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5"/>
        <w:contextualSpacing w:val="0"/>
        <w:ind w:firstLine="562"/>
        <w:jc w:val="left"/>
        <w:spacing w:after="0" w:line="360" w:lineRule="auto"/>
        <w:rPr>
          <w:rFonts w:hint="eastAsia" w:ascii="宋体" w:hAnsi="宋体" w:cs="宋体"/>
          <w:b/>
          <w:bCs/>
          <w:color w:val="000000"/>
          <w:sz w:val="28"/>
          <w:szCs w:val="28"/>
          <w:highlight w:val="none"/>
        </w:rPr>
        <w:suppressLineNumbers w:val="0"/>
      </w:pPr>
      <w:r>
        <w:rPr>
          <w:rFonts w:hint="eastAsia" w:ascii="宋体" w:hAnsi="宋体" w:eastAsia="华文新魏" w:cs="宋体"/>
          <w:b/>
          <w:bCs/>
          <w:color w:val="000000"/>
          <w:sz w:val="28"/>
          <w:szCs w:val="28"/>
          <w:highlight w:val="none"/>
        </w:rPr>
      </w:r>
      <w:r>
        <w:rPr>
          <w:rFonts w:ascii="宋体" w:hAnsi="宋体" w:cs="宋体"/>
        </w:rPr>
      </w:r>
      <w:r/>
    </w:p>
    <w:p>
      <w:pPr>
        <w:pStyle w:val="885"/>
        <w:contextualSpacing w:val="0"/>
        <w:ind w:firstLine="562"/>
        <w:jc w:val="left"/>
        <w:spacing w:after="0" w:line="360" w:lineRule="auto"/>
        <w:rPr>
          <w:rFonts w:ascii="宋体" w:hAnsi="宋体" w:cs="宋体"/>
          <w:b/>
          <w:bCs/>
          <w:color w:val="000000"/>
          <w:sz w:val="28"/>
          <w:szCs w:val="28"/>
          <w:highlight w:val="none"/>
        </w:rPr>
        <w:suppressLineNumbers w:val="0"/>
      </w:pPr>
      <w:r>
        <w:rPr>
          <w:rFonts w:ascii="宋体" w:hAnsi="宋体" w:eastAsia="华文新魏" w:cs="宋体"/>
          <w:b/>
          <w:bCs/>
          <w:color w:val="000000"/>
          <w:sz w:val="28"/>
          <w:szCs w:val="28"/>
          <w:highlight w:val="none"/>
        </w:rPr>
      </w:r>
      <w:r>
        <w:rPr>
          <w:rFonts w:ascii="宋体" w:hAnsi="宋体" w:cs="宋体"/>
        </w:rPr>
      </w:r>
      <w:r/>
    </w:p>
    <w:p>
      <w:pPr>
        <w:pStyle w:val="885"/>
        <w:contextualSpacing w:val="0"/>
        <w:ind w:firstLine="562"/>
        <w:jc w:val="left"/>
        <w:spacing w:after="0" w:line="360" w:lineRule="auto"/>
        <w:rPr>
          <w:rFonts w:ascii="宋体" w:hAnsi="宋体" w:cs="宋体"/>
          <w:b/>
          <w:bCs/>
          <w:color w:val="000000"/>
          <w:sz w:val="28"/>
          <w:szCs w:val="28"/>
          <w:highlight w:val="none"/>
        </w:rPr>
        <w:suppressLineNumbers w:val="0"/>
      </w:pPr>
      <w:r>
        <w:rPr>
          <w:rFonts w:ascii="宋体" w:hAnsi="宋体" w:eastAsia="华文新魏" w:cs="宋体"/>
          <w:b/>
          <w:bCs/>
          <w:color w:val="000000"/>
          <w:sz w:val="28"/>
          <w:szCs w:val="28"/>
          <w:highlight w:val="none"/>
        </w:rPr>
      </w:r>
      <w:r>
        <w:rPr>
          <w:rFonts w:ascii="宋体" w:hAnsi="宋体" w:cs="宋体"/>
        </w:rPr>
      </w:r>
      <w:r/>
    </w:p>
    <w:p>
      <w:pPr>
        <w:pStyle w:val="885"/>
        <w:contextualSpacing w:val="0"/>
        <w:jc w:val="center"/>
        <w:spacing w:after="0" w:line="360" w:lineRule="auto"/>
        <w:rPr>
          <w:rFonts w:ascii="宋体" w:hAnsi="宋体" w:cs="宋体"/>
          <w:b/>
          <w:bCs/>
          <w:color w:val="000000"/>
          <w:sz w:val="108"/>
          <w:szCs w:val="108"/>
          <w:highlight w:val="none"/>
        </w:rPr>
        <w:suppressLineNumbers w:val="0"/>
      </w:pPr>
      <w:r>
        <w:rPr>
          <w:rFonts w:hint="eastAsia" w:ascii="宋体" w:hAnsi="宋体" w:eastAsia="宋体" w:cs="宋体"/>
          <w:b/>
          <w:bCs/>
          <w:color w:val="000000"/>
          <w:sz w:val="108"/>
          <w:szCs w:val="108"/>
          <w:highlight w:val="none"/>
        </w:rPr>
        <w:t xml:space="preserve">苏州市</w:t>
      </w:r>
      <w:r>
        <w:rPr>
          <w:rFonts w:hint="eastAsia" w:ascii="宋体" w:hAnsi="宋体" w:eastAsia="宋体" w:cs="宋体"/>
          <w:b/>
          <w:bCs/>
          <w:color w:val="000000"/>
          <w:sz w:val="108"/>
          <w:szCs w:val="108"/>
          <w:highlight w:val="none"/>
          <w:lang w:eastAsia="zh-CN"/>
        </w:rPr>
        <w:t xml:space="preserve">吴江区</w:t>
      </w:r>
      <w:r>
        <w:rPr>
          <w:rFonts w:ascii="宋体" w:hAnsi="宋体" w:cs="宋体"/>
        </w:rPr>
      </w:r>
      <w:r/>
    </w:p>
    <w:p>
      <w:pPr>
        <w:pStyle w:val="885"/>
        <w:contextualSpacing w:val="0"/>
        <w:jc w:val="center"/>
        <w:spacing w:after="0" w:line="360" w:lineRule="auto"/>
        <w:rPr>
          <w:rFonts w:ascii="宋体" w:hAnsi="宋体" w:cs="宋体"/>
          <w:b/>
          <w:bCs/>
          <w:color w:val="000000"/>
          <w:sz w:val="108"/>
          <w:szCs w:val="108"/>
          <w:highlight w:val="none"/>
        </w:rPr>
        <w:suppressLineNumbers w:val="0"/>
      </w:pPr>
      <w:r>
        <w:rPr>
          <w:rFonts w:hint="eastAsia" w:ascii="宋体" w:hAnsi="宋体" w:eastAsia="宋体" w:cs="宋体"/>
          <w:b/>
          <w:bCs/>
          <w:color w:val="000000"/>
          <w:sz w:val="108"/>
          <w:szCs w:val="108"/>
          <w:highlight w:val="none"/>
        </w:rPr>
        <w:t xml:space="preserve">政府</w:t>
      </w:r>
      <w:r>
        <w:rPr>
          <w:rFonts w:hint="eastAsia" w:ascii="宋体" w:hAnsi="宋体" w:eastAsia="宋体" w:cs="宋体"/>
          <w:b/>
          <w:bCs/>
          <w:color w:val="000000"/>
          <w:sz w:val="108"/>
          <w:szCs w:val="108"/>
          <w:highlight w:val="none"/>
        </w:rPr>
        <w:t xml:space="preserve">采购招标文件</w:t>
      </w:r>
      <w:r>
        <w:rPr>
          <w:rFonts w:ascii="宋体" w:hAnsi="宋体" w:cs="宋体"/>
        </w:rPr>
      </w:r>
      <w:r/>
    </w:p>
    <w:p>
      <w:pPr>
        <w:pStyle w:val="885"/>
        <w:contextualSpacing w:val="0"/>
        <w:jc w:val="left"/>
        <w:spacing w:after="0" w:line="360" w:lineRule="auto"/>
        <w:rPr>
          <w:rFonts w:ascii="宋体" w:hAnsi="宋体" w:cs="宋体"/>
          <w:color w:val="000000"/>
          <w:highlight w:val="none"/>
        </w:rPr>
        <w:suppressLineNumbers w:val="0"/>
      </w:pPr>
      <w:r>
        <w:rPr>
          <w:rFonts w:ascii="宋体" w:hAnsi="宋体" w:cs="宋体"/>
          <w:color w:val="000000"/>
          <w:highlight w:val="none"/>
        </w:rPr>
      </w:r>
      <w:r>
        <w:rPr>
          <w:rFonts w:ascii="宋体" w:hAnsi="宋体" w:cs="宋体"/>
        </w:rPr>
      </w:r>
      <w:r/>
    </w:p>
    <w:p>
      <w:pPr>
        <w:pStyle w:val="885"/>
        <w:contextualSpacing w:val="0"/>
        <w:ind w:firstLine="2249"/>
        <w:jc w:val="left"/>
        <w:spacing w:after="0" w:line="360" w:lineRule="auto"/>
        <w:rPr>
          <w:rFonts w:ascii="宋体" w:hAnsi="宋体" w:cs="宋体"/>
          <w:b/>
          <w:bCs/>
          <w:color w:val="000000"/>
          <w:sz w:val="32"/>
          <w:szCs w:val="32"/>
          <w:highlight w:val="none"/>
        </w:rPr>
        <w:suppressLineNumbers w:val="0"/>
      </w:pPr>
      <w:r>
        <w:rPr>
          <w:rFonts w:ascii="宋体" w:hAnsi="宋体" w:cs="宋体"/>
          <w:b/>
          <w:bCs/>
          <w:color w:val="000000"/>
          <w:sz w:val="32"/>
          <w:szCs w:val="32"/>
          <w:highlight w:val="none"/>
        </w:rPr>
      </w:r>
      <w:r>
        <w:rPr>
          <w:rFonts w:ascii="宋体" w:hAnsi="宋体" w:cs="宋体"/>
        </w:rPr>
      </w:r>
      <w:r/>
    </w:p>
    <w:p>
      <w:pPr>
        <w:pStyle w:val="885"/>
        <w:contextualSpacing w:val="0"/>
        <w:ind w:firstLine="1928"/>
        <w:jc w:val="left"/>
        <w:spacing w:after="0" w:line="360" w:lineRule="auto"/>
        <w:rPr>
          <w:rFonts w:hint="eastAsia" w:ascii="宋体" w:hAnsi="宋体" w:cs="宋体"/>
          <w:b/>
          <w:bCs/>
          <w:color w:val="000000"/>
          <w:sz w:val="32"/>
          <w:szCs w:val="32"/>
          <w:highlight w:val="none"/>
        </w:rPr>
        <w:suppressLineNumbers w:val="0"/>
      </w:pPr>
      <w:r>
        <w:rPr>
          <w:rFonts w:hint="eastAsia" w:ascii="宋体" w:hAnsi="宋体" w:cs="宋体"/>
          <w:b/>
          <w:bCs/>
          <w:color w:val="000000"/>
          <w:sz w:val="32"/>
          <w:szCs w:val="32"/>
          <w:highlight w:val="none"/>
        </w:rPr>
      </w:r>
      <w:r>
        <w:rPr>
          <w:rFonts w:ascii="宋体" w:hAnsi="宋体" w:cs="宋体"/>
        </w:rPr>
      </w:r>
      <w:r/>
    </w:p>
    <w:p>
      <w:pPr>
        <w:pStyle w:val="885"/>
        <w:contextualSpacing w:val="0"/>
        <w:ind w:firstLine="1928"/>
        <w:jc w:val="left"/>
        <w:spacing w:after="0" w:line="360" w:lineRule="auto"/>
        <w:rPr>
          <w:rFonts w:hint="eastAsia" w:ascii="宋体" w:hAnsi="宋体" w:cs="宋体"/>
          <w:b/>
          <w:bCs/>
          <w:color w:val="000000"/>
          <w:sz w:val="32"/>
          <w:szCs w:val="32"/>
          <w:highlight w:val="none"/>
        </w:rPr>
        <w:suppressLineNumbers w:val="0"/>
      </w:pPr>
      <w:r>
        <w:rPr>
          <w:rFonts w:hint="eastAsia" w:ascii="宋体" w:hAnsi="宋体" w:cs="宋体"/>
          <w:b/>
          <w:bCs/>
          <w:color w:val="000000"/>
          <w:sz w:val="32"/>
          <w:szCs w:val="32"/>
          <w:highlight w:val="none"/>
        </w:rPr>
      </w:r>
      <w:r>
        <w:rPr>
          <w:rFonts w:ascii="宋体" w:hAnsi="宋体" w:cs="宋体"/>
        </w:rPr>
      </w:r>
      <w:r/>
    </w:p>
    <w:p>
      <w:pPr>
        <w:pStyle w:val="885"/>
        <w:contextualSpacing w:val="0"/>
        <w:ind w:firstLine="1928"/>
        <w:jc w:val="left"/>
        <w:spacing w:after="0" w:line="360" w:lineRule="auto"/>
        <w:rPr>
          <w:rFonts w:hint="eastAsia" w:ascii="宋体" w:hAnsi="宋体" w:cs="宋体"/>
          <w:b/>
          <w:bCs/>
          <w:color w:val="000000"/>
          <w:sz w:val="32"/>
          <w:szCs w:val="32"/>
          <w:highlight w:val="none"/>
        </w:rPr>
        <w:suppressLineNumbers w:val="0"/>
      </w:pPr>
      <w:r>
        <w:rPr>
          <w:rFonts w:hint="eastAsia" w:ascii="宋体" w:hAnsi="宋体" w:eastAsia="宋体" w:cs="宋体"/>
          <w:b/>
          <w:bCs/>
          <w:color w:val="000000"/>
          <w:sz w:val="32"/>
          <w:szCs w:val="32"/>
          <w:highlight w:val="none"/>
        </w:rPr>
        <w:t xml:space="preserve">招标编号：</w:t>
      </w:r>
      <w:r>
        <w:rPr>
          <w:rFonts w:hint="eastAsia" w:ascii="宋体" w:hAnsi="宋体" w:cs="宋体"/>
          <w:b/>
          <w:bCs/>
          <w:color w:val="000000"/>
          <w:sz w:val="32"/>
          <w:szCs w:val="32"/>
          <w:highlight w:val="none"/>
          <w:lang w:eastAsia="zh-CN"/>
        </w:rPr>
        <w:t xml:space="preserve">JSZC-320509-SXHC-G2026-0010</w:t>
      </w:r>
      <w:r>
        <w:rPr>
          <w:rFonts w:ascii="宋体" w:hAnsi="宋体" w:cs="宋体"/>
        </w:rPr>
      </w:r>
      <w:r/>
    </w:p>
    <w:p>
      <w:pPr>
        <w:pStyle w:val="885"/>
        <w:contextualSpacing w:val="0"/>
        <w:ind w:firstLine="1928"/>
        <w:jc w:val="left"/>
        <w:spacing w:after="0" w:line="360" w:lineRule="auto"/>
        <w:rPr>
          <w:rFonts w:hint="eastAsia" w:ascii="宋体" w:hAnsi="宋体" w:cs="宋体"/>
          <w:b/>
          <w:bCs/>
          <w:color w:val="000000"/>
          <w:sz w:val="32"/>
          <w:szCs w:val="32"/>
          <w:highlight w:val="none"/>
        </w:rPr>
        <w:suppressLineNumbers w:val="0"/>
      </w:pPr>
      <w:r>
        <w:rPr>
          <w:rFonts w:hint="eastAsia" w:ascii="宋体" w:hAnsi="宋体" w:eastAsia="宋体" w:cs="宋体"/>
          <w:b/>
          <w:bCs/>
          <w:color w:val="000000"/>
          <w:sz w:val="32"/>
          <w:szCs w:val="32"/>
          <w:highlight w:val="none"/>
        </w:rPr>
        <w:t xml:space="preserve">项目名称：异地新建实训室设施设备采购项目</w:t>
      </w:r>
      <w:r>
        <w:rPr>
          <w:rFonts w:ascii="宋体" w:hAnsi="宋体" w:cs="宋体"/>
        </w:rPr>
      </w:r>
      <w:r/>
    </w:p>
    <w:p>
      <w:pPr>
        <w:pStyle w:val="885"/>
        <w:contextualSpacing w:val="0"/>
        <w:ind w:firstLine="1928"/>
        <w:jc w:val="left"/>
        <w:spacing w:after="0" w:line="360" w:lineRule="auto"/>
        <w:rPr>
          <w:rFonts w:hint="eastAsia" w:ascii="宋体" w:hAnsi="宋体" w:cs="宋体"/>
          <w:b/>
          <w:bCs/>
          <w:color w:val="000000"/>
          <w:sz w:val="32"/>
          <w:szCs w:val="32"/>
          <w:highlight w:val="none"/>
        </w:rPr>
        <w:suppressLineNumbers w:val="0"/>
      </w:pPr>
      <w:r>
        <w:rPr>
          <w:rFonts w:hint="eastAsia" w:ascii="宋体" w:hAnsi="宋体" w:eastAsia="宋体" w:cs="宋体"/>
          <w:b/>
          <w:bCs/>
          <w:color w:val="000000"/>
          <w:sz w:val="32"/>
          <w:szCs w:val="32"/>
          <w:highlight w:val="none"/>
        </w:rPr>
        <w:t xml:space="preserve">采购单位：</w:t>
      </w:r>
      <w:r>
        <w:rPr>
          <w:rFonts w:hint="eastAsia" w:ascii="宋体" w:hAnsi="宋体" w:eastAsia="宋体" w:cs="宋体"/>
          <w:b/>
          <w:bCs/>
          <w:color w:val="000000"/>
          <w:sz w:val="32"/>
          <w:szCs w:val="32"/>
          <w:highlight w:val="none"/>
          <w:lang w:eastAsia="zh-CN"/>
        </w:rPr>
        <w:t xml:space="preserve">江苏省苏州丝绸中等专业学校</w:t>
      </w:r>
      <w:r>
        <w:rPr>
          <w:rFonts w:ascii="宋体" w:hAnsi="宋体" w:cs="宋体"/>
        </w:rPr>
      </w:r>
      <w:r/>
    </w:p>
    <w:p>
      <w:pPr>
        <w:pStyle w:val="885"/>
        <w:contextualSpacing w:val="0"/>
        <w:ind w:firstLine="1928"/>
        <w:jc w:val="left"/>
        <w:spacing w:after="0" w:line="360" w:lineRule="auto"/>
        <w:rPr>
          <w:rFonts w:hint="eastAsia" w:ascii="宋体" w:hAnsi="宋体" w:cs="宋体"/>
          <w:b/>
          <w:bCs/>
          <w:color w:val="000000"/>
          <w:sz w:val="32"/>
          <w:szCs w:val="32"/>
          <w:highlight w:val="none"/>
        </w:rPr>
        <w:suppressLineNumbers w:val="0"/>
      </w:pPr>
      <w:r>
        <w:rPr>
          <w:rFonts w:hint="eastAsia" w:ascii="宋体" w:hAnsi="宋体" w:eastAsia="宋体" w:cs="宋体"/>
          <w:b/>
          <w:bCs/>
          <w:color w:val="000000"/>
          <w:sz w:val="32"/>
          <w:szCs w:val="32"/>
          <w:highlight w:val="none"/>
        </w:rPr>
        <w:t xml:space="preserve">项目类别：货物类</w:t>
      </w:r>
      <w:r>
        <w:rPr>
          <w:rFonts w:ascii="宋体" w:hAnsi="宋体" w:cs="宋体"/>
        </w:rPr>
      </w:r>
      <w:r/>
    </w:p>
    <w:p>
      <w:pPr>
        <w:pStyle w:val="885"/>
        <w:contextualSpacing w:val="0"/>
        <w:jc w:val="left"/>
        <w:spacing w:after="0" w:line="360" w:lineRule="auto"/>
        <w:rPr>
          <w:rFonts w:hint="eastAsia" w:ascii="宋体" w:hAnsi="宋体" w:cs="宋体"/>
          <w:color w:val="000000"/>
          <w:highlight w:val="none"/>
        </w:rPr>
        <w:suppressLineNumbers w:val="0"/>
      </w:pPr>
      <w:r>
        <w:rPr>
          <w:rFonts w:hint="eastAsia" w:ascii="宋体" w:hAnsi="宋体" w:cs="宋体"/>
          <w:color w:val="000000"/>
          <w:highlight w:val="none"/>
        </w:rPr>
      </w:r>
      <w:r>
        <w:rPr>
          <w:rFonts w:ascii="宋体" w:hAnsi="宋体" w:cs="宋体"/>
        </w:rPr>
      </w:r>
      <w:r/>
    </w:p>
    <w:p>
      <w:pPr>
        <w:pStyle w:val="1045"/>
        <w:contextualSpacing w:val="0"/>
        <w:jc w:val="left"/>
        <w:spacing w:after="0" w:line="360" w:lineRule="auto"/>
        <w:rPr>
          <w:rFonts w:ascii="宋体" w:hAnsi="宋体" w:cs="宋体"/>
          <w:color w:val="000000"/>
          <w:highlight w:val="none"/>
        </w:rPr>
        <w:suppressLineNumbers w:val="0"/>
      </w:pPr>
      <w:r>
        <w:rPr>
          <w:rFonts w:ascii="宋体" w:hAnsi="宋体" w:cs="宋体"/>
          <w:color w:val="000000"/>
          <w:highlight w:val="none"/>
        </w:rPr>
      </w:r>
      <w:r>
        <w:rPr>
          <w:rFonts w:ascii="宋体" w:hAnsi="宋体" w:cs="宋体"/>
        </w:rPr>
      </w:r>
      <w:r/>
    </w:p>
    <w:p>
      <w:pPr>
        <w:pStyle w:val="1045"/>
        <w:contextualSpacing w:val="0"/>
        <w:jc w:val="left"/>
        <w:spacing w:after="0" w:line="360" w:lineRule="auto"/>
        <w:rPr>
          <w:rFonts w:ascii="宋体" w:hAnsi="宋体" w:cs="宋体"/>
          <w:color w:val="000000"/>
          <w:highlight w:val="none"/>
        </w:rPr>
        <w:suppressLineNumbers w:val="0"/>
      </w:pPr>
      <w:r>
        <w:rPr>
          <w:rFonts w:ascii="宋体" w:hAnsi="宋体" w:cs="宋体"/>
          <w:color w:val="000000"/>
          <w:highlight w:val="none"/>
        </w:rPr>
      </w:r>
      <w:r>
        <w:rPr>
          <w:rFonts w:ascii="宋体" w:hAnsi="宋体" w:cs="宋体"/>
        </w:rPr>
      </w:r>
      <w:r/>
    </w:p>
    <w:p>
      <w:pPr>
        <w:pStyle w:val="1045"/>
        <w:contextualSpacing w:val="0"/>
        <w:jc w:val="left"/>
        <w:spacing w:after="0" w:line="360" w:lineRule="auto"/>
        <w:rPr>
          <w:rFonts w:hint="eastAsia" w:ascii="宋体" w:hAnsi="宋体" w:cs="宋体"/>
          <w:color w:val="000000"/>
          <w:highlight w:val="none"/>
        </w:rPr>
        <w:suppressLineNumbers w:val="0"/>
      </w:pPr>
      <w:r>
        <w:rPr>
          <w:rFonts w:hint="eastAsia" w:ascii="宋体" w:hAnsi="宋体" w:cs="宋体"/>
          <w:color w:val="000000"/>
          <w:highlight w:val="none"/>
        </w:rPr>
      </w:r>
      <w:r>
        <w:rPr>
          <w:rFonts w:ascii="宋体" w:hAnsi="宋体" w:cs="宋体"/>
        </w:rPr>
      </w:r>
      <w:r/>
    </w:p>
    <w:p>
      <w:pPr>
        <w:pStyle w:val="885"/>
        <w:contextualSpacing w:val="0"/>
        <w:jc w:val="left"/>
        <w:spacing w:after="0" w:line="360" w:lineRule="auto"/>
        <w:rPr>
          <w:rFonts w:hint="eastAsia" w:ascii="宋体" w:hAnsi="宋体" w:cs="宋体"/>
          <w:b/>
          <w:bCs/>
          <w:color w:val="000000"/>
          <w:sz w:val="32"/>
          <w:szCs w:val="32"/>
          <w:highlight w:val="none"/>
        </w:rPr>
        <w:suppressLineNumbers w:val="0"/>
      </w:pPr>
      <w:r>
        <w:rPr>
          <w:rFonts w:hint="eastAsia" w:ascii="宋体" w:hAnsi="宋体" w:cs="宋体"/>
          <w:b/>
          <w:bCs/>
          <w:color w:val="000000"/>
          <w:sz w:val="32"/>
          <w:szCs w:val="32"/>
          <w:highlight w:val="none"/>
        </w:rPr>
        <w:t xml:space="preserve"> </w:t>
      </w:r>
      <w:r>
        <w:rPr>
          <w:rFonts w:ascii="宋体" w:hAnsi="宋体" w:cs="宋体"/>
        </w:rPr>
      </w:r>
      <w:r/>
    </w:p>
    <w:p>
      <w:pPr>
        <w:pStyle w:val="885"/>
        <w:contextualSpacing w:val="0"/>
        <w:jc w:val="left"/>
        <w:spacing w:after="0" w:line="360" w:lineRule="auto"/>
        <w:rPr>
          <w:rFonts w:hint="eastAsia" w:ascii="宋体" w:hAnsi="宋体" w:cs="宋体"/>
          <w:b/>
          <w:bCs/>
          <w:color w:val="000000"/>
          <w:sz w:val="32"/>
          <w:szCs w:val="32"/>
          <w:highlight w:val="none"/>
        </w:rPr>
        <w:suppressLineNumbers w:val="0"/>
      </w:pPr>
      <w:r>
        <w:rPr>
          <w:rFonts w:hint="eastAsia" w:ascii="宋体" w:hAnsi="宋体" w:cs="宋体"/>
          <w:b/>
          <w:bCs/>
          <w:color w:val="000000"/>
          <w:sz w:val="32"/>
          <w:szCs w:val="32"/>
          <w:highlight w:val="none"/>
        </w:rPr>
      </w:r>
      <w:r>
        <w:rPr>
          <w:rFonts w:ascii="宋体" w:hAnsi="宋体" w:cs="宋体"/>
        </w:rPr>
      </w:r>
      <w:r/>
    </w:p>
    <w:p>
      <w:pPr>
        <w:pStyle w:val="885"/>
        <w:contextualSpacing w:val="0"/>
        <w:jc w:val="center"/>
        <w:spacing w:after="0" w:line="360" w:lineRule="auto"/>
        <w:rPr>
          <w:rFonts w:hint="eastAsia" w:ascii="宋体" w:hAnsi="宋体" w:cs="宋体"/>
          <w:b/>
          <w:bCs/>
          <w:color w:val="000000"/>
          <w:sz w:val="32"/>
          <w:szCs w:val="32"/>
          <w:highlight w:val="none"/>
        </w:rPr>
        <w:suppressLineNumbers w:val="0"/>
      </w:pPr>
      <w:r>
        <w:rPr>
          <w:rFonts w:hint="eastAsia" w:ascii="宋体" w:hAnsi="宋体" w:eastAsia="宋体" w:cs="宋体"/>
          <w:b/>
          <w:bCs/>
          <w:color w:val="000000"/>
          <w:sz w:val="32"/>
          <w:szCs w:val="32"/>
          <w:highlight w:val="none"/>
        </w:rPr>
        <w:t xml:space="preserve">苏州欣禾诚工程咨询服务有限公司</w:t>
      </w:r>
      <w:r>
        <w:rPr>
          <w:rFonts w:ascii="宋体" w:hAnsi="宋体" w:cs="宋体"/>
        </w:rPr>
      </w:r>
      <w:r/>
    </w:p>
    <w:p>
      <w:pPr>
        <w:pStyle w:val="885"/>
        <w:contextualSpacing w:val="0"/>
        <w:jc w:val="center"/>
        <w:spacing w:after="0" w:line="360" w:lineRule="auto"/>
        <w:rPr>
          <w:rFonts w:hint="eastAsia" w:ascii="宋体" w:hAnsi="宋体" w:cs="宋体"/>
          <w:color w:val="000000"/>
          <w:sz w:val="48"/>
          <w:szCs w:val="48"/>
          <w:highlight w:val="none"/>
        </w:rPr>
        <w:suppressLineNumbers w:val="0"/>
      </w:pPr>
      <w:r>
        <w:rPr>
          <w:rFonts w:hint="eastAsia" w:ascii="宋体" w:hAnsi="宋体" w:eastAsia="宋体" w:cs="宋体"/>
          <w:b/>
          <w:bCs/>
          <w:color w:val="000000"/>
          <w:sz w:val="32"/>
          <w:szCs w:val="32"/>
          <w:highlight w:val="none"/>
        </w:rPr>
        <w:t xml:space="preserve">二〇二</w:t>
      </w:r>
      <w:r>
        <w:rPr>
          <w:rFonts w:hint="eastAsia" w:ascii="宋体" w:hAnsi="宋体" w:eastAsia="宋体" w:cs="宋体"/>
          <w:b/>
          <w:bCs/>
          <w:color w:val="000000"/>
          <w:sz w:val="32"/>
          <w:szCs w:val="32"/>
          <w:highlight w:val="none"/>
          <w:lang w:eastAsia="zh-CN"/>
        </w:rPr>
        <w:t xml:space="preserve">六</w:t>
      </w:r>
      <w:r>
        <w:rPr>
          <w:rFonts w:hint="eastAsia" w:ascii="宋体" w:hAnsi="宋体" w:eastAsia="宋体" w:cs="宋体"/>
          <w:b/>
          <w:bCs/>
          <w:color w:val="000000"/>
          <w:sz w:val="32"/>
          <w:szCs w:val="32"/>
          <w:highlight w:val="none"/>
        </w:rPr>
        <w:t xml:space="preserve">年</w:t>
      </w:r>
      <w:r>
        <w:rPr>
          <w:rFonts w:hint="eastAsia" w:ascii="宋体" w:hAnsi="宋体" w:eastAsia="宋体" w:cs="宋体"/>
          <w:b/>
          <w:bCs/>
          <w:color w:val="000000"/>
          <w:sz w:val="32"/>
          <w:szCs w:val="32"/>
          <w:highlight w:val="none"/>
          <w:lang w:eastAsia="zh-CN"/>
        </w:rPr>
        <w:t xml:space="preserve">五</w:t>
      </w:r>
      <w:r>
        <w:rPr>
          <w:rFonts w:hint="eastAsia" w:ascii="宋体" w:hAnsi="宋体" w:eastAsia="宋体" w:cs="宋体"/>
          <w:b/>
          <w:bCs/>
          <w:color w:val="000000"/>
          <w:sz w:val="32"/>
          <w:szCs w:val="32"/>
          <w:highlight w:val="none"/>
        </w:rPr>
        <w:t xml:space="preserve">月</w:t>
      </w:r>
      <w:r>
        <w:rPr>
          <w:rFonts w:ascii="宋体" w:hAnsi="宋体" w:cs="宋体"/>
        </w:rPr>
      </w:r>
      <w:r/>
    </w:p>
    <w:p>
      <w:pPr>
        <w:pStyle w:val="885"/>
        <w:contextualSpacing w:val="0"/>
        <w:jc w:val="center"/>
        <w:spacing w:after="0" w:line="360" w:lineRule="auto"/>
        <w:rPr>
          <w:rFonts w:ascii="宋体" w:hAnsi="宋体" w:cs="宋体"/>
          <w:color w:val="000000"/>
          <w:sz w:val="48"/>
          <w:szCs w:val="48"/>
          <w:highlight w:val="none"/>
        </w:rPr>
        <w:suppressLineNumbers w:val="0"/>
      </w:pPr>
      <w:r>
        <w:rPr>
          <w:rFonts w:hint="eastAsia" w:ascii="宋体" w:hAnsi="宋体" w:eastAsia="宋体" w:cs="宋体"/>
          <w:color w:val="000000"/>
          <w:sz w:val="48"/>
          <w:szCs w:val="48"/>
          <w:highlight w:val="none"/>
        </w:rPr>
        <w:t xml:space="preserve">总目录</w:t>
      </w:r>
      <w:r>
        <w:rPr>
          <w:rFonts w:ascii="宋体" w:hAnsi="宋体" w:cs="宋体"/>
        </w:rPr>
      </w:r>
      <w:r/>
    </w:p>
    <w:p>
      <w:pPr>
        <w:pStyle w:val="885"/>
        <w:contextualSpacing w:val="0"/>
        <w:jc w:val="left"/>
        <w:spacing w:after="0" w:line="360" w:lineRule="auto"/>
        <w:rPr>
          <w:rFonts w:ascii="宋体" w:hAnsi="宋体" w:cs="宋体"/>
          <w:color w:val="000000"/>
          <w:highlight w:val="none"/>
        </w:rPr>
        <w:suppressLineNumbers w:val="0"/>
      </w:pPr>
      <w:r>
        <w:rPr>
          <w:rFonts w:ascii="宋体" w:hAnsi="宋体" w:cs="宋体"/>
          <w:color w:val="000000"/>
          <w:highlight w:val="none"/>
        </w:rPr>
      </w:r>
      <w:r>
        <w:rPr>
          <w:rFonts w:ascii="宋体" w:hAnsi="宋体" w:cs="宋体"/>
        </w:rPr>
      </w:r>
      <w:r/>
    </w:p>
    <w:p>
      <w:pPr>
        <w:pStyle w:val="1051"/>
        <w:contextualSpacing w:val="0"/>
        <w:jc w:val="left"/>
        <w:spacing w:after="0" w:line="360" w:lineRule="auto"/>
        <w:tabs>
          <w:tab w:val="right" w:pos="9902" w:leader="dot"/>
        </w:tabs>
        <w:rPr>
          <w:rFonts w:hint="eastAsia" w:ascii="宋体" w:hAnsi="宋体" w:cs="宋体"/>
          <w:color w:val="000000"/>
          <w:sz w:val="28"/>
          <w:szCs w:val="28"/>
          <w:highlight w:val="none"/>
        </w:rPr>
        <w:suppressLineNumbers w:val="0"/>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_Toc1639 </w:instrText>
      </w:r>
      <w:r>
        <w:rPr>
          <w:rFonts w:hint="eastAsia" w:ascii="宋体" w:hAnsi="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第一章  投标邀请函</w:t>
      </w:r>
      <w:r>
        <w:rPr>
          <w:rFonts w:hint="eastAsia" w:ascii="宋体" w:hAnsi="宋体" w:cs="宋体"/>
          <w:color w:val="000000"/>
          <w:sz w:val="28"/>
          <w:szCs w:val="28"/>
          <w:highlight w:val="none"/>
        </w:rPr>
        <w:tab/>
        <w:t xml:space="preserve">6</w:t>
      </w:r>
      <w:r>
        <w:rPr>
          <w:rFonts w:hint="eastAsia" w:ascii="宋体" w:hAnsi="宋体" w:cs="宋体"/>
          <w:color w:val="000000"/>
          <w:sz w:val="28"/>
          <w:szCs w:val="28"/>
          <w:highlight w:val="none"/>
        </w:rPr>
        <w:fldChar w:fldCharType="end"/>
      </w:r>
      <w:r>
        <w:rPr>
          <w:rFonts w:ascii="宋体" w:hAnsi="宋体" w:cs="宋体"/>
        </w:rPr>
      </w:r>
      <w:r/>
    </w:p>
    <w:p>
      <w:pPr>
        <w:pStyle w:val="1051"/>
        <w:contextualSpacing w:val="0"/>
        <w:jc w:val="left"/>
        <w:spacing w:after="0" w:line="360" w:lineRule="auto"/>
        <w:tabs>
          <w:tab w:val="right" w:pos="9902" w:leader="dot"/>
        </w:tabs>
        <w:rPr>
          <w:rFonts w:hint="eastAsia" w:ascii="宋体" w:hAnsi="宋体" w:cs="宋体"/>
          <w:color w:val="000000"/>
          <w:sz w:val="28"/>
          <w:szCs w:val="28"/>
          <w:highlight w:val="none"/>
        </w:rPr>
        <w:suppressLineNumbers w:val="0"/>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_Toc698 </w:instrText>
      </w:r>
      <w:r>
        <w:rPr>
          <w:rFonts w:hint="eastAsia" w:ascii="宋体" w:hAnsi="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第二章  投标人须知</w:t>
      </w:r>
      <w:r>
        <w:rPr>
          <w:rFonts w:hint="eastAsia" w:ascii="宋体" w:hAnsi="宋体" w:cs="宋体"/>
          <w:color w:val="000000"/>
          <w:sz w:val="28"/>
          <w:szCs w:val="28"/>
          <w:highlight w:val="none"/>
        </w:rPr>
        <w:tab/>
        <w:t xml:space="preserve">10</w:t>
      </w:r>
      <w:r>
        <w:rPr>
          <w:rFonts w:hint="eastAsia" w:ascii="宋体" w:hAnsi="宋体" w:cs="宋体"/>
          <w:color w:val="000000"/>
          <w:sz w:val="28"/>
          <w:szCs w:val="28"/>
          <w:highlight w:val="none"/>
        </w:rPr>
        <w:fldChar w:fldCharType="end"/>
      </w:r>
      <w:r>
        <w:rPr>
          <w:rFonts w:ascii="宋体" w:hAnsi="宋体" w:cs="宋体"/>
        </w:rPr>
      </w:r>
      <w:r/>
    </w:p>
    <w:p>
      <w:pPr>
        <w:pStyle w:val="1051"/>
        <w:contextualSpacing w:val="0"/>
        <w:jc w:val="left"/>
        <w:spacing w:after="0" w:line="360" w:lineRule="auto"/>
        <w:tabs>
          <w:tab w:val="right" w:pos="9902" w:leader="dot"/>
        </w:tabs>
        <w:rPr>
          <w:rFonts w:hint="eastAsia" w:ascii="宋体" w:hAnsi="宋体" w:cs="宋体"/>
          <w:color w:val="000000"/>
          <w:sz w:val="28"/>
          <w:szCs w:val="28"/>
          <w:highlight w:val="none"/>
        </w:rPr>
        <w:suppressLineNumbers w:val="0"/>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_Toc9263 </w:instrText>
      </w:r>
      <w:r>
        <w:rPr>
          <w:rFonts w:hint="eastAsia" w:ascii="宋体" w:hAnsi="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第三章  投标文件格式</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23</w:t>
      </w:r>
      <w:r>
        <w:rPr>
          <w:rFonts w:hint="eastAsia" w:ascii="宋体" w:hAnsi="宋体" w:cs="宋体"/>
          <w:color w:val="000000"/>
          <w:sz w:val="28"/>
          <w:szCs w:val="28"/>
          <w:highlight w:val="none"/>
        </w:rPr>
        <w:fldChar w:fldCharType="end"/>
      </w:r>
      <w:r>
        <w:rPr>
          <w:rFonts w:ascii="宋体" w:hAnsi="宋体" w:cs="宋体"/>
        </w:rPr>
      </w:r>
      <w:r/>
    </w:p>
    <w:p>
      <w:pPr>
        <w:pStyle w:val="1051"/>
        <w:contextualSpacing w:val="0"/>
        <w:jc w:val="left"/>
        <w:spacing w:after="0" w:line="360" w:lineRule="auto"/>
        <w:tabs>
          <w:tab w:val="right" w:pos="9902" w:leader="dot"/>
        </w:tabs>
        <w:rPr>
          <w:rFonts w:hint="eastAsia" w:ascii="宋体" w:hAnsi="宋体" w:cs="宋体"/>
          <w:color w:val="000000"/>
          <w:sz w:val="28"/>
          <w:szCs w:val="28"/>
          <w:highlight w:val="none"/>
        </w:rPr>
        <w:suppressLineNumbers w:val="0"/>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_Toc10802 </w:instrText>
      </w:r>
      <w:r>
        <w:rPr>
          <w:rFonts w:hint="eastAsia" w:ascii="宋体" w:hAnsi="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第四章  招标书</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45</w:t>
      </w:r>
      <w:r>
        <w:rPr>
          <w:rFonts w:ascii="宋体" w:hAnsi="宋体" w:cs="宋体"/>
        </w:rPr>
      </w:r>
      <w:r/>
    </w:p>
    <w:p>
      <w:pPr>
        <w:pStyle w:val="1051"/>
        <w:contextualSpacing w:val="0"/>
        <w:jc w:val="left"/>
        <w:spacing w:after="0" w:line="360" w:lineRule="auto"/>
        <w:tabs>
          <w:tab w:val="right" w:pos="9902" w:leader="dot"/>
        </w:tabs>
        <w:rPr>
          <w:rFonts w:hint="eastAsia" w:ascii="宋体" w:hAnsi="宋体" w:cs="宋体"/>
          <w:color w:val="000000"/>
          <w:sz w:val="28"/>
          <w:szCs w:val="28"/>
          <w:highlight w:val="none"/>
        </w:rPr>
        <w:suppressLineNumbers w:val="0"/>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_Toc4087 </w:instrText>
      </w:r>
      <w:r>
        <w:rPr>
          <w:rFonts w:hint="eastAsia" w:ascii="宋体" w:hAnsi="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第五章  合同的主要条款</w:t>
      </w:r>
      <w:r>
        <w:rPr>
          <w:rFonts w:hint="eastAsia" w:ascii="宋体" w:hAnsi="宋体" w:cs="宋体"/>
          <w:color w:val="000000"/>
          <w:sz w:val="28"/>
          <w:szCs w:val="28"/>
          <w:highlight w:val="none"/>
        </w:rPr>
        <w:tab/>
      </w:r>
      <w:r>
        <w:rPr>
          <w:rFonts w:hint="eastAsia" w:ascii="宋体" w:hAnsi="宋体" w:cs="宋体"/>
          <w:color w:val="000000"/>
          <w:sz w:val="28"/>
          <w:szCs w:val="28"/>
          <w:highlight w:val="none"/>
          <w:lang w:val="en-US" w:eastAsia="zh-CN"/>
        </w:rPr>
        <w:t xml:space="preserve">284</w:t>
      </w:r>
      <w:r>
        <w:rPr>
          <w:rFonts w:hint="eastAsia" w:ascii="宋体" w:hAnsi="宋体" w:cs="宋体"/>
          <w:color w:val="000000"/>
          <w:sz w:val="28"/>
          <w:szCs w:val="28"/>
          <w:highlight w:val="none"/>
        </w:rPr>
        <w:fldChar w:fldCharType="end"/>
      </w:r>
      <w:r>
        <w:rPr>
          <w:rFonts w:ascii="宋体" w:hAnsi="宋体" w:cs="宋体"/>
        </w:rPr>
      </w:r>
      <w:r/>
    </w:p>
    <w:p>
      <w:pPr>
        <w:pStyle w:val="1051"/>
        <w:contextualSpacing w:val="0"/>
        <w:jc w:val="left"/>
        <w:spacing w:after="0" w:line="360" w:lineRule="auto"/>
        <w:tabs>
          <w:tab w:val="right" w:pos="9902" w:leader="dot"/>
        </w:tabs>
        <w:rPr>
          <w:rFonts w:hint="eastAsia" w:ascii="宋体" w:hAnsi="宋体" w:cs="宋体"/>
          <w:color w:val="000000"/>
          <w:sz w:val="28"/>
          <w:szCs w:val="28"/>
          <w:highlight w:val="none"/>
        </w:rPr>
        <w:suppressLineNumbers w:val="0"/>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_Toc4720 </w:instrText>
      </w:r>
      <w:r>
        <w:rPr>
          <w:rFonts w:hint="eastAsia" w:ascii="宋体" w:hAnsi="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第六章  评标方法及评分要点</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289</w:t>
      </w:r>
      <w:r>
        <w:rPr>
          <w:rFonts w:ascii="宋体" w:hAnsi="宋体" w:cs="宋体"/>
        </w:rPr>
      </w:r>
      <w:r/>
    </w:p>
    <w:p>
      <w:pPr>
        <w:pStyle w:val="88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8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8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8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8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8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8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8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8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8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8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8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8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8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8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rPr>
          <w:rFonts w:ascii="宋体" w:hAnsi="宋体" w:cs="宋体"/>
        </w:rPr>
      </w:r>
      <w:r/>
    </w:p>
    <w:p>
      <w:pPr>
        <w:pStyle w:val="885"/>
        <w:jc w:val="center"/>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rPr>
          <w:rFonts w:ascii="宋体" w:hAnsi="宋体" w:cs="宋体"/>
        </w:rPr>
      </w:r>
      <w:r/>
    </w:p>
    <w:p>
      <w:pPr>
        <w:pStyle w:val="897"/>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932"/>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932"/>
        <w:rPr>
          <w:rFonts w:ascii="宋体" w:hAnsi="宋体" w:cs="宋体"/>
          <w:color w:val="000000"/>
          <w:highlight w:val="none"/>
        </w:rPr>
      </w:pPr>
      <w:r>
        <w:rPr>
          <w:rFonts w:ascii="宋体" w:hAnsi="宋体" w:cs="宋体"/>
          <w:color w:val="000000"/>
          <w:highlight w:val="none"/>
        </w:rPr>
      </w:r>
      <w:r>
        <w:rPr>
          <w:rFonts w:ascii="宋体" w:hAnsi="宋体" w:cs="宋体"/>
        </w:rPr>
      </w:r>
      <w:r/>
    </w:p>
    <w:p>
      <w:pPr>
        <w:jc w:val="center"/>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rPr>
          <w:rFonts w:ascii="宋体" w:hAnsi="宋体" w:cs="宋体"/>
          <w:b/>
          <w:bCs/>
          <w:color w:val="000000"/>
          <w:spacing w:val="20"/>
          <w:sz w:val="30"/>
          <w:szCs w:val="30"/>
          <w:highlight w:val="none"/>
        </w:rPr>
      </w:r>
      <w:r/>
    </w:p>
    <w:p>
      <w:pPr>
        <w:jc w:val="center"/>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rPr>
          <w:rFonts w:ascii="宋体" w:hAnsi="宋体" w:cs="宋体"/>
          <w:b/>
          <w:bCs/>
          <w:color w:val="000000"/>
          <w:spacing w:val="20"/>
          <w:sz w:val="30"/>
          <w:szCs w:val="30"/>
          <w:highlight w:val="none"/>
        </w:rPr>
      </w:r>
      <w:r/>
    </w:p>
    <w:p>
      <w:pPr>
        <w:jc w:val="center"/>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rPr>
          <w:rFonts w:ascii="宋体" w:hAnsi="宋体" w:cs="宋体"/>
          <w:b/>
          <w:bCs/>
          <w:color w:val="000000"/>
          <w:spacing w:val="20"/>
          <w:sz w:val="30"/>
          <w:szCs w:val="30"/>
          <w:highlight w:val="none"/>
        </w:rPr>
      </w:r>
      <w:r/>
    </w:p>
    <w:p>
      <w:pPr>
        <w:jc w:val="center"/>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rPr>
          <w:rFonts w:ascii="宋体" w:hAnsi="宋体" w:cs="宋体"/>
          <w:b/>
          <w:bCs/>
          <w:color w:val="000000"/>
          <w:spacing w:val="20"/>
          <w:sz w:val="30"/>
          <w:szCs w:val="30"/>
          <w:highlight w:val="none"/>
        </w:rPr>
      </w:r>
      <w:r/>
    </w:p>
    <w:p>
      <w:pPr>
        <w:jc w:val="center"/>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rPr>
          <w:rFonts w:ascii="宋体" w:hAnsi="宋体" w:cs="宋体"/>
          <w:b/>
          <w:bCs/>
          <w:color w:val="000000"/>
          <w:spacing w:val="20"/>
          <w:sz w:val="30"/>
          <w:szCs w:val="30"/>
          <w:highlight w:val="none"/>
        </w:rPr>
      </w:r>
      <w:r/>
    </w:p>
    <w:p>
      <w:pPr>
        <w:pStyle w:val="885"/>
        <w:jc w:val="center"/>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rPr>
          <w:rFonts w:ascii="宋体" w:hAnsi="宋体" w:cs="宋体"/>
        </w:rPr>
      </w:r>
      <w:r/>
    </w:p>
    <w:p>
      <w:pPr>
        <w:pStyle w:val="885"/>
        <w:jc w:val="center"/>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rPr>
          <w:rFonts w:ascii="宋体" w:hAnsi="宋体" w:cs="宋体"/>
        </w:rPr>
      </w:r>
      <w:r/>
    </w:p>
    <w:p>
      <w:pPr>
        <w:pStyle w:val="104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8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97"/>
        <w:rPr>
          <w:rFonts w:ascii="宋体" w:hAnsi="宋体" w:cs="宋体"/>
          <w:color w:val="000000"/>
        </w:rPr>
      </w:pPr>
      <w:r>
        <w:rPr>
          <w:rFonts w:ascii="宋体" w:hAnsi="宋体" w:cs="宋体"/>
          <w:color w:val="000000"/>
        </w:rPr>
      </w:r>
      <w:r>
        <w:rPr>
          <w:rFonts w:ascii="宋体" w:hAnsi="宋体" w:cs="宋体"/>
        </w:rPr>
      </w:r>
      <w:r/>
    </w:p>
    <w:p>
      <w:pPr>
        <w:pStyle w:val="885"/>
        <w:jc w:val="center"/>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t xml:space="preserve"> </w:t>
      </w:r>
      <w:r>
        <w:rPr>
          <w:rFonts w:hint="eastAsia" w:ascii="宋体" w:hAnsi="宋体" w:eastAsia="宋体" w:cs="宋体"/>
          <w:b/>
          <w:bCs/>
          <w:color w:val="000000"/>
          <w:spacing w:val="20"/>
          <w:sz w:val="30"/>
          <w:szCs w:val="30"/>
          <w:highlight w:val="none"/>
        </w:rPr>
        <w:t xml:space="preserve">前</w:t>
      </w:r>
      <w:r>
        <w:rPr>
          <w:rFonts w:ascii="宋体" w:hAnsi="宋体" w:cs="宋体"/>
          <w:b/>
          <w:bCs/>
          <w:color w:val="000000"/>
          <w:spacing w:val="20"/>
          <w:sz w:val="30"/>
          <w:szCs w:val="30"/>
          <w:highlight w:val="none"/>
        </w:rPr>
        <w:t xml:space="preserve"> </w:t>
      </w:r>
      <w:r>
        <w:rPr>
          <w:rFonts w:hint="eastAsia" w:ascii="宋体" w:hAnsi="宋体" w:eastAsia="宋体" w:cs="宋体"/>
          <w:b/>
          <w:bCs/>
          <w:color w:val="000000"/>
          <w:spacing w:val="20"/>
          <w:sz w:val="30"/>
          <w:szCs w:val="30"/>
          <w:highlight w:val="none"/>
        </w:rPr>
        <w:t xml:space="preserve">附</w:t>
      </w:r>
      <w:r>
        <w:rPr>
          <w:rFonts w:ascii="宋体" w:hAnsi="宋体" w:cs="宋体"/>
          <w:b/>
          <w:bCs/>
          <w:color w:val="000000"/>
          <w:spacing w:val="20"/>
          <w:sz w:val="30"/>
          <w:szCs w:val="30"/>
          <w:highlight w:val="none"/>
        </w:rPr>
        <w:t xml:space="preserve"> </w:t>
      </w:r>
      <w:r>
        <w:rPr>
          <w:rFonts w:hint="eastAsia" w:ascii="宋体" w:hAnsi="宋体" w:eastAsia="宋体" w:cs="宋体"/>
          <w:b/>
          <w:bCs/>
          <w:color w:val="000000"/>
          <w:spacing w:val="20"/>
          <w:sz w:val="30"/>
          <w:szCs w:val="30"/>
          <w:highlight w:val="none"/>
        </w:rPr>
        <w:t xml:space="preserve">表</w:t>
      </w:r>
      <w:r>
        <w:rPr>
          <w:rFonts w:ascii="宋体" w:hAnsi="宋体" w:cs="宋体"/>
        </w:rPr>
      </w:r>
      <w:r/>
    </w:p>
    <w:p>
      <w:pPr>
        <w:pStyle w:val="885"/>
        <w:ind w:firstLine="420"/>
        <w:keepLines w:val="0"/>
        <w:keepNext w:val="0"/>
        <w:pageBreakBefore w:val="0"/>
        <w:spacing w:line="43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下述关于要采购的</w:t>
      </w:r>
      <w:r>
        <w:rPr>
          <w:rFonts w:hint="eastAsia" w:ascii="宋体" w:hAnsi="宋体" w:eastAsia="宋体" w:cs="宋体"/>
          <w:color w:val="000000"/>
          <w:sz w:val="21"/>
          <w:szCs w:val="21"/>
          <w:highlight w:val="none"/>
          <w:lang w:eastAsia="zh-CN"/>
        </w:rPr>
        <w:t xml:space="preserve">异地新建实训室设施设备采购项目</w:t>
      </w:r>
      <w:r>
        <w:rPr>
          <w:rFonts w:hint="eastAsia" w:ascii="宋体" w:hAnsi="宋体" w:eastAsia="宋体" w:cs="宋体"/>
          <w:color w:val="000000"/>
          <w:sz w:val="21"/>
          <w:szCs w:val="21"/>
          <w:highlight w:val="none"/>
        </w:rPr>
        <w:t xml:space="preserve">的具体资料是对招标文件第一部分投标邀请函的具体补充和修改，如果有矛盾的话，应以本附表为准。</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173"/>
        <w:gridCol w:w="7002"/>
      </w:tblGrid>
      <w:tr>
        <w:trPr>
          <w:trHeight w:val="454"/>
        </w:trPr>
        <w:tc>
          <w:tcPr>
            <w:tcW w:w="943" w:type="dxa"/>
            <w:vAlign w:val="center"/>
            <w:textDirection w:val="lrTb"/>
            <w:noWrap w:val="false"/>
          </w:tcPr>
          <w:p>
            <w:pPr>
              <w:pStyle w:val="941"/>
              <w:ind w:firstLine="0"/>
              <w:jc w:val="center"/>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序号</w:t>
            </w:r>
            <w:r>
              <w:rPr>
                <w:rFonts w:ascii="宋体" w:hAnsi="宋体" w:cs="宋体"/>
              </w:rPr>
            </w:r>
            <w:r/>
          </w:p>
        </w:tc>
        <w:tc>
          <w:tcPr>
            <w:tcW w:w="2173" w:type="dxa"/>
            <w:vAlign w:val="center"/>
            <w:textDirection w:val="lrTb"/>
            <w:noWrap w:val="false"/>
          </w:tcPr>
          <w:p>
            <w:pPr>
              <w:pStyle w:val="941"/>
              <w:ind w:firstLine="0"/>
              <w:jc w:val="center"/>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项目名称</w:t>
            </w:r>
            <w:r>
              <w:rPr>
                <w:rFonts w:ascii="宋体" w:hAnsi="宋体" w:cs="宋体"/>
              </w:rPr>
            </w:r>
            <w:r/>
          </w:p>
        </w:tc>
        <w:tc>
          <w:tcPr>
            <w:tcW w:w="7002" w:type="dxa"/>
            <w:vAlign w:val="center"/>
            <w:textDirection w:val="lrTb"/>
            <w:noWrap w:val="false"/>
          </w:tcPr>
          <w:p>
            <w:pPr>
              <w:pStyle w:val="941"/>
              <w:ind w:firstLine="0"/>
              <w:jc w:val="center"/>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内               容</w:t>
            </w:r>
            <w:r>
              <w:rPr>
                <w:rFonts w:ascii="宋体" w:hAnsi="宋体" w:cs="宋体"/>
              </w:rPr>
            </w:r>
            <w:r/>
          </w:p>
        </w:tc>
      </w:tr>
      <w:tr>
        <w:trPr>
          <w:cantSplit/>
          <w:trHeight w:val="454"/>
        </w:trPr>
        <w:tc>
          <w:tcPr>
            <w:tcW w:w="943" w:type="dxa"/>
            <w:vAlign w:val="center"/>
            <w:textDirection w:val="lrTb"/>
            <w:noWrap w:val="false"/>
          </w:tcPr>
          <w:p>
            <w:pPr>
              <w:pStyle w:val="941"/>
              <w:ind w:firstLine="0"/>
              <w:jc w:val="center"/>
              <w:keepLines w:val="0"/>
              <w:keepNext w:val="0"/>
              <w:pageBreakBefore w:val="0"/>
              <w:spacing w:line="430" w:lineRule="exact"/>
              <w:widowControl w:val="off"/>
              <w:tabs>
                <w:tab w:val="left" w:pos="252" w:leader="none"/>
              </w:tabs>
              <w:rPr>
                <w:rFonts w:ascii="宋体" w:hAnsi="宋体" w:cs="宋体"/>
                <w:color w:val="000000"/>
                <w:sz w:val="21"/>
                <w:szCs w:val="21"/>
                <w:highlight w:val="none"/>
              </w:rPr>
              <w:outlineLvl w:val="9"/>
            </w:pPr>
            <w:r>
              <w:rPr>
                <w:rFonts w:ascii="宋体" w:hAnsi="宋体" w:cs="宋体"/>
                <w:color w:val="000000"/>
                <w:sz w:val="21"/>
                <w:szCs w:val="21"/>
                <w:highlight w:val="none"/>
              </w:rPr>
              <w:t xml:space="preserve">1</w:t>
            </w:r>
            <w:r>
              <w:rPr>
                <w:rFonts w:ascii="宋体" w:hAnsi="宋体" w:cs="宋体"/>
              </w:rPr>
            </w:r>
            <w:r/>
          </w:p>
        </w:tc>
        <w:tc>
          <w:tcPr>
            <w:tcW w:w="2173" w:type="dxa"/>
            <w:vAlign w:val="center"/>
            <w:textDirection w:val="lrTb"/>
            <w:noWrap w:val="false"/>
          </w:tcPr>
          <w:p>
            <w:pPr>
              <w:pStyle w:val="941"/>
              <w:ind w:firstLine="0"/>
              <w:jc w:val="center"/>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项目编号</w:t>
            </w:r>
            <w:r>
              <w:rPr>
                <w:rFonts w:ascii="宋体" w:hAnsi="宋体" w:cs="宋体"/>
              </w:rPr>
            </w:r>
            <w:r/>
          </w:p>
        </w:tc>
        <w:tc>
          <w:tcPr>
            <w:tcW w:w="7002" w:type="dxa"/>
            <w:vAlign w:val="center"/>
            <w:textDirection w:val="lrTb"/>
            <w:noWrap w:val="false"/>
          </w:tcPr>
          <w:p>
            <w:pPr>
              <w:pStyle w:val="941"/>
              <w:ind w:firstLine="0"/>
              <w:keepLines w:val="0"/>
              <w:keepNext w:val="0"/>
              <w:pageBreakBefore w:val="0"/>
              <w:spacing w:line="43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eastAsia="zh-CN"/>
              </w:rPr>
              <w:t xml:space="preserve">JSZC-320509-SXHC-G2026-0010</w:t>
            </w:r>
            <w:r>
              <w:rPr>
                <w:rFonts w:ascii="宋体" w:hAnsi="宋体" w:cs="宋体"/>
              </w:rPr>
            </w:r>
            <w:r/>
          </w:p>
        </w:tc>
      </w:tr>
      <w:tr>
        <w:trPr>
          <w:cantSplit/>
          <w:trHeight w:val="454"/>
        </w:trPr>
        <w:tc>
          <w:tcPr>
            <w:tcW w:w="943" w:type="dxa"/>
            <w:vAlign w:val="center"/>
            <w:textDirection w:val="lrTb"/>
            <w:noWrap w:val="false"/>
          </w:tcPr>
          <w:p>
            <w:pPr>
              <w:pStyle w:val="941"/>
              <w:ind w:firstLine="0"/>
              <w:jc w:val="center"/>
              <w:keepLines w:val="0"/>
              <w:keepNext w:val="0"/>
              <w:pageBreakBefore w:val="0"/>
              <w:spacing w:line="430" w:lineRule="exact"/>
              <w:widowControl w:val="off"/>
              <w:tabs>
                <w:tab w:val="left" w:pos="252" w:leader="none"/>
              </w:tabs>
              <w:rPr>
                <w:rFonts w:ascii="宋体" w:hAnsi="宋体" w:cs="宋体"/>
                <w:color w:val="000000"/>
                <w:sz w:val="21"/>
                <w:szCs w:val="21"/>
                <w:highlight w:val="none"/>
              </w:rPr>
              <w:outlineLvl w:val="9"/>
            </w:pPr>
            <w:r>
              <w:rPr>
                <w:rFonts w:ascii="宋体" w:hAnsi="宋体" w:cs="宋体"/>
                <w:color w:val="000000"/>
                <w:sz w:val="21"/>
                <w:szCs w:val="21"/>
                <w:highlight w:val="none"/>
              </w:rPr>
              <w:t xml:space="preserve">2</w:t>
            </w:r>
            <w:r>
              <w:rPr>
                <w:rFonts w:ascii="宋体" w:hAnsi="宋体" w:cs="宋体"/>
              </w:rPr>
            </w:r>
            <w:r/>
          </w:p>
        </w:tc>
        <w:tc>
          <w:tcPr>
            <w:tcW w:w="2173" w:type="dxa"/>
            <w:vAlign w:val="center"/>
            <w:textDirection w:val="lrTb"/>
            <w:noWrap w:val="false"/>
          </w:tcPr>
          <w:p>
            <w:pPr>
              <w:pStyle w:val="941"/>
              <w:ind w:firstLine="0"/>
              <w:jc w:val="center"/>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项目名称</w:t>
            </w:r>
            <w:r>
              <w:rPr>
                <w:rFonts w:ascii="宋体" w:hAnsi="宋体" w:cs="宋体"/>
              </w:rPr>
            </w:r>
            <w:r/>
          </w:p>
        </w:tc>
        <w:tc>
          <w:tcPr>
            <w:tcW w:w="7002" w:type="dxa"/>
            <w:vAlign w:val="center"/>
            <w:textDirection w:val="lrTb"/>
            <w:noWrap w:val="false"/>
          </w:tcPr>
          <w:p>
            <w:pPr>
              <w:pStyle w:val="941"/>
              <w:ind w:firstLine="0"/>
              <w:keepLines w:val="0"/>
              <w:keepNext w:val="0"/>
              <w:pageBreakBefore w:val="0"/>
              <w:spacing w:line="43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异地新建实训室设施设备采购项目</w:t>
            </w:r>
            <w:r>
              <w:rPr>
                <w:rFonts w:ascii="宋体" w:hAnsi="宋体" w:cs="宋体"/>
              </w:rPr>
            </w:r>
            <w:r/>
          </w:p>
        </w:tc>
      </w:tr>
      <w:tr>
        <w:trPr>
          <w:cantSplit/>
          <w:trHeight w:val="454"/>
        </w:trPr>
        <w:tc>
          <w:tcPr>
            <w:tcW w:w="943" w:type="dxa"/>
            <w:vAlign w:val="center"/>
            <w:textDirection w:val="lrTb"/>
            <w:noWrap w:val="false"/>
          </w:tcPr>
          <w:p>
            <w:pPr>
              <w:pStyle w:val="941"/>
              <w:ind w:firstLine="0"/>
              <w:jc w:val="center"/>
              <w:keepLines w:val="0"/>
              <w:keepNext w:val="0"/>
              <w:pageBreakBefore w:val="0"/>
              <w:spacing w:line="430" w:lineRule="exact"/>
              <w:widowControl w:val="off"/>
              <w:tabs>
                <w:tab w:val="left" w:pos="252" w:leader="none"/>
              </w:tabs>
              <w:rPr>
                <w:rFonts w:ascii="宋体" w:hAnsi="宋体" w:cs="宋体"/>
                <w:color w:val="000000"/>
                <w:sz w:val="21"/>
                <w:szCs w:val="21"/>
                <w:highlight w:val="none"/>
              </w:rPr>
              <w:outlineLvl w:val="9"/>
            </w:pPr>
            <w:r>
              <w:rPr>
                <w:rFonts w:ascii="宋体" w:hAnsi="宋体" w:cs="宋体"/>
                <w:color w:val="000000"/>
                <w:sz w:val="21"/>
                <w:szCs w:val="21"/>
                <w:highlight w:val="none"/>
              </w:rPr>
              <w:t xml:space="preserve">3</w:t>
            </w:r>
            <w:r>
              <w:rPr>
                <w:rFonts w:ascii="宋体" w:hAnsi="宋体" w:cs="宋体"/>
              </w:rPr>
            </w:r>
            <w:r/>
          </w:p>
        </w:tc>
        <w:tc>
          <w:tcPr>
            <w:tcW w:w="2173" w:type="dxa"/>
            <w:vAlign w:val="center"/>
            <w:textDirection w:val="lrTb"/>
            <w:noWrap w:val="false"/>
          </w:tcPr>
          <w:p>
            <w:pPr>
              <w:pStyle w:val="941"/>
              <w:ind w:firstLine="0"/>
              <w:jc w:val="center"/>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招标代理机构</w:t>
            </w:r>
            <w:r>
              <w:rPr>
                <w:rFonts w:ascii="宋体" w:hAnsi="宋体" w:cs="宋体"/>
              </w:rPr>
            </w:r>
            <w:r/>
          </w:p>
          <w:p>
            <w:pPr>
              <w:pStyle w:val="941"/>
              <w:ind w:firstLine="0"/>
              <w:jc w:val="center"/>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名称及地址</w:t>
            </w:r>
            <w:r>
              <w:rPr>
                <w:rFonts w:ascii="宋体" w:hAnsi="宋体" w:cs="宋体"/>
              </w:rPr>
            </w:r>
            <w:r/>
          </w:p>
        </w:tc>
        <w:tc>
          <w:tcPr>
            <w:tcW w:w="7002" w:type="dxa"/>
            <w:vAlign w:val="center"/>
            <w:textDirection w:val="lrTb"/>
            <w:noWrap w:val="false"/>
          </w:tcPr>
          <w:p>
            <w:pPr>
              <w:pStyle w:val="941"/>
              <w:ind w:firstLine="0"/>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名称：苏州欣禾诚工程咨询服务有限公司</w:t>
            </w:r>
            <w:r>
              <w:rPr>
                <w:rFonts w:ascii="宋体" w:hAnsi="宋体" w:cs="宋体"/>
              </w:rPr>
            </w:r>
            <w:r/>
          </w:p>
          <w:p>
            <w:pPr>
              <w:pStyle w:val="941"/>
              <w:ind w:firstLine="0"/>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地址：苏州市吴江区鲈乡南路2485号明珠大厦北楼1702A</w:t>
            </w:r>
            <w:r>
              <w:rPr>
                <w:rFonts w:ascii="宋体" w:hAnsi="宋体" w:cs="宋体"/>
              </w:rPr>
            </w:r>
            <w:r/>
          </w:p>
          <w:p>
            <w:pPr>
              <w:pStyle w:val="941"/>
              <w:ind w:firstLine="0"/>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邮编：215200</w:t>
            </w:r>
            <w:r>
              <w:rPr>
                <w:rFonts w:ascii="宋体" w:hAnsi="宋体" w:cs="宋体"/>
              </w:rPr>
            </w:r>
            <w:r/>
          </w:p>
          <w:p>
            <w:pPr>
              <w:pStyle w:val="941"/>
              <w:ind w:firstLine="0"/>
              <w:keepLines w:val="0"/>
              <w:keepNext w:val="0"/>
              <w:pageBreakBefore w:val="0"/>
              <w:spacing w:line="430" w:lineRule="exact"/>
              <w:widowControl w:val="off"/>
              <w:tabs>
                <w:tab w:val="center" w:pos="3393" w:leader="none"/>
              </w:tabs>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电话：0512-63659266</w:t>
            </w:r>
            <w:r>
              <w:rPr>
                <w:rFonts w:ascii="宋体" w:hAnsi="宋体" w:cs="宋体"/>
                <w:color w:val="000000"/>
                <w:sz w:val="21"/>
                <w:szCs w:val="21"/>
                <w:highlight w:val="none"/>
              </w:rPr>
              <w:tab/>
            </w:r>
            <w:r>
              <w:rPr>
                <w:rFonts w:ascii="宋体" w:hAnsi="宋体" w:cs="宋体"/>
              </w:rPr>
            </w:r>
            <w:r/>
          </w:p>
          <w:p>
            <w:pPr>
              <w:pStyle w:val="941"/>
              <w:ind w:firstLine="0"/>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联系人：沈雪娟、吴清芬</w:t>
            </w:r>
            <w:r>
              <w:rPr>
                <w:rFonts w:ascii="宋体" w:hAnsi="宋体" w:cs="宋体"/>
              </w:rPr>
            </w:r>
            <w:r/>
          </w:p>
        </w:tc>
      </w:tr>
      <w:tr>
        <w:trPr>
          <w:cantSplit/>
          <w:trHeight w:val="454"/>
        </w:trPr>
        <w:tc>
          <w:tcPr>
            <w:tcW w:w="943" w:type="dxa"/>
            <w:vAlign w:val="center"/>
            <w:textDirection w:val="lrTb"/>
            <w:noWrap w:val="false"/>
          </w:tcPr>
          <w:p>
            <w:pPr>
              <w:pStyle w:val="941"/>
              <w:ind w:firstLine="0"/>
              <w:jc w:val="center"/>
              <w:keepLines w:val="0"/>
              <w:keepNext w:val="0"/>
              <w:pageBreakBefore w:val="0"/>
              <w:spacing w:line="430" w:lineRule="exact"/>
              <w:widowControl w:val="off"/>
              <w:tabs>
                <w:tab w:val="left" w:pos="252" w:leader="none"/>
              </w:tabs>
              <w:rPr>
                <w:rFonts w:ascii="宋体" w:hAnsi="宋体" w:cs="宋体"/>
                <w:color w:val="000000"/>
                <w:sz w:val="21"/>
                <w:szCs w:val="21"/>
                <w:highlight w:val="none"/>
              </w:rPr>
              <w:outlineLvl w:val="9"/>
            </w:pPr>
            <w:r>
              <w:rPr>
                <w:rFonts w:ascii="宋体" w:hAnsi="宋体" w:cs="宋体"/>
                <w:color w:val="000000"/>
                <w:sz w:val="21"/>
                <w:szCs w:val="21"/>
                <w:highlight w:val="none"/>
              </w:rPr>
              <w:t xml:space="preserve">4</w:t>
            </w:r>
            <w:r>
              <w:rPr>
                <w:rFonts w:ascii="宋体" w:hAnsi="宋体" w:cs="宋体"/>
              </w:rPr>
            </w:r>
            <w:r/>
          </w:p>
        </w:tc>
        <w:tc>
          <w:tcPr>
            <w:tcW w:w="2173" w:type="dxa"/>
            <w:vAlign w:val="center"/>
            <w:textDirection w:val="lrTb"/>
            <w:noWrap w:val="false"/>
          </w:tcPr>
          <w:p>
            <w:pPr>
              <w:pStyle w:val="941"/>
              <w:ind w:firstLine="0"/>
              <w:jc w:val="center"/>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采购单位</w:t>
            </w:r>
            <w:r>
              <w:rPr>
                <w:rFonts w:ascii="宋体" w:hAnsi="宋体" w:cs="宋体"/>
              </w:rPr>
            </w:r>
            <w:r/>
          </w:p>
        </w:tc>
        <w:tc>
          <w:tcPr>
            <w:tcW w:w="7002" w:type="dxa"/>
            <w:vAlign w:val="center"/>
            <w:textDirection w:val="lrTb"/>
            <w:noWrap w:val="false"/>
          </w:tcPr>
          <w:p>
            <w:pPr>
              <w:pStyle w:val="941"/>
              <w:ind w:firstLine="0"/>
              <w:keepLines w:val="0"/>
              <w:keepNext w:val="0"/>
              <w:pageBreakBefore w:val="0"/>
              <w:spacing w:line="430" w:lineRule="exact"/>
              <w:widowControl w:val="off"/>
              <w:rPr>
                <w:rFonts w:hint="eastAsia"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lang w:eastAsia="zh-CN"/>
              </w:rPr>
              <w:t xml:space="preserve">江苏省苏州丝绸中等专业学校</w:t>
            </w:r>
            <w:r>
              <w:rPr>
                <w:rFonts w:ascii="宋体" w:hAnsi="宋体" w:cs="宋体"/>
              </w:rPr>
            </w:r>
            <w:r/>
          </w:p>
          <w:p>
            <w:pPr>
              <w:pStyle w:val="941"/>
              <w:ind w:firstLine="0"/>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t xml:space="preserve">周老师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王老师 </w:t>
            </w:r>
            <w:r>
              <w:rPr>
                <w:rFonts w:ascii="宋体" w:hAnsi="宋体" w:eastAsia="宋体" w:cs="宋体"/>
                <w:color w:val="000000"/>
                <w:sz w:val="21"/>
                <w:szCs w:val="21"/>
                <w:highlight w:val="none"/>
              </w:rPr>
              <w:t xml:space="preserve">         联系电话：0512-</w:t>
            </w:r>
            <w:r>
              <w:rPr>
                <w:rFonts w:hint="eastAsia" w:ascii="宋体" w:hAnsi="宋体" w:cs="宋体"/>
                <w:color w:val="000000"/>
                <w:sz w:val="21"/>
                <w:szCs w:val="21"/>
                <w:highlight w:val="none"/>
              </w:rPr>
              <w:t xml:space="preserve">63552945</w:t>
            </w:r>
            <w:r>
              <w:rPr>
                <w:rFonts w:ascii="宋体" w:hAnsi="宋体" w:cs="宋体"/>
                <w:color w:val="000000"/>
                <w:sz w:val="21"/>
                <w:szCs w:val="21"/>
                <w:highlight w:val="none"/>
              </w:rPr>
              <w:t xml:space="preserve"> </w:t>
            </w:r>
            <w:r>
              <w:rPr>
                <w:rFonts w:ascii="宋体" w:hAnsi="宋体" w:cs="宋体"/>
              </w:rPr>
            </w:r>
            <w:r/>
          </w:p>
          <w:p>
            <w:pPr>
              <w:pStyle w:val="941"/>
              <w:ind w:firstLine="0"/>
              <w:keepLines w:val="0"/>
              <w:keepNext w:val="0"/>
              <w:pageBreakBefore w:val="0"/>
              <w:spacing w:line="430" w:lineRule="exact"/>
              <w:widowControl w:val="off"/>
              <w:rPr>
                <w:rFonts w:hint="eastAsia"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lang w:eastAsia="zh-CN"/>
              </w:rPr>
              <w:t xml:space="preserve">苏州市吴江区盛泽镇市场中路588号</w:t>
            </w:r>
            <w:r>
              <w:rPr>
                <w:rFonts w:ascii="宋体" w:hAnsi="宋体" w:cs="宋体"/>
              </w:rPr>
            </w:r>
            <w:r/>
          </w:p>
        </w:tc>
      </w:tr>
      <w:tr>
        <w:trPr>
          <w:cantSplit/>
          <w:trHeight w:val="454"/>
        </w:trPr>
        <w:tc>
          <w:tcPr>
            <w:tcW w:w="943" w:type="dxa"/>
            <w:vAlign w:val="center"/>
            <w:textDirection w:val="lrTb"/>
            <w:noWrap w:val="false"/>
          </w:tcPr>
          <w:p>
            <w:pPr>
              <w:pStyle w:val="941"/>
              <w:ind w:firstLine="0"/>
              <w:jc w:val="center"/>
              <w:keepLines w:val="0"/>
              <w:keepNext w:val="0"/>
              <w:pageBreakBefore w:val="0"/>
              <w:spacing w:line="430" w:lineRule="exact"/>
              <w:widowControl w:val="off"/>
              <w:tabs>
                <w:tab w:val="left" w:pos="252" w:leader="none"/>
              </w:tabs>
              <w:rPr>
                <w:rFonts w:ascii="宋体" w:hAnsi="宋体" w:cs="宋体"/>
                <w:color w:val="000000"/>
                <w:sz w:val="21"/>
                <w:szCs w:val="21"/>
                <w:highlight w:val="none"/>
              </w:rPr>
              <w:outlineLvl w:val="9"/>
            </w:pPr>
            <w:r>
              <w:rPr>
                <w:rFonts w:ascii="宋体" w:hAnsi="宋体" w:cs="宋体"/>
                <w:color w:val="000000"/>
                <w:sz w:val="21"/>
                <w:szCs w:val="21"/>
                <w:highlight w:val="none"/>
              </w:rPr>
              <w:t xml:space="preserve">5</w:t>
            </w:r>
            <w:r>
              <w:rPr>
                <w:rFonts w:ascii="宋体" w:hAnsi="宋体" w:cs="宋体"/>
              </w:rPr>
            </w:r>
            <w:r/>
          </w:p>
        </w:tc>
        <w:tc>
          <w:tcPr>
            <w:tcW w:w="2173" w:type="dxa"/>
            <w:vAlign w:val="center"/>
            <w:textDirection w:val="lrTb"/>
            <w:noWrap w:val="false"/>
          </w:tcPr>
          <w:p>
            <w:pPr>
              <w:pStyle w:val="941"/>
              <w:ind w:firstLine="0"/>
              <w:jc w:val="center"/>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标书组成</w:t>
            </w:r>
            <w:r>
              <w:rPr>
                <w:rFonts w:ascii="宋体" w:hAnsi="宋体" w:cs="宋体"/>
              </w:rPr>
            </w:r>
            <w:r/>
          </w:p>
        </w:tc>
        <w:tc>
          <w:tcPr>
            <w:tcW w:w="7002" w:type="dxa"/>
            <w:vAlign w:val="center"/>
            <w:textDirection w:val="lrTb"/>
            <w:noWrap w:val="false"/>
          </w:tcPr>
          <w:p>
            <w:pPr>
              <w:pStyle w:val="885"/>
              <w:jc w:val="left"/>
              <w:keepLines w:val="0"/>
              <w:keepNext w:val="0"/>
              <w:pageBreakBefore w:val="0"/>
              <w:spacing w:line="43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详见招标文件第二章</w:t>
            </w:r>
            <w:r>
              <w:rPr>
                <w:rFonts w:ascii="宋体" w:hAnsi="宋体" w:cs="宋体"/>
              </w:rPr>
            </w:r>
            <w:r/>
          </w:p>
        </w:tc>
      </w:tr>
      <w:tr>
        <w:trPr>
          <w:cantSplit/>
          <w:trHeight w:val="454"/>
        </w:trPr>
        <w:tc>
          <w:tcPr>
            <w:tcW w:w="943" w:type="dxa"/>
            <w:vAlign w:val="center"/>
            <w:textDirection w:val="lrTb"/>
            <w:noWrap w:val="false"/>
          </w:tcPr>
          <w:p>
            <w:pPr>
              <w:pStyle w:val="941"/>
              <w:ind w:firstLine="0"/>
              <w:jc w:val="center"/>
              <w:keepLines w:val="0"/>
              <w:keepNext w:val="0"/>
              <w:pageBreakBefore w:val="0"/>
              <w:spacing w:line="430" w:lineRule="exact"/>
              <w:widowControl w:val="off"/>
              <w:tabs>
                <w:tab w:val="left" w:pos="252" w:leader="none"/>
              </w:tabs>
              <w:rPr>
                <w:rFonts w:ascii="宋体" w:hAnsi="宋体" w:cs="宋体"/>
                <w:color w:val="000000"/>
                <w:sz w:val="21"/>
                <w:szCs w:val="21"/>
                <w:highlight w:val="none"/>
              </w:rPr>
              <w:outlineLvl w:val="9"/>
            </w:pPr>
            <w:r>
              <w:rPr>
                <w:rFonts w:ascii="宋体" w:hAnsi="宋体" w:cs="宋体"/>
                <w:color w:val="000000"/>
                <w:sz w:val="21"/>
                <w:szCs w:val="21"/>
                <w:highlight w:val="none"/>
              </w:rPr>
              <w:t xml:space="preserve">6</w:t>
            </w:r>
            <w:r>
              <w:rPr>
                <w:rFonts w:ascii="宋体" w:hAnsi="宋体" w:cs="宋体"/>
              </w:rPr>
            </w:r>
            <w:r/>
          </w:p>
        </w:tc>
        <w:tc>
          <w:tcPr>
            <w:tcW w:w="2173" w:type="dxa"/>
            <w:vAlign w:val="center"/>
            <w:textDirection w:val="lrTb"/>
            <w:noWrap w:val="false"/>
          </w:tcPr>
          <w:p>
            <w:pPr>
              <w:pStyle w:val="941"/>
              <w:ind w:firstLine="420"/>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投标保证金</w:t>
            </w:r>
            <w:r>
              <w:rPr>
                <w:rFonts w:ascii="宋体" w:hAnsi="宋体" w:cs="宋体"/>
              </w:rPr>
            </w:r>
            <w:r/>
          </w:p>
        </w:tc>
        <w:tc>
          <w:tcPr>
            <w:tcW w:w="7002" w:type="dxa"/>
            <w:vAlign w:val="center"/>
            <w:textDirection w:val="lrTb"/>
            <w:noWrap w:val="false"/>
          </w:tcPr>
          <w:p>
            <w:pPr>
              <w:pStyle w:val="885"/>
              <w:jc w:val="left"/>
              <w:keepLines w:val="0"/>
              <w:keepNext w:val="0"/>
              <w:pageBreakBefore w:val="0"/>
              <w:spacing w:line="43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本项目无须缴纳投标保证金，须提供《投标（响应）保证承诺书》（格式见第三章投标文件格式）。</w:t>
            </w:r>
            <w:r>
              <w:rPr>
                <w:rFonts w:ascii="宋体" w:hAnsi="宋体" w:cs="宋体"/>
              </w:rPr>
            </w:r>
            <w:r/>
          </w:p>
        </w:tc>
      </w:tr>
      <w:tr>
        <w:trPr>
          <w:cantSplit/>
          <w:trHeight w:val="454"/>
        </w:trPr>
        <w:tc>
          <w:tcPr>
            <w:tcW w:w="943" w:type="dxa"/>
            <w:vAlign w:val="center"/>
            <w:textDirection w:val="lrTb"/>
            <w:noWrap w:val="false"/>
          </w:tcPr>
          <w:p>
            <w:pPr>
              <w:pStyle w:val="941"/>
              <w:ind w:firstLine="0"/>
              <w:jc w:val="center"/>
              <w:keepLines w:val="0"/>
              <w:keepNext w:val="0"/>
              <w:pageBreakBefore w:val="0"/>
              <w:spacing w:line="430" w:lineRule="exact"/>
              <w:widowControl w:val="off"/>
              <w:tabs>
                <w:tab w:val="left" w:pos="252" w:leader="none"/>
              </w:tabs>
              <w:rPr>
                <w:rFonts w:ascii="宋体" w:hAnsi="宋体" w:cs="宋体"/>
                <w:color w:val="000000"/>
                <w:sz w:val="21"/>
                <w:szCs w:val="21"/>
                <w:highlight w:val="none"/>
              </w:rPr>
              <w:outlineLvl w:val="9"/>
            </w:pPr>
            <w:r>
              <w:rPr>
                <w:rFonts w:ascii="宋体" w:hAnsi="宋体" w:cs="宋体"/>
                <w:color w:val="000000"/>
                <w:sz w:val="21"/>
                <w:szCs w:val="21"/>
                <w:highlight w:val="none"/>
              </w:rPr>
              <w:t xml:space="preserve">7</w:t>
            </w:r>
            <w:r>
              <w:rPr>
                <w:rFonts w:ascii="宋体" w:hAnsi="宋体" w:cs="宋体"/>
              </w:rPr>
            </w:r>
            <w:r/>
          </w:p>
        </w:tc>
        <w:tc>
          <w:tcPr>
            <w:tcW w:w="2173" w:type="dxa"/>
            <w:vAlign w:val="center"/>
            <w:textDirection w:val="lrTb"/>
            <w:noWrap w:val="false"/>
          </w:tcPr>
          <w:p>
            <w:pPr>
              <w:pStyle w:val="941"/>
              <w:ind w:firstLine="0"/>
              <w:jc w:val="center"/>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投标有效期</w:t>
            </w:r>
            <w:r>
              <w:rPr>
                <w:rFonts w:ascii="宋体" w:hAnsi="宋体" w:cs="宋体"/>
              </w:rPr>
            </w:r>
            <w:r/>
          </w:p>
        </w:tc>
        <w:tc>
          <w:tcPr>
            <w:tcW w:w="7002" w:type="dxa"/>
            <w:vAlign w:val="center"/>
            <w:textDirection w:val="lrTb"/>
            <w:noWrap w:val="false"/>
          </w:tcPr>
          <w:p>
            <w:pPr>
              <w:pStyle w:val="941"/>
              <w:ind w:firstLine="0"/>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提交投标文件的截止之日起九十日内。</w:t>
            </w:r>
            <w:r>
              <w:rPr>
                <w:rFonts w:ascii="宋体" w:hAnsi="宋体" w:cs="宋体"/>
              </w:rPr>
            </w:r>
            <w:r/>
          </w:p>
        </w:tc>
      </w:tr>
      <w:tr>
        <w:trPr>
          <w:cantSplit/>
          <w:trHeight w:val="454"/>
        </w:trPr>
        <w:tc>
          <w:tcPr>
            <w:tcW w:w="943" w:type="dxa"/>
            <w:vAlign w:val="center"/>
            <w:textDirection w:val="lrTb"/>
            <w:noWrap w:val="false"/>
          </w:tcPr>
          <w:p>
            <w:pPr>
              <w:pStyle w:val="941"/>
              <w:ind w:firstLine="0"/>
              <w:jc w:val="center"/>
              <w:keepLines w:val="0"/>
              <w:keepNext w:val="0"/>
              <w:pageBreakBefore w:val="0"/>
              <w:spacing w:line="430" w:lineRule="exact"/>
              <w:widowControl w:val="off"/>
              <w:tabs>
                <w:tab w:val="left" w:pos="252" w:leader="none"/>
              </w:tabs>
              <w:rPr>
                <w:rFonts w:ascii="宋体" w:hAnsi="宋体" w:cs="宋体"/>
                <w:color w:val="000000"/>
                <w:sz w:val="21"/>
                <w:szCs w:val="21"/>
                <w:highlight w:val="none"/>
              </w:rPr>
              <w:outlineLvl w:val="9"/>
            </w:pPr>
            <w:r>
              <w:rPr>
                <w:rFonts w:ascii="宋体" w:hAnsi="宋体" w:cs="宋体"/>
                <w:color w:val="000000"/>
                <w:sz w:val="21"/>
                <w:szCs w:val="21"/>
                <w:highlight w:val="none"/>
              </w:rPr>
              <w:t xml:space="preserve">8</w:t>
            </w:r>
            <w:r>
              <w:rPr>
                <w:rFonts w:ascii="宋体" w:hAnsi="宋体" w:cs="宋体"/>
              </w:rPr>
            </w:r>
            <w:r/>
          </w:p>
        </w:tc>
        <w:tc>
          <w:tcPr>
            <w:tcW w:w="2173" w:type="dxa"/>
            <w:vAlign w:val="center"/>
            <w:textDirection w:val="lrTb"/>
            <w:noWrap w:val="false"/>
          </w:tcPr>
          <w:p>
            <w:pPr>
              <w:pStyle w:val="885"/>
              <w:jc w:val="center"/>
              <w:keepLines w:val="0"/>
              <w:keepNext w:val="0"/>
              <w:pageBreakBefore w:val="0"/>
              <w:spacing w:line="43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获取招标文件时间</w:t>
            </w:r>
            <w:r>
              <w:rPr>
                <w:rFonts w:ascii="宋体" w:hAnsi="宋体" w:cs="宋体"/>
              </w:rPr>
            </w:r>
            <w:r/>
          </w:p>
        </w:tc>
        <w:tc>
          <w:tcPr>
            <w:tcW w:w="7002" w:type="dxa"/>
            <w:vAlign w:val="center"/>
            <w:textDirection w:val="lrTb"/>
            <w:noWrap w:val="false"/>
          </w:tcPr>
          <w:p>
            <w:pPr>
              <w:pStyle w:val="941"/>
              <w:ind w:firstLine="0"/>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自招标公告发布之日起5个工作日。</w:t>
            </w:r>
            <w:r>
              <w:rPr>
                <w:rFonts w:ascii="宋体" w:hAnsi="宋体" w:cs="宋体"/>
              </w:rPr>
            </w:r>
            <w:r/>
          </w:p>
        </w:tc>
      </w:tr>
      <w:tr>
        <w:trPr>
          <w:cantSplit/>
          <w:trHeight w:val="454"/>
        </w:trPr>
        <w:tc>
          <w:tcPr>
            <w:tcW w:w="943" w:type="dxa"/>
            <w:vAlign w:val="center"/>
            <w:textDirection w:val="lrTb"/>
            <w:noWrap w:val="false"/>
          </w:tcPr>
          <w:p>
            <w:pPr>
              <w:pStyle w:val="941"/>
              <w:ind w:firstLine="0"/>
              <w:jc w:val="center"/>
              <w:keepLines w:val="0"/>
              <w:keepNext w:val="0"/>
              <w:pageBreakBefore w:val="0"/>
              <w:spacing w:line="430" w:lineRule="exact"/>
              <w:widowControl w:val="off"/>
              <w:tabs>
                <w:tab w:val="left" w:pos="252" w:leader="none"/>
              </w:tabs>
              <w:rPr>
                <w:rFonts w:ascii="宋体" w:hAnsi="宋体" w:cs="宋体"/>
                <w:color w:val="000000"/>
                <w:sz w:val="21"/>
                <w:szCs w:val="21"/>
                <w:highlight w:val="none"/>
              </w:rPr>
              <w:outlineLvl w:val="9"/>
            </w:pPr>
            <w:r>
              <w:rPr>
                <w:rFonts w:ascii="宋体" w:hAnsi="宋体" w:cs="宋体"/>
                <w:color w:val="000000"/>
                <w:sz w:val="21"/>
                <w:szCs w:val="21"/>
                <w:highlight w:val="none"/>
              </w:rPr>
              <w:t xml:space="preserve">9</w:t>
            </w:r>
            <w:r>
              <w:rPr>
                <w:rFonts w:ascii="宋体" w:hAnsi="宋体" w:cs="宋体"/>
              </w:rPr>
            </w:r>
            <w:r/>
          </w:p>
        </w:tc>
        <w:tc>
          <w:tcPr>
            <w:tcW w:w="2173" w:type="dxa"/>
            <w:vAlign w:val="center"/>
            <w:textDirection w:val="lrTb"/>
            <w:noWrap w:val="false"/>
          </w:tcPr>
          <w:p>
            <w:pPr>
              <w:pStyle w:val="885"/>
              <w:jc w:val="center"/>
              <w:keepLines w:val="0"/>
              <w:keepNext w:val="0"/>
              <w:pageBreakBefore w:val="0"/>
              <w:spacing w:line="43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投标文件网上</w:t>
            </w:r>
            <w:r>
              <w:rPr>
                <w:rFonts w:ascii="宋体" w:hAnsi="宋体" w:cs="宋体"/>
              </w:rPr>
            </w:r>
            <w:r/>
          </w:p>
          <w:p>
            <w:pPr>
              <w:pStyle w:val="941"/>
              <w:ind w:firstLine="0"/>
              <w:jc w:val="center"/>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提交截止时间</w:t>
            </w:r>
            <w:r>
              <w:rPr>
                <w:rFonts w:ascii="宋体" w:hAnsi="宋体" w:cs="宋体"/>
              </w:rPr>
            </w:r>
            <w:r/>
          </w:p>
        </w:tc>
        <w:tc>
          <w:tcPr>
            <w:tcW w:w="7002" w:type="dxa"/>
            <w:vAlign w:val="center"/>
            <w:textDirection w:val="lrTb"/>
            <w:noWrap w:val="false"/>
          </w:tcPr>
          <w:p>
            <w:pPr>
              <w:pStyle w:val="941"/>
              <w:ind w:firstLine="0"/>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6</w:t>
            </w:r>
            <w:r>
              <w:rPr>
                <w:rFonts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6</w:t>
            </w:r>
            <w:r>
              <w:rPr>
                <w:rFonts w:ascii="宋体" w:hAnsi="宋体" w:eastAsia="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15</w:t>
            </w:r>
            <w:r>
              <w:rPr>
                <w:rFonts w:ascii="宋体" w:hAnsi="宋体" w:eastAsia="宋体" w:cs="宋体"/>
                <w:color w:val="000000"/>
                <w:sz w:val="21"/>
                <w:szCs w:val="21"/>
                <w:highlight w:val="none"/>
              </w:rPr>
              <w:t xml:space="preserve">日9：30</w:t>
            </w:r>
            <w:r>
              <w:rPr>
                <w:rFonts w:ascii="宋体" w:hAnsi="宋体" w:cs="宋体"/>
              </w:rPr>
            </w:r>
            <w:r/>
          </w:p>
          <w:p>
            <w:pPr>
              <w:pStyle w:val="941"/>
              <w:ind w:firstLine="0"/>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投标文件必须在截止时间前完成提交（上传），逾期提交（上传）的投标文件恕不接受。</w:t>
            </w:r>
            <w:r>
              <w:rPr>
                <w:rFonts w:ascii="宋体" w:hAnsi="宋体" w:cs="宋体"/>
              </w:rPr>
            </w:r>
            <w:r/>
          </w:p>
        </w:tc>
      </w:tr>
      <w:tr>
        <w:trPr>
          <w:cantSplit/>
          <w:trHeight w:val="454"/>
        </w:trPr>
        <w:tc>
          <w:tcPr>
            <w:tcW w:w="943" w:type="dxa"/>
            <w:vAlign w:val="center"/>
            <w:textDirection w:val="lrTb"/>
            <w:noWrap w:val="false"/>
          </w:tcPr>
          <w:p>
            <w:pPr>
              <w:pStyle w:val="941"/>
              <w:ind w:firstLine="0"/>
              <w:jc w:val="center"/>
              <w:keepLines w:val="0"/>
              <w:keepNext w:val="0"/>
              <w:pageBreakBefore w:val="0"/>
              <w:spacing w:line="430" w:lineRule="exact"/>
              <w:widowControl w:val="off"/>
              <w:tabs>
                <w:tab w:val="left" w:pos="252" w:leader="none"/>
              </w:tabs>
              <w:rPr>
                <w:rFonts w:ascii="宋体" w:hAnsi="宋体" w:cs="宋体"/>
                <w:color w:val="000000"/>
                <w:sz w:val="21"/>
                <w:szCs w:val="21"/>
                <w:highlight w:val="none"/>
              </w:rPr>
              <w:outlineLvl w:val="9"/>
            </w:pPr>
            <w:r>
              <w:rPr>
                <w:rFonts w:ascii="宋体" w:hAnsi="宋体" w:cs="宋体"/>
                <w:color w:val="000000"/>
                <w:sz w:val="21"/>
                <w:szCs w:val="21"/>
                <w:highlight w:val="none"/>
              </w:rPr>
              <w:t xml:space="preserve">10</w:t>
            </w:r>
            <w:r>
              <w:rPr>
                <w:rFonts w:ascii="宋体" w:hAnsi="宋体" w:cs="宋体"/>
              </w:rPr>
            </w:r>
            <w:r/>
          </w:p>
        </w:tc>
        <w:tc>
          <w:tcPr>
            <w:tcW w:w="2173" w:type="dxa"/>
            <w:vAlign w:val="center"/>
            <w:textDirection w:val="lrTb"/>
            <w:noWrap w:val="false"/>
          </w:tcPr>
          <w:p>
            <w:pPr>
              <w:pStyle w:val="885"/>
              <w:jc w:val="center"/>
              <w:keepLines w:val="0"/>
              <w:keepNext w:val="0"/>
              <w:pageBreakBefore w:val="0"/>
              <w:spacing w:line="43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开标时间</w:t>
            </w:r>
            <w:r>
              <w:rPr>
                <w:rFonts w:ascii="宋体" w:hAnsi="宋体" w:cs="宋体"/>
              </w:rPr>
            </w:r>
            <w:r/>
          </w:p>
          <w:p>
            <w:pPr>
              <w:pStyle w:val="941"/>
              <w:ind w:firstLine="0"/>
              <w:jc w:val="center"/>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开标地点</w:t>
            </w:r>
            <w:r>
              <w:rPr>
                <w:rFonts w:ascii="宋体" w:hAnsi="宋体" w:cs="宋体"/>
              </w:rPr>
            </w:r>
            <w:r/>
          </w:p>
        </w:tc>
        <w:tc>
          <w:tcPr>
            <w:tcW w:w="7002" w:type="dxa"/>
            <w:vAlign w:val="center"/>
            <w:textDirection w:val="lrTb"/>
            <w:noWrap w:val="false"/>
          </w:tcPr>
          <w:p>
            <w:pPr>
              <w:pStyle w:val="941"/>
              <w:ind w:firstLine="0"/>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6</w:t>
            </w:r>
            <w:r>
              <w:rPr>
                <w:rFonts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6</w:t>
            </w:r>
            <w:r>
              <w:rPr>
                <w:rFonts w:ascii="宋体" w:hAnsi="宋体" w:eastAsia="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15</w:t>
            </w:r>
            <w:r>
              <w:rPr>
                <w:rFonts w:ascii="宋体" w:hAnsi="宋体" w:eastAsia="宋体" w:cs="宋体"/>
                <w:color w:val="000000"/>
                <w:sz w:val="21"/>
                <w:szCs w:val="21"/>
                <w:highlight w:val="none"/>
              </w:rPr>
              <w:t xml:space="preserve">日9：30</w:t>
            </w:r>
            <w:r>
              <w:rPr>
                <w:rFonts w:ascii="宋体" w:hAnsi="宋体" w:cs="宋体"/>
              </w:rPr>
            </w:r>
            <w:r/>
          </w:p>
          <w:p>
            <w:pPr>
              <w:pStyle w:val="941"/>
              <w:ind w:firstLine="0"/>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b/>
                <w:bCs/>
                <w:color w:val="000000"/>
                <w:sz w:val="21"/>
                <w:szCs w:val="21"/>
                <w:highlight w:val="none"/>
              </w:rPr>
              <w:t xml:space="preserve">“苏采云政府采购一体化平台”系统（网址：</w:t>
            </w:r>
            <w:r>
              <w:rPr>
                <w:rFonts w:ascii="宋体" w:hAnsi="宋体" w:cs="宋体"/>
                <w:b/>
                <w:bCs/>
                <w:color w:val="000000"/>
                <w:sz w:val="21"/>
                <w:szCs w:val="21"/>
                <w:highlight w:val="none"/>
              </w:rPr>
              <w:fldChar w:fldCharType="begin"/>
            </w:r>
            <w:r>
              <w:rPr>
                <w:rFonts w:ascii="宋体" w:hAnsi="宋体" w:cs="宋体"/>
                <w:b/>
                <w:bCs/>
                <w:color w:val="000000"/>
                <w:sz w:val="21"/>
                <w:szCs w:val="21"/>
                <w:highlight w:val="none"/>
              </w:rPr>
              <w:instrText xml:space="preserve"> HYPERLINK "http://jszfcg.jsczt.cn/）" </w:instrText>
            </w:r>
            <w:r>
              <w:rPr>
                <w:rFonts w:ascii="宋体" w:hAnsi="宋体" w:cs="宋体"/>
                <w:b/>
                <w:bCs/>
                <w:color w:val="000000"/>
                <w:sz w:val="21"/>
                <w:szCs w:val="21"/>
                <w:highlight w:val="none"/>
              </w:rPr>
              <w:fldChar w:fldCharType="separate"/>
            </w:r>
            <w:r>
              <w:rPr>
                <w:rFonts w:ascii="宋体" w:hAnsi="宋体" w:cs="宋体"/>
                <w:b/>
                <w:bCs/>
                <w:color w:val="000000"/>
                <w:sz w:val="21"/>
                <w:szCs w:val="21"/>
                <w:highlight w:val="none"/>
              </w:rPr>
              <w:t xml:space="preserve">http</w:t>
            </w:r>
            <w:r>
              <w:rPr>
                <w:rFonts w:hint="eastAsia" w:ascii="宋体" w:hAnsi="宋体" w:eastAsia="宋体" w:cs="宋体"/>
                <w:b/>
                <w:bCs/>
                <w:color w:val="000000"/>
                <w:sz w:val="21"/>
                <w:szCs w:val="21"/>
                <w:highlight w:val="none"/>
                <w:lang w:eastAsia="zh-CN"/>
              </w:rPr>
              <w:t xml:space="preserve">：//</w:t>
            </w:r>
            <w:r>
              <w:rPr>
                <w:rFonts w:ascii="宋体" w:hAnsi="宋体" w:cs="宋体"/>
                <w:b/>
                <w:bCs/>
                <w:color w:val="000000"/>
                <w:sz w:val="21"/>
                <w:szCs w:val="21"/>
                <w:highlight w:val="none"/>
              </w:rPr>
              <w:t xml:space="preserve">jszfcg.jsczt.cn</w:t>
            </w:r>
            <w:r>
              <w:rPr>
                <w:rFonts w:hint="eastAsia" w:ascii="宋体" w:hAnsi="宋体" w:cs="宋体"/>
                <w:b/>
                <w:bCs/>
                <w:color w:val="000000"/>
                <w:sz w:val="21"/>
                <w:szCs w:val="21"/>
                <w:highlight w:val="none"/>
                <w:lang w:eastAsia="zh-CN"/>
              </w:rPr>
              <w:t xml:space="preserve">/</w:t>
            </w:r>
            <w:r>
              <w:rPr>
                <w:rFonts w:ascii="宋体" w:hAnsi="宋体" w:eastAsia="宋体" w:cs="宋体"/>
                <w:b/>
                <w:bCs/>
                <w:color w:val="000000"/>
                <w:sz w:val="21"/>
                <w:szCs w:val="21"/>
                <w:highlight w:val="none"/>
              </w:rPr>
              <w:t xml:space="preserve">）</w:t>
            </w:r>
            <w:r>
              <w:rPr>
                <w:rFonts w:ascii="宋体" w:hAnsi="宋体" w:cs="宋体"/>
                <w:b/>
                <w:bCs/>
                <w:color w:val="000000"/>
                <w:sz w:val="21"/>
                <w:szCs w:val="21"/>
                <w:highlight w:val="none"/>
              </w:rPr>
              <w:fldChar w:fldCharType="end"/>
            </w:r>
            <w:r>
              <w:rPr>
                <w:rFonts w:ascii="宋体" w:hAnsi="宋体" w:eastAsia="宋体" w:cs="宋体"/>
                <w:b/>
                <w:bCs/>
                <w:color w:val="000000"/>
                <w:sz w:val="21"/>
                <w:szCs w:val="21"/>
                <w:highlight w:val="none"/>
              </w:rPr>
              <w:t xml:space="preserve">，本项目为不见面开标项目，开启阶段供应商在【供应商解密】环节必须使用CA证书解密电子投标文件，如在系统规定的解密时间（投标文件提交截止时间后30分钟）内未能完成解密的视为放弃参与本项目。</w:t>
            </w:r>
            <w:r>
              <w:rPr>
                <w:rFonts w:ascii="宋体" w:hAnsi="宋体" w:cs="宋体"/>
              </w:rPr>
            </w:r>
            <w:r/>
          </w:p>
        </w:tc>
      </w:tr>
      <w:tr>
        <w:trPr>
          <w:cantSplit/>
          <w:trHeight w:val="454"/>
        </w:trPr>
        <w:tc>
          <w:tcPr>
            <w:tcW w:w="943" w:type="dxa"/>
            <w:vAlign w:val="center"/>
            <w:textDirection w:val="lrTb"/>
            <w:noWrap w:val="false"/>
          </w:tcPr>
          <w:p>
            <w:pPr>
              <w:pStyle w:val="885"/>
              <w:jc w:val="center"/>
              <w:keepLines w:val="0"/>
              <w:keepNext w:val="0"/>
              <w:pageBreakBefore w:val="0"/>
              <w:spacing w:line="43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11</w:t>
            </w:r>
            <w:r>
              <w:rPr>
                <w:rFonts w:ascii="宋体" w:hAnsi="宋体" w:cs="宋体"/>
              </w:rPr>
            </w:r>
            <w:r/>
          </w:p>
        </w:tc>
        <w:tc>
          <w:tcPr>
            <w:tcW w:w="2173" w:type="dxa"/>
            <w:vAlign w:val="center"/>
            <w:textDirection w:val="lrTb"/>
            <w:noWrap w:val="false"/>
          </w:tcPr>
          <w:p>
            <w:pPr>
              <w:pStyle w:val="885"/>
              <w:jc w:val="center"/>
              <w:keepLines w:val="0"/>
              <w:keepNext w:val="0"/>
              <w:pageBreakBefore w:val="0"/>
              <w:spacing w:line="43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评标时间</w:t>
            </w:r>
            <w:r>
              <w:rPr>
                <w:rFonts w:ascii="宋体" w:hAnsi="宋体" w:cs="宋体"/>
              </w:rPr>
            </w:r>
            <w:r/>
          </w:p>
          <w:p>
            <w:pPr>
              <w:pStyle w:val="885"/>
              <w:jc w:val="center"/>
              <w:keepLines w:val="0"/>
              <w:keepNext w:val="0"/>
              <w:pageBreakBefore w:val="0"/>
              <w:spacing w:line="43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评标地点</w:t>
            </w:r>
            <w:r>
              <w:rPr>
                <w:rFonts w:ascii="宋体" w:hAnsi="宋体" w:cs="宋体"/>
              </w:rPr>
            </w:r>
            <w:r/>
          </w:p>
        </w:tc>
        <w:tc>
          <w:tcPr>
            <w:tcW w:w="7002" w:type="dxa"/>
            <w:vAlign w:val="center"/>
            <w:textDirection w:val="lrTb"/>
            <w:noWrap w:val="false"/>
          </w:tcPr>
          <w:p>
            <w:pPr>
              <w:pStyle w:val="885"/>
              <w:jc w:val="left"/>
              <w:keepLines w:val="0"/>
              <w:keepNext w:val="0"/>
              <w:pageBreakBefore w:val="0"/>
              <w:spacing w:line="430" w:lineRule="exact"/>
              <w:widowControl w:val="off"/>
              <w:rPr>
                <w:rFonts w:hint="eastAsia" w:ascii="宋体" w:hAnsi="宋体" w:cs="宋体"/>
                <w:color w:val="000000"/>
                <w:sz w:val="21"/>
                <w:szCs w:val="21"/>
                <w:highlight w:val="none"/>
              </w:rPr>
              <w:outlineLvl w:val="9"/>
            </w:pPr>
            <w:r>
              <w:rPr>
                <w:rFonts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6</w:t>
            </w:r>
            <w:r>
              <w:rPr>
                <w:rFonts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6</w:t>
            </w:r>
            <w:r>
              <w:rPr>
                <w:rFonts w:ascii="宋体" w:hAnsi="宋体" w:eastAsia="宋体" w:cs="宋体"/>
                <w:color w:val="000000"/>
                <w:sz w:val="21"/>
                <w:szCs w:val="21"/>
                <w:highlight w:val="none"/>
              </w:rPr>
              <w:t xml:space="preserve">月15</w:t>
            </w:r>
            <w:r>
              <w:rPr>
                <w:rFonts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t xml:space="preserve">9：30</w:t>
            </w:r>
            <w:r>
              <w:rPr>
                <w:rFonts w:ascii="宋体" w:hAnsi="宋体" w:cs="宋体"/>
              </w:rPr>
            </w:r>
            <w:r/>
          </w:p>
          <w:p>
            <w:pPr>
              <w:pStyle w:val="885"/>
              <w:jc w:val="left"/>
              <w:keepLines w:val="0"/>
              <w:keepNext w:val="0"/>
              <w:pageBreakBefore w:val="0"/>
              <w:spacing w:line="43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color w:val="000000"/>
                <w:sz w:val="21"/>
                <w:szCs w:val="21"/>
                <w:highlight w:val="none"/>
              </w:rPr>
              <w:t xml:space="preserve">苏州市吴江区开平路998号行政服务大楼3楼开标室（苏州市公共资源交易中心吴江分中心）</w:t>
            </w:r>
            <w:r>
              <w:rPr>
                <w:rFonts w:ascii="宋体" w:hAnsi="宋体" w:cs="宋体"/>
              </w:rPr>
            </w:r>
            <w:r/>
          </w:p>
        </w:tc>
      </w:tr>
      <w:tr>
        <w:trPr>
          <w:cantSplit/>
          <w:trHeight w:val="454"/>
        </w:trPr>
        <w:tc>
          <w:tcPr>
            <w:tcW w:w="943" w:type="dxa"/>
            <w:vAlign w:val="center"/>
            <w:textDirection w:val="lrTb"/>
            <w:noWrap w:val="false"/>
          </w:tcPr>
          <w:p>
            <w:pPr>
              <w:pStyle w:val="941"/>
              <w:ind w:firstLine="0"/>
              <w:jc w:val="center"/>
              <w:keepLines w:val="0"/>
              <w:keepNext w:val="0"/>
              <w:pageBreakBefore w:val="0"/>
              <w:spacing w:line="430" w:lineRule="exact"/>
              <w:widowControl w:val="off"/>
              <w:tabs>
                <w:tab w:val="left" w:pos="252" w:leader="none"/>
              </w:tabs>
              <w:rPr>
                <w:rFonts w:ascii="宋体" w:hAnsi="宋体" w:cs="宋体"/>
                <w:color w:val="000000"/>
                <w:sz w:val="21"/>
                <w:szCs w:val="21"/>
                <w:highlight w:val="none"/>
              </w:rPr>
              <w:outlineLvl w:val="9"/>
            </w:pPr>
            <w:r>
              <w:rPr>
                <w:rFonts w:ascii="宋体" w:hAnsi="宋体" w:cs="宋体"/>
                <w:color w:val="000000"/>
                <w:sz w:val="21"/>
                <w:szCs w:val="21"/>
                <w:highlight w:val="none"/>
              </w:rPr>
              <w:t xml:space="preserve">12</w:t>
            </w:r>
            <w:r>
              <w:rPr>
                <w:rFonts w:ascii="宋体" w:hAnsi="宋体" w:cs="宋体"/>
              </w:rPr>
            </w:r>
            <w:r/>
          </w:p>
        </w:tc>
        <w:tc>
          <w:tcPr>
            <w:tcW w:w="2173" w:type="dxa"/>
            <w:vAlign w:val="center"/>
            <w:textDirection w:val="lrTb"/>
            <w:noWrap w:val="false"/>
          </w:tcPr>
          <w:p>
            <w:pPr>
              <w:pStyle w:val="941"/>
              <w:ind w:firstLine="0"/>
              <w:jc w:val="center"/>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投标文件份数</w:t>
            </w:r>
            <w:r>
              <w:rPr>
                <w:rFonts w:ascii="宋体" w:hAnsi="宋体" w:cs="宋体"/>
              </w:rPr>
            </w:r>
            <w:r/>
          </w:p>
        </w:tc>
        <w:tc>
          <w:tcPr>
            <w:tcW w:w="7002" w:type="dxa"/>
            <w:vAlign w:val="center"/>
            <w:textDirection w:val="lrTb"/>
            <w:noWrap w:val="false"/>
          </w:tcPr>
          <w:p>
            <w:pPr>
              <w:pStyle w:val="885"/>
              <w:jc w:val="left"/>
              <w:keepLines w:val="0"/>
              <w:keepNext w:val="0"/>
              <w:pageBreakBefore w:val="0"/>
              <w:spacing w:line="43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本项目采用电子投标文件，投标人按照招标文件要求制作上传电子投标文件，投标人无需提供纸质投标文件。</w:t>
            </w:r>
            <w:r>
              <w:rPr>
                <w:rFonts w:ascii="宋体" w:hAnsi="宋体" w:cs="宋体"/>
              </w:rPr>
            </w:r>
            <w:r/>
          </w:p>
          <w:p>
            <w:pPr>
              <w:pStyle w:val="941"/>
              <w:ind w:firstLine="0"/>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中标后5个工作日内，中标单位向招标代理机构提供与电子投标文件内容一致的纸质投标文件两份。</w:t>
            </w:r>
            <w:r>
              <w:rPr>
                <w:rFonts w:ascii="宋体" w:hAnsi="宋体" w:cs="宋体"/>
              </w:rPr>
            </w:r>
            <w:r/>
          </w:p>
        </w:tc>
      </w:tr>
      <w:tr>
        <w:trPr>
          <w:cantSplit/>
          <w:trHeight w:val="454"/>
        </w:trPr>
        <w:tc>
          <w:tcPr>
            <w:tcW w:w="943" w:type="dxa"/>
            <w:vAlign w:val="center"/>
            <w:textDirection w:val="lrTb"/>
            <w:noWrap w:val="false"/>
          </w:tcPr>
          <w:p>
            <w:pPr>
              <w:pStyle w:val="941"/>
              <w:ind w:firstLine="0"/>
              <w:jc w:val="center"/>
              <w:keepLines w:val="0"/>
              <w:keepNext w:val="0"/>
              <w:pageBreakBefore w:val="0"/>
              <w:spacing w:line="430" w:lineRule="exact"/>
              <w:widowControl w:val="off"/>
              <w:tabs>
                <w:tab w:val="left" w:pos="252" w:leader="none"/>
              </w:tabs>
              <w:rPr>
                <w:rFonts w:ascii="宋体" w:hAnsi="宋体" w:cs="宋体"/>
                <w:color w:val="000000"/>
                <w:sz w:val="21"/>
                <w:szCs w:val="21"/>
                <w:highlight w:val="none"/>
              </w:rPr>
              <w:outlineLvl w:val="9"/>
            </w:pPr>
            <w:r>
              <w:rPr>
                <w:rFonts w:ascii="宋体" w:hAnsi="宋体" w:cs="宋体"/>
                <w:color w:val="000000"/>
                <w:sz w:val="21"/>
                <w:szCs w:val="21"/>
                <w:highlight w:val="none"/>
              </w:rPr>
              <w:t xml:space="preserve">13</w:t>
            </w:r>
            <w:r>
              <w:rPr>
                <w:rFonts w:ascii="宋体" w:hAnsi="宋体" w:cs="宋体"/>
              </w:rPr>
            </w:r>
            <w:r/>
          </w:p>
        </w:tc>
        <w:tc>
          <w:tcPr>
            <w:tcW w:w="2173" w:type="dxa"/>
            <w:vAlign w:val="center"/>
            <w:textDirection w:val="lrTb"/>
            <w:noWrap w:val="false"/>
          </w:tcPr>
          <w:p>
            <w:pPr>
              <w:pStyle w:val="941"/>
              <w:ind w:firstLine="0"/>
              <w:jc w:val="center"/>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投标报价本位币</w:t>
            </w:r>
            <w:r>
              <w:rPr>
                <w:rFonts w:ascii="宋体" w:hAnsi="宋体" w:cs="宋体"/>
              </w:rPr>
            </w:r>
            <w:r/>
          </w:p>
        </w:tc>
        <w:tc>
          <w:tcPr>
            <w:tcW w:w="7002" w:type="dxa"/>
            <w:vAlign w:val="center"/>
            <w:textDirection w:val="lrTb"/>
            <w:noWrap w:val="false"/>
          </w:tcPr>
          <w:p>
            <w:pPr>
              <w:pStyle w:val="941"/>
              <w:ind w:firstLine="0"/>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人民币  </w:t>
            </w:r>
            <w:r>
              <w:rPr>
                <w:rFonts w:ascii="宋体" w:hAnsi="宋体" w:cs="宋体"/>
              </w:rPr>
            </w:r>
            <w:r/>
          </w:p>
        </w:tc>
      </w:tr>
      <w:tr>
        <w:trPr>
          <w:cantSplit/>
          <w:trHeight w:val="454"/>
        </w:trPr>
        <w:tc>
          <w:tcPr>
            <w:tcW w:w="943" w:type="dxa"/>
            <w:vAlign w:val="center"/>
            <w:textDirection w:val="lrTb"/>
            <w:noWrap w:val="false"/>
          </w:tcPr>
          <w:p>
            <w:pPr>
              <w:pStyle w:val="941"/>
              <w:ind w:firstLine="0"/>
              <w:jc w:val="center"/>
              <w:keepLines w:val="0"/>
              <w:keepNext w:val="0"/>
              <w:pageBreakBefore w:val="0"/>
              <w:spacing w:line="430" w:lineRule="exact"/>
              <w:widowControl w:val="off"/>
              <w:tabs>
                <w:tab w:val="left" w:pos="252" w:leader="none"/>
              </w:tabs>
              <w:rPr>
                <w:rFonts w:ascii="宋体" w:hAnsi="宋体" w:cs="宋体"/>
                <w:color w:val="000000"/>
                <w:sz w:val="21"/>
                <w:szCs w:val="21"/>
                <w:highlight w:val="none"/>
              </w:rPr>
              <w:outlineLvl w:val="9"/>
            </w:pPr>
            <w:r>
              <w:rPr>
                <w:rFonts w:ascii="宋体" w:hAnsi="宋体" w:cs="宋体"/>
                <w:color w:val="000000"/>
                <w:sz w:val="21"/>
                <w:szCs w:val="21"/>
                <w:highlight w:val="none"/>
              </w:rPr>
              <w:t xml:space="preserve">14</w:t>
            </w:r>
            <w:r>
              <w:rPr>
                <w:rFonts w:ascii="宋体" w:hAnsi="宋体" w:cs="宋体"/>
              </w:rPr>
            </w:r>
            <w:r/>
          </w:p>
        </w:tc>
        <w:tc>
          <w:tcPr>
            <w:tcW w:w="2173" w:type="dxa"/>
            <w:vAlign w:val="center"/>
            <w:textDirection w:val="lrTb"/>
            <w:noWrap w:val="false"/>
          </w:tcPr>
          <w:p>
            <w:pPr>
              <w:pStyle w:val="941"/>
              <w:ind w:firstLine="0"/>
              <w:jc w:val="center"/>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评标标准</w:t>
            </w:r>
            <w:r>
              <w:rPr>
                <w:rFonts w:ascii="宋体" w:hAnsi="宋体" w:cs="宋体"/>
              </w:rPr>
            </w:r>
            <w:r/>
          </w:p>
        </w:tc>
        <w:tc>
          <w:tcPr>
            <w:tcW w:w="7002" w:type="dxa"/>
            <w:vAlign w:val="center"/>
            <w:textDirection w:val="lrTb"/>
            <w:noWrap w:val="false"/>
          </w:tcPr>
          <w:p>
            <w:pPr>
              <w:pStyle w:val="941"/>
              <w:ind w:firstLine="0"/>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根据质量、技术与价格的比较</w:t>
            </w:r>
            <w:r>
              <w:rPr>
                <w:rFonts w:ascii="宋体" w:hAnsi="宋体" w:cs="宋体"/>
              </w:rPr>
            </w:r>
            <w:r/>
          </w:p>
        </w:tc>
      </w:tr>
      <w:tr>
        <w:trPr>
          <w:cantSplit/>
          <w:trHeight w:val="454"/>
        </w:trPr>
        <w:tc>
          <w:tcPr>
            <w:tcW w:w="943" w:type="dxa"/>
            <w:vAlign w:val="center"/>
            <w:textDirection w:val="lrTb"/>
            <w:noWrap w:val="false"/>
          </w:tcPr>
          <w:p>
            <w:pPr>
              <w:pStyle w:val="941"/>
              <w:ind w:firstLine="0"/>
              <w:jc w:val="center"/>
              <w:keepLines w:val="0"/>
              <w:keepNext w:val="0"/>
              <w:pageBreakBefore w:val="0"/>
              <w:spacing w:line="430" w:lineRule="exact"/>
              <w:widowControl w:val="off"/>
              <w:tabs>
                <w:tab w:val="left" w:pos="252" w:leader="none"/>
              </w:tabs>
              <w:rPr>
                <w:rFonts w:ascii="宋体" w:hAnsi="宋体" w:cs="宋体"/>
                <w:color w:val="000000"/>
                <w:sz w:val="21"/>
                <w:szCs w:val="21"/>
                <w:highlight w:val="none"/>
              </w:rPr>
              <w:outlineLvl w:val="9"/>
            </w:pPr>
            <w:r>
              <w:rPr>
                <w:rFonts w:ascii="宋体" w:hAnsi="宋体" w:cs="宋体"/>
                <w:color w:val="000000"/>
                <w:sz w:val="21"/>
                <w:szCs w:val="21"/>
                <w:highlight w:val="none"/>
              </w:rPr>
              <w:t xml:space="preserve">15</w:t>
            </w:r>
            <w:r>
              <w:rPr>
                <w:rFonts w:ascii="宋体" w:hAnsi="宋体" w:cs="宋体"/>
              </w:rPr>
            </w:r>
            <w:r/>
          </w:p>
        </w:tc>
        <w:tc>
          <w:tcPr>
            <w:tcW w:w="2173" w:type="dxa"/>
            <w:vAlign w:val="center"/>
            <w:textDirection w:val="lrTb"/>
            <w:noWrap w:val="false"/>
          </w:tcPr>
          <w:p>
            <w:pPr>
              <w:pStyle w:val="941"/>
              <w:ind w:firstLine="0"/>
              <w:jc w:val="center"/>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评标方法</w:t>
            </w:r>
            <w:r>
              <w:rPr>
                <w:rFonts w:ascii="宋体" w:hAnsi="宋体" w:cs="宋体"/>
              </w:rPr>
            </w:r>
            <w:r/>
          </w:p>
        </w:tc>
        <w:tc>
          <w:tcPr>
            <w:tcW w:w="7002" w:type="dxa"/>
            <w:vAlign w:val="center"/>
            <w:textDirection w:val="lrTb"/>
            <w:noWrap w:val="false"/>
          </w:tcPr>
          <w:p>
            <w:pPr>
              <w:pStyle w:val="941"/>
              <w:ind w:firstLine="0"/>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用综合评分法得分最高的合格投标人为预中标人</w:t>
            </w:r>
            <w:r>
              <w:rPr>
                <w:rFonts w:ascii="宋体" w:hAnsi="宋体" w:cs="宋体"/>
              </w:rPr>
            </w:r>
            <w:r/>
          </w:p>
        </w:tc>
      </w:tr>
      <w:tr>
        <w:trPr>
          <w:cantSplit/>
          <w:trHeight w:val="454"/>
        </w:trPr>
        <w:tc>
          <w:tcPr>
            <w:tcW w:w="943" w:type="dxa"/>
            <w:vAlign w:val="center"/>
            <w:textDirection w:val="lrTb"/>
            <w:noWrap w:val="false"/>
          </w:tcPr>
          <w:p>
            <w:pPr>
              <w:pStyle w:val="941"/>
              <w:ind w:firstLine="0"/>
              <w:jc w:val="center"/>
              <w:keepLines w:val="0"/>
              <w:keepNext w:val="0"/>
              <w:pageBreakBefore w:val="0"/>
              <w:spacing w:line="430" w:lineRule="exact"/>
              <w:widowControl w:val="off"/>
              <w:tabs>
                <w:tab w:val="left" w:pos="252" w:leader="none"/>
              </w:tabs>
              <w:rPr>
                <w:rFonts w:ascii="宋体" w:hAnsi="宋体" w:cs="宋体"/>
                <w:color w:val="000000"/>
                <w:sz w:val="21"/>
                <w:szCs w:val="21"/>
                <w:highlight w:val="none"/>
              </w:rPr>
              <w:outlineLvl w:val="9"/>
            </w:pPr>
            <w:r>
              <w:rPr>
                <w:rFonts w:ascii="宋体" w:hAnsi="宋体" w:cs="宋体"/>
                <w:color w:val="000000"/>
                <w:sz w:val="21"/>
                <w:szCs w:val="21"/>
                <w:highlight w:val="none"/>
              </w:rPr>
              <w:t xml:space="preserve">16</w:t>
            </w:r>
            <w:r>
              <w:rPr>
                <w:rFonts w:ascii="宋体" w:hAnsi="宋体" w:cs="宋体"/>
              </w:rPr>
            </w:r>
            <w:r/>
          </w:p>
        </w:tc>
        <w:tc>
          <w:tcPr>
            <w:tcW w:w="2173" w:type="dxa"/>
            <w:vAlign w:val="center"/>
            <w:textDirection w:val="lrTb"/>
            <w:noWrap w:val="false"/>
          </w:tcPr>
          <w:p>
            <w:pPr>
              <w:pStyle w:val="941"/>
              <w:ind w:firstLine="0"/>
              <w:jc w:val="center"/>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履约保证金</w:t>
            </w:r>
            <w:r>
              <w:rPr>
                <w:rFonts w:ascii="宋体" w:hAnsi="宋体" w:cs="宋体"/>
              </w:rPr>
            </w:r>
            <w:r/>
          </w:p>
        </w:tc>
        <w:tc>
          <w:tcPr>
            <w:tcW w:w="7002" w:type="dxa"/>
            <w:vAlign w:val="center"/>
            <w:textDirection w:val="lrTb"/>
            <w:noWrap w:val="false"/>
          </w:tcPr>
          <w:p>
            <w:pPr>
              <w:pStyle w:val="941"/>
              <w:ind w:firstLine="0"/>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按合同约定，未做说明的则为无。</w:t>
            </w:r>
            <w:r>
              <w:rPr>
                <w:rFonts w:ascii="宋体" w:hAnsi="宋体" w:cs="宋体"/>
              </w:rPr>
            </w:r>
            <w:r/>
          </w:p>
        </w:tc>
      </w:tr>
      <w:tr>
        <w:trPr>
          <w:cantSplit/>
          <w:trHeight w:val="454"/>
        </w:trPr>
        <w:tc>
          <w:tcPr>
            <w:tcW w:w="943" w:type="dxa"/>
            <w:vAlign w:val="center"/>
            <w:textDirection w:val="lrTb"/>
            <w:noWrap w:val="false"/>
          </w:tcPr>
          <w:p>
            <w:pPr>
              <w:pStyle w:val="941"/>
              <w:ind w:firstLine="0"/>
              <w:jc w:val="center"/>
              <w:keepLines w:val="0"/>
              <w:keepNext w:val="0"/>
              <w:pageBreakBefore w:val="0"/>
              <w:spacing w:line="430" w:lineRule="exact"/>
              <w:widowControl w:val="off"/>
              <w:tabs>
                <w:tab w:val="left" w:pos="252" w:leader="none"/>
              </w:tabs>
              <w:rPr>
                <w:rFonts w:ascii="宋体" w:hAnsi="宋体" w:cs="宋体"/>
                <w:color w:val="000000"/>
                <w:sz w:val="21"/>
                <w:szCs w:val="21"/>
                <w:highlight w:val="none"/>
              </w:rPr>
              <w:outlineLvl w:val="9"/>
            </w:pPr>
            <w:r>
              <w:rPr>
                <w:rFonts w:ascii="宋体" w:hAnsi="宋体" w:cs="宋体"/>
                <w:color w:val="000000"/>
                <w:sz w:val="21"/>
                <w:szCs w:val="21"/>
                <w:highlight w:val="none"/>
              </w:rPr>
              <w:t xml:space="preserve">17</w:t>
            </w:r>
            <w:r>
              <w:rPr>
                <w:rFonts w:ascii="宋体" w:hAnsi="宋体" w:cs="宋体"/>
              </w:rPr>
            </w:r>
            <w:r/>
          </w:p>
        </w:tc>
        <w:tc>
          <w:tcPr>
            <w:tcW w:w="2173" w:type="dxa"/>
            <w:vAlign w:val="center"/>
            <w:textDirection w:val="lrTb"/>
            <w:noWrap w:val="false"/>
          </w:tcPr>
          <w:p>
            <w:pPr>
              <w:pStyle w:val="941"/>
              <w:ind w:firstLine="0"/>
              <w:jc w:val="center"/>
              <w:keepLines w:val="0"/>
              <w:keepNext w:val="0"/>
              <w:pageBreakBefore w:val="0"/>
              <w:spacing w:line="43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采购代理</w:t>
            </w:r>
            <w:r>
              <w:rPr>
                <w:rFonts w:ascii="宋体" w:hAnsi="宋体" w:eastAsia="宋体" w:cs="宋体"/>
                <w:color w:val="000000"/>
                <w:sz w:val="21"/>
                <w:szCs w:val="21"/>
                <w:highlight w:val="none"/>
              </w:rPr>
              <w:t xml:space="preserve">费</w:t>
            </w:r>
            <w:r>
              <w:rPr>
                <w:rFonts w:ascii="宋体" w:hAnsi="宋体" w:cs="宋体"/>
              </w:rPr>
            </w:r>
            <w:r/>
          </w:p>
        </w:tc>
        <w:tc>
          <w:tcPr>
            <w:tcW w:w="7002" w:type="dxa"/>
            <w:vAlign w:val="center"/>
            <w:textDirection w:val="lrTb"/>
            <w:noWrap w:val="false"/>
          </w:tcPr>
          <w:p>
            <w:pPr>
              <w:pStyle w:val="885"/>
              <w:keepLines w:val="0"/>
              <w:keepNext w:val="0"/>
              <w:pageBreakBefore w:val="0"/>
              <w:spacing w:line="43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依据《关于进一步规范政府采购活动相关费用管理的通知》（苏财规〔2026〕1号）相关规定，本项目</w:t>
            </w:r>
            <w:r>
              <w:rPr>
                <w:rFonts w:hint="eastAsia" w:ascii="宋体" w:hAnsi="宋体" w:eastAsia="宋体" w:cs="宋体"/>
                <w:color w:val="000000"/>
                <w:sz w:val="21"/>
                <w:szCs w:val="21"/>
                <w:highlight w:val="none"/>
                <w:lang w:eastAsia="zh-CN"/>
              </w:rPr>
              <w:t xml:space="preserve">采购代理费</w:t>
            </w:r>
            <w:r>
              <w:rPr>
                <w:rFonts w:hint="eastAsia" w:ascii="宋体" w:hAnsi="宋体" w:eastAsia="宋体" w:cs="宋体"/>
                <w:color w:val="000000"/>
                <w:sz w:val="21"/>
                <w:szCs w:val="21"/>
                <w:highlight w:val="none"/>
              </w:rPr>
              <w:t xml:space="preserve">由采购人承担并支付。</w:t>
            </w:r>
            <w:r>
              <w:rPr>
                <w:rFonts w:hint="eastAsia" w:ascii="宋体" w:hAnsi="宋体" w:eastAsia="宋体" w:cs="宋体"/>
                <w:color w:val="000000"/>
                <w:sz w:val="21"/>
                <w:szCs w:val="21"/>
                <w:highlight w:val="none"/>
                <w:lang w:eastAsia="zh-CN"/>
              </w:rPr>
              <w:t xml:space="preserve">采购代理费</w:t>
            </w:r>
            <w:r>
              <w:rPr>
                <w:rFonts w:hint="eastAsia" w:ascii="宋体" w:hAnsi="宋体" w:eastAsia="宋体" w:cs="宋体"/>
                <w:color w:val="000000"/>
                <w:sz w:val="21"/>
                <w:szCs w:val="21"/>
                <w:highlight w:val="none"/>
              </w:rPr>
              <w:t xml:space="preserve">以本项目预算金额为计费基数，采用差额定率累进法计算；按标准计算服务费不足3000元的，按3000元定额计取</w:t>
            </w:r>
            <w:r>
              <w:rPr>
                <w:rFonts w:hint="eastAsia" w:ascii="宋体" w:hAnsi="宋体" w:eastAsia="宋体" w:cs="宋体"/>
                <w:color w:val="000000"/>
                <w:sz w:val="21"/>
                <w:szCs w:val="21"/>
                <w:highlight w:val="none"/>
                <w:lang w:eastAsia="zh-CN"/>
              </w:rPr>
              <w:t xml:space="preserve">。</w:t>
            </w:r>
            <w:r>
              <w:rPr>
                <w:rFonts w:ascii="宋体" w:hAnsi="宋体" w:cs="宋体"/>
              </w:rPr>
            </w:r>
            <w:r/>
          </w:p>
          <w:p>
            <w:pPr>
              <w:pStyle w:val="885"/>
              <w:ind w:firstLine="0"/>
              <w:jc w:val="both"/>
              <w:keepLines w:val="0"/>
              <w:keepNext w:val="0"/>
              <w:pageBreakBefore w:val="0"/>
              <w:spacing w:line="43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收费费率标准：</w:t>
            </w:r>
            <w:r>
              <w:rPr>
                <w:rFonts w:ascii="宋体" w:hAnsi="宋体" w:cs="宋体"/>
              </w:rPr>
            </w:r>
            <w:r/>
          </w:p>
          <w:p>
            <w:pPr>
              <w:pStyle w:val="885"/>
              <w:keepLines w:val="0"/>
              <w:keepNext w:val="0"/>
              <w:pageBreakBefore w:val="0"/>
              <w:spacing w:line="43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预算金额100万元以下部分，按该部分金额的1.5%计取；</w:t>
            </w:r>
            <w:r>
              <w:rPr>
                <w:rFonts w:ascii="宋体" w:hAnsi="宋体" w:cs="宋体"/>
              </w:rPr>
            </w:r>
            <w:r/>
          </w:p>
          <w:p>
            <w:pPr>
              <w:pStyle w:val="885"/>
              <w:keepLines w:val="0"/>
              <w:keepNext w:val="0"/>
              <w:pageBreakBefore w:val="0"/>
              <w:spacing w:line="43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预算金额100万元（含）-500 万元部分，按该部分金额的1.1%计取；</w:t>
            </w:r>
            <w:r>
              <w:rPr>
                <w:rFonts w:ascii="宋体" w:hAnsi="宋体" w:cs="宋体"/>
              </w:rPr>
            </w:r>
            <w:r/>
          </w:p>
          <w:p>
            <w:pPr>
              <w:pStyle w:val="885"/>
              <w:keepLines w:val="0"/>
              <w:keepNext w:val="0"/>
              <w:pageBreakBefore w:val="0"/>
              <w:spacing w:line="43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预算金额500万元（含）-1000 万元部分，按该部分金额的0.8%计取；</w:t>
            </w:r>
            <w:r>
              <w:rPr>
                <w:rFonts w:ascii="宋体" w:hAnsi="宋体" w:cs="宋体"/>
              </w:rPr>
            </w:r>
            <w:r/>
          </w:p>
          <w:p>
            <w:pPr>
              <w:pStyle w:val="885"/>
              <w:keepLines w:val="0"/>
              <w:keepNext w:val="0"/>
              <w:pageBreakBefore w:val="0"/>
              <w:spacing w:line="43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预算金额1000万元（含）-5000 万元部分，按该部分金额的0.5%计取；</w:t>
            </w:r>
            <w:r>
              <w:rPr>
                <w:rFonts w:ascii="宋体" w:hAnsi="宋体" w:cs="宋体"/>
              </w:rPr>
            </w:r>
            <w:r/>
          </w:p>
          <w:p>
            <w:pPr>
              <w:pStyle w:val="885"/>
              <w:keepLines w:val="0"/>
              <w:keepNext w:val="0"/>
              <w:pageBreakBefore w:val="0"/>
              <w:spacing w:line="43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预算金额5000万元以上部分，按该部分金额的0.25%计取。</w:t>
            </w:r>
            <w:r>
              <w:rPr>
                <w:rFonts w:ascii="宋体" w:hAnsi="宋体" w:cs="宋体"/>
              </w:rPr>
            </w:r>
            <w:r/>
          </w:p>
          <w:p>
            <w:pPr>
              <w:pStyle w:val="885"/>
              <w:keepLines w:val="0"/>
              <w:keepNext w:val="0"/>
              <w:pageBreakBefore w:val="0"/>
              <w:spacing w:line="43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账户信息：</w:t>
            </w:r>
            <w:r>
              <w:rPr>
                <w:rFonts w:ascii="宋体" w:hAnsi="宋体" w:cs="宋体"/>
              </w:rPr>
            </w:r>
            <w:r/>
          </w:p>
          <w:p>
            <w:pPr>
              <w:pStyle w:val="885"/>
              <w:keepLines w:val="0"/>
              <w:keepNext w:val="0"/>
              <w:pageBreakBefore w:val="0"/>
              <w:spacing w:line="43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账户名</w:t>
            </w:r>
            <w:r>
              <w:rPr>
                <w:rFonts w:hint="eastAsia" w:ascii="宋体" w:hAnsi="宋体" w:eastAsia="宋体" w:cs="宋体"/>
                <w:color w:val="000000"/>
                <w:sz w:val="21"/>
                <w:szCs w:val="21"/>
                <w:highlight w:val="none"/>
              </w:rPr>
              <w:t xml:space="preserve">：苏州欣禾诚工程咨询服务有限公司</w:t>
            </w:r>
            <w:r>
              <w:rPr>
                <w:rFonts w:ascii="宋体" w:hAnsi="宋体" w:cs="宋体"/>
              </w:rPr>
            </w:r>
            <w:r/>
          </w:p>
          <w:p>
            <w:pPr>
              <w:pStyle w:val="885"/>
              <w:keepLines w:val="0"/>
              <w:keepNext w:val="0"/>
              <w:pageBreakBefore w:val="0"/>
              <w:spacing w:line="43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账</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号：10546501040014175</w:t>
            </w:r>
            <w:r>
              <w:rPr>
                <w:rFonts w:ascii="宋体" w:hAnsi="宋体" w:cs="宋体"/>
              </w:rPr>
            </w:r>
            <w:r/>
          </w:p>
          <w:p>
            <w:pPr>
              <w:pStyle w:val="885"/>
              <w:keepLines w:val="0"/>
              <w:keepNext w:val="0"/>
              <w:pageBreakBefore w:val="0"/>
              <w:spacing w:line="43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开户行：中国农业银行吴江城南支行</w:t>
            </w:r>
            <w:r>
              <w:rPr>
                <w:rFonts w:ascii="宋体" w:hAnsi="宋体" w:cs="宋体"/>
              </w:rPr>
            </w:r>
            <w:r/>
          </w:p>
        </w:tc>
      </w:tr>
      <w:tr>
        <w:trPr>
          <w:cantSplit/>
          <w:trHeight w:val="454"/>
        </w:trPr>
        <w:tc>
          <w:tcPr>
            <w:tcW w:w="943" w:type="dxa"/>
            <w:vAlign w:val="center"/>
            <w:textDirection w:val="lrTb"/>
            <w:noWrap w:val="false"/>
          </w:tcPr>
          <w:p>
            <w:pPr>
              <w:pStyle w:val="941"/>
              <w:ind w:firstLine="0"/>
              <w:jc w:val="center"/>
              <w:keepLines w:val="0"/>
              <w:keepNext w:val="0"/>
              <w:pageBreakBefore w:val="0"/>
              <w:spacing w:line="430" w:lineRule="exact"/>
              <w:widowControl w:val="off"/>
              <w:tabs>
                <w:tab w:val="left" w:pos="252" w:leader="none"/>
              </w:tabs>
              <w:rPr>
                <w:rFonts w:ascii="宋体" w:hAnsi="宋体" w:cs="宋体"/>
                <w:color w:val="000000"/>
                <w:sz w:val="21"/>
                <w:szCs w:val="21"/>
                <w:highlight w:val="none"/>
              </w:rPr>
              <w:outlineLvl w:val="9"/>
            </w:pPr>
            <w:r>
              <w:rPr>
                <w:rFonts w:ascii="宋体" w:hAnsi="宋体" w:cs="宋体"/>
                <w:color w:val="000000"/>
                <w:sz w:val="21"/>
                <w:szCs w:val="21"/>
                <w:highlight w:val="none"/>
              </w:rPr>
              <w:t xml:space="preserve">18</w:t>
            </w:r>
            <w:r>
              <w:rPr>
                <w:rFonts w:ascii="宋体" w:hAnsi="宋体" w:cs="宋体"/>
              </w:rPr>
            </w:r>
            <w:r/>
          </w:p>
        </w:tc>
        <w:tc>
          <w:tcPr>
            <w:tcW w:w="2173" w:type="dxa"/>
            <w:vAlign w:val="center"/>
            <w:textDirection w:val="lrTb"/>
            <w:noWrap w:val="false"/>
          </w:tcPr>
          <w:p>
            <w:pPr>
              <w:pStyle w:val="941"/>
              <w:ind w:firstLine="0"/>
              <w:jc w:val="center"/>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中标通知书</w:t>
            </w:r>
            <w:r>
              <w:rPr>
                <w:rFonts w:ascii="宋体" w:hAnsi="宋体" w:cs="宋体"/>
              </w:rPr>
            </w:r>
            <w:r/>
          </w:p>
        </w:tc>
        <w:tc>
          <w:tcPr>
            <w:tcW w:w="7002" w:type="dxa"/>
            <w:vAlign w:val="center"/>
            <w:textDirection w:val="lrTb"/>
            <w:noWrap w:val="false"/>
          </w:tcPr>
          <w:p>
            <w:pPr>
              <w:pStyle w:val="885"/>
              <w:keepLines w:val="0"/>
              <w:keepNext w:val="0"/>
              <w:pageBreakBefore w:val="0"/>
              <w:spacing w:line="43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确定出中标人后，招标代理机构在法定时间内向中标人发出中标通知书。中标通知书将成为合同的组成部分。</w:t>
            </w:r>
            <w:r>
              <w:rPr>
                <w:rFonts w:ascii="宋体" w:hAnsi="宋体" w:cs="宋体"/>
              </w:rPr>
            </w:r>
            <w:r/>
          </w:p>
          <w:p>
            <w:pPr>
              <w:pStyle w:val="885"/>
              <w:keepLines w:val="0"/>
              <w:keepNext w:val="0"/>
              <w:pageBreakBefore w:val="0"/>
              <w:spacing w:line="430" w:lineRule="exact"/>
              <w:widowControl w:val="off"/>
              <w:rPr>
                <w:rFonts w:hint="eastAsia" w:ascii="宋体" w:hAnsi="宋体" w:cs="宋体"/>
                <w:color w:val="000000"/>
                <w:sz w:val="21"/>
                <w:szCs w:val="21"/>
                <w:highlight w:val="none"/>
              </w:rPr>
              <w:outlineLvl w:val="9"/>
            </w:pPr>
            <w:r>
              <w:rPr>
                <w:rFonts w:hint="eastAsia" w:ascii="宋体" w:hAnsi="宋体" w:eastAsia="宋体" w:cs="宋体"/>
                <w:b/>
                <w:bCs/>
                <w:color w:val="000000"/>
                <w:sz w:val="21"/>
                <w:szCs w:val="21"/>
                <w:highlight w:val="none"/>
              </w:rPr>
              <w:t xml:space="preserve">请中标人在中标结果公告届满之日起30日内，使用CA证书登录“苏采云政府采购一体化平台”系统及时下载中标通知书。</w:t>
            </w:r>
            <w:r>
              <w:rPr>
                <w:rFonts w:ascii="宋体" w:hAnsi="宋体" w:cs="宋体"/>
              </w:rPr>
            </w:r>
            <w:r/>
          </w:p>
        </w:tc>
      </w:tr>
      <w:tr>
        <w:trPr>
          <w:cantSplit/>
          <w:trHeight w:val="454"/>
        </w:trPr>
        <w:tc>
          <w:tcPr>
            <w:tcW w:w="943" w:type="dxa"/>
            <w:vAlign w:val="center"/>
            <w:textDirection w:val="lrTb"/>
            <w:noWrap w:val="false"/>
          </w:tcPr>
          <w:p>
            <w:pPr>
              <w:pStyle w:val="941"/>
              <w:ind w:firstLine="0"/>
              <w:jc w:val="center"/>
              <w:keepLines w:val="0"/>
              <w:keepNext w:val="0"/>
              <w:pageBreakBefore w:val="0"/>
              <w:spacing w:line="430" w:lineRule="exact"/>
              <w:widowControl w:val="off"/>
              <w:tabs>
                <w:tab w:val="left" w:pos="252" w:leader="none"/>
              </w:tabs>
              <w:rPr>
                <w:rFonts w:ascii="宋体" w:hAnsi="宋体" w:cs="宋体"/>
                <w:color w:val="000000"/>
                <w:sz w:val="21"/>
                <w:szCs w:val="21"/>
                <w:highlight w:val="none"/>
              </w:rPr>
              <w:outlineLvl w:val="9"/>
            </w:pPr>
            <w:r>
              <w:rPr>
                <w:rFonts w:ascii="宋体" w:hAnsi="宋体" w:cs="宋体"/>
                <w:color w:val="000000"/>
                <w:sz w:val="21"/>
                <w:szCs w:val="21"/>
                <w:highlight w:val="none"/>
              </w:rPr>
              <w:t xml:space="preserve">19</w:t>
            </w:r>
            <w:r>
              <w:rPr>
                <w:rFonts w:ascii="宋体" w:hAnsi="宋体" w:cs="宋体"/>
              </w:rPr>
            </w:r>
            <w:r/>
          </w:p>
        </w:tc>
        <w:tc>
          <w:tcPr>
            <w:tcW w:w="2173" w:type="dxa"/>
            <w:vAlign w:val="center"/>
            <w:textDirection w:val="lrTb"/>
            <w:noWrap w:val="false"/>
          </w:tcPr>
          <w:p>
            <w:pPr>
              <w:pStyle w:val="941"/>
              <w:ind w:firstLine="0"/>
              <w:jc w:val="center"/>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导致无效标因素</w:t>
            </w:r>
            <w:r>
              <w:rPr>
                <w:rFonts w:ascii="宋体" w:hAnsi="宋体" w:cs="宋体"/>
              </w:rPr>
            </w:r>
            <w:r/>
          </w:p>
        </w:tc>
        <w:tc>
          <w:tcPr>
            <w:tcW w:w="7002" w:type="dxa"/>
            <w:vAlign w:val="center"/>
            <w:textDirection w:val="lrTb"/>
            <w:noWrap w:val="false"/>
          </w:tcPr>
          <w:p>
            <w:pPr>
              <w:pStyle w:val="941"/>
              <w:ind w:firstLine="0"/>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投标文件属下列情况之一的，在资格性、符合性检查时按照无效投标处理：</w:t>
            </w:r>
            <w:r>
              <w:rPr>
                <w:rFonts w:ascii="宋体" w:hAnsi="宋体" w:cs="宋体"/>
              </w:rPr>
            </w:r>
            <w:r/>
          </w:p>
          <w:p>
            <w:pPr>
              <w:pStyle w:val="941"/>
              <w:numPr>
                <w:ilvl w:val="0"/>
                <w:numId w:val="1"/>
              </w:numPr>
              <w:keepLines w:val="0"/>
              <w:keepNext w:val="0"/>
              <w:pageBreakBefore w:val="0"/>
              <w:spacing w:line="430" w:lineRule="exact"/>
              <w:widowControl w:val="off"/>
              <w:tabs>
                <w:tab w:val="left" w:pos="420" w:leader="none"/>
              </w:tabs>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未按照招标文件规定要求签署、盖章的；</w:t>
            </w:r>
            <w:r>
              <w:rPr>
                <w:rFonts w:ascii="宋体" w:hAnsi="宋体" w:cs="宋体"/>
              </w:rPr>
            </w:r>
            <w:r/>
          </w:p>
          <w:p>
            <w:pPr>
              <w:pStyle w:val="941"/>
              <w:numPr>
                <w:ilvl w:val="0"/>
                <w:numId w:val="1"/>
              </w:numPr>
              <w:keepLines w:val="0"/>
              <w:keepNext w:val="0"/>
              <w:pageBreakBefore w:val="0"/>
              <w:spacing w:line="430" w:lineRule="exact"/>
              <w:widowControl w:val="off"/>
              <w:tabs>
                <w:tab w:val="left" w:pos="420" w:leader="none"/>
              </w:tabs>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不具备招标文件中规定资格要求的；</w:t>
            </w:r>
            <w:r>
              <w:rPr>
                <w:rFonts w:ascii="宋体" w:hAnsi="宋体" w:cs="宋体"/>
              </w:rPr>
            </w:r>
            <w:r/>
          </w:p>
          <w:p>
            <w:pPr>
              <w:pStyle w:val="941"/>
              <w:numPr>
                <w:ilvl w:val="0"/>
                <w:numId w:val="1"/>
              </w:numPr>
              <w:keepLines w:val="0"/>
              <w:keepNext w:val="0"/>
              <w:pageBreakBefore w:val="0"/>
              <w:spacing w:line="430" w:lineRule="exact"/>
              <w:widowControl w:val="off"/>
              <w:tabs>
                <w:tab w:val="left" w:pos="420" w:leader="none"/>
              </w:tabs>
              <w:rPr>
                <w:rFonts w:ascii="宋体" w:hAnsi="宋体" w:cs="宋体"/>
                <w:color w:val="000000"/>
                <w:sz w:val="21"/>
                <w:szCs w:val="21"/>
                <w:highlight w:val="none"/>
              </w:rPr>
              <w:outlineLvl w:val="9"/>
            </w:pPr>
            <w:r>
              <w:rPr>
                <w:rFonts w:ascii="宋体" w:hAnsi="宋体" w:eastAsia="宋体" w:cs="宋体"/>
                <w:color w:val="000000"/>
                <w:sz w:val="21"/>
                <w:szCs w:val="21"/>
                <w:highlight w:val="none"/>
                <w:lang w:val="zh-CN"/>
              </w:rPr>
              <w:t xml:space="preserve">报价超过招标文件中规定的预算金额（总预算和单项预算）或者最高限价的；</w:t>
            </w:r>
            <w:r>
              <w:rPr>
                <w:rFonts w:ascii="宋体" w:hAnsi="宋体" w:cs="宋体"/>
              </w:rPr>
            </w:r>
            <w:r/>
          </w:p>
          <w:p>
            <w:pPr>
              <w:pStyle w:val="941"/>
              <w:numPr>
                <w:ilvl w:val="0"/>
                <w:numId w:val="1"/>
              </w:numPr>
              <w:keepLines w:val="0"/>
              <w:keepNext w:val="0"/>
              <w:pageBreakBefore w:val="0"/>
              <w:spacing w:line="430" w:lineRule="exact"/>
              <w:widowControl w:val="off"/>
              <w:tabs>
                <w:tab w:val="left" w:pos="420" w:leader="none"/>
              </w:tabs>
              <w:rPr>
                <w:rFonts w:ascii="宋体" w:hAnsi="宋体" w:cs="宋体"/>
                <w:color w:val="000000"/>
                <w:sz w:val="21"/>
                <w:szCs w:val="21"/>
                <w:highlight w:val="none"/>
              </w:rPr>
              <w:outlineLvl w:val="9"/>
            </w:pPr>
            <w:r>
              <w:rPr>
                <w:rFonts w:ascii="宋体" w:hAnsi="宋体" w:eastAsia="宋体" w:cs="宋体"/>
                <w:color w:val="000000"/>
                <w:sz w:val="21"/>
                <w:szCs w:val="21"/>
                <w:highlight w:val="none"/>
                <w:lang w:val="zh-CN"/>
              </w:rPr>
              <w:t xml:space="preserve">投标文件含有采购人不能接受的附加条件的；</w:t>
            </w:r>
            <w:r>
              <w:rPr>
                <w:rFonts w:ascii="宋体" w:hAnsi="宋体" w:cs="宋体"/>
              </w:rPr>
            </w:r>
            <w:r/>
          </w:p>
          <w:p>
            <w:pPr>
              <w:pStyle w:val="941"/>
              <w:numPr>
                <w:ilvl w:val="0"/>
                <w:numId w:val="1"/>
              </w:numPr>
              <w:keepLines w:val="0"/>
              <w:keepNext w:val="0"/>
              <w:pageBreakBefore w:val="0"/>
              <w:spacing w:line="430" w:lineRule="exact"/>
              <w:widowControl w:val="off"/>
              <w:tabs>
                <w:tab w:val="left" w:pos="420" w:leader="none"/>
              </w:tabs>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平台报名系统内投标单位（投标单位）的报名名称（CA用户名）与投标文件中投标单位（投标单位）名称不一致的；</w:t>
            </w:r>
            <w:r>
              <w:rPr>
                <w:rFonts w:ascii="宋体" w:hAnsi="宋体" w:cs="宋体"/>
              </w:rPr>
            </w:r>
            <w:r/>
          </w:p>
          <w:p>
            <w:pPr>
              <w:pStyle w:val="941"/>
              <w:numPr>
                <w:ilvl w:val="0"/>
                <w:numId w:val="1"/>
              </w:numPr>
              <w:keepLines w:val="0"/>
              <w:keepNext w:val="0"/>
              <w:pageBreakBefore w:val="0"/>
              <w:spacing w:line="430" w:lineRule="exact"/>
              <w:widowControl w:val="off"/>
              <w:tabs>
                <w:tab w:val="left" w:pos="420" w:leader="none"/>
              </w:tabs>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因投标单位自身原因导致网上投标文件无法递交的其他情况；</w:t>
            </w:r>
            <w:r>
              <w:rPr>
                <w:rFonts w:ascii="宋体" w:hAnsi="宋体" w:cs="宋体"/>
              </w:rPr>
            </w:r>
            <w:r/>
          </w:p>
          <w:p>
            <w:pPr>
              <w:pStyle w:val="941"/>
              <w:numPr>
                <w:ilvl w:val="0"/>
                <w:numId w:val="1"/>
              </w:numPr>
              <w:keepLines w:val="0"/>
              <w:keepNext w:val="0"/>
              <w:pageBreakBefore w:val="0"/>
              <w:spacing w:line="430" w:lineRule="exact"/>
              <w:widowControl w:val="off"/>
              <w:tabs>
                <w:tab w:val="left" w:pos="420" w:leader="none"/>
              </w:tabs>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不同投标（响应）文件制作机器码一致的；</w:t>
            </w:r>
            <w:r>
              <w:rPr>
                <w:rFonts w:ascii="宋体" w:hAnsi="宋体" w:cs="宋体"/>
              </w:rPr>
            </w:r>
            <w:r/>
          </w:p>
          <w:p>
            <w:pPr>
              <w:pStyle w:val="941"/>
              <w:numPr>
                <w:ilvl w:val="0"/>
                <w:numId w:val="1"/>
              </w:numPr>
              <w:keepLines w:val="0"/>
              <w:keepNext w:val="0"/>
              <w:pageBreakBefore w:val="0"/>
              <w:spacing w:line="430" w:lineRule="exact"/>
              <w:widowControl w:val="off"/>
              <w:tabs>
                <w:tab w:val="left" w:pos="420" w:leader="none"/>
              </w:tabs>
              <w:rPr>
                <w:rFonts w:ascii="宋体" w:hAnsi="宋体" w:cs="宋体"/>
                <w:color w:val="000000"/>
                <w:sz w:val="21"/>
                <w:szCs w:val="21"/>
                <w:highlight w:val="none"/>
              </w:rPr>
              <w:outlineLvl w:val="9"/>
            </w:pPr>
            <w:r>
              <w:rPr>
                <w:rFonts w:ascii="宋体" w:hAnsi="宋体" w:eastAsia="宋体" w:cs="宋体"/>
                <w:color w:val="000000"/>
                <w:sz w:val="21"/>
                <w:szCs w:val="21"/>
                <w:highlight w:val="none"/>
                <w:lang w:val="zh-CN"/>
              </w:rPr>
              <w:t xml:space="preserve">法律、法规和招标文件规定的其他无效情形。</w:t>
            </w:r>
            <w:r>
              <w:rPr>
                <w:rFonts w:ascii="宋体" w:hAnsi="宋体" w:cs="宋体"/>
              </w:rPr>
            </w:r>
            <w:r/>
          </w:p>
        </w:tc>
      </w:tr>
      <w:tr>
        <w:trPr>
          <w:cantSplit/>
          <w:trHeight w:val="454"/>
        </w:trPr>
        <w:tc>
          <w:tcPr>
            <w:tcW w:w="943" w:type="dxa"/>
            <w:vAlign w:val="center"/>
            <w:textDirection w:val="lrTb"/>
            <w:noWrap w:val="false"/>
          </w:tcPr>
          <w:p>
            <w:pPr>
              <w:pStyle w:val="941"/>
              <w:ind w:firstLine="0"/>
              <w:jc w:val="center"/>
              <w:keepLines w:val="0"/>
              <w:keepNext w:val="0"/>
              <w:pageBreakBefore w:val="0"/>
              <w:spacing w:line="430" w:lineRule="exact"/>
              <w:widowControl w:val="off"/>
              <w:tabs>
                <w:tab w:val="left" w:pos="252" w:leader="none"/>
              </w:tabs>
              <w:rPr>
                <w:rFonts w:ascii="宋体" w:hAnsi="宋体" w:cs="宋体"/>
                <w:color w:val="000000"/>
                <w:sz w:val="21"/>
                <w:szCs w:val="21"/>
                <w:highlight w:val="none"/>
              </w:rPr>
              <w:outlineLvl w:val="9"/>
            </w:pPr>
            <w:r>
              <w:rPr>
                <w:rFonts w:ascii="宋体" w:hAnsi="宋体" w:cs="宋体"/>
                <w:color w:val="000000"/>
                <w:sz w:val="21"/>
                <w:szCs w:val="21"/>
                <w:highlight w:val="none"/>
              </w:rPr>
              <w:t xml:space="preserve">20</w:t>
            </w:r>
            <w:r>
              <w:rPr>
                <w:rFonts w:ascii="宋体" w:hAnsi="宋体" w:cs="宋体"/>
              </w:rPr>
            </w:r>
            <w:r/>
          </w:p>
        </w:tc>
        <w:tc>
          <w:tcPr>
            <w:tcW w:w="2173" w:type="dxa"/>
            <w:vAlign w:val="center"/>
            <w:textDirection w:val="lrTb"/>
            <w:noWrap w:val="false"/>
          </w:tcPr>
          <w:p>
            <w:pPr>
              <w:pStyle w:val="941"/>
              <w:ind w:firstLine="0"/>
              <w:jc w:val="center"/>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lang w:val="zh-CN"/>
              </w:rPr>
              <w:t xml:space="preserve">导致废标因素</w:t>
            </w:r>
            <w:r>
              <w:rPr>
                <w:rFonts w:ascii="宋体" w:hAnsi="宋体" w:cs="宋体"/>
              </w:rPr>
            </w:r>
            <w:r/>
          </w:p>
        </w:tc>
        <w:tc>
          <w:tcPr>
            <w:tcW w:w="7002" w:type="dxa"/>
            <w:vAlign w:val="center"/>
            <w:textDirection w:val="lrTb"/>
            <w:noWrap w:val="false"/>
          </w:tcPr>
          <w:p>
            <w:pPr>
              <w:pStyle w:val="941"/>
              <w:ind w:firstLine="0"/>
              <w:keepLines w:val="0"/>
              <w:keepNext w:val="0"/>
              <w:pageBreakBefore w:val="0"/>
              <w:spacing w:line="43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lang w:val="zh-CN"/>
              </w:rPr>
              <w:t xml:space="preserve">出现下列情形之一的，为废标：</w:t>
            </w:r>
            <w:r>
              <w:rPr>
                <w:rFonts w:ascii="宋体" w:hAnsi="宋体" w:cs="宋体"/>
              </w:rPr>
            </w:r>
            <w:r/>
          </w:p>
          <w:p>
            <w:pPr>
              <w:pStyle w:val="941"/>
              <w:numPr>
                <w:ilvl w:val="0"/>
                <w:numId w:val="2"/>
              </w:numPr>
              <w:keepLines w:val="0"/>
              <w:keepNext w:val="0"/>
              <w:pageBreakBefore w:val="0"/>
              <w:spacing w:line="430" w:lineRule="exact"/>
              <w:widowControl w:val="off"/>
              <w:tabs>
                <w:tab w:val="left" w:pos="420" w:leader="none"/>
              </w:tabs>
              <w:rPr>
                <w:rFonts w:ascii="宋体" w:hAnsi="宋体" w:cs="宋体"/>
                <w:color w:val="000000"/>
                <w:sz w:val="21"/>
                <w:szCs w:val="21"/>
                <w:highlight w:val="none"/>
              </w:rPr>
              <w:outlineLvl w:val="9"/>
            </w:pPr>
            <w:r>
              <w:rPr>
                <w:rFonts w:ascii="宋体" w:hAnsi="宋体" w:eastAsia="宋体" w:cs="宋体"/>
                <w:color w:val="000000"/>
                <w:sz w:val="21"/>
                <w:szCs w:val="21"/>
                <w:highlight w:val="none"/>
                <w:lang w:val="zh-CN"/>
              </w:rPr>
              <w:t xml:space="preserve">符合专业条件的供应商或者对招标文件作实质响应的供应商不足三家的；</w:t>
            </w:r>
            <w:r>
              <w:rPr>
                <w:rFonts w:ascii="宋体" w:hAnsi="宋体" w:cs="宋体"/>
              </w:rPr>
            </w:r>
            <w:r/>
          </w:p>
          <w:p>
            <w:pPr>
              <w:pStyle w:val="941"/>
              <w:numPr>
                <w:ilvl w:val="0"/>
                <w:numId w:val="2"/>
              </w:numPr>
              <w:keepLines w:val="0"/>
              <w:keepNext w:val="0"/>
              <w:pageBreakBefore w:val="0"/>
              <w:spacing w:line="430" w:lineRule="exact"/>
              <w:widowControl w:val="off"/>
              <w:tabs>
                <w:tab w:val="left" w:pos="420" w:leader="none"/>
              </w:tabs>
              <w:rPr>
                <w:rFonts w:ascii="宋体" w:hAnsi="宋体" w:cs="宋体"/>
                <w:color w:val="000000"/>
                <w:sz w:val="21"/>
                <w:szCs w:val="21"/>
                <w:highlight w:val="none"/>
              </w:rPr>
              <w:outlineLvl w:val="9"/>
            </w:pPr>
            <w:r>
              <w:rPr>
                <w:rFonts w:ascii="宋体" w:hAnsi="宋体" w:eastAsia="宋体" w:cs="宋体"/>
                <w:color w:val="000000"/>
                <w:sz w:val="21"/>
                <w:szCs w:val="21"/>
                <w:highlight w:val="none"/>
                <w:lang w:val="zh-CN"/>
              </w:rPr>
              <w:t xml:space="preserve">出现影响采购公正的违法、违规行为的；</w:t>
            </w:r>
            <w:r>
              <w:rPr>
                <w:rFonts w:ascii="宋体" w:hAnsi="宋体" w:cs="宋体"/>
              </w:rPr>
            </w:r>
            <w:r/>
          </w:p>
          <w:p>
            <w:pPr>
              <w:pStyle w:val="941"/>
              <w:numPr>
                <w:ilvl w:val="0"/>
                <w:numId w:val="2"/>
              </w:numPr>
              <w:keepLines w:val="0"/>
              <w:keepNext w:val="0"/>
              <w:pageBreakBefore w:val="0"/>
              <w:spacing w:line="430" w:lineRule="exact"/>
              <w:widowControl w:val="off"/>
              <w:tabs>
                <w:tab w:val="left" w:pos="420" w:leader="none"/>
              </w:tabs>
              <w:rPr>
                <w:rFonts w:ascii="宋体" w:hAnsi="宋体" w:cs="宋体"/>
                <w:color w:val="000000"/>
                <w:sz w:val="21"/>
                <w:szCs w:val="21"/>
                <w:highlight w:val="none"/>
              </w:rPr>
              <w:outlineLvl w:val="9"/>
            </w:pPr>
            <w:r>
              <w:rPr>
                <w:rFonts w:ascii="宋体" w:hAnsi="宋体" w:eastAsia="宋体" w:cs="宋体"/>
                <w:color w:val="000000"/>
                <w:sz w:val="21"/>
                <w:szCs w:val="21"/>
                <w:highlight w:val="none"/>
                <w:lang w:val="zh-CN"/>
              </w:rPr>
              <w:t xml:space="preserve">投标人的报价均超过了采购预算（总预算和单项预算）或者最高限价的，采购人不能支付的； </w:t>
            </w:r>
            <w:r>
              <w:rPr>
                <w:rFonts w:ascii="宋体" w:hAnsi="宋体" w:cs="宋体"/>
              </w:rPr>
            </w:r>
            <w:r/>
          </w:p>
          <w:p>
            <w:pPr>
              <w:pStyle w:val="941"/>
              <w:numPr>
                <w:ilvl w:val="0"/>
                <w:numId w:val="2"/>
              </w:numPr>
              <w:keepLines w:val="0"/>
              <w:keepNext w:val="0"/>
              <w:pageBreakBefore w:val="0"/>
              <w:spacing w:line="430" w:lineRule="exact"/>
              <w:widowControl w:val="off"/>
              <w:tabs>
                <w:tab w:val="left" w:pos="420" w:leader="none"/>
              </w:tabs>
              <w:rPr>
                <w:rFonts w:ascii="宋体" w:hAnsi="宋体" w:cs="宋体"/>
                <w:color w:val="000000"/>
                <w:sz w:val="21"/>
                <w:szCs w:val="21"/>
                <w:highlight w:val="none"/>
              </w:rPr>
              <w:outlineLvl w:val="9"/>
            </w:pPr>
            <w:r>
              <w:rPr>
                <w:rFonts w:ascii="宋体" w:hAnsi="宋体" w:eastAsia="宋体" w:cs="宋体"/>
                <w:color w:val="000000"/>
                <w:sz w:val="21"/>
                <w:szCs w:val="21"/>
                <w:highlight w:val="none"/>
                <w:lang w:val="zh-CN"/>
              </w:rPr>
              <w:t xml:space="preserve">因重大变故，采购任务取消的。</w:t>
            </w:r>
            <w:r>
              <w:rPr>
                <w:rFonts w:ascii="宋体" w:hAnsi="宋体" w:cs="宋体"/>
              </w:rPr>
            </w:r>
            <w:r/>
          </w:p>
        </w:tc>
      </w:tr>
    </w:tbl>
    <w:p>
      <w:pPr>
        <w:pStyle w:val="885"/>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rPr>
          <w:rFonts w:ascii="宋体" w:hAnsi="宋体" w:cs="宋体"/>
        </w:rPr>
      </w:r>
      <w:r/>
    </w:p>
    <w:p>
      <w:pPr>
        <w:pStyle w:val="885"/>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rPr>
          <w:rFonts w:ascii="宋体" w:hAnsi="宋体" w:cs="宋体"/>
        </w:rPr>
      </w:r>
      <w:r/>
    </w:p>
    <w:p>
      <w:pPr>
        <w:pStyle w:val="104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102"/>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102"/>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102"/>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102"/>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102"/>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04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918"/>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918"/>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918"/>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918"/>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918"/>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918"/>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918"/>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918"/>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045"/>
        <w:rPr>
          <w:rFonts w:hint="eastAsia" w:ascii="宋体" w:hAnsi="宋体" w:cs="宋体"/>
          <w:color w:val="000000"/>
          <w:highlight w:val="none"/>
        </w:rPr>
      </w:pPr>
      <w:r>
        <w:rPr>
          <w:rFonts w:hint="eastAsia" w:ascii="宋体" w:hAnsi="宋体" w:cs="宋体"/>
          <w:color w:val="000000"/>
          <w:highlight w:val="none"/>
        </w:rPr>
      </w:r>
      <w:r>
        <w:rPr>
          <w:rFonts w:hint="eastAsia" w:ascii="宋体" w:hAnsi="宋体" w:cs="宋体"/>
          <w:color w:val="000000"/>
          <w:highlight w:val="none"/>
        </w:rPr>
      </w:r>
      <w:r/>
    </w:p>
    <w:p>
      <w:pPr>
        <w:pStyle w:val="1045"/>
        <w:rPr>
          <w:rFonts w:hint="eastAsia" w:ascii="宋体" w:hAnsi="宋体" w:cs="宋体"/>
          <w:color w:val="000000"/>
          <w:highlight w:val="none"/>
        </w:rPr>
      </w:pPr>
      <w:r>
        <w:rPr>
          <w:rFonts w:hint="eastAsia" w:ascii="宋体" w:hAnsi="宋体" w:cs="宋体"/>
          <w:color w:val="000000"/>
          <w:highlight w:val="none"/>
        </w:rPr>
      </w:r>
      <w:r>
        <w:rPr>
          <w:rFonts w:hint="eastAsia" w:ascii="宋体" w:hAnsi="宋体" w:cs="宋体"/>
          <w:color w:val="000000"/>
          <w:highlight w:val="none"/>
        </w:rPr>
      </w:r>
      <w:r/>
    </w:p>
    <w:p>
      <w:pPr>
        <w:pStyle w:val="1045"/>
        <w:tabs>
          <w:tab w:val="left" w:pos="5386" w:leader="none"/>
        </w:tabs>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jc w:val="center"/>
        <w:rPr>
          <w:rFonts w:ascii="宋体" w:hAnsi="宋体" w:cs="宋体"/>
          <w:b/>
          <w:bCs/>
          <w:color w:val="000000"/>
          <w:sz w:val="36"/>
          <w:szCs w:val="36"/>
          <w:highlight w:val="none"/>
        </w:rPr>
      </w:pPr>
      <w:r>
        <w:rPr>
          <w:rFonts w:hint="eastAsia" w:ascii="宋体" w:hAnsi="宋体" w:eastAsia="宋体" w:cs="宋体"/>
          <w:b/>
          <w:bCs/>
          <w:color w:val="000000"/>
          <w:sz w:val="36"/>
          <w:szCs w:val="36"/>
          <w:highlight w:val="none"/>
        </w:rPr>
        <w:t xml:space="preserve">第一章</w:t>
      </w:r>
      <w:r>
        <w:rPr>
          <w:rFonts w:ascii="宋体" w:hAnsi="宋体" w:cs="宋体"/>
          <w:b/>
          <w:bCs/>
          <w:color w:val="000000"/>
          <w:sz w:val="36"/>
          <w:szCs w:val="36"/>
          <w:highlight w:val="none"/>
        </w:rPr>
        <w:t xml:space="preserve">  </w:t>
      </w:r>
      <w:r>
        <w:rPr>
          <w:rFonts w:hint="eastAsia" w:ascii="宋体" w:hAnsi="宋体" w:eastAsia="宋体" w:cs="宋体"/>
          <w:b/>
          <w:bCs/>
          <w:color w:val="000000"/>
          <w:sz w:val="36"/>
          <w:szCs w:val="36"/>
          <w:highlight w:val="none"/>
        </w:rPr>
        <w:t xml:space="preserve">投标邀请函</w:t>
      </w:r>
      <w:r>
        <w:rPr>
          <w:rFonts w:ascii="宋体" w:hAnsi="宋体" w:cs="宋体"/>
        </w:rPr>
      </w:r>
      <w:r/>
    </w:p>
    <w:p>
      <w:pPr>
        <w:pStyle w:val="885"/>
        <w:ind w:firstLine="420"/>
        <w:pageBreakBefore w:val="0"/>
        <w:spacing w:line="440" w:lineRule="exact"/>
        <w:rPr>
          <w:rFonts w:hint="eastAsia" w:ascii="宋体" w:hAnsi="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highlight w:val="none"/>
        </w:rPr>
        <w:t xml:space="preserve">项目概况</w:t>
      </w:r>
      <w:r>
        <w:rPr>
          <w:rFonts w:ascii="宋体" w:hAnsi="宋体" w:cs="宋体"/>
        </w:rPr>
      </w:r>
      <w:r/>
    </w:p>
    <w:p>
      <w:pPr>
        <w:pStyle w:val="885"/>
        <w:ind w:firstLine="420"/>
        <w:pageBreakBefore w:val="0"/>
        <w:spacing w:line="440" w:lineRule="exact"/>
        <w:rPr>
          <w:rFonts w:hint="eastAsia" w:ascii="宋体" w:hAnsi="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highlight w:val="none"/>
          <w:u w:val="single"/>
          <w:lang w:eastAsia="zh-CN"/>
        </w:rPr>
        <w:t xml:space="preserve">异地新建实训室设施设备采购项目</w:t>
      </w:r>
      <w:r>
        <w:rPr>
          <w:rFonts w:hint="eastAsia" w:ascii="宋体" w:hAnsi="宋体" w:eastAsia="宋体" w:cs="宋体"/>
          <w:color w:val="000000"/>
          <w:sz w:val="21"/>
          <w:szCs w:val="21"/>
          <w:highlight w:val="none"/>
        </w:rPr>
        <w:t xml:space="preserve">的潜在投标人应在</w:t>
      </w:r>
      <w:r>
        <w:rPr>
          <w:rFonts w:hint="eastAsia" w:ascii="宋体" w:hAnsi="宋体" w:eastAsia="宋体" w:cs="宋体"/>
          <w:color w:val="000000"/>
          <w:sz w:val="21"/>
          <w:szCs w:val="21"/>
          <w:highlight w:val="none"/>
          <w:u w:val="single"/>
        </w:rPr>
        <w:t xml:space="preserve">苏采云政府采购一体化平台</w:t>
      </w:r>
      <w:r>
        <w:rPr>
          <w:rFonts w:hint="eastAsia" w:ascii="宋体" w:hAnsi="宋体" w:eastAsia="宋体" w:cs="宋体"/>
          <w:color w:val="000000"/>
          <w:sz w:val="21"/>
          <w:szCs w:val="21"/>
          <w:highlight w:val="none"/>
        </w:rPr>
        <w:t xml:space="preserve">获取招标文件，并于</w:t>
      </w:r>
      <w:r>
        <w:rPr>
          <w:rFonts w:hint="eastAsia" w:ascii="宋体" w:hAnsi="宋体" w:eastAsia="宋体" w:cs="宋体"/>
          <w:color w:val="000000"/>
          <w:sz w:val="21"/>
          <w:szCs w:val="21"/>
          <w:highlight w:val="none"/>
          <w:u w:val="single"/>
        </w:rPr>
        <w:t xml:space="preserve">202</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年</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月15</w:t>
      </w:r>
      <w:r>
        <w:rPr>
          <w:rFonts w:hint="eastAsia" w:ascii="宋体" w:hAnsi="宋体" w:eastAsia="宋体" w:cs="宋体"/>
          <w:color w:val="000000"/>
          <w:sz w:val="21"/>
          <w:szCs w:val="21"/>
          <w:highlight w:val="none"/>
          <w:u w:val="single"/>
        </w:rPr>
        <w:t xml:space="preserve">日9点30分（北京时间）</w:t>
      </w:r>
      <w:r>
        <w:rPr>
          <w:rFonts w:hint="eastAsia" w:ascii="宋体" w:hAnsi="宋体" w:eastAsia="宋体" w:cs="宋体"/>
          <w:color w:val="000000"/>
          <w:sz w:val="21"/>
          <w:szCs w:val="21"/>
          <w:highlight w:val="none"/>
        </w:rPr>
        <w:t xml:space="preserve">前提交投标文件。</w:t>
      </w:r>
      <w:r>
        <w:rPr>
          <w:rFonts w:ascii="宋体" w:hAnsi="宋体" w:cs="宋体"/>
        </w:rPr>
      </w:r>
      <w:r/>
    </w:p>
    <w:p>
      <w:pPr>
        <w:pStyle w:val="887"/>
        <w:ind w:left="0" w:firstLine="422"/>
        <w:pageBreakBefore w:val="0"/>
        <w:spacing w:before="0" w:after="0" w:line="440" w:lineRule="exact"/>
        <w:tabs>
          <w:tab w:val="left" w:pos="576" w:leader="none"/>
        </w:tabs>
        <w:rPr>
          <w:rFonts w:hint="eastAsia" w:ascii="宋体" w:hAnsi="宋体" w:cs="宋体"/>
          <w:color w:val="000000"/>
          <w:sz w:val="21"/>
          <w:szCs w:val="21"/>
          <w:highlight w:val="none"/>
        </w:rPr>
      </w:pPr>
      <w:r>
        <w:rPr>
          <w:rFonts w:ascii="宋体" w:hAnsi="宋体" w:cs="宋体"/>
        </w:rPr>
      </w:r>
      <w:bookmarkStart w:id="0" w:name="_Toc35393629"/>
      <w:r>
        <w:rPr>
          <w:rFonts w:ascii="宋体" w:hAnsi="宋体" w:cs="宋体"/>
        </w:rPr>
      </w:r>
      <w:bookmarkStart w:id="1" w:name="_Toc28359089"/>
      <w:r>
        <w:rPr>
          <w:rFonts w:ascii="宋体" w:hAnsi="宋体" w:cs="宋体"/>
        </w:rPr>
      </w:r>
      <w:bookmarkStart w:id="2" w:name="_Toc28359012"/>
      <w:r>
        <w:rPr>
          <w:rFonts w:ascii="宋体" w:hAnsi="宋体" w:cs="宋体"/>
        </w:rPr>
      </w:r>
      <w:bookmarkStart w:id="3" w:name="_Toc35393798"/>
      <w:r>
        <w:rPr>
          <w:rFonts w:hint="eastAsia" w:ascii="宋体" w:hAnsi="宋体" w:eastAsia="宋体" w:cs="宋体"/>
          <w:color w:val="000000"/>
          <w:sz w:val="21"/>
          <w:szCs w:val="21"/>
          <w:highlight w:val="none"/>
        </w:rPr>
        <w:t xml:space="preserve">一、项目基本情况</w:t>
      </w:r>
      <w:bookmarkEnd w:id="0"/>
      <w:r>
        <w:rPr>
          <w:rFonts w:ascii="宋体" w:hAnsi="宋体" w:cs="宋体"/>
        </w:rPr>
      </w:r>
      <w:bookmarkEnd w:id="1"/>
      <w:r>
        <w:rPr>
          <w:rFonts w:ascii="宋体" w:hAnsi="宋体" w:cs="宋体"/>
        </w:rPr>
      </w:r>
      <w:bookmarkEnd w:id="2"/>
      <w:r>
        <w:rPr>
          <w:rFonts w:ascii="宋体" w:hAnsi="宋体" w:cs="宋体"/>
        </w:rPr>
      </w:r>
      <w:bookmarkEnd w:id="3"/>
      <w:r>
        <w:rPr>
          <w:rFonts w:ascii="宋体" w:hAnsi="宋体" w:cs="宋体"/>
        </w:rPr>
      </w:r>
      <w:r/>
    </w:p>
    <w:p>
      <w:pPr>
        <w:pStyle w:val="88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lang w:eastAsia="zh-CN"/>
        </w:rPr>
        <w:t xml:space="preserve">JSZC-320509-SXHC-G2026-0010</w:t>
      </w:r>
      <w:r>
        <w:rPr>
          <w:rFonts w:hint="eastAsia" w:ascii="宋体" w:hAnsi="宋体" w:eastAsia="宋体" w:cs="宋体"/>
          <w:color w:val="000000"/>
          <w:sz w:val="21"/>
          <w:szCs w:val="21"/>
          <w:highlight w:val="none"/>
        </w:rPr>
        <w:t xml:space="preserve">号</w:t>
      </w:r>
      <w:r>
        <w:rPr>
          <w:rFonts w:ascii="宋体" w:hAnsi="宋体" w:cs="宋体"/>
        </w:rPr>
      </w:r>
      <w:r/>
    </w:p>
    <w:p>
      <w:pPr>
        <w:pStyle w:val="88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异地新建实训室设施设备采购项目</w:t>
      </w:r>
      <w:r>
        <w:rPr>
          <w:rFonts w:ascii="宋体" w:hAnsi="宋体" w:cs="宋体"/>
        </w:rPr>
      </w:r>
      <w:r/>
    </w:p>
    <w:p>
      <w:pPr>
        <w:pStyle w:val="88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采购方式：公开招标</w:t>
      </w:r>
      <w:r>
        <w:rPr>
          <w:rFonts w:ascii="宋体" w:hAnsi="宋体" w:cs="宋体"/>
        </w:rPr>
      </w:r>
      <w:r/>
    </w:p>
    <w:p>
      <w:pPr>
        <w:pStyle w:val="88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eastAsia="zh-CN"/>
        </w:rPr>
        <w:t xml:space="preserve">预算金额：人民币</w:t>
      </w:r>
      <w:r>
        <w:rPr>
          <w:rFonts w:hint="eastAsia" w:ascii="宋体" w:hAnsi="宋体" w:eastAsia="宋体" w:cs="宋体"/>
          <w:color w:val="000000"/>
          <w:sz w:val="21"/>
          <w:szCs w:val="21"/>
          <w:highlight w:val="none"/>
          <w:lang w:val="en-US" w:eastAsia="zh-CN"/>
        </w:rPr>
        <w:t xml:space="preserve">壹仟壹佰玖拾叁万伍仟捌佰伍拾陆</w:t>
      </w:r>
      <w:r>
        <w:rPr>
          <w:rFonts w:hint="eastAsia" w:ascii="宋体" w:hAnsi="宋体" w:eastAsia="宋体" w:cs="宋体"/>
          <w:color w:val="000000"/>
          <w:sz w:val="21"/>
          <w:szCs w:val="21"/>
          <w:highlight w:val="none"/>
          <w:lang w:eastAsia="zh-CN"/>
        </w:rPr>
        <w:t xml:space="preserve">元整（¥</w:t>
      </w:r>
      <w:r>
        <w:rPr>
          <w:rFonts w:hint="eastAsia" w:ascii="宋体" w:hAnsi="宋体" w:eastAsia="宋体" w:cs="宋体"/>
          <w:color w:val="000000"/>
          <w:sz w:val="21"/>
          <w:szCs w:val="21"/>
          <w:highlight w:val="none"/>
          <w:lang w:val="en-US" w:eastAsia="zh-CN"/>
        </w:rPr>
        <w:t xml:space="preserve">11935856</w:t>
      </w:r>
      <w:r>
        <w:rPr>
          <w:rFonts w:hint="eastAsia" w:ascii="宋体" w:hAnsi="宋体" w:eastAsia="宋体" w:cs="宋体"/>
          <w:color w:val="000000"/>
          <w:sz w:val="21"/>
          <w:szCs w:val="21"/>
          <w:highlight w:val="none"/>
          <w:lang w:eastAsia="zh-CN"/>
        </w:rPr>
        <w:t xml:space="preserve">.00），具体分标段预算如下：</w:t>
      </w:r>
      <w:r>
        <w:rPr>
          <w:rFonts w:ascii="宋体" w:hAnsi="宋体" w:cs="宋体"/>
        </w:rPr>
      </w:r>
      <w:r/>
    </w:p>
    <w:tbl>
      <w:tblPr>
        <w:tblStyle w:val="9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393"/>
        <w:gridCol w:w="3835"/>
        <w:gridCol w:w="4103"/>
      </w:tblGrid>
      <w:tr>
        <w:trPr/>
        <w:tc>
          <w:tcPr>
            <w:tcW w:w="787" w:type="dxa"/>
            <w:vAlign w:val="center"/>
            <w:textDirection w:val="lrTb"/>
            <w:noWrap w:val="false"/>
          </w:tcPr>
          <w:p>
            <w:pPr>
              <w:pStyle w:val="885"/>
              <w:ind w:left="0" w:firstLine="0"/>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序号</w:t>
            </w:r>
            <w:r>
              <w:rPr>
                <w:rFonts w:ascii="宋体" w:hAnsi="宋体" w:cs="宋体"/>
              </w:rPr>
            </w:r>
            <w:r/>
          </w:p>
        </w:tc>
        <w:tc>
          <w:tcPr>
            <w:tcW w:w="1393" w:type="dxa"/>
            <w:vAlign w:val="center"/>
            <w:textDirection w:val="lrTb"/>
            <w:noWrap w:val="false"/>
          </w:tcPr>
          <w:p>
            <w:pPr>
              <w:pStyle w:val="885"/>
              <w:ind w:left="0" w:firstLine="0"/>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标段号</w:t>
            </w:r>
            <w:r>
              <w:rPr>
                <w:rFonts w:ascii="宋体" w:hAnsi="宋体" w:cs="宋体"/>
              </w:rPr>
            </w:r>
            <w:r/>
          </w:p>
        </w:tc>
        <w:tc>
          <w:tcPr>
            <w:tcW w:w="3835" w:type="dxa"/>
            <w:vAlign w:val="center"/>
            <w:textDirection w:val="lrTb"/>
            <w:noWrap w:val="false"/>
          </w:tcPr>
          <w:p>
            <w:pPr>
              <w:pStyle w:val="885"/>
              <w:ind w:left="0" w:firstLine="0"/>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名称</w:t>
            </w:r>
            <w:r>
              <w:rPr>
                <w:rFonts w:ascii="宋体" w:hAnsi="宋体" w:cs="宋体"/>
              </w:rPr>
            </w:r>
            <w:r/>
          </w:p>
        </w:tc>
        <w:tc>
          <w:tcPr>
            <w:tcW w:w="4103" w:type="dxa"/>
            <w:vAlign w:val="center"/>
            <w:textDirection w:val="lrTb"/>
            <w:noWrap w:val="false"/>
          </w:tcPr>
          <w:p>
            <w:pPr>
              <w:pStyle w:val="885"/>
              <w:ind w:left="0" w:firstLine="0"/>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预算金额</w:t>
            </w:r>
            <w:r>
              <w:rPr>
                <w:rFonts w:ascii="宋体" w:hAnsi="宋体" w:cs="宋体"/>
              </w:rPr>
            </w:r>
            <w:r/>
          </w:p>
        </w:tc>
      </w:tr>
      <w:tr>
        <w:trPr/>
        <w:tc>
          <w:tcPr>
            <w:tcW w:w="787" w:type="dxa"/>
            <w:vAlign w:val="center"/>
            <w:textDirection w:val="lrTb"/>
            <w:noWrap w:val="false"/>
          </w:tcPr>
          <w:p>
            <w:pPr>
              <w:pStyle w:val="885"/>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1</w:t>
            </w:r>
            <w:r>
              <w:rPr>
                <w:rFonts w:ascii="宋体" w:hAnsi="宋体" w:cs="宋体"/>
              </w:rPr>
            </w:r>
            <w:r/>
          </w:p>
        </w:tc>
        <w:tc>
          <w:tcPr>
            <w:tcW w:w="1393" w:type="dxa"/>
            <w:vAlign w:val="center"/>
            <w:textDirection w:val="lrTb"/>
            <w:noWrap w:val="false"/>
          </w:tcPr>
          <w:p>
            <w:pPr>
              <w:pStyle w:val="885"/>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第一标段</w:t>
            </w:r>
            <w:r>
              <w:rPr>
                <w:rFonts w:ascii="宋体" w:hAnsi="宋体" w:cs="宋体"/>
              </w:rPr>
            </w:r>
            <w:r/>
          </w:p>
        </w:tc>
        <w:tc>
          <w:tcPr>
            <w:tcW w:w="3835" w:type="dxa"/>
            <w:vAlign w:val="center"/>
            <w:textDirection w:val="lrTb"/>
            <w:noWrap w:val="false"/>
          </w:tcPr>
          <w:p>
            <w:pPr>
              <w:pStyle w:val="885"/>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lang w:eastAsia="zh-CN"/>
              </w:rPr>
              <w:t xml:space="preserve">异地新建实训室设施设备采购</w:t>
            </w:r>
            <w:r>
              <w:rPr>
                <w:rFonts w:hint="eastAsia" w:ascii="宋体" w:hAnsi="宋体" w:eastAsia="宋体" w:cs="宋体"/>
                <w:color w:val="000000"/>
                <w:sz w:val="21"/>
                <w:szCs w:val="21"/>
                <w:highlight w:val="none"/>
                <w:lang w:val="en-US" w:eastAsia="zh-CN"/>
              </w:rPr>
              <w:t xml:space="preserve">1</w:t>
            </w:r>
            <w:r>
              <w:rPr>
                <w:rFonts w:ascii="宋体" w:hAnsi="宋体" w:cs="宋体"/>
              </w:rPr>
            </w:r>
            <w:r/>
          </w:p>
        </w:tc>
        <w:tc>
          <w:tcPr>
            <w:tcW w:w="4103" w:type="dxa"/>
            <w:vAlign w:val="center"/>
            <w:textDirection w:val="lrTb"/>
            <w:noWrap w:val="false"/>
          </w:tcPr>
          <w:p>
            <w:pPr>
              <w:pStyle w:val="885"/>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人民币</w:t>
            </w:r>
            <w:r>
              <w:rPr>
                <w:rFonts w:hint="eastAsia" w:ascii="宋体" w:hAnsi="宋体" w:eastAsia="宋体" w:cs="宋体"/>
                <w:color w:val="000000"/>
                <w:sz w:val="21"/>
                <w:szCs w:val="21"/>
                <w:highlight w:val="none"/>
                <w:lang w:eastAsia="zh-CN"/>
              </w:rPr>
              <w:t xml:space="preserve">贰佰玖拾肆万捌仟零壹拾元整</w:t>
            </w:r>
            <w:r>
              <w:rPr>
                <w:rFonts w:ascii="宋体" w:hAnsi="宋体" w:cs="宋体"/>
              </w:rPr>
            </w:r>
            <w:r/>
          </w:p>
          <w:p>
            <w:pPr>
              <w:pStyle w:val="885"/>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vertAlign w:val="baseline"/>
                <w:lang w:val="en-US" w:eastAsia="zh-CN" w:bidi="ar-SA"/>
              </w:rPr>
              <w:t xml:space="preserve">2948010</w:t>
            </w:r>
            <w:r>
              <w:rPr>
                <w:rFonts w:hint="eastAsia" w:ascii="宋体" w:hAnsi="宋体" w:eastAsia="宋体" w:cs="宋体"/>
                <w:color w:val="000000"/>
                <w:sz w:val="21"/>
                <w:szCs w:val="21"/>
                <w:highlight w:val="none"/>
                <w:vertAlign w:val="baseline"/>
                <w:lang w:val="en-US" w:eastAsia="zh-CN" w:bidi="ar-SA"/>
              </w:rPr>
              <w:t xml:space="preserve">.00</w:t>
            </w:r>
            <w:r>
              <w:rPr>
                <w:rFonts w:hint="eastAsia" w:ascii="宋体" w:hAnsi="宋体" w:eastAsia="宋体" w:cs="宋体"/>
                <w:color w:val="000000"/>
                <w:sz w:val="21"/>
                <w:szCs w:val="21"/>
                <w:highlight w:val="none"/>
                <w:lang w:eastAsia="zh-CN"/>
              </w:rPr>
              <w:t xml:space="preserve">）</w:t>
            </w:r>
            <w:r>
              <w:rPr>
                <w:rFonts w:ascii="宋体" w:hAnsi="宋体" w:cs="宋体"/>
              </w:rPr>
            </w:r>
            <w:r/>
          </w:p>
        </w:tc>
      </w:tr>
      <w:tr>
        <w:trPr/>
        <w:tc>
          <w:tcPr>
            <w:tcW w:w="787" w:type="dxa"/>
            <w:vAlign w:val="center"/>
            <w:textDirection w:val="lrTb"/>
            <w:noWrap w:val="false"/>
          </w:tcPr>
          <w:p>
            <w:pPr>
              <w:pStyle w:val="885"/>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2</w:t>
            </w:r>
            <w:r>
              <w:rPr>
                <w:rFonts w:ascii="宋体" w:hAnsi="宋体" w:cs="宋体"/>
              </w:rPr>
            </w:r>
            <w:r/>
          </w:p>
        </w:tc>
        <w:tc>
          <w:tcPr>
            <w:tcW w:w="1393" w:type="dxa"/>
            <w:vAlign w:val="center"/>
            <w:textDirection w:val="lrTb"/>
            <w:noWrap w:val="false"/>
          </w:tcPr>
          <w:p>
            <w:pPr>
              <w:pStyle w:val="885"/>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第二标段</w:t>
            </w:r>
            <w:r>
              <w:rPr>
                <w:rFonts w:ascii="宋体" w:hAnsi="宋体" w:cs="宋体"/>
              </w:rPr>
            </w:r>
            <w:r/>
          </w:p>
        </w:tc>
        <w:tc>
          <w:tcPr>
            <w:tcW w:w="3835" w:type="dxa"/>
            <w:vAlign w:val="center"/>
            <w:textDirection w:val="lrTb"/>
            <w:noWrap w:val="false"/>
          </w:tcPr>
          <w:p>
            <w:pPr>
              <w:pStyle w:val="885"/>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lang w:eastAsia="zh-CN"/>
              </w:rPr>
              <w:t xml:space="preserve">异地新建实训室设施设备采购</w:t>
            </w:r>
            <w:r>
              <w:rPr>
                <w:rFonts w:hint="eastAsia" w:ascii="宋体" w:hAnsi="宋体" w:eastAsia="宋体" w:cs="宋体"/>
                <w:color w:val="000000"/>
                <w:sz w:val="21"/>
                <w:szCs w:val="21"/>
                <w:highlight w:val="none"/>
                <w:lang w:val="en-US" w:eastAsia="zh-CN"/>
              </w:rPr>
              <w:t xml:space="preserve">2</w:t>
            </w:r>
            <w:r>
              <w:rPr>
                <w:rFonts w:ascii="宋体" w:hAnsi="宋体" w:cs="宋体"/>
              </w:rPr>
            </w:r>
            <w:r/>
          </w:p>
        </w:tc>
        <w:tc>
          <w:tcPr>
            <w:tcW w:w="4103" w:type="dxa"/>
            <w:vAlign w:val="center"/>
            <w:textDirection w:val="lrTb"/>
            <w:noWrap w:val="false"/>
          </w:tcPr>
          <w:p>
            <w:pPr>
              <w:pStyle w:val="885"/>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人民币</w:t>
            </w:r>
            <w:r>
              <w:rPr>
                <w:rFonts w:hint="eastAsia" w:ascii="宋体" w:hAnsi="宋体" w:eastAsia="宋体" w:cs="宋体"/>
                <w:color w:val="000000"/>
                <w:sz w:val="21"/>
                <w:szCs w:val="21"/>
                <w:highlight w:val="none"/>
                <w:lang w:eastAsia="zh-CN"/>
              </w:rPr>
              <w:t xml:space="preserve">捌佰玖拾捌万柒仟捌佰肆拾陆元整</w:t>
            </w:r>
            <w:r>
              <w:rPr>
                <w:rFonts w:ascii="宋体" w:hAnsi="宋体" w:cs="宋体"/>
              </w:rPr>
            </w:r>
            <w:r/>
          </w:p>
          <w:p>
            <w:pPr>
              <w:pStyle w:val="885"/>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vertAlign w:val="baseline"/>
                <w:lang w:val="en-US" w:eastAsia="zh-CN" w:bidi="ar-SA"/>
              </w:rPr>
              <w:t xml:space="preserve">8987846</w:t>
            </w:r>
            <w:r>
              <w:rPr>
                <w:rFonts w:hint="eastAsia" w:ascii="宋体" w:hAnsi="宋体" w:eastAsia="宋体" w:cs="宋体"/>
                <w:color w:val="000000"/>
                <w:sz w:val="21"/>
                <w:szCs w:val="21"/>
                <w:highlight w:val="none"/>
                <w:vertAlign w:val="baseline"/>
                <w:lang w:val="en-US" w:eastAsia="zh-CN" w:bidi="ar-SA"/>
              </w:rPr>
              <w:t xml:space="preserve">.00</w:t>
            </w:r>
            <w:r>
              <w:rPr>
                <w:rFonts w:hint="eastAsia" w:ascii="宋体" w:hAnsi="宋体" w:eastAsia="宋体" w:cs="宋体"/>
                <w:color w:val="000000"/>
                <w:sz w:val="21"/>
                <w:szCs w:val="21"/>
                <w:highlight w:val="none"/>
                <w:lang w:eastAsia="zh-CN"/>
              </w:rPr>
              <w:t xml:space="preserve">）</w:t>
            </w:r>
            <w:r>
              <w:rPr>
                <w:rFonts w:ascii="宋体" w:hAnsi="宋体" w:cs="宋体"/>
              </w:rPr>
            </w:r>
            <w:r/>
          </w:p>
        </w:tc>
      </w:tr>
    </w:tbl>
    <w:p>
      <w:pPr>
        <w:pStyle w:val="88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eastAsia="zh-CN"/>
        </w:rPr>
        <w:t xml:space="preserve">最高限价：同预算金额</w:t>
      </w:r>
      <w:r>
        <w:rPr>
          <w:rFonts w:ascii="宋体" w:hAnsi="宋体" w:cs="宋体"/>
        </w:rPr>
      </w:r>
      <w:r/>
    </w:p>
    <w:p>
      <w:pPr>
        <w:pStyle w:val="88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采购需求：为满足丝绸中专教学实训与技能培养需求，现启动多院系实训设备采</w:t>
      </w:r>
      <w:r>
        <w:rPr>
          <w:rFonts w:hint="eastAsia" w:ascii="宋体" w:hAnsi="宋体" w:eastAsia="宋体" w:cs="宋体"/>
          <w:color w:val="000000"/>
          <w:sz w:val="21"/>
          <w:szCs w:val="21"/>
          <w:highlight w:val="none"/>
          <w:lang w:val="en-US" w:eastAsia="zh-CN"/>
        </w:rPr>
        <w:t xml:space="preserve">购项目。采购范围覆盖信息传媒系、商务管理系、纺织服装系3大院系，包含网络综合实训、数媒艺术实训、快递产业实训、电商产业实训、数智商务实训、智慧物流实训、焊接技术实训、纺织综合实训、服装工艺实训共9大实训系统，采购内容涵盖实训平台软件、专业设备、教学辅助设施及配套服务。所有采购设备及软件须符合相关国家标准与教学实训要求，具备良好的稳定性和兼容性，能够满足各院系专业教学、技能实训、赛事承办等多样化需求，助力学校构建产教融合的实训教学体系，提升学生实践操作能力与职业素养。具体采购清单及技术要求详见招标文件第四章。</w:t>
      </w:r>
      <w:r>
        <w:rPr>
          <w:rFonts w:ascii="宋体" w:hAnsi="宋体" w:cs="宋体"/>
        </w:rPr>
      </w:r>
      <w:r/>
    </w:p>
    <w:p>
      <w:pPr>
        <w:pStyle w:val="88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合同履行期限：</w:t>
      </w:r>
      <w:r>
        <w:rPr>
          <w:rFonts w:hint="eastAsia" w:ascii="宋体" w:hAnsi="宋体" w:eastAsia="宋体" w:cs="宋体"/>
          <w:color w:val="000000"/>
          <w:sz w:val="21"/>
          <w:szCs w:val="21"/>
          <w:highlight w:val="none"/>
        </w:rPr>
        <w:t xml:space="preserve">自合同签订生效之日起45日历天内，完成全部实训设备的供货、安装、调试工作，具体实施进度服从采购人统一安排。</w:t>
      </w:r>
      <w:r>
        <w:rPr>
          <w:rFonts w:ascii="宋体" w:hAnsi="宋体" w:cs="宋体"/>
        </w:rPr>
      </w:r>
      <w:r/>
    </w:p>
    <w:p>
      <w:pPr>
        <w:pStyle w:val="88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中标单位数量：本项目分两个标段实施采购，各标段独立评审，单个标段经资格审查、实质性响应采购需求且具备中标资格的有效供应商不得少于三家，不足三家的该标段本次采购失败；投标人可同时报名多个标段，无中标标</w:t>
      </w:r>
      <w:r>
        <w:rPr>
          <w:rFonts w:hint="eastAsia" w:ascii="宋体" w:hAnsi="宋体" w:eastAsia="宋体" w:cs="宋体"/>
          <w:color w:val="000000"/>
          <w:sz w:val="21"/>
          <w:szCs w:val="21"/>
          <w:highlight w:val="none"/>
          <w:lang w:val="en-US" w:eastAsia="zh-CN"/>
        </w:rPr>
        <w:t xml:space="preserve">段数量限制，同一投标人可同时中标两个标段，已递交某标段投标文件且实质性响应采购需求的供应商，无论其是否在前期标段评审中中标，均具备本标段中标资格，计入本标段有效响应供应商数量，其投标文件正常参与本标段技术、价格等全部评审环节；各标段按标段编号顺序依次开标，每个标段确定中标单位1名，投标人若同时中标两个标段，须具备同时履约两个标段的能力，严格按照各标段招标文件要求及采购合同约定完成项目实施、交付及相关服务，不得因多标段中标影响任一标段履约质量与进度，否则采购人有权取消其全部标段中标资格，并追究其相应违约责任。</w:t>
      </w:r>
      <w:r>
        <w:rPr>
          <w:rFonts w:ascii="宋体" w:hAnsi="宋体" w:cs="宋体"/>
        </w:rPr>
      </w:r>
      <w:r/>
    </w:p>
    <w:p>
      <w:pPr>
        <w:pStyle w:val="88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验收标准：本项目各标段实训系统设备须符合对应规格参数、技术条件，满足国家相关行业标准、招标文件要求及中标</w:t>
      </w:r>
      <w:r>
        <w:rPr>
          <w:rFonts w:hint="eastAsia" w:ascii="宋体" w:hAnsi="宋体" w:eastAsia="宋体" w:cs="宋体"/>
          <w:color w:val="000000"/>
          <w:sz w:val="21"/>
          <w:szCs w:val="21"/>
          <w:highlight w:val="none"/>
          <w:lang w:eastAsia="zh-CN"/>
        </w:rPr>
        <w:t xml:space="preserve">单位</w:t>
      </w:r>
      <w:r>
        <w:rPr>
          <w:rFonts w:hint="eastAsia" w:ascii="宋体" w:hAnsi="宋体" w:eastAsia="宋体" w:cs="宋体"/>
          <w:color w:val="000000"/>
          <w:sz w:val="21"/>
          <w:szCs w:val="21"/>
          <w:highlight w:val="none"/>
        </w:rPr>
        <w:t xml:space="preserve">承诺的各项指标。</w:t>
      </w:r>
      <w:r>
        <w:rPr>
          <w:rFonts w:ascii="宋体" w:hAnsi="宋体" w:cs="宋体"/>
        </w:rPr>
      </w:r>
      <w:r/>
    </w:p>
    <w:p>
      <w:pPr>
        <w:pStyle w:val="88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本项目不接受联合体投标。</w:t>
      </w:r>
      <w:r>
        <w:rPr>
          <w:rFonts w:ascii="宋体" w:hAnsi="宋体" w:cs="宋体"/>
        </w:rPr>
      </w:r>
      <w:r/>
    </w:p>
    <w:p>
      <w:pPr>
        <w:pStyle w:val="887"/>
        <w:ind w:left="0" w:firstLine="422"/>
        <w:pageBreakBefore w:val="0"/>
        <w:spacing w:before="0" w:after="0" w:line="440" w:lineRule="exact"/>
        <w:tabs>
          <w:tab w:val="left" w:pos="576" w:leader="none"/>
          <w:tab w:val="left" w:pos="7077" w:leader="none"/>
        </w:tabs>
        <w:rPr>
          <w:rFonts w:hint="eastAsia" w:ascii="宋体" w:hAnsi="宋体" w:cs="宋体"/>
          <w:color w:val="000000"/>
          <w:sz w:val="21"/>
          <w:szCs w:val="21"/>
          <w:highlight w:val="none"/>
        </w:rPr>
      </w:pPr>
      <w:r>
        <w:rPr>
          <w:rFonts w:ascii="宋体" w:hAnsi="宋体" w:cs="宋体"/>
        </w:rPr>
      </w:r>
      <w:bookmarkStart w:id="4" w:name="_Toc35393630"/>
      <w:r>
        <w:rPr>
          <w:rFonts w:ascii="宋体" w:hAnsi="宋体" w:cs="宋体"/>
        </w:rPr>
      </w:r>
      <w:bookmarkStart w:id="5" w:name="_Toc35393799"/>
      <w:r>
        <w:rPr>
          <w:rFonts w:ascii="宋体" w:hAnsi="宋体" w:cs="宋体"/>
        </w:rPr>
      </w:r>
      <w:bookmarkStart w:id="6" w:name="_Toc28359090"/>
      <w:r>
        <w:rPr>
          <w:rFonts w:ascii="宋体" w:hAnsi="宋体" w:cs="宋体"/>
        </w:rPr>
      </w:r>
      <w:bookmarkStart w:id="7" w:name="_Toc28359013"/>
      <w:r>
        <w:rPr>
          <w:rFonts w:hint="eastAsia" w:ascii="宋体" w:hAnsi="宋体" w:eastAsia="宋体" w:cs="宋体"/>
          <w:color w:val="000000"/>
          <w:sz w:val="21"/>
          <w:szCs w:val="21"/>
          <w:highlight w:val="none"/>
        </w:rPr>
        <w:t xml:space="preserve">二、申请人的资格要求：</w:t>
      </w:r>
      <w:bookmarkEnd w:id="4"/>
      <w:r>
        <w:rPr>
          <w:rFonts w:ascii="宋体" w:hAnsi="宋体" w:cs="宋体"/>
        </w:rPr>
      </w:r>
      <w:bookmarkEnd w:id="5"/>
      <w:r>
        <w:rPr>
          <w:rFonts w:ascii="宋体" w:hAnsi="宋体" w:cs="宋体"/>
        </w:rPr>
      </w:r>
      <w:bookmarkEnd w:id="6"/>
      <w:r>
        <w:rPr>
          <w:rFonts w:ascii="宋体" w:hAnsi="宋体" w:cs="宋体"/>
        </w:rPr>
      </w:r>
      <w:bookmarkEnd w:id="7"/>
      <w:r>
        <w:rPr>
          <w:rFonts w:hint="eastAsia" w:ascii="宋体" w:hAnsi="宋体" w:eastAsia="宋体" w:cs="宋体"/>
          <w:color w:val="000000"/>
          <w:sz w:val="21"/>
          <w:szCs w:val="21"/>
          <w:highlight w:val="none"/>
          <w:lang w:eastAsia="zh-CN"/>
        </w:rPr>
        <w:tab/>
      </w:r>
      <w:r>
        <w:rPr>
          <w:rFonts w:ascii="宋体" w:hAnsi="宋体" w:cs="宋体"/>
        </w:rPr>
      </w:r>
      <w:r/>
    </w:p>
    <w:p>
      <w:pPr>
        <w:pStyle w:val="88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1.满足《中华人民共和国政府采购法》第二十二条规定；</w:t>
      </w:r>
      <w:r>
        <w:rPr>
          <w:rFonts w:ascii="宋体" w:hAnsi="宋体" w:cs="宋体"/>
        </w:rPr>
      </w:r>
      <w:r/>
    </w:p>
    <w:p>
      <w:pPr>
        <w:pStyle w:val="88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（1）具有独立承担民事责任的能力；</w:t>
      </w:r>
      <w:r>
        <w:rPr>
          <w:rFonts w:ascii="宋体" w:hAnsi="宋体" w:cs="宋体"/>
        </w:rPr>
      </w:r>
      <w:r/>
    </w:p>
    <w:p>
      <w:pPr>
        <w:pStyle w:val="88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（2）具有良好的商业信誉和健全的财务会计制度；</w:t>
      </w:r>
      <w:r>
        <w:rPr>
          <w:rFonts w:ascii="宋体" w:hAnsi="宋体" w:cs="宋体"/>
        </w:rPr>
      </w:r>
      <w:r/>
    </w:p>
    <w:p>
      <w:pPr>
        <w:pStyle w:val="88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（3）具有履行合同所必需的设备和专业技术能力；</w:t>
      </w:r>
      <w:r>
        <w:rPr>
          <w:rFonts w:ascii="宋体" w:hAnsi="宋体" w:cs="宋体"/>
        </w:rPr>
      </w:r>
      <w:r/>
    </w:p>
    <w:p>
      <w:pPr>
        <w:pStyle w:val="88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（4）有依法缴纳税收和社会保障资金的良好记录；</w:t>
      </w:r>
      <w:r>
        <w:rPr>
          <w:rFonts w:ascii="宋体" w:hAnsi="宋体" w:cs="宋体"/>
        </w:rPr>
      </w:r>
      <w:r/>
    </w:p>
    <w:p>
      <w:pPr>
        <w:pStyle w:val="88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（5）参加政府采购活动前三年内，在经营活动中没有重大违法记录；</w:t>
      </w:r>
      <w:r>
        <w:rPr>
          <w:rFonts w:ascii="宋体" w:hAnsi="宋体" w:cs="宋体"/>
        </w:rPr>
      </w:r>
      <w:r/>
    </w:p>
    <w:p>
      <w:pPr>
        <w:pStyle w:val="88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（6）法律、行政法规规定的其他条件。 </w:t>
      </w:r>
      <w:r>
        <w:rPr>
          <w:rFonts w:ascii="宋体" w:hAnsi="宋体" w:cs="宋体"/>
        </w:rPr>
      </w:r>
      <w:r/>
    </w:p>
    <w:p>
      <w:pPr>
        <w:pStyle w:val="885"/>
        <w:ind w:firstLine="422"/>
        <w:pageBreakBefore w:val="0"/>
        <w:spacing w:line="440" w:lineRule="exact"/>
        <w:rPr>
          <w:rFonts w:hint="eastAsia" w:ascii="宋体" w:hAnsi="宋体" w:cs="宋体"/>
          <w:b/>
          <w:bCs/>
          <w:color w:val="000000"/>
          <w:sz w:val="21"/>
          <w:szCs w:val="21"/>
          <w:highlight w:val="none"/>
        </w:rPr>
      </w:pPr>
      <w:r>
        <w:rPr>
          <w:rFonts w:ascii="宋体" w:hAnsi="宋体" w:cs="宋体"/>
        </w:rPr>
      </w:r>
      <w:bookmarkStart w:id="8" w:name="_Toc28359014"/>
      <w:r>
        <w:rPr>
          <w:rFonts w:ascii="宋体" w:hAnsi="宋体" w:cs="宋体"/>
        </w:rPr>
      </w:r>
      <w:bookmarkStart w:id="9" w:name="_Toc28359091"/>
      <w:r>
        <w:rPr>
          <w:rFonts w:hint="eastAsia" w:ascii="宋体" w:hAnsi="宋体" w:eastAsia="宋体" w:cs="宋体"/>
          <w:b/>
          <w:bCs/>
          <w:color w:val="000000"/>
          <w:sz w:val="21"/>
          <w:szCs w:val="21"/>
          <w:highlight w:val="none"/>
        </w:rPr>
        <w:t xml:space="preserve">2.落实政府采购政策需满足的资格要求：</w:t>
      </w:r>
      <w:r>
        <w:rPr>
          <w:rFonts w:ascii="宋体" w:hAnsi="宋体" w:cs="宋体"/>
        </w:rPr>
      </w:r>
      <w:r/>
    </w:p>
    <w:p>
      <w:pPr>
        <w:pStyle w:val="885"/>
        <w:ind w:firstLine="422"/>
        <w:keepLines w:val="0"/>
        <w:keepNext w:val="0"/>
        <w:pageBreakBefore w:val="0"/>
        <w:spacing w:line="44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eastAsia="zh-CN"/>
        </w:rPr>
        <w:t xml:space="preserve">）第一标段：根据《政府采购促进中小企业发展管理办法》的相关规定，本标段非专门面向中小微企业采购，所属行业为“</w:t>
      </w:r>
      <w:r>
        <w:rPr>
          <w:rFonts w:hint="eastAsia" w:ascii="宋体" w:hAnsi="宋体" w:eastAsia="宋体" w:cs="宋体"/>
          <w:b/>
          <w:bCs/>
          <w:color w:val="000000"/>
          <w:sz w:val="21"/>
          <w:szCs w:val="21"/>
          <w:highlight w:val="none"/>
          <w:lang w:val="en-US" w:eastAsia="zh-CN"/>
        </w:rPr>
        <w:t xml:space="preserve">工业</w:t>
      </w:r>
      <w:r>
        <w:rPr>
          <w:rFonts w:hint="eastAsia" w:ascii="宋体" w:hAnsi="宋体" w:eastAsia="宋体" w:cs="宋体"/>
          <w:b/>
          <w:bCs/>
          <w:color w:val="000000"/>
          <w:sz w:val="21"/>
          <w:szCs w:val="21"/>
          <w:highlight w:val="none"/>
          <w:lang w:eastAsia="zh-CN"/>
        </w:rPr>
        <w:t xml:space="preserve">”。</w:t>
      </w:r>
      <w:r>
        <w:rPr>
          <w:rFonts w:ascii="宋体" w:hAnsi="宋体" w:cs="宋体"/>
        </w:rPr>
      </w:r>
      <w:r/>
    </w:p>
    <w:p>
      <w:pPr>
        <w:pStyle w:val="885"/>
        <w:ind w:firstLine="422"/>
        <w:keepLines w:val="0"/>
        <w:keepNext w:val="0"/>
        <w:pageBreakBefore w:val="0"/>
        <w:spacing w:line="44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eastAsia="zh-CN"/>
        </w:rPr>
        <w:t xml:space="preserve">）第二标段：根据《政府采购促进中小企业发展管理办法》的相关规定，本标段专门面向中小微企业采购（投标单位所投产品</w:t>
      </w:r>
      <w:r>
        <w:rPr>
          <w:rFonts w:hint="eastAsia" w:ascii="宋体" w:hAnsi="宋体" w:eastAsia="宋体" w:cs="宋体"/>
          <w:b/>
          <w:bCs/>
          <w:color w:val="000000"/>
          <w:sz w:val="21"/>
          <w:szCs w:val="21"/>
          <w:highlight w:val="none"/>
          <w:lang w:eastAsia="zh-CN"/>
        </w:rPr>
        <w:t xml:space="preserve">的</w:t>
      </w:r>
      <w:r>
        <w:rPr>
          <w:rFonts w:hint="eastAsia" w:ascii="宋体" w:hAnsi="宋体" w:eastAsia="宋体" w:cs="宋体"/>
          <w:b/>
          <w:bCs/>
          <w:color w:val="000000"/>
          <w:sz w:val="21"/>
          <w:szCs w:val="21"/>
          <w:highlight w:val="none"/>
          <w:lang w:eastAsia="zh-CN"/>
        </w:rPr>
        <w:t xml:space="preserve">生产厂家必须为中小微企业或残疾人福利性单位或监狱企业，并在投标文件中提供相关声明函或监狱企业证明文件，否则为无效投标），所属行业为“</w:t>
      </w:r>
      <w:r>
        <w:rPr>
          <w:rFonts w:hint="eastAsia" w:ascii="宋体" w:hAnsi="宋体" w:eastAsia="宋体" w:cs="宋体"/>
          <w:b/>
          <w:bCs/>
          <w:color w:val="000000"/>
          <w:sz w:val="21"/>
          <w:szCs w:val="21"/>
          <w:highlight w:val="none"/>
          <w:lang w:val="en-US" w:eastAsia="zh-CN"/>
        </w:rPr>
        <w:t xml:space="preserve">工业</w:t>
      </w:r>
      <w:r>
        <w:rPr>
          <w:rFonts w:hint="eastAsia" w:ascii="宋体" w:hAnsi="宋体" w:eastAsia="宋体" w:cs="宋体"/>
          <w:b/>
          <w:bCs/>
          <w:color w:val="000000"/>
          <w:sz w:val="21"/>
          <w:szCs w:val="21"/>
          <w:highlight w:val="none"/>
          <w:lang w:eastAsia="zh-CN"/>
        </w:rPr>
        <w:t xml:space="preserve">”。</w:t>
      </w:r>
      <w:r>
        <w:rPr>
          <w:rFonts w:ascii="宋体" w:hAnsi="宋体" w:cs="宋体"/>
        </w:rPr>
      </w:r>
      <w:r/>
    </w:p>
    <w:p>
      <w:pPr>
        <w:pStyle w:val="885"/>
        <w:ind w:firstLine="420"/>
        <w:pageBreakBefore w:val="0"/>
        <w:spacing w:line="440" w:lineRule="exact"/>
        <w:rPr>
          <w:rFonts w:hint="eastAsia" w:ascii="宋体" w:hAnsi="宋体" w:cs="宋体"/>
          <w:color w:val="000000"/>
          <w:sz w:val="21"/>
          <w:szCs w:val="21"/>
          <w:highlight w:val="none"/>
          <w:u w:val="single"/>
        </w:rPr>
      </w:pPr>
      <w:r>
        <w:rPr>
          <w:rFonts w:hint="eastAsia" w:ascii="宋体" w:hAnsi="宋体" w:eastAsia="宋体" w:cs="宋体"/>
          <w:color w:val="000000"/>
          <w:sz w:val="21"/>
          <w:szCs w:val="21"/>
          <w:highlight w:val="none"/>
        </w:rPr>
        <w:t xml:space="preserve">3.本项目的特定资格要求：</w:t>
      </w:r>
      <w:r>
        <w:rPr>
          <w:rFonts w:ascii="宋体" w:hAnsi="宋体" w:cs="宋体"/>
        </w:rPr>
      </w:r>
      <w:r/>
    </w:p>
    <w:p>
      <w:pPr>
        <w:pStyle w:val="88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（1）未被“信用中国”网站（www.creditchina.gov.cn）或“中国政府采购网”网站（www.ccgp.gov.cn）列入失信被执行人、重大税收违法案件当事人名单、政府采购严重失信行为记录名单；</w:t>
      </w:r>
      <w:r>
        <w:rPr>
          <w:rFonts w:ascii="宋体" w:hAnsi="宋体" w:cs="宋体"/>
        </w:rPr>
      </w:r>
      <w:r/>
    </w:p>
    <w:p>
      <w:pPr>
        <w:pStyle w:val="88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（2）本项目</w:t>
      </w:r>
      <w:r>
        <w:rPr>
          <w:rFonts w:hint="eastAsia" w:ascii="宋体" w:hAnsi="宋体" w:eastAsia="宋体" w:cs="宋体"/>
          <w:color w:val="000000"/>
          <w:sz w:val="21"/>
          <w:szCs w:val="21"/>
          <w:highlight w:val="none"/>
          <w:u w:val="single"/>
        </w:rPr>
        <w:t xml:space="preserve">不接受</w:t>
      </w:r>
      <w:r>
        <w:rPr>
          <w:rFonts w:hint="eastAsia" w:ascii="宋体" w:hAnsi="宋体" w:eastAsia="宋体" w:cs="宋体"/>
          <w:color w:val="000000"/>
          <w:sz w:val="21"/>
          <w:szCs w:val="21"/>
          <w:highlight w:val="none"/>
        </w:rPr>
        <w:t xml:space="preserve">联合体投标；</w:t>
      </w:r>
      <w:r>
        <w:rPr>
          <w:rFonts w:ascii="宋体" w:hAnsi="宋体" w:cs="宋体"/>
        </w:rPr>
      </w:r>
      <w:r/>
    </w:p>
    <w:p>
      <w:pPr>
        <w:pStyle w:val="88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rPr>
      </w:r>
      <w:r/>
    </w:p>
    <w:p>
      <w:pPr>
        <w:pStyle w:val="88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（4）法人的分支机构不得参加政府采购活动（除银行、保险、石油石化、电力、电信等行业特殊情况外）。 </w:t>
      </w:r>
      <w:r>
        <w:rPr>
          <w:rFonts w:ascii="宋体" w:hAnsi="宋体" w:cs="宋体"/>
        </w:rPr>
      </w:r>
      <w:r/>
    </w:p>
    <w:p>
      <w:pPr>
        <w:pStyle w:val="88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（5）</w:t>
      </w:r>
      <w:bookmarkStart w:id="10" w:name="_Toc35393631"/>
      <w:r>
        <w:rPr>
          <w:rFonts w:ascii="宋体" w:hAnsi="宋体" w:cs="宋体"/>
        </w:rPr>
      </w:r>
      <w:bookmarkStart w:id="11" w:name="_Toc35393800"/>
      <w:r>
        <w:rPr>
          <w:rFonts w:hint="eastAsia" w:ascii="宋体" w:hAnsi="宋体" w:eastAsia="宋体" w:cs="宋体"/>
          <w:color w:val="000000"/>
          <w:sz w:val="21"/>
          <w:szCs w:val="21"/>
          <w:highlight w:val="none"/>
        </w:rPr>
        <w:t xml:space="preserve">本项目的特定资格要求：无。</w:t>
      </w:r>
      <w:r>
        <w:rPr>
          <w:rFonts w:ascii="宋体" w:hAnsi="宋体" w:cs="宋体"/>
        </w:rPr>
      </w:r>
      <w:r/>
    </w:p>
    <w:p>
      <w:pPr>
        <w:pStyle w:val="887"/>
        <w:ind w:left="0" w:firstLine="422"/>
        <w:pageBreakBefore w:val="0"/>
        <w:spacing w:before="0" w:after="0" w:line="440" w:lineRule="exact"/>
        <w:tabs>
          <w:tab w:val="left" w:pos="576"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三、获取招标文件</w:t>
      </w:r>
      <w:bookmarkEnd w:id="8"/>
      <w:r>
        <w:rPr>
          <w:rFonts w:ascii="宋体" w:hAnsi="宋体" w:cs="宋体"/>
        </w:rPr>
      </w:r>
      <w:bookmarkEnd w:id="9"/>
      <w:r>
        <w:rPr>
          <w:rFonts w:ascii="宋体" w:hAnsi="宋体" w:cs="宋体"/>
        </w:rPr>
      </w:r>
      <w:bookmarkEnd w:id="10"/>
      <w:r>
        <w:rPr>
          <w:rFonts w:ascii="宋体" w:hAnsi="宋体" w:cs="宋体"/>
        </w:rPr>
      </w:r>
      <w:bookmarkEnd w:id="11"/>
      <w:r>
        <w:rPr>
          <w:rFonts w:ascii="宋体" w:hAnsi="宋体" w:cs="宋体"/>
        </w:rPr>
      </w:r>
      <w:r/>
    </w:p>
    <w:p>
      <w:pPr>
        <w:pStyle w:val="885"/>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1.时间：自招标公告发布之日起5个工作日。</w:t>
      </w:r>
      <w:r>
        <w:rPr>
          <w:rFonts w:ascii="宋体" w:hAnsi="宋体" w:cs="宋体"/>
        </w:rPr>
      </w:r>
      <w:r/>
    </w:p>
    <w:p>
      <w:pPr>
        <w:pStyle w:val="885"/>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2.地点：“苏采云政府采购一体化平台”系统自行下载。</w:t>
      </w:r>
      <w:r>
        <w:rPr>
          <w:rFonts w:ascii="宋体" w:hAnsi="宋体" w:cs="宋体"/>
        </w:rPr>
      </w:r>
      <w:r/>
    </w:p>
    <w:p>
      <w:pPr>
        <w:pStyle w:val="885"/>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3.方式：</w:t>
      </w:r>
      <w:r>
        <w:rPr>
          <w:rFonts w:ascii="宋体" w:hAnsi="宋体" w:cs="宋体"/>
        </w:rPr>
      </w:r>
      <w:r/>
    </w:p>
    <w:p>
      <w:pPr>
        <w:pStyle w:val="885"/>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（1）CA证书办理 </w:t>
      </w:r>
      <w:r>
        <w:rPr>
          <w:rFonts w:ascii="宋体" w:hAnsi="宋体" w:cs="宋体"/>
        </w:rPr>
      </w:r>
      <w:r/>
    </w:p>
    <w:p>
      <w:pPr>
        <w:pStyle w:val="885"/>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000000"/>
          <w:sz w:val="21"/>
          <w:szCs w:val="21"/>
          <w:highlight w:val="none"/>
          <w:lang w:val="zh-CN"/>
        </w:rPr>
        <w:t xml:space="preserve">苏采云”系统目前仅支持“苏采云”系统下的政务CA证书，江苏省内各地区办理的“苏采云”系统下的政务CA证书全省通用。</w:t>
      </w:r>
      <w:r>
        <w:rPr>
          <w:rFonts w:hint="eastAsia" w:ascii="宋体" w:hAnsi="宋体" w:eastAsia="宋体" w:cs="宋体"/>
          <w:b w:val="0"/>
          <w:bCs w:val="0"/>
          <w:color w:val="000000"/>
          <w:sz w:val="21"/>
          <w:szCs w:val="21"/>
          <w:highlight w:val="none"/>
          <w:lang w:val="zh-CN"/>
        </w:rPr>
        <w:t xml:space="preserve">苏州现场办理地址：苏州市高新区邓尉路105号狮山科技馆一楼服务大厅，咨询电话：0512-65737699。 </w:t>
      </w:r>
      <w:r>
        <w:rPr>
          <w:rFonts w:ascii="宋体" w:hAnsi="宋体" w:cs="宋体"/>
        </w:rPr>
      </w:r>
      <w:r/>
    </w:p>
    <w:p>
      <w:pPr>
        <w:pStyle w:val="885"/>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（2）参与采购活动 </w:t>
      </w:r>
      <w:r>
        <w:rPr>
          <w:rFonts w:ascii="宋体" w:hAnsi="宋体" w:cs="宋体"/>
        </w:rPr>
      </w:r>
      <w:r/>
    </w:p>
    <w:p>
      <w:pPr>
        <w:pStyle w:val="885"/>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rPr>
      </w:r>
      <w:r/>
    </w:p>
    <w:p>
      <w:pPr>
        <w:pStyle w:val="885"/>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（3）电子投标准备 </w:t>
      </w:r>
      <w:r>
        <w:rPr>
          <w:rFonts w:ascii="宋体" w:hAnsi="宋体" w:cs="宋体"/>
        </w:rPr>
      </w:r>
      <w:r/>
    </w:p>
    <w:p>
      <w:pPr>
        <w:pStyle w:val="885"/>
        <w:ind w:firstLine="420"/>
        <w:jc w:val="left"/>
        <w:pageBreakBefore w:val="0"/>
        <w:spacing w:line="440" w:lineRule="exact"/>
        <w:widowControl/>
        <w:rPr>
          <w:rFonts w:hint="eastAsia" w:ascii="宋体" w:hAnsi="宋体" w:cs="宋体"/>
          <w:b/>
          <w:bCs/>
          <w:color w:val="000000"/>
          <w:sz w:val="21"/>
          <w:szCs w:val="21"/>
          <w:highlight w:val="none"/>
        </w:rPr>
      </w:pPr>
      <w:r>
        <w:rPr>
          <w:rFonts w:hint="eastAsia" w:ascii="宋体" w:hAnsi="宋体" w:eastAsia="宋体" w:cs="宋体"/>
          <w:color w:val="000000"/>
          <w:sz w:val="21"/>
          <w:szCs w:val="21"/>
          <w:highlight w:val="none"/>
          <w:lang w:val="zh-CN"/>
        </w:rPr>
        <w:t xml:space="preserve">供应商在“苏采云”系统中操作参与项目后，必须在“已参与项目”界面中下载电子采购文件（后缀名为“.kedt”）并导入政府采购客户端工具后方可进行投标文件制作和提交</w:t>
      </w:r>
      <w:r>
        <w:rPr>
          <w:rFonts w:hint="eastAsia" w:ascii="宋体" w:hAnsi="宋体" w:eastAsia="宋体" w:cs="宋体"/>
          <w:b/>
          <w:bCs/>
          <w:color w:val="000000"/>
          <w:sz w:val="21"/>
          <w:szCs w:val="21"/>
          <w:highlight w:val="none"/>
          <w:lang w:val="zh-CN"/>
        </w:rPr>
        <w:t xml:space="preserve">（具体详见《苏采云系统供应商操作手册》，网址链接https</w:t>
      </w:r>
      <w:bookmarkStart w:id="12" w:name="OLE_LINK6"/>
      <w:r>
        <w:rPr>
          <w:rFonts w:hint="eastAsia" w:ascii="宋体" w:hAnsi="宋体" w:eastAsia="宋体" w:cs="宋体"/>
          <w:b/>
          <w:bCs/>
          <w:color w:val="000000"/>
          <w:sz w:val="21"/>
          <w:szCs w:val="21"/>
          <w:highlight w:val="none"/>
          <w:lang w:val="zh-CN"/>
        </w:rPr>
        <w:t xml:space="preserve">：</w:t>
      </w:r>
      <w:bookmarkEnd w:id="12"/>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zh-CN"/>
        </w:rPr>
        <w:t xml:space="preserve">czju.suzhou.gov.cn</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zh-CN"/>
        </w:rPr>
        <w:t xml:space="preserve">zfcg</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zh-CN"/>
        </w:rPr>
        <w:t xml:space="preserve">ht</w:t>
      </w:r>
      <w:r>
        <w:rPr>
          <w:rFonts w:hint="eastAsia" w:ascii="宋体" w:hAnsi="宋体" w:eastAsia="宋体" w:cs="宋体"/>
          <w:b/>
          <w:bCs/>
          <w:color w:val="000000"/>
          <w:sz w:val="21"/>
          <w:szCs w:val="21"/>
          <w:highlight w:val="none"/>
          <w:lang w:val="zh-CN"/>
        </w:rPr>
        <w:t xml:space="preserve">m</w:t>
      </w:r>
      <w:r>
        <w:rPr>
          <w:rFonts w:hint="eastAsia" w:ascii="宋体" w:hAnsi="宋体" w:eastAsia="宋体" w:cs="宋体"/>
          <w:b/>
          <w:bCs/>
          <w:color w:val="000000"/>
          <w:sz w:val="21"/>
          <w:szCs w:val="21"/>
          <w:highlight w:val="none"/>
          <w:lang w:val="zh-CN"/>
        </w:rPr>
        <w:t xml:space="preserve">l</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zh-CN"/>
        </w:rPr>
        <w:t xml:space="preserve">content</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zh-CN"/>
        </w:rPr>
        <w:t xml:space="preserve">20231220161910031.sht</w:t>
      </w:r>
      <w:r>
        <w:rPr>
          <w:rFonts w:hint="eastAsia" w:ascii="宋体" w:hAnsi="宋体" w:eastAsia="宋体" w:cs="宋体"/>
          <w:b/>
          <w:bCs/>
          <w:color w:val="000000"/>
          <w:sz w:val="21"/>
          <w:szCs w:val="21"/>
          <w:highlight w:val="none"/>
          <w:lang w:val="zh-CN"/>
        </w:rPr>
        <w:t xml:space="preserve">m</w:t>
      </w:r>
      <w:r>
        <w:rPr>
          <w:rFonts w:hint="eastAsia" w:ascii="宋体" w:hAnsi="宋体" w:eastAsia="宋体" w:cs="宋体"/>
          <w:b/>
          <w:bCs/>
          <w:color w:val="000000"/>
          <w:sz w:val="21"/>
          <w:szCs w:val="21"/>
          <w:highlight w:val="none"/>
          <w:lang w:val="zh-CN"/>
        </w:rPr>
        <w:t xml:space="preserve">l）。 </w:t>
      </w:r>
      <w:r>
        <w:rPr>
          <w:rFonts w:ascii="宋体" w:hAnsi="宋体" w:cs="宋体"/>
        </w:rPr>
      </w:r>
      <w:r/>
    </w:p>
    <w:p>
      <w:pPr>
        <w:pStyle w:val="885"/>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）补充通知（如有）。成功获取招标文件的供应商通过“苏州市政府采购网”或“苏采云”系统自行查看所报项目的补充通知。</w:t>
      </w:r>
      <w:r>
        <w:rPr>
          <w:rFonts w:ascii="宋体" w:hAnsi="宋体" w:cs="宋体"/>
        </w:rPr>
      </w:r>
      <w:r/>
    </w:p>
    <w:p>
      <w:pPr>
        <w:pStyle w:val="885"/>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在系统操作过程中如有疑问，请按以下方式联系：</w:t>
      </w:r>
      <w:r>
        <w:rPr>
          <w:rFonts w:ascii="宋体" w:hAnsi="宋体" w:cs="宋体"/>
        </w:rPr>
      </w:r>
      <w:r/>
    </w:p>
    <w:p>
      <w:pPr>
        <w:pStyle w:val="885"/>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注册咨询：18261002950； </w:t>
      </w:r>
      <w:r>
        <w:rPr>
          <w:rFonts w:ascii="宋体" w:hAnsi="宋体" w:cs="宋体"/>
        </w:rPr>
      </w:r>
      <w:r/>
    </w:p>
    <w:p>
      <w:pPr>
        <w:pStyle w:val="885"/>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CA技术咨询电话：400-608-6099； </w:t>
      </w:r>
      <w:r>
        <w:rPr>
          <w:rFonts w:ascii="宋体" w:hAnsi="宋体" w:cs="宋体"/>
        </w:rPr>
      </w:r>
      <w:r/>
    </w:p>
    <w:p>
      <w:pPr>
        <w:pStyle w:val="885"/>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签章使用问题：025-83633811、025-83633812、15380932027、15371015030； </w:t>
      </w:r>
      <w:r>
        <w:rPr>
          <w:rFonts w:ascii="宋体" w:hAnsi="宋体" w:cs="宋体"/>
        </w:rPr>
      </w:r>
      <w:r/>
    </w:p>
    <w:p>
      <w:pPr>
        <w:pStyle w:val="885"/>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系统使用指导与咨询：联系电话：18261002950；QQ：3048755361、1315179389、895706745；智能客服：登录苏采云系统后，联系系统右下方智能客服图标进行咨询。</w:t>
      </w:r>
      <w:r>
        <w:rPr>
          <w:rFonts w:ascii="宋体" w:hAnsi="宋体" w:cs="宋体"/>
        </w:rPr>
      </w:r>
      <w:r/>
    </w:p>
    <w:p>
      <w:pPr>
        <w:pStyle w:val="885"/>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4.售价：</w:t>
      </w:r>
      <w:r>
        <w:rPr>
          <w:rFonts w:hint="eastAsia" w:ascii="宋体" w:hAnsi="宋体" w:eastAsia="宋体" w:cs="宋体"/>
          <w:color w:val="000000"/>
          <w:sz w:val="21"/>
          <w:szCs w:val="21"/>
          <w:highlight w:val="none"/>
        </w:rPr>
        <w:t xml:space="preserve">0元</w:t>
      </w:r>
      <w:r>
        <w:rPr>
          <w:rFonts w:hint="eastAsia" w:ascii="宋体" w:hAnsi="宋体" w:eastAsia="宋体" w:cs="宋体"/>
          <w:color w:val="000000"/>
          <w:sz w:val="21"/>
          <w:szCs w:val="21"/>
          <w:highlight w:val="none"/>
          <w:lang w:val="zh-CN"/>
        </w:rPr>
        <w:t xml:space="preserve">。</w:t>
      </w:r>
      <w:r>
        <w:rPr>
          <w:rFonts w:ascii="宋体" w:hAnsi="宋体" w:cs="宋体"/>
        </w:rPr>
      </w:r>
      <w:r/>
    </w:p>
    <w:p>
      <w:pPr>
        <w:pStyle w:val="887"/>
        <w:ind w:left="0" w:firstLine="422"/>
        <w:pageBreakBefore w:val="0"/>
        <w:spacing w:before="0" w:after="0" w:line="440" w:lineRule="exact"/>
        <w:tabs>
          <w:tab w:val="left" w:pos="576" w:leader="none"/>
        </w:tabs>
        <w:rPr>
          <w:rFonts w:hint="eastAsia" w:ascii="宋体" w:hAnsi="宋体" w:cs="宋体"/>
          <w:color w:val="000000"/>
          <w:sz w:val="21"/>
          <w:szCs w:val="21"/>
          <w:highlight w:val="none"/>
        </w:rPr>
      </w:pPr>
      <w:r>
        <w:rPr>
          <w:rFonts w:ascii="宋体" w:hAnsi="宋体" w:cs="宋体"/>
        </w:rPr>
      </w:r>
      <w:bookmarkStart w:id="13" w:name="_Toc35393801"/>
      <w:r>
        <w:rPr>
          <w:rFonts w:ascii="宋体" w:hAnsi="宋体" w:cs="宋体"/>
        </w:rPr>
      </w:r>
      <w:bookmarkStart w:id="14" w:name="_Toc28359092"/>
      <w:r>
        <w:rPr>
          <w:rFonts w:ascii="宋体" w:hAnsi="宋体" w:cs="宋体"/>
        </w:rPr>
      </w:r>
      <w:bookmarkStart w:id="15" w:name="_Toc35393632"/>
      <w:r>
        <w:rPr>
          <w:rFonts w:ascii="宋体" w:hAnsi="宋体" w:cs="宋体"/>
        </w:rPr>
      </w:r>
      <w:bookmarkStart w:id="16" w:name="_Toc28359015"/>
      <w:r>
        <w:rPr>
          <w:rFonts w:hint="eastAsia" w:ascii="宋体" w:hAnsi="宋体" w:eastAsia="宋体" w:cs="宋体"/>
          <w:color w:val="000000"/>
          <w:sz w:val="21"/>
          <w:szCs w:val="21"/>
          <w:highlight w:val="none"/>
        </w:rPr>
        <w:t xml:space="preserve">四、</w:t>
      </w:r>
      <w:bookmarkEnd w:id="13"/>
      <w:r>
        <w:rPr>
          <w:rFonts w:ascii="宋体" w:hAnsi="宋体" w:cs="宋体"/>
        </w:rPr>
      </w:r>
      <w:bookmarkEnd w:id="14"/>
      <w:r>
        <w:rPr>
          <w:rFonts w:ascii="宋体" w:hAnsi="宋体" w:cs="宋体"/>
        </w:rPr>
      </w:r>
      <w:bookmarkEnd w:id="15"/>
      <w:r>
        <w:rPr>
          <w:rFonts w:ascii="宋体" w:hAnsi="宋体" w:cs="宋体"/>
        </w:rPr>
      </w:r>
      <w:bookmarkEnd w:id="16"/>
      <w:r>
        <w:rPr>
          <w:rFonts w:hint="eastAsia" w:ascii="宋体" w:hAnsi="宋体" w:eastAsia="宋体" w:cs="宋体"/>
          <w:color w:val="000000"/>
          <w:sz w:val="21"/>
          <w:szCs w:val="21"/>
          <w:highlight w:val="none"/>
          <w:lang w:bidi="ar"/>
        </w:rPr>
        <w:t xml:space="preserve">提交电子投标文件截止时间、开标时间和地点</w:t>
      </w:r>
      <w:r>
        <w:rPr>
          <w:rFonts w:ascii="宋体" w:hAnsi="宋体" w:cs="宋体"/>
        </w:rPr>
      </w:r>
      <w:r/>
    </w:p>
    <w:p>
      <w:pPr>
        <w:pStyle w:val="885"/>
        <w:ind w:firstLine="420"/>
        <w:jc w:val="left"/>
        <w:pageBreakBefore w:val="0"/>
        <w:spacing w:line="440" w:lineRule="exact"/>
        <w:rPr>
          <w:rFonts w:hint="eastAsia" w:ascii="宋体" w:hAnsi="宋体" w:cs="宋体"/>
          <w:color w:val="000000"/>
          <w:sz w:val="21"/>
          <w:szCs w:val="21"/>
          <w:highlight w:val="none"/>
        </w:rPr>
      </w:pPr>
      <w:r>
        <w:rPr>
          <w:rFonts w:ascii="宋体" w:hAnsi="宋体" w:cs="宋体"/>
        </w:rPr>
      </w:r>
      <w:bookmarkStart w:id="17" w:name="_Hlk61337266"/>
      <w:r>
        <w:rPr>
          <w:rFonts w:hint="eastAsia" w:ascii="宋体" w:hAnsi="宋体" w:eastAsia="宋体" w:cs="宋体"/>
          <w:color w:val="000000"/>
          <w:sz w:val="21"/>
          <w:szCs w:val="21"/>
          <w:highlight w:val="none"/>
        </w:rPr>
        <w:t xml:space="preserve">1.提交投标文件截止时间：202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月15</w:t>
      </w:r>
      <w:r>
        <w:rPr>
          <w:rFonts w:hint="eastAsia" w:ascii="宋体" w:hAnsi="宋体" w:eastAsia="宋体" w:cs="宋体"/>
          <w:color w:val="000000"/>
          <w:sz w:val="21"/>
          <w:szCs w:val="21"/>
          <w:highlight w:val="none"/>
        </w:rPr>
        <w:t xml:space="preserve">日9：30（北京时间）； </w:t>
      </w:r>
      <w:r>
        <w:rPr>
          <w:rFonts w:ascii="宋体" w:hAnsi="宋体" w:cs="宋体"/>
        </w:rPr>
      </w:r>
      <w:r/>
    </w:p>
    <w:p>
      <w:pPr>
        <w:pStyle w:val="885"/>
        <w:ind w:firstLine="420"/>
        <w:jc w:val="left"/>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2.开标时间：202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日9：30（北京时间）；</w:t>
      </w:r>
      <w:r>
        <w:rPr>
          <w:rFonts w:ascii="宋体" w:hAnsi="宋体" w:cs="宋体"/>
        </w:rPr>
      </w:r>
      <w:r/>
    </w:p>
    <w:p>
      <w:pPr>
        <w:pStyle w:val="885"/>
        <w:ind w:firstLine="420"/>
        <w:jc w:val="left"/>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3.开标地点：“苏采云”系统（网址：http</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jszfcg.jsczt.cn</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ascii="宋体" w:hAnsi="宋体" w:cs="宋体"/>
        </w:rPr>
      </w:r>
      <w:r/>
    </w:p>
    <w:p>
      <w:pPr>
        <w:pStyle w:val="885"/>
        <w:ind w:firstLine="420"/>
        <w:jc w:val="left"/>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b/>
          <w:bCs/>
          <w:color w:val="000000"/>
          <w:sz w:val="21"/>
          <w:szCs w:val="21"/>
          <w:highlight w:val="none"/>
        </w:rPr>
        <w:t xml:space="preserve">本项目采用电子招投标形式，请供应商按照《苏采云系统供应商操作手册》进行制作、上传电子投标文件。</w:t>
      </w:r>
      <w:r>
        <w:rPr>
          <w:rFonts w:hint="eastAsia" w:ascii="宋体" w:hAnsi="宋体" w:eastAsia="宋体" w:cs="宋体"/>
          <w:color w:val="000000"/>
          <w:sz w:val="21"/>
          <w:szCs w:val="21"/>
          <w:highlight w:val="none"/>
        </w:rPr>
        <w:t xml:space="preserve">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宋体" w:hAnsi="宋体" w:cs="宋体"/>
        </w:rPr>
      </w:r>
      <w:r/>
    </w:p>
    <w:p>
      <w:pPr>
        <w:pStyle w:val="885"/>
        <w:ind w:firstLine="420"/>
        <w:jc w:val="left"/>
        <w:pageBreakBefore w:val="0"/>
        <w:spacing w:line="440" w:lineRule="exact"/>
        <w:rPr>
          <w:rFonts w:hint="eastAsia" w:ascii="宋体" w:hAnsi="宋体" w:cs="宋体"/>
          <w:b/>
          <w:bCs/>
          <w:color w:val="000000"/>
          <w:sz w:val="21"/>
          <w:szCs w:val="21"/>
          <w:highlight w:val="none"/>
        </w:rPr>
      </w:pPr>
      <w:r>
        <w:rPr>
          <w:rFonts w:hint="eastAsia" w:ascii="宋体" w:hAnsi="宋体" w:eastAsia="宋体" w:cs="宋体"/>
          <w:color w:val="000000"/>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ascii="宋体" w:hAnsi="宋体" w:cs="宋体"/>
        </w:rPr>
      </w:r>
      <w:r/>
    </w:p>
    <w:p>
      <w:pPr>
        <w:pStyle w:val="885"/>
        <w:ind w:firstLine="422"/>
        <w:jc w:val="left"/>
        <w:pageBreakBefore w:val="0"/>
        <w:spacing w:line="44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请供应商确保电脑、系统及其他设备（视频输入输出设备等）无误，且开标直至项目结束始终保持系统在线状态。</w:t>
      </w:r>
      <w:r>
        <w:rPr>
          <w:rFonts w:ascii="宋体" w:hAnsi="宋体" w:cs="宋体"/>
        </w:rPr>
      </w:r>
      <w:r/>
    </w:p>
    <w:p>
      <w:pPr>
        <w:pStyle w:val="885"/>
        <w:ind w:firstLine="422"/>
        <w:pageBreakBefore w:val="0"/>
        <w:spacing w:line="440" w:lineRule="exact"/>
        <w:rPr>
          <w:rFonts w:hint="eastAsia" w:ascii="宋体" w:hAnsi="宋体" w:cs="宋体"/>
          <w:b/>
          <w:bCs/>
          <w:color w:val="000000"/>
          <w:sz w:val="21"/>
          <w:szCs w:val="21"/>
          <w:highlight w:val="none"/>
        </w:rPr>
      </w:pPr>
      <w:r>
        <w:rPr>
          <w:rFonts w:ascii="宋体" w:hAnsi="宋体" w:cs="宋体"/>
        </w:rPr>
      </w:r>
      <w:bookmarkEnd w:id="17"/>
      <w:r>
        <w:rPr>
          <w:rFonts w:ascii="宋体" w:hAnsi="宋体" w:cs="宋体"/>
        </w:rPr>
      </w:r>
      <w:bookmarkStart w:id="18" w:name="_Toc28359094"/>
      <w:r>
        <w:rPr>
          <w:rFonts w:ascii="宋体" w:hAnsi="宋体" w:cs="宋体"/>
        </w:rPr>
      </w:r>
      <w:bookmarkStart w:id="19" w:name="_Toc28359017"/>
      <w:r>
        <w:rPr>
          <w:rFonts w:ascii="宋体" w:hAnsi="宋体" w:cs="宋体"/>
        </w:rPr>
      </w:r>
      <w:bookmarkStart w:id="20" w:name="_Toc35393803"/>
      <w:r>
        <w:rPr>
          <w:rFonts w:ascii="宋体" w:hAnsi="宋体" w:cs="宋体"/>
        </w:rPr>
      </w:r>
      <w:bookmarkStart w:id="21" w:name="_Toc35393634"/>
      <w:r>
        <w:rPr>
          <w:rFonts w:hint="eastAsia" w:ascii="宋体" w:hAnsi="宋体" w:eastAsia="宋体" w:cs="宋体"/>
          <w:b/>
          <w:bCs/>
          <w:color w:val="000000"/>
          <w:sz w:val="21"/>
          <w:szCs w:val="21"/>
          <w:highlight w:val="none"/>
        </w:rPr>
        <w:t xml:space="preserve">五、公告期限</w:t>
      </w:r>
      <w:bookmarkEnd w:id="18"/>
      <w:r>
        <w:rPr>
          <w:rFonts w:ascii="宋体" w:hAnsi="宋体" w:cs="宋体"/>
        </w:rPr>
      </w:r>
      <w:bookmarkEnd w:id="19"/>
      <w:r>
        <w:rPr>
          <w:rFonts w:ascii="宋体" w:hAnsi="宋体" w:cs="宋体"/>
        </w:rPr>
      </w:r>
      <w:bookmarkEnd w:id="20"/>
      <w:r>
        <w:rPr>
          <w:rFonts w:ascii="宋体" w:hAnsi="宋体" w:cs="宋体"/>
        </w:rPr>
      </w:r>
      <w:bookmarkEnd w:id="21"/>
      <w:r>
        <w:rPr>
          <w:rFonts w:ascii="宋体" w:hAnsi="宋体" w:cs="宋体"/>
        </w:rPr>
      </w:r>
      <w:r/>
    </w:p>
    <w:p>
      <w:pPr>
        <w:pStyle w:val="88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自本公告发布之日起5个工作日。</w:t>
      </w:r>
      <w:r>
        <w:rPr>
          <w:rFonts w:ascii="宋体" w:hAnsi="宋体" w:cs="宋体"/>
        </w:rPr>
      </w:r>
      <w:r/>
    </w:p>
    <w:p>
      <w:pPr>
        <w:pStyle w:val="887"/>
        <w:ind w:left="0" w:firstLine="422"/>
        <w:pageBreakBefore w:val="0"/>
        <w:spacing w:before="0" w:after="0" w:line="440" w:lineRule="exact"/>
        <w:tabs>
          <w:tab w:val="left" w:pos="576" w:leader="none"/>
        </w:tabs>
        <w:rPr>
          <w:rFonts w:hint="eastAsia" w:ascii="宋体" w:hAnsi="宋体" w:cs="宋体"/>
          <w:color w:val="000000"/>
          <w:sz w:val="21"/>
          <w:szCs w:val="21"/>
          <w:highlight w:val="none"/>
        </w:rPr>
      </w:pPr>
      <w:r>
        <w:rPr>
          <w:rFonts w:ascii="宋体" w:hAnsi="宋体" w:cs="宋体"/>
        </w:rPr>
      </w:r>
      <w:bookmarkStart w:id="22" w:name="_Toc35393804"/>
      <w:r>
        <w:rPr>
          <w:rFonts w:ascii="宋体" w:hAnsi="宋体" w:cs="宋体"/>
        </w:rPr>
      </w:r>
      <w:bookmarkStart w:id="23" w:name="_Toc35393635"/>
      <w:r>
        <w:rPr>
          <w:rFonts w:hint="eastAsia" w:ascii="宋体" w:hAnsi="宋体" w:eastAsia="宋体" w:cs="宋体"/>
          <w:color w:val="000000"/>
          <w:sz w:val="21"/>
          <w:szCs w:val="21"/>
          <w:highlight w:val="none"/>
        </w:rPr>
        <w:t xml:space="preserve">六、其他补充事宜</w:t>
      </w:r>
      <w:bookmarkEnd w:id="22"/>
      <w:r>
        <w:rPr>
          <w:rFonts w:ascii="宋体" w:hAnsi="宋体" w:cs="宋体"/>
        </w:rPr>
      </w:r>
      <w:bookmarkEnd w:id="23"/>
      <w:r>
        <w:rPr>
          <w:rFonts w:ascii="宋体" w:hAnsi="宋体" w:cs="宋体"/>
        </w:rPr>
      </w:r>
      <w:r/>
    </w:p>
    <w:p>
      <w:pPr>
        <w:pStyle w:val="885"/>
        <w:ind w:firstLine="420"/>
        <w:jc w:val="left"/>
        <w:pageBreakBefore w:val="0"/>
        <w:spacing w:line="440" w:lineRule="exact"/>
        <w:rPr>
          <w:rFonts w:hint="eastAsia" w:ascii="宋体" w:hAnsi="宋体" w:cs="宋体"/>
          <w:color w:val="000000"/>
          <w:sz w:val="21"/>
          <w:szCs w:val="21"/>
          <w:highlight w:val="none"/>
        </w:rPr>
      </w:pPr>
      <w:r>
        <w:rPr>
          <w:rFonts w:ascii="宋体" w:hAnsi="宋体" w:cs="宋体"/>
        </w:rPr>
      </w:r>
      <w:bookmarkStart w:id="24" w:name="OLE_LINK4"/>
      <w:r>
        <w:rPr>
          <w:rFonts w:hint="eastAsia" w:ascii="宋体" w:hAnsi="宋体" w:eastAsia="宋体" w:cs="宋体"/>
          <w:color w:val="000000"/>
          <w:sz w:val="21"/>
          <w:szCs w:val="21"/>
          <w:highlight w:val="none"/>
        </w:rPr>
        <w:t xml:space="preserve">1.“苏采云”系统网址：http</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jszfcg.jsczt.cn</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ascii="宋体" w:hAnsi="宋体" w:cs="宋体"/>
        </w:rPr>
      </w:r>
      <w:r/>
    </w:p>
    <w:p>
      <w:pPr>
        <w:pStyle w:val="885"/>
        <w:ind w:firstLine="420"/>
        <w:jc w:val="left"/>
        <w:pageBreakBefore w:val="0"/>
        <w:spacing w:line="440" w:lineRule="exact"/>
        <w:rPr>
          <w:rFonts w:hint="eastAsia" w:ascii="宋体" w:hAnsi="宋体" w:cs="宋体"/>
          <w:color w:val="000000"/>
          <w:sz w:val="21"/>
          <w:szCs w:val="21"/>
          <w:highlight w:val="none"/>
        </w:rPr>
      </w:pPr>
      <w:r>
        <w:rPr>
          <w:rFonts w:ascii="宋体" w:hAnsi="宋体" w:cs="宋体"/>
        </w:rPr>
      </w:r>
      <w:bookmarkEnd w:id="24"/>
      <w:r>
        <w:rPr>
          <w:rFonts w:hint="eastAsia" w:ascii="宋体" w:hAnsi="宋体" w:eastAsia="宋体" w:cs="宋体"/>
          <w:color w:val="000000"/>
          <w:sz w:val="21"/>
          <w:szCs w:val="21"/>
          <w:highlight w:val="none"/>
        </w:rPr>
        <w:t xml:space="preserve">2.本项目获取采购文件截止日期之后仍可以下载采购文件，但截止日期之后下载的采购文件，视为非有效方式且不作为供应商权益受到损害的证明材料和依据。</w:t>
      </w:r>
      <w:r>
        <w:rPr>
          <w:rFonts w:ascii="宋体" w:hAnsi="宋体" w:cs="宋体"/>
        </w:rPr>
      </w:r>
      <w:r/>
    </w:p>
    <w:p>
      <w:pPr>
        <w:pStyle w:val="885"/>
        <w:ind w:firstLine="420"/>
        <w:jc w:val="left"/>
        <w:pageBreakBefore w:val="0"/>
        <w:spacing w:line="440" w:lineRule="exact"/>
        <w:rPr>
          <w:rFonts w:hint="eastAsia" w:ascii="宋体" w:hAnsi="宋体" w:cs="宋体"/>
          <w:color w:val="000000"/>
          <w:sz w:val="21"/>
          <w:szCs w:val="21"/>
          <w:highlight w:val="none"/>
        </w:rPr>
      </w:pPr>
      <w:r>
        <w:rPr>
          <w:rFonts w:ascii="宋体" w:hAnsi="宋体" w:cs="宋体"/>
        </w:rPr>
      </w:r>
      <w:bookmarkStart w:id="25" w:name="_Toc35393636"/>
      <w:r>
        <w:rPr>
          <w:rFonts w:ascii="宋体" w:hAnsi="宋体" w:cs="宋体"/>
        </w:rPr>
      </w:r>
      <w:bookmarkStart w:id="26" w:name="_Toc35393805"/>
      <w:r>
        <w:rPr>
          <w:rFonts w:ascii="宋体" w:hAnsi="宋体" w:cs="宋体"/>
        </w:rPr>
      </w:r>
      <w:bookmarkStart w:id="27" w:name="_Toc28359018"/>
      <w:r>
        <w:rPr>
          <w:rFonts w:ascii="宋体" w:hAnsi="宋体" w:cs="宋体"/>
        </w:rPr>
      </w:r>
      <w:bookmarkStart w:id="28" w:name="_Toc28359095"/>
      <w:r>
        <w:rPr>
          <w:rFonts w:hint="eastAsia" w:ascii="宋体" w:hAnsi="宋体" w:eastAsia="宋体" w:cs="宋体"/>
          <w:color w:val="000000"/>
          <w:sz w:val="21"/>
          <w:szCs w:val="21"/>
          <w:highlight w:val="none"/>
        </w:rPr>
        <w:t xml:space="preserve">3.苏州吴江区政府采购办公室监督电话：0512-63982393。</w:t>
      </w:r>
      <w:r>
        <w:rPr>
          <w:rFonts w:ascii="宋体" w:hAnsi="宋体" w:cs="宋体"/>
        </w:rPr>
      </w:r>
      <w:r/>
    </w:p>
    <w:p>
      <w:pPr>
        <w:pStyle w:val="885"/>
        <w:ind w:firstLine="420"/>
        <w:jc w:val="left"/>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4.根据苏州市财政局《关于深入开展苏州市政府采购合同信用融资业务的通知》相关要求，本项目支持政府采购合同信用融资。</w:t>
      </w:r>
      <w:r>
        <w:rPr>
          <w:rFonts w:ascii="宋体" w:hAnsi="宋体" w:cs="宋体"/>
        </w:rPr>
      </w:r>
      <w:r/>
    </w:p>
    <w:p>
      <w:pPr>
        <w:pStyle w:val="885"/>
        <w:ind w:firstLine="420"/>
        <w:jc w:val="left"/>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5.本次采购的相关信息刊登在</w:t>
      </w:r>
      <w:r>
        <w:rPr>
          <w:rFonts w:hint="eastAsia" w:ascii="宋体" w:hAnsi="宋体" w:eastAsia="宋体" w:cs="宋体"/>
          <w:color w:val="000000"/>
          <w:sz w:val="21"/>
          <w:szCs w:val="21"/>
          <w:highlight w:val="none"/>
          <w:lang w:eastAsia="zh-CN"/>
        </w:rPr>
        <w:t xml:space="preserve">中国政府采购网、</w:t>
      </w:r>
      <w:r>
        <w:rPr>
          <w:rFonts w:hint="eastAsia" w:ascii="宋体" w:hAnsi="宋体" w:eastAsia="宋体" w:cs="宋体"/>
          <w:color w:val="000000"/>
          <w:sz w:val="21"/>
          <w:szCs w:val="21"/>
          <w:highlight w:val="none"/>
        </w:rPr>
        <w:t xml:space="preserve">江苏政府采购网、苏州政府采购网。</w:t>
      </w:r>
      <w:r>
        <w:rPr>
          <w:rFonts w:ascii="宋体" w:hAnsi="宋体" w:cs="宋体"/>
        </w:rPr>
      </w:r>
      <w:r/>
    </w:p>
    <w:p>
      <w:pPr>
        <w:pStyle w:val="885"/>
        <w:ind w:firstLine="420"/>
        <w:jc w:val="left"/>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.现场踏勘：</w:t>
      </w:r>
      <w:bookmarkStart w:id="29" w:name="OLE_LINK3"/>
      <w:r>
        <w:rPr>
          <w:rFonts w:hint="eastAsia" w:ascii="宋体" w:hAnsi="宋体" w:eastAsia="宋体" w:cs="宋体"/>
          <w:color w:val="000000"/>
          <w:sz w:val="21"/>
          <w:szCs w:val="21"/>
          <w:highlight w:val="none"/>
        </w:rPr>
        <w:t xml:space="preserve">为便于各投标供应商充分了解项目现场实际情况，可自行前往现场进行踏勘，以获取可能影响投标决策的所有直接资料。未进行现场踏勘的供应商，在中标后不得以“对现场情况了解不充分”为由，向招标采购单位提出任何索赔或加价诉求。对于此类诉求，招标采购单位不承担任何责任，且将不作答复与考虑。如需前往现场踏勘，请提前联系。</w:t>
      </w:r>
      <w:bookmarkEnd w:id="29"/>
      <w:r>
        <w:rPr>
          <w:rFonts w:ascii="宋体" w:hAnsi="宋体" w:cs="宋体"/>
        </w:rPr>
      </w:r>
      <w:r/>
    </w:p>
    <w:p>
      <w:pPr>
        <w:pStyle w:val="885"/>
        <w:ind w:firstLine="422"/>
        <w:jc w:val="left"/>
        <w:pageBreakBefore w:val="0"/>
        <w:spacing w:line="44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七、凡对本次招标提出询问，请按以下方式联系</w:t>
      </w:r>
      <w:bookmarkEnd w:id="25"/>
      <w:r>
        <w:rPr>
          <w:rFonts w:ascii="宋体" w:hAnsi="宋体" w:cs="宋体"/>
        </w:rPr>
      </w:r>
      <w:bookmarkEnd w:id="26"/>
      <w:r>
        <w:rPr>
          <w:rFonts w:ascii="宋体" w:hAnsi="宋体" w:cs="宋体"/>
        </w:rPr>
      </w:r>
      <w:bookmarkEnd w:id="27"/>
      <w:r>
        <w:rPr>
          <w:rFonts w:ascii="宋体" w:hAnsi="宋体" w:cs="宋体"/>
        </w:rPr>
      </w:r>
      <w:bookmarkEnd w:id="28"/>
      <w:r>
        <w:rPr>
          <w:rFonts w:ascii="宋体" w:hAnsi="宋体" w:cs="宋体"/>
        </w:rPr>
      </w:r>
      <w:r/>
    </w:p>
    <w:p>
      <w:pPr>
        <w:pStyle w:val="885"/>
        <w:ind w:firstLine="420"/>
        <w:jc w:val="left"/>
        <w:pageBreakBefore w:val="0"/>
        <w:spacing w:line="440" w:lineRule="exact"/>
        <w:widowControl/>
        <w:rPr>
          <w:rFonts w:hint="eastAsia" w:ascii="宋体" w:hAnsi="宋体" w:cs="宋体"/>
          <w:color w:val="000000"/>
          <w:sz w:val="21"/>
          <w:szCs w:val="21"/>
          <w:highlight w:val="none"/>
        </w:rPr>
      </w:pPr>
      <w:r>
        <w:rPr>
          <w:rFonts w:ascii="宋体" w:hAnsi="宋体" w:cs="宋体"/>
        </w:rPr>
      </w:r>
      <w:bookmarkStart w:id="30" w:name="_Toc28359075"/>
      <w:r>
        <w:rPr>
          <w:rFonts w:ascii="宋体" w:hAnsi="宋体" w:cs="宋体"/>
        </w:rPr>
      </w:r>
      <w:bookmarkStart w:id="31" w:name="_Toc35393786"/>
      <w:r>
        <w:rPr>
          <w:rFonts w:ascii="宋体" w:hAnsi="宋体" w:cs="宋体"/>
        </w:rPr>
      </w:r>
      <w:bookmarkStart w:id="32" w:name="_Toc35393617"/>
      <w:r>
        <w:rPr>
          <w:rFonts w:ascii="宋体" w:hAnsi="宋体" w:cs="宋体"/>
        </w:rPr>
      </w:r>
      <w:bookmarkStart w:id="33" w:name="_Toc28358998"/>
      <w:r>
        <w:rPr>
          <w:rFonts w:hint="eastAsia" w:ascii="宋体" w:hAnsi="宋体" w:eastAsia="宋体" w:cs="宋体"/>
          <w:color w:val="000000"/>
          <w:sz w:val="21"/>
          <w:szCs w:val="21"/>
          <w:highlight w:val="none"/>
        </w:rPr>
        <w:t xml:space="preserve">1.采购人信息</w:t>
      </w:r>
      <w:bookmarkEnd w:id="30"/>
      <w:r>
        <w:rPr>
          <w:rFonts w:ascii="宋体" w:hAnsi="宋体" w:cs="宋体"/>
        </w:rPr>
      </w:r>
      <w:bookmarkEnd w:id="31"/>
      <w:r>
        <w:rPr>
          <w:rFonts w:ascii="宋体" w:hAnsi="宋体" w:cs="宋体"/>
        </w:rPr>
      </w:r>
      <w:bookmarkEnd w:id="32"/>
      <w:r>
        <w:rPr>
          <w:rFonts w:ascii="宋体" w:hAnsi="宋体" w:cs="宋体"/>
        </w:rPr>
      </w:r>
      <w:bookmarkEnd w:id="33"/>
      <w:r>
        <w:rPr>
          <w:rFonts w:ascii="宋体" w:hAnsi="宋体" w:cs="宋体"/>
        </w:rPr>
      </w:r>
      <w:r/>
    </w:p>
    <w:p>
      <w:pPr>
        <w:pStyle w:val="885"/>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名  称：</w:t>
      </w:r>
      <w:r>
        <w:rPr>
          <w:rFonts w:hint="eastAsia" w:ascii="宋体" w:hAnsi="宋体" w:eastAsia="宋体" w:cs="宋体"/>
          <w:color w:val="000000"/>
          <w:sz w:val="21"/>
          <w:szCs w:val="21"/>
          <w:highlight w:val="none"/>
          <w:lang w:eastAsia="zh-CN"/>
        </w:rPr>
        <w:t xml:space="preserve">江苏省苏州丝绸中等专业学校</w:t>
      </w:r>
      <w:r>
        <w:rPr>
          <w:rFonts w:ascii="宋体" w:hAnsi="宋体" w:cs="宋体"/>
        </w:rPr>
      </w:r>
      <w:r/>
    </w:p>
    <w:p>
      <w:pPr>
        <w:pStyle w:val="885"/>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地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址：</w:t>
      </w:r>
      <w:r>
        <w:rPr>
          <w:rFonts w:hint="eastAsia" w:ascii="宋体" w:hAnsi="宋体" w:eastAsia="宋体" w:cs="宋体"/>
          <w:color w:val="000000"/>
          <w:sz w:val="21"/>
          <w:szCs w:val="21"/>
          <w:highlight w:val="none"/>
          <w:lang w:eastAsia="zh-CN"/>
        </w:rPr>
        <w:t xml:space="preserve">苏州市吴江区盛泽镇市场中路588号</w:t>
      </w:r>
      <w:r>
        <w:rPr>
          <w:rFonts w:ascii="宋体" w:hAnsi="宋体" w:cs="宋体"/>
        </w:rPr>
      </w:r>
      <w:r/>
    </w:p>
    <w:p>
      <w:pPr>
        <w:pStyle w:val="885"/>
        <w:ind w:firstLine="420"/>
        <w:jc w:val="left"/>
        <w:pageBreakBefore w:val="0"/>
        <w:spacing w:line="440" w:lineRule="exact"/>
        <w:widowControl/>
        <w:rPr>
          <w:rFonts w:ascii="宋体" w:hAnsi="宋体" w:cs="宋体"/>
          <w:color w:val="000000"/>
          <w:sz w:val="21"/>
          <w:szCs w:val="21"/>
          <w:highlight w:val="none"/>
        </w:rPr>
      </w:pPr>
      <w:r>
        <w:rPr>
          <w:rFonts w:ascii="宋体" w:hAnsi="宋体" w:cs="宋体"/>
        </w:rPr>
      </w:r>
      <w:bookmarkStart w:id="34" w:name="_Toc35393619"/>
      <w:r>
        <w:rPr>
          <w:rFonts w:ascii="宋体" w:hAnsi="宋体" w:cs="宋体"/>
        </w:rPr>
      </w:r>
      <w:bookmarkStart w:id="35" w:name="_Toc35393788"/>
      <w:r>
        <w:rPr>
          <w:rFonts w:ascii="宋体" w:hAnsi="宋体" w:cs="宋体"/>
        </w:rPr>
      </w:r>
      <w:bookmarkStart w:id="36" w:name="_Toc28359000"/>
      <w:r>
        <w:rPr>
          <w:rFonts w:ascii="宋体" w:hAnsi="宋体" w:cs="宋体"/>
        </w:rPr>
      </w:r>
      <w:bookmarkStart w:id="37" w:name="_Toc28359077"/>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t xml:space="preserve">周老师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王老师 </w:t>
      </w:r>
      <w:r>
        <w:rPr>
          <w:rFonts w:ascii="宋体" w:hAnsi="宋体" w:cs="宋体"/>
          <w:color w:val="000000"/>
          <w:sz w:val="21"/>
          <w:szCs w:val="21"/>
          <w:highlight w:val="none"/>
        </w:rPr>
        <w:t xml:space="preserve">         </w:t>
      </w:r>
      <w:r>
        <w:rPr>
          <w:rFonts w:ascii="宋体" w:hAnsi="宋体" w:cs="宋体"/>
        </w:rPr>
      </w:r>
      <w:r/>
    </w:p>
    <w:p>
      <w:pPr>
        <w:pStyle w:val="885"/>
        <w:ind w:firstLine="420"/>
        <w:jc w:val="left"/>
        <w:pageBreakBefore w:val="0"/>
        <w:spacing w:line="440" w:lineRule="exact"/>
        <w:widowControl/>
        <w:rPr>
          <w:rFonts w:hint="eastAsia" w:ascii="宋体" w:hAnsi="宋体" w:cs="宋体"/>
          <w:color w:val="000000"/>
          <w:sz w:val="21"/>
          <w:szCs w:val="21"/>
          <w:highlight w:val="none"/>
        </w:rPr>
      </w:pPr>
      <w:r>
        <w:rPr>
          <w:rFonts w:ascii="宋体" w:hAnsi="宋体" w:eastAsia="宋体" w:cs="宋体"/>
          <w:color w:val="000000"/>
          <w:sz w:val="21"/>
          <w:szCs w:val="21"/>
          <w:highlight w:val="none"/>
        </w:rPr>
        <w:t xml:space="preserve">电</w:t>
      </w:r>
      <w:r>
        <w:rPr>
          <w:rFonts w:hint="eastAsia" w:ascii="宋体" w:hAnsi="宋体" w:cs="宋体"/>
          <w:color w:val="000000"/>
          <w:sz w:val="21"/>
          <w:szCs w:val="21"/>
          <w:highlight w:val="none"/>
          <w:lang w:val="en-US" w:eastAsia="zh-CN"/>
        </w:rPr>
        <w:t xml:space="preserve">  </w:t>
      </w:r>
      <w:r>
        <w:rPr>
          <w:rFonts w:ascii="宋体" w:hAnsi="宋体" w:eastAsia="宋体" w:cs="宋体"/>
          <w:color w:val="000000"/>
          <w:sz w:val="21"/>
          <w:szCs w:val="21"/>
          <w:highlight w:val="none"/>
        </w:rPr>
        <w:t xml:space="preserve">话：0512-</w:t>
      </w:r>
      <w:r>
        <w:rPr>
          <w:rFonts w:hint="eastAsia" w:ascii="宋体" w:hAnsi="宋体" w:cs="宋体"/>
          <w:color w:val="000000"/>
          <w:sz w:val="21"/>
          <w:szCs w:val="21"/>
          <w:highlight w:val="none"/>
        </w:rPr>
        <w:t xml:space="preserve">63552945</w:t>
      </w:r>
      <w:r>
        <w:rPr>
          <w:rFonts w:ascii="宋体" w:hAnsi="宋体" w:cs="宋体"/>
          <w:color w:val="000000"/>
          <w:sz w:val="21"/>
          <w:szCs w:val="21"/>
          <w:highlight w:val="none"/>
        </w:rPr>
        <w:t xml:space="preserve"> </w:t>
      </w:r>
      <w:r>
        <w:rPr>
          <w:rFonts w:hint="eastAsia" w:ascii="宋体" w:hAnsi="宋体" w:eastAsia="宋体" w:cs="宋体"/>
          <w:color w:val="000000"/>
          <w:sz w:val="21"/>
          <w:szCs w:val="21"/>
          <w:highlight w:val="none"/>
        </w:rPr>
        <w:t xml:space="preserve">         </w:t>
      </w:r>
      <w:r>
        <w:rPr>
          <w:rFonts w:ascii="宋体" w:hAnsi="宋体" w:cs="宋体"/>
        </w:rPr>
      </w:r>
      <w:r/>
    </w:p>
    <w:p>
      <w:pPr>
        <w:pStyle w:val="885"/>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2.代理机构联系方式</w:t>
      </w:r>
      <w:bookmarkEnd w:id="34"/>
      <w:r>
        <w:rPr>
          <w:rFonts w:ascii="宋体" w:hAnsi="宋体" w:cs="宋体"/>
        </w:rPr>
      </w:r>
      <w:bookmarkEnd w:id="35"/>
      <w:r>
        <w:rPr>
          <w:rFonts w:ascii="宋体" w:hAnsi="宋体" w:cs="宋体"/>
        </w:rPr>
      </w:r>
      <w:bookmarkEnd w:id="36"/>
      <w:r>
        <w:rPr>
          <w:rFonts w:ascii="宋体" w:hAnsi="宋体" w:cs="宋体"/>
        </w:rPr>
      </w:r>
      <w:bookmarkEnd w:id="37"/>
      <w:r>
        <w:rPr>
          <w:rFonts w:ascii="宋体" w:hAnsi="宋体" w:cs="宋体"/>
        </w:rPr>
      </w:r>
      <w:r/>
    </w:p>
    <w:p>
      <w:pPr>
        <w:pStyle w:val="885"/>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名  称</w:t>
      </w:r>
      <w:bookmarkStart w:id="38" w:name="XTDLJG_2"/>
      <w:r>
        <w:rPr>
          <w:rFonts w:hint="eastAsia" w:ascii="宋体" w:hAnsi="宋体" w:eastAsia="宋体" w:cs="宋体"/>
          <w:color w:val="000000"/>
          <w:sz w:val="21"/>
          <w:szCs w:val="21"/>
          <w:highlight w:val="none"/>
        </w:rPr>
        <w:t xml:space="preserve">：</w:t>
      </w:r>
      <w:bookmarkEnd w:id="38"/>
      <w:r>
        <w:rPr>
          <w:rFonts w:hint="eastAsia" w:ascii="宋体" w:hAnsi="宋体" w:eastAsia="宋体" w:cs="宋体"/>
          <w:color w:val="000000"/>
          <w:sz w:val="21"/>
          <w:szCs w:val="21"/>
          <w:highlight w:val="none"/>
        </w:rPr>
        <w:t xml:space="preserve">苏州欣禾诚工程咨询服务有限公司</w:t>
      </w:r>
      <w:r>
        <w:rPr>
          <w:rFonts w:ascii="宋体" w:hAnsi="宋体" w:cs="宋体"/>
        </w:rPr>
      </w:r>
      <w:r/>
    </w:p>
    <w:p>
      <w:pPr>
        <w:pStyle w:val="885"/>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地  址：苏州市吴江区鲈乡南路2485号明珠大厦北楼1702A</w:t>
      </w:r>
      <w:r>
        <w:rPr>
          <w:rFonts w:ascii="宋体" w:hAnsi="宋体" w:cs="宋体"/>
        </w:rPr>
      </w:r>
      <w:r/>
    </w:p>
    <w:p>
      <w:pPr>
        <w:pStyle w:val="885"/>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ascii="宋体" w:hAnsi="宋体" w:eastAsia="宋体" w:cs="宋体"/>
          <w:color w:val="000000"/>
          <w:sz w:val="21"/>
          <w:szCs w:val="21"/>
          <w:highlight w:val="none"/>
        </w:rPr>
        <w:t xml:space="preserve">沈雪娟、吴清芬</w:t>
      </w:r>
      <w:r>
        <w:rPr>
          <w:rFonts w:ascii="宋体" w:hAnsi="宋体" w:cs="宋体"/>
        </w:rPr>
      </w:r>
      <w:r/>
    </w:p>
    <w:p>
      <w:pPr>
        <w:pStyle w:val="885"/>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电　话：0512-63659266　　　</w:t>
      </w:r>
      <w:r>
        <w:rPr>
          <w:rFonts w:hint="eastAsia" w:ascii="宋体" w:hAnsi="宋体" w:cs="宋体"/>
          <w:color w:val="000000"/>
          <w:sz w:val="21"/>
          <w:szCs w:val="21"/>
          <w:highlight w:val="none"/>
        </w:rPr>
        <w:t xml:space="preserve">　　　　　                       </w:t>
      </w:r>
      <w:r>
        <w:rPr>
          <w:rFonts w:ascii="宋体" w:hAnsi="宋体" w:cs="宋体"/>
        </w:rPr>
      </w:r>
      <w:r/>
    </w:p>
    <w:p>
      <w:pPr>
        <w:pStyle w:val="885"/>
        <w:ind w:firstLine="420"/>
        <w:jc w:val="right"/>
        <w:spacing w:line="42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85"/>
        <w:ind w:firstLine="420"/>
        <w:jc w:val="right"/>
        <w:spacing w:line="420" w:lineRule="exact"/>
        <w:widowControl/>
        <w:rPr>
          <w:rFonts w:hint="eastAsia" w:ascii="宋体" w:hAnsi="宋体" w:cs="宋体"/>
          <w:b/>
          <w:bCs/>
          <w:color w:val="000000"/>
          <w:sz w:val="44"/>
          <w:szCs w:val="44"/>
          <w:highlight w:val="none"/>
        </w:rPr>
      </w:pPr>
      <w:r>
        <w:rPr>
          <w:rFonts w:hint="eastAsia" w:ascii="宋体" w:hAnsi="宋体" w:cs="宋体"/>
          <w:color w:val="000000"/>
          <w:sz w:val="21"/>
          <w:szCs w:val="21"/>
          <w:highlight w:val="none"/>
        </w:rPr>
        <w:t xml:space="preserve">  </w:t>
      </w:r>
      <w:bookmarkStart w:id="39" w:name="_Toc414602014"/>
      <w:r>
        <w:rPr>
          <w:rFonts w:ascii="宋体" w:hAnsi="宋体" w:cs="宋体"/>
        </w:rPr>
      </w:r>
      <w:r/>
    </w:p>
    <w:p>
      <w:pPr>
        <w:pStyle w:val="885"/>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85"/>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hint="eastAsia" w:ascii="宋体" w:hAnsi="宋体" w:cs="宋体"/>
          <w:b/>
          <w:bCs/>
          <w:color w:val="000000"/>
          <w:sz w:val="44"/>
          <w:szCs w:val="44"/>
          <w:highlight w:val="none"/>
        </w:rPr>
      </w:r>
      <w:r/>
    </w:p>
    <w:p>
      <w:pPr>
        <w:pStyle w:val="885"/>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85"/>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85"/>
        <w:jc w:val="center"/>
        <w:rPr>
          <w:rFonts w:ascii="宋体" w:hAnsi="宋体" w:cs="宋体"/>
          <w:b/>
          <w:bCs/>
          <w:color w:val="000000"/>
          <w:sz w:val="44"/>
          <w:szCs w:val="44"/>
          <w:highlight w:val="none"/>
        </w:rPr>
      </w:pPr>
      <w:r>
        <w:rPr>
          <w:rFonts w:hint="eastAsia" w:ascii="宋体" w:hAnsi="宋体" w:eastAsia="宋体" w:cs="宋体"/>
          <w:b/>
          <w:bCs/>
          <w:color w:val="000000"/>
          <w:sz w:val="44"/>
          <w:szCs w:val="44"/>
          <w:highlight w:val="none"/>
        </w:rPr>
        <w:t xml:space="preserve">第二章</w:t>
      </w:r>
      <w:r>
        <w:rPr>
          <w:rFonts w:ascii="宋体" w:hAnsi="宋体" w:cs="宋体"/>
          <w:b/>
          <w:bCs/>
          <w:color w:val="000000"/>
          <w:sz w:val="44"/>
          <w:szCs w:val="44"/>
          <w:highlight w:val="none"/>
        </w:rPr>
        <w:t xml:space="preserve">  </w:t>
      </w:r>
      <w:r>
        <w:rPr>
          <w:rFonts w:hint="eastAsia" w:ascii="宋体" w:hAnsi="宋体" w:eastAsia="宋体" w:cs="宋体"/>
          <w:b/>
          <w:bCs/>
          <w:color w:val="000000"/>
          <w:sz w:val="44"/>
          <w:szCs w:val="44"/>
          <w:highlight w:val="none"/>
        </w:rPr>
        <w:t xml:space="preserve">投标人须知</w:t>
      </w:r>
      <w:r>
        <w:rPr>
          <w:rFonts w:ascii="宋体" w:hAnsi="宋体" w:cs="宋体"/>
        </w:rPr>
      </w:r>
      <w:r/>
    </w:p>
    <w:p>
      <w:pPr>
        <w:pStyle w:val="885"/>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说明和释义</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说明</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本招标文件仅适用于苏州欣禾诚工程咨询服务有限公司组织的招标活动。</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本次招标活动及因本次招标产生的合同受中国法律制约和保护。</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本招标文件的解释权属于苏州欣禾诚工程咨询服务有限公司。</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词语释义</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招标代理机构：具体组织实施招标活动的法人。</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采购</w:t>
      </w:r>
      <w:r>
        <w:rPr>
          <w:rFonts w:hint="eastAsia" w:ascii="宋体" w:hAnsi="宋体" w:eastAsia="宋体" w:cs="宋体"/>
          <w:color w:val="000000"/>
          <w:sz w:val="21"/>
          <w:szCs w:val="21"/>
          <w:highlight w:val="none"/>
          <w:lang w:val="zh-CN"/>
        </w:rPr>
        <w:t xml:space="preserve">单位）</w:t>
      </w:r>
      <w:r>
        <w:rPr>
          <w:rFonts w:hint="eastAsia" w:ascii="宋体" w:hAnsi="宋体" w:eastAsia="宋体" w:cs="宋体"/>
          <w:color w:val="000000"/>
          <w:sz w:val="21"/>
          <w:szCs w:val="21"/>
          <w:highlight w:val="none"/>
        </w:rPr>
        <w:t xml:space="preserve">：指依法进行政府采购的国家机关、事业单位、团体组织。</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投标人（投标单位）：经认定有资格响应招标，参加投标竞争的法人或其他组织和自然人。</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响应：投标人根据招标代理机构或招标代理机构发布的招标文件，编制投标文件并按规定投标的行为。</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合同：采供双方根据招标文件和中标的投标文件及中标通知书规定的内容签署的以书面形式所达成的协议，包括所有的附件、附录和构成协议的所有文件。</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甲方（委托方）：合同中明确规定的实际购买货物和服务的法人或其他组织和自然人 。</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乙方（服务方）：合同中规定的向采购单位提供货物和服务的法人或其他组织和自然人。</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评标委员会：是指在招标投标和政府采购活动中，依法由采购人代表和有关技术、经济等方面的专家组建，负责对投标文件进行评审并提出评审意见的临时性权威机构。</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货物：系指乙方按招标文件规定，应向甲方提供的一切设备、备品、备件、工具、手册及其它有关技术资料和材料。</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服务：系指本次招标采购文件规定乙方应承担的与提供货物和服务有关的辅助服务，比如运输、保险、安装、调试、提供技术援助、培训、配合措施、维修响应及合同中规定乙方应承担的其他义务。</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知识产权：指专利权、商标权、著作权等无形财产专有权的统称。</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天：日历日。</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交货地点：合同中明确约定的乙方提交的货物和服务最终交付地点。</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服务地点：合同中明确约定的乙方履行服务的最终地点。</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合同价款：根据合同规定，乙方在正确地履行合同义务后甲方应支付乙方的价款。</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产地：货物开采、生长、生产、最终制造、加工或提供服务的来源地。</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不可抗力：不能预见、不能避免并且不能克服的客观情况。</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实质性响应：满足有关本次采购标的、数量、质量、价款或者报酬、履行期限、履行地点和方式、违约责任和解决争议方法等要求。</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进口产品：指通过中国海关报关验收进入中国境内且产自境外的产品，具体按照苏财购〔2008〕14号江苏省财政厅转发财政部办公厅关于政府采购进口产品管理有关问题的通知的规定。</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书面形式：指书面文字、合同书、信件和数据电文（包括电报、电传、传真、电子数据交换和电子邮件）等可以有形地表现所载内容的形式。</w:t>
      </w:r>
      <w:r>
        <w:rPr>
          <w:rFonts w:ascii="宋体" w:hAnsi="宋体" w:cs="宋体"/>
        </w:rPr>
      </w:r>
      <w:r/>
    </w:p>
    <w:p>
      <w:pPr>
        <w:pStyle w:val="885"/>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投标人</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合格投标人的范围</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符合《中华人民共和国政府采购法》第二十二条第一款之规定。</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合格投标人的特定条件</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见投标邀请函</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投标委托</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指全权代表投标人参加投标活动并签署投标文件的人，如果投标人代表不是法定代表人，须持有《法定代表人代表授权委托书》（详见统一格式）。</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投标费用</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无论投标过程的做法和结果如何，投标人自行承担所有与参加投标有关的全部费用。</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联合投标</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本项目不接受联合投标。</w:t>
      </w:r>
      <w:r>
        <w:rPr>
          <w:rFonts w:ascii="宋体" w:hAnsi="宋体" w:cs="宋体"/>
        </w:rPr>
      </w:r>
      <w:r/>
    </w:p>
    <w:p>
      <w:pPr>
        <w:pStyle w:val="885"/>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招标文件的说明</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招标文件</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招标文件由招标文件目录所列内容组成，投标人下载招标文件后，投标人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招标文件及其补充通知（包括更正公告）不是直接从财政部门指定的政府采购信息发布媒体上下载获得的，招标采购单位对招标文件及其补遗的真实性、完整性不承担任何责任。</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现场考察</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投标人自行对有关现场和周围环境进行考察，以获取编制投标文件和签署合同所需的信息。考察现场所发生的费用由投标人自己承担。</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招标采购单位向投标人提供的有关现场的资料和数据，是招标采购单位现有的并认为能使投标人可利用的资料。招标采购单位对投标人由此而做出的推论、理解和结论概不负责。</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经招标采购单位允许，投标人可为考察目的进入招标采购单位的项目现场，但投标人不得因此使招标采购单位承担有关的责任和蒙受损失。投标人应承担考察现场的责任和风险。</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招标文件的澄清和修改</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采购人无论出于自己的考虑，还是出于对投标人提问的澄清，均可对招标文件用更正公告的方式进行澄清或者修改，并通过中国政府采购网、江苏政府采购网、苏州市政府采购网对外进行发布。</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对于补充通知（包括更正公告），报名成功的供应商通过“苏州市政府采购网”的“采购公告”自行查看所报项目的补充通知（包括更正公告）或通过“江苏政府采购网”的“采购公告”自行查看所报项目的补充通知（包括更正公告）。补充通知（包括更正公告）将作为招标文件的组成部分，对所有投标人有约束力。</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为使投标人有足够的时间按招标文件的修改要求考虑修正投标文件，或出于其他原因，招标采购单位有权推迟投标截止日期和开标日期，并将此变更通知以更正公告的形式对外发布。</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招标文件的更正（含澄清、修改等）内容与原招标文件在同一内容上表述不一致时，以发出日期最接近开标时间的公告为准。</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投标答疑</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投标人在获取招标文件后，若对招标文件有疑问，可与代理机构或采购单位联系。</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勘察现场</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本项目因运行环境和安装设备的要求，投标单位根据自身投标需要，可对有关现场和周围环境进行勘察，以获取编制投标文件和签署合同所需的信息。勘察现场所发生的费用由投标人自己承担。</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招标采购单位向投标人提供的有关现场的资料和数据，是招标采购单位现有的并认为能使投标人可利用的资料。招标采购单位对投标人由此而做出的推论、理解和结论概不负责。</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经招标采购单位允许，投标人可为勘察目的进入招标采购单位的项目现场，但投标人不得因此使招标采购单位承担有关的责任和蒙受损失。投标人应承担勘察现场的责任和风险。</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苏州政府采购网上发布的内容为准。</w:t>
      </w:r>
      <w:r>
        <w:rPr>
          <w:rFonts w:ascii="宋体" w:hAnsi="宋体" w:cs="宋体"/>
        </w:rPr>
      </w:r>
      <w:r/>
    </w:p>
    <w:p>
      <w:pPr>
        <w:pStyle w:val="885"/>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投标文件说明</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投标文件计量单位和使用文字</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投标文件中所使用的计量单位，除招标文件中有特殊要求外，均应使用中华人民共和国法定计量单位。</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知识产权</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outlineLvl w:val="9"/>
      </w:pPr>
      <w:r>
        <w:rPr>
          <w:rFonts w:hint="eastAsia" w:ascii="宋体" w:hAnsi="宋体" w:eastAsia="宋体" w:cs="宋体"/>
          <w:color w:val="000000"/>
          <w:sz w:val="21"/>
          <w:szCs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投标文件的组成</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投标文件</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封面</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开标一览表</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公开分项报价</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资格审查文件</w:t>
      </w:r>
      <w:r>
        <w:rPr>
          <w:rFonts w:ascii="宋体" w:hAnsi="宋体" w:cs="宋体"/>
        </w:rPr>
      </w:r>
      <w:r/>
    </w:p>
    <w:p>
      <w:pPr>
        <w:pStyle w:val="903"/>
        <w:ind w:firstLine="567"/>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15.1.4.1合格投标人资格证明材料：</w:t>
      </w:r>
      <w:r>
        <w:rPr>
          <w:rFonts w:ascii="宋体" w:hAnsi="宋体" w:cs="宋体"/>
        </w:rPr>
      </w:r>
      <w:r/>
    </w:p>
    <w:p>
      <w:pPr>
        <w:pStyle w:val="945"/>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（1）具有独立承担民事责任的能力；</w:t>
      </w:r>
      <w:r>
        <w:rPr>
          <w:rFonts w:hint="eastAsia" w:ascii="宋体" w:hAnsi="宋体" w:eastAsia="宋体" w:cs="宋体"/>
          <w:color w:val="000000"/>
          <w:sz w:val="21"/>
          <w:szCs w:val="21"/>
          <w:highlight w:val="none"/>
          <w:lang w:val="zh-CN"/>
        </w:rPr>
        <w:t xml:space="preserve">提供包括法人或者其他组织的营业执照等证明文件，自然人的身份证明</w:t>
      </w:r>
      <w:r>
        <w:rPr>
          <w:rFonts w:hint="eastAsia" w:ascii="宋体" w:hAnsi="宋体" w:eastAsia="宋体" w:cs="宋体"/>
          <w:color w:val="000000"/>
          <w:sz w:val="21"/>
          <w:szCs w:val="21"/>
          <w:highlight w:val="none"/>
        </w:rPr>
        <w:t xml:space="preserve">； </w:t>
      </w:r>
      <w:r>
        <w:rPr>
          <w:rFonts w:ascii="宋体" w:hAnsi="宋体" w:cs="宋体"/>
        </w:rPr>
      </w:r>
      <w:r/>
    </w:p>
    <w:p>
      <w:pPr>
        <w:pStyle w:val="945"/>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（2）具有良好的商业信誉和健全的财务会计制度；</w:t>
      </w:r>
      <w:r>
        <w:rPr>
          <w:rFonts w:hint="eastAsia" w:ascii="宋体" w:hAnsi="宋体" w:eastAsia="宋体" w:cs="宋体"/>
          <w:color w:val="000000"/>
          <w:sz w:val="21"/>
          <w:szCs w:val="21"/>
          <w:highlight w:val="none"/>
          <w:lang w:val="zh-CN"/>
        </w:rPr>
        <w:t xml:space="preserve">提供包括但不限于最近一期（202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年度或202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年度）经审计的财务报告或最近一期财务报表</w:t>
      </w:r>
      <w:r>
        <w:rPr>
          <w:rFonts w:hint="eastAsia" w:ascii="宋体" w:hAnsi="宋体" w:eastAsia="宋体" w:cs="宋体"/>
          <w:color w:val="000000"/>
          <w:sz w:val="21"/>
          <w:szCs w:val="21"/>
          <w:highlight w:val="none"/>
        </w:rPr>
        <w:t xml:space="preserve">（资产负债表、利润表、现金流量表）</w:t>
      </w:r>
      <w:r>
        <w:rPr>
          <w:rFonts w:hint="eastAsia" w:ascii="宋体" w:hAnsi="宋体" w:eastAsia="宋体" w:cs="宋体"/>
          <w:color w:val="000000"/>
          <w:sz w:val="21"/>
          <w:szCs w:val="21"/>
          <w:highlight w:val="none"/>
          <w:lang w:val="zh-CN"/>
        </w:rPr>
        <w:t xml:space="preserve">，其他组织、自然人及成立未满一年的法人应提供银行出具的资信证明；  </w:t>
      </w:r>
      <w:r>
        <w:rPr>
          <w:rFonts w:ascii="宋体" w:hAnsi="宋体" w:cs="宋体"/>
        </w:rPr>
      </w:r>
      <w:r/>
    </w:p>
    <w:p>
      <w:pPr>
        <w:pStyle w:val="945"/>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（3）具有履行合同所必需的设备和专业技术能力</w:t>
      </w:r>
      <w:r>
        <w:rPr>
          <w:rFonts w:hint="eastAsia" w:ascii="宋体" w:hAnsi="宋体" w:eastAsia="宋体" w:cs="宋体"/>
          <w:color w:val="000000"/>
          <w:sz w:val="21"/>
          <w:szCs w:val="21"/>
          <w:highlight w:val="none"/>
          <w:lang w:val="zh-CN"/>
        </w:rPr>
        <w:t xml:space="preserve">；提供证明材料或书面承诺书</w:t>
      </w:r>
      <w:r>
        <w:rPr>
          <w:rFonts w:hint="eastAsia" w:ascii="宋体" w:hAnsi="宋体" w:eastAsia="宋体" w:cs="宋体"/>
          <w:color w:val="000000"/>
          <w:sz w:val="21"/>
          <w:szCs w:val="21"/>
          <w:highlight w:val="none"/>
        </w:rPr>
        <w:t xml:space="preserve">； </w:t>
      </w:r>
      <w:r>
        <w:rPr>
          <w:rFonts w:ascii="宋体" w:hAnsi="宋体" w:cs="宋体"/>
        </w:rPr>
      </w:r>
      <w:r/>
    </w:p>
    <w:p>
      <w:pPr>
        <w:pStyle w:val="945"/>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（4）依法缴纳税收和社会保障资金的良好记录；</w:t>
      </w:r>
      <w:r>
        <w:rPr>
          <w:rFonts w:hint="eastAsia" w:ascii="宋体" w:hAnsi="宋体" w:eastAsia="宋体" w:cs="宋体"/>
          <w:color w:val="000000"/>
          <w:sz w:val="21"/>
          <w:szCs w:val="21"/>
          <w:highlight w:val="none"/>
          <w:lang w:val="zh-CN"/>
        </w:rPr>
        <w:t xml:space="preserve">提供税务登记证（如有）和最近期的依法缴纳税收的凭据，最近期的依法缴纳社会保险的凭据（专用收据或社会保险缴纳清单），依法免税或不需要缴纳社会保障资金的供应商，应提供对应证明文件； </w:t>
      </w:r>
      <w:r>
        <w:rPr>
          <w:rFonts w:ascii="宋体" w:hAnsi="宋体" w:cs="宋体"/>
        </w:rPr>
      </w:r>
      <w:r/>
    </w:p>
    <w:p>
      <w:pPr>
        <w:pStyle w:val="945"/>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（5）参加政府采购活动前三年内，在经营活动中没有重大违法记录；</w:t>
      </w:r>
      <w:r>
        <w:rPr>
          <w:rFonts w:hint="eastAsia" w:ascii="宋体" w:hAnsi="宋体" w:eastAsia="宋体" w:cs="宋体"/>
          <w:color w:val="000000"/>
          <w:sz w:val="21"/>
          <w:szCs w:val="21"/>
          <w:highlight w:val="none"/>
          <w:lang w:val="zh-CN"/>
        </w:rPr>
        <w:t xml:space="preserve">提供书面声明函</w:t>
      </w:r>
      <w:r>
        <w:rPr>
          <w:rFonts w:hint="eastAsia" w:ascii="宋体" w:hAnsi="宋体" w:eastAsia="宋体" w:cs="宋体"/>
          <w:color w:val="000000"/>
          <w:sz w:val="21"/>
          <w:szCs w:val="21"/>
          <w:highlight w:val="none"/>
          <w:lang w:eastAsia="zh-CN"/>
        </w:rPr>
        <w:t xml:space="preserve">；</w:t>
      </w:r>
      <w:r>
        <w:rPr>
          <w:rFonts w:ascii="宋体" w:hAnsi="宋体" w:cs="宋体"/>
        </w:rPr>
      </w:r>
      <w:r/>
    </w:p>
    <w:p>
      <w:pPr>
        <w:pStyle w:val="945"/>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法律、行政法规规定的其他条件。提供</w:t>
      </w:r>
      <w:r>
        <w:rPr>
          <w:rFonts w:hint="eastAsia" w:ascii="宋体" w:hAnsi="宋体" w:eastAsia="宋体" w:cs="宋体"/>
          <w:color w:val="000000"/>
          <w:sz w:val="21"/>
          <w:szCs w:val="21"/>
          <w:highlight w:val="none"/>
          <w:lang w:eastAsia="zh-CN"/>
        </w:rPr>
        <w:t xml:space="preserve">承诺符合的</w:t>
      </w:r>
      <w:r>
        <w:rPr>
          <w:rFonts w:hint="eastAsia" w:ascii="宋体" w:hAnsi="宋体" w:eastAsia="宋体" w:cs="宋体"/>
          <w:color w:val="000000"/>
          <w:sz w:val="21"/>
          <w:szCs w:val="21"/>
          <w:highlight w:val="none"/>
        </w:rPr>
        <w:t xml:space="preserve">书面声明函</w:t>
      </w:r>
      <w:r>
        <w:rPr>
          <w:rFonts w:hint="eastAsia" w:ascii="宋体" w:hAnsi="宋体" w:eastAsia="宋体" w:cs="宋体"/>
          <w:color w:val="000000"/>
          <w:sz w:val="21"/>
          <w:szCs w:val="21"/>
          <w:highlight w:val="none"/>
          <w:lang w:eastAsia="zh-CN"/>
        </w:rPr>
        <w:t xml:space="preserve">。</w:t>
      </w:r>
      <w:r>
        <w:rPr>
          <w:rFonts w:ascii="宋体" w:hAnsi="宋体" w:cs="宋体"/>
        </w:rPr>
      </w:r>
      <w:r/>
    </w:p>
    <w:p>
      <w:pPr>
        <w:pStyle w:val="945"/>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15.1.4.2其它有关资格证明文件（包括但不限于投标邀请函中其他特定资格要求的证明文件，如有要求须提供）</w:t>
      </w:r>
      <w:r>
        <w:rPr>
          <w:rFonts w:hint="eastAsia" w:ascii="宋体" w:hAnsi="宋体" w:eastAsia="宋体" w:cs="宋体"/>
          <w:color w:val="000000"/>
          <w:sz w:val="21"/>
          <w:szCs w:val="21"/>
          <w:highlight w:val="none"/>
          <w:lang w:val="zh-CN"/>
        </w:rPr>
        <w:t xml:space="preserve">；</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符合性审查文件</w:t>
      </w:r>
      <w:r>
        <w:rPr>
          <w:rFonts w:ascii="宋体" w:hAnsi="宋体" w:cs="宋体"/>
        </w:rPr>
      </w:r>
      <w:r/>
    </w:p>
    <w:p>
      <w:pPr>
        <w:pStyle w:val="945"/>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15.1.5.1</w:t>
      </w:r>
      <w:r>
        <w:rPr>
          <w:rFonts w:hint="eastAsia" w:ascii="宋体" w:hAnsi="宋体" w:eastAsia="宋体" w:cs="宋体"/>
          <w:color w:val="000000"/>
          <w:sz w:val="21"/>
          <w:szCs w:val="21"/>
          <w:highlight w:val="none"/>
          <w:lang w:val="zh-CN"/>
        </w:rPr>
        <w:t xml:space="preserve">投标函；</w:t>
      </w:r>
      <w:r>
        <w:rPr>
          <w:rFonts w:ascii="宋体" w:hAnsi="宋体" w:cs="宋体"/>
        </w:rPr>
      </w:r>
      <w:r/>
    </w:p>
    <w:p>
      <w:pPr>
        <w:pStyle w:val="945"/>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15.1.5.2技术条款偏离表；</w:t>
      </w:r>
      <w:r>
        <w:rPr>
          <w:rFonts w:ascii="宋体" w:hAnsi="宋体" w:cs="宋体"/>
        </w:rPr>
      </w:r>
      <w:r/>
    </w:p>
    <w:p>
      <w:pPr>
        <w:pStyle w:val="945"/>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15.1.5.3商务条款偏离表；</w:t>
      </w:r>
      <w:r>
        <w:rPr>
          <w:rFonts w:ascii="宋体" w:hAnsi="宋体" w:cs="宋体"/>
        </w:rPr>
      </w:r>
      <w:r/>
    </w:p>
    <w:p>
      <w:pPr>
        <w:pStyle w:val="945"/>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15.1.5.4关于资格文件的声明函；</w:t>
      </w:r>
      <w:r>
        <w:rPr>
          <w:rFonts w:ascii="宋体" w:hAnsi="宋体" w:cs="宋体"/>
        </w:rPr>
      </w:r>
      <w:r/>
    </w:p>
    <w:p>
      <w:pPr>
        <w:pStyle w:val="945"/>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15.1.5.5投标人法定代表人身份证复印件；</w:t>
      </w:r>
      <w:r>
        <w:rPr>
          <w:rFonts w:ascii="宋体" w:hAnsi="宋体" w:cs="宋体"/>
        </w:rPr>
      </w:r>
      <w:r/>
    </w:p>
    <w:p>
      <w:pPr>
        <w:pStyle w:val="945"/>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15.1.5.6法定代表人授权委托书（如有授权，格式见第三章）；</w:t>
      </w:r>
      <w:r>
        <w:rPr>
          <w:rFonts w:ascii="宋体" w:hAnsi="宋体" w:cs="宋体"/>
        </w:rPr>
      </w:r>
      <w:r/>
    </w:p>
    <w:p>
      <w:pPr>
        <w:pStyle w:val="945"/>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15.1.5.</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投标人授权代理人身份证复印件（如有授权）；</w:t>
      </w:r>
      <w:r>
        <w:rPr>
          <w:rFonts w:ascii="宋体" w:hAnsi="宋体" w:cs="宋体"/>
        </w:rPr>
      </w:r>
      <w:r/>
    </w:p>
    <w:p>
      <w:pPr>
        <w:pStyle w:val="945"/>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15.1.5.</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投标（响应）保证承诺书；</w:t>
      </w:r>
      <w:r>
        <w:rPr>
          <w:rFonts w:ascii="宋体" w:hAnsi="宋体" w:cs="宋体"/>
        </w:rPr>
      </w:r>
      <w:r/>
    </w:p>
    <w:p>
      <w:pPr>
        <w:pStyle w:val="945"/>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15.1.5.9投标货物和服务的数量、规格、品牌型号、性能及技术指标</w:t>
      </w:r>
      <w:r>
        <w:rPr>
          <w:rFonts w:hint="eastAsia" w:ascii="宋体" w:hAnsi="宋体" w:eastAsia="宋体" w:cs="宋体"/>
          <w:color w:val="000000"/>
          <w:sz w:val="21"/>
          <w:szCs w:val="21"/>
          <w:highlight w:val="none"/>
        </w:rPr>
        <w:t xml:space="preserve">、交货期说明表（不得出现价格）；</w:t>
      </w:r>
      <w:r>
        <w:rPr>
          <w:rFonts w:ascii="宋体" w:hAnsi="宋体" w:cs="宋体"/>
        </w:rPr>
      </w:r>
      <w:r/>
    </w:p>
    <w:p>
      <w:pPr>
        <w:pStyle w:val="945"/>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15.1.5.</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其他有关符合性证明的文件；</w:t>
      </w:r>
      <w:r>
        <w:rPr>
          <w:rFonts w:ascii="宋体" w:hAnsi="宋体" w:cs="宋体"/>
        </w:rPr>
      </w:r>
      <w:r/>
    </w:p>
    <w:p>
      <w:pPr>
        <w:pStyle w:val="945"/>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15.1.5.</w:t>
      </w: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zh-CN"/>
        </w:rPr>
        <w:t xml:space="preserve">投标单位情况表；</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综合评审文件（具体模块以系统生成为准）</w:t>
      </w:r>
      <w:r>
        <w:rPr>
          <w:rFonts w:ascii="宋体" w:hAnsi="宋体" w:cs="宋体"/>
        </w:rPr>
      </w:r>
      <w:r/>
    </w:p>
    <w:p>
      <w:pPr>
        <w:pStyle w:val="903"/>
        <w:ind w:firstLine="567"/>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15.1.6.1项目实施方案；</w:t>
      </w:r>
      <w:r>
        <w:rPr>
          <w:rFonts w:ascii="宋体" w:hAnsi="宋体" w:cs="宋体"/>
        </w:rPr>
      </w:r>
      <w:r/>
    </w:p>
    <w:p>
      <w:pPr>
        <w:pStyle w:val="903"/>
        <w:ind w:firstLine="567"/>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15.1.6.2针对本项目的人员及设备配置；</w:t>
      </w:r>
      <w:r>
        <w:rPr>
          <w:rFonts w:ascii="宋体" w:hAnsi="宋体" w:cs="宋体"/>
        </w:rPr>
      </w:r>
      <w:r/>
    </w:p>
    <w:p>
      <w:pPr>
        <w:pStyle w:val="903"/>
        <w:ind w:firstLine="567"/>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15.1.6.3类似业绩一览表；</w:t>
      </w:r>
      <w:r>
        <w:rPr>
          <w:rFonts w:ascii="宋体" w:hAnsi="宋体" w:cs="宋体"/>
        </w:rPr>
      </w:r>
      <w:r/>
    </w:p>
    <w:p>
      <w:pPr>
        <w:pStyle w:val="903"/>
        <w:ind w:firstLine="567"/>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15.1.6.4评分标准中要求的其他相关资料；</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价格折扣文件格式</w:t>
      </w:r>
      <w:r>
        <w:rPr>
          <w:rFonts w:ascii="宋体" w:hAnsi="宋体" w:cs="宋体"/>
        </w:rPr>
      </w:r>
      <w:r/>
    </w:p>
    <w:p>
      <w:pPr>
        <w:pStyle w:val="903"/>
        <w:ind w:firstLine="567"/>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15.1.7.1</w:t>
      </w:r>
      <w:r>
        <w:rPr>
          <w:rFonts w:hint="eastAsia" w:ascii="宋体" w:hAnsi="宋体" w:eastAsia="宋体" w:cs="宋体"/>
          <w:color w:val="000000"/>
          <w:sz w:val="21"/>
          <w:szCs w:val="21"/>
          <w:highlight w:val="none"/>
          <w:lang w:val="zh-CN" w:eastAsia="zh-CN"/>
        </w:rPr>
        <w:t xml:space="preserve">《中小企业声明函》或《残疾人福利性单位声明函》或省级以上监狱管理局、戒毒管理局（含新疆生产建设兵团）出具的属于监狱企业的证明文件（格式见附件，如属于则提供；如不属于上述企业类型的则按实际企业类型进行声明）（第一标段）；</w:t>
      </w:r>
      <w:r>
        <w:rPr>
          <w:rFonts w:ascii="宋体" w:hAnsi="宋体" w:cs="宋体"/>
        </w:rPr>
      </w:r>
      <w:r/>
    </w:p>
    <w:p>
      <w:pPr>
        <w:pStyle w:val="903"/>
        <w:ind w:firstLine="567"/>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15.1.7.1本标段为专门面向中小企业采购项目，不涉及价格折扣，无需提供上述声明函及相关证明文件</w:t>
      </w:r>
      <w:r>
        <w:rPr>
          <w:rFonts w:hint="eastAsia" w:ascii="宋体" w:hAnsi="宋体" w:eastAsia="宋体" w:cs="宋体"/>
          <w:color w:val="000000"/>
          <w:sz w:val="21"/>
          <w:szCs w:val="21"/>
          <w:highlight w:val="none"/>
          <w:lang w:val="zh-CN" w:eastAsia="zh-CN"/>
        </w:rPr>
        <w:t xml:space="preserve">（第二标段）。</w:t>
      </w:r>
      <w:r>
        <w:rPr>
          <w:rFonts w:ascii="宋体" w:hAnsi="宋体" w:cs="宋体"/>
        </w:rPr>
      </w:r>
      <w:r/>
    </w:p>
    <w:p>
      <w:pPr>
        <w:pStyle w:val="903"/>
        <w:ind w:firstLine="567"/>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15.1.7.2供应商对其提供的产品出具《关于符合本国产品标准的声明函》（以下简称《声明函》）或财政部会同有关部门规定的有关证明文件。如不提供将不享受本国产品价格评审优惠。</w:t>
      </w:r>
      <w:r>
        <w:rPr>
          <w:rFonts w:ascii="宋体" w:hAnsi="宋体" w:cs="宋体"/>
        </w:rPr>
      </w:r>
      <w:r/>
    </w:p>
    <w:p>
      <w:pPr>
        <w:pStyle w:val="897"/>
        <w:keepLines w:val="0"/>
        <w:keepNext w:val="0"/>
        <w:pageBreakBefore w:val="0"/>
        <w:spacing w:line="440" w:lineRule="exact"/>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注：（1）以上1</w:t>
      </w:r>
      <w:r>
        <w:rPr>
          <w:rFonts w:hint="eastAsia" w:ascii="宋体" w:hAnsi="宋体" w:eastAsia="宋体" w:cs="宋体"/>
          <w:b/>
          <w:bCs/>
          <w:color w:val="000000"/>
          <w:sz w:val="21"/>
          <w:szCs w:val="21"/>
          <w:highlight w:val="none"/>
        </w:rPr>
        <w:t xml:space="preserve">5</w:t>
      </w:r>
      <w:r>
        <w:rPr>
          <w:rFonts w:hint="eastAsia" w:ascii="宋体" w:hAnsi="宋体" w:eastAsia="宋体" w:cs="宋体"/>
          <w:b/>
          <w:bCs/>
          <w:color w:val="000000"/>
          <w:sz w:val="21"/>
          <w:szCs w:val="21"/>
          <w:highlight w:val="none"/>
          <w:lang w:val="zh-CN"/>
        </w:rPr>
        <w:t xml:space="preserve">.1.4.</w:t>
      </w: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zh-CN"/>
        </w:rPr>
        <w:t xml:space="preserve">-1</w:t>
      </w:r>
      <w:r>
        <w:rPr>
          <w:rFonts w:hint="eastAsia" w:ascii="宋体" w:hAnsi="宋体" w:eastAsia="宋体" w:cs="宋体"/>
          <w:b/>
          <w:bCs/>
          <w:color w:val="000000"/>
          <w:sz w:val="21"/>
          <w:szCs w:val="21"/>
          <w:highlight w:val="none"/>
        </w:rPr>
        <w:t xml:space="preserve">5</w:t>
      </w:r>
      <w:r>
        <w:rPr>
          <w:rFonts w:hint="eastAsia" w:ascii="宋体" w:hAnsi="宋体" w:eastAsia="宋体" w:cs="宋体"/>
          <w:b/>
          <w:bCs/>
          <w:color w:val="000000"/>
          <w:sz w:val="21"/>
          <w:szCs w:val="21"/>
          <w:highlight w:val="none"/>
          <w:lang w:val="zh-CN"/>
        </w:rPr>
        <w:t xml:space="preserve">.1.4.</w:t>
      </w: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zh-CN"/>
        </w:rPr>
        <w:t xml:space="preserve">为资格审查要求提供的材料，是作为对供应商资格审查、质疑身份认定的依据，投标人必须提供并加盖电子公章。否则，投标文件将被认定为不符合资格审查要求。</w:t>
      </w:r>
      <w:r>
        <w:rPr>
          <w:rFonts w:ascii="宋体" w:hAnsi="宋体" w:cs="宋体"/>
        </w:rPr>
      </w:r>
      <w:r/>
    </w:p>
    <w:p>
      <w:pPr>
        <w:pStyle w:val="897"/>
        <w:keepLines w:val="0"/>
        <w:keepNext w:val="0"/>
        <w:pageBreakBefore w:val="0"/>
        <w:spacing w:line="440" w:lineRule="exact"/>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（2）以上</w:t>
      </w:r>
      <w:r>
        <w:rPr>
          <w:rFonts w:hint="eastAsia" w:ascii="宋体" w:hAnsi="宋体" w:eastAsia="宋体" w:cs="宋体"/>
          <w:b/>
          <w:bCs/>
          <w:color w:val="000000"/>
          <w:sz w:val="21"/>
          <w:szCs w:val="21"/>
          <w:highlight w:val="none"/>
        </w:rPr>
        <w:t xml:space="preserve">15.1.5.1</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rPr>
        <w:t xml:space="preserve">15.1.5.</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lang w:val="zh-CN"/>
        </w:rPr>
        <w:t xml:space="preserve">为符合性审查须提供的资料，投标人必须提供并加盖电子公章。否则，投标文件将被认定为未实质性响应。</w:t>
      </w:r>
      <w:r>
        <w:rPr>
          <w:rFonts w:ascii="宋体" w:hAnsi="宋体" w:cs="宋体"/>
        </w:rPr>
      </w:r>
      <w:r/>
    </w:p>
    <w:p>
      <w:pPr>
        <w:pStyle w:val="897"/>
        <w:keepLines w:val="0"/>
        <w:keepNext w:val="0"/>
        <w:pageBreakBefore w:val="0"/>
        <w:spacing w:line="440" w:lineRule="exact"/>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（3）“</w:t>
      </w:r>
      <w:r>
        <w:rPr>
          <w:rFonts w:hint="eastAsia" w:ascii="宋体" w:hAnsi="宋体" w:eastAsia="宋体" w:cs="宋体"/>
          <w:b/>
          <w:bCs/>
          <w:color w:val="000000"/>
          <w:sz w:val="21"/>
          <w:szCs w:val="21"/>
          <w:highlight w:val="none"/>
        </w:rPr>
        <w:t xml:space="preserve">15.1.1</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rPr>
        <w:t xml:space="preserve">15.1.4</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rPr>
        <w:t xml:space="preserve">15.1.7</w:t>
      </w:r>
      <w:r>
        <w:rPr>
          <w:rFonts w:hint="eastAsia" w:ascii="宋体" w:hAnsi="宋体" w:eastAsia="宋体" w:cs="宋体"/>
          <w:b/>
          <w:bCs/>
          <w:color w:val="000000"/>
          <w:sz w:val="21"/>
          <w:szCs w:val="21"/>
          <w:highlight w:val="none"/>
          <w:lang w:val="zh-CN"/>
        </w:rPr>
        <w:t xml:space="preserve">”中不得出现投标总报价。投标人所提交的资料的完整与否，将直接影响投标人的评分。</w:t>
      </w:r>
      <w:r>
        <w:rPr>
          <w:rFonts w:ascii="宋体" w:hAnsi="宋体" w:cs="宋体"/>
        </w:rPr>
      </w:r>
      <w:r/>
    </w:p>
    <w:p>
      <w:pPr>
        <w:pStyle w:val="897"/>
        <w:keepLines w:val="0"/>
        <w:keepNext w:val="0"/>
        <w:pageBreakBefore w:val="0"/>
        <w:spacing w:line="440" w:lineRule="exact"/>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（4）制作电子投标文件时必须与投标文件制作软件目录一一对应，将相关资料上传至相应模块。</w:t>
      </w:r>
      <w:r>
        <w:rPr>
          <w:rFonts w:ascii="宋体" w:hAnsi="宋体" w:cs="宋体"/>
        </w:rPr>
      </w:r>
      <w:r/>
    </w:p>
    <w:p>
      <w:pPr>
        <w:pStyle w:val="897"/>
        <w:keepLines w:val="0"/>
        <w:keepNext w:val="0"/>
        <w:pageBreakBefore w:val="0"/>
        <w:spacing w:line="440" w:lineRule="exact"/>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w:t>
      </w:r>
      <w:r>
        <w:rPr>
          <w:rFonts w:hint="eastAsia" w:ascii="宋体" w:hAnsi="宋体" w:eastAsia="宋体" w:cs="宋体"/>
          <w:b/>
          <w:bCs/>
          <w:color w:val="000000"/>
          <w:sz w:val="21"/>
          <w:szCs w:val="21"/>
          <w:highlight w:val="none"/>
          <w:u w:val="single"/>
          <w:lang w:val="zh-CN"/>
        </w:rPr>
        <w:t xml:space="preserve">承担</w:t>
      </w:r>
      <w:r>
        <w:rPr>
          <w:rFonts w:hint="eastAsia" w:ascii="宋体" w:hAnsi="宋体" w:eastAsia="宋体" w:cs="宋体"/>
          <w:b/>
          <w:bCs/>
          <w:color w:val="000000"/>
          <w:sz w:val="21"/>
          <w:szCs w:val="21"/>
          <w:highlight w:val="none"/>
          <w:lang w:val="zh-CN"/>
        </w:rPr>
        <w:t xml:space="preserve">。</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投标文件编制要求</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投标文件按统一格式、顺序编写。</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《开标一览表》为在开标仪式上唱标的内容，要求按格式填写，统一规范，不得自行增减内容。</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投标报价（编制）要求的说明</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投标报价应包含本项目所需全部设备、备品备件、辅助材料，以及安装调试、综合布线、旧设备拆装迁移、维护、人工、机械、包装、运输、装卸、仓储、保险、运费、各种税费、劳保、专利技术及质保期内所有服务等一切费用；投标报价为最终报价，合同实施期间不因市场变化因素变动。</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投标人应按《公开分项报价表》中的全部服务内容的每一单项计算并填写单价和总价，并由企业法定代表人或委托代理人签署。</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一项投标内容（标段）只允许一个报价，采购人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投标文件报价采用人民币表示，除非合同的特殊条款另有规定。</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最低的投标报价是中标的重要条件但不是唯一条件。</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投标保证金：</w:t>
      </w:r>
      <w:r>
        <w:rPr>
          <w:rStyle w:val="1029"/>
          <w:rFonts w:hint="eastAsia" w:ascii="宋体" w:hAnsi="宋体" w:eastAsia="宋体" w:cs="宋体"/>
          <w:b/>
          <w:color w:val="000000"/>
          <w:sz w:val="21"/>
          <w:szCs w:val="21"/>
          <w:highlight w:val="none"/>
        </w:rPr>
        <w:t xml:space="preserve">不需提交，招标文件中有关投标保证金的规定均不适用。投标（响应）人应在投标（响应）文件中提交《投标（响应）保证承诺书》（详见附件），否则为无效投标。</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投标文件的有效期</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提交投标文件的截止之日起九十日内</w:t>
      </w:r>
      <w:r>
        <w:rPr>
          <w:rFonts w:hint="eastAsia" w:ascii="宋体" w:hAnsi="宋体" w:eastAsia="宋体" w:cs="宋体"/>
          <w:color w:val="000000"/>
          <w:sz w:val="21"/>
          <w:szCs w:val="21"/>
          <w:highlight w:val="none"/>
          <w:lang w:val="zh-CN"/>
        </w:rPr>
        <w:t xml:space="preserve">，投标书应保持有效。有效期短于这个规定期限的投标文件，将被拒绝。</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投标文件的制作、签署、上传</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本项目采用电子招投标形式，请供应商按照</w:t>
      </w:r>
      <w:r>
        <w:rPr>
          <w:rFonts w:hint="eastAsia" w:ascii="宋体" w:hAnsi="宋体" w:eastAsia="宋体" w:cs="宋体"/>
          <w:b/>
          <w:bCs/>
          <w:color w:val="000000"/>
          <w:sz w:val="21"/>
          <w:szCs w:val="21"/>
          <w:highlight w:val="none"/>
        </w:rPr>
        <w:t xml:space="preserve">《苏采云系统供应商操作手册》</w:t>
      </w:r>
      <w:r>
        <w:rPr>
          <w:rFonts w:hint="eastAsia" w:ascii="宋体" w:hAnsi="宋体" w:eastAsia="宋体" w:cs="宋体"/>
          <w:color w:val="000000"/>
          <w:sz w:val="21"/>
          <w:szCs w:val="21"/>
          <w:highlight w:val="none"/>
        </w:rPr>
        <w:t xml:space="preserve">进行制作、上传电子投标文件。</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制作电子投标文件时，应按照招标文件要求加盖投标人电子公章。</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b/>
          <w:bCs/>
          <w:color w:val="000000"/>
          <w:sz w:val="21"/>
          <w:szCs w:val="21"/>
          <w:highlight w:val="none"/>
        </w:rPr>
        <w:t xml:space="preserve">电子投标文件制作完成后请于投标文件网上提交截止时间前成功上传至“苏采云”系统，否则视为放弃参加该采购项目。</w:t>
      </w:r>
      <w:r>
        <w:rPr>
          <w:rFonts w:hint="eastAsia" w:ascii="宋体" w:hAnsi="宋体" w:eastAsia="宋体" w:cs="宋体"/>
          <w:color w:val="000000"/>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ascii="宋体" w:hAnsi="宋体" w:cs="宋体"/>
        </w:rPr>
      </w:r>
      <w:r/>
    </w:p>
    <w:p>
      <w:pPr>
        <w:pStyle w:val="885"/>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投标文件的递交（上传）</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投标文件的递交</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投标人应当在投标截止时间前制作并上传电子投标文件。</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投标人通过“苏采云”系统不见面开标大厅在线参与开标活动。（具体操作详见《苏采云系统供应商操作手册》，网址链接https</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czju.suzhou.gov.cn</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zfcg</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ht</w:t>
      </w:r>
      <w:r>
        <w:rPr>
          <w:rFonts w:hint="eastAsia" w:ascii="宋体" w:hAnsi="宋体" w:eastAsia="宋体" w:cs="宋体"/>
          <w:b/>
          <w:bCs/>
          <w:color w:val="000000"/>
          <w:sz w:val="21"/>
          <w:szCs w:val="21"/>
          <w:highlight w:val="none"/>
          <w:lang w:eastAsia="zh-CN"/>
        </w:rPr>
        <w:t xml:space="preserve">m</w:t>
      </w:r>
      <w:r>
        <w:rPr>
          <w:rFonts w:hint="eastAsia" w:ascii="宋体" w:hAnsi="宋体" w:eastAsia="宋体" w:cs="宋体"/>
          <w:b/>
          <w:bCs/>
          <w:color w:val="000000"/>
          <w:sz w:val="21"/>
          <w:szCs w:val="21"/>
          <w:highlight w:val="none"/>
        </w:rPr>
        <w:t xml:space="preserve">l</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content</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20231220161910031.sht</w:t>
      </w:r>
      <w:r>
        <w:rPr>
          <w:rFonts w:hint="eastAsia" w:ascii="宋体" w:hAnsi="宋体" w:eastAsia="宋体" w:cs="宋体"/>
          <w:b/>
          <w:bCs/>
          <w:color w:val="000000"/>
          <w:sz w:val="21"/>
          <w:szCs w:val="21"/>
          <w:highlight w:val="none"/>
          <w:lang w:eastAsia="zh-CN"/>
        </w:rPr>
        <w:t xml:space="preserve">m</w:t>
      </w:r>
      <w:r>
        <w:rPr>
          <w:rFonts w:hint="eastAsia" w:ascii="宋体" w:hAnsi="宋体" w:eastAsia="宋体" w:cs="宋体"/>
          <w:b/>
          <w:bCs/>
          <w:color w:val="000000"/>
          <w:sz w:val="21"/>
          <w:szCs w:val="21"/>
          <w:highlight w:val="none"/>
        </w:rPr>
        <w:t xml:space="preserve">l）</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纸质</w:t>
      </w:r>
      <w:r>
        <w:rPr>
          <w:rFonts w:hint="eastAsia" w:ascii="宋体" w:hAnsi="宋体" w:eastAsia="宋体" w:cs="宋体"/>
          <w:b/>
          <w:bCs/>
          <w:color w:val="000000"/>
          <w:sz w:val="21"/>
          <w:szCs w:val="21"/>
          <w:highlight w:val="none"/>
        </w:rPr>
        <w:t xml:space="preserve">投标</w:t>
      </w:r>
      <w:r>
        <w:rPr>
          <w:rFonts w:hint="eastAsia" w:ascii="宋体" w:hAnsi="宋体" w:eastAsia="宋体" w:cs="宋体"/>
          <w:b/>
          <w:bCs/>
          <w:color w:val="000000"/>
          <w:sz w:val="21"/>
          <w:szCs w:val="21"/>
          <w:highlight w:val="none"/>
          <w:lang w:val="zh-CN"/>
        </w:rPr>
        <w:t xml:space="preserve">文件：</w:t>
      </w:r>
      <w:r>
        <w:rPr>
          <w:rFonts w:hint="eastAsia" w:ascii="宋体" w:hAnsi="宋体" w:eastAsia="宋体" w:cs="宋体"/>
          <w:b/>
          <w:bCs/>
          <w:color w:val="000000"/>
          <w:sz w:val="21"/>
          <w:szCs w:val="21"/>
          <w:highlight w:val="none"/>
        </w:rPr>
        <w:t xml:space="preserve">中标后5个工作日内，中标单位向招标代理机构提供与电子投标文件内容一致的纸质投标文件两份。</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投标截止时间</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投标人应当在招标文件要求投标文件网上提交截止时间前，将投标文件完成提交（上传）。逾期提交（上传）的投标文件，采购人和采购代理机构拒绝接收。</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采购人和采购代理机构推迟投标截止时间时，将按本须知规定的更正公告的方式对外发布。在这种情况下，采购人、采购代理机构和投标人的权利和义务将受到新的截止期的约束。</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在投标截止时间止成功解密的投标文件少于三份，采购代理机构有权宣布本次招标失败。</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投标文件的补充、修改和撤回</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投标人在投标文件网上提交截止时间前，可以对其电子投标文件进行补充、修改，具体操作方法见</w:t>
      </w:r>
      <w:r>
        <w:rPr>
          <w:rFonts w:hint="eastAsia" w:ascii="宋体" w:hAnsi="宋体" w:eastAsia="宋体" w:cs="宋体"/>
          <w:b/>
          <w:bCs/>
          <w:color w:val="000000"/>
          <w:sz w:val="21"/>
          <w:szCs w:val="21"/>
          <w:highlight w:val="none"/>
        </w:rPr>
        <w:t xml:space="preserve">《苏采云系统供应商操作手册》</w:t>
      </w:r>
      <w:r>
        <w:rPr>
          <w:rFonts w:hint="eastAsia" w:ascii="宋体" w:hAnsi="宋体" w:eastAsia="宋体" w:cs="宋体"/>
          <w:color w:val="000000"/>
          <w:sz w:val="21"/>
          <w:szCs w:val="21"/>
          <w:highlight w:val="none"/>
        </w:rPr>
        <w:t xml:space="preserve">。在投标文件网上提交截止时间之后，投标人不得对其电子投标文件作任何修改</w:t>
      </w:r>
      <w:r>
        <w:rPr>
          <w:rFonts w:hint="eastAsia" w:ascii="宋体" w:hAnsi="宋体" w:eastAsia="宋体" w:cs="宋体"/>
          <w:color w:val="000000"/>
          <w:sz w:val="21"/>
          <w:szCs w:val="21"/>
          <w:highlight w:val="none"/>
          <w:lang w:val="zh-CN"/>
        </w:rPr>
        <w:t xml:space="preserve">。</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投标人在投标文件网上提交截止时间前，可以撤回其电子投标文件，具体操作方法见</w:t>
      </w:r>
      <w:r>
        <w:rPr>
          <w:rFonts w:hint="eastAsia" w:ascii="宋体" w:hAnsi="宋体" w:eastAsia="宋体" w:cs="宋体"/>
          <w:b/>
          <w:bCs/>
          <w:color w:val="000000"/>
          <w:sz w:val="21"/>
          <w:szCs w:val="21"/>
          <w:highlight w:val="none"/>
        </w:rPr>
        <w:t xml:space="preserve">《苏采云系统供应商操作手册》</w:t>
      </w:r>
      <w:r>
        <w:rPr>
          <w:rFonts w:hint="eastAsia" w:ascii="宋体" w:hAnsi="宋体" w:eastAsia="宋体" w:cs="宋体"/>
          <w:color w:val="000000"/>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000000"/>
          <w:sz w:val="21"/>
          <w:szCs w:val="21"/>
          <w:highlight w:val="none"/>
          <w:lang w:val="zh-CN"/>
        </w:rPr>
        <w:t xml:space="preserve">。</w:t>
      </w:r>
      <w:r>
        <w:rPr>
          <w:rFonts w:ascii="宋体" w:hAnsi="宋体" w:cs="宋体"/>
        </w:rPr>
      </w:r>
      <w:r/>
    </w:p>
    <w:p>
      <w:pPr>
        <w:pStyle w:val="885"/>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开标和评标</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开标</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开标由采购代理机构</w:t>
      </w:r>
      <w:r>
        <w:rPr>
          <w:rFonts w:hint="eastAsia" w:ascii="宋体" w:hAnsi="宋体" w:eastAsia="宋体" w:cs="宋体"/>
          <w:color w:val="000000"/>
          <w:sz w:val="21"/>
          <w:szCs w:val="21"/>
          <w:highlight w:val="none"/>
        </w:rPr>
        <w:t xml:space="preserve">在线</w:t>
      </w:r>
      <w:r>
        <w:rPr>
          <w:rFonts w:hint="eastAsia" w:ascii="宋体" w:hAnsi="宋体" w:eastAsia="宋体" w:cs="宋体"/>
          <w:color w:val="000000"/>
          <w:sz w:val="21"/>
          <w:szCs w:val="21"/>
          <w:highlight w:val="none"/>
          <w:lang w:val="zh-CN"/>
        </w:rPr>
        <w:t xml:space="preserve">主持，邀请投标人</w:t>
      </w:r>
      <w:r>
        <w:rPr>
          <w:rFonts w:hint="eastAsia" w:ascii="宋体" w:hAnsi="宋体" w:eastAsia="宋体" w:cs="宋体"/>
          <w:color w:val="000000"/>
          <w:sz w:val="21"/>
          <w:szCs w:val="21"/>
          <w:highlight w:val="none"/>
        </w:rPr>
        <w:t xml:space="preserve">在线</w:t>
      </w:r>
      <w:r>
        <w:rPr>
          <w:rFonts w:hint="eastAsia" w:ascii="宋体" w:hAnsi="宋体" w:eastAsia="宋体" w:cs="宋体"/>
          <w:color w:val="000000"/>
          <w:sz w:val="21"/>
          <w:szCs w:val="21"/>
          <w:highlight w:val="none"/>
          <w:lang w:val="zh-CN"/>
        </w:rPr>
        <w:t xml:space="preserve">参加。投标人应当按照《苏采云系统供应商操作手册》规定，</w:t>
      </w:r>
      <w:r>
        <w:rPr>
          <w:rFonts w:hint="eastAsia" w:ascii="宋体" w:hAnsi="宋体" w:eastAsia="宋体" w:cs="宋体"/>
          <w:b/>
          <w:bCs/>
          <w:color w:val="000000"/>
          <w:sz w:val="21"/>
          <w:szCs w:val="21"/>
          <w:highlight w:val="none"/>
          <w:lang w:val="zh-CN"/>
        </w:rPr>
        <w:t xml:space="preserve">参加开标活动和在“苏采云”系统规定的时间内对投标文件进行解密</w:t>
      </w:r>
      <w:r>
        <w:rPr>
          <w:rFonts w:hint="eastAsia" w:ascii="宋体" w:hAnsi="宋体" w:eastAsia="宋体" w:cs="宋体"/>
          <w:color w:val="000000"/>
          <w:sz w:val="21"/>
          <w:szCs w:val="21"/>
          <w:highlight w:val="none"/>
          <w:lang w:val="zh-CN"/>
        </w:rPr>
        <w:t xml:space="preserve">。评标委员会成员不得参加开标活动。</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开标时，由采购代理机构</w:t>
      </w:r>
      <w:r>
        <w:rPr>
          <w:rFonts w:hint="eastAsia" w:ascii="宋体" w:hAnsi="宋体" w:eastAsia="宋体" w:cs="宋体"/>
          <w:color w:val="000000"/>
          <w:sz w:val="21"/>
          <w:szCs w:val="21"/>
          <w:highlight w:val="none"/>
        </w:rPr>
        <w:t xml:space="preserve">通过“苏采云”系统在线</w:t>
      </w:r>
      <w:r>
        <w:rPr>
          <w:rFonts w:hint="eastAsia" w:ascii="宋体" w:hAnsi="宋体" w:eastAsia="宋体" w:cs="宋体"/>
          <w:color w:val="000000"/>
          <w:sz w:val="21"/>
          <w:szCs w:val="21"/>
          <w:highlight w:val="none"/>
          <w:lang w:val="zh-CN"/>
        </w:rPr>
        <w:t xml:space="preserve">宣布投标人名称、投标价格和招标文件规定的需要宣布的其他内容。</w:t>
      </w:r>
      <w:r>
        <w:rPr>
          <w:rFonts w:hint="eastAsia" w:ascii="宋体" w:hAnsi="宋体" w:eastAsia="宋体" w:cs="宋体"/>
          <w:color w:val="000000"/>
          <w:sz w:val="21"/>
          <w:szCs w:val="21"/>
          <w:highlight w:val="none"/>
        </w:rPr>
        <w:t xml:space="preserve">投标人在不见面开标系统中确认投标价格，如</w:t>
      </w:r>
      <w:r>
        <w:rPr>
          <w:rFonts w:hint="eastAsia" w:ascii="宋体" w:hAnsi="宋体" w:eastAsia="宋体" w:cs="宋体"/>
          <w:color w:val="000000"/>
          <w:sz w:val="21"/>
          <w:szCs w:val="21"/>
          <w:highlight w:val="none"/>
          <w:lang w:val="zh-CN"/>
        </w:rPr>
        <w:t xml:space="preserve">投标人未</w:t>
      </w:r>
      <w:r>
        <w:rPr>
          <w:rFonts w:hint="eastAsia" w:ascii="宋体" w:hAnsi="宋体" w:eastAsia="宋体" w:cs="宋体"/>
          <w:color w:val="000000"/>
          <w:sz w:val="21"/>
          <w:szCs w:val="21"/>
          <w:highlight w:val="none"/>
        </w:rPr>
        <w:t xml:space="preserve">在线</w:t>
      </w:r>
      <w:r>
        <w:rPr>
          <w:rFonts w:hint="eastAsia" w:ascii="宋体" w:hAnsi="宋体" w:eastAsia="宋体" w:cs="宋体"/>
          <w:color w:val="000000"/>
          <w:sz w:val="21"/>
          <w:szCs w:val="21"/>
          <w:highlight w:val="none"/>
          <w:lang w:val="zh-CN"/>
        </w:rPr>
        <w:t xml:space="preserve">参加开标</w:t>
      </w:r>
      <w:r>
        <w:rPr>
          <w:rFonts w:hint="eastAsia" w:ascii="宋体" w:hAnsi="宋体" w:eastAsia="宋体" w:cs="宋体"/>
          <w:color w:val="000000"/>
          <w:sz w:val="21"/>
          <w:szCs w:val="21"/>
          <w:highlight w:val="none"/>
        </w:rPr>
        <w:t xml:space="preserve">或未在规定时间内确认价格</w:t>
      </w:r>
      <w:r>
        <w:rPr>
          <w:rFonts w:hint="eastAsia" w:ascii="宋体" w:hAnsi="宋体" w:eastAsia="宋体" w:cs="宋体"/>
          <w:color w:val="000000"/>
          <w:sz w:val="21"/>
          <w:szCs w:val="21"/>
          <w:highlight w:val="none"/>
          <w:lang w:val="zh-CN"/>
        </w:rPr>
        <w:t xml:space="preserve">的，视同认可开标结果。</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资格审查</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公开招标采购项目开标结束后，采购人或采购代理机构应当依法对投标人的资格进行审查，未通过资格审查的视为无效投标。</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评标委员会或评标小组</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评标委员会或评标小组（以下简称评标委员会）成员依法组建。</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评标委员会或评标小组负责具体的评标事务，并独立履行以下职责：</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审查、评价投标文件是否符合招标文件的商务、技术等实质性要求；</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要求投标人对投标文件有关事项作出澄清或者说明；</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对投标文件进行比较和评价；</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确定中标候选人名单，以及根据采购单位委托直接确定中标单位；</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向采购单位、采购代理机构或者有关部门报告评标中发现的违法行为。</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评标委员会成员应当履行下列义务：</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遵纪守法，客观、公正、廉洁地履行职责；</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按照招标文件规定的评标方法和评标标准进行评标，对评审意见承担个人责任；</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对评标过程和结果，以及投标人的商业秘密保密；</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参与评标报告的起草；</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配合财政部门的投诉处理工作；</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配合招标采购单位答复投标供应商提出的质疑。</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评标内容的保密</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公开开标后，直到宣布授予中标单位合同为止，凡属于审查、澄清、评价和比较投标的所有资料，有关授予合同的信息都不应向投标人或与评标无关的其他人泄露。</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在投标文件的审查、澄清、评价和比较以及授予合同的过程中，投标人对招标代理机构和评标委员会成员施加影响的任何行为，都将取消其中标资格。</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在评标期间，招标代理机构将通过指定联络人与投标人进行联系。</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对投标文件初审</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评标委员会应当对符合资格的投标人的投标文件进行符合性审查，以确定其是否满足招标文件的实质性要求。</w:t>
      </w:r>
      <w:r>
        <w:rPr>
          <w:rFonts w:ascii="宋体" w:hAnsi="宋体" w:cs="宋体"/>
        </w:rPr>
      </w:r>
      <w:r/>
    </w:p>
    <w:p>
      <w:pPr>
        <w:pStyle w:val="885"/>
        <w:ind w:left="540"/>
        <w:keepLines w:val="0"/>
        <w:keepNext w:val="0"/>
        <w:pageBreakBefore w:val="0"/>
        <w:spacing w:line="440" w:lineRule="exact"/>
        <w:tabs>
          <w:tab w:val="left" w:pos="14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投标文件有下列情况之一者将被拒绝：</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投标人的投标文件未按照本须知规定制作的；</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未按本须知规定提交资格文件或资质不合格；</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与招标文件有重大偏离；</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投标人拒绝修正错误；</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投标人的报价是选择性的；</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投标人的报价只投了部分内容；</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投标人的报价超采购预算或经评标小组评定为无效报价；</w:t>
      </w:r>
      <w:r>
        <w:rPr>
          <w:rFonts w:hint="eastAsia" w:ascii="宋体" w:hAnsi="宋体" w:eastAsia="宋体" w:cs="宋体"/>
          <w:b/>
          <w:bCs/>
          <w:color w:val="000000"/>
          <w:sz w:val="21"/>
          <w:szCs w:val="21"/>
          <w:highlight w:val="none"/>
          <w:lang w:val="en-US" w:eastAsia="zh-CN" w:bidi="ar-SA"/>
        </w:rPr>
        <w:t xml:space="preserve">按照财政部发布的《关于推动解决政府采购异常低价问题的通知》（财库</w:t>
      </w:r>
      <w:bookmarkStart w:id="40" w:name="OLE_LINK5"/>
      <w:r>
        <w:rPr>
          <w:rFonts w:hint="eastAsia" w:ascii="宋体" w:hAnsi="宋体" w:eastAsia="宋体" w:cs="宋体"/>
          <w:b/>
          <w:bCs/>
          <w:color w:val="000000"/>
          <w:sz w:val="21"/>
          <w:szCs w:val="21"/>
          <w:highlight w:val="none"/>
          <w:lang w:val="en-US" w:eastAsia="zh-CN" w:bidi="ar-SA"/>
        </w:rPr>
        <w:t xml:space="preserve">〔2026〕2号</w:t>
      </w:r>
      <w:bookmarkEnd w:id="40"/>
      <w:r>
        <w:rPr>
          <w:rFonts w:hint="eastAsia" w:ascii="宋体" w:hAnsi="宋体" w:eastAsia="宋体" w:cs="宋体"/>
          <w:b/>
          <w:bCs/>
          <w:color w:val="000000"/>
          <w:sz w:val="21"/>
          <w:szCs w:val="21"/>
          <w:highlight w:val="none"/>
          <w:lang w:val="en-US" w:eastAsia="zh-CN" w:bidi="ar-SA"/>
        </w:rPr>
        <w:t xml:space="preserve">）文，政府采购评审中出现下列情形之一的，评审委员会应当启动异常低价投标（响应）审查程序：</w:t>
      </w:r>
      <w:r>
        <w:rPr>
          <w:rFonts w:ascii="宋体" w:hAnsi="宋体" w:cs="宋体"/>
        </w:rPr>
      </w:r>
      <w:r/>
    </w:p>
    <w:p>
      <w:pPr>
        <w:pStyle w:val="885"/>
        <w:ind w:left="166" w:right="0" w:firstLine="420"/>
        <w:jc w:val="left"/>
        <w:keepLines w:val="0"/>
        <w:keepNext w:val="0"/>
        <w:pageBreakBefore w:val="0"/>
        <w:spacing w:before="0" w:after="0"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（1）评审过程中出现下列情形之一的，评审委员会应当启动异常低价投标（响应）审查程序：</w:t>
      </w:r>
      <w:r>
        <w:rPr>
          <w:rFonts w:ascii="宋体" w:hAnsi="宋体" w:cs="宋体"/>
        </w:rPr>
      </w:r>
      <w:r/>
    </w:p>
    <w:p>
      <w:pPr>
        <w:pStyle w:val="885"/>
        <w:ind w:left="166" w:right="0" w:firstLine="420"/>
        <w:jc w:val="left"/>
        <w:keepLines w:val="0"/>
        <w:keepNext w:val="0"/>
        <w:pageBreakBefore w:val="0"/>
        <w:spacing w:before="0" w:after="0"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①投标（响应）报价低于全部通过符合性审查供应商投标（响应）报价平均值50%的，即投标（响应）报价&lt;全部通过符合性审查供应商投标（响应）报价平均值×50%；</w:t>
      </w:r>
      <w:r>
        <w:rPr>
          <w:rFonts w:ascii="宋体" w:hAnsi="宋体" w:cs="宋体"/>
        </w:rPr>
      </w:r>
      <w:r/>
    </w:p>
    <w:p>
      <w:pPr>
        <w:pStyle w:val="885"/>
        <w:ind w:left="166" w:right="0" w:firstLine="420"/>
        <w:jc w:val="left"/>
        <w:keepLines w:val="0"/>
        <w:keepNext w:val="0"/>
        <w:pageBreakBefore w:val="0"/>
        <w:spacing w:before="0" w:after="0"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②投标（响应）报价低于通过符合性审查的次低报价供应商投标（响应）报价50%的，即投标（响应）报价&lt;通过符合性审查的次低报价供应商投标（响应）报价×50%；</w:t>
      </w:r>
      <w:r>
        <w:rPr>
          <w:rFonts w:ascii="宋体" w:hAnsi="宋体" w:cs="宋体"/>
        </w:rPr>
      </w:r>
      <w:r/>
    </w:p>
    <w:p>
      <w:pPr>
        <w:pStyle w:val="885"/>
        <w:ind w:left="166" w:right="0" w:firstLine="420"/>
        <w:jc w:val="left"/>
        <w:keepLines w:val="0"/>
        <w:keepNext w:val="0"/>
        <w:pageBreakBefore w:val="0"/>
        <w:spacing w:before="0" w:after="0"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③投标（响应）报价低于采购项目最高限价45%的，即投标（响应）报价&lt;采购项目最高限价×45%；</w:t>
      </w:r>
      <w:r>
        <w:rPr>
          <w:rFonts w:ascii="宋体" w:hAnsi="宋体" w:cs="宋体"/>
        </w:rPr>
      </w:r>
      <w:r/>
    </w:p>
    <w:p>
      <w:pPr>
        <w:pStyle w:val="885"/>
        <w:ind w:left="166" w:right="0" w:firstLine="420"/>
        <w:jc w:val="left"/>
        <w:keepLines w:val="0"/>
        <w:keepNext w:val="0"/>
        <w:pageBreakBefore w:val="0"/>
        <w:spacing w:before="0" w:after="0"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④评审委员会基于专业判断，认为供应商报价过低，有可能影响产品质量或者不能诚信履约的其他情形。</w:t>
      </w:r>
      <w:r>
        <w:rPr>
          <w:rFonts w:ascii="宋体" w:hAnsi="宋体" w:cs="宋体"/>
        </w:rPr>
      </w:r>
      <w:r/>
    </w:p>
    <w:p>
      <w:pPr>
        <w:pStyle w:val="885"/>
        <w:ind w:left="166" w:right="0" w:firstLine="420"/>
        <w:jc w:val="left"/>
        <w:keepLines w:val="0"/>
        <w:keepNext w:val="0"/>
        <w:pageBreakBefore w:val="0"/>
        <w:spacing w:before="0" w:after="0"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rPr>
      </w:r>
      <w:r/>
    </w:p>
    <w:p>
      <w:pPr>
        <w:pStyle w:val="885"/>
        <w:ind w:left="166" w:right="0" w:firstLine="420"/>
        <w:jc w:val="left"/>
        <w:keepLines w:val="0"/>
        <w:keepNext w:val="0"/>
        <w:pageBreakBefore w:val="0"/>
        <w:spacing w:before="0" w:after="0"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rPr>
      </w:r>
      <w:r/>
    </w:p>
    <w:p>
      <w:pPr>
        <w:pStyle w:val="885"/>
        <w:ind w:left="166" w:right="0" w:firstLine="420"/>
        <w:jc w:val="left"/>
        <w:keepLines w:val="0"/>
        <w:keepNext w:val="0"/>
        <w:pageBreakBefore w:val="0"/>
        <w:spacing w:before="0" w:after="0"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其他被评委会认定无效的情况。</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查询时间：投标文件递交截止时间后。</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查询渠道：采购代理机构会在接收投标文件截止时间后，登录信用中国网站（www.creditchina.gov.cn）和中国政府采购网（www.ccgp.gov.cn</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）查询供应商的信用记录，并将查询结果递交评标委员会。</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rFonts w:ascii="宋体" w:hAnsi="宋体" w:cs="宋体"/>
        </w:rPr>
      </w:r>
      <w:r/>
    </w:p>
    <w:p>
      <w:pPr>
        <w:pStyle w:val="885"/>
        <w:ind w:left="1417"/>
        <w:keepLines w:val="0"/>
        <w:keepNext w:val="0"/>
        <w:pageBreakBefore w:val="0"/>
        <w:spacing w:line="440" w:lineRule="exact"/>
        <w:tabs>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（一）政府采购严重违法记录，即供应商被全国各级财政部门列入“政府采购严重违法失信行为记录名单”，且在处罚有效期内的。</w:t>
      </w:r>
      <w:r>
        <w:rPr>
          <w:rFonts w:ascii="宋体" w:hAnsi="宋体" w:cs="宋体"/>
        </w:rPr>
      </w:r>
      <w:r/>
    </w:p>
    <w:p>
      <w:pPr>
        <w:pStyle w:val="885"/>
        <w:ind w:left="1417"/>
        <w:keepLines w:val="0"/>
        <w:keepNext w:val="0"/>
        <w:pageBreakBefore w:val="0"/>
        <w:spacing w:line="440" w:lineRule="exact"/>
        <w:tabs>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（二）财政部门与法院、工商、税务等部门联合惩戒的失信信息，包括：</w:t>
      </w:r>
      <w:r>
        <w:rPr>
          <w:rFonts w:ascii="宋体" w:hAnsi="宋体" w:cs="宋体"/>
        </w:rPr>
      </w:r>
      <w:r/>
    </w:p>
    <w:p>
      <w:pPr>
        <w:pStyle w:val="885"/>
        <w:ind w:left="1417"/>
        <w:keepLines w:val="0"/>
        <w:keepNext w:val="0"/>
        <w:pageBreakBefore w:val="0"/>
        <w:spacing w:line="440" w:lineRule="exact"/>
        <w:tabs>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（1）被列入失信被执行人名单；</w:t>
      </w:r>
      <w:r>
        <w:rPr>
          <w:rFonts w:ascii="宋体" w:hAnsi="宋体" w:cs="宋体"/>
        </w:rPr>
      </w:r>
      <w:r/>
    </w:p>
    <w:p>
      <w:pPr>
        <w:pStyle w:val="885"/>
        <w:ind w:left="1417"/>
        <w:keepLines w:val="0"/>
        <w:keepNext w:val="0"/>
        <w:pageBreakBefore w:val="0"/>
        <w:spacing w:line="440" w:lineRule="exact"/>
        <w:tabs>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（2）被列入重大税收违法案件当事人名单；</w:t>
      </w:r>
      <w:r>
        <w:rPr>
          <w:rFonts w:ascii="宋体" w:hAnsi="宋体" w:cs="宋体"/>
        </w:rPr>
      </w:r>
      <w:r/>
    </w:p>
    <w:p>
      <w:pPr>
        <w:pStyle w:val="885"/>
        <w:ind w:left="1417"/>
        <w:keepLines w:val="0"/>
        <w:keepNext w:val="0"/>
        <w:pageBreakBefore w:val="0"/>
        <w:spacing w:line="440" w:lineRule="exact"/>
        <w:tabs>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评委会将对确定为实质上响应的投标进行审核，看其是否有计算上或累加上的算术错误，修正错误的原则如下：</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投标文件中开标一览表（报价表）内容与投标文件中相应内容不一致的，以开标一览表（报价表）为准；</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大写金额和小写金额不一致的，以大写金额为准；</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单价金额小数点或者百分比有明显错位的，以开标一览表的总价为准，并修改单价；</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总价金额与按单价汇总金额不一致的，以单价金额计算结果为准。</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招标代理机构对投标文件的判定，只依据投标内容本身，不依靠开标后的任何外来证明。</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招标代理机构将拒绝被确定为非实质性响应的投标，投标人不能通过修正或撤销不符之处而使其投标成为实质性响应的投标。</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投标的澄清</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投标人的澄清、说明或者补正应当采用书面形式，并加盖其单位电子公章。投标人的澄清、说明或者补正不得超出投标文件的范围或者改变投标文件的实质性内容。</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000000"/>
          <w:sz w:val="21"/>
          <w:szCs w:val="21"/>
          <w:highlight w:val="none"/>
          <w:lang w:val="zh-CN"/>
        </w:rPr>
        <w:t xml:space="preserve">供应商应随时保持系统在线，如因供应商自身原因未在规定时间内提交澄清确认资料的，导致的不利后果由供应商自行承担。</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无效投标的具体情形有：</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未按照招标文件规定要求签署、盖章的；</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不具备招标文件中规定资格要求的；</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报价超过招标文件中规定的预算金额（总预算和单项预算）或者最高限价的；</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投标文件含有采购人不能接受的附加条件的；</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平台报名系统内投标单位（投标单位）的报名名称（CA用户名）与投标文件中投标单位（投标单位）名称不一致的；</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因投标单位自身原因导致网上投标文件无法递交的其他情况；</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不同</w:t>
      </w:r>
      <w:r>
        <w:rPr>
          <w:rFonts w:hint="eastAsia" w:ascii="宋体" w:hAnsi="宋体" w:eastAsia="宋体" w:cs="宋体"/>
          <w:b/>
          <w:bCs/>
          <w:color w:val="000000"/>
          <w:sz w:val="21"/>
          <w:szCs w:val="21"/>
          <w:highlight w:val="none"/>
          <w:lang w:eastAsia="zh-CN"/>
        </w:rPr>
        <w:t xml:space="preserve">投标</w:t>
      </w:r>
      <w:r>
        <w:rPr>
          <w:rFonts w:hint="eastAsia" w:ascii="宋体" w:hAnsi="宋体" w:eastAsia="宋体" w:cs="宋体"/>
          <w:b/>
          <w:bCs/>
          <w:color w:val="000000"/>
          <w:sz w:val="21"/>
          <w:szCs w:val="21"/>
          <w:highlight w:val="none"/>
        </w:rPr>
        <w:t xml:space="preserve">单位的响应文件在同一台电脑上制作，机器码一致的</w:t>
      </w:r>
      <w:r>
        <w:rPr>
          <w:rFonts w:hint="eastAsia" w:ascii="宋体" w:hAnsi="宋体" w:eastAsia="宋体" w:cs="宋体"/>
          <w:b/>
          <w:bCs/>
          <w:color w:val="000000"/>
          <w:sz w:val="21"/>
          <w:szCs w:val="21"/>
          <w:highlight w:val="none"/>
          <w:lang w:val="zh-CN"/>
        </w:rPr>
        <w:t xml:space="preserve">；</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法律、法规和招标文件规定的其他无效情形。</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废标的具体情形有：</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符合专业条件的供应商或者对招标文件作实质响应的供应商不足三家的；</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出现影响采购公正的违法、违规行为的；</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投标人的报价均超过了采购预算（总预算和单项预算）或者最高限价的，采购人不能支付的； </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因重大变故，采购任务取消的。</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投标文件的评价和比较</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评标委员会将仅对按照本须知有关规定确定为实质上响应招标文件要求的投标文件进行评价和比较。</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针对本项目的服务方案；</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针对本项目的人员投入；</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投标者的质量、服务措施；</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投标者提供的其他优惠条件；</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参与本项目政府采购工作的态度及信誉；</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最低的投标报价是中标的重要条件但不是唯一条件。</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评标原则及方法</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公正、公平、公开、科学、择优。</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对所有投标文件的评审，均采用相同的程序和标准。</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评审方案的可行性、先进性、实用性以及风险等（含同类项目业绩，人员资质，实施本项目的资金能力、技术能力、履约能力和用户信誉等方面的从业表现等）。</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评审技术服务的承诺文件是否满足采购单位的要求。</w:t>
      </w:r>
      <w:r>
        <w:rPr>
          <w:rFonts w:ascii="宋体" w:hAnsi="宋体" w:cs="宋体"/>
        </w:rPr>
      </w:r>
      <w:r/>
    </w:p>
    <w:p>
      <w:pPr>
        <w:pStyle w:val="88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评委会根据评分标准（除报价）进行独立打分，公证员进行汇总并按算术平均方法计算出各投标单位的得分，报价得分根据评分标准直接计算取得，评委得分与报价得分之和最高者为中标单位。</w:t>
      </w:r>
      <w:r>
        <w:rPr>
          <w:rFonts w:ascii="宋体" w:hAnsi="宋体" w:cs="宋体"/>
        </w:rPr>
      </w:r>
      <w:r/>
    </w:p>
    <w:p>
      <w:pPr>
        <w:pStyle w:val="885"/>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授予合同</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中标单位的确认</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评标委员会根据投标单位专业性资格审查情况和符合性审查情况，对投标文件进行评价和比较，按照评标办法和标准进行评标，并按招标代理机构的委托向招标代理机构推荐中标单位。</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经评标委员会评审并确定中标单位后，招标代理机构将在规定的时间内将中标结果在政府采购管理部门指定媒体上予以公示。</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政府采购合同履行中，采购单位需追加与合同标的相同的货物、工程或服务的，在不改变合同其他条款的前提下，可以与供应商协商签订补充合同，但所有补充合同的采购金额不得超过原合同采购金额的10%。 </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质疑处理</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本次招标文件要求供应商在法定质疑期内一次性提出针对同一采购程序环节的质疑，否则不予受理。</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供应商提出质疑应当提交质疑函和必要的证明材料，质疑函应当包括下列内容：</w:t>
      </w:r>
      <w:r>
        <w:rPr>
          <w:rFonts w:ascii="宋体" w:hAnsi="宋体" w:cs="宋体"/>
        </w:rPr>
      </w:r>
      <w:r/>
    </w:p>
    <w:p>
      <w:pPr>
        <w:pStyle w:val="1068"/>
        <w:jc w:val="left"/>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（1）供应商的姓名或者名称（以提供的营业执照副本复印件为准）、地址、邮编、联系人及联系电话；</w:t>
      </w:r>
      <w:r>
        <w:rPr>
          <w:rFonts w:ascii="宋体" w:hAnsi="宋体" w:cs="宋体"/>
        </w:rPr>
      </w:r>
      <w:r/>
    </w:p>
    <w:p>
      <w:pPr>
        <w:pStyle w:val="1068"/>
        <w:jc w:val="left"/>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（2）质疑项目的名称、编号；</w:t>
      </w:r>
      <w:r>
        <w:rPr>
          <w:rFonts w:ascii="宋体" w:hAnsi="宋体" w:cs="宋体"/>
        </w:rPr>
      </w:r>
      <w:r/>
    </w:p>
    <w:p>
      <w:pPr>
        <w:pStyle w:val="1068"/>
        <w:jc w:val="left"/>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（3）具体、明确的质疑事项和与质疑事项相关的请求；</w:t>
      </w:r>
      <w:r>
        <w:rPr>
          <w:rFonts w:ascii="宋体" w:hAnsi="宋体" w:cs="宋体"/>
        </w:rPr>
      </w:r>
      <w:r/>
    </w:p>
    <w:p>
      <w:pPr>
        <w:pStyle w:val="1068"/>
        <w:jc w:val="left"/>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（4）事实依据；</w:t>
      </w:r>
      <w:r>
        <w:rPr>
          <w:rFonts w:ascii="宋体" w:hAnsi="宋体" w:cs="宋体"/>
        </w:rPr>
      </w:r>
      <w:r/>
    </w:p>
    <w:p>
      <w:pPr>
        <w:pStyle w:val="1068"/>
        <w:jc w:val="left"/>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（5）必要的法律依据；</w:t>
      </w:r>
      <w:r>
        <w:rPr>
          <w:rFonts w:ascii="宋体" w:hAnsi="宋体" w:cs="宋体"/>
        </w:rPr>
      </w:r>
      <w:r/>
    </w:p>
    <w:p>
      <w:pPr>
        <w:pStyle w:val="1068"/>
        <w:jc w:val="left"/>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（6）提出质疑的日期。</w:t>
      </w:r>
      <w:r>
        <w:rPr>
          <w:rFonts w:ascii="宋体" w:hAnsi="宋体" w:cs="宋体"/>
        </w:rPr>
      </w:r>
      <w:r/>
    </w:p>
    <w:p>
      <w:pPr>
        <w:pStyle w:val="1068"/>
        <w:jc w:val="left"/>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000000"/>
          <w:sz w:val="21"/>
          <w:szCs w:val="21"/>
          <w:highlight w:val="none"/>
          <w:lang w:val="zh-CN"/>
        </w:rPr>
        <w:t xml:space="preserve">授权委托书</w:t>
      </w:r>
      <w:r>
        <w:rPr>
          <w:rFonts w:hint="eastAsia" w:ascii="宋体" w:hAnsi="宋体" w:eastAsia="宋体" w:cs="宋体"/>
          <w:color w:val="000000"/>
          <w:sz w:val="21"/>
          <w:szCs w:val="21"/>
          <w:highlight w:val="none"/>
          <w:lang w:val="zh-CN"/>
        </w:rPr>
        <w:t xml:space="preserve">上应当载明代理人的姓名或者名称、代理事项、具体权限、期限和相关事项。</w:t>
      </w:r>
      <w:r>
        <w:rPr>
          <w:rFonts w:ascii="宋体" w:hAnsi="宋体" w:cs="宋体"/>
        </w:rPr>
      </w:r>
      <w:r/>
    </w:p>
    <w:p>
      <w:pPr>
        <w:pStyle w:val="1068"/>
        <w:ind w:firstLine="422"/>
        <w:jc w:val="left"/>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sz w:val="21"/>
          <w:szCs w:val="21"/>
          <w:highlight w:val="none"/>
          <w:lang w:val="zh-CN"/>
        </w:rPr>
        <w:t xml:space="preserve">。</w:t>
      </w:r>
      <w:r>
        <w:rPr>
          <w:rFonts w:ascii="宋体" w:hAnsi="宋体" w:cs="宋体"/>
        </w:rPr>
      </w:r>
      <w:r/>
    </w:p>
    <w:p>
      <w:pPr>
        <w:pStyle w:val="885"/>
        <w:ind w:firstLine="420"/>
        <w:jc w:val="left"/>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供应商提出书面质疑必须有理、有据，不得恶意质疑或提交虚假质疑。否则，一经查实，采购人有权依据政府采购的有关规定，报请政府采购监管部门对该质疑单位进行相应的行政处罚。</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接收质疑函的方式：书面形式（当场送达或邮寄方式）。</w:t>
      </w:r>
      <w:r>
        <w:rPr>
          <w:rFonts w:ascii="宋体" w:hAnsi="宋体" w:cs="宋体"/>
        </w:rPr>
      </w:r>
      <w:r/>
    </w:p>
    <w:p>
      <w:pPr>
        <w:pStyle w:val="1068"/>
        <w:ind w:firstLine="533"/>
        <w:jc w:val="left"/>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采购代理机构：苏州欣禾诚工程咨询服务有限公司</w:t>
      </w:r>
      <w:r>
        <w:rPr>
          <w:rFonts w:ascii="宋体" w:hAnsi="宋体" w:cs="宋体"/>
        </w:rPr>
      </w:r>
      <w:r/>
    </w:p>
    <w:p>
      <w:pPr>
        <w:pStyle w:val="1068"/>
        <w:ind w:firstLine="533"/>
        <w:jc w:val="left"/>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质疑联系人：朱思薇、</w:t>
      </w:r>
      <w:r>
        <w:rPr>
          <w:rFonts w:hint="eastAsia" w:ascii="宋体" w:hAnsi="宋体" w:eastAsia="宋体" w:cs="宋体"/>
          <w:color w:val="000000"/>
          <w:sz w:val="21"/>
          <w:szCs w:val="21"/>
          <w:highlight w:val="none"/>
        </w:rPr>
        <w:t xml:space="preserve">沈雪娟</w:t>
      </w:r>
      <w:r>
        <w:rPr>
          <w:rFonts w:ascii="宋体" w:hAnsi="宋体" w:cs="宋体"/>
        </w:rPr>
      </w:r>
      <w:r/>
    </w:p>
    <w:p>
      <w:pPr>
        <w:pStyle w:val="1068"/>
        <w:ind w:firstLine="533"/>
        <w:jc w:val="left"/>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邮编：</w:t>
      </w:r>
      <w:r>
        <w:rPr>
          <w:rFonts w:hint="eastAsia" w:ascii="宋体" w:hAnsi="宋体" w:eastAsia="宋体" w:cs="宋体"/>
          <w:color w:val="000000"/>
          <w:sz w:val="21"/>
          <w:szCs w:val="21"/>
          <w:highlight w:val="none"/>
        </w:rPr>
        <w:t xml:space="preserve">215200</w:t>
      </w:r>
      <w:r>
        <w:rPr>
          <w:rFonts w:ascii="宋体" w:hAnsi="宋体" w:cs="宋体"/>
        </w:rPr>
      </w:r>
      <w:r/>
    </w:p>
    <w:p>
      <w:pPr>
        <w:pStyle w:val="1068"/>
        <w:ind w:firstLine="533"/>
        <w:jc w:val="left"/>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联系电话：0512-</w:t>
      </w:r>
      <w:r>
        <w:rPr>
          <w:rFonts w:hint="eastAsia" w:ascii="宋体" w:hAnsi="宋体" w:eastAsia="宋体" w:cs="宋体"/>
          <w:color w:val="000000"/>
          <w:sz w:val="21"/>
          <w:szCs w:val="21"/>
          <w:highlight w:val="none"/>
        </w:rPr>
        <w:t xml:space="preserve">63659266</w:t>
      </w:r>
      <w:r>
        <w:rPr>
          <w:rFonts w:ascii="宋体" w:hAnsi="宋体" w:cs="宋体"/>
        </w:rPr>
      </w:r>
      <w:r/>
    </w:p>
    <w:p>
      <w:pPr>
        <w:pStyle w:val="1068"/>
        <w:ind w:firstLine="533"/>
        <w:jc w:val="left"/>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现场递交地址</w:t>
      </w:r>
      <w:r>
        <w:rPr>
          <w:rFonts w:hint="eastAsia" w:ascii="宋体" w:hAnsi="宋体" w:eastAsia="宋体" w:cs="宋体"/>
          <w:color w:val="000000"/>
          <w:sz w:val="21"/>
          <w:szCs w:val="21"/>
          <w:highlight w:val="none"/>
        </w:rPr>
        <w:t xml:space="preserve">：苏州市吴江区鲈乡南路2485号明珠大厦北楼1702A</w:t>
      </w:r>
      <w:r>
        <w:rPr>
          <w:rFonts w:ascii="宋体" w:hAnsi="宋体" w:cs="宋体"/>
        </w:rPr>
      </w:r>
      <w:r/>
    </w:p>
    <w:p>
      <w:pPr>
        <w:pStyle w:val="1068"/>
        <w:ind w:firstLine="533"/>
        <w:jc w:val="left"/>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邮寄收取地址</w:t>
      </w:r>
      <w:r>
        <w:rPr>
          <w:rFonts w:hint="eastAsia" w:ascii="宋体" w:hAnsi="宋体" w:eastAsia="宋体" w:cs="宋体"/>
          <w:color w:val="000000"/>
          <w:sz w:val="21"/>
          <w:szCs w:val="21"/>
          <w:highlight w:val="none"/>
        </w:rPr>
        <w:t xml:space="preserve">：苏州市吴江区鲈乡南路2485号明珠大厦北楼1702A</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合同授予标准</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招标代理机构将把合同授予其投标文件在实质上响应招标文件要求和按本须知规定评选出的投标单位。确定为中标的投标单位必须具有实施本合同的能力和资源。</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中标通知书</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确定出中标人后，采购代理机构在法定时间内向中标人发出中标通知书。</w:t>
      </w:r>
      <w:r>
        <w:rPr>
          <w:rFonts w:hint="eastAsia" w:ascii="宋体" w:hAnsi="宋体" w:eastAsia="宋体" w:cs="宋体"/>
          <w:b/>
          <w:bCs/>
          <w:color w:val="000000"/>
          <w:sz w:val="21"/>
          <w:szCs w:val="21"/>
          <w:highlight w:val="none"/>
          <w:lang w:val="zh-CN"/>
        </w:rPr>
        <w:t xml:space="preserve">请中标人在中标结果公告届满之日起30日内，使用CA证书登录“苏采云”系统及时下载中标通知书。</w:t>
      </w:r>
      <w:r>
        <w:rPr>
          <w:rFonts w:hint="eastAsia" w:ascii="宋体" w:hAnsi="宋体" w:eastAsia="宋体" w:cs="宋体"/>
          <w:color w:val="000000"/>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中标通知书将成为合同的组成部分，对采购人和中标人具有同等法律效力。</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中标通知书发出后，采购人不得违法改变中标结果，中标人无正当理由不得放弃中标。</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合同的签订</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中标单位应按中标通知书中规定的时间和地点，由法定代表人或委托代理人与甲方代表签订合同，否则按放弃中标权处理。</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签订合同及合同条款应以招标文件和中标单位的投标文件及其澄清文件为依据。</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中标单位无正当理由拒签合同的，或在签订合同时向采购单位提出附加条件或者更改合同实质性内容的，报请政府采购监管部门对该投标单位进行相应的行政处罚。</w:t>
      </w:r>
      <w:r>
        <w:rPr>
          <w:rFonts w:ascii="宋体" w:hAnsi="宋体" w:cs="宋体"/>
        </w:rPr>
      </w:r>
      <w:r/>
    </w:p>
    <w:p>
      <w:pPr>
        <w:pStyle w:val="885"/>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其他事项</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采购代理费</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依据《关于进一步规范政府采购活动相关费用管理的通知》（苏财规〔2026〕1号）相关规定，本项目</w:t>
      </w:r>
      <w:r>
        <w:rPr>
          <w:rFonts w:hint="eastAsia" w:ascii="宋体" w:hAnsi="宋体" w:eastAsia="宋体" w:cs="宋体"/>
          <w:color w:val="000000"/>
          <w:sz w:val="21"/>
          <w:szCs w:val="21"/>
          <w:highlight w:val="none"/>
          <w:lang w:val="zh-CN" w:eastAsia="zh-CN"/>
        </w:rPr>
        <w:t xml:space="preserve">采购代理费</w:t>
      </w:r>
      <w:r>
        <w:rPr>
          <w:rFonts w:hint="eastAsia" w:ascii="宋体" w:hAnsi="宋体" w:eastAsia="宋体" w:cs="宋体"/>
          <w:color w:val="000000"/>
          <w:sz w:val="21"/>
          <w:szCs w:val="21"/>
          <w:highlight w:val="none"/>
          <w:lang w:val="zh-CN"/>
        </w:rPr>
        <w:t xml:space="preserve">由采购人承担并支付。</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监督和公证</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政府有关监督部门将对招投标全过程进行监督。</w:t>
      </w:r>
      <w:r>
        <w:rPr>
          <w:rFonts w:ascii="宋体" w:hAnsi="宋体" w:cs="宋体"/>
        </w:rPr>
      </w:r>
      <w:r/>
    </w:p>
    <w:p>
      <w:pPr>
        <w:pStyle w:val="88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未尽事宜</w:t>
      </w:r>
      <w:r>
        <w:rPr>
          <w:rFonts w:ascii="宋体" w:hAnsi="宋体" w:cs="宋体"/>
        </w:rPr>
      </w:r>
      <w:r/>
    </w:p>
    <w:p>
      <w:pPr>
        <w:pStyle w:val="88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按《中华人民共和国政府采购法》及其他有关政府采购的法律法规的规定执行。</w:t>
      </w:r>
      <w:r>
        <w:rPr>
          <w:rFonts w:ascii="宋体" w:hAnsi="宋体" w:cs="宋体"/>
        </w:rPr>
      </w:r>
      <w:r/>
    </w:p>
    <w:p>
      <w:pPr>
        <w:pStyle w:val="885"/>
        <w:jc w:val="center"/>
        <w:spacing w:before="166" w:after="166" w:line="460" w:lineRule="exact"/>
        <w:rPr>
          <w:rFonts w:ascii="宋体" w:hAnsi="宋体" w:cs="宋体"/>
          <w:b/>
          <w:bCs/>
          <w:color w:val="000000"/>
          <w:sz w:val="44"/>
          <w:szCs w:val="44"/>
          <w:highlight w:val="none"/>
        </w:rPr>
      </w:pPr>
      <w:r>
        <w:rPr>
          <w:rFonts w:ascii="宋体" w:hAnsi="宋体" w:cs="宋体"/>
          <w:color w:val="000000"/>
          <w:highlight w:val="none"/>
        </w:rPr>
        <w:br w:type="page" w:clear="all"/>
      </w:r>
      <w:r>
        <w:rPr>
          <w:rFonts w:hint="eastAsia" w:ascii="宋体" w:hAnsi="宋体" w:eastAsia="宋体" w:cs="宋体"/>
          <w:b/>
          <w:bCs/>
          <w:color w:val="000000"/>
          <w:sz w:val="44"/>
          <w:szCs w:val="44"/>
          <w:highlight w:val="none"/>
        </w:rPr>
        <w:t xml:space="preserve">第三章  投标文件格式</w:t>
      </w:r>
      <w:bookmarkEnd w:id="39"/>
      <w:r>
        <w:rPr>
          <w:rFonts w:ascii="宋体" w:hAnsi="宋体" w:cs="宋体"/>
        </w:rPr>
      </w:r>
      <w:r/>
    </w:p>
    <w:p>
      <w:pPr>
        <w:pStyle w:val="885"/>
        <w:spacing w:line="440" w:lineRule="exact"/>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说明：</w:t>
      </w:r>
      <w:r>
        <w:rPr>
          <w:rFonts w:ascii="宋体" w:hAnsi="宋体" w:cs="宋体"/>
        </w:rPr>
      </w:r>
      <w:r/>
    </w:p>
    <w:p>
      <w:pPr>
        <w:pStyle w:val="885"/>
        <w:ind w:firstLine="420"/>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对本章所有的投标书格式，投标方可根据自身情况进行补充和修改，但补充和修改不得造成与本格式内容有实质性的违背。</w:t>
      </w:r>
      <w:r>
        <w:rPr>
          <w:rFonts w:ascii="宋体" w:hAnsi="宋体" w:cs="宋体"/>
        </w:rPr>
      </w:r>
      <w:r/>
    </w:p>
    <w:p>
      <w:pPr>
        <w:pStyle w:val="885"/>
        <w:spacing w:line="400" w:lineRule="exact"/>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85"/>
        <w:spacing w:line="400" w:lineRule="exact"/>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附件</w:t>
      </w:r>
      <w:r>
        <w:rPr>
          <w:rFonts w:ascii="宋体" w:hAnsi="宋体" w:cs="宋体"/>
          <w:b/>
          <w:bCs/>
          <w:color w:val="000000"/>
          <w:sz w:val="21"/>
          <w:szCs w:val="21"/>
          <w:highlight w:val="none"/>
        </w:rPr>
        <w:t xml:space="preserve">1</w:t>
      </w:r>
      <w:r>
        <w:rPr>
          <w:rFonts w:hint="eastAsia" w:ascii="宋体" w:hAnsi="宋体" w:eastAsia="宋体" w:cs="宋体"/>
          <w:b/>
          <w:bCs/>
          <w:color w:val="000000"/>
          <w:sz w:val="21"/>
          <w:szCs w:val="21"/>
          <w:highlight w:val="none"/>
        </w:rPr>
        <w:t xml:space="preserve">、（投标方）法定代表人授权委托书</w:t>
      </w:r>
      <w:r>
        <w:rPr>
          <w:rFonts w:ascii="宋体" w:hAnsi="宋体" w:cs="宋体"/>
        </w:rPr>
      </w:r>
      <w:r/>
    </w:p>
    <w:p>
      <w:pPr>
        <w:pStyle w:val="885"/>
        <w:jc w:val="center"/>
        <w:spacing w:line="400" w:lineRule="exact"/>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授权委托书</w:t>
      </w:r>
      <w:r>
        <w:rPr>
          <w:rFonts w:ascii="宋体" w:hAnsi="宋体" w:cs="宋体"/>
        </w:rPr>
      </w:r>
      <w:r/>
    </w:p>
    <w:p>
      <w:pPr>
        <w:pStyle w:val="885"/>
        <w:ind w:left="211" w:firstLine="434"/>
        <w:spacing w:line="52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本授权委托书声明：我</w:t>
      </w:r>
      <w:r>
        <w:rPr>
          <w:rFonts w:hint="eastAsia" w:ascii="宋体" w:hAnsi="宋体" w:eastAsia="宋体" w:cs="宋体"/>
          <w:color w:val="000000"/>
          <w:sz w:val="21"/>
          <w:szCs w:val="21"/>
          <w:highlight w:val="none"/>
          <w:u w:val="single"/>
        </w:rPr>
        <w:t xml:space="preserve">（姓名）</w:t>
      </w:r>
      <w:r>
        <w:rPr>
          <w:rFonts w:hint="eastAsia" w:ascii="宋体" w:hAnsi="宋体" w:eastAsia="宋体" w:cs="宋体"/>
          <w:color w:val="000000"/>
          <w:sz w:val="21"/>
          <w:szCs w:val="21"/>
          <w:highlight w:val="none"/>
        </w:rPr>
        <w:t xml:space="preserve">系</w:t>
      </w:r>
      <w:r>
        <w:rPr>
          <w:rFonts w:hint="eastAsia" w:ascii="宋体" w:hAnsi="宋体" w:eastAsia="宋体" w:cs="宋体"/>
          <w:color w:val="000000"/>
          <w:sz w:val="21"/>
          <w:szCs w:val="21"/>
          <w:highlight w:val="none"/>
          <w:u w:val="single"/>
        </w:rPr>
        <w:t xml:space="preserve">（供应商名称）</w:t>
      </w:r>
      <w:r>
        <w:rPr>
          <w:rFonts w:hint="eastAsia" w:ascii="宋体" w:hAnsi="宋体" w:eastAsia="宋体" w:cs="宋体"/>
          <w:color w:val="000000"/>
          <w:sz w:val="21"/>
          <w:szCs w:val="21"/>
          <w:highlight w:val="none"/>
        </w:rPr>
        <w:t xml:space="preserve">的法定代表人，现授权委托</w:t>
      </w:r>
      <w:r>
        <w:rPr>
          <w:rFonts w:hint="eastAsia" w:ascii="宋体" w:hAnsi="宋体" w:eastAsia="宋体" w:cs="宋体"/>
          <w:color w:val="000000"/>
          <w:sz w:val="21"/>
          <w:szCs w:val="21"/>
          <w:highlight w:val="none"/>
          <w:u w:val="single"/>
        </w:rPr>
        <w:t xml:space="preserve">（供应商名称）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（姓名）</w:t>
      </w:r>
      <w:r>
        <w:rPr>
          <w:rFonts w:hint="eastAsia" w:ascii="宋体" w:hAnsi="宋体" w:eastAsia="宋体" w:cs="宋体"/>
          <w:color w:val="000000"/>
          <w:sz w:val="21"/>
          <w:szCs w:val="21"/>
          <w:highlight w:val="none"/>
        </w:rPr>
        <w:t xml:space="preserve">为我公司代理人，以本公司的名义参加苏州欣禾诚工程咨询服务有限公司组织实施的编号为</w:t>
      </w: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号的招标活动。代理人在</w:t>
      </w:r>
      <w:r>
        <w:rPr>
          <w:rFonts w:hint="eastAsia" w:ascii="宋体" w:hAnsi="宋体" w:eastAsia="宋体" w:cs="宋体"/>
          <w:color w:val="000000"/>
          <w:sz w:val="21"/>
          <w:highlight w:val="none"/>
        </w:rPr>
        <w:t xml:space="preserve">投标报名、制作投标文件、</w:t>
      </w:r>
      <w:r>
        <w:rPr>
          <w:rFonts w:hint="eastAsia" w:ascii="宋体" w:hAnsi="宋体" w:eastAsia="宋体" w:cs="宋体"/>
          <w:color w:val="000000"/>
          <w:sz w:val="21"/>
          <w:szCs w:val="21"/>
          <w:highlight w:val="none"/>
        </w:rPr>
        <w:t xml:space="preserve">开标、评标、合同谈判过程中所签署的一切文件和处理与这有关的一切事务，我均予以承认。</w:t>
      </w:r>
      <w:r>
        <w:rPr>
          <w:rFonts w:ascii="宋体" w:hAnsi="宋体" w:cs="宋体"/>
        </w:rPr>
      </w:r>
      <w:r/>
    </w:p>
    <w:p>
      <w:pPr>
        <w:pStyle w:val="885"/>
        <w:ind w:left="211" w:firstLine="434"/>
        <w:spacing w:line="52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ascii="宋体" w:hAnsi="宋体" w:cs="宋体"/>
        </w:rPr>
      </w:r>
      <w:r/>
    </w:p>
    <w:p>
      <w:pPr>
        <w:pStyle w:val="885"/>
        <w:ind w:firstLine="644"/>
        <w:spacing w:line="52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代理人无转让委托权。</w:t>
      </w:r>
      <w:r>
        <w:rPr>
          <w:rFonts w:ascii="宋体" w:hAnsi="宋体" w:cs="宋体"/>
        </w:rPr>
      </w:r>
      <w:r/>
    </w:p>
    <w:p>
      <w:pPr>
        <w:pStyle w:val="885"/>
        <w:ind w:firstLine="644"/>
        <w:spacing w:line="52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特此委托。</w:t>
      </w:r>
      <w:r>
        <w:rPr>
          <w:rFonts w:ascii="宋体" w:hAnsi="宋体" w:cs="宋体"/>
        </w:rPr>
      </w:r>
      <w:r/>
    </w:p>
    <w:p>
      <w:pPr>
        <w:pStyle w:val="885"/>
        <w:ind w:firstLine="435"/>
        <w:spacing w:line="440" w:lineRule="exact"/>
        <w:tabs>
          <w:tab w:val="left" w:pos="7305"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ab/>
      </w:r>
      <w:r>
        <w:rPr>
          <w:rFonts w:ascii="宋体" w:hAnsi="宋体" w:cs="宋体"/>
        </w:rPr>
      </w:r>
      <w:r/>
    </w:p>
    <w:p>
      <w:pPr>
        <w:pStyle w:val="885"/>
        <w:ind w:firstLine="435"/>
        <w:spacing w:line="440" w:lineRule="exact"/>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p>
      <w:pPr>
        <w:pStyle w:val="885"/>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供应商：（盖章）</w:t>
      </w:r>
      <w:r>
        <w:rPr>
          <w:rFonts w:ascii="宋体" w:hAnsi="宋体" w:cs="宋体"/>
        </w:rPr>
      </w:r>
      <w:r/>
    </w:p>
    <w:p>
      <w:pPr>
        <w:pStyle w:val="885"/>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法定代表人：（签字或盖章）</w:t>
      </w:r>
      <w:r>
        <w:rPr>
          <w:rFonts w:ascii="宋体" w:hAnsi="宋体" w:cs="宋体"/>
        </w:rPr>
      </w:r>
      <w:r/>
    </w:p>
    <w:p>
      <w:pPr>
        <w:pStyle w:val="885"/>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代理人：（签字或盖章）</w:t>
      </w:r>
      <w:r>
        <w:rPr>
          <w:rFonts w:ascii="宋体" w:hAnsi="宋体" w:cs="宋体"/>
        </w:rPr>
      </w:r>
      <w:r/>
    </w:p>
    <w:p>
      <w:pPr>
        <w:pStyle w:val="885"/>
        <w:ind w:right="480"/>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日期：     </w:t>
      </w:r>
      <w:r>
        <w:rPr>
          <w:rFonts w:hint="eastAsia" w:ascii="宋体" w:hAnsi="宋体" w:eastAsia="宋体" w:cs="宋体"/>
          <w:color w:val="000000"/>
          <w:sz w:val="21"/>
          <w:szCs w:val="21"/>
          <w:highlight w:val="none"/>
        </w:rPr>
        <w:t xml:space="preserve">年   </w:t>
      </w:r>
      <w:r>
        <w:rPr>
          <w:rFonts w:ascii="宋体" w:hAnsi="宋体" w:cs="宋体"/>
          <w:color w:val="000000"/>
          <w:sz w:val="21"/>
          <w:szCs w:val="21"/>
          <w:highlight w:val="none"/>
        </w:rPr>
        <w:t xml:space="preserve">  </w:t>
      </w:r>
      <w:r>
        <w:rPr>
          <w:rFonts w:hint="eastAsia" w:ascii="宋体" w:hAnsi="宋体" w:eastAsia="宋体" w:cs="宋体"/>
          <w:color w:val="000000"/>
          <w:sz w:val="21"/>
          <w:szCs w:val="21"/>
          <w:highlight w:val="none"/>
        </w:rPr>
        <w:t xml:space="preserve">月   </w:t>
      </w:r>
      <w:r>
        <w:rPr>
          <w:rFonts w:ascii="宋体" w:hAnsi="宋体" w:cs="宋体"/>
          <w:color w:val="000000"/>
          <w:sz w:val="21"/>
          <w:szCs w:val="21"/>
          <w:highlight w:val="none"/>
        </w:rPr>
        <w:t xml:space="preserve">  </w:t>
      </w:r>
      <w:r>
        <w:rPr>
          <w:rFonts w:hint="eastAsia" w:ascii="宋体" w:hAnsi="宋体" w:eastAsia="宋体" w:cs="宋体"/>
          <w:color w:val="000000"/>
          <w:sz w:val="21"/>
          <w:szCs w:val="21"/>
          <w:highlight w:val="none"/>
        </w:rPr>
        <w:t xml:space="preserve">日</w:t>
      </w:r>
      <w:r>
        <w:rPr>
          <w:rFonts w:ascii="宋体" w:hAnsi="宋体" w:cs="宋体"/>
        </w:rPr>
      </w:r>
      <w:r/>
    </w:p>
    <w:p>
      <w:pPr>
        <w:pStyle w:val="885"/>
        <w:ind w:firstLine="435"/>
        <w:spacing w:line="440" w:lineRule="exact"/>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p>
      <w:pPr>
        <w:pStyle w:val="903"/>
        <w:ind w:firstLine="0"/>
        <w:spacing w:line="440" w:lineRule="exact"/>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注：须单位签章、法定代表人签字或盖章、代理人签字或盖章三者齐全，否则该授权委托书无效。</w:t>
      </w:r>
      <w:r>
        <w:rPr>
          <w:rFonts w:ascii="宋体" w:hAnsi="宋体" w:cs="宋体"/>
        </w:rPr>
      </w:r>
      <w:r/>
    </w:p>
    <w:p>
      <w:pPr>
        <w:pStyle w:val="903"/>
        <w:ind w:firstLine="0"/>
        <w:rPr>
          <w:rFonts w:ascii="宋体" w:hAnsi="宋体" w:cs="宋体"/>
          <w:color w:val="000000"/>
          <w:sz w:val="21"/>
          <w:szCs w:val="21"/>
          <w:highlight w:val="none"/>
        </w:rPr>
      </w:pPr>
      <w:r>
        <w:rPr>
          <w:rFonts w:ascii="宋体" w:hAnsi="宋体" w:eastAsia="宋体" w:cs="宋体"/>
          <w:b/>
          <w:bCs/>
          <w:color w:val="000000"/>
          <w:highlight w:val="none"/>
        </w:rPr>
        <w:br w:type="page" w:clear="all"/>
      </w:r>
      <w:r>
        <w:rPr>
          <w:rFonts w:hint="eastAsia" w:ascii="宋体" w:hAnsi="宋体" w:eastAsia="宋体" w:cs="宋体"/>
          <w:b/>
          <w:bCs/>
          <w:color w:val="000000"/>
          <w:sz w:val="21"/>
          <w:szCs w:val="21"/>
          <w:highlight w:val="none"/>
        </w:rPr>
        <w:t xml:space="preserve">附件</w:t>
      </w:r>
      <w:r>
        <w:rPr>
          <w:rFonts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rPr>
        <w:t xml:space="preserve">、投标函</w:t>
      </w:r>
      <w:r>
        <w:rPr>
          <w:rFonts w:ascii="宋体" w:hAnsi="宋体" w:cs="宋体"/>
        </w:rPr>
      </w:r>
      <w:r/>
    </w:p>
    <w:p>
      <w:pPr>
        <w:pStyle w:val="885"/>
        <w:jc w:val="center"/>
        <w:spacing w:line="400" w:lineRule="exact"/>
        <w:rPr>
          <w:rFonts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投标函</w:t>
      </w:r>
      <w:r>
        <w:rPr>
          <w:rFonts w:ascii="宋体" w:hAnsi="宋体" w:cs="宋体"/>
        </w:rPr>
      </w:r>
      <w:r/>
    </w:p>
    <w:p>
      <w:pPr>
        <w:pStyle w:val="885"/>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u w:val="single"/>
        </w:rPr>
        <w:t xml:space="preserve">苏州欣禾诚工程咨询服务有限公司</w:t>
      </w:r>
      <w:r>
        <w:rPr>
          <w:rFonts w:hint="eastAsia" w:ascii="宋体" w:hAnsi="宋体" w:eastAsia="宋体" w:cs="宋体"/>
          <w:color w:val="000000"/>
          <w:sz w:val="21"/>
          <w:szCs w:val="21"/>
          <w:highlight w:val="none"/>
        </w:rPr>
        <w:t xml:space="preserve">：</w:t>
      </w:r>
      <w:r>
        <w:rPr>
          <w:rFonts w:ascii="宋体" w:hAnsi="宋体" w:cs="宋体"/>
        </w:rPr>
      </w:r>
      <w:r/>
    </w:p>
    <w:p>
      <w:pPr>
        <w:pStyle w:val="885"/>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我们收到贵公司</w:t>
      </w: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号招标文件，经仔细阅读和研究，我们决定参加投标。</w:t>
      </w:r>
      <w:r>
        <w:rPr>
          <w:rFonts w:ascii="宋体" w:hAnsi="宋体" w:cs="宋体"/>
        </w:rPr>
      </w:r>
      <w:r/>
    </w:p>
    <w:p>
      <w:pPr>
        <w:pStyle w:val="885"/>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我们愿意按照招标文件的一切要求，投标报价包含完成本项目所需全部费用。我们保证中标后不会对中标价格提出任何异议，更不会以任何理由要求采购单位针对中标范围的价款要求额外补偿。不会以不了解招标文件、合同文件为由或曲解、片面理解招标文件、合同文件或割裂招标文件、合同文件，断章取义，向采购单位提出任何补偿要求。</w:t>
      </w:r>
      <w:r>
        <w:rPr>
          <w:rFonts w:ascii="宋体" w:hAnsi="宋体" w:cs="宋体"/>
        </w:rPr>
      </w:r>
      <w:r/>
    </w:p>
    <w:p>
      <w:pPr>
        <w:pStyle w:val="885"/>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如果我们的投标书被接受，我们将严格履行招标文件中规定的每一项要求，按期、按质、按量履行合同的义务。</w:t>
      </w:r>
      <w:r>
        <w:rPr>
          <w:rFonts w:ascii="宋体" w:hAnsi="宋体" w:cs="宋体"/>
        </w:rPr>
      </w:r>
      <w:r/>
    </w:p>
    <w:p>
      <w:pPr>
        <w:pStyle w:val="885"/>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我们同意按招标文件中的规定，本投标书的有效期限为提交投标文件的截止之日起</w:t>
      </w:r>
      <w:r>
        <w:rPr>
          <w:rFonts w:hint="eastAsia" w:ascii="宋体" w:hAnsi="宋体" w:cs="宋体"/>
          <w:color w:val="000000"/>
          <w:sz w:val="21"/>
          <w:szCs w:val="21"/>
          <w:highlight w:val="none"/>
          <w:u w:val="single"/>
        </w:rPr>
        <w:t xml:space="preserve"> 90 </w:t>
      </w:r>
      <w:r>
        <w:rPr>
          <w:rFonts w:hint="eastAsia" w:ascii="宋体" w:hAnsi="宋体" w:eastAsia="宋体" w:cs="宋体"/>
          <w:color w:val="000000"/>
          <w:sz w:val="21"/>
          <w:szCs w:val="21"/>
          <w:highlight w:val="none"/>
        </w:rPr>
        <w:t xml:space="preserve">天。</w:t>
      </w:r>
      <w:r>
        <w:rPr>
          <w:rFonts w:ascii="宋体" w:hAnsi="宋体" w:cs="宋体"/>
        </w:rPr>
      </w:r>
      <w:r/>
    </w:p>
    <w:p>
      <w:pPr>
        <w:pStyle w:val="885"/>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我们愿意提供招标代理机构在招标文件中要求的所有资料</w:t>
      </w:r>
      <w:r>
        <w:rPr>
          <w:rFonts w:hint="eastAsia" w:ascii="宋体" w:hAnsi="宋体" w:eastAsia="宋体" w:cs="宋体"/>
          <w:color w:val="000000"/>
          <w:sz w:val="21"/>
          <w:szCs w:val="21"/>
          <w:highlight w:val="none"/>
          <w:lang w:val="zh-CN"/>
        </w:rPr>
        <w:t xml:space="preserve">，也同意向贵方提供贵方可能另外要求的与其投标有关的任何证据或资料。</w:t>
      </w:r>
      <w:r>
        <w:rPr>
          <w:rFonts w:ascii="宋体" w:hAnsi="宋体" w:cs="宋体"/>
        </w:rPr>
      </w:r>
      <w:r/>
    </w:p>
    <w:p>
      <w:pPr>
        <w:pStyle w:val="885"/>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我们承诺该项投标在开标后的全过程中保持有效，不作任何更改和变动。</w:t>
      </w:r>
      <w:r>
        <w:rPr>
          <w:rFonts w:hint="eastAsia" w:ascii="宋体" w:hAnsi="宋体" w:eastAsia="宋体" w:cs="宋体"/>
          <w:color w:val="000000"/>
          <w:sz w:val="21"/>
          <w:szCs w:val="21"/>
          <w:highlight w:val="none"/>
          <w:lang w:val="zh-CN"/>
        </w:rPr>
        <w:t xml:space="preserve">我们同意</w:t>
      </w:r>
      <w:r>
        <w:rPr>
          <w:rFonts w:hint="eastAsia" w:ascii="宋体" w:hAnsi="宋体" w:eastAsia="宋体" w:cs="宋体"/>
          <w:color w:val="000000"/>
          <w:sz w:val="21"/>
          <w:szCs w:val="21"/>
          <w:highlight w:val="none"/>
        </w:rPr>
        <w:t xml:space="preserve">中标</w:t>
      </w:r>
      <w:r>
        <w:rPr>
          <w:rFonts w:hint="eastAsia" w:ascii="宋体" w:hAnsi="宋体" w:eastAsia="宋体" w:cs="宋体"/>
          <w:color w:val="000000"/>
          <w:sz w:val="21"/>
          <w:szCs w:val="21"/>
          <w:highlight w:val="none"/>
          <w:lang w:val="zh-CN"/>
        </w:rPr>
        <w:t xml:space="preserve">后若不履行投标文件的内容要求和各项承诺及义务的即被视为违约，其</w:t>
      </w:r>
      <w:r>
        <w:rPr>
          <w:rFonts w:hint="eastAsia" w:ascii="宋体" w:hAnsi="宋体" w:eastAsia="宋体" w:cs="宋体"/>
          <w:color w:val="000000"/>
          <w:sz w:val="21"/>
          <w:szCs w:val="21"/>
          <w:highlight w:val="none"/>
        </w:rPr>
        <w:t xml:space="preserve">中标</w:t>
      </w:r>
      <w:r>
        <w:rPr>
          <w:rFonts w:hint="eastAsia" w:ascii="宋体" w:hAnsi="宋体" w:eastAsia="宋体" w:cs="宋体"/>
          <w:color w:val="000000"/>
          <w:sz w:val="21"/>
          <w:szCs w:val="21"/>
          <w:highlight w:val="none"/>
          <w:lang w:val="zh-CN"/>
        </w:rPr>
        <w:t xml:space="preserve">资格将被取消。</w:t>
      </w:r>
      <w:r>
        <w:rPr>
          <w:rFonts w:ascii="宋体" w:hAnsi="宋体" w:cs="宋体"/>
        </w:rPr>
      </w:r>
      <w:r/>
    </w:p>
    <w:p>
      <w:pPr>
        <w:pStyle w:val="885"/>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rPr>
          <w:rFonts w:ascii="宋体" w:hAnsi="宋体" w:cs="宋体"/>
        </w:rPr>
      </w:r>
      <w:r/>
    </w:p>
    <w:p>
      <w:pPr>
        <w:pStyle w:val="885"/>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我们愿意按照《中华人民共和国民法典》履行自己应该承担的全部责任。</w:t>
      </w:r>
      <w:r>
        <w:rPr>
          <w:rFonts w:ascii="宋体" w:hAnsi="宋体" w:cs="宋体"/>
        </w:rPr>
      </w:r>
      <w:r/>
    </w:p>
    <w:p>
      <w:pPr>
        <w:pStyle w:val="885"/>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综合说明：</w:t>
      </w:r>
      <w:r>
        <w:rPr>
          <w:rFonts w:ascii="宋体" w:hAnsi="宋体" w:cs="宋体"/>
        </w:rPr>
      </w:r>
      <w:r/>
    </w:p>
    <w:p>
      <w:pPr>
        <w:pStyle w:val="885"/>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（1）伴随服务及配合措施；                    （2）要求甲方提供的配合；</w:t>
      </w:r>
      <w:r>
        <w:rPr>
          <w:rFonts w:ascii="宋体" w:hAnsi="宋体" w:cs="宋体"/>
        </w:rPr>
      </w:r>
      <w:r/>
    </w:p>
    <w:p>
      <w:pPr>
        <w:pStyle w:val="885"/>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（3）对招标文件有不同意见的偏离说明；        （4）其它说明。</w:t>
      </w:r>
      <w:r>
        <w:rPr>
          <w:rFonts w:ascii="宋体" w:hAnsi="宋体" w:cs="宋体"/>
        </w:rPr>
      </w:r>
      <w:r/>
    </w:p>
    <w:p>
      <w:pPr>
        <w:pStyle w:val="885"/>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所有有关标书的函电，请按下列地址联系：</w:t>
      </w:r>
      <w:r>
        <w:rPr>
          <w:rFonts w:ascii="宋体" w:hAnsi="宋体" w:cs="宋体"/>
        </w:rPr>
      </w:r>
      <w:r/>
    </w:p>
    <w:p>
      <w:pPr>
        <w:pStyle w:val="885"/>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单位：                         联系人：</w:t>
      </w:r>
      <w:r>
        <w:rPr>
          <w:rFonts w:ascii="宋体" w:hAnsi="宋体" w:cs="宋体"/>
        </w:rPr>
      </w:r>
      <w:r/>
    </w:p>
    <w:p>
      <w:pPr>
        <w:pStyle w:val="885"/>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地址：                         邮政编码：</w:t>
      </w:r>
      <w:r>
        <w:rPr>
          <w:rFonts w:ascii="宋体" w:hAnsi="宋体" w:cs="宋体"/>
        </w:rPr>
      </w:r>
      <w:r/>
    </w:p>
    <w:p>
      <w:pPr>
        <w:pStyle w:val="885"/>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联系电话：                     传真：</w:t>
      </w:r>
      <w:r>
        <w:rPr>
          <w:rFonts w:ascii="宋体" w:hAnsi="宋体" w:cs="宋体"/>
        </w:rPr>
      </w:r>
      <w:r/>
    </w:p>
    <w:p>
      <w:pPr>
        <w:pStyle w:val="885"/>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85"/>
        <w:ind w:firstLine="1102"/>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85"/>
        <w:ind w:firstLine="4200"/>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85"/>
        <w:ind w:firstLine="4200"/>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85"/>
        <w:ind w:firstLine="4200"/>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85"/>
        <w:spacing w:line="440" w:lineRule="exact"/>
        <w:rPr>
          <w:rFonts w:ascii="宋体" w:hAnsi="宋体" w:cs="宋体"/>
          <w:b/>
          <w:color w:val="000000"/>
          <w:sz w:val="21"/>
          <w:szCs w:val="21"/>
          <w:highlight w:val="none"/>
        </w:rPr>
      </w:pPr>
      <w:r>
        <w:rPr>
          <w:rFonts w:ascii="宋体" w:hAnsi="宋体" w:cs="宋体"/>
          <w:b/>
          <w:bCs/>
          <w:color w:val="000000"/>
          <w:highlight w:val="none"/>
        </w:rPr>
        <w:br w:type="page" w:clear="all"/>
      </w:r>
      <w:r>
        <w:rPr>
          <w:rFonts w:hint="eastAsia" w:ascii="宋体" w:hAnsi="宋体" w:eastAsia="宋体" w:cs="宋体"/>
          <w:b/>
          <w:bCs/>
          <w:color w:val="000000"/>
          <w:sz w:val="21"/>
          <w:szCs w:val="21"/>
          <w:highlight w:val="none"/>
        </w:rPr>
        <w:t xml:space="preserve">附件</w:t>
      </w:r>
      <w:r>
        <w:rPr>
          <w:rFonts w:ascii="宋体" w:hAnsi="宋体" w:cs="宋体"/>
          <w:b/>
          <w:bCs/>
          <w:color w:val="000000"/>
          <w:sz w:val="21"/>
          <w:szCs w:val="21"/>
          <w:highlight w:val="none"/>
        </w:rPr>
        <w:t xml:space="preserve">3</w:t>
      </w:r>
      <w:r>
        <w:rPr>
          <w:rFonts w:hint="eastAsia" w:ascii="宋体" w:hAnsi="宋体" w:eastAsia="宋体" w:cs="宋体"/>
          <w:b/>
          <w:bCs/>
          <w:color w:val="000000"/>
          <w:sz w:val="21"/>
          <w:szCs w:val="21"/>
          <w:highlight w:val="none"/>
        </w:rPr>
        <w:t xml:space="preserve">、</w:t>
      </w:r>
      <w:r>
        <w:rPr>
          <w:rFonts w:hint="eastAsia" w:ascii="宋体" w:hAnsi="宋体" w:eastAsia="宋体" w:cs="宋体"/>
          <w:b/>
          <w:color w:val="000000"/>
          <w:sz w:val="21"/>
          <w:szCs w:val="21"/>
          <w:highlight w:val="none"/>
        </w:rPr>
        <w:t xml:space="preserve">开标一览表</w:t>
      </w:r>
      <w:bookmarkStart w:id="41" w:name="投标报价表"/>
      <w:r>
        <w:rPr>
          <w:rFonts w:hint="eastAsia" w:ascii="宋体" w:hAnsi="宋体" w:eastAsia="宋体" w:cs="宋体"/>
          <w:b/>
          <w:color w:val="000000"/>
          <w:sz w:val="21"/>
          <w:szCs w:val="21"/>
          <w:highlight w:val="none"/>
        </w:rPr>
        <w:t xml:space="preserve">、</w:t>
      </w:r>
      <w:bookmarkEnd w:id="41"/>
      <w:r>
        <w:rPr>
          <w:rFonts w:hint="eastAsia" w:ascii="宋体" w:hAnsi="宋体" w:eastAsia="宋体" w:cs="宋体"/>
          <w:b/>
          <w:color w:val="000000"/>
          <w:sz w:val="21"/>
          <w:szCs w:val="21"/>
          <w:highlight w:val="none"/>
          <w:lang w:val="zh-CN"/>
        </w:rPr>
        <w:t xml:space="preserve">公开分项报价表</w:t>
      </w:r>
      <w:r>
        <w:rPr>
          <w:rFonts w:ascii="宋体" w:hAnsi="宋体" w:cs="宋体"/>
        </w:rPr>
      </w:r>
      <w:r/>
    </w:p>
    <w:p>
      <w:pPr>
        <w:pStyle w:val="885"/>
        <w:jc w:val="center"/>
        <w:spacing w:line="440" w:lineRule="exact"/>
        <w:rPr>
          <w:rFonts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开标一览表（格式）</w:t>
      </w:r>
      <w:r>
        <w:rPr>
          <w:rFonts w:ascii="宋体" w:hAnsi="宋体" w:cs="宋体"/>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761"/>
        <w:gridCol w:w="8357"/>
      </w:tblGrid>
      <w:tr>
        <w:trPr>
          <w:trHeight w:val="680"/>
        </w:trPr>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pStyle w:val="885"/>
              <w:jc w:val="center"/>
              <w:spacing w:line="360" w:lineRule="auto"/>
              <w:widowControl/>
              <w:rPr>
                <w:rFonts w:ascii="宋体" w:hAnsi="宋体" w:cs="宋体"/>
                <w:color w:val="000000"/>
                <w:szCs w:val="21"/>
                <w:highlight w:val="none"/>
              </w:rPr>
            </w:pPr>
            <w:r>
              <w:rPr>
                <w:rFonts w:hint="eastAsia" w:ascii="宋体" w:hAnsi="宋体" w:eastAsia="宋体" w:cs="宋体"/>
                <w:color w:val="000000"/>
                <w:sz w:val="21"/>
                <w:szCs w:val="21"/>
                <w:highlight w:val="none"/>
              </w:rPr>
              <w:t xml:space="preserve">项目名称</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357" w:type="dxa"/>
            <w:vAlign w:val="center"/>
            <w:textDirection w:val="lrTb"/>
            <w:noWrap w:val="false"/>
          </w:tcPr>
          <w:p>
            <w:pPr>
              <w:pStyle w:val="885"/>
              <w:jc w:val="center"/>
              <w:spacing w:line="360" w:lineRule="auto"/>
              <w:widowControl/>
              <w:rPr>
                <w:rFonts w:hint="eastAsia" w:ascii="宋体" w:hAnsi="宋体" w:cs="宋体"/>
                <w:color w:val="000000"/>
                <w:szCs w:val="21"/>
                <w:highlight w:val="none"/>
              </w:rPr>
            </w:pPr>
            <w:r>
              <w:rPr>
                <w:rFonts w:hint="eastAsia" w:ascii="宋体" w:hAnsi="宋体" w:eastAsia="宋体" w:cs="宋体"/>
                <w:color w:val="000000"/>
                <w:sz w:val="21"/>
                <w:szCs w:val="21"/>
                <w:highlight w:val="none"/>
                <w:lang w:eastAsia="zh-CN"/>
              </w:rPr>
              <w:t xml:space="preserve">异地新建实训室设施设备采购项目</w:t>
            </w:r>
            <w:r>
              <w:rPr>
                <w:rFonts w:ascii="宋体" w:hAnsi="宋体" w:cs="宋体"/>
              </w:rPr>
            </w:r>
            <w:r/>
          </w:p>
        </w:tc>
      </w:tr>
      <w:tr>
        <w:trPr>
          <w:trHeight w:val="680"/>
        </w:trPr>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pStyle w:val="885"/>
              <w:jc w:val="center"/>
              <w:spacing w:line="360" w:lineRule="auto"/>
              <w:widowControl/>
              <w:rPr>
                <w:rFonts w:ascii="宋体" w:hAnsi="宋体" w:cs="宋体"/>
                <w:color w:val="000000"/>
                <w:szCs w:val="21"/>
                <w:highlight w:val="none"/>
              </w:rPr>
            </w:pPr>
            <w:r>
              <w:rPr>
                <w:rFonts w:hint="eastAsia" w:ascii="宋体" w:hAnsi="宋体" w:eastAsia="宋体" w:cs="宋体"/>
                <w:color w:val="000000"/>
                <w:sz w:val="21"/>
                <w:szCs w:val="21"/>
                <w:highlight w:val="none"/>
              </w:rPr>
              <w:t xml:space="preserve">招标编号</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357" w:type="dxa"/>
            <w:vAlign w:val="center"/>
            <w:textDirection w:val="lrTb"/>
            <w:noWrap w:val="false"/>
          </w:tcPr>
          <w:p>
            <w:pPr>
              <w:pStyle w:val="885"/>
              <w:jc w:val="center"/>
              <w:spacing w:line="360" w:lineRule="auto"/>
              <w:widowControl/>
              <w:rPr>
                <w:rFonts w:hint="eastAsia" w:ascii="宋体" w:hAnsi="宋体" w:cs="宋体"/>
                <w:color w:val="000000"/>
                <w:szCs w:val="21"/>
                <w:highlight w:val="none"/>
              </w:rPr>
            </w:pPr>
            <w:r>
              <w:rPr>
                <w:rFonts w:hint="eastAsia" w:ascii="宋体" w:hAnsi="宋体" w:cs="宋体"/>
                <w:color w:val="000000"/>
                <w:sz w:val="21"/>
                <w:szCs w:val="21"/>
                <w:highlight w:val="none"/>
                <w:lang w:eastAsia="zh-CN"/>
              </w:rPr>
              <w:t xml:space="preserve">JSZC-320509-SXHC-G2026-0010</w:t>
            </w:r>
            <w:r>
              <w:rPr>
                <w:rFonts w:ascii="宋体" w:hAnsi="宋体" w:cs="宋体"/>
              </w:rPr>
            </w:r>
            <w:r/>
          </w:p>
        </w:tc>
      </w:tr>
      <w:tr>
        <w:trPr>
          <w:trHeight w:val="680"/>
        </w:trPr>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pStyle w:val="885"/>
              <w:jc w:val="center"/>
              <w:spacing w:line="360" w:lineRule="auto"/>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eastAsia="zh-CN"/>
              </w:rPr>
              <w:t xml:space="preserve">标段号</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357" w:type="dxa"/>
            <w:vAlign w:val="center"/>
            <w:textDirection w:val="lrTb"/>
            <w:noWrap w:val="false"/>
          </w:tcPr>
          <w:p>
            <w:pPr>
              <w:pStyle w:val="885"/>
              <w:jc w:val="center"/>
              <w:spacing w:line="360" w:lineRule="auto"/>
              <w:widowControl/>
              <w:rPr>
                <w:rFonts w:ascii="宋体" w:hAnsi="宋体" w:cs="宋体"/>
                <w:color w:val="000000"/>
                <w:sz w:val="21"/>
                <w:szCs w:val="21"/>
                <w:highlight w:val="none"/>
                <w:u w:val="none"/>
              </w:rPr>
            </w:pPr>
            <w:r>
              <w:rPr>
                <w:rFonts w:hint="eastAsia" w:ascii="宋体" w:hAnsi="宋体" w:eastAsia="宋体" w:cs="宋体"/>
                <w:color w:val="000000"/>
                <w:sz w:val="21"/>
                <w:szCs w:val="21"/>
                <w:highlight w:val="none"/>
                <w:lang w:eastAsia="zh-CN"/>
              </w:rPr>
              <w:t xml:space="preserve">第</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标段</w:t>
            </w:r>
            <w:r>
              <w:rPr>
                <w:rFonts w:ascii="宋体" w:hAnsi="宋体" w:cs="宋体"/>
              </w:rPr>
            </w:r>
            <w:r/>
          </w:p>
        </w:tc>
      </w:tr>
      <w:tr>
        <w:trPr>
          <w:trHeight w:val="680"/>
        </w:trPr>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pStyle w:val="885"/>
              <w:jc w:val="center"/>
              <w:spacing w:line="360" w:lineRule="auto"/>
              <w:widowControl/>
              <w:rPr>
                <w:rFonts w:ascii="宋体" w:hAnsi="宋体" w:cs="宋体"/>
                <w:color w:val="000000"/>
                <w:szCs w:val="21"/>
                <w:highlight w:val="none"/>
              </w:rPr>
            </w:pPr>
            <w:r>
              <w:rPr>
                <w:rFonts w:hint="eastAsia" w:ascii="宋体" w:hAnsi="宋体" w:eastAsia="宋体" w:cs="宋体"/>
                <w:color w:val="000000"/>
                <w:sz w:val="21"/>
                <w:szCs w:val="21"/>
                <w:highlight w:val="none"/>
              </w:rPr>
              <w:t xml:space="preserve">投标总价</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357" w:type="dxa"/>
            <w:vAlign w:val="center"/>
            <w:textDirection w:val="lrTb"/>
            <w:noWrap w:val="false"/>
          </w:tcPr>
          <w:p>
            <w:pPr>
              <w:pStyle w:val="885"/>
              <w:ind w:firstLine="630"/>
              <w:spacing w:line="360" w:lineRule="auto"/>
              <w:widowControl/>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（大写）人民币</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ascii="宋体" w:hAnsi="宋体" w:cs="宋体"/>
                <w:color w:val="000000"/>
                <w:sz w:val="21"/>
                <w:szCs w:val="21"/>
                <w:highlight w:val="none"/>
              </w:rPr>
              <w:t xml:space="preserve">            </w:t>
            </w:r>
            <w:r>
              <w:rPr>
                <w:rFonts w:hint="eastAsia" w:ascii="宋体" w:hAnsi="宋体" w:eastAsia="宋体" w:cs="宋体"/>
                <w:color w:val="000000"/>
                <w:sz w:val="21"/>
                <w:szCs w:val="21"/>
                <w:highlight w:val="none"/>
              </w:rPr>
              <w:t xml:space="preserve">（小写）¥</w:t>
            </w:r>
            <w:r>
              <w:rPr>
                <w:rFonts w:ascii="宋体" w:hAnsi="宋体" w:cs="宋体"/>
                <w:color w:val="000000"/>
                <w:sz w:val="21"/>
                <w:szCs w:val="21"/>
                <w:highlight w:val="none"/>
                <w:u w:val="single"/>
              </w:rPr>
              <w:t xml:space="preserve">         </w:t>
            </w:r>
            <w:r>
              <w:rPr>
                <w:rFonts w:ascii="宋体" w:hAnsi="宋体" w:cs="宋体"/>
              </w:rPr>
            </w:r>
            <w:r/>
          </w:p>
        </w:tc>
      </w:tr>
    </w:tbl>
    <w:p>
      <w:pPr>
        <w:pStyle w:val="885"/>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85"/>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85"/>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85"/>
        <w:spacing w:line="440" w:lineRule="exact"/>
        <w:rPr>
          <w:rFonts w:ascii="宋体" w:hAnsi="宋体" w:cs="宋体"/>
          <w:b/>
          <w:bCs/>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85"/>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1102"/>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102"/>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102"/>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102"/>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102"/>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102"/>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102"/>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102"/>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102"/>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102"/>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102"/>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102"/>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102"/>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102"/>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102"/>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102"/>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102"/>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102"/>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102"/>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1102"/>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1102"/>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1102"/>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1102"/>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1102"/>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1102"/>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1102"/>
        <w:rPr>
          <w:rFonts w:ascii="宋体" w:hAnsi="宋体" w:cs="宋体"/>
          <w:color w:val="000000"/>
          <w:highlight w:val="none"/>
        </w:rPr>
      </w:pPr>
      <w:r>
        <w:rPr>
          <w:rFonts w:ascii="宋体" w:hAnsi="宋体" w:cs="宋体"/>
          <w:color w:val="000000"/>
          <w:highlight w:val="none"/>
        </w:rPr>
      </w:r>
      <w:r>
        <w:rPr>
          <w:rFonts w:ascii="宋体" w:hAnsi="宋体" w:cs="宋体"/>
          <w:color w:val="000000"/>
          <w:highlight w:val="none"/>
        </w:rPr>
      </w:r>
      <w:r/>
    </w:p>
    <w:p>
      <w:pPr>
        <w:pStyle w:val="1102"/>
        <w:rPr>
          <w:rFonts w:ascii="宋体" w:hAnsi="宋体" w:cs="宋体"/>
          <w:color w:val="000000"/>
          <w:highlight w:val="none"/>
        </w:rPr>
      </w:pPr>
      <w:r>
        <w:rPr>
          <w:rFonts w:ascii="宋体" w:hAnsi="宋体" w:cs="宋体"/>
          <w:color w:val="000000"/>
          <w:highlight w:val="none"/>
        </w:rPr>
      </w:r>
      <w:r>
        <w:rPr>
          <w:rFonts w:ascii="宋体" w:hAnsi="宋体" w:cs="宋体"/>
          <w:color w:val="000000"/>
          <w:highlight w:val="none"/>
        </w:rPr>
      </w:r>
      <w:r/>
    </w:p>
    <w:p>
      <w:pPr>
        <w:pStyle w:val="1102"/>
        <w:rPr>
          <w:rFonts w:ascii="宋体" w:hAnsi="宋体" w:cs="宋体"/>
          <w:color w:val="000000"/>
          <w:highlight w:val="none"/>
        </w:rPr>
      </w:pPr>
      <w:r>
        <w:rPr>
          <w:rFonts w:ascii="宋体" w:hAnsi="宋体" w:cs="宋体"/>
          <w:color w:val="000000"/>
          <w:highlight w:val="none"/>
        </w:rPr>
      </w:r>
      <w:r>
        <w:rPr>
          <w:rFonts w:ascii="宋体" w:hAnsi="宋体" w:cs="宋体"/>
          <w:color w:val="000000"/>
          <w:highlight w:val="none"/>
        </w:rPr>
      </w:r>
      <w:r/>
    </w:p>
    <w:p>
      <w:pPr>
        <w:pStyle w:val="1102"/>
        <w:rPr>
          <w:rFonts w:ascii="宋体" w:hAnsi="宋体" w:cs="宋体"/>
          <w:color w:val="000000"/>
          <w:highlight w:val="none"/>
        </w:rPr>
      </w:pPr>
      <w:r>
        <w:rPr>
          <w:rFonts w:ascii="宋体" w:hAnsi="宋体" w:cs="宋体"/>
          <w:color w:val="000000"/>
          <w:highlight w:val="none"/>
        </w:rPr>
      </w:r>
      <w:r>
        <w:rPr>
          <w:rFonts w:ascii="宋体" w:hAnsi="宋体" w:cs="宋体"/>
          <w:color w:val="000000"/>
          <w:highlight w:val="none"/>
        </w:rPr>
      </w:r>
      <w:r/>
    </w:p>
    <w:p>
      <w:pPr>
        <w:pStyle w:val="1102"/>
        <w:rPr>
          <w:rFonts w:ascii="宋体" w:hAnsi="宋体" w:cs="宋体"/>
          <w:color w:val="000000"/>
          <w:highlight w:val="none"/>
        </w:rPr>
      </w:pPr>
      <w:r>
        <w:rPr>
          <w:rFonts w:ascii="宋体" w:hAnsi="宋体" w:cs="宋体"/>
          <w:color w:val="000000"/>
          <w:highlight w:val="none"/>
        </w:rPr>
      </w:r>
      <w:r>
        <w:rPr>
          <w:rFonts w:ascii="宋体" w:hAnsi="宋体" w:cs="宋体"/>
          <w:color w:val="000000"/>
          <w:highlight w:val="none"/>
        </w:rPr>
      </w:r>
      <w:r/>
    </w:p>
    <w:p>
      <w:pPr>
        <w:pStyle w:val="1102"/>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1102"/>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p>
      <w:pPr>
        <w:pStyle w:val="1102"/>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p>
      <w:pPr>
        <w:pStyle w:val="885"/>
        <w:jc w:val="center"/>
        <w:spacing w:line="440" w:lineRule="exact"/>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公开分项报价表</w:t>
      </w:r>
      <w:r>
        <w:rPr>
          <w:rFonts w:ascii="宋体" w:hAnsi="宋体" w:cs="宋体"/>
        </w:rPr>
      </w:r>
      <w:r/>
    </w:p>
    <w:p>
      <w:pPr>
        <w:pStyle w:val="885"/>
        <w:jc w:val="center"/>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（格式）</w:t>
      </w:r>
      <w:r>
        <w:rPr>
          <w:rFonts w:ascii="宋体" w:hAnsi="宋体" w:cs="宋体"/>
          <w:color w:val="000000"/>
          <w:sz w:val="21"/>
          <w:szCs w:val="21"/>
          <w:highlight w:val="none"/>
        </w:rPr>
        <w:t xml:space="preserve">  </w:t>
      </w:r>
      <w:r>
        <w:rPr>
          <w:rFonts w:ascii="宋体" w:hAnsi="宋体" w:cs="宋体"/>
        </w:rPr>
      </w:r>
      <w:r/>
    </w:p>
    <w:p>
      <w:pPr>
        <w:pStyle w:val="918"/>
        <w:ind w:firstLine="210"/>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投标编号</w:t>
      </w:r>
      <w:r>
        <w:rPr>
          <w:rFonts w:hint="eastAsia" w:ascii="宋体" w:hAnsi="宋体" w:eastAsia="宋体" w:cs="宋体"/>
          <w:b/>
          <w:bCs/>
          <w:color w:val="000000"/>
          <w:sz w:val="21"/>
          <w:szCs w:val="21"/>
          <w:highlight w:val="none"/>
        </w:rPr>
        <w:t xml:space="preserve">：</w:t>
      </w:r>
      <w:r>
        <w:rPr>
          <w:rFonts w:hint="eastAsia" w:ascii="宋体" w:hAnsi="宋体" w:cs="宋体"/>
          <w:color w:val="000000"/>
          <w:sz w:val="21"/>
          <w:szCs w:val="21"/>
          <w:highlight w:val="none"/>
          <w:lang w:eastAsia="zh-CN"/>
        </w:rPr>
        <w:t xml:space="preserve">JSZC-320509-SXHC-G2026-0010</w:t>
      </w:r>
      <w:r>
        <w:rPr>
          <w:rFonts w:hint="eastAsia" w:ascii="宋体" w:hAnsi="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标段</w:t>
      </w:r>
      <w:r>
        <w:rPr>
          <w:rFonts w:hint="eastAsia" w:ascii="宋体" w:hAnsi="宋体" w:eastAsia="宋体" w:cs="宋体"/>
          <w:color w:val="000000"/>
          <w:sz w:val="21"/>
          <w:szCs w:val="21"/>
          <w:highlight w:val="none"/>
        </w:rPr>
        <w:t xml:space="preserve">：</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2"/>
        <w:gridCol w:w="1564"/>
        <w:gridCol w:w="1939"/>
        <w:gridCol w:w="1393"/>
        <w:gridCol w:w="964"/>
        <w:gridCol w:w="965"/>
        <w:gridCol w:w="1286"/>
        <w:gridCol w:w="1135"/>
      </w:tblGrid>
      <w:tr>
        <w:trPr>
          <w:trHeight w:val="454"/>
        </w:trPr>
        <w:tc>
          <w:tcPr>
            <w:tcW w:w="872" w:type="dxa"/>
            <w:vAlign w:val="center"/>
            <w:textDirection w:val="lrTb"/>
            <w:noWrap w:val="false"/>
          </w:tcPr>
          <w:p>
            <w:pPr>
              <w:pStyle w:val="885"/>
              <w:jc w:val="center"/>
              <w:spacing w:line="44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序号</w:t>
            </w:r>
            <w:r>
              <w:rPr>
                <w:rFonts w:ascii="宋体" w:hAnsi="宋体" w:cs="宋体"/>
              </w:rPr>
            </w:r>
            <w:r/>
          </w:p>
        </w:tc>
        <w:tc>
          <w:tcPr>
            <w:tcW w:w="1564" w:type="dxa"/>
            <w:vAlign w:val="center"/>
            <w:textDirection w:val="lrTb"/>
            <w:noWrap w:val="false"/>
          </w:tcPr>
          <w:p>
            <w:pPr>
              <w:pStyle w:val="885"/>
              <w:jc w:val="center"/>
              <w:spacing w:line="44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产品名称</w:t>
            </w:r>
            <w:r>
              <w:rPr>
                <w:rFonts w:ascii="宋体" w:hAnsi="宋体" w:cs="宋体"/>
              </w:rPr>
            </w:r>
            <w:r/>
          </w:p>
        </w:tc>
        <w:tc>
          <w:tcPr>
            <w:tcW w:w="1939" w:type="dxa"/>
            <w:vAlign w:val="center"/>
            <w:textDirection w:val="lrTb"/>
            <w:noWrap w:val="false"/>
          </w:tcPr>
          <w:p>
            <w:pPr>
              <w:pStyle w:val="885"/>
              <w:jc w:val="center"/>
              <w:spacing w:line="440" w:lineRule="exact"/>
              <w:rPr>
                <w:rFonts w:hint="eastAsia" w:ascii="宋体" w:hAnsi="宋体" w:cs="宋体"/>
                <w:color w:val="000000"/>
                <w:szCs w:val="21"/>
                <w:highlight w:val="none"/>
              </w:rPr>
            </w:pPr>
            <w:r>
              <w:rPr>
                <w:rFonts w:hint="eastAsia" w:ascii="宋体" w:hAnsi="宋体" w:eastAsia="宋体" w:cs="宋体"/>
                <w:color w:val="000000"/>
                <w:sz w:val="21"/>
                <w:szCs w:val="21"/>
                <w:highlight w:val="none"/>
              </w:rPr>
              <w:t xml:space="preserve">品牌、规格、型号</w:t>
            </w:r>
            <w:r>
              <w:rPr>
                <w:rFonts w:ascii="宋体" w:hAnsi="宋体" w:cs="宋体"/>
              </w:rPr>
            </w:r>
            <w:r/>
          </w:p>
        </w:tc>
        <w:tc>
          <w:tcPr>
            <w:tcW w:w="1393" w:type="dxa"/>
            <w:vAlign w:val="center"/>
            <w:textDirection w:val="lrTb"/>
            <w:noWrap w:val="false"/>
          </w:tcPr>
          <w:p>
            <w:pPr>
              <w:pStyle w:val="885"/>
              <w:jc w:val="center"/>
              <w:spacing w:line="440" w:lineRule="exact"/>
              <w:rPr>
                <w:rFonts w:hint="eastAsia" w:ascii="宋体" w:hAnsi="宋体" w:cs="宋体"/>
                <w:color w:val="000000"/>
                <w:szCs w:val="21"/>
                <w:highlight w:val="none"/>
              </w:rPr>
            </w:pPr>
            <w:r>
              <w:rPr>
                <w:rFonts w:hint="eastAsia" w:ascii="宋体" w:hAnsi="宋体" w:eastAsia="宋体" w:cs="宋体"/>
                <w:color w:val="000000"/>
                <w:sz w:val="21"/>
                <w:szCs w:val="21"/>
                <w:highlight w:val="none"/>
              </w:rPr>
              <w:t xml:space="preserve">制造厂商</w:t>
            </w:r>
            <w:r>
              <w:rPr>
                <w:rFonts w:ascii="宋体" w:hAnsi="宋体" w:cs="宋体"/>
              </w:rPr>
            </w:r>
            <w:r/>
          </w:p>
        </w:tc>
        <w:tc>
          <w:tcPr>
            <w:tcW w:w="964" w:type="dxa"/>
            <w:vAlign w:val="center"/>
            <w:textDirection w:val="lrTb"/>
            <w:noWrap w:val="false"/>
          </w:tcPr>
          <w:p>
            <w:pPr>
              <w:pStyle w:val="885"/>
              <w:jc w:val="center"/>
              <w:spacing w:line="44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单位</w:t>
            </w:r>
            <w:r>
              <w:rPr>
                <w:rFonts w:ascii="宋体" w:hAnsi="宋体" w:cs="宋体"/>
              </w:rPr>
            </w:r>
            <w:r/>
          </w:p>
        </w:tc>
        <w:tc>
          <w:tcPr>
            <w:tcW w:w="965" w:type="dxa"/>
            <w:vAlign w:val="center"/>
            <w:textDirection w:val="lrTb"/>
            <w:noWrap w:val="false"/>
          </w:tcPr>
          <w:p>
            <w:pPr>
              <w:pStyle w:val="885"/>
              <w:jc w:val="center"/>
              <w:spacing w:line="44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数量</w:t>
            </w:r>
            <w:r>
              <w:rPr>
                <w:rFonts w:ascii="宋体" w:hAnsi="宋体" w:cs="宋体"/>
              </w:rPr>
            </w:r>
            <w:r/>
          </w:p>
        </w:tc>
        <w:tc>
          <w:tcPr>
            <w:tcW w:w="1286" w:type="dxa"/>
            <w:vAlign w:val="center"/>
            <w:textDirection w:val="lrTb"/>
            <w:noWrap w:val="false"/>
          </w:tcPr>
          <w:p>
            <w:pPr>
              <w:pStyle w:val="885"/>
              <w:jc w:val="center"/>
              <w:spacing w:line="440" w:lineRule="exact"/>
              <w:rPr>
                <w:rFonts w:hint="eastAsia" w:ascii="宋体" w:hAnsi="宋体" w:cs="宋体"/>
                <w:color w:val="000000"/>
                <w:szCs w:val="21"/>
                <w:highlight w:val="none"/>
              </w:rPr>
            </w:pPr>
            <w:r>
              <w:rPr>
                <w:rFonts w:hint="eastAsia" w:ascii="宋体" w:hAnsi="宋体" w:eastAsia="宋体" w:cs="宋体"/>
                <w:color w:val="000000"/>
                <w:sz w:val="21"/>
                <w:szCs w:val="21"/>
                <w:highlight w:val="none"/>
              </w:rPr>
              <w:t xml:space="preserve">单价</w:t>
            </w:r>
            <w:r>
              <w:rPr>
                <w:rFonts w:hint="eastAsia" w:ascii="宋体" w:hAnsi="宋体" w:eastAsia="宋体" w:cs="宋体"/>
                <w:color w:val="000000"/>
                <w:sz w:val="21"/>
                <w:szCs w:val="21"/>
                <w:highlight w:val="none"/>
                <w:lang w:eastAsia="zh-CN"/>
              </w:rPr>
              <w:t xml:space="preserve">（元）</w:t>
            </w:r>
            <w:r>
              <w:rPr>
                <w:rFonts w:ascii="宋体" w:hAnsi="宋体" w:cs="宋体"/>
              </w:rPr>
            </w:r>
            <w:r/>
          </w:p>
        </w:tc>
        <w:tc>
          <w:tcPr>
            <w:tcW w:w="1135" w:type="dxa"/>
            <w:vAlign w:val="center"/>
            <w:textDirection w:val="lrTb"/>
            <w:noWrap w:val="false"/>
          </w:tcPr>
          <w:p>
            <w:pPr>
              <w:pStyle w:val="885"/>
              <w:jc w:val="center"/>
              <w:spacing w:line="440" w:lineRule="exact"/>
              <w:rPr>
                <w:rFonts w:hint="eastAsia" w:ascii="宋体" w:hAnsi="宋体" w:cs="宋体"/>
                <w:color w:val="000000"/>
                <w:szCs w:val="21"/>
                <w:highlight w:val="none"/>
              </w:rPr>
            </w:pPr>
            <w:r>
              <w:rPr>
                <w:rFonts w:hint="eastAsia" w:ascii="宋体" w:hAnsi="宋体" w:eastAsia="宋体" w:cs="宋体"/>
                <w:color w:val="000000"/>
                <w:sz w:val="21"/>
                <w:szCs w:val="21"/>
                <w:highlight w:val="none"/>
              </w:rPr>
              <w:t xml:space="preserve">总价</w:t>
            </w:r>
            <w:r>
              <w:rPr>
                <w:rFonts w:hint="eastAsia" w:ascii="宋体" w:hAnsi="宋体" w:eastAsia="宋体" w:cs="宋体"/>
                <w:color w:val="000000"/>
                <w:sz w:val="21"/>
                <w:szCs w:val="21"/>
                <w:highlight w:val="none"/>
                <w:lang w:eastAsia="zh-CN"/>
              </w:rPr>
              <w:t xml:space="preserve">（元）</w:t>
            </w:r>
            <w:r>
              <w:rPr>
                <w:rFonts w:ascii="宋体" w:hAnsi="宋体" w:cs="宋体"/>
              </w:rPr>
            </w:r>
            <w:r/>
          </w:p>
        </w:tc>
      </w:tr>
      <w:tr>
        <w:trPr>
          <w:trHeight w:val="454"/>
        </w:trPr>
        <w:tc>
          <w:tcPr>
            <w:tcW w:w="872"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564"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939"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393"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964"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965"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286"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35"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872"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564"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939"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393"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964"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965"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286"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35"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872"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564"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939"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393"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964"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965"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286"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35"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872"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564"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939"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393"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964"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965"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286"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35"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872"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564"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939"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393"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964"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965"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286"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35"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872"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564"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939"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393"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964"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965"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286"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35" w:type="dxa"/>
            <w:vAlign w:val="top"/>
            <w:textDirection w:val="lrTb"/>
            <w:noWrap w:val="false"/>
          </w:tcPr>
          <w:p>
            <w:pPr>
              <w:pStyle w:val="88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gridSpan w:val="2"/>
            <w:tcW w:w="2436" w:type="dxa"/>
            <w:vAlign w:val="top"/>
            <w:textDirection w:val="lrTb"/>
            <w:noWrap w:val="false"/>
          </w:tcPr>
          <w:p>
            <w:pPr>
              <w:pStyle w:val="885"/>
              <w:jc w:val="center"/>
              <w:spacing w:line="44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最终报价</w:t>
            </w:r>
            <w:r>
              <w:rPr>
                <w:rFonts w:ascii="宋体" w:hAnsi="宋体" w:cs="宋体"/>
              </w:rPr>
            </w:r>
            <w:r/>
          </w:p>
        </w:tc>
        <w:tc>
          <w:tcPr>
            <w:gridSpan w:val="6"/>
            <w:tcW w:w="7682" w:type="dxa"/>
            <w:vAlign w:val="top"/>
            <w:textDirection w:val="lrTb"/>
            <w:noWrap w:val="false"/>
          </w:tcPr>
          <w:p>
            <w:pPr>
              <w:pStyle w:val="885"/>
              <w:spacing w:line="44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金额（大写）</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t xml:space="preserve">   </w:t>
            </w:r>
            <w:r>
              <w:rPr>
                <w:rFonts w:hint="eastAsia" w:ascii="宋体" w:hAnsi="宋体" w:eastAsia="宋体" w:cs="宋体"/>
                <w:color w:val="000000"/>
                <w:sz w:val="21"/>
                <w:szCs w:val="21"/>
                <w:highlight w:val="none"/>
              </w:rPr>
              <w:t xml:space="preserve">（小写）¥</w:t>
            </w:r>
            <w:r>
              <w:rPr>
                <w:rFonts w:ascii="宋体" w:hAnsi="宋体" w:cs="宋体"/>
                <w:color w:val="000000"/>
                <w:sz w:val="21"/>
                <w:szCs w:val="21"/>
                <w:highlight w:val="none"/>
                <w:u w:val="single"/>
              </w:rPr>
              <w:t xml:space="preserve">         </w:t>
            </w:r>
            <w:r>
              <w:rPr>
                <w:rFonts w:ascii="宋体" w:hAnsi="宋体" w:cs="宋体"/>
              </w:rPr>
            </w:r>
            <w:r/>
          </w:p>
        </w:tc>
      </w:tr>
      <w:tr>
        <w:trPr>
          <w:trHeight w:val="454"/>
        </w:trPr>
        <w:tc>
          <w:tcPr>
            <w:gridSpan w:val="8"/>
            <w:tcW w:w="10118" w:type="dxa"/>
            <w:vAlign w:val="top"/>
            <w:textDirection w:val="lrTb"/>
            <w:noWrap w:val="false"/>
          </w:tcPr>
          <w:p>
            <w:pPr>
              <w:pStyle w:val="885"/>
              <w:spacing w:line="440" w:lineRule="exact"/>
              <w:rPr>
                <w:rFonts w:hint="eastAsia"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本采购包中提供的符合本国产品标准的产品成本之和占该采购包提供的全部产品成本之和的比例为</w:t>
            </w:r>
            <w:r>
              <w:rPr>
                <w:rFonts w:ascii="宋体" w:hAnsi="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 xml:space="preserve">%。</w:t>
            </w:r>
            <w:r>
              <w:rPr>
                <w:rFonts w:ascii="宋体" w:hAnsi="宋体" w:cs="宋体"/>
              </w:rPr>
            </w:r>
            <w:r/>
          </w:p>
        </w:tc>
      </w:tr>
    </w:tbl>
    <w:p>
      <w:pPr>
        <w:pStyle w:val="885"/>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注：1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rPr>
        <w:t xml:space="preserve">请投标单位按照上述格式分析投标总报价，本项投标总价需与开标一览表投标总价一致。如有出现漏报、错报或未报项，均由投标单位自行承担，采购单位不再另行支付其他费用。</w:t>
      </w:r>
      <w:r>
        <w:rPr>
          <w:rFonts w:ascii="宋体" w:hAnsi="宋体" w:cs="宋体"/>
        </w:rPr>
      </w:r>
      <w:r/>
    </w:p>
    <w:p>
      <w:pPr>
        <w:pStyle w:val="885"/>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rPr>
        <w:t xml:space="preserve">报价应包含本项目所需全部设备、备品备件、辅助材料，以及安装调试、综合布线、旧设备拆装迁移、维护、人工、机械、包装、运输、装卸、仓储、保险、运费、各种税费、劳保、专利技术及质保期内所有服务等一切费用。</w:t>
      </w:r>
      <w:r>
        <w:rPr>
          <w:rFonts w:ascii="宋体" w:hAnsi="宋体" w:cs="宋体"/>
        </w:rPr>
      </w:r>
      <w:r/>
    </w:p>
    <w:p>
      <w:pPr>
        <w:pStyle w:val="885"/>
        <w:ind w:firstLine="422"/>
        <w:spacing w:line="44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3.采购包中含有多种产品时，供应商未填写本采购包中提供的符合本国产品标准的产品成本之和占该采购包提供的全部产品成本之和的比例数值的，或比例数值未达到80%的，将不享受本国产品价格评审优惠。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s="宋体"/>
        </w:rPr>
      </w:r>
      <w:r/>
    </w:p>
    <w:p>
      <w:pPr>
        <w:pStyle w:val="885"/>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85"/>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85"/>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85"/>
        <w:spacing w:line="440" w:lineRule="exact"/>
        <w:rPr>
          <w:rFonts w:ascii="宋体" w:hAnsi="宋体" w:cs="宋体"/>
          <w:b/>
          <w:bCs/>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85"/>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r>
      <w:r>
        <w:rPr>
          <w:rFonts w:ascii="宋体" w:hAnsi="宋体" w:cs="宋体"/>
        </w:rPr>
      </w:r>
      <w:r/>
    </w:p>
    <w:p>
      <w:pPr>
        <w:pStyle w:val="885"/>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r>
      <w:r>
        <w:rPr>
          <w:rFonts w:ascii="宋体" w:hAnsi="宋体" w:cs="宋体"/>
        </w:rPr>
      </w:r>
      <w:r/>
    </w:p>
    <w:p>
      <w:pPr>
        <w:pStyle w:val="885"/>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r>
      <w:r>
        <w:rPr>
          <w:rFonts w:ascii="宋体" w:hAnsi="宋体" w:cs="宋体"/>
        </w:rPr>
      </w:r>
      <w:r/>
    </w:p>
    <w:p>
      <w:pPr>
        <w:pStyle w:val="88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918"/>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keepLines w:val="0"/>
        <w:keepNext w:val="0"/>
        <w:pageBreakBefore w:val="0"/>
        <w:spacing w:line="400" w:lineRule="exact"/>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rPr>
        <w:t xml:space="preserve">附件4、关于投标报价合理性的澄清说明</w:t>
      </w:r>
      <w:r>
        <w:rPr>
          <w:rFonts w:ascii="宋体" w:hAnsi="宋体" w:cs="宋体"/>
        </w:rPr>
      </w:r>
      <w:r/>
    </w:p>
    <w:p>
      <w:pPr>
        <w:pStyle w:val="885"/>
        <w:jc w:val="center"/>
        <w:keepLines w:val="0"/>
        <w:keepNext w:val="0"/>
        <w:pageBreakBefore w:val="0"/>
        <w:spacing w:line="400" w:lineRule="exact"/>
        <w:rPr>
          <w:rFonts w:ascii="宋体" w:hAnsi="宋体" w:cs="宋体"/>
          <w:b/>
          <w:bCs/>
          <w:color w:val="000000"/>
          <w:sz w:val="21"/>
          <w:szCs w:val="21"/>
          <w:highlight w:val="none"/>
        </w:rPr>
        <w:outlineLvl w:val="9"/>
      </w:pPr>
      <w:r>
        <w:rPr>
          <w:rFonts w:ascii="宋体" w:hAnsi="宋体" w:eastAsia="宋体" w:cs="宋体"/>
          <w:b/>
          <w:bCs/>
          <w:color w:val="000000"/>
          <w:sz w:val="21"/>
          <w:szCs w:val="21"/>
          <w:highlight w:val="none"/>
        </w:rPr>
        <w:t xml:space="preserve">关于</w:t>
      </w:r>
      <w:r>
        <w:rPr>
          <w:rFonts w:hint="eastAsia" w:ascii="宋体" w:hAnsi="宋体" w:eastAsia="宋体" w:cs="宋体"/>
          <w:b/>
          <w:bCs/>
          <w:color w:val="000000"/>
          <w:sz w:val="21"/>
          <w:szCs w:val="21"/>
          <w:highlight w:val="none"/>
        </w:rPr>
        <w:t xml:space="preserve">投标报价合理性</w:t>
      </w:r>
      <w:r>
        <w:rPr>
          <w:rFonts w:ascii="宋体" w:hAnsi="宋体" w:eastAsia="宋体" w:cs="宋体"/>
          <w:b/>
          <w:bCs/>
          <w:color w:val="000000"/>
          <w:sz w:val="21"/>
          <w:szCs w:val="21"/>
          <w:highlight w:val="none"/>
        </w:rPr>
        <w:t xml:space="preserve">的</w:t>
      </w:r>
      <w:r>
        <w:rPr>
          <w:rFonts w:hint="eastAsia" w:ascii="宋体" w:hAnsi="宋体" w:eastAsia="宋体" w:cs="宋体"/>
          <w:b/>
          <w:bCs/>
          <w:color w:val="000000"/>
          <w:sz w:val="21"/>
          <w:szCs w:val="21"/>
          <w:highlight w:val="none"/>
        </w:rPr>
        <w:t xml:space="preserve">澄清说明</w:t>
      </w:r>
      <w:r>
        <w:rPr>
          <w:rFonts w:ascii="宋体" w:hAnsi="宋体" w:cs="宋体"/>
        </w:rPr>
      </w:r>
      <w:r/>
    </w:p>
    <w:p>
      <w:pPr>
        <w:pStyle w:val="885"/>
        <w:ind w:left="0"/>
        <w:jc w:val="left"/>
        <w:keepLines w:val="0"/>
        <w:keepNext w:val="0"/>
        <w:pageBreakBefore w:val="0"/>
        <w:spacing w:line="400" w:lineRule="exact"/>
        <w:widowControl/>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u w:val="single"/>
        </w:rPr>
        <w:t xml:space="preserve">苏州欣禾诚工程咨询服务有限公司</w:t>
      </w:r>
      <w:r>
        <w:rPr>
          <w:rFonts w:ascii="宋体" w:hAnsi="宋体" w:eastAsia="宋体" w:cs="宋体"/>
          <w:color w:val="000000"/>
          <w:sz w:val="21"/>
          <w:szCs w:val="21"/>
          <w:highlight w:val="none"/>
        </w:rPr>
        <w:t xml:space="preserve">：</w:t>
      </w:r>
      <w:r>
        <w:rPr>
          <w:rFonts w:ascii="宋体" w:hAnsi="宋体" w:cs="宋体"/>
        </w:rPr>
      </w:r>
      <w:r/>
    </w:p>
    <w:p>
      <w:pPr>
        <w:pStyle w:val="885"/>
        <w:ind w:left="0" w:firstLine="420"/>
        <w:jc w:val="both"/>
        <w:keepLines w:val="0"/>
        <w:keepNext w:val="0"/>
        <w:pageBreakBefore w:val="0"/>
        <w:spacing w:line="400" w:lineRule="exact"/>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本公司愿就由贵</w:t>
      </w:r>
      <w:r>
        <w:rPr>
          <w:rFonts w:hint="eastAsia" w:ascii="宋体" w:hAnsi="宋体" w:eastAsia="宋体" w:cs="宋体"/>
          <w:color w:val="000000"/>
          <w:sz w:val="21"/>
          <w:szCs w:val="21"/>
          <w:highlight w:val="none"/>
          <w:lang w:eastAsia="zh-CN"/>
        </w:rPr>
        <w:t xml:space="preserve">公司</w:t>
      </w:r>
      <w:r>
        <w:rPr>
          <w:rFonts w:ascii="宋体" w:hAnsi="宋体" w:eastAsia="宋体" w:cs="宋体"/>
          <w:color w:val="000000"/>
          <w:sz w:val="21"/>
          <w:szCs w:val="21"/>
          <w:highlight w:val="none"/>
        </w:rPr>
        <w:t xml:space="preserve">组织实施的编号为</w:t>
      </w:r>
      <w:r>
        <w:rPr>
          <w:rFonts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rPr>
        <w:t xml:space="preserve">项目</w:t>
      </w:r>
      <w:r>
        <w:rPr>
          <w:rFonts w:ascii="宋体" w:hAnsi="宋体" w:eastAsia="宋体" w:cs="宋体"/>
          <w:color w:val="000000"/>
          <w:sz w:val="21"/>
          <w:szCs w:val="21"/>
          <w:highlight w:val="none"/>
        </w:rPr>
        <w:t xml:space="preserve">编号）的招标活动进行投标</w:t>
      </w:r>
      <w:r>
        <w:rPr>
          <w:rFonts w:hint="eastAsia" w:ascii="宋体" w:hAnsi="宋体" w:eastAsia="宋体" w:cs="宋体"/>
          <w:color w:val="000000"/>
          <w:sz w:val="21"/>
          <w:szCs w:val="21"/>
          <w:highlight w:val="none"/>
        </w:rPr>
        <w:t xml:space="preserve">，对于本公司的投标报价合理性作出说明如下：</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8"/>
      </w:tblGrid>
      <w:tr>
        <w:trPr>
          <w:trHeight w:val="3940"/>
        </w:trPr>
        <w:tc>
          <w:tcPr>
            <w:tcW w:w="10118" w:type="dxa"/>
            <w:vAlign w:val="center"/>
            <w:textDirection w:val="lrTb"/>
            <w:noWrap w:val="false"/>
          </w:tcPr>
          <w:p>
            <w:pPr>
              <w:pStyle w:val="885"/>
              <w:ind w:left="0"/>
              <w:spacing w:line="600" w:lineRule="auto"/>
              <w:widowControl w:val="off"/>
              <w:rPr>
                <w:rFonts w:ascii="宋体" w:hAnsi="宋体" w:cs="宋体"/>
                <w:b/>
                <w:color w:val="000000"/>
                <w:sz w:val="21"/>
                <w:szCs w:val="21"/>
                <w:highlight w:val="none"/>
                <w:shd w:val="pct10" w:color="auto" w:fill="ffffff"/>
              </w:rPr>
            </w:pPr>
            <w:r>
              <w:rPr>
                <w:rFonts w:hint="eastAsia" w:ascii="宋体" w:hAnsi="宋体" w:eastAsia="宋体" w:cs="宋体"/>
                <w:b/>
                <w:color w:val="000000"/>
                <w:sz w:val="21"/>
                <w:szCs w:val="21"/>
                <w:highlight w:val="none"/>
              </w:rPr>
              <w:t xml:space="preserve">投标人应当根据实际情况自拟答复并根据评标委员会关于澄清的要求提供相关证明材料作为附件。</w:t>
            </w:r>
            <w:r>
              <w:rPr>
                <w:rFonts w:ascii="宋体" w:hAnsi="宋体" w:cs="宋体"/>
              </w:rPr>
            </w:r>
            <w:r/>
          </w:p>
        </w:tc>
      </w:tr>
    </w:tbl>
    <w:p>
      <w:pPr>
        <w:pStyle w:val="885"/>
        <w:ind w:left="0" w:firstLine="420"/>
        <w:jc w:val="both"/>
        <w:keepLines w:val="0"/>
        <w:keepNext w:val="0"/>
        <w:pageBreakBefore w:val="0"/>
        <w:spacing w:line="400" w:lineRule="exact"/>
        <w:rPr>
          <w:rFonts w:hint="eastAsia" w:ascii="宋体" w:hAnsi="宋体" w:cs="宋体"/>
          <w:b/>
          <w:bCs/>
          <w:color w:val="000000"/>
          <w:sz w:val="21"/>
          <w:szCs w:val="21"/>
          <w:highlight w:val="none"/>
        </w:rPr>
        <w:outlineLvl w:val="9"/>
      </w:pPr>
      <w:r>
        <w:rPr>
          <w:rFonts w:ascii="宋体" w:hAnsi="宋体" w:cs="宋体"/>
        </w:rPr>
      </w:r>
      <w:bookmarkStart w:id="42" w:name="OLE_LINK7"/>
      <w:r>
        <w:rPr>
          <w:rFonts w:ascii="宋体" w:hAnsi="宋体" w:cs="宋体"/>
        </w:rPr>
      </w:r>
      <w:bookmarkStart w:id="43" w:name="OLE_LINK8"/>
      <w:r>
        <w:rPr>
          <w:rFonts w:hint="eastAsia" w:ascii="宋体" w:hAnsi="宋体" w:eastAsia="宋体" w:cs="宋体"/>
          <w:b/>
          <w:bCs/>
          <w:color w:val="000000"/>
          <w:sz w:val="21"/>
          <w:szCs w:val="21"/>
          <w:highlight w:val="none"/>
          <w:lang w:val="zh-CN"/>
        </w:rPr>
        <w:t xml:space="preserve">备注：根据招标文件第二章“投标人须知”第27.1.7条要求，当政府采购评审中出现供应商“</w:t>
      </w:r>
      <w:r>
        <w:rPr>
          <w:rFonts w:hint="eastAsia" w:ascii="宋体" w:hAnsi="宋体" w:eastAsia="宋体" w:cs="宋体"/>
          <w:b/>
          <w:bCs/>
          <w:color w:val="000000"/>
          <w:sz w:val="21"/>
          <w:szCs w:val="21"/>
          <w:highlight w:val="none"/>
          <w:lang w:val="en-US" w:eastAsia="zh-CN"/>
        </w:rPr>
        <w:t xml:space="preserve">投标（响应）报价低于全部通过符合性审查供应商投标（响应）报价平均值50%的</w:t>
      </w:r>
      <w:r>
        <w:rPr>
          <w:rFonts w:hint="eastAsia" w:ascii="宋体" w:hAnsi="宋体" w:eastAsia="宋体" w:cs="宋体"/>
          <w:b/>
          <w:bCs/>
          <w:color w:val="000000"/>
          <w:sz w:val="21"/>
          <w:szCs w:val="21"/>
          <w:highlight w:val="none"/>
          <w:lang w:val="zh-CN"/>
        </w:rPr>
        <w:t xml:space="preserve">”或者“</w:t>
      </w:r>
      <w:r>
        <w:rPr>
          <w:rFonts w:hint="eastAsia" w:ascii="宋体" w:hAnsi="宋体" w:eastAsia="宋体" w:cs="宋体"/>
          <w:b/>
          <w:bCs/>
          <w:color w:val="000000"/>
          <w:sz w:val="21"/>
          <w:szCs w:val="21"/>
          <w:highlight w:val="none"/>
          <w:lang w:val="en-US" w:eastAsia="zh-CN"/>
        </w:rPr>
        <w:t xml:space="preserve">投标（响应）报价低于通过符合性审查的次低报价供应商投标（响应）报价50%的</w:t>
      </w:r>
      <w:r>
        <w:rPr>
          <w:rFonts w:hint="eastAsia" w:ascii="宋体" w:hAnsi="宋体" w:eastAsia="宋体" w:cs="宋体"/>
          <w:b/>
          <w:bCs/>
          <w:color w:val="000000"/>
          <w:sz w:val="21"/>
          <w:szCs w:val="21"/>
          <w:highlight w:val="none"/>
          <w:lang w:val="zh-CN"/>
        </w:rPr>
        <w:t xml:space="preserve">”或者“</w:t>
      </w:r>
      <w:r>
        <w:rPr>
          <w:rFonts w:hint="eastAsia" w:ascii="宋体" w:hAnsi="宋体" w:eastAsia="宋体" w:cs="宋体"/>
          <w:b/>
          <w:bCs/>
          <w:color w:val="000000"/>
          <w:sz w:val="21"/>
          <w:szCs w:val="21"/>
          <w:highlight w:val="none"/>
          <w:lang w:val="en-US" w:eastAsia="zh-CN"/>
        </w:rPr>
        <w:t xml:space="preserve">投标（响应）报价低于采购项目最高限价45%的</w:t>
      </w:r>
      <w:r>
        <w:rPr>
          <w:rFonts w:hint="eastAsia" w:ascii="宋体" w:hAnsi="宋体" w:eastAsia="宋体" w:cs="宋体"/>
          <w:b/>
          <w:bCs/>
          <w:color w:val="000000"/>
          <w:sz w:val="21"/>
          <w:szCs w:val="21"/>
          <w:highlight w:val="none"/>
          <w:lang w:val="zh-CN"/>
        </w:rPr>
        <w:t xml:space="preserve">”或者“评审委员会基于专业判断，认为供应商报价过低，有可能影响产品质量或者不能诚信履约的其他情形”时，评标委员会应当要求相关供应商在评审现场合理时间内，对投标价格进行解释，并提供项目具体成本测算等与报价合理性相关的书面说明及必要证明材料，包括但不限于原材料成本、人工成本、制造费用等。若投标供应商未能提供书面说明及证明材料，或者所提供的书面说明、证明材料无法证明其报价合理性的，评标委员会应当将其按无效投标处理。</w:t>
      </w:r>
      <w:r>
        <w:rPr>
          <w:rFonts w:ascii="宋体" w:hAnsi="宋体" w:cs="宋体"/>
        </w:rPr>
      </w:r>
      <w:r/>
    </w:p>
    <w:p>
      <w:pPr>
        <w:pStyle w:val="885"/>
        <w:ind w:left="0" w:firstLine="420"/>
        <w:jc w:val="both"/>
        <w:keepLines w:val="0"/>
        <w:keepNext w:val="0"/>
        <w:pageBreakBefore w:val="0"/>
        <w:spacing w:line="400" w:lineRule="exact"/>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r>
      <w:r>
        <w:rPr>
          <w:rFonts w:ascii="宋体" w:hAnsi="宋体" w:cs="宋体"/>
        </w:rPr>
      </w:r>
      <w:r/>
    </w:p>
    <w:p>
      <w:pPr>
        <w:pStyle w:val="885"/>
        <w:spacing w:line="400" w:lineRule="exact"/>
        <w:rPr>
          <w:rFonts w:hint="eastAsia" w:ascii="宋体" w:hAnsi="宋体" w:cs="宋体"/>
          <w:b/>
          <w:bCs/>
          <w:color w:val="000000"/>
          <w:sz w:val="21"/>
          <w:szCs w:val="21"/>
          <w:highlight w:val="none"/>
        </w:rPr>
      </w:pPr>
      <w:r>
        <w:rPr>
          <w:rFonts w:ascii="宋体" w:hAnsi="宋体" w:cs="宋体"/>
        </w:rPr>
      </w:r>
      <w:bookmarkEnd w:id="42"/>
      <w:r>
        <w:rPr>
          <w:rFonts w:ascii="宋体" w:hAnsi="宋体" w:cs="宋体"/>
        </w:rPr>
      </w:r>
      <w:bookmarkEnd w:id="43"/>
      <w:r>
        <w:rPr>
          <w:rFonts w:ascii="宋体" w:hAnsi="宋体" w:cs="宋体"/>
        </w:rPr>
      </w:r>
      <w:r/>
    </w:p>
    <w:p>
      <w:pPr>
        <w:pStyle w:val="885"/>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85"/>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85"/>
        <w:spacing w:line="440" w:lineRule="exact"/>
        <w:rPr>
          <w:rFonts w:hint="eastAsia" w:ascii="宋体" w:hAnsi="宋体" w:cs="宋体"/>
          <w:b/>
          <w:bCs/>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8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r>
      <w:r>
        <w:rPr>
          <w:rFonts w:ascii="宋体" w:hAnsi="宋体" w:cs="宋体"/>
        </w:rPr>
      </w:r>
      <w:r/>
    </w:p>
    <w:p>
      <w:pPr>
        <w:pStyle w:val="897"/>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r>
      <w:r>
        <w:rPr>
          <w:rFonts w:ascii="宋体" w:hAnsi="宋体" w:cs="宋体"/>
        </w:rPr>
      </w:r>
      <w:r/>
    </w:p>
    <w:p>
      <w:pPr>
        <w:pStyle w:val="897"/>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r>
      <w:r>
        <w:rPr>
          <w:rFonts w:ascii="宋体" w:hAnsi="宋体" w:cs="宋体"/>
        </w:rPr>
      </w:r>
      <w:r/>
    </w:p>
    <w:p>
      <w:pPr>
        <w:pStyle w:val="88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r>
      <w:r>
        <w:rPr>
          <w:rFonts w:ascii="宋体" w:hAnsi="宋体" w:cs="宋体"/>
        </w:rPr>
      </w:r>
      <w:r/>
    </w:p>
    <w:p>
      <w:pPr>
        <w:pStyle w:val="897"/>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r/>
    </w:p>
    <w:p>
      <w:pPr>
        <w:pStyle w:val="897"/>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r>
      <w:r>
        <w:rPr>
          <w:rFonts w:ascii="宋体" w:hAnsi="宋体" w:cs="宋体"/>
        </w:rPr>
      </w:r>
      <w:r/>
    </w:p>
    <w:p>
      <w:pPr>
        <w:pStyle w:val="88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r>
      <w:r>
        <w:rPr>
          <w:rFonts w:ascii="宋体" w:hAnsi="宋体" w:cs="宋体"/>
        </w:rPr>
      </w:r>
      <w:r/>
    </w:p>
    <w:p>
      <w:pPr>
        <w:pStyle w:val="897"/>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r>
      <w:r>
        <w:rPr>
          <w:rFonts w:ascii="宋体" w:hAnsi="宋体" w:cs="宋体"/>
        </w:rPr>
      </w:r>
      <w:r/>
    </w:p>
    <w:p>
      <w:pPr>
        <w:pStyle w:val="88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r>
      <w:r>
        <w:rPr>
          <w:rFonts w:ascii="宋体" w:hAnsi="宋体" w:cs="宋体"/>
        </w:rPr>
      </w:r>
      <w:r/>
    </w:p>
    <w:p>
      <w:pPr>
        <w:pStyle w:val="897"/>
        <w:rPr>
          <w:rFonts w:hint="eastAsia" w:ascii="宋体" w:hAnsi="宋体" w:cs="宋体"/>
          <w:color w:val="000000"/>
          <w:highlight w:val="none"/>
        </w:rPr>
      </w:pPr>
      <w:r>
        <w:rPr>
          <w:rFonts w:hint="eastAsia" w:ascii="宋体" w:hAnsi="宋体" w:cs="宋体"/>
          <w:color w:val="000000"/>
          <w:highlight w:val="none"/>
          <w:lang w:val="en-US" w:eastAsia="zh-CN"/>
        </w:rPr>
      </w:r>
      <w:r>
        <w:rPr>
          <w:rFonts w:ascii="宋体" w:hAnsi="宋体" w:cs="宋体"/>
        </w:rPr>
      </w:r>
      <w:r/>
    </w:p>
    <w:p>
      <w:pPr>
        <w:pStyle w:val="885"/>
        <w:rPr>
          <w:rFonts w:hint="eastAsia" w:ascii="宋体" w:hAnsi="宋体" w:cs="宋体"/>
          <w:color w:val="000000"/>
          <w:highlight w:val="none"/>
        </w:rPr>
      </w:pPr>
      <w:r>
        <w:rPr>
          <w:rFonts w:hint="eastAsia" w:ascii="宋体" w:hAnsi="宋体" w:cs="宋体"/>
          <w:color w:val="000000"/>
          <w:highlight w:val="none"/>
          <w:lang w:val="en-US" w:eastAsia="zh-CN"/>
        </w:rPr>
      </w:r>
      <w:r>
        <w:rPr>
          <w:rFonts w:ascii="宋体" w:hAnsi="宋体" w:cs="宋体"/>
        </w:rPr>
      </w:r>
      <w:r/>
    </w:p>
    <w:p>
      <w:pPr>
        <w:pStyle w:val="885"/>
        <w:spacing w:line="40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附件</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投标货物和服务的数量、规格、品牌型号、性能及技术指标</w:t>
      </w:r>
      <w:r>
        <w:rPr>
          <w:rFonts w:hint="eastAsia" w:ascii="宋体" w:hAnsi="宋体" w:eastAsia="宋体" w:cs="宋体"/>
          <w:b/>
          <w:bCs/>
          <w:color w:val="000000"/>
          <w:sz w:val="21"/>
          <w:szCs w:val="21"/>
          <w:highlight w:val="none"/>
        </w:rPr>
        <w:t xml:space="preserve">、交货期说明表</w:t>
      </w:r>
      <w:r>
        <w:rPr>
          <w:rFonts w:ascii="宋体" w:hAnsi="宋体" w:cs="宋体"/>
        </w:rPr>
      </w:r>
      <w:r/>
    </w:p>
    <w:p>
      <w:pPr>
        <w:pStyle w:val="885"/>
        <w:jc w:val="center"/>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投标货物和服务的数量、规格、品牌型号、性能及技术指标</w:t>
      </w:r>
      <w:r>
        <w:rPr>
          <w:rFonts w:hint="eastAsia" w:ascii="宋体" w:hAnsi="宋体" w:eastAsia="宋体" w:cs="宋体"/>
          <w:b/>
          <w:bCs/>
          <w:color w:val="000000"/>
          <w:sz w:val="21"/>
          <w:szCs w:val="21"/>
          <w:highlight w:val="none"/>
        </w:rPr>
        <w:t xml:space="preserve">、交货期说明表</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3"/>
        <w:gridCol w:w="1712"/>
        <w:gridCol w:w="1712"/>
        <w:gridCol w:w="2351"/>
        <w:gridCol w:w="1120"/>
        <w:gridCol w:w="1120"/>
        <w:gridCol w:w="1120"/>
      </w:tblGrid>
      <w:tr>
        <w:trPr>
          <w:trHeight w:val="454"/>
        </w:trPr>
        <w:tc>
          <w:tcPr>
            <w:tcW w:w="983" w:type="dxa"/>
            <w:vAlign w:val="top"/>
            <w:textDirection w:val="lrTb"/>
            <w:noWrap w:val="false"/>
          </w:tcPr>
          <w:p>
            <w:pPr>
              <w:pStyle w:val="885"/>
              <w:jc w:val="center"/>
              <w:spacing w:line="48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ascii="宋体" w:hAnsi="宋体" w:cs="宋体"/>
              </w:rPr>
            </w:r>
            <w:r/>
          </w:p>
        </w:tc>
        <w:tc>
          <w:tcPr>
            <w:tcW w:w="1712" w:type="dxa"/>
            <w:vAlign w:val="top"/>
            <w:textDirection w:val="lrTb"/>
            <w:noWrap w:val="false"/>
          </w:tcPr>
          <w:p>
            <w:pPr>
              <w:pStyle w:val="885"/>
              <w:jc w:val="center"/>
              <w:spacing w:line="48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标的物名称</w:t>
            </w:r>
            <w:r>
              <w:rPr>
                <w:rFonts w:ascii="宋体" w:hAnsi="宋体" w:cs="宋体"/>
              </w:rPr>
            </w:r>
            <w:r/>
          </w:p>
        </w:tc>
        <w:tc>
          <w:tcPr>
            <w:tcW w:w="1712" w:type="dxa"/>
            <w:vAlign w:val="top"/>
            <w:textDirection w:val="lrTb"/>
            <w:noWrap w:val="false"/>
          </w:tcPr>
          <w:p>
            <w:pPr>
              <w:pStyle w:val="885"/>
              <w:jc w:val="center"/>
              <w:spacing w:line="48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品牌型号</w:t>
            </w:r>
            <w:r>
              <w:rPr>
                <w:rFonts w:hint="eastAsia" w:ascii="宋体" w:hAnsi="宋体" w:eastAsia="宋体" w:cs="宋体"/>
                <w:color w:val="000000"/>
                <w:sz w:val="21"/>
                <w:szCs w:val="21"/>
                <w:highlight w:val="none"/>
              </w:rPr>
              <w:t xml:space="preserve">、规格</w:t>
            </w:r>
            <w:r>
              <w:rPr>
                <w:rFonts w:ascii="宋体" w:hAnsi="宋体" w:cs="宋体"/>
              </w:rPr>
            </w:r>
            <w:r/>
          </w:p>
        </w:tc>
        <w:tc>
          <w:tcPr>
            <w:tcW w:w="2351" w:type="dxa"/>
            <w:vAlign w:val="top"/>
            <w:textDirection w:val="lrTb"/>
            <w:noWrap w:val="false"/>
          </w:tcPr>
          <w:p>
            <w:pPr>
              <w:pStyle w:val="885"/>
              <w:jc w:val="center"/>
              <w:spacing w:line="48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性能及技术指标</w:t>
            </w:r>
            <w:r>
              <w:rPr>
                <w:rFonts w:ascii="宋体" w:hAnsi="宋体" w:cs="宋体"/>
              </w:rPr>
            </w:r>
            <w:r/>
          </w:p>
        </w:tc>
        <w:tc>
          <w:tcPr>
            <w:tcW w:w="1120" w:type="dxa"/>
            <w:vAlign w:val="top"/>
            <w:textDirection w:val="lrTb"/>
            <w:noWrap w:val="false"/>
          </w:tcPr>
          <w:p>
            <w:pPr>
              <w:pStyle w:val="885"/>
              <w:jc w:val="center"/>
              <w:spacing w:line="48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ascii="宋体" w:hAnsi="宋体" w:cs="宋体"/>
              </w:rPr>
            </w:r>
            <w:r/>
          </w:p>
        </w:tc>
        <w:tc>
          <w:tcPr>
            <w:tcW w:w="1120" w:type="dxa"/>
            <w:vAlign w:val="top"/>
            <w:textDirection w:val="lrTb"/>
            <w:noWrap w:val="false"/>
          </w:tcPr>
          <w:p>
            <w:pPr>
              <w:pStyle w:val="885"/>
              <w:jc w:val="center"/>
              <w:spacing w:line="48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ascii="宋体" w:hAnsi="宋体" w:cs="宋体"/>
              </w:rPr>
            </w:r>
            <w:r/>
          </w:p>
        </w:tc>
        <w:tc>
          <w:tcPr>
            <w:tcW w:w="1120" w:type="dxa"/>
            <w:vAlign w:val="top"/>
            <w:textDirection w:val="lrTb"/>
            <w:noWrap w:val="false"/>
          </w:tcPr>
          <w:p>
            <w:pPr>
              <w:pStyle w:val="885"/>
              <w:jc w:val="center"/>
              <w:spacing w:line="48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交货期</w:t>
            </w:r>
            <w:r>
              <w:rPr>
                <w:rFonts w:ascii="宋体" w:hAnsi="宋体" w:cs="宋体"/>
              </w:rPr>
            </w:r>
            <w:r/>
          </w:p>
        </w:tc>
      </w:tr>
      <w:tr>
        <w:trPr>
          <w:trHeight w:val="454"/>
        </w:trPr>
        <w:tc>
          <w:tcPr>
            <w:tcW w:w="983" w:type="dxa"/>
            <w:vAlign w:val="top"/>
            <w:textDirection w:val="lrTb"/>
            <w:noWrap w:val="false"/>
          </w:tcPr>
          <w:p>
            <w:pPr>
              <w:pStyle w:val="885"/>
              <w:jc w:val="center"/>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712" w:type="dxa"/>
            <w:vAlign w:val="top"/>
            <w:textDirection w:val="lrTb"/>
            <w:noWrap w:val="false"/>
          </w:tcPr>
          <w:p>
            <w:pPr>
              <w:pStyle w:val="885"/>
              <w:jc w:val="center"/>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712" w:type="dxa"/>
            <w:vAlign w:val="top"/>
            <w:textDirection w:val="lrTb"/>
            <w:noWrap w:val="false"/>
          </w:tcPr>
          <w:p>
            <w:pPr>
              <w:pStyle w:val="885"/>
              <w:jc w:val="center"/>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2351" w:type="dxa"/>
            <w:vAlign w:val="top"/>
            <w:textDirection w:val="lrTb"/>
            <w:noWrap w:val="false"/>
          </w:tcPr>
          <w:p>
            <w:pPr>
              <w:pStyle w:val="885"/>
              <w:jc w:val="center"/>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85"/>
              <w:jc w:val="center"/>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85"/>
              <w:jc w:val="center"/>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85"/>
              <w:jc w:val="center"/>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983" w:type="dxa"/>
            <w:vAlign w:val="top"/>
            <w:textDirection w:val="lrTb"/>
            <w:noWrap w:val="false"/>
          </w:tcPr>
          <w:p>
            <w:pPr>
              <w:pStyle w:val="88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712" w:type="dxa"/>
            <w:vAlign w:val="top"/>
            <w:textDirection w:val="lrTb"/>
            <w:noWrap w:val="false"/>
          </w:tcPr>
          <w:p>
            <w:pPr>
              <w:pStyle w:val="88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712" w:type="dxa"/>
            <w:vAlign w:val="top"/>
            <w:textDirection w:val="lrTb"/>
            <w:noWrap w:val="false"/>
          </w:tcPr>
          <w:p>
            <w:pPr>
              <w:pStyle w:val="88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2351" w:type="dxa"/>
            <w:vAlign w:val="top"/>
            <w:textDirection w:val="lrTb"/>
            <w:noWrap w:val="false"/>
          </w:tcPr>
          <w:p>
            <w:pPr>
              <w:pStyle w:val="88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8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8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8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983" w:type="dxa"/>
            <w:vAlign w:val="top"/>
            <w:textDirection w:val="lrTb"/>
            <w:noWrap w:val="false"/>
          </w:tcPr>
          <w:p>
            <w:pPr>
              <w:pStyle w:val="88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712" w:type="dxa"/>
            <w:vAlign w:val="top"/>
            <w:textDirection w:val="lrTb"/>
            <w:noWrap w:val="false"/>
          </w:tcPr>
          <w:p>
            <w:pPr>
              <w:pStyle w:val="88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712" w:type="dxa"/>
            <w:vAlign w:val="top"/>
            <w:textDirection w:val="lrTb"/>
            <w:noWrap w:val="false"/>
          </w:tcPr>
          <w:p>
            <w:pPr>
              <w:pStyle w:val="88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2351" w:type="dxa"/>
            <w:vAlign w:val="top"/>
            <w:textDirection w:val="lrTb"/>
            <w:noWrap w:val="false"/>
          </w:tcPr>
          <w:p>
            <w:pPr>
              <w:pStyle w:val="88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8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8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8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983" w:type="dxa"/>
            <w:vAlign w:val="top"/>
            <w:textDirection w:val="lrTb"/>
            <w:noWrap w:val="false"/>
          </w:tcPr>
          <w:p>
            <w:pPr>
              <w:pStyle w:val="88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712" w:type="dxa"/>
            <w:vAlign w:val="top"/>
            <w:textDirection w:val="lrTb"/>
            <w:noWrap w:val="false"/>
          </w:tcPr>
          <w:p>
            <w:pPr>
              <w:pStyle w:val="88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712" w:type="dxa"/>
            <w:vAlign w:val="top"/>
            <w:textDirection w:val="lrTb"/>
            <w:noWrap w:val="false"/>
          </w:tcPr>
          <w:p>
            <w:pPr>
              <w:pStyle w:val="88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2351" w:type="dxa"/>
            <w:vAlign w:val="top"/>
            <w:textDirection w:val="lrTb"/>
            <w:noWrap w:val="false"/>
          </w:tcPr>
          <w:p>
            <w:pPr>
              <w:pStyle w:val="88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8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8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8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983" w:type="dxa"/>
            <w:vAlign w:val="top"/>
            <w:textDirection w:val="lrTb"/>
            <w:noWrap w:val="false"/>
          </w:tcPr>
          <w:p>
            <w:pPr>
              <w:pStyle w:val="88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712" w:type="dxa"/>
            <w:vAlign w:val="top"/>
            <w:textDirection w:val="lrTb"/>
            <w:noWrap w:val="false"/>
          </w:tcPr>
          <w:p>
            <w:pPr>
              <w:pStyle w:val="88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712" w:type="dxa"/>
            <w:vAlign w:val="top"/>
            <w:textDirection w:val="lrTb"/>
            <w:noWrap w:val="false"/>
          </w:tcPr>
          <w:p>
            <w:pPr>
              <w:pStyle w:val="88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2351" w:type="dxa"/>
            <w:vAlign w:val="top"/>
            <w:textDirection w:val="lrTb"/>
            <w:noWrap w:val="false"/>
          </w:tcPr>
          <w:p>
            <w:pPr>
              <w:pStyle w:val="88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8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8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8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bl>
    <w:p>
      <w:pPr>
        <w:pStyle w:val="885"/>
        <w:spacing w:line="440" w:lineRule="exact"/>
        <w:shd w:val="clear" w:color="auto" w:fill="ffffff"/>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85"/>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85"/>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85"/>
        <w:spacing w:line="440" w:lineRule="exact"/>
        <w:rPr>
          <w:rFonts w:hint="eastAsia" w:ascii="宋体" w:hAnsi="宋体" w:cs="宋体"/>
          <w:b/>
          <w:bCs/>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8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1106"/>
        <w:ind w:firstLine="480"/>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918"/>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0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附件</w:t>
      </w:r>
      <w:r>
        <w:rPr>
          <w:rFonts w:hint="eastAsia" w:ascii="宋体" w:hAnsi="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、商务、技术条款偏离表</w:t>
      </w:r>
      <w:r>
        <w:rPr>
          <w:rFonts w:ascii="宋体" w:hAnsi="宋体" w:cs="宋体"/>
        </w:rPr>
      </w:r>
      <w:r/>
    </w:p>
    <w:p>
      <w:pPr>
        <w:pStyle w:val="885"/>
        <w:jc w:val="center"/>
        <w:spacing w:line="400" w:lineRule="exact"/>
        <w:rPr>
          <w:rFonts w:ascii="宋体" w:hAnsi="宋体" w:cs="宋体"/>
          <w:color w:val="000000"/>
          <w:highlight w:val="none"/>
        </w:rPr>
      </w:pPr>
      <w:r>
        <w:rPr>
          <w:rFonts w:hint="eastAsia" w:ascii="宋体" w:hAnsi="宋体" w:eastAsia="宋体" w:cs="宋体"/>
          <w:b/>
          <w:bCs/>
          <w:color w:val="000000"/>
          <w:sz w:val="21"/>
          <w:szCs w:val="21"/>
          <w:highlight w:val="none"/>
        </w:rPr>
        <w:t xml:space="preserve">商务条款偏离表</w:t>
      </w:r>
      <w:r>
        <w:rPr>
          <w:rFonts w:ascii="宋体" w:hAnsi="宋体" w:cs="宋体"/>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1730"/>
        <w:gridCol w:w="3037"/>
        <w:gridCol w:w="2920"/>
        <w:gridCol w:w="1666"/>
      </w:tblGrid>
      <w:tr>
        <w:trPr>
          <w:trHeight w:val="454"/>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85"/>
              <w:jc w:val="center"/>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885"/>
              <w:jc w:val="center"/>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项目条款</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37" w:type="dxa"/>
            <w:vAlign w:val="center"/>
            <w:textDirection w:val="lrTb"/>
            <w:noWrap w:val="false"/>
          </w:tcPr>
          <w:p>
            <w:pPr>
              <w:pStyle w:val="885"/>
              <w:jc w:val="center"/>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招标文件的商务技术条款</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920" w:type="dxa"/>
            <w:vAlign w:val="center"/>
            <w:textDirection w:val="lrTb"/>
            <w:noWrap w:val="false"/>
          </w:tcPr>
          <w:p>
            <w:pPr>
              <w:pStyle w:val="885"/>
              <w:jc w:val="center"/>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投标文件的商务技术条款</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885"/>
              <w:jc w:val="center"/>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85"/>
              <w:jc w:val="center"/>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885"/>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37" w:type="dxa"/>
            <w:vAlign w:val="center"/>
            <w:textDirection w:val="lrTb"/>
            <w:noWrap w:val="false"/>
          </w:tcPr>
          <w:p>
            <w:pPr>
              <w:pStyle w:val="885"/>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920" w:type="dxa"/>
            <w:vAlign w:val="center"/>
            <w:textDirection w:val="lrTb"/>
            <w:noWrap w:val="false"/>
          </w:tcPr>
          <w:p>
            <w:pPr>
              <w:pStyle w:val="885"/>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885"/>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85"/>
              <w:jc w:val="center"/>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885"/>
              <w:jc w:val="center"/>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37" w:type="dxa"/>
            <w:vAlign w:val="center"/>
            <w:textDirection w:val="lrTb"/>
            <w:noWrap w:val="false"/>
          </w:tcPr>
          <w:p>
            <w:pPr>
              <w:pStyle w:val="885"/>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920" w:type="dxa"/>
            <w:vAlign w:val="center"/>
            <w:textDirection w:val="lrTb"/>
            <w:noWrap w:val="false"/>
          </w:tcPr>
          <w:p>
            <w:pPr>
              <w:pStyle w:val="885"/>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885"/>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85"/>
              <w:jc w:val="center"/>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885"/>
              <w:jc w:val="center"/>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37" w:type="dxa"/>
            <w:vAlign w:val="center"/>
            <w:textDirection w:val="lrTb"/>
            <w:noWrap w:val="false"/>
          </w:tcPr>
          <w:p>
            <w:pPr>
              <w:pStyle w:val="885"/>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920" w:type="dxa"/>
            <w:vAlign w:val="center"/>
            <w:textDirection w:val="lrTb"/>
            <w:noWrap w:val="false"/>
          </w:tcPr>
          <w:p>
            <w:pPr>
              <w:pStyle w:val="885"/>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885"/>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85"/>
              <w:jc w:val="center"/>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885"/>
              <w:jc w:val="center"/>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37" w:type="dxa"/>
            <w:vAlign w:val="center"/>
            <w:textDirection w:val="lrTb"/>
            <w:noWrap w:val="false"/>
          </w:tcPr>
          <w:p>
            <w:pPr>
              <w:pStyle w:val="885"/>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920" w:type="dxa"/>
            <w:vAlign w:val="center"/>
            <w:textDirection w:val="lrTb"/>
            <w:noWrap w:val="false"/>
          </w:tcPr>
          <w:p>
            <w:pPr>
              <w:pStyle w:val="885"/>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885"/>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85"/>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885"/>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37" w:type="dxa"/>
            <w:vAlign w:val="center"/>
            <w:textDirection w:val="lrTb"/>
            <w:noWrap w:val="false"/>
          </w:tcPr>
          <w:p>
            <w:pPr>
              <w:pStyle w:val="885"/>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920" w:type="dxa"/>
            <w:vAlign w:val="center"/>
            <w:textDirection w:val="lrTb"/>
            <w:noWrap w:val="false"/>
          </w:tcPr>
          <w:p>
            <w:pPr>
              <w:pStyle w:val="885"/>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885"/>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tc>
      </w:tr>
    </w:tbl>
    <w:p>
      <w:pPr>
        <w:pStyle w:val="885"/>
        <w:ind w:firstLine="420"/>
        <w:jc w:val="left"/>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注：投标人的投标文件（技术要求部分除外）若与招标文件规定存在偏离，应在此表中明确说明。未在此表说明但在投标文件其他内容中已有文字表述的，以已有文字说明为准；未作任何说明的，视为完全响应招标文件规定。本表格不替代投标人对所投项目相关的商务条款、服务承诺等详细描述和说明。</w:t>
      </w:r>
      <w:r>
        <w:rPr>
          <w:rFonts w:ascii="宋体" w:hAnsi="宋体" w:cs="宋体"/>
        </w:rPr>
      </w:r>
      <w:r/>
    </w:p>
    <w:p>
      <w:pPr>
        <w:pStyle w:val="885"/>
        <w:jc w:val="left"/>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ascii="宋体" w:hAnsi="宋体" w:cs="宋体"/>
        </w:rPr>
      </w:r>
      <w:r/>
    </w:p>
    <w:p>
      <w:pPr>
        <w:pStyle w:val="885"/>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85"/>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85"/>
        <w:spacing w:line="440" w:lineRule="exact"/>
        <w:rPr>
          <w:rFonts w:ascii="宋体" w:hAnsi="宋体" w:cs="宋体"/>
          <w:b/>
          <w:bCs/>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85"/>
        <w:ind w:firstLine="211"/>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ind w:firstLine="211"/>
        <w:spacing w:line="400" w:lineRule="exact"/>
        <w:rPr>
          <w:rFonts w:hint="eastAsia" w:ascii="宋体" w:hAnsi="宋体" w:cs="宋体"/>
          <w:b/>
          <w:bCs/>
          <w:color w:val="000000"/>
          <w:sz w:val="21"/>
          <w:szCs w:val="21"/>
          <w:highlight w:val="none"/>
        </w:rPr>
      </w:pPr>
      <w:r>
        <w:rPr>
          <w:rFonts w:ascii="宋体" w:hAnsi="宋体" w:cs="宋体"/>
          <w:b/>
          <w:bCs/>
          <w:color w:val="000000"/>
          <w:sz w:val="21"/>
          <w:szCs w:val="21"/>
          <w:highlight w:val="none"/>
        </w:rPr>
        <w:t xml:space="preserve">   </w:t>
      </w:r>
      <w:r>
        <w:rPr>
          <w:rFonts w:ascii="宋体" w:hAnsi="宋体" w:cs="宋体"/>
        </w:rPr>
      </w:r>
      <w:r/>
    </w:p>
    <w:p>
      <w:pPr>
        <w:pStyle w:val="885"/>
        <w:ind w:firstLine="211"/>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ind w:firstLine="211"/>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ind w:firstLine="211"/>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ind w:firstLine="211"/>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ind w:firstLine="211"/>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ind w:firstLine="211"/>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ind w:firstLine="211"/>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ind w:firstLine="211"/>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ind w:firstLine="211"/>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ind w:firstLine="211"/>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ind w:firstLine="211"/>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ind w:firstLine="211"/>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ind w:firstLine="211"/>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ind w:firstLine="211"/>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918"/>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918"/>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ind w:firstLine="211"/>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r/>
    </w:p>
    <w:p>
      <w:pPr>
        <w:pStyle w:val="885"/>
        <w:ind w:firstLine="211"/>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00" w:lineRule="exact"/>
        <w:rPr>
          <w:rFonts w:hint="eastAsia" w:ascii="宋体" w:hAnsi="宋体" w:cs="宋体"/>
          <w:color w:val="000000"/>
          <w:highlight w:val="none"/>
        </w:rPr>
      </w:pPr>
      <w:r>
        <w:rPr>
          <w:rFonts w:hint="eastAsia" w:ascii="宋体" w:hAnsi="宋体" w:eastAsia="宋体" w:cs="宋体"/>
          <w:b/>
          <w:bCs/>
          <w:color w:val="000000"/>
          <w:sz w:val="21"/>
          <w:szCs w:val="21"/>
          <w:highlight w:val="none"/>
        </w:rPr>
        <w:t xml:space="preserve">附件</w:t>
      </w:r>
      <w:r>
        <w:rPr>
          <w:rFonts w:hint="eastAsia" w:ascii="宋体" w:hAnsi="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rPr>
        <w:t xml:space="preserve">、技术条款偏离表</w:t>
      </w:r>
      <w:r>
        <w:rPr>
          <w:rFonts w:ascii="宋体" w:hAnsi="宋体" w:cs="宋体"/>
        </w:rPr>
      </w:r>
      <w:r/>
    </w:p>
    <w:p>
      <w:pPr>
        <w:pStyle w:val="885"/>
        <w:ind w:firstLine="211"/>
        <w:jc w:val="center"/>
        <w:spacing w:line="400" w:lineRule="exact"/>
        <w:rPr>
          <w:rFonts w:ascii="宋体" w:hAnsi="宋体" w:cs="宋体"/>
          <w:color w:val="000000"/>
          <w:highlight w:val="none"/>
        </w:rPr>
      </w:pPr>
      <w:r>
        <w:rPr>
          <w:rFonts w:hint="eastAsia" w:ascii="宋体" w:hAnsi="宋体" w:eastAsia="宋体" w:cs="宋体"/>
          <w:b/>
          <w:bCs/>
          <w:color w:val="000000"/>
          <w:sz w:val="21"/>
          <w:szCs w:val="21"/>
          <w:highlight w:val="none"/>
        </w:rPr>
        <w:t xml:space="preserve">技术条款偏离表</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2074"/>
        <w:gridCol w:w="1719"/>
        <w:gridCol w:w="2154"/>
        <w:gridCol w:w="2251"/>
        <w:gridCol w:w="1091"/>
      </w:tblGrid>
      <w:tr>
        <w:trPr>
          <w:trHeight w:val="454"/>
        </w:trPr>
        <w:tc>
          <w:tcPr>
            <w:tcW w:w="829" w:type="dxa"/>
            <w:vAlign w:val="top"/>
            <w:textDirection w:val="lrTb"/>
            <w:noWrap w:val="false"/>
          </w:tcPr>
          <w:p>
            <w:pPr>
              <w:pStyle w:val="885"/>
              <w:jc w:val="center"/>
              <w:spacing w:line="40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ascii="宋体" w:hAnsi="宋体" w:cs="宋体"/>
              </w:rPr>
            </w:r>
            <w:r/>
          </w:p>
        </w:tc>
        <w:tc>
          <w:tcPr>
            <w:tcW w:w="2074" w:type="dxa"/>
            <w:vAlign w:val="top"/>
            <w:textDirection w:val="lrTb"/>
            <w:noWrap w:val="false"/>
          </w:tcPr>
          <w:p>
            <w:pPr>
              <w:pStyle w:val="885"/>
              <w:jc w:val="center"/>
              <w:spacing w:line="40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产品名称品牌规格</w:t>
            </w:r>
            <w:r>
              <w:rPr>
                <w:rFonts w:ascii="宋体" w:hAnsi="宋体" w:cs="宋体"/>
              </w:rPr>
            </w:r>
            <w:r/>
          </w:p>
        </w:tc>
        <w:tc>
          <w:tcPr>
            <w:tcW w:w="1719" w:type="dxa"/>
            <w:vAlign w:val="top"/>
            <w:textDirection w:val="lrTb"/>
            <w:noWrap w:val="false"/>
          </w:tcPr>
          <w:p>
            <w:pPr>
              <w:pStyle w:val="885"/>
              <w:jc w:val="center"/>
              <w:spacing w:line="40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招标技术要求</w:t>
            </w:r>
            <w:r>
              <w:rPr>
                <w:rFonts w:ascii="宋体" w:hAnsi="宋体" w:cs="宋体"/>
              </w:rPr>
            </w:r>
            <w:r/>
          </w:p>
        </w:tc>
        <w:tc>
          <w:tcPr>
            <w:tcW w:w="2154" w:type="dxa"/>
            <w:vAlign w:val="top"/>
            <w:textDirection w:val="lrTb"/>
            <w:noWrap w:val="false"/>
          </w:tcPr>
          <w:p>
            <w:pPr>
              <w:pStyle w:val="885"/>
              <w:jc w:val="center"/>
              <w:spacing w:line="40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投标产品技术要求</w:t>
            </w:r>
            <w:r>
              <w:rPr>
                <w:rFonts w:ascii="宋体" w:hAnsi="宋体" w:cs="宋体"/>
              </w:rPr>
            </w:r>
            <w:r/>
          </w:p>
        </w:tc>
        <w:tc>
          <w:tcPr>
            <w:tcW w:w="2251" w:type="dxa"/>
            <w:vAlign w:val="top"/>
            <w:textDirection w:val="lrTb"/>
            <w:noWrap w:val="false"/>
          </w:tcPr>
          <w:p>
            <w:pPr>
              <w:pStyle w:val="885"/>
              <w:jc w:val="center"/>
              <w:spacing w:line="40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选择项（偏离</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响应）</w:t>
            </w:r>
            <w:r>
              <w:rPr>
                <w:rFonts w:ascii="宋体" w:hAnsi="宋体" w:cs="宋体"/>
              </w:rPr>
            </w:r>
            <w:r/>
          </w:p>
        </w:tc>
        <w:tc>
          <w:tcPr>
            <w:tcW w:w="1091" w:type="dxa"/>
            <w:vAlign w:val="top"/>
            <w:textDirection w:val="lrTb"/>
            <w:noWrap w:val="false"/>
          </w:tcPr>
          <w:p>
            <w:pPr>
              <w:pStyle w:val="885"/>
              <w:jc w:val="center"/>
              <w:spacing w:line="40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eastAsia="zh-CN"/>
              </w:rPr>
              <w:t xml:space="preserve">说明</w:t>
            </w:r>
            <w:r>
              <w:rPr>
                <w:rFonts w:ascii="宋体" w:hAnsi="宋体" w:cs="宋体"/>
              </w:rPr>
            </w:r>
            <w:r/>
          </w:p>
        </w:tc>
      </w:tr>
      <w:tr>
        <w:trPr>
          <w:trHeight w:val="454"/>
        </w:trPr>
        <w:tc>
          <w:tcPr>
            <w:tcW w:w="829" w:type="dxa"/>
            <w:vAlign w:val="top"/>
            <w:textDirection w:val="lrTb"/>
            <w:noWrap w:val="false"/>
          </w:tcPr>
          <w:p>
            <w:pPr>
              <w:pStyle w:val="88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2074" w:type="dxa"/>
            <w:vAlign w:val="top"/>
            <w:textDirection w:val="lrTb"/>
            <w:noWrap w:val="false"/>
          </w:tcPr>
          <w:p>
            <w:pPr>
              <w:pStyle w:val="88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1719" w:type="dxa"/>
            <w:vAlign w:val="top"/>
            <w:textDirection w:val="lrTb"/>
            <w:noWrap w:val="false"/>
          </w:tcPr>
          <w:p>
            <w:pPr>
              <w:pStyle w:val="88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2154" w:type="dxa"/>
            <w:vAlign w:val="top"/>
            <w:textDirection w:val="lrTb"/>
            <w:noWrap w:val="false"/>
          </w:tcPr>
          <w:p>
            <w:pPr>
              <w:pStyle w:val="88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2251" w:type="dxa"/>
            <w:vAlign w:val="top"/>
            <w:textDirection w:val="lrTb"/>
            <w:noWrap w:val="false"/>
          </w:tcPr>
          <w:p>
            <w:pPr>
              <w:pStyle w:val="88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1091" w:type="dxa"/>
            <w:vAlign w:val="top"/>
            <w:textDirection w:val="lrTb"/>
            <w:noWrap w:val="false"/>
          </w:tcPr>
          <w:p>
            <w:pPr>
              <w:pStyle w:val="88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r>
      <w:tr>
        <w:trPr>
          <w:trHeight w:val="454"/>
        </w:trPr>
        <w:tc>
          <w:tcPr>
            <w:tcW w:w="829" w:type="dxa"/>
            <w:vAlign w:val="top"/>
            <w:textDirection w:val="lrTb"/>
            <w:noWrap w:val="false"/>
          </w:tcPr>
          <w:p>
            <w:pPr>
              <w:pStyle w:val="88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2074" w:type="dxa"/>
            <w:vAlign w:val="top"/>
            <w:textDirection w:val="lrTb"/>
            <w:noWrap w:val="false"/>
          </w:tcPr>
          <w:p>
            <w:pPr>
              <w:pStyle w:val="88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1719" w:type="dxa"/>
            <w:vAlign w:val="top"/>
            <w:textDirection w:val="lrTb"/>
            <w:noWrap w:val="false"/>
          </w:tcPr>
          <w:p>
            <w:pPr>
              <w:pStyle w:val="88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2154" w:type="dxa"/>
            <w:vAlign w:val="top"/>
            <w:textDirection w:val="lrTb"/>
            <w:noWrap w:val="false"/>
          </w:tcPr>
          <w:p>
            <w:pPr>
              <w:pStyle w:val="88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2251" w:type="dxa"/>
            <w:vAlign w:val="top"/>
            <w:textDirection w:val="lrTb"/>
            <w:noWrap w:val="false"/>
          </w:tcPr>
          <w:p>
            <w:pPr>
              <w:pStyle w:val="88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1091" w:type="dxa"/>
            <w:vAlign w:val="top"/>
            <w:textDirection w:val="lrTb"/>
            <w:noWrap w:val="false"/>
          </w:tcPr>
          <w:p>
            <w:pPr>
              <w:pStyle w:val="88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r>
      <w:tr>
        <w:trPr>
          <w:trHeight w:val="454"/>
        </w:trPr>
        <w:tc>
          <w:tcPr>
            <w:tcW w:w="829" w:type="dxa"/>
            <w:vAlign w:val="top"/>
            <w:textDirection w:val="lrTb"/>
            <w:noWrap w:val="false"/>
          </w:tcPr>
          <w:p>
            <w:pPr>
              <w:pStyle w:val="88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2074" w:type="dxa"/>
            <w:vAlign w:val="top"/>
            <w:textDirection w:val="lrTb"/>
            <w:noWrap w:val="false"/>
          </w:tcPr>
          <w:p>
            <w:pPr>
              <w:pStyle w:val="88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1719" w:type="dxa"/>
            <w:vAlign w:val="top"/>
            <w:textDirection w:val="lrTb"/>
            <w:noWrap w:val="false"/>
          </w:tcPr>
          <w:p>
            <w:pPr>
              <w:pStyle w:val="88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2154" w:type="dxa"/>
            <w:vAlign w:val="top"/>
            <w:textDirection w:val="lrTb"/>
            <w:noWrap w:val="false"/>
          </w:tcPr>
          <w:p>
            <w:pPr>
              <w:pStyle w:val="88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2251" w:type="dxa"/>
            <w:vAlign w:val="top"/>
            <w:textDirection w:val="lrTb"/>
            <w:noWrap w:val="false"/>
          </w:tcPr>
          <w:p>
            <w:pPr>
              <w:pStyle w:val="88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1091" w:type="dxa"/>
            <w:vAlign w:val="top"/>
            <w:textDirection w:val="lrTb"/>
            <w:noWrap w:val="false"/>
          </w:tcPr>
          <w:p>
            <w:pPr>
              <w:pStyle w:val="88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r>
      <w:tr>
        <w:trPr>
          <w:trHeight w:val="454"/>
        </w:trPr>
        <w:tc>
          <w:tcPr>
            <w:tcW w:w="829" w:type="dxa"/>
            <w:vAlign w:val="top"/>
            <w:textDirection w:val="lrTb"/>
            <w:noWrap w:val="false"/>
          </w:tcPr>
          <w:p>
            <w:pPr>
              <w:pStyle w:val="88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2074" w:type="dxa"/>
            <w:vAlign w:val="top"/>
            <w:textDirection w:val="lrTb"/>
            <w:noWrap w:val="false"/>
          </w:tcPr>
          <w:p>
            <w:pPr>
              <w:pStyle w:val="88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1719" w:type="dxa"/>
            <w:vAlign w:val="top"/>
            <w:textDirection w:val="lrTb"/>
            <w:noWrap w:val="false"/>
          </w:tcPr>
          <w:p>
            <w:pPr>
              <w:pStyle w:val="88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2154" w:type="dxa"/>
            <w:vAlign w:val="top"/>
            <w:textDirection w:val="lrTb"/>
            <w:noWrap w:val="false"/>
          </w:tcPr>
          <w:p>
            <w:pPr>
              <w:pStyle w:val="88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2251" w:type="dxa"/>
            <w:vAlign w:val="top"/>
            <w:textDirection w:val="lrTb"/>
            <w:noWrap w:val="false"/>
          </w:tcPr>
          <w:p>
            <w:pPr>
              <w:pStyle w:val="88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1091" w:type="dxa"/>
            <w:vAlign w:val="top"/>
            <w:textDirection w:val="lrTb"/>
            <w:noWrap w:val="false"/>
          </w:tcPr>
          <w:p>
            <w:pPr>
              <w:pStyle w:val="88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r>
      <w:tr>
        <w:trPr>
          <w:trHeight w:val="454"/>
        </w:trPr>
        <w:tc>
          <w:tcPr>
            <w:tcW w:w="829" w:type="dxa"/>
            <w:vAlign w:val="top"/>
            <w:textDirection w:val="lrTb"/>
            <w:noWrap w:val="false"/>
          </w:tcPr>
          <w:p>
            <w:pPr>
              <w:pStyle w:val="88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2074" w:type="dxa"/>
            <w:vAlign w:val="top"/>
            <w:textDirection w:val="lrTb"/>
            <w:noWrap w:val="false"/>
          </w:tcPr>
          <w:p>
            <w:pPr>
              <w:pStyle w:val="88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1719" w:type="dxa"/>
            <w:vAlign w:val="top"/>
            <w:textDirection w:val="lrTb"/>
            <w:noWrap w:val="false"/>
          </w:tcPr>
          <w:p>
            <w:pPr>
              <w:pStyle w:val="88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2154" w:type="dxa"/>
            <w:vAlign w:val="top"/>
            <w:textDirection w:val="lrTb"/>
            <w:noWrap w:val="false"/>
          </w:tcPr>
          <w:p>
            <w:pPr>
              <w:pStyle w:val="88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2251" w:type="dxa"/>
            <w:vAlign w:val="top"/>
            <w:textDirection w:val="lrTb"/>
            <w:noWrap w:val="false"/>
          </w:tcPr>
          <w:p>
            <w:pPr>
              <w:pStyle w:val="88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1091" w:type="dxa"/>
            <w:vAlign w:val="top"/>
            <w:textDirection w:val="lrTb"/>
            <w:noWrap w:val="false"/>
          </w:tcPr>
          <w:p>
            <w:pPr>
              <w:pStyle w:val="88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r>
    </w:tbl>
    <w:p>
      <w:pPr>
        <w:pStyle w:val="885"/>
        <w:ind w:firstLine="420"/>
        <w:jc w:val="left"/>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注：1.投标人须对照招标文件的技术要求，针对投标标的物与招标文件技术要求存在的偏离情况，在此表中明确列明对应的技术要求条文及偏差、例外情形。</w:t>
      </w:r>
      <w:r>
        <w:rPr>
          <w:rFonts w:ascii="宋体" w:hAnsi="宋体" w:cs="宋体"/>
        </w:rPr>
      </w:r>
      <w:r/>
    </w:p>
    <w:p>
      <w:pPr>
        <w:pStyle w:val="885"/>
        <w:ind w:firstLine="420"/>
        <w:jc w:val="left"/>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未在本表列明但在投标文件其他内容中已作文字说明的偏离，以投标文件中的文字说明为准；未作任何说明的，视同投标标的物完全响应招标文件的全部技术要求。本表格不得作为投标人对投标标的物技术要求等相关内容的详细描述及说明的替代文件。</w:t>
      </w:r>
      <w:r>
        <w:rPr>
          <w:rFonts w:ascii="宋体" w:hAnsi="宋体" w:cs="宋体"/>
        </w:rPr>
      </w:r>
      <w:r/>
    </w:p>
    <w:p>
      <w:pPr>
        <w:pStyle w:val="885"/>
        <w:spacing w:line="400" w:lineRule="exact"/>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85"/>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85"/>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85"/>
        <w:spacing w:line="440" w:lineRule="exact"/>
        <w:rPr>
          <w:rFonts w:ascii="宋体" w:hAnsi="宋体" w:cs="宋体"/>
          <w:b/>
          <w:bCs/>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85"/>
        <w:ind w:firstLine="211"/>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ind w:firstLine="211"/>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ind w:firstLine="211"/>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00" w:lineRule="exact"/>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1106"/>
        <w:ind w:firstLine="422"/>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85"/>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1106"/>
        <w:ind w:firstLine="422"/>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85"/>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1106"/>
        <w:ind w:firstLine="422"/>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85"/>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1106"/>
        <w:ind w:firstLine="422"/>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85"/>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1106"/>
        <w:ind w:firstLine="422"/>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85"/>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918"/>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8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1106"/>
        <w:ind w:firstLine="422"/>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85"/>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1106"/>
        <w:ind w:firstLine="422"/>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b/>
          <w:bCs/>
          <w:color w:val="000000"/>
          <w:sz w:val="21"/>
          <w:szCs w:val="21"/>
          <w:highlight w:val="none"/>
        </w:rPr>
      </w:r>
      <w:r/>
    </w:p>
    <w:p>
      <w:pPr>
        <w:pStyle w:val="1106"/>
        <w:ind w:firstLine="422"/>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b/>
          <w:bCs/>
          <w:color w:val="000000"/>
          <w:sz w:val="21"/>
          <w:szCs w:val="21"/>
          <w:highlight w:val="none"/>
        </w:rPr>
      </w:r>
      <w:r/>
    </w:p>
    <w:p>
      <w:pPr>
        <w:pStyle w:val="1106"/>
        <w:ind w:firstLine="0"/>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903"/>
        <w:ind w:firstLine="0"/>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附件</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、售后服务承诺书</w:t>
      </w:r>
      <w:r>
        <w:rPr>
          <w:rFonts w:ascii="宋体" w:hAnsi="宋体" w:cs="宋体"/>
        </w:rPr>
      </w:r>
      <w:r/>
    </w:p>
    <w:p>
      <w:pPr>
        <w:pStyle w:val="885"/>
        <w:jc w:val="center"/>
        <w:spacing w:before="25" w:after="25" w:line="360" w:lineRule="auto"/>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售后服务承诺书</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7"/>
        <w:gridCol w:w="3037"/>
        <w:gridCol w:w="3037"/>
        <w:gridCol w:w="3037"/>
      </w:tblGrid>
      <w:tr>
        <w:trPr>
          <w:trHeight w:val="454"/>
        </w:trPr>
        <w:tc>
          <w:tcPr>
            <w:tcW w:w="1007" w:type="dxa"/>
            <w:vAlign w:val="center"/>
            <w:textDirection w:val="lrTb"/>
            <w:noWrap w:val="false"/>
          </w:tcPr>
          <w:p>
            <w:pPr>
              <w:pStyle w:val="885"/>
              <w:jc w:val="center"/>
              <w:spacing w:before="25" w:after="25"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序号</w:t>
            </w:r>
            <w:r>
              <w:rPr>
                <w:rFonts w:ascii="宋体" w:hAnsi="宋体" w:cs="宋体"/>
              </w:rPr>
            </w:r>
            <w:r/>
          </w:p>
        </w:tc>
        <w:tc>
          <w:tcPr>
            <w:tcW w:w="3037" w:type="dxa"/>
            <w:vAlign w:val="center"/>
            <w:textDirection w:val="lrTb"/>
            <w:noWrap w:val="false"/>
          </w:tcPr>
          <w:p>
            <w:pPr>
              <w:pStyle w:val="885"/>
              <w:jc w:val="center"/>
              <w:spacing w:before="25" w:after="25"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售后服务内容</w:t>
            </w:r>
            <w:r>
              <w:rPr>
                <w:rFonts w:ascii="宋体" w:hAnsi="宋体" w:cs="宋体"/>
              </w:rPr>
            </w:r>
            <w:r/>
          </w:p>
        </w:tc>
        <w:tc>
          <w:tcPr>
            <w:tcW w:w="3037" w:type="dxa"/>
            <w:vAlign w:val="center"/>
            <w:textDirection w:val="lrTb"/>
            <w:noWrap w:val="false"/>
          </w:tcPr>
          <w:p>
            <w:pPr>
              <w:pStyle w:val="885"/>
              <w:jc w:val="center"/>
              <w:spacing w:before="25" w:after="25"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期限（时间）</w:t>
            </w:r>
            <w:r>
              <w:rPr>
                <w:rFonts w:ascii="宋体" w:hAnsi="宋体" w:cs="宋体"/>
              </w:rPr>
            </w:r>
            <w:r/>
          </w:p>
        </w:tc>
        <w:tc>
          <w:tcPr>
            <w:tcW w:w="3037" w:type="dxa"/>
            <w:vAlign w:val="center"/>
            <w:textDirection w:val="lrTb"/>
            <w:noWrap w:val="false"/>
          </w:tcPr>
          <w:p>
            <w:pPr>
              <w:pStyle w:val="885"/>
              <w:jc w:val="center"/>
              <w:spacing w:before="25" w:after="25"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备注</w:t>
            </w:r>
            <w:r>
              <w:rPr>
                <w:rFonts w:ascii="宋体" w:hAnsi="宋体" w:cs="宋体"/>
              </w:rPr>
            </w:r>
            <w:r/>
          </w:p>
        </w:tc>
      </w:tr>
      <w:tr>
        <w:trPr>
          <w:trHeight w:val="454"/>
        </w:trPr>
        <w:tc>
          <w:tcPr>
            <w:tcW w:w="1007" w:type="dxa"/>
            <w:vAlign w:val="center"/>
            <w:textDirection w:val="lrTb"/>
            <w:noWrap w:val="false"/>
          </w:tcPr>
          <w:p>
            <w:pPr>
              <w:pStyle w:val="885"/>
              <w:jc w:val="center"/>
              <w:spacing w:before="25" w:after="25" w:line="360" w:lineRule="auto"/>
              <w:rPr>
                <w:rFonts w:ascii="宋体" w:hAnsi="宋体" w:cs="宋体"/>
                <w:color w:val="000000"/>
                <w:szCs w:val="21"/>
                <w:highlight w:val="none"/>
              </w:rPr>
            </w:pPr>
            <w:r>
              <w:rPr>
                <w:rFonts w:ascii="宋体" w:hAnsi="宋体" w:cs="宋体"/>
                <w:color w:val="000000"/>
                <w:sz w:val="21"/>
                <w:szCs w:val="21"/>
                <w:highlight w:val="none"/>
              </w:rPr>
              <w:t xml:space="preserve">1</w:t>
            </w:r>
            <w:r>
              <w:rPr>
                <w:rFonts w:ascii="宋体" w:hAnsi="宋体" w:cs="宋体"/>
              </w:rPr>
            </w:r>
            <w:r/>
          </w:p>
        </w:tc>
        <w:tc>
          <w:tcPr>
            <w:tcW w:w="3037" w:type="dxa"/>
            <w:vAlign w:val="center"/>
            <w:textDirection w:val="lrTb"/>
            <w:noWrap w:val="false"/>
          </w:tcPr>
          <w:p>
            <w:pPr>
              <w:pStyle w:val="885"/>
              <w:jc w:val="center"/>
              <w:spacing w:before="25" w:after="25"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质保期</w:t>
            </w:r>
            <w:r>
              <w:rPr>
                <w:rFonts w:ascii="宋体" w:hAnsi="宋体" w:cs="宋体"/>
              </w:rPr>
            </w:r>
            <w:r/>
          </w:p>
        </w:tc>
        <w:tc>
          <w:tcPr>
            <w:tcW w:w="3037" w:type="dxa"/>
            <w:vAlign w:val="center"/>
            <w:textDirection w:val="lrTb"/>
            <w:noWrap w:val="false"/>
          </w:tcPr>
          <w:p>
            <w:pPr>
              <w:pStyle w:val="885"/>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037" w:type="dxa"/>
            <w:vAlign w:val="center"/>
            <w:textDirection w:val="lrTb"/>
            <w:noWrap w:val="false"/>
          </w:tcPr>
          <w:p>
            <w:pPr>
              <w:pStyle w:val="885"/>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1007" w:type="dxa"/>
            <w:vAlign w:val="center"/>
            <w:textDirection w:val="lrTb"/>
            <w:noWrap w:val="false"/>
          </w:tcPr>
          <w:p>
            <w:pPr>
              <w:pStyle w:val="885"/>
              <w:jc w:val="center"/>
              <w:spacing w:before="25" w:after="25" w:line="360" w:lineRule="auto"/>
              <w:rPr>
                <w:rFonts w:ascii="宋体" w:hAnsi="宋体" w:cs="宋体"/>
                <w:color w:val="000000"/>
                <w:szCs w:val="21"/>
                <w:highlight w:val="none"/>
              </w:rPr>
            </w:pPr>
            <w:r>
              <w:rPr>
                <w:rFonts w:ascii="宋体" w:hAnsi="宋体" w:cs="宋体"/>
                <w:color w:val="000000"/>
                <w:sz w:val="21"/>
                <w:szCs w:val="21"/>
                <w:highlight w:val="none"/>
              </w:rPr>
              <w:t xml:space="preserve">2</w:t>
            </w:r>
            <w:r>
              <w:rPr>
                <w:rFonts w:ascii="宋体" w:hAnsi="宋体" w:cs="宋体"/>
              </w:rPr>
            </w:r>
            <w:r/>
          </w:p>
        </w:tc>
        <w:tc>
          <w:tcPr>
            <w:tcW w:w="3037" w:type="dxa"/>
            <w:vAlign w:val="center"/>
            <w:textDirection w:val="lrTb"/>
            <w:noWrap w:val="false"/>
          </w:tcPr>
          <w:p>
            <w:pPr>
              <w:pStyle w:val="885"/>
              <w:jc w:val="center"/>
              <w:spacing w:before="25" w:after="25"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服务响应</w:t>
            </w:r>
            <w:r>
              <w:rPr>
                <w:rFonts w:ascii="宋体" w:hAnsi="宋体" w:cs="宋体"/>
              </w:rPr>
            </w:r>
            <w:r/>
          </w:p>
        </w:tc>
        <w:tc>
          <w:tcPr>
            <w:tcW w:w="3037" w:type="dxa"/>
            <w:vAlign w:val="center"/>
            <w:textDirection w:val="lrTb"/>
            <w:noWrap w:val="false"/>
          </w:tcPr>
          <w:p>
            <w:pPr>
              <w:pStyle w:val="885"/>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037" w:type="dxa"/>
            <w:vAlign w:val="center"/>
            <w:textDirection w:val="lrTb"/>
            <w:noWrap w:val="false"/>
          </w:tcPr>
          <w:p>
            <w:pPr>
              <w:pStyle w:val="885"/>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1007" w:type="dxa"/>
            <w:vAlign w:val="center"/>
            <w:textDirection w:val="lrTb"/>
            <w:noWrap w:val="false"/>
          </w:tcPr>
          <w:p>
            <w:pPr>
              <w:pStyle w:val="885"/>
              <w:jc w:val="center"/>
              <w:spacing w:before="25" w:after="25" w:line="360" w:lineRule="auto"/>
              <w:rPr>
                <w:rFonts w:ascii="宋体" w:hAnsi="宋体" w:cs="宋体"/>
                <w:color w:val="000000"/>
                <w:szCs w:val="21"/>
                <w:highlight w:val="none"/>
              </w:rPr>
            </w:pPr>
            <w:r>
              <w:rPr>
                <w:rFonts w:ascii="宋体" w:hAnsi="宋体" w:cs="宋体"/>
                <w:color w:val="000000"/>
                <w:sz w:val="21"/>
                <w:szCs w:val="21"/>
                <w:highlight w:val="none"/>
              </w:rPr>
              <w:t xml:space="preserve">3</w:t>
            </w:r>
            <w:r>
              <w:rPr>
                <w:rFonts w:ascii="宋体" w:hAnsi="宋体" w:cs="宋体"/>
              </w:rPr>
            </w:r>
            <w:r/>
          </w:p>
        </w:tc>
        <w:tc>
          <w:tcPr>
            <w:tcW w:w="3037" w:type="dxa"/>
            <w:vAlign w:val="center"/>
            <w:textDirection w:val="lrTb"/>
            <w:noWrap w:val="false"/>
          </w:tcPr>
          <w:p>
            <w:pPr>
              <w:pStyle w:val="885"/>
              <w:jc w:val="center"/>
              <w:spacing w:before="25" w:after="25"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到达现场</w:t>
            </w:r>
            <w:r>
              <w:rPr>
                <w:rFonts w:ascii="宋体" w:hAnsi="宋体" w:cs="宋体"/>
              </w:rPr>
            </w:r>
            <w:r/>
          </w:p>
        </w:tc>
        <w:tc>
          <w:tcPr>
            <w:tcW w:w="3037" w:type="dxa"/>
            <w:vAlign w:val="center"/>
            <w:textDirection w:val="lrTb"/>
            <w:noWrap w:val="false"/>
          </w:tcPr>
          <w:p>
            <w:pPr>
              <w:pStyle w:val="885"/>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037" w:type="dxa"/>
            <w:vAlign w:val="center"/>
            <w:textDirection w:val="lrTb"/>
            <w:noWrap w:val="false"/>
          </w:tcPr>
          <w:p>
            <w:pPr>
              <w:pStyle w:val="885"/>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1007" w:type="dxa"/>
            <w:vAlign w:val="center"/>
            <w:textDirection w:val="lrTb"/>
            <w:noWrap w:val="false"/>
          </w:tcPr>
          <w:p>
            <w:pPr>
              <w:pStyle w:val="885"/>
              <w:jc w:val="center"/>
              <w:spacing w:before="25" w:after="25" w:line="360" w:lineRule="auto"/>
              <w:rPr>
                <w:rFonts w:ascii="宋体" w:hAnsi="宋体" w:cs="宋体"/>
                <w:color w:val="000000"/>
                <w:szCs w:val="21"/>
                <w:highlight w:val="none"/>
              </w:rPr>
            </w:pPr>
            <w:r>
              <w:rPr>
                <w:rFonts w:ascii="宋体" w:hAnsi="宋体" w:cs="宋体"/>
                <w:color w:val="000000"/>
                <w:sz w:val="21"/>
                <w:szCs w:val="21"/>
                <w:highlight w:val="none"/>
              </w:rPr>
              <w:t xml:space="preserve">4</w:t>
            </w:r>
            <w:r>
              <w:rPr>
                <w:rFonts w:ascii="宋体" w:hAnsi="宋体" w:cs="宋体"/>
              </w:rPr>
            </w:r>
            <w:r/>
          </w:p>
        </w:tc>
        <w:tc>
          <w:tcPr>
            <w:tcW w:w="3037" w:type="dxa"/>
            <w:vAlign w:val="center"/>
            <w:textDirection w:val="lrTb"/>
            <w:noWrap w:val="false"/>
          </w:tcPr>
          <w:p>
            <w:pPr>
              <w:pStyle w:val="885"/>
              <w:jc w:val="center"/>
              <w:spacing w:before="25" w:after="25"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解决问题</w:t>
            </w:r>
            <w:r>
              <w:rPr>
                <w:rFonts w:ascii="宋体" w:hAnsi="宋体" w:cs="宋体"/>
              </w:rPr>
            </w:r>
            <w:r/>
          </w:p>
        </w:tc>
        <w:tc>
          <w:tcPr>
            <w:tcW w:w="3037" w:type="dxa"/>
            <w:vAlign w:val="center"/>
            <w:textDirection w:val="lrTb"/>
            <w:noWrap w:val="false"/>
          </w:tcPr>
          <w:p>
            <w:pPr>
              <w:pStyle w:val="885"/>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037" w:type="dxa"/>
            <w:vAlign w:val="center"/>
            <w:textDirection w:val="lrTb"/>
            <w:noWrap w:val="false"/>
          </w:tcPr>
          <w:p>
            <w:pPr>
              <w:pStyle w:val="885"/>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1007" w:type="dxa"/>
            <w:vAlign w:val="center"/>
            <w:textDirection w:val="lrTb"/>
            <w:noWrap w:val="false"/>
          </w:tcPr>
          <w:p>
            <w:pPr>
              <w:pStyle w:val="885"/>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037" w:type="dxa"/>
            <w:vAlign w:val="center"/>
            <w:textDirection w:val="lrTb"/>
            <w:noWrap w:val="false"/>
          </w:tcPr>
          <w:p>
            <w:pPr>
              <w:pStyle w:val="885"/>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037" w:type="dxa"/>
            <w:vAlign w:val="center"/>
            <w:textDirection w:val="lrTb"/>
            <w:noWrap w:val="false"/>
          </w:tcPr>
          <w:p>
            <w:pPr>
              <w:pStyle w:val="885"/>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037" w:type="dxa"/>
            <w:vAlign w:val="center"/>
            <w:textDirection w:val="lrTb"/>
            <w:noWrap w:val="false"/>
          </w:tcPr>
          <w:p>
            <w:pPr>
              <w:pStyle w:val="885"/>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1007" w:type="dxa"/>
            <w:vAlign w:val="center"/>
            <w:textDirection w:val="lrTb"/>
            <w:noWrap w:val="false"/>
          </w:tcPr>
          <w:p>
            <w:pPr>
              <w:pStyle w:val="885"/>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037" w:type="dxa"/>
            <w:vAlign w:val="center"/>
            <w:textDirection w:val="lrTb"/>
            <w:noWrap w:val="false"/>
          </w:tcPr>
          <w:p>
            <w:pPr>
              <w:pStyle w:val="885"/>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037" w:type="dxa"/>
            <w:vAlign w:val="center"/>
            <w:textDirection w:val="lrTb"/>
            <w:noWrap w:val="false"/>
          </w:tcPr>
          <w:p>
            <w:pPr>
              <w:pStyle w:val="885"/>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037" w:type="dxa"/>
            <w:vAlign w:val="center"/>
            <w:textDirection w:val="lrTb"/>
            <w:noWrap w:val="false"/>
          </w:tcPr>
          <w:p>
            <w:pPr>
              <w:pStyle w:val="885"/>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bl>
    <w:p>
      <w:pPr>
        <w:pStyle w:val="885"/>
        <w:ind w:firstLine="420"/>
        <w:jc w:val="left"/>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注：1.针对服务内容需特别说明的事项，请在“备注”栏内注明。</w:t>
      </w:r>
      <w:r>
        <w:rPr>
          <w:rFonts w:ascii="宋体" w:hAnsi="宋体" w:cs="宋体"/>
        </w:rPr>
      </w:r>
      <w:r/>
    </w:p>
    <w:p>
      <w:pPr>
        <w:pStyle w:val="885"/>
        <w:ind w:firstLine="420"/>
        <w:jc w:val="left"/>
        <w:spacing w:line="440" w:lineRule="exact"/>
        <w:rPr>
          <w:rFonts w:hint="eastAsia" w:ascii="宋体" w:hAnsi="宋体" w:cs="宋体"/>
          <w:color w:val="000000"/>
          <w:sz w:val="21"/>
          <w:szCs w:val="21"/>
          <w:highlight w:val="none"/>
        </w:rPr>
      </w:pPr>
      <w:r>
        <w:rPr>
          <w:rFonts w:ascii="宋体" w:hAnsi="宋体" w:eastAsia="宋体" w:cs="宋体"/>
          <w:color w:val="000000"/>
          <w:sz w:val="21"/>
          <w:szCs w:val="21"/>
          <w:highlight w:val="none"/>
          <w:lang w:val="zh-CN"/>
        </w:rPr>
        <w:t xml:space="preserve">2.如有其他售后服务相关内容，可参照本表格式自行填写。</w:t>
      </w:r>
      <w:r>
        <w:rPr>
          <w:rFonts w:ascii="宋体" w:hAnsi="宋体" w:cs="宋体"/>
        </w:rPr>
      </w:r>
      <w:r/>
    </w:p>
    <w:p>
      <w:pPr>
        <w:pStyle w:val="885"/>
        <w:ind w:firstLine="480"/>
        <w:spacing w:before="25" w:after="25" w:line="360" w:lineRule="auto"/>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85"/>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85"/>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85"/>
        <w:spacing w:line="440" w:lineRule="exact"/>
        <w:rPr>
          <w:rFonts w:ascii="宋体" w:hAnsi="宋体" w:cs="宋体"/>
          <w:b/>
          <w:bCs/>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85"/>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1106"/>
        <w:ind w:firstLine="422"/>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85"/>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1106"/>
        <w:ind w:firstLine="480"/>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97"/>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903"/>
        <w:ind w:firstLine="0"/>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r>
      <w:r>
        <w:rPr>
          <w:rFonts w:ascii="宋体" w:hAnsi="宋体" w:cs="宋体"/>
        </w:rPr>
      </w:r>
      <w:r/>
    </w:p>
    <w:p>
      <w:pPr>
        <w:pStyle w:val="903"/>
        <w:ind w:firstLine="0"/>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r>
      <w:r>
        <w:rPr>
          <w:rFonts w:ascii="宋体" w:hAnsi="宋体" w:cs="宋体"/>
        </w:rPr>
      </w:r>
      <w:r/>
    </w:p>
    <w:p>
      <w:pPr>
        <w:pStyle w:val="903"/>
        <w:ind w:firstLine="0"/>
        <w:rPr>
          <w:rFonts w:ascii="宋体" w:hAnsi="宋体" w:cs="宋体"/>
          <w:color w:val="000000"/>
          <w:highlight w:val="none"/>
        </w:rPr>
      </w:pPr>
      <w:r>
        <w:rPr>
          <w:rFonts w:ascii="宋体" w:hAnsi="宋体" w:eastAsia="宋体" w:cs="宋体"/>
          <w:color w:val="000000"/>
          <w:highlight w:val="none"/>
        </w:rPr>
      </w:r>
      <w:r>
        <w:rPr>
          <w:rFonts w:ascii="宋体" w:hAnsi="宋体" w:cs="宋体"/>
        </w:rPr>
      </w:r>
      <w:r/>
    </w:p>
    <w:p>
      <w:pPr>
        <w:pStyle w:val="903"/>
        <w:ind w:firstLine="0"/>
        <w:rPr>
          <w:rFonts w:ascii="宋体" w:hAnsi="宋体" w:cs="宋体"/>
          <w:color w:val="000000"/>
          <w:highlight w:val="none"/>
        </w:rPr>
      </w:pPr>
      <w:r>
        <w:rPr>
          <w:rFonts w:ascii="宋体" w:hAnsi="宋体" w:eastAsia="宋体" w:cs="宋体"/>
          <w:color w:val="000000"/>
          <w:highlight w:val="none"/>
        </w:rPr>
      </w:r>
      <w:r>
        <w:rPr>
          <w:rFonts w:ascii="宋体" w:hAnsi="宋体" w:cs="宋体"/>
        </w:rPr>
      </w:r>
      <w:r/>
    </w:p>
    <w:p>
      <w:pPr>
        <w:pStyle w:val="903"/>
        <w:ind w:firstLine="0"/>
        <w:rPr>
          <w:rFonts w:ascii="宋体" w:hAnsi="宋体" w:cs="宋体"/>
          <w:color w:val="000000"/>
          <w:highlight w:val="none"/>
        </w:rPr>
      </w:pPr>
      <w:r>
        <w:rPr>
          <w:rFonts w:ascii="宋体" w:hAnsi="宋体" w:eastAsia="宋体" w:cs="宋体"/>
          <w:color w:val="000000"/>
          <w:highlight w:val="none"/>
        </w:rPr>
      </w:r>
      <w:r>
        <w:rPr>
          <w:rFonts w:ascii="宋体" w:hAnsi="宋体" w:cs="宋体"/>
        </w:rPr>
      </w:r>
      <w:r/>
    </w:p>
    <w:p>
      <w:pPr>
        <w:pStyle w:val="903"/>
        <w:ind w:firstLine="0"/>
        <w:rPr>
          <w:rFonts w:ascii="宋体" w:hAnsi="宋体" w:cs="宋体"/>
          <w:color w:val="000000"/>
          <w:highlight w:val="none"/>
        </w:rPr>
      </w:pPr>
      <w:r>
        <w:rPr>
          <w:rFonts w:ascii="宋体" w:hAnsi="宋体" w:eastAsia="宋体" w:cs="宋体"/>
          <w:color w:val="000000"/>
          <w:highlight w:val="none"/>
        </w:rPr>
      </w:r>
      <w:r>
        <w:rPr>
          <w:rFonts w:ascii="宋体" w:hAnsi="宋体" w:cs="宋体"/>
        </w:rPr>
      </w:r>
      <w:r/>
    </w:p>
    <w:p>
      <w:pPr>
        <w:pStyle w:val="903"/>
        <w:ind w:firstLine="0"/>
        <w:rPr>
          <w:rFonts w:ascii="宋体" w:hAnsi="宋体" w:cs="宋体"/>
          <w:color w:val="000000"/>
          <w:highlight w:val="none"/>
        </w:rPr>
      </w:pPr>
      <w:r>
        <w:rPr>
          <w:rFonts w:ascii="宋体" w:hAnsi="宋体" w:eastAsia="宋体" w:cs="宋体"/>
          <w:color w:val="000000"/>
          <w:highlight w:val="none"/>
        </w:rPr>
      </w:r>
      <w:r>
        <w:rPr>
          <w:rFonts w:ascii="宋体" w:hAnsi="宋体" w:cs="宋体"/>
        </w:rPr>
      </w:r>
      <w:r/>
    </w:p>
    <w:p>
      <w:pPr>
        <w:pStyle w:val="903"/>
        <w:ind w:firstLine="0"/>
        <w:rPr>
          <w:rFonts w:ascii="宋体" w:hAnsi="宋体" w:cs="宋体"/>
          <w:color w:val="000000"/>
          <w:highlight w:val="none"/>
        </w:rPr>
      </w:pPr>
      <w:r>
        <w:rPr>
          <w:rFonts w:ascii="宋体" w:hAnsi="宋体" w:eastAsia="宋体" w:cs="宋体"/>
          <w:color w:val="000000"/>
          <w:highlight w:val="none"/>
        </w:rPr>
      </w:r>
      <w:r>
        <w:rPr>
          <w:rFonts w:ascii="宋体" w:hAnsi="宋体" w:cs="宋体"/>
        </w:rPr>
      </w:r>
      <w:r/>
    </w:p>
    <w:p>
      <w:pPr>
        <w:pStyle w:val="903"/>
        <w:ind w:firstLine="0"/>
        <w:rPr>
          <w:rFonts w:ascii="宋体" w:hAnsi="宋体" w:cs="宋体"/>
          <w:color w:val="000000"/>
          <w:highlight w:val="none"/>
        </w:rPr>
      </w:pPr>
      <w:r>
        <w:rPr>
          <w:rFonts w:ascii="宋体" w:hAnsi="宋体" w:eastAsia="宋体" w:cs="宋体"/>
          <w:color w:val="000000"/>
          <w:highlight w:val="none"/>
        </w:rPr>
      </w:r>
      <w:r>
        <w:rPr>
          <w:rFonts w:ascii="宋体" w:hAnsi="宋体" w:cs="宋体"/>
        </w:rPr>
      </w:r>
      <w:r/>
    </w:p>
    <w:p>
      <w:pPr>
        <w:pStyle w:val="903"/>
        <w:ind w:firstLine="0"/>
        <w:rPr>
          <w:rFonts w:ascii="宋体" w:hAnsi="宋体" w:cs="宋体"/>
          <w:color w:val="000000"/>
          <w:highlight w:val="none"/>
        </w:rPr>
      </w:pPr>
      <w:r>
        <w:rPr>
          <w:rFonts w:ascii="宋体" w:hAnsi="宋体" w:eastAsia="宋体" w:cs="宋体"/>
          <w:color w:val="000000"/>
          <w:highlight w:val="none"/>
        </w:rPr>
      </w:r>
      <w:r>
        <w:rPr>
          <w:rFonts w:ascii="宋体" w:hAnsi="宋体" w:cs="宋体"/>
        </w:rPr>
      </w:r>
      <w:r/>
    </w:p>
    <w:p>
      <w:pPr>
        <w:pStyle w:val="903"/>
        <w:ind w:firstLine="0"/>
        <w:rPr>
          <w:rFonts w:ascii="宋体" w:hAnsi="宋体" w:cs="宋体"/>
          <w:color w:val="000000"/>
          <w:highlight w:val="none"/>
        </w:rPr>
      </w:pPr>
      <w:r>
        <w:rPr>
          <w:rFonts w:ascii="宋体" w:hAnsi="宋体" w:eastAsia="宋体" w:cs="宋体"/>
          <w:color w:val="000000"/>
          <w:highlight w:val="none"/>
        </w:rPr>
      </w:r>
      <w:r>
        <w:rPr>
          <w:rFonts w:ascii="宋体" w:hAnsi="宋体" w:cs="宋体"/>
        </w:rPr>
      </w:r>
      <w:r/>
    </w:p>
    <w:p>
      <w:pPr>
        <w:pStyle w:val="903"/>
        <w:ind w:firstLine="0"/>
        <w:rPr>
          <w:rFonts w:ascii="宋体" w:hAnsi="宋体" w:cs="宋体"/>
          <w:color w:val="000000"/>
          <w:highlight w:val="none"/>
        </w:rPr>
      </w:pPr>
      <w:r>
        <w:rPr>
          <w:rFonts w:ascii="宋体" w:hAnsi="宋体" w:eastAsia="宋体" w:cs="宋体"/>
          <w:color w:val="000000"/>
          <w:highlight w:val="none"/>
        </w:rPr>
      </w:r>
      <w:r>
        <w:rPr>
          <w:rFonts w:ascii="宋体" w:hAnsi="宋体" w:cs="宋体"/>
        </w:rPr>
      </w:r>
      <w:r/>
    </w:p>
    <w:p>
      <w:pPr>
        <w:pStyle w:val="903"/>
        <w:ind w:firstLine="0"/>
        <w:rPr>
          <w:rFonts w:ascii="宋体" w:hAnsi="宋体" w:cs="宋体"/>
          <w:color w:val="000000"/>
          <w:highlight w:val="none"/>
        </w:rPr>
      </w:pPr>
      <w:r>
        <w:rPr>
          <w:rFonts w:ascii="宋体" w:hAnsi="宋体" w:cs="宋体"/>
          <w:color w:val="000000"/>
          <w:highlight w:val="none"/>
        </w:rPr>
      </w:r>
      <w:r>
        <w:rPr>
          <w:rFonts w:ascii="宋体" w:hAnsi="宋体" w:cs="宋体"/>
          <w:color w:val="000000"/>
          <w:highlight w:val="none"/>
        </w:rPr>
      </w:r>
      <w:r/>
    </w:p>
    <w:p>
      <w:pPr>
        <w:pStyle w:val="903"/>
        <w:ind w:firstLine="0"/>
        <w:rPr>
          <w:rFonts w:ascii="宋体" w:hAnsi="宋体" w:cs="宋体"/>
          <w:color w:val="000000"/>
          <w:highlight w:val="none"/>
        </w:rPr>
      </w:pPr>
      <w:r>
        <w:rPr>
          <w:rFonts w:ascii="宋体" w:hAnsi="宋体" w:cs="宋体"/>
          <w:color w:val="000000"/>
          <w:highlight w:val="none"/>
        </w:rPr>
      </w:r>
      <w:r>
        <w:rPr>
          <w:rFonts w:ascii="宋体" w:hAnsi="宋体" w:cs="宋体"/>
          <w:color w:val="000000"/>
          <w:highlight w:val="none"/>
        </w:rPr>
      </w:r>
      <w:r/>
    </w:p>
    <w:p>
      <w:pPr>
        <w:pStyle w:val="903"/>
        <w:ind w:firstLine="0"/>
        <w:rPr>
          <w:rFonts w:ascii="宋体" w:hAnsi="宋体" w:cs="宋体"/>
          <w:color w:val="000000"/>
          <w:highlight w:val="none"/>
        </w:rPr>
      </w:pPr>
      <w:r>
        <w:rPr>
          <w:rFonts w:ascii="宋体" w:hAnsi="宋体" w:cs="宋体"/>
          <w:color w:val="000000"/>
          <w:highlight w:val="none"/>
        </w:rPr>
      </w:r>
      <w:r>
        <w:rPr>
          <w:rFonts w:ascii="宋体" w:hAnsi="宋体" w:cs="宋体"/>
          <w:color w:val="000000"/>
          <w:highlight w:val="none"/>
        </w:rPr>
      </w:r>
      <w:r/>
    </w:p>
    <w:p>
      <w:pPr>
        <w:pStyle w:val="903"/>
        <w:ind w:firstLine="0"/>
        <w:rPr>
          <w:rFonts w:ascii="宋体" w:hAnsi="宋体" w:cs="宋体"/>
          <w:color w:val="000000"/>
          <w:highlight w:val="none"/>
        </w:rPr>
      </w:pPr>
      <w:r>
        <w:rPr>
          <w:rFonts w:ascii="宋体" w:hAnsi="宋体" w:eastAsia="宋体" w:cs="宋体"/>
          <w:color w:val="000000"/>
          <w:highlight w:val="none"/>
        </w:rPr>
      </w:r>
      <w:r>
        <w:rPr>
          <w:rFonts w:ascii="宋体" w:hAnsi="宋体" w:cs="宋体"/>
        </w:rPr>
      </w:r>
      <w:r/>
    </w:p>
    <w:p>
      <w:pPr>
        <w:pStyle w:val="88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903"/>
        <w:ind w:firstLine="0"/>
        <w:rPr>
          <w:rFonts w:ascii="宋体" w:hAnsi="宋体" w:cs="宋体"/>
          <w:color w:val="000000"/>
          <w:highlight w:val="none"/>
        </w:rPr>
      </w:pPr>
      <w:r>
        <w:rPr>
          <w:rFonts w:ascii="宋体" w:hAnsi="宋体" w:eastAsia="宋体" w:cs="宋体"/>
          <w:color w:val="000000"/>
          <w:highlight w:val="none"/>
        </w:rPr>
      </w:r>
      <w:r>
        <w:rPr>
          <w:rFonts w:ascii="宋体" w:hAnsi="宋体" w:cs="宋体"/>
        </w:rPr>
      </w:r>
      <w:r/>
    </w:p>
    <w:p>
      <w:pPr>
        <w:pStyle w:val="903"/>
        <w:ind w:firstLine="0"/>
        <w:rPr>
          <w:rFonts w:ascii="宋体" w:hAnsi="宋体" w:cs="宋体"/>
          <w:color w:val="000000"/>
          <w:highlight w:val="none"/>
        </w:rPr>
      </w:pPr>
      <w:r>
        <w:rPr>
          <w:rFonts w:ascii="宋体" w:hAnsi="宋体" w:eastAsia="宋体" w:cs="宋体"/>
          <w:color w:val="000000"/>
          <w:highlight w:val="none"/>
        </w:rPr>
      </w:r>
      <w:r>
        <w:rPr>
          <w:rFonts w:ascii="宋体" w:hAnsi="宋体" w:cs="宋体"/>
        </w:rPr>
      </w:r>
      <w:r/>
    </w:p>
    <w:p>
      <w:pPr>
        <w:pStyle w:val="903"/>
        <w:ind w:firstLine="0"/>
        <w:rPr>
          <w:rFonts w:ascii="宋体" w:hAnsi="宋体" w:cs="宋体"/>
          <w:color w:val="000000"/>
          <w:highlight w:val="none"/>
        </w:rPr>
      </w:pPr>
      <w:r>
        <w:rPr>
          <w:rFonts w:ascii="宋体" w:hAnsi="宋体" w:eastAsia="宋体" w:cs="宋体"/>
          <w:color w:val="000000"/>
          <w:highlight w:val="none"/>
        </w:rPr>
      </w:r>
      <w:r>
        <w:rPr>
          <w:rFonts w:ascii="宋体" w:hAnsi="宋体" w:cs="宋体"/>
        </w:rPr>
      </w:r>
      <w:r/>
    </w:p>
    <w:p>
      <w:pPr>
        <w:pStyle w:val="922"/>
        <w:spacing w:line="360" w:lineRule="auto"/>
        <w:rPr>
          <w:rFonts w:hint="eastAsia" w:ascii="宋体" w:hAnsi="宋体" w:cs="宋体"/>
          <w:b/>
          <w:bCs/>
          <w:color w:val="000000"/>
          <w:highlight w:val="none"/>
        </w:rPr>
      </w:pPr>
      <w:r>
        <w:rPr>
          <w:rFonts w:hint="eastAsia" w:ascii="宋体" w:hAnsi="宋体" w:eastAsia="宋体" w:cs="宋体"/>
          <w:b/>
          <w:bCs/>
          <w:color w:val="000000"/>
          <w:highlight w:val="none"/>
        </w:rPr>
        <w:t xml:space="preserve">附件</w:t>
      </w:r>
      <w:r>
        <w:rPr>
          <w:rFonts w:hint="eastAsia" w:ascii="宋体" w:hAnsi="宋体" w:cs="宋体"/>
          <w:b/>
          <w:bCs/>
          <w:color w:val="000000"/>
          <w:highlight w:val="none"/>
          <w:lang w:val="en-US" w:eastAsia="zh-CN"/>
        </w:rPr>
        <w:t xml:space="preserve">9</w:t>
      </w:r>
      <w:r>
        <w:rPr>
          <w:rFonts w:hint="eastAsia" w:ascii="宋体" w:hAnsi="宋体" w:eastAsia="宋体" w:cs="宋体"/>
          <w:b/>
          <w:bCs/>
          <w:color w:val="000000"/>
          <w:highlight w:val="none"/>
        </w:rPr>
        <w:t xml:space="preserve">、针对本项目的人员配置表</w:t>
      </w:r>
      <w:r>
        <w:rPr>
          <w:rFonts w:ascii="宋体" w:hAnsi="宋体" w:cs="宋体"/>
        </w:rPr>
      </w:r>
      <w:r/>
    </w:p>
    <w:p>
      <w:pPr>
        <w:pStyle w:val="885"/>
        <w:jc w:val="center"/>
        <w:spacing w:before="25" w:after="25" w:line="360" w:lineRule="auto"/>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针对本项目的人员配置表</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89"/>
        <w:gridCol w:w="989"/>
        <w:gridCol w:w="989"/>
        <w:gridCol w:w="1563"/>
        <w:gridCol w:w="1010"/>
        <w:gridCol w:w="1010"/>
        <w:gridCol w:w="1011"/>
        <w:gridCol w:w="1504"/>
        <w:gridCol w:w="1053"/>
      </w:tblGrid>
      <w:tr>
        <w:trPr>
          <w:trHeight w:val="454"/>
        </w:trPr>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姓名</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性别</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身份证号码</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学历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专业</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职称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责任或分工</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备注</w:t>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885"/>
              <w:jc w:val="center"/>
              <w:keepLines w:val="0"/>
              <w:keepNext w:val="0"/>
              <w:pageBreakBefore w:val="0"/>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rPr>
                <w:rFonts w:ascii="宋体" w:hAnsi="宋体" w:cs="宋体"/>
              </w:rPr>
            </w:r>
            <w:r/>
          </w:p>
        </w:tc>
      </w:tr>
    </w:tbl>
    <w:p>
      <w:pPr>
        <w:pStyle w:val="885"/>
        <w:ind w:firstLine="420"/>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注：1.投标人须根据本项目实际需求自行配备相应人员。</w:t>
      </w:r>
      <w:r>
        <w:rPr>
          <w:rFonts w:ascii="宋体" w:hAnsi="宋体" w:cs="宋体"/>
          <w:color w:val="000000"/>
          <w:sz w:val="21"/>
          <w:szCs w:val="21"/>
          <w:highlight w:val="none"/>
        </w:rPr>
        <w:t xml:space="preserve">2.</w:t>
      </w:r>
      <w:r>
        <w:rPr>
          <w:rFonts w:hint="eastAsia" w:ascii="宋体" w:hAnsi="宋体" w:eastAsia="宋体" w:cs="宋体"/>
          <w:color w:val="000000"/>
          <w:sz w:val="21"/>
          <w:szCs w:val="21"/>
          <w:highlight w:val="none"/>
        </w:rPr>
        <w:t xml:space="preserve">表格不够填写可添加。</w:t>
      </w:r>
      <w:r>
        <w:rPr>
          <w:rFonts w:ascii="宋体" w:hAnsi="宋体" w:cs="宋体"/>
        </w:rPr>
      </w:r>
      <w:r/>
    </w:p>
    <w:p>
      <w:pPr>
        <w:pStyle w:val="88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903"/>
        <w:ind w:firstLine="0"/>
        <w:rPr>
          <w:rFonts w:ascii="宋体" w:hAnsi="宋体" w:cs="宋体"/>
          <w:color w:val="000000"/>
          <w:highlight w:val="none"/>
        </w:rPr>
      </w:pPr>
      <w:r>
        <w:rPr>
          <w:rFonts w:ascii="宋体" w:hAnsi="宋体" w:eastAsia="宋体" w:cs="宋体"/>
          <w:color w:val="000000"/>
          <w:highlight w:val="none"/>
        </w:rPr>
      </w:r>
      <w:r>
        <w:rPr>
          <w:rFonts w:ascii="宋体" w:hAnsi="宋体" w:cs="宋体"/>
        </w:rPr>
      </w:r>
      <w:r/>
    </w:p>
    <w:p>
      <w:pPr>
        <w:pStyle w:val="885"/>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85"/>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85"/>
        <w:spacing w:line="440" w:lineRule="exact"/>
        <w:rPr>
          <w:rFonts w:ascii="宋体" w:hAnsi="宋体" w:cs="宋体"/>
          <w:b/>
          <w:bCs/>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8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97"/>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8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97"/>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8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97"/>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8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97"/>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8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97"/>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8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97"/>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8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97"/>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8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97"/>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8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97"/>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932"/>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932"/>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932"/>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932"/>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932"/>
        <w:rPr>
          <w:rFonts w:ascii="宋体" w:hAnsi="宋体" w:cs="宋体"/>
          <w:color w:val="000000"/>
          <w:highlight w:val="none"/>
        </w:rPr>
      </w:pPr>
      <w:r>
        <w:rPr>
          <w:rFonts w:ascii="宋体" w:hAnsi="宋体" w:cs="宋体"/>
          <w:color w:val="000000"/>
          <w:highlight w:val="none"/>
        </w:rPr>
      </w:r>
      <w:r>
        <w:rPr>
          <w:rFonts w:ascii="宋体" w:hAnsi="宋体" w:cs="宋体"/>
        </w:rPr>
      </w:r>
      <w:r/>
    </w:p>
    <w:p>
      <w:pPr>
        <w:rPr>
          <w:rFonts w:ascii="宋体" w:hAnsi="宋体" w:cs="宋体"/>
          <w:color w:val="000000"/>
          <w:highlight w:val="none"/>
        </w:rPr>
      </w:pPr>
      <w:r>
        <w:rPr>
          <w:rFonts w:ascii="宋体" w:hAnsi="宋体" w:cs="宋体"/>
          <w:color w:val="000000"/>
          <w:highlight w:val="none"/>
        </w:rPr>
      </w: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rPr>
          <w:rFonts w:ascii="宋体" w:hAnsi="宋体" w:cs="宋体"/>
          <w:color w:val="000000"/>
          <w:highlight w:val="none"/>
        </w:rPr>
      </w:r>
      <w:r/>
    </w:p>
    <w:p>
      <w:pPr>
        <w:pStyle w:val="88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85"/>
        <w:spacing w:line="44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附件</w:t>
      </w:r>
      <w:r>
        <w:rPr>
          <w:rFonts w:hint="eastAsia" w:ascii="宋体" w:hAnsi="宋体" w:cs="宋体"/>
          <w:b/>
          <w:bCs/>
          <w:color w:val="000000"/>
          <w:sz w:val="21"/>
          <w:szCs w:val="21"/>
          <w:highlight w:val="none"/>
          <w:lang w:val="en-US" w:eastAsia="zh-CN"/>
        </w:rPr>
        <w:t xml:space="preserve">10</w:t>
      </w:r>
      <w:r>
        <w:rPr>
          <w:rFonts w:hint="eastAsia" w:ascii="宋体" w:hAnsi="宋体" w:eastAsia="宋体" w:cs="宋体"/>
          <w:b/>
          <w:bCs/>
          <w:color w:val="000000"/>
          <w:sz w:val="21"/>
          <w:szCs w:val="21"/>
          <w:highlight w:val="none"/>
        </w:rPr>
        <w:t xml:space="preserve">、企业类似业绩一览表</w:t>
      </w:r>
      <w:r>
        <w:rPr>
          <w:rFonts w:ascii="宋体" w:hAnsi="宋体" w:cs="宋体"/>
        </w:rPr>
      </w:r>
      <w:r/>
    </w:p>
    <w:p>
      <w:pPr>
        <w:pStyle w:val="885"/>
        <w:jc w:val="center"/>
        <w:spacing w:line="440" w:lineRule="exact"/>
        <w:rPr>
          <w:rFonts w:ascii="宋体" w:hAnsi="宋体" w:cs="宋体"/>
          <w:color w:val="000000"/>
          <w:highlight w:val="none"/>
        </w:rPr>
      </w:pPr>
      <w:r>
        <w:rPr>
          <w:rFonts w:hint="eastAsia" w:ascii="宋体" w:hAnsi="宋体" w:eastAsia="宋体" w:cs="宋体"/>
          <w:b/>
          <w:bCs/>
          <w:color w:val="000000"/>
          <w:sz w:val="21"/>
          <w:szCs w:val="21"/>
          <w:highlight w:val="none"/>
        </w:rPr>
        <w:t xml:space="preserve">企业类似业绩一览表</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440"/>
        <w:gridCol w:w="1440"/>
        <w:gridCol w:w="1440"/>
        <w:gridCol w:w="1662"/>
        <w:gridCol w:w="1209"/>
        <w:gridCol w:w="1209"/>
        <w:gridCol w:w="818"/>
      </w:tblGrid>
      <w:tr>
        <w:trPr>
          <w:trHeight w:val="454"/>
        </w:trPr>
        <w:tc>
          <w:tcPr>
            <w:tcW w:w="900" w:type="dxa"/>
            <w:vAlign w:val="center"/>
            <w:textDirection w:val="lrTb"/>
            <w:noWrap w:val="false"/>
          </w:tcPr>
          <w:p>
            <w:pPr>
              <w:pStyle w:val="885"/>
              <w:jc w:val="center"/>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序号</w:t>
            </w:r>
            <w:r>
              <w:rPr>
                <w:rFonts w:ascii="宋体" w:hAnsi="宋体" w:cs="宋体"/>
              </w:rPr>
            </w:r>
            <w:r/>
          </w:p>
        </w:tc>
        <w:tc>
          <w:tcPr>
            <w:tcW w:w="1440" w:type="dxa"/>
            <w:vAlign w:val="center"/>
            <w:textDirection w:val="lrTb"/>
            <w:noWrap w:val="false"/>
          </w:tcPr>
          <w:p>
            <w:pPr>
              <w:pStyle w:val="885"/>
              <w:jc w:val="center"/>
              <w:rPr>
                <w:rFonts w:ascii="宋体" w:hAnsi="宋体" w:cs="宋体"/>
                <w:color w:val="000000"/>
                <w:szCs w:val="21"/>
                <w:highlight w:val="none"/>
              </w:rPr>
            </w:pPr>
            <w:r>
              <w:rPr>
                <w:rFonts w:hint="eastAsia" w:ascii="宋体" w:hAnsi="宋体" w:eastAsia="宋体" w:cs="宋体"/>
                <w:color w:val="000000"/>
                <w:sz w:val="21"/>
                <w:szCs w:val="21"/>
                <w:highlight w:val="none"/>
              </w:rPr>
              <w:t xml:space="preserve">项目名称</w:t>
            </w:r>
            <w:r>
              <w:rPr>
                <w:rFonts w:ascii="宋体" w:hAnsi="宋体" w:cs="宋体"/>
              </w:rPr>
            </w:r>
            <w:r/>
          </w:p>
        </w:tc>
        <w:tc>
          <w:tcPr>
            <w:tcW w:w="1440" w:type="dxa"/>
            <w:vAlign w:val="center"/>
            <w:textDirection w:val="lrTb"/>
            <w:noWrap w:val="false"/>
          </w:tcPr>
          <w:p>
            <w:pPr>
              <w:pStyle w:val="885"/>
              <w:jc w:val="center"/>
              <w:rPr>
                <w:rFonts w:ascii="宋体" w:hAnsi="宋体" w:cs="宋体"/>
                <w:color w:val="000000"/>
                <w:szCs w:val="21"/>
                <w:highlight w:val="none"/>
              </w:rPr>
            </w:pPr>
            <w:r>
              <w:rPr>
                <w:rFonts w:hint="eastAsia" w:ascii="宋体" w:hAnsi="宋体" w:eastAsia="宋体" w:cs="宋体"/>
                <w:color w:val="000000"/>
                <w:sz w:val="21"/>
                <w:szCs w:val="21"/>
                <w:highlight w:val="none"/>
              </w:rPr>
              <w:t xml:space="preserve">项目时间</w:t>
            </w:r>
            <w:r>
              <w:rPr>
                <w:rFonts w:ascii="宋体" w:hAnsi="宋体" w:cs="宋体"/>
              </w:rPr>
            </w:r>
            <w:r/>
          </w:p>
        </w:tc>
        <w:tc>
          <w:tcPr>
            <w:tcW w:w="1440" w:type="dxa"/>
            <w:vAlign w:val="center"/>
            <w:textDirection w:val="lrTb"/>
            <w:noWrap w:val="false"/>
          </w:tcPr>
          <w:p>
            <w:pPr>
              <w:pStyle w:val="885"/>
              <w:jc w:val="center"/>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合同金额</w:t>
            </w:r>
            <w:r>
              <w:rPr>
                <w:rFonts w:ascii="宋体" w:hAnsi="宋体" w:cs="宋体"/>
              </w:rPr>
            </w:r>
            <w:r/>
          </w:p>
          <w:p>
            <w:pPr>
              <w:pStyle w:val="885"/>
              <w:jc w:val="center"/>
              <w:rPr>
                <w:rFonts w:ascii="宋体" w:hAnsi="宋体" w:cs="宋体"/>
                <w:color w:val="000000"/>
                <w:szCs w:val="21"/>
                <w:highlight w:val="none"/>
              </w:rPr>
            </w:pPr>
            <w:r>
              <w:rPr>
                <w:rFonts w:hint="eastAsia" w:ascii="宋体" w:hAnsi="宋体" w:eastAsia="宋体" w:cs="宋体"/>
                <w:color w:val="000000"/>
                <w:sz w:val="21"/>
                <w:szCs w:val="21"/>
                <w:highlight w:val="none"/>
              </w:rPr>
              <w:t xml:space="preserve">（人民币）</w:t>
            </w:r>
            <w:r>
              <w:rPr>
                <w:rFonts w:ascii="宋体" w:hAnsi="宋体" w:cs="宋体"/>
              </w:rPr>
            </w:r>
            <w:r/>
          </w:p>
        </w:tc>
        <w:tc>
          <w:tcPr>
            <w:tcW w:w="1662" w:type="dxa"/>
            <w:vAlign w:val="center"/>
            <w:textDirection w:val="lrTb"/>
            <w:noWrap w:val="false"/>
          </w:tcPr>
          <w:p>
            <w:pPr>
              <w:pStyle w:val="885"/>
              <w:jc w:val="center"/>
              <w:spacing w:line="360" w:lineRule="auto"/>
              <w:tabs>
                <w:tab w:val="left" w:pos="6252" w:leader="none"/>
              </w:tabs>
              <w:rPr>
                <w:rFonts w:ascii="宋体" w:hAnsi="宋体" w:cs="宋体"/>
                <w:color w:val="000000"/>
                <w:szCs w:val="21"/>
                <w:highlight w:val="none"/>
              </w:rPr>
            </w:pPr>
            <w:r>
              <w:rPr>
                <w:rFonts w:hint="eastAsia" w:ascii="宋体" w:hAnsi="宋体" w:eastAsia="宋体" w:cs="宋体"/>
                <w:color w:val="000000"/>
                <w:sz w:val="21"/>
                <w:szCs w:val="21"/>
                <w:highlight w:val="none"/>
              </w:rPr>
              <w:t xml:space="preserve">业主单位</w:t>
            </w:r>
            <w:r>
              <w:rPr>
                <w:rFonts w:ascii="宋体" w:hAnsi="宋体" w:cs="宋体"/>
              </w:rPr>
            </w:r>
            <w:r/>
          </w:p>
        </w:tc>
        <w:tc>
          <w:tcPr>
            <w:tcW w:w="1209" w:type="dxa"/>
            <w:vAlign w:val="center"/>
            <w:textDirection w:val="lrTb"/>
            <w:noWrap w:val="false"/>
          </w:tcPr>
          <w:p>
            <w:pPr>
              <w:pStyle w:val="885"/>
              <w:jc w:val="center"/>
              <w:rPr>
                <w:rFonts w:ascii="宋体" w:hAnsi="宋体" w:cs="宋体"/>
                <w:color w:val="000000"/>
                <w:szCs w:val="21"/>
                <w:highlight w:val="none"/>
              </w:rPr>
            </w:pPr>
            <w:r>
              <w:rPr>
                <w:rFonts w:hint="eastAsia" w:ascii="宋体" w:hAnsi="宋体" w:eastAsia="宋体" w:cs="宋体"/>
                <w:color w:val="000000"/>
                <w:sz w:val="21"/>
                <w:szCs w:val="21"/>
                <w:highlight w:val="none"/>
              </w:rPr>
              <w:t xml:space="preserve">联系人</w:t>
            </w:r>
            <w:r>
              <w:rPr>
                <w:rFonts w:ascii="宋体" w:hAnsi="宋体" w:cs="宋体"/>
              </w:rPr>
            </w:r>
            <w:r/>
          </w:p>
        </w:tc>
        <w:tc>
          <w:tcPr>
            <w:tcW w:w="1209" w:type="dxa"/>
            <w:vAlign w:val="center"/>
            <w:textDirection w:val="lrTb"/>
            <w:noWrap w:val="false"/>
          </w:tcPr>
          <w:p>
            <w:pPr>
              <w:pStyle w:val="885"/>
              <w:jc w:val="center"/>
              <w:rPr>
                <w:rFonts w:ascii="宋体" w:hAnsi="宋体" w:cs="宋体"/>
                <w:color w:val="000000"/>
                <w:szCs w:val="21"/>
                <w:highlight w:val="none"/>
              </w:rPr>
            </w:pPr>
            <w:r>
              <w:rPr>
                <w:rFonts w:hint="eastAsia" w:ascii="宋体" w:hAnsi="宋体" w:eastAsia="宋体" w:cs="宋体"/>
                <w:color w:val="000000"/>
                <w:sz w:val="21"/>
                <w:szCs w:val="21"/>
                <w:highlight w:val="none"/>
              </w:rPr>
              <w:t xml:space="preserve">联系电话</w:t>
            </w:r>
            <w:r>
              <w:rPr>
                <w:rFonts w:ascii="宋体" w:hAnsi="宋体" w:cs="宋体"/>
              </w:rPr>
            </w:r>
            <w:r/>
          </w:p>
        </w:tc>
        <w:tc>
          <w:tcPr>
            <w:tcW w:w="818" w:type="dxa"/>
            <w:vAlign w:val="center"/>
            <w:textDirection w:val="lrTb"/>
            <w:noWrap w:val="false"/>
          </w:tcPr>
          <w:p>
            <w:pPr>
              <w:pStyle w:val="885"/>
              <w:jc w:val="center"/>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备注</w:t>
            </w:r>
            <w:r>
              <w:rPr>
                <w:rFonts w:ascii="宋体" w:hAnsi="宋体" w:cs="宋体"/>
              </w:rPr>
            </w:r>
            <w:r/>
          </w:p>
        </w:tc>
      </w:tr>
      <w:tr>
        <w:trPr>
          <w:trHeight w:val="454"/>
        </w:trPr>
        <w:tc>
          <w:tcPr>
            <w:tcW w:w="900"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 w:val="21"/>
                <w:szCs w:val="21"/>
                <w:highlight w:val="none"/>
              </w:rPr>
              <w:t xml:space="preserve">1</w:t>
            </w:r>
            <w:r>
              <w:rPr>
                <w:rFonts w:ascii="宋体" w:hAnsi="宋体" w:cs="宋体"/>
              </w:rPr>
            </w:r>
            <w:r/>
          </w:p>
        </w:tc>
        <w:tc>
          <w:tcPr>
            <w:tcW w:w="1440"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40" w:type="dxa"/>
            <w:vAlign w:val="top"/>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40"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662"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209"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209"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818"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900"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 w:val="21"/>
                <w:szCs w:val="21"/>
                <w:highlight w:val="none"/>
              </w:rPr>
              <w:t xml:space="preserve">2</w:t>
            </w:r>
            <w:r>
              <w:rPr>
                <w:rFonts w:ascii="宋体" w:hAnsi="宋体" w:cs="宋体"/>
              </w:rPr>
            </w:r>
            <w:r/>
          </w:p>
        </w:tc>
        <w:tc>
          <w:tcPr>
            <w:tcW w:w="1440"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40" w:type="dxa"/>
            <w:vAlign w:val="top"/>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40"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662"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209"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209"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818"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900"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 w:val="21"/>
                <w:szCs w:val="21"/>
                <w:highlight w:val="none"/>
              </w:rPr>
              <w:t xml:space="preserve">3</w:t>
            </w:r>
            <w:r>
              <w:rPr>
                <w:rFonts w:ascii="宋体" w:hAnsi="宋体" w:cs="宋体"/>
              </w:rPr>
            </w:r>
            <w:r/>
          </w:p>
        </w:tc>
        <w:tc>
          <w:tcPr>
            <w:tcW w:w="1440"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40" w:type="dxa"/>
            <w:vAlign w:val="top"/>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40"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662"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209"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209"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818"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900"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 w:val="21"/>
                <w:szCs w:val="21"/>
                <w:highlight w:val="none"/>
              </w:rPr>
              <w:t xml:space="preserve">4</w:t>
            </w:r>
            <w:r>
              <w:rPr>
                <w:rFonts w:ascii="宋体" w:hAnsi="宋体" w:cs="宋体"/>
              </w:rPr>
            </w:r>
            <w:r/>
          </w:p>
        </w:tc>
        <w:tc>
          <w:tcPr>
            <w:tcW w:w="1440"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40" w:type="dxa"/>
            <w:vAlign w:val="top"/>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40"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662"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209"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209"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818"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900"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 w:val="21"/>
                <w:szCs w:val="21"/>
                <w:highlight w:val="none"/>
              </w:rPr>
              <w:t xml:space="preserve">5</w:t>
            </w:r>
            <w:r>
              <w:rPr>
                <w:rFonts w:ascii="宋体" w:hAnsi="宋体" w:cs="宋体"/>
              </w:rPr>
            </w:r>
            <w:r/>
          </w:p>
        </w:tc>
        <w:tc>
          <w:tcPr>
            <w:tcW w:w="1440"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40" w:type="dxa"/>
            <w:vAlign w:val="top"/>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40"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662"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209"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209"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818"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900"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 w:val="21"/>
                <w:szCs w:val="21"/>
                <w:highlight w:val="none"/>
              </w:rPr>
              <w:t xml:space="preserve">6</w:t>
            </w:r>
            <w:r>
              <w:rPr>
                <w:rFonts w:ascii="宋体" w:hAnsi="宋体" w:cs="宋体"/>
              </w:rPr>
            </w:r>
            <w:r/>
          </w:p>
        </w:tc>
        <w:tc>
          <w:tcPr>
            <w:tcW w:w="1440"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40" w:type="dxa"/>
            <w:vAlign w:val="top"/>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40"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662"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209"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209"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818"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900"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40"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40" w:type="dxa"/>
            <w:vAlign w:val="top"/>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40"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662"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209"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209"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818"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900"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40"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40" w:type="dxa"/>
            <w:vAlign w:val="top"/>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40"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662"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209"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209"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818"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900"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40"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40" w:type="dxa"/>
            <w:vAlign w:val="top"/>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40"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662"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209"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209"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818" w:type="dxa"/>
            <w:vAlign w:val="center"/>
            <w:textDirection w:val="lrTb"/>
            <w:noWrap w:val="false"/>
          </w:tcPr>
          <w:p>
            <w:pPr>
              <w:pStyle w:val="885"/>
              <w:jc w:val="center"/>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bl>
    <w:p>
      <w:pPr>
        <w:pStyle w:val="885"/>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85"/>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85"/>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85"/>
        <w:spacing w:line="440" w:lineRule="exact"/>
        <w:rPr>
          <w:rFonts w:ascii="宋体" w:hAnsi="宋体" w:cs="宋体"/>
          <w:b/>
          <w:bCs/>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85"/>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r/>
    </w:p>
    <w:p>
      <w:pPr>
        <w:pStyle w:val="885"/>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918"/>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40" w:lineRule="exact"/>
        <w:rPr>
          <w:rFonts w:hint="eastAsia" w:ascii="宋体" w:hAnsi="宋体" w:cs="宋体"/>
          <w:b/>
          <w:color w:val="000000"/>
          <w:szCs w:val="21"/>
          <w:highlight w:val="none"/>
        </w:rPr>
      </w:pPr>
      <w:r>
        <w:rPr>
          <w:rFonts w:hint="eastAsia" w:ascii="宋体" w:hAnsi="宋体" w:eastAsia="宋体" w:cs="宋体"/>
          <w:b/>
          <w:bCs/>
          <w:color w:val="000000"/>
          <w:sz w:val="21"/>
          <w:szCs w:val="21"/>
          <w:highlight w:val="none"/>
        </w:rPr>
        <w:t xml:space="preserve">附件</w:t>
      </w:r>
      <w:r>
        <w:rPr>
          <w:rFonts w:hint="eastAsia" w:ascii="宋体" w:hAnsi="宋体" w:cs="宋体"/>
          <w:b/>
          <w:bCs/>
          <w:color w:val="000000"/>
          <w:sz w:val="21"/>
          <w:szCs w:val="21"/>
          <w:highlight w:val="none"/>
          <w:lang w:val="en-US" w:eastAsia="zh-CN"/>
        </w:rPr>
        <w:t xml:space="preserve">11</w:t>
      </w:r>
      <w:r>
        <w:rPr>
          <w:rFonts w:hint="eastAsia" w:ascii="宋体" w:hAnsi="宋体" w:eastAsia="宋体" w:cs="宋体"/>
          <w:b/>
          <w:bCs/>
          <w:color w:val="000000"/>
          <w:sz w:val="21"/>
          <w:szCs w:val="21"/>
          <w:highlight w:val="none"/>
        </w:rPr>
        <w:t xml:space="preserve">、投标（响应）保证承诺书</w:t>
      </w:r>
      <w:r>
        <w:rPr>
          <w:rFonts w:ascii="宋体" w:hAnsi="宋体" w:cs="宋体"/>
        </w:rPr>
      </w:r>
      <w:r/>
    </w:p>
    <w:p>
      <w:pPr>
        <w:pStyle w:val="1106"/>
        <w:ind w:firstLine="480"/>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jc w:val="center"/>
        <w:spacing w:line="440" w:lineRule="exact"/>
        <w:rPr>
          <w:rFonts w:ascii="宋体" w:hAnsi="宋体" w:cs="宋体"/>
          <w:b/>
          <w:color w:val="000000"/>
          <w:sz w:val="32"/>
          <w:szCs w:val="32"/>
          <w:highlight w:val="none"/>
        </w:rPr>
      </w:pPr>
      <w:r>
        <w:rPr>
          <w:rFonts w:hint="eastAsia" w:ascii="宋体" w:hAnsi="宋体" w:eastAsia="宋体" w:cs="宋体"/>
          <w:b/>
          <w:color w:val="000000"/>
          <w:sz w:val="32"/>
          <w:szCs w:val="32"/>
          <w:highlight w:val="none"/>
          <w:lang w:val="zh-CN"/>
        </w:rPr>
        <w:t xml:space="preserve">投标（响应）保证承诺书（参考格式）</w:t>
      </w:r>
      <w:r>
        <w:rPr>
          <w:rFonts w:ascii="宋体" w:hAnsi="宋体" w:cs="宋体"/>
        </w:rPr>
      </w:r>
      <w:r/>
    </w:p>
    <w:p>
      <w:pPr>
        <w:pStyle w:val="945"/>
        <w:ind w:left="17" w:right="17"/>
        <w:spacing w:before="362" w:line="480" w:lineRule="atLeas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致：</w:t>
      </w:r>
      <w:r>
        <w:rPr>
          <w:rFonts w:hint="eastAsia" w:ascii="宋体" w:hAnsi="宋体" w:eastAsia="宋体" w:cs="宋体"/>
          <w:color w:val="000000"/>
          <w:sz w:val="21"/>
          <w:szCs w:val="21"/>
          <w:highlight w:val="none"/>
          <w:u w:val="single"/>
          <w:lang w:val="zh-CN"/>
        </w:rPr>
        <w:t xml:space="preserve">（采购代理机构名称）</w:t>
      </w:r>
      <w:r>
        <w:rPr>
          <w:rFonts w:ascii="宋体" w:hAnsi="宋体" w:cs="宋体"/>
        </w:rPr>
      </w:r>
      <w:r/>
    </w:p>
    <w:p>
      <w:pPr>
        <w:pStyle w:val="945"/>
        <w:ind w:firstLine="420"/>
        <w:spacing w:after="0" w:line="480" w:lineRule="atLeas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我（单位/本人，以下统称我单位）自愿参加</w:t>
      </w:r>
      <w:r>
        <w:rPr>
          <w:rFonts w:hint="eastAsia" w:ascii="宋体" w:hAnsi="宋体" w:eastAsia="宋体" w:cs="宋体"/>
          <w:color w:val="000000"/>
          <w:sz w:val="21"/>
          <w:szCs w:val="21"/>
          <w:highlight w:val="none"/>
          <w:u w:val="single"/>
          <w:lang w:val="zh-CN"/>
        </w:rPr>
        <w:t xml:space="preserve">（项目名称和采购编号）</w:t>
      </w:r>
      <w:r>
        <w:rPr>
          <w:rFonts w:hint="eastAsia" w:ascii="宋体" w:hAnsi="宋体" w:eastAsia="宋体" w:cs="宋体"/>
          <w:color w:val="000000"/>
          <w:sz w:val="21"/>
          <w:szCs w:val="21"/>
          <w:highlight w:val="none"/>
          <w:lang w:val="zh-CN"/>
        </w:rPr>
        <w:t xml:space="preserve">的投标（响应），并做出如下承诺：</w:t>
      </w:r>
      <w:r>
        <w:rPr>
          <w:rFonts w:ascii="宋体" w:hAnsi="宋体" w:cs="宋体"/>
        </w:rPr>
      </w:r>
      <w:r/>
    </w:p>
    <w:p>
      <w:pPr>
        <w:pStyle w:val="945"/>
        <w:ind w:firstLine="420"/>
        <w:spacing w:after="0" w:line="480" w:lineRule="atLeas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一、除不可抗力外，我单位如果发生以下行为，将在行为发生的10个工作日内，向贵方</w:t>
      </w:r>
      <w:r>
        <w:rPr>
          <w:rFonts w:hint="eastAsia" w:ascii="宋体" w:hAnsi="宋体" w:eastAsia="宋体" w:cs="宋体"/>
          <w:color w:val="000000"/>
          <w:sz w:val="21"/>
          <w:szCs w:val="21"/>
          <w:highlight w:val="none"/>
          <w:u w:val="single"/>
          <w:lang w:val="zh-CN"/>
        </w:rPr>
        <w:t xml:space="preserve">（或采购人）</w:t>
      </w:r>
      <w:r>
        <w:rPr>
          <w:rFonts w:hint="eastAsia" w:ascii="宋体" w:hAnsi="宋体" w:eastAsia="宋体" w:cs="宋体"/>
          <w:color w:val="000000"/>
          <w:sz w:val="21"/>
          <w:szCs w:val="21"/>
          <w:highlight w:val="none"/>
          <w:lang w:val="zh-CN"/>
        </w:rPr>
        <w:t xml:space="preserve">支付本采购文件公布的预算金额（或最高限价）的2%作为违约赔偿金（数量不确定的单价采购须约定具体金额）。</w:t>
      </w:r>
      <w:r>
        <w:rPr>
          <w:rFonts w:ascii="宋体" w:hAnsi="宋体" w:cs="宋体"/>
        </w:rPr>
      </w:r>
      <w:r/>
    </w:p>
    <w:p>
      <w:pPr>
        <w:pStyle w:val="945"/>
        <w:ind w:firstLine="420"/>
        <w:spacing w:after="0" w:line="480" w:lineRule="atLeas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1.自投标（响应）截止时间至本项目发布中标（成交）公告为止，撤销投标（响应）；</w:t>
      </w:r>
      <w:r>
        <w:rPr>
          <w:rFonts w:ascii="宋体" w:hAnsi="宋体" w:cs="宋体"/>
        </w:rPr>
      </w:r>
      <w:r/>
    </w:p>
    <w:p>
      <w:pPr>
        <w:pStyle w:val="945"/>
        <w:ind w:firstLine="420"/>
        <w:spacing w:after="0" w:line="480" w:lineRule="atLeas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2.中标（成交）后不依法与采购人签订合同；</w:t>
      </w:r>
      <w:r>
        <w:rPr>
          <w:rFonts w:ascii="宋体" w:hAnsi="宋体" w:cs="宋体"/>
        </w:rPr>
      </w:r>
      <w:r/>
    </w:p>
    <w:p>
      <w:pPr>
        <w:pStyle w:val="945"/>
        <w:ind w:firstLine="420"/>
        <w:spacing w:after="0" w:line="480" w:lineRule="atLeas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3.中标（成交）后不按本采购文件规定向采购人提交履约保证金。</w:t>
      </w:r>
      <w:r>
        <w:rPr>
          <w:rFonts w:ascii="宋体" w:hAnsi="宋体" w:cs="宋体"/>
        </w:rPr>
      </w:r>
      <w:r/>
    </w:p>
    <w:p>
      <w:pPr>
        <w:pStyle w:val="945"/>
        <w:ind w:firstLine="420"/>
        <w:spacing w:after="0" w:line="480" w:lineRule="atLeas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二、我单位知晓上述行为的法律后果，承认本承诺书作为贵方</w:t>
      </w:r>
      <w:r>
        <w:rPr>
          <w:rFonts w:hint="eastAsia" w:ascii="宋体" w:hAnsi="宋体" w:eastAsia="宋体" w:cs="宋体"/>
          <w:color w:val="000000"/>
          <w:sz w:val="21"/>
          <w:szCs w:val="21"/>
          <w:highlight w:val="none"/>
          <w:u w:val="single"/>
          <w:lang w:val="zh-CN"/>
        </w:rPr>
        <w:t xml:space="preserve">（或采购人）</w:t>
      </w:r>
      <w:r>
        <w:rPr>
          <w:rFonts w:hint="eastAsia" w:ascii="宋体" w:hAnsi="宋体" w:eastAsia="宋体" w:cs="宋体"/>
          <w:color w:val="000000"/>
          <w:sz w:val="21"/>
          <w:szCs w:val="21"/>
          <w:highlight w:val="none"/>
          <w:lang w:val="zh-CN"/>
        </w:rPr>
        <w:t xml:space="preserve">要求我单位履行违约赔偿义务的依据作用。</w:t>
      </w:r>
      <w:r>
        <w:rPr>
          <w:rFonts w:ascii="宋体" w:hAnsi="宋体" w:cs="宋体"/>
        </w:rPr>
      </w:r>
      <w:r/>
    </w:p>
    <w:p>
      <w:pPr>
        <w:pStyle w:val="88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ascii="宋体" w:hAnsi="宋体" w:cs="宋体"/>
        </w:rPr>
      </w:r>
      <w:r/>
    </w:p>
    <w:p>
      <w:pPr>
        <w:pStyle w:val="885"/>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投标（响应）人：</w:t>
      </w: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（盖公章）</w:t>
      </w:r>
      <w:r>
        <w:rPr>
          <w:rFonts w:ascii="宋体" w:hAnsi="宋体" w:cs="宋体"/>
        </w:rPr>
      </w:r>
      <w:r/>
    </w:p>
    <w:p>
      <w:pPr>
        <w:pStyle w:val="885"/>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cs="宋体"/>
          <w:color w:val="000000"/>
          <w:sz w:val="21"/>
          <w:szCs w:val="21"/>
          <w:highlight w:val="none"/>
          <w:u w:val="single"/>
        </w:rPr>
        <w:t xml:space="preserve">                                                       </w:t>
      </w:r>
      <w:r>
        <w:rPr>
          <w:rFonts w:ascii="宋体" w:hAnsi="宋体" w:cs="宋体"/>
        </w:rPr>
      </w:r>
      <w:r/>
    </w:p>
    <w:p>
      <w:pPr>
        <w:pStyle w:val="885"/>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传真：</w:t>
      </w:r>
      <w:r>
        <w:rPr>
          <w:rFonts w:hint="eastAsia" w:ascii="宋体" w:hAnsi="宋体" w:cs="宋体"/>
          <w:color w:val="000000"/>
          <w:sz w:val="21"/>
          <w:szCs w:val="21"/>
          <w:highlight w:val="none"/>
          <w:u w:val="single"/>
        </w:rPr>
        <w:t xml:space="preserve">                  </w:t>
      </w:r>
      <w:r>
        <w:rPr>
          <w:rFonts w:ascii="宋体" w:hAnsi="宋体" w:cs="宋体"/>
        </w:rPr>
      </w:r>
      <w:r/>
    </w:p>
    <w:p>
      <w:pPr>
        <w:pStyle w:val="885"/>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电子邮件：</w:t>
      </w: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邮编：</w:t>
      </w:r>
      <w:r>
        <w:rPr>
          <w:rFonts w:hint="eastAsia" w:ascii="宋体" w:hAnsi="宋体" w:cs="宋体"/>
          <w:color w:val="000000"/>
          <w:sz w:val="21"/>
          <w:szCs w:val="21"/>
          <w:highlight w:val="none"/>
          <w:u w:val="single"/>
        </w:rPr>
        <w:t xml:space="preserve">                  </w:t>
      </w:r>
      <w:r>
        <w:rPr>
          <w:rFonts w:ascii="宋体" w:hAnsi="宋体" w:cs="宋体"/>
        </w:rPr>
      </w:r>
      <w:r/>
    </w:p>
    <w:p>
      <w:pPr>
        <w:pStyle w:val="885"/>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法定代表人或委托代理人（签字或签章）：</w:t>
      </w:r>
      <w:r>
        <w:rPr>
          <w:rFonts w:hint="eastAsia" w:ascii="宋体" w:hAnsi="宋体" w:cs="宋体"/>
          <w:color w:val="000000"/>
          <w:sz w:val="21"/>
          <w:szCs w:val="21"/>
          <w:highlight w:val="none"/>
          <w:u w:val="single"/>
        </w:rPr>
        <w:t xml:space="preserve">                       </w:t>
      </w:r>
      <w:r>
        <w:rPr>
          <w:rFonts w:ascii="宋体" w:hAnsi="宋体" w:cs="宋体"/>
        </w:rPr>
      </w:r>
      <w:r/>
    </w:p>
    <w:p>
      <w:pPr>
        <w:pStyle w:val="885"/>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cs="宋体"/>
          <w:color w:val="000000"/>
          <w:sz w:val="21"/>
          <w:szCs w:val="21"/>
          <w:highlight w:val="none"/>
          <w:u w:val="single"/>
        </w:rPr>
        <w:t xml:space="preserve">                                </w:t>
      </w:r>
      <w:r>
        <w:rPr>
          <w:rFonts w:ascii="宋体" w:hAnsi="宋体" w:cs="宋体"/>
        </w:rPr>
      </w:r>
      <w:r/>
    </w:p>
    <w:p>
      <w:pPr>
        <w:pStyle w:val="885"/>
        <w:spacing w:line="400" w:lineRule="exact"/>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p>
      <w:pPr>
        <w:pStyle w:val="88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104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918"/>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918"/>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8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102"/>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spacing w:line="400" w:lineRule="exact"/>
        <w:rPr>
          <w:rFonts w:ascii="宋体" w:hAnsi="宋体" w:cs="宋体"/>
          <w:color w:val="000000"/>
          <w:sz w:val="21"/>
          <w:szCs w:val="21"/>
          <w:highlight w:val="none"/>
        </w:rPr>
      </w:pPr>
      <w:r>
        <w:rPr>
          <w:rFonts w:hint="eastAsia" w:ascii="宋体" w:hAnsi="宋体" w:eastAsia="宋体" w:cs="宋体"/>
          <w:b/>
          <w:bCs/>
          <w:color w:val="000000"/>
          <w:sz w:val="21"/>
          <w:szCs w:val="21"/>
          <w:highlight w:val="none"/>
        </w:rPr>
        <w:t xml:space="preserve">附件1</w:t>
      </w:r>
      <w:r>
        <w:rPr>
          <w:rFonts w:hint="eastAsia" w:ascii="宋体" w:hAnsi="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、资格证明文件</w:t>
      </w:r>
      <w:r>
        <w:rPr>
          <w:rFonts w:ascii="宋体" w:hAnsi="宋体" w:cs="宋体"/>
        </w:rPr>
      </w:r>
      <w:r/>
    </w:p>
    <w:p>
      <w:pPr>
        <w:pStyle w:val="885"/>
        <w:spacing w:line="400" w:lineRule="exact"/>
        <w:rPr>
          <w:rFonts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w:t>
      </w:r>
      <w:r>
        <w:rPr>
          <w:rFonts w:ascii="宋体" w:hAnsi="宋体" w:cs="宋体"/>
          <w:b/>
          <w:color w:val="000000"/>
          <w:sz w:val="21"/>
          <w:szCs w:val="21"/>
          <w:highlight w:val="none"/>
        </w:rPr>
        <w:t xml:space="preserve">1</w:t>
      </w:r>
      <w:r>
        <w:rPr>
          <w:rFonts w:hint="eastAsia" w:ascii="宋体" w:hAnsi="宋体" w:eastAsia="宋体" w:cs="宋体"/>
          <w:b/>
          <w:color w:val="000000"/>
          <w:sz w:val="21"/>
          <w:szCs w:val="21"/>
          <w:highlight w:val="none"/>
        </w:rPr>
        <w:t xml:space="preserve">）关于资格文件的声明函</w:t>
      </w:r>
      <w:r>
        <w:rPr>
          <w:rFonts w:ascii="宋体" w:hAnsi="宋体" w:cs="宋体"/>
        </w:rPr>
      </w:r>
      <w:r/>
    </w:p>
    <w:p>
      <w:pPr>
        <w:pStyle w:val="885"/>
        <w:spacing w:line="400" w:lineRule="exact"/>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p>
      <w:pPr>
        <w:pStyle w:val="885"/>
        <w:jc w:val="center"/>
        <w:spacing w:line="400" w:lineRule="exact"/>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关于资格文件的声明函</w:t>
      </w:r>
      <w:r>
        <w:rPr>
          <w:rFonts w:ascii="宋体" w:hAnsi="宋体" w:cs="宋体"/>
        </w:rPr>
      </w:r>
      <w:r/>
    </w:p>
    <w:p>
      <w:pPr>
        <w:pStyle w:val="885"/>
        <w:spacing w:line="400" w:lineRule="exact"/>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p>
      <w:pPr>
        <w:pStyle w:val="885"/>
        <w:spacing w:line="480" w:lineRule="exact"/>
        <w:rPr>
          <w:rFonts w:ascii="宋体" w:hAnsi="宋体" w:cs="宋体"/>
          <w:color w:val="000000"/>
          <w:sz w:val="21"/>
          <w:szCs w:val="21"/>
          <w:highlight w:val="none"/>
        </w:rPr>
      </w:pP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cs="宋体"/>
        </w:rPr>
      </w:r>
      <w:r/>
    </w:p>
    <w:p>
      <w:pPr>
        <w:pStyle w:val="885"/>
        <w:ind w:firstLine="480"/>
        <w:spacing w:line="48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我公司自愿参与贵公司组织实施的编号为</w:t>
      </w: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的本项目招标活动并进行投标。我公司提交的投标文件中，所有关于投标资格的文件、证明材料及相关陈述均真实、有效、准确；我公司愿意按招标文件要求提供全部相关资料，并郑重承诺，我单位完全符合招标文件中规定的合格投标人资格条件。若上述承诺与实际情况不符，我公司自愿承担由此产生的一切法律责任及相关后果。</w:t>
      </w:r>
      <w:r>
        <w:rPr>
          <w:rFonts w:ascii="宋体" w:hAnsi="宋体" w:cs="宋体"/>
        </w:rPr>
      </w:r>
      <w:r/>
    </w:p>
    <w:p>
      <w:pPr>
        <w:pStyle w:val="885"/>
        <w:ind w:firstLine="480"/>
        <w:spacing w:line="400" w:lineRule="exact"/>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p>
      <w:pPr>
        <w:pStyle w:val="885"/>
        <w:ind w:firstLine="480"/>
        <w:spacing w:line="400" w:lineRule="exact"/>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p>
      <w:pPr>
        <w:pStyle w:val="885"/>
        <w:ind w:firstLine="480"/>
        <w:spacing w:line="400" w:lineRule="exact"/>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p>
      <w:pPr>
        <w:pStyle w:val="885"/>
        <w:ind w:firstLine="4830"/>
        <w:keepLines w:val="0"/>
        <w:keepNext w:val="0"/>
        <w:pageBreakBefore w:val="0"/>
        <w:spacing w:line="400" w:lineRule="exact"/>
        <w:widowControl w:val="off"/>
        <w:rPr>
          <w:rFonts w:ascii="宋体" w:hAnsi="宋体" w:cs="宋体"/>
          <w:color w:val="000000"/>
          <w:sz w:val="21"/>
          <w:szCs w:val="21"/>
          <w:highlight w:val="none"/>
        </w:rPr>
        <w:outlineLvl w:val="9"/>
      </w:pPr>
      <w:r>
        <w:rPr>
          <w:rFonts w:ascii="宋体" w:hAnsi="宋体" w:cs="宋体"/>
          <w:color w:val="000000"/>
          <w:sz w:val="21"/>
          <w:szCs w:val="21"/>
          <w:highlight w:val="none"/>
        </w:rPr>
      </w:r>
      <w:r>
        <w:rPr>
          <w:rFonts w:ascii="宋体" w:hAnsi="宋体" w:cs="宋体"/>
        </w:rPr>
      </w:r>
      <w:r/>
    </w:p>
    <w:p>
      <w:pPr>
        <w:pStyle w:val="885"/>
        <w:ind w:firstLine="4830"/>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85"/>
        <w:ind w:firstLine="4830"/>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85"/>
        <w:ind w:firstLine="4830"/>
        <w:keepLines w:val="0"/>
        <w:keepNext w:val="0"/>
        <w:pageBreakBefore w:val="0"/>
        <w:spacing w:line="440" w:lineRule="exact"/>
        <w:widowControl w:val="off"/>
        <w:rPr>
          <w:rFonts w:ascii="宋体" w:hAnsi="宋体" w:cs="宋体"/>
          <w:b/>
          <w:bCs/>
          <w:color w:val="000000"/>
          <w:sz w:val="21"/>
          <w:szCs w:val="21"/>
          <w:highlight w:val="none"/>
        </w:rPr>
        <w:outlineLvl w:val="9"/>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85"/>
        <w:ind w:firstLine="480"/>
        <w:jc w:val="right"/>
        <w:spacing w:line="400" w:lineRule="exact"/>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p>
      <w:pPr>
        <w:pStyle w:val="885"/>
        <w:ind w:firstLine="480"/>
        <w:jc w:val="right"/>
        <w:spacing w:line="400" w:lineRule="exact"/>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p>
      <w:pPr>
        <w:pStyle w:val="885"/>
        <w:ind w:firstLine="480"/>
        <w:jc w:val="right"/>
        <w:spacing w:line="400" w:lineRule="exact"/>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p>
      <w:pPr>
        <w:pStyle w:val="885"/>
        <w:spacing w:line="400" w:lineRule="exact"/>
        <w:rPr>
          <w:rFonts w:ascii="宋体" w:hAnsi="宋体" w:cs="宋体"/>
          <w:b/>
          <w:color w:val="000000"/>
          <w:sz w:val="21"/>
          <w:szCs w:val="21"/>
          <w:highlight w:val="none"/>
        </w:rPr>
      </w:pPr>
      <w:r>
        <w:rPr>
          <w:rFonts w:ascii="宋体" w:hAnsi="宋体" w:cs="宋体"/>
          <w:color w:val="000000"/>
          <w:sz w:val="21"/>
          <w:szCs w:val="21"/>
          <w:highlight w:val="none"/>
        </w:rPr>
        <w:br w:type="page" w:clear="all"/>
      </w:r>
      <w:r>
        <w:rPr>
          <w:rFonts w:hint="eastAsia" w:ascii="宋体" w:hAnsi="宋体" w:eastAsia="宋体" w:cs="宋体"/>
          <w:b/>
          <w:color w:val="000000"/>
          <w:sz w:val="21"/>
          <w:szCs w:val="21"/>
          <w:highlight w:val="none"/>
        </w:rPr>
        <w:t xml:space="preserve">（2）</w:t>
      </w:r>
      <w:r>
        <w:rPr>
          <w:rFonts w:hint="eastAsia" w:ascii="宋体" w:hAnsi="宋体" w:eastAsia="宋体" w:cs="宋体"/>
          <w:b/>
          <w:color w:val="000000"/>
          <w:sz w:val="21"/>
          <w:szCs w:val="21"/>
          <w:highlight w:val="none"/>
          <w:lang w:val="zh-CN"/>
        </w:rPr>
        <w:t xml:space="preserve">投标单位情况表</w:t>
      </w:r>
      <w:r>
        <w:rPr>
          <w:rFonts w:ascii="宋体" w:hAnsi="宋体" w:cs="宋体"/>
        </w:rPr>
      </w:r>
      <w:r/>
    </w:p>
    <w:p>
      <w:pPr>
        <w:pStyle w:val="885"/>
        <w:jc w:val="center"/>
        <w:spacing w:line="400" w:lineRule="exact"/>
        <w:rPr>
          <w:rFonts w:ascii="宋体" w:hAnsi="宋体" w:cs="宋体"/>
          <w:b/>
          <w:bCs/>
          <w:color w:val="000000"/>
          <w:sz w:val="21"/>
          <w:szCs w:val="21"/>
          <w:highlight w:val="none"/>
        </w:rPr>
      </w:pPr>
      <w:r>
        <w:rPr>
          <w:rFonts w:hint="eastAsia" w:ascii="宋体" w:hAnsi="宋体" w:eastAsia="宋体" w:cs="宋体"/>
          <w:b/>
          <w:color w:val="000000"/>
          <w:sz w:val="21"/>
          <w:szCs w:val="21"/>
          <w:highlight w:val="none"/>
          <w:lang w:val="zh-CN"/>
        </w:rPr>
        <w:t xml:space="preserve">投标单位情况表</w:t>
      </w:r>
      <w:r>
        <w:rPr>
          <w:rFonts w:ascii="宋体" w:hAnsi="宋体" w:cs="宋体"/>
        </w:rPr>
      </w:r>
      <w:r/>
    </w:p>
    <w:p>
      <w:pPr>
        <w:pStyle w:val="885"/>
        <w:spacing w:line="40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单位名称（盖章）</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39"/>
        <w:gridCol w:w="2179"/>
        <w:gridCol w:w="2200"/>
        <w:gridCol w:w="2600"/>
      </w:tblGrid>
      <w:tr>
        <w:trPr>
          <w:cantSplit/>
          <w:trHeight w:val="454"/>
        </w:trPr>
        <w:tc>
          <w:tcPr>
            <w:tcW w:w="3139" w:type="dxa"/>
            <w:vAlign w:val="center"/>
            <w:textDirection w:val="lrTb"/>
            <w:noWrap w:val="false"/>
          </w:tcPr>
          <w:p>
            <w:pPr>
              <w:pStyle w:val="885"/>
              <w:jc w:val="center"/>
              <w:spacing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法定代表人</w:t>
            </w:r>
            <w:r>
              <w:rPr>
                <w:rFonts w:ascii="宋体" w:hAnsi="宋体" w:cs="宋体"/>
              </w:rPr>
            </w:r>
            <w:r/>
          </w:p>
        </w:tc>
        <w:tc>
          <w:tcPr>
            <w:tcW w:w="2179" w:type="dxa"/>
            <w:vAlign w:val="center"/>
            <w:textDirection w:val="lrTb"/>
            <w:noWrap w:val="false"/>
          </w:tcPr>
          <w:p>
            <w:pPr>
              <w:pStyle w:val="885"/>
              <w:jc w:val="center"/>
              <w:spacing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2200" w:type="dxa"/>
            <w:vAlign w:val="center"/>
            <w:textDirection w:val="lrTb"/>
            <w:noWrap w:val="false"/>
          </w:tcPr>
          <w:p>
            <w:pPr>
              <w:pStyle w:val="885"/>
              <w:jc w:val="center"/>
              <w:spacing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成立日期</w:t>
            </w:r>
            <w:r>
              <w:rPr>
                <w:rFonts w:ascii="宋体" w:hAnsi="宋体" w:cs="宋体"/>
              </w:rPr>
            </w:r>
            <w:r/>
          </w:p>
        </w:tc>
        <w:tc>
          <w:tcPr>
            <w:tcW w:w="2600" w:type="dxa"/>
            <w:vAlign w:val="center"/>
            <w:textDirection w:val="lrTb"/>
            <w:noWrap w:val="false"/>
          </w:tcPr>
          <w:p>
            <w:pPr>
              <w:pStyle w:val="885"/>
              <w:jc w:val="center"/>
              <w:spacing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cantSplit/>
          <w:trHeight w:val="454"/>
        </w:trPr>
        <w:tc>
          <w:tcPr>
            <w:tcW w:w="3139" w:type="dxa"/>
            <w:vAlign w:val="center"/>
            <w:textDirection w:val="lrTb"/>
            <w:noWrap w:val="false"/>
          </w:tcPr>
          <w:p>
            <w:pPr>
              <w:pStyle w:val="885"/>
              <w:jc w:val="center"/>
              <w:spacing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地址</w:t>
            </w:r>
            <w:r>
              <w:rPr>
                <w:rFonts w:ascii="宋体" w:hAnsi="宋体" w:cs="宋体"/>
              </w:rPr>
            </w:r>
            <w:r/>
          </w:p>
        </w:tc>
        <w:tc>
          <w:tcPr>
            <w:tcW w:w="2179" w:type="dxa"/>
            <w:vAlign w:val="center"/>
            <w:textDirection w:val="lrTb"/>
            <w:noWrap w:val="false"/>
          </w:tcPr>
          <w:p>
            <w:pPr>
              <w:pStyle w:val="885"/>
              <w:jc w:val="center"/>
              <w:spacing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2200" w:type="dxa"/>
            <w:vAlign w:val="center"/>
            <w:textDirection w:val="lrTb"/>
            <w:noWrap w:val="false"/>
          </w:tcPr>
          <w:p>
            <w:pPr>
              <w:pStyle w:val="885"/>
              <w:jc w:val="center"/>
              <w:spacing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注册资本</w:t>
            </w:r>
            <w:r>
              <w:rPr>
                <w:rFonts w:ascii="宋体" w:hAnsi="宋体" w:cs="宋体"/>
              </w:rPr>
            </w:r>
            <w:r/>
          </w:p>
        </w:tc>
        <w:tc>
          <w:tcPr>
            <w:tcW w:w="2600" w:type="dxa"/>
            <w:vAlign w:val="center"/>
            <w:textDirection w:val="lrTb"/>
            <w:noWrap w:val="false"/>
          </w:tcPr>
          <w:p>
            <w:pPr>
              <w:pStyle w:val="885"/>
              <w:ind w:firstLine="315"/>
              <w:spacing w:line="360" w:lineRule="auto"/>
              <w:rPr>
                <w:rFonts w:ascii="宋体" w:hAnsi="宋体" w:cs="宋体"/>
                <w:color w:val="000000"/>
                <w:szCs w:val="21"/>
                <w:highlight w:val="none"/>
              </w:rPr>
            </w:pP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ascii="宋体" w:hAnsi="宋体" w:cs="宋体"/>
              </w:rPr>
            </w:r>
            <w:r/>
          </w:p>
        </w:tc>
      </w:tr>
      <w:tr>
        <w:trPr>
          <w:cantSplit/>
          <w:trHeight w:val="454"/>
        </w:trPr>
        <w:tc>
          <w:tcPr>
            <w:tcW w:w="3139" w:type="dxa"/>
            <w:vAlign w:val="center"/>
            <w:textDirection w:val="lrTb"/>
            <w:noWrap w:val="false"/>
          </w:tcPr>
          <w:p>
            <w:pPr>
              <w:pStyle w:val="885"/>
              <w:jc w:val="center"/>
              <w:spacing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经营范围</w:t>
            </w:r>
            <w:r>
              <w:rPr>
                <w:rFonts w:ascii="宋体" w:hAnsi="宋体" w:cs="宋体"/>
              </w:rPr>
            </w:r>
            <w:r/>
          </w:p>
        </w:tc>
        <w:tc>
          <w:tcPr>
            <w:gridSpan w:val="3"/>
            <w:tcW w:w="6979" w:type="dxa"/>
            <w:vAlign w:val="center"/>
            <w:textDirection w:val="lrTb"/>
            <w:noWrap w:val="false"/>
          </w:tcPr>
          <w:p>
            <w:pPr>
              <w:pStyle w:val="885"/>
              <w:jc w:val="center"/>
              <w:spacing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cantSplit/>
          <w:trHeight w:val="454"/>
        </w:trPr>
        <w:tc>
          <w:tcPr>
            <w:tcW w:w="3139" w:type="dxa"/>
            <w:vAlign w:val="center"/>
            <w:textDirection w:val="lrTb"/>
            <w:noWrap w:val="false"/>
          </w:tcPr>
          <w:p>
            <w:pPr>
              <w:pStyle w:val="885"/>
              <w:jc w:val="center"/>
              <w:spacing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职工人数</w:t>
            </w:r>
            <w:r>
              <w:rPr>
                <w:rFonts w:ascii="宋体" w:hAnsi="宋体" w:cs="宋体"/>
              </w:rPr>
            </w:r>
            <w:r/>
          </w:p>
        </w:tc>
        <w:tc>
          <w:tcPr>
            <w:tcW w:w="2179" w:type="dxa"/>
            <w:vAlign w:val="center"/>
            <w:textDirection w:val="lrTb"/>
            <w:noWrap w:val="false"/>
          </w:tcPr>
          <w:p>
            <w:pPr>
              <w:pStyle w:val="885"/>
              <w:jc w:val="center"/>
              <w:spacing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2200" w:type="dxa"/>
            <w:vAlign w:val="center"/>
            <w:textDirection w:val="lrTb"/>
            <w:noWrap w:val="false"/>
          </w:tcPr>
          <w:p>
            <w:pPr>
              <w:pStyle w:val="885"/>
              <w:jc w:val="center"/>
              <w:spacing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其中：中高级</w:t>
            </w:r>
            <w:r>
              <w:rPr>
                <w:rFonts w:ascii="宋体" w:hAnsi="宋体" w:cs="宋体"/>
              </w:rPr>
            </w:r>
            <w:r/>
          </w:p>
          <w:p>
            <w:pPr>
              <w:pStyle w:val="885"/>
              <w:jc w:val="center"/>
              <w:spacing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以上职称的人数</w:t>
            </w:r>
            <w:r>
              <w:rPr>
                <w:rFonts w:ascii="宋体" w:hAnsi="宋体" w:cs="宋体"/>
              </w:rPr>
            </w:r>
            <w:r/>
          </w:p>
        </w:tc>
        <w:tc>
          <w:tcPr>
            <w:tcW w:w="2600" w:type="dxa"/>
            <w:vAlign w:val="center"/>
            <w:textDirection w:val="lrTb"/>
            <w:noWrap w:val="false"/>
          </w:tcPr>
          <w:p>
            <w:pPr>
              <w:pStyle w:val="885"/>
              <w:jc w:val="center"/>
              <w:spacing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cantSplit/>
          <w:trHeight w:val="454"/>
        </w:trPr>
        <w:tc>
          <w:tcPr>
            <w:tcW w:w="3139" w:type="dxa"/>
            <w:vAlign w:val="center"/>
            <w:textDirection w:val="lrTb"/>
            <w:noWrap w:val="false"/>
          </w:tcPr>
          <w:p>
            <w:pPr>
              <w:pStyle w:val="885"/>
              <w:jc w:val="center"/>
              <w:spacing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资产总计</w:t>
            </w:r>
            <w:r>
              <w:rPr>
                <w:rFonts w:ascii="宋体" w:hAnsi="宋体" w:cs="宋体"/>
              </w:rPr>
            </w:r>
            <w:r/>
          </w:p>
        </w:tc>
        <w:tc>
          <w:tcPr>
            <w:tcW w:w="2179" w:type="dxa"/>
            <w:vAlign w:val="center"/>
            <w:textDirection w:val="lrTb"/>
            <w:noWrap w:val="false"/>
          </w:tcPr>
          <w:p>
            <w:pPr>
              <w:pStyle w:val="885"/>
              <w:jc w:val="center"/>
              <w:spacing w:line="360" w:lineRule="auto"/>
              <w:rPr>
                <w:rFonts w:ascii="宋体" w:hAnsi="宋体" w:cs="宋体"/>
                <w:color w:val="000000"/>
                <w:szCs w:val="21"/>
                <w:highlight w:val="none"/>
              </w:rPr>
            </w:pP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ascii="宋体" w:hAnsi="宋体" w:cs="宋体"/>
              </w:rPr>
            </w:r>
            <w:r/>
          </w:p>
        </w:tc>
        <w:tc>
          <w:tcPr>
            <w:tcW w:w="2200" w:type="dxa"/>
            <w:vAlign w:val="center"/>
            <w:textDirection w:val="lrTb"/>
            <w:noWrap w:val="false"/>
          </w:tcPr>
          <w:p>
            <w:pPr>
              <w:pStyle w:val="885"/>
              <w:jc w:val="center"/>
              <w:spacing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净资产</w:t>
            </w:r>
            <w:r>
              <w:rPr>
                <w:rFonts w:ascii="宋体" w:hAnsi="宋体" w:cs="宋体"/>
              </w:rPr>
            </w:r>
            <w:r/>
          </w:p>
        </w:tc>
        <w:tc>
          <w:tcPr>
            <w:tcW w:w="2600" w:type="dxa"/>
            <w:vAlign w:val="center"/>
            <w:textDirection w:val="lrTb"/>
            <w:noWrap w:val="false"/>
          </w:tcPr>
          <w:p>
            <w:pPr>
              <w:pStyle w:val="885"/>
              <w:ind w:right="240"/>
              <w:jc w:val="center"/>
              <w:spacing w:line="360" w:lineRule="auto"/>
              <w:rPr>
                <w:rFonts w:ascii="宋体" w:hAnsi="宋体" w:cs="宋体"/>
                <w:color w:val="000000"/>
                <w:szCs w:val="21"/>
                <w:highlight w:val="none"/>
              </w:rPr>
            </w:pP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ascii="宋体" w:hAnsi="宋体" w:cs="宋体"/>
              </w:rPr>
            </w:r>
            <w:r/>
          </w:p>
        </w:tc>
      </w:tr>
      <w:tr>
        <w:trPr>
          <w:cantSplit/>
          <w:trHeight w:val="454"/>
        </w:trPr>
        <w:tc>
          <w:tcPr>
            <w:tcW w:w="3139" w:type="dxa"/>
            <w:vAlign w:val="center"/>
            <w:textDirection w:val="lrTb"/>
            <w:noWrap w:val="false"/>
          </w:tcPr>
          <w:p>
            <w:pPr>
              <w:pStyle w:val="885"/>
              <w:jc w:val="center"/>
              <w:spacing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股东权益</w:t>
            </w:r>
            <w:r>
              <w:rPr>
                <w:rFonts w:ascii="宋体" w:hAnsi="宋体" w:cs="宋体"/>
              </w:rPr>
            </w:r>
            <w:r/>
          </w:p>
        </w:tc>
        <w:tc>
          <w:tcPr>
            <w:tcW w:w="2179" w:type="dxa"/>
            <w:vAlign w:val="center"/>
            <w:textDirection w:val="lrTb"/>
            <w:noWrap w:val="false"/>
          </w:tcPr>
          <w:p>
            <w:pPr>
              <w:pStyle w:val="885"/>
              <w:jc w:val="center"/>
              <w:spacing w:line="360" w:lineRule="auto"/>
              <w:rPr>
                <w:rFonts w:ascii="宋体" w:hAnsi="宋体" w:cs="宋体"/>
                <w:color w:val="000000"/>
                <w:szCs w:val="21"/>
                <w:highlight w:val="none"/>
              </w:rPr>
            </w:pP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ascii="宋体" w:hAnsi="宋体" w:cs="宋体"/>
              </w:rPr>
            </w:r>
            <w:r/>
          </w:p>
        </w:tc>
        <w:tc>
          <w:tcPr>
            <w:tcW w:w="2200" w:type="dxa"/>
            <w:vAlign w:val="center"/>
            <w:textDirection w:val="lrTb"/>
            <w:noWrap w:val="false"/>
          </w:tcPr>
          <w:p>
            <w:pPr>
              <w:pStyle w:val="885"/>
              <w:jc w:val="center"/>
              <w:spacing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销售收入</w:t>
            </w:r>
            <w:r>
              <w:rPr>
                <w:rFonts w:ascii="宋体" w:hAnsi="宋体" w:cs="宋体"/>
              </w:rPr>
            </w:r>
            <w:r/>
          </w:p>
        </w:tc>
        <w:tc>
          <w:tcPr>
            <w:tcW w:w="2600" w:type="dxa"/>
            <w:vAlign w:val="center"/>
            <w:textDirection w:val="lrTb"/>
            <w:noWrap w:val="false"/>
          </w:tcPr>
          <w:p>
            <w:pPr>
              <w:pStyle w:val="885"/>
              <w:spacing w:line="360" w:lineRule="auto"/>
              <w:rPr>
                <w:rFonts w:ascii="宋体" w:hAnsi="宋体" w:cs="宋体"/>
                <w:color w:val="000000"/>
                <w:szCs w:val="21"/>
                <w:highlight w:val="none"/>
              </w:rPr>
            </w:pPr>
            <w:r>
              <w:rPr>
                <w:rFonts w:ascii="宋体" w:hAnsi="宋体" w:cs="宋体"/>
                <w:color w:val="000000"/>
                <w:sz w:val="21"/>
                <w:szCs w:val="21"/>
                <w:highlight w:val="none"/>
              </w:rPr>
              <w:t xml:space="preserve"> 20</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ascii="宋体" w:hAnsi="宋体" w:cs="宋体"/>
              </w:rPr>
            </w:r>
            <w:r/>
          </w:p>
        </w:tc>
      </w:tr>
      <w:tr>
        <w:trPr>
          <w:cantSplit/>
          <w:trHeight w:val="454"/>
        </w:trPr>
        <w:tc>
          <w:tcPr>
            <w:tcW w:w="3139" w:type="dxa"/>
            <w:vAlign w:val="center"/>
            <w:textDirection w:val="lrTb"/>
            <w:noWrap w:val="false"/>
          </w:tcPr>
          <w:p>
            <w:pPr>
              <w:pStyle w:val="885"/>
              <w:jc w:val="center"/>
              <w:spacing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实现利润</w:t>
            </w:r>
            <w:r>
              <w:rPr>
                <w:rFonts w:ascii="宋体" w:hAnsi="宋体" w:cs="宋体"/>
              </w:rPr>
            </w:r>
            <w:r/>
          </w:p>
        </w:tc>
        <w:tc>
          <w:tcPr>
            <w:gridSpan w:val="3"/>
            <w:tcW w:w="6979" w:type="dxa"/>
            <w:vAlign w:val="center"/>
            <w:textDirection w:val="lrTb"/>
            <w:noWrap w:val="false"/>
          </w:tcPr>
          <w:p>
            <w:pPr>
              <w:pStyle w:val="885"/>
              <w:jc w:val="center"/>
              <w:spacing w:line="360" w:lineRule="auto"/>
              <w:rPr>
                <w:rFonts w:ascii="宋体" w:hAnsi="宋体" w:cs="宋体"/>
                <w:color w:val="000000"/>
                <w:szCs w:val="21"/>
                <w:highlight w:val="none"/>
              </w:rPr>
            </w:pPr>
            <w:r>
              <w:rPr>
                <w:rFonts w:ascii="宋体" w:hAnsi="宋体" w:cs="宋体"/>
                <w:color w:val="000000"/>
                <w:sz w:val="21"/>
                <w:szCs w:val="21"/>
                <w:highlight w:val="none"/>
              </w:rPr>
              <w:t xml:space="preserve"> 20</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ascii="宋体" w:hAnsi="宋体" w:cs="宋体"/>
              </w:rPr>
            </w:r>
            <w:r/>
          </w:p>
        </w:tc>
      </w:tr>
      <w:tr>
        <w:trPr>
          <w:cantSplit/>
          <w:trHeight w:val="454"/>
        </w:trPr>
        <w:tc>
          <w:tcPr>
            <w:tcW w:w="3139" w:type="dxa"/>
            <w:vAlign w:val="center"/>
            <w:textDirection w:val="lrTb"/>
            <w:noWrap w:val="false"/>
          </w:tcPr>
          <w:p>
            <w:pPr>
              <w:pStyle w:val="885"/>
              <w:jc w:val="center"/>
              <w:spacing w:line="360" w:lineRule="auto"/>
              <w:rPr>
                <w:rFonts w:hint="eastAsia" w:ascii="宋体" w:hAnsi="宋体" w:cs="宋体"/>
                <w:color w:val="000000"/>
                <w:szCs w:val="21"/>
                <w:highlight w:val="none"/>
              </w:rPr>
            </w:pPr>
            <w:r>
              <w:rPr>
                <w:rFonts w:hint="eastAsia" w:ascii="宋体" w:hAnsi="宋体" w:eastAsia="宋体" w:cs="宋体"/>
                <w:color w:val="000000"/>
                <w:sz w:val="21"/>
                <w:szCs w:val="21"/>
                <w:highlight w:val="none"/>
              </w:rPr>
              <w:t xml:space="preserve">营业面积（含厂房面积）</w:t>
            </w:r>
            <w:r>
              <w:rPr>
                <w:rFonts w:ascii="宋体" w:hAnsi="宋体" w:cs="宋体"/>
              </w:rPr>
            </w:r>
            <w:r/>
          </w:p>
        </w:tc>
        <w:tc>
          <w:tcPr>
            <w:tcW w:w="2179" w:type="dxa"/>
            <w:vAlign w:val="center"/>
            <w:textDirection w:val="lrTb"/>
            <w:noWrap w:val="false"/>
          </w:tcPr>
          <w:p>
            <w:pPr>
              <w:pStyle w:val="885"/>
              <w:jc w:val="center"/>
              <w:spacing w:line="360" w:lineRule="auto"/>
              <w:rPr>
                <w:rFonts w:ascii="宋体" w:hAnsi="宋体" w:cs="宋体"/>
                <w:color w:val="000000"/>
                <w:szCs w:val="21"/>
                <w:highlight w:val="none"/>
              </w:rPr>
            </w:pP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平方米</w:t>
            </w:r>
            <w:r>
              <w:rPr>
                <w:rFonts w:ascii="宋体" w:hAnsi="宋体" w:cs="宋体"/>
              </w:rPr>
            </w:r>
            <w:r/>
          </w:p>
        </w:tc>
        <w:tc>
          <w:tcPr>
            <w:tcW w:w="2200" w:type="dxa"/>
            <w:vAlign w:val="center"/>
            <w:textDirection w:val="lrTb"/>
            <w:noWrap w:val="false"/>
          </w:tcPr>
          <w:p>
            <w:pPr>
              <w:pStyle w:val="885"/>
              <w:jc w:val="center"/>
              <w:spacing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其中：</w:t>
            </w:r>
            <w:r>
              <w:rPr>
                <w:rFonts w:ascii="宋体" w:hAnsi="宋体" w:cs="宋体"/>
              </w:rPr>
            </w:r>
            <w:r/>
          </w:p>
        </w:tc>
        <w:tc>
          <w:tcPr>
            <w:tcW w:w="2600" w:type="dxa"/>
            <w:vAlign w:val="center"/>
            <w:textDirection w:val="lrTb"/>
            <w:noWrap w:val="false"/>
          </w:tcPr>
          <w:p>
            <w:pPr>
              <w:pStyle w:val="885"/>
              <w:jc w:val="center"/>
              <w:spacing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自有面积</w:t>
            </w: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平方米</w:t>
            </w:r>
            <w:r>
              <w:rPr>
                <w:rFonts w:ascii="宋体" w:hAnsi="宋体" w:cs="宋体"/>
              </w:rPr>
            </w:r>
            <w:r/>
          </w:p>
          <w:p>
            <w:pPr>
              <w:pStyle w:val="885"/>
              <w:jc w:val="center"/>
              <w:spacing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承租面积</w:t>
            </w: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平方米</w:t>
            </w:r>
            <w:r>
              <w:rPr>
                <w:rFonts w:ascii="宋体" w:hAnsi="宋体" w:cs="宋体"/>
              </w:rPr>
            </w:r>
            <w:r/>
          </w:p>
        </w:tc>
      </w:tr>
      <w:tr>
        <w:trPr>
          <w:cantSplit/>
          <w:trHeight w:val="454"/>
        </w:trPr>
        <w:tc>
          <w:tcPr>
            <w:tcW w:w="3139" w:type="dxa"/>
            <w:vAlign w:val="center"/>
            <w:textDirection w:val="lrTb"/>
            <w:noWrap w:val="false"/>
          </w:tcPr>
          <w:p>
            <w:pPr>
              <w:pStyle w:val="885"/>
              <w:jc w:val="center"/>
              <w:spacing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单位简历及内设机构情况</w:t>
            </w:r>
            <w:r>
              <w:rPr>
                <w:rFonts w:ascii="宋体" w:hAnsi="宋体" w:cs="宋体"/>
              </w:rPr>
            </w:r>
            <w:r/>
          </w:p>
        </w:tc>
        <w:tc>
          <w:tcPr>
            <w:gridSpan w:val="3"/>
            <w:tcW w:w="6979" w:type="dxa"/>
            <w:vAlign w:val="center"/>
            <w:textDirection w:val="lrTb"/>
            <w:noWrap w:val="false"/>
          </w:tcPr>
          <w:p>
            <w:pPr>
              <w:pStyle w:val="885"/>
              <w:jc w:val="center"/>
              <w:spacing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cantSplit/>
          <w:trHeight w:val="454"/>
        </w:trPr>
        <w:tc>
          <w:tcPr>
            <w:tcW w:w="3139" w:type="dxa"/>
            <w:vAlign w:val="center"/>
            <w:textDirection w:val="lrTb"/>
            <w:noWrap w:val="false"/>
          </w:tcPr>
          <w:p>
            <w:pPr>
              <w:pStyle w:val="885"/>
              <w:jc w:val="center"/>
              <w:spacing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单位优势及特长</w:t>
            </w:r>
            <w:r>
              <w:rPr>
                <w:rFonts w:ascii="宋体" w:hAnsi="宋体" w:cs="宋体"/>
              </w:rPr>
            </w:r>
            <w:r/>
          </w:p>
        </w:tc>
        <w:tc>
          <w:tcPr>
            <w:gridSpan w:val="3"/>
            <w:tcW w:w="6979" w:type="dxa"/>
            <w:vAlign w:val="center"/>
            <w:textDirection w:val="lrTb"/>
            <w:noWrap w:val="false"/>
          </w:tcPr>
          <w:p>
            <w:pPr>
              <w:pStyle w:val="885"/>
              <w:jc w:val="center"/>
              <w:spacing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cantSplit/>
          <w:trHeight w:val="454"/>
        </w:trPr>
        <w:tc>
          <w:tcPr>
            <w:tcW w:w="3139" w:type="dxa"/>
            <w:vAlign w:val="center"/>
            <w:textDirection w:val="lrTb"/>
            <w:noWrap w:val="false"/>
          </w:tcPr>
          <w:p>
            <w:pPr>
              <w:pStyle w:val="885"/>
              <w:jc w:val="center"/>
              <w:spacing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近三年来完成或正在履行的重大合同情况</w:t>
            </w:r>
            <w:r>
              <w:rPr>
                <w:rFonts w:ascii="宋体" w:hAnsi="宋体" w:cs="宋体"/>
              </w:rPr>
            </w:r>
            <w:r/>
          </w:p>
        </w:tc>
        <w:tc>
          <w:tcPr>
            <w:gridSpan w:val="3"/>
            <w:tcW w:w="6979" w:type="dxa"/>
            <w:vAlign w:val="top"/>
            <w:textDirection w:val="lrTb"/>
            <w:noWrap w:val="false"/>
          </w:tcPr>
          <w:p>
            <w:pPr>
              <w:pStyle w:val="885"/>
              <w:jc w:val="center"/>
              <w:spacing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cantSplit/>
          <w:trHeight w:val="454"/>
        </w:trPr>
        <w:tc>
          <w:tcPr>
            <w:tcW w:w="3139" w:type="dxa"/>
            <w:vAlign w:val="center"/>
            <w:textDirection w:val="lrTb"/>
            <w:noWrap w:val="false"/>
          </w:tcPr>
          <w:p>
            <w:pPr>
              <w:pStyle w:val="885"/>
              <w:jc w:val="center"/>
              <w:spacing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最近</w:t>
            </w:r>
            <w:r>
              <w:rPr>
                <w:rFonts w:ascii="宋体" w:hAnsi="宋体" w:cs="宋体"/>
                <w:color w:val="000000"/>
                <w:sz w:val="21"/>
                <w:szCs w:val="21"/>
                <w:highlight w:val="none"/>
              </w:rPr>
              <w:t xml:space="preserve">2</w:t>
            </w:r>
            <w:r>
              <w:rPr>
                <w:rFonts w:hint="eastAsia" w:ascii="宋体" w:hAnsi="宋体" w:eastAsia="宋体" w:cs="宋体"/>
                <w:color w:val="000000"/>
                <w:sz w:val="21"/>
                <w:szCs w:val="21"/>
                <w:highlight w:val="none"/>
              </w:rPr>
              <w:t xml:space="preserve">年内在经营过程中受到何种奖励或处分</w:t>
            </w:r>
            <w:r>
              <w:rPr>
                <w:rFonts w:ascii="宋体" w:hAnsi="宋体" w:cs="宋体"/>
              </w:rPr>
            </w:r>
            <w:r/>
          </w:p>
        </w:tc>
        <w:tc>
          <w:tcPr>
            <w:gridSpan w:val="3"/>
            <w:tcW w:w="6979" w:type="dxa"/>
            <w:vAlign w:val="top"/>
            <w:textDirection w:val="lrTb"/>
            <w:noWrap w:val="false"/>
          </w:tcPr>
          <w:p>
            <w:pPr>
              <w:pStyle w:val="885"/>
              <w:spacing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cantSplit/>
          <w:trHeight w:val="454"/>
        </w:trPr>
        <w:tc>
          <w:tcPr>
            <w:tcW w:w="3139" w:type="dxa"/>
            <w:vAlign w:val="center"/>
            <w:textDirection w:val="lrTb"/>
            <w:noWrap w:val="false"/>
          </w:tcPr>
          <w:p>
            <w:pPr>
              <w:pStyle w:val="885"/>
              <w:jc w:val="center"/>
              <w:spacing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最近</w:t>
            </w:r>
            <w:r>
              <w:rPr>
                <w:rFonts w:ascii="宋体" w:hAnsi="宋体" w:cs="宋体"/>
                <w:color w:val="000000"/>
                <w:sz w:val="21"/>
                <w:szCs w:val="21"/>
                <w:highlight w:val="none"/>
              </w:rPr>
              <w:t xml:space="preserve">3</w:t>
            </w:r>
            <w:r>
              <w:rPr>
                <w:rFonts w:hint="eastAsia" w:ascii="宋体" w:hAnsi="宋体" w:eastAsia="宋体" w:cs="宋体"/>
                <w:color w:val="000000"/>
                <w:sz w:val="21"/>
                <w:szCs w:val="21"/>
                <w:highlight w:val="none"/>
              </w:rPr>
              <w:t xml:space="preserve">年内有无因售假、售劣或是其他原因被消费者投诉或起诉的情况及说明</w:t>
            </w:r>
            <w:r>
              <w:rPr>
                <w:rFonts w:ascii="宋体" w:hAnsi="宋体" w:cs="宋体"/>
              </w:rPr>
            </w:r>
            <w:r/>
          </w:p>
        </w:tc>
        <w:tc>
          <w:tcPr>
            <w:gridSpan w:val="3"/>
            <w:tcW w:w="6979" w:type="dxa"/>
            <w:vAlign w:val="top"/>
            <w:textDirection w:val="lrTb"/>
            <w:noWrap w:val="false"/>
          </w:tcPr>
          <w:p>
            <w:pPr>
              <w:pStyle w:val="885"/>
              <w:spacing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cantSplit/>
          <w:trHeight w:val="454"/>
        </w:trPr>
        <w:tc>
          <w:tcPr>
            <w:tcW w:w="3139" w:type="dxa"/>
            <w:vAlign w:val="center"/>
            <w:textDirection w:val="lrTb"/>
            <w:noWrap w:val="false"/>
          </w:tcPr>
          <w:p>
            <w:pPr>
              <w:pStyle w:val="885"/>
              <w:jc w:val="center"/>
              <w:spacing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最近</w:t>
            </w:r>
            <w:r>
              <w:rPr>
                <w:rFonts w:ascii="宋体" w:hAnsi="宋体" w:cs="宋体"/>
                <w:color w:val="000000"/>
                <w:sz w:val="21"/>
                <w:szCs w:val="21"/>
                <w:highlight w:val="none"/>
              </w:rPr>
              <w:t xml:space="preserve">3</w:t>
            </w:r>
            <w:r>
              <w:rPr>
                <w:rFonts w:hint="eastAsia" w:ascii="宋体" w:hAnsi="宋体" w:eastAsia="宋体" w:cs="宋体"/>
                <w:color w:val="000000"/>
                <w:sz w:val="21"/>
                <w:szCs w:val="21"/>
                <w:highlight w:val="none"/>
              </w:rPr>
              <w:t xml:space="preserve">年内主要负责人有无经济犯罪被司法机关追究的情况及说明</w:t>
            </w:r>
            <w:r>
              <w:rPr>
                <w:rFonts w:ascii="宋体" w:hAnsi="宋体" w:cs="宋体"/>
              </w:rPr>
            </w:r>
            <w:r/>
          </w:p>
        </w:tc>
        <w:tc>
          <w:tcPr>
            <w:gridSpan w:val="3"/>
            <w:tcW w:w="6979" w:type="dxa"/>
            <w:vAlign w:val="top"/>
            <w:textDirection w:val="lrTb"/>
            <w:noWrap w:val="false"/>
          </w:tcPr>
          <w:p>
            <w:pPr>
              <w:pStyle w:val="885"/>
              <w:jc w:val="center"/>
              <w:spacing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cantSplit/>
          <w:trHeight w:val="454"/>
        </w:trPr>
        <w:tc>
          <w:tcPr>
            <w:tcW w:w="3139" w:type="dxa"/>
            <w:vAlign w:val="center"/>
            <w:textDirection w:val="lrTb"/>
            <w:noWrap w:val="false"/>
          </w:tcPr>
          <w:p>
            <w:pPr>
              <w:pStyle w:val="885"/>
              <w:jc w:val="center"/>
              <w:spacing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获得技术认证的工程师及简介</w:t>
            </w:r>
            <w:r>
              <w:rPr>
                <w:rFonts w:ascii="宋体" w:hAnsi="宋体" w:cs="宋体"/>
              </w:rPr>
            </w:r>
            <w:r/>
          </w:p>
        </w:tc>
        <w:tc>
          <w:tcPr>
            <w:gridSpan w:val="3"/>
            <w:tcW w:w="6979" w:type="dxa"/>
            <w:vAlign w:val="top"/>
            <w:textDirection w:val="lrTb"/>
            <w:noWrap w:val="false"/>
          </w:tcPr>
          <w:p>
            <w:pPr>
              <w:pStyle w:val="885"/>
              <w:jc w:val="center"/>
              <w:spacing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cantSplit/>
          <w:trHeight w:val="454"/>
        </w:trPr>
        <w:tc>
          <w:tcPr>
            <w:tcW w:w="3139" w:type="dxa"/>
            <w:vAlign w:val="center"/>
            <w:textDirection w:val="lrTb"/>
            <w:noWrap w:val="false"/>
          </w:tcPr>
          <w:p>
            <w:pPr>
              <w:pStyle w:val="885"/>
              <w:jc w:val="center"/>
              <w:spacing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其他需要说明的情况</w:t>
            </w:r>
            <w:r>
              <w:rPr>
                <w:rFonts w:ascii="宋体" w:hAnsi="宋体" w:cs="宋体"/>
              </w:rPr>
            </w:r>
            <w:r/>
          </w:p>
        </w:tc>
        <w:tc>
          <w:tcPr>
            <w:gridSpan w:val="3"/>
            <w:tcW w:w="6979" w:type="dxa"/>
            <w:vAlign w:val="top"/>
            <w:textDirection w:val="lrTb"/>
            <w:noWrap w:val="false"/>
          </w:tcPr>
          <w:p>
            <w:pPr>
              <w:pStyle w:val="885"/>
              <w:jc w:val="center"/>
              <w:spacing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bl>
    <w:p>
      <w:pPr>
        <w:pStyle w:val="885"/>
        <w:ind w:firstLine="2759"/>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85"/>
        <w:ind w:firstLine="2759"/>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918"/>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85"/>
        <w:rPr>
          <w:rFonts w:ascii="宋体" w:hAnsi="宋体" w:cs="宋体"/>
          <w:color w:val="000000"/>
          <w:highlight w:val="none"/>
        </w:rPr>
      </w:pPr>
      <w:r>
        <w:rPr>
          <w:rFonts w:ascii="宋体" w:hAnsi="宋体" w:cs="宋体"/>
          <w:color w:val="000000"/>
          <w:highlight w:val="none"/>
        </w:rPr>
      </w:r>
      <w:r>
        <w:rPr>
          <w:rFonts w:ascii="宋体" w:hAnsi="宋体" w:cs="宋体"/>
        </w:rPr>
      </w:r>
      <w:r/>
    </w:p>
    <w:p>
      <w:pPr>
        <w:ind w:firstLine="2759"/>
        <w:rPr>
          <w:rFonts w:ascii="宋体" w:hAnsi="宋体" w:cs="宋体"/>
          <w:b/>
          <w:bCs/>
          <w:color w:val="000000"/>
          <w:highlight w:val="none"/>
        </w:rPr>
      </w:pPr>
      <w:r>
        <w:rPr>
          <w:rFonts w:ascii="宋体" w:hAnsi="宋体" w:cs="宋体"/>
          <w:b/>
          <w:bCs/>
          <w:color w:val="000000"/>
          <w:highlight w:val="none"/>
        </w:rPr>
      </w:r>
      <w:r>
        <w:rPr>
          <w:rFonts w:ascii="宋体" w:hAnsi="宋体" w:cs="宋体"/>
          <w:b/>
          <w:bCs/>
          <w:color w:val="000000"/>
          <w:highlight w:val="none"/>
        </w:rPr>
      </w:r>
      <w:r/>
    </w:p>
    <w:p>
      <w:pPr>
        <w:ind w:firstLine="2759"/>
        <w:rPr>
          <w:rFonts w:ascii="宋体" w:hAnsi="宋体" w:cs="宋体"/>
          <w:b/>
          <w:bCs/>
          <w:color w:val="000000"/>
          <w:highlight w:val="none"/>
        </w:rPr>
      </w:pPr>
      <w:r>
        <w:rPr>
          <w:rFonts w:ascii="宋体" w:hAnsi="宋体" w:cs="宋体"/>
          <w:b/>
          <w:bCs/>
          <w:color w:val="000000"/>
          <w:highlight w:val="none"/>
        </w:rPr>
      </w:r>
      <w:r>
        <w:rPr>
          <w:rFonts w:ascii="宋体" w:hAnsi="宋体" w:cs="宋体"/>
          <w:b/>
          <w:bCs/>
          <w:color w:val="000000"/>
          <w:highlight w:val="none"/>
        </w:rPr>
      </w:r>
      <w:r/>
    </w:p>
    <w:p>
      <w:pPr>
        <w:ind w:firstLine="2759"/>
        <w:rPr>
          <w:rFonts w:ascii="宋体" w:hAnsi="宋体" w:cs="宋体"/>
          <w:b/>
          <w:bCs/>
          <w:color w:val="000000"/>
          <w:highlight w:val="none"/>
        </w:rPr>
      </w:pPr>
      <w:r>
        <w:rPr>
          <w:rFonts w:ascii="宋体" w:hAnsi="宋体" w:cs="宋体"/>
          <w:b/>
          <w:bCs/>
          <w:color w:val="000000"/>
          <w:highlight w:val="none"/>
        </w:rPr>
      </w:r>
      <w:r>
        <w:rPr>
          <w:rFonts w:ascii="宋体" w:hAnsi="宋体" w:cs="宋体"/>
          <w:b/>
          <w:bCs/>
          <w:color w:val="000000"/>
          <w:highlight w:val="none"/>
        </w:rPr>
      </w:r>
      <w:r/>
    </w:p>
    <w:p>
      <w:pPr>
        <w:ind w:firstLine="2759"/>
        <w:rPr>
          <w:rFonts w:ascii="宋体" w:hAnsi="宋体" w:cs="宋体"/>
          <w:b/>
          <w:bCs/>
          <w:color w:val="000000"/>
          <w:highlight w:val="none"/>
        </w:rPr>
      </w:pPr>
      <w:r>
        <w:rPr>
          <w:rFonts w:ascii="宋体" w:hAnsi="宋体" w:cs="宋体"/>
          <w:b/>
          <w:bCs/>
          <w:color w:val="000000"/>
          <w:highlight w:val="none"/>
        </w:rPr>
      </w:r>
      <w:r>
        <w:rPr>
          <w:rFonts w:ascii="宋体" w:hAnsi="宋体" w:cs="宋体"/>
          <w:b/>
          <w:bCs/>
          <w:color w:val="000000"/>
          <w:highlight w:val="none"/>
        </w:rPr>
      </w:r>
      <w:r/>
    </w:p>
    <w:p>
      <w:pPr>
        <w:ind w:firstLine="2759"/>
        <w:rPr>
          <w:rFonts w:ascii="宋体" w:hAnsi="宋体" w:cs="宋体"/>
          <w:b/>
          <w:bCs/>
          <w:color w:val="000000"/>
          <w:highlight w:val="none"/>
        </w:rPr>
      </w:pPr>
      <w:r>
        <w:rPr>
          <w:rFonts w:ascii="宋体" w:hAnsi="宋体" w:cs="宋体"/>
          <w:b/>
          <w:bCs/>
          <w:color w:val="000000"/>
          <w:highlight w:val="none"/>
        </w:rPr>
      </w:r>
      <w:r>
        <w:rPr>
          <w:rFonts w:ascii="宋体" w:hAnsi="宋体" w:cs="宋体"/>
          <w:b/>
          <w:bCs/>
          <w:color w:val="000000"/>
          <w:highlight w:val="none"/>
        </w:rPr>
      </w:r>
      <w:r/>
    </w:p>
    <w:p>
      <w:pPr>
        <w:pStyle w:val="885"/>
        <w:ind w:firstLine="2759"/>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85"/>
        <w:spacing w:line="400" w:lineRule="exact"/>
        <w:rPr>
          <w:rFonts w:hint="eastAsia" w:ascii="宋体" w:hAnsi="宋体" w:cs="宋体"/>
          <w:b/>
          <w:bCs/>
          <w:color w:val="000000"/>
          <w:spacing w:val="6"/>
          <w:highlight w:val="none"/>
        </w:rPr>
      </w:pPr>
      <w:r>
        <w:rPr>
          <w:rFonts w:hint="eastAsia" w:ascii="宋体" w:hAnsi="宋体" w:eastAsia="宋体" w:cs="宋体"/>
          <w:b/>
          <w:color w:val="000000"/>
          <w:sz w:val="21"/>
          <w:szCs w:val="21"/>
          <w:highlight w:val="none"/>
        </w:rPr>
        <w:t xml:space="preserve">（</w:t>
      </w:r>
      <w:r>
        <w:rPr>
          <w:rFonts w:ascii="宋体" w:hAnsi="宋体" w:cs="宋体"/>
          <w:b/>
          <w:color w:val="000000"/>
          <w:sz w:val="21"/>
          <w:szCs w:val="21"/>
          <w:highlight w:val="none"/>
        </w:rPr>
        <w:t xml:space="preserve">3</w:t>
      </w:r>
      <w:r>
        <w:rPr>
          <w:rFonts w:hint="eastAsia" w:ascii="宋体" w:hAnsi="宋体" w:eastAsia="宋体" w:cs="宋体"/>
          <w:b/>
          <w:color w:val="000000"/>
          <w:sz w:val="21"/>
          <w:szCs w:val="21"/>
          <w:highlight w:val="none"/>
        </w:rPr>
        <w:t xml:space="preserve">）中小企业声明函</w:t>
      </w:r>
      <w:r>
        <w:rPr>
          <w:rFonts w:ascii="宋体" w:hAnsi="宋体" w:cs="宋体"/>
        </w:rPr>
      </w:r>
      <w:r/>
    </w:p>
    <w:p>
      <w:pPr>
        <w:pStyle w:val="885"/>
        <w:jc w:val="center"/>
        <w:spacing w:line="400" w:lineRule="exact"/>
        <w:rPr>
          <w:rFonts w:ascii="宋体" w:hAnsi="宋体" w:cs="宋体"/>
          <w:b/>
          <w:color w:val="000000"/>
          <w:sz w:val="21"/>
          <w:szCs w:val="21"/>
          <w:highlight w:val="none"/>
        </w:rPr>
      </w:pPr>
      <w:r>
        <w:rPr>
          <w:rFonts w:hint="eastAsia" w:ascii="宋体" w:hAnsi="宋体" w:eastAsia="宋体" w:cs="宋体"/>
          <w:b/>
          <w:color w:val="000000"/>
          <w:sz w:val="21"/>
          <w:szCs w:val="21"/>
          <w:highlight w:val="none"/>
          <w:lang w:val="zh-CN"/>
        </w:rPr>
        <w:t xml:space="preserve">中小企业声明函</w:t>
      </w:r>
      <w:r>
        <w:rPr>
          <w:rFonts w:hint="eastAsia" w:ascii="宋体" w:hAnsi="宋体" w:eastAsia="宋体" w:cs="宋体"/>
          <w:b/>
          <w:color w:val="000000"/>
          <w:sz w:val="21"/>
          <w:szCs w:val="21"/>
          <w:highlight w:val="none"/>
          <w:lang w:eastAsia="zh-CN"/>
        </w:rPr>
        <w:t xml:space="preserve">（第一标段）</w:t>
      </w:r>
      <w:r>
        <w:rPr>
          <w:rFonts w:ascii="宋体" w:hAnsi="宋体" w:cs="宋体"/>
        </w:rPr>
      </w:r>
      <w:r/>
    </w:p>
    <w:p>
      <w:pPr>
        <w:pStyle w:val="885"/>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CN"/>
        </w:rPr>
        <w:t xml:space="preserve">：</w:t>
      </w:r>
      <w:r>
        <w:rPr>
          <w:rFonts w:ascii="宋体" w:hAnsi="宋体" w:cs="宋体"/>
        </w:rPr>
      </w:r>
      <w:r/>
    </w:p>
    <w:p>
      <w:pPr>
        <w:pStyle w:val="885"/>
        <w:ind w:firstLine="420"/>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本公司郑重声明，根据《政府采购促进中小企业发展管理办法》（财库﹝2020﹞46 号）的规定，本公司（联合体）参加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（项目名称）</w:t>
      </w:r>
      <w:r>
        <w:rPr>
          <w:rFonts w:hint="eastAsia" w:ascii="宋体" w:hAnsi="宋体" w:eastAsia="宋体" w:cs="宋体"/>
          <w:color w:val="000000"/>
          <w:sz w:val="21"/>
          <w:szCs w:val="21"/>
          <w:highlight w:val="none"/>
        </w:rPr>
        <w:t xml:space="preserve">采购活动，提供的货物全部由符合政策要求的中小企业制造。相关企业（含联合体中的中小企业、签订分包意向协议的中小企业）的具体情况如下：</w:t>
      </w:r>
      <w:r>
        <w:rPr>
          <w:rFonts w:ascii="宋体" w:hAnsi="宋体" w:cs="宋体"/>
        </w:rPr>
      </w:r>
      <w:r/>
    </w:p>
    <w:p>
      <w:pPr>
        <w:pStyle w:val="885"/>
        <w:ind w:firstLine="420"/>
        <w:spacing w:line="360" w:lineRule="auto"/>
        <w:tabs>
          <w:tab w:val="left" w:pos="1243" w:leader="none"/>
        </w:tabs>
        <w:rPr>
          <w:rFonts w:hint="eastAsia" w:ascii="宋体" w:hAnsi="宋体" w:cs="宋体"/>
          <w:color w:val="000000"/>
          <w:sz w:val="21"/>
          <w:szCs w:val="21"/>
          <w:highlight w:val="none"/>
          <w:u w:val="single"/>
        </w:rPr>
      </w:pPr>
      <w:r>
        <w:rPr>
          <w:rFonts w:hint="eastAsia" w:ascii="宋体" w:hAnsi="宋体" w:cs="宋体"/>
          <w:color w:val="000000"/>
          <w:sz w:val="21"/>
          <w:szCs w:val="21"/>
          <w:highlight w:val="none"/>
          <w:lang w:bidi="zh-CN"/>
        </w:rPr>
        <w:t xml:space="preserve">1</w:t>
      </w:r>
      <w:r>
        <w:rPr>
          <w:rFonts w:hint="eastAsia" w:ascii="宋体" w:hAnsi="宋体" w:cs="宋体"/>
          <w:color w:val="000000"/>
          <w:sz w:val="21"/>
          <w:szCs w:val="21"/>
          <w:highlight w:val="none"/>
          <w:lang w:val="en-US" w:bidi="zh-CN"/>
        </w:rPr>
        <w:t xml:space="preserve">.</w:t>
      </w:r>
      <w:r>
        <w:rPr>
          <w:rFonts w:hint="eastAsia" w:ascii="宋体" w:hAnsi="宋体" w:eastAsia="宋体" w:cs="宋体"/>
          <w:color w:val="000000"/>
          <w:sz w:val="21"/>
          <w:szCs w:val="21"/>
          <w:highlight w:val="none"/>
          <w:u w:val="single"/>
          <w:lang w:val="zh-CN" w:bidi="zh-CN"/>
        </w:rPr>
        <w:t xml:space="preserve">（标的名称）</w:t>
      </w:r>
      <w:r>
        <w:rPr>
          <w:rFonts w:hint="eastAsia" w:ascii="宋体" w:hAnsi="宋体" w:eastAsia="宋体" w:cs="宋体"/>
          <w:color w:val="000000"/>
          <w:sz w:val="21"/>
          <w:szCs w:val="21"/>
          <w:highlight w:val="none"/>
          <w:lang w:val="zh-CN" w:bidi="zh-CN"/>
        </w:rPr>
        <w:t xml:space="preserve">，属于（</w:t>
      </w:r>
      <w:r>
        <w:rPr>
          <w:rFonts w:hint="eastAsia" w:ascii="宋体" w:hAnsi="宋体" w:eastAsia="宋体" w:cs="宋体"/>
          <w:color w:val="000000"/>
          <w:sz w:val="21"/>
          <w:szCs w:val="21"/>
          <w:highlight w:val="none"/>
          <w:u w:val="single"/>
          <w:lang w:val="zh-CN" w:bidi="zh-CN"/>
        </w:rPr>
        <w:t xml:space="preserve">工业）</w:t>
      </w:r>
      <w:r>
        <w:rPr>
          <w:rFonts w:hint="eastAsia" w:ascii="宋体" w:hAnsi="宋体" w:eastAsia="宋体" w:cs="宋体"/>
          <w:color w:val="000000"/>
          <w:sz w:val="21"/>
          <w:szCs w:val="21"/>
          <w:highlight w:val="none"/>
          <w:lang w:val="zh-CN" w:bidi="zh-CN"/>
        </w:rPr>
        <w:t xml:space="preserve">；</w:t>
      </w:r>
      <w:r>
        <w:rPr>
          <w:rFonts w:hint="eastAsia" w:ascii="宋体" w:hAnsi="宋体" w:eastAsia="宋体" w:cs="宋体"/>
          <w:color w:val="000000"/>
          <w:sz w:val="21"/>
          <w:szCs w:val="21"/>
          <w:highlight w:val="none"/>
          <w:lang w:bidi="zh-CN"/>
        </w:rPr>
        <w:t xml:space="preserve">制造商</w:t>
      </w:r>
      <w:r>
        <w:rPr>
          <w:rFonts w:hint="eastAsia" w:ascii="宋体" w:hAnsi="宋体" w:eastAsia="宋体" w:cs="宋体"/>
          <w:color w:val="000000"/>
          <w:sz w:val="21"/>
          <w:szCs w:val="21"/>
          <w:highlight w:val="none"/>
          <w:lang w:val="zh-CN" w:bidi="zh-CN"/>
        </w:rPr>
        <w:t xml:space="preserve">为</w:t>
      </w:r>
      <w:r>
        <w:rPr>
          <w:rFonts w:hint="eastAsia" w:ascii="宋体" w:hAnsi="宋体" w:eastAsia="宋体" w:cs="宋体"/>
          <w:color w:val="000000"/>
          <w:sz w:val="21"/>
          <w:szCs w:val="21"/>
          <w:highlight w:val="none"/>
          <w:u w:val="single"/>
          <w:lang w:val="zh-CN" w:bidi="zh-CN"/>
        </w:rPr>
        <w:t xml:space="preserve">（企业名称）</w:t>
      </w:r>
      <w:r>
        <w:rPr>
          <w:rFonts w:hint="eastAsia" w:ascii="宋体" w:hAnsi="宋体" w:eastAsia="宋体" w:cs="宋体"/>
          <w:color w:val="000000"/>
          <w:sz w:val="21"/>
          <w:szCs w:val="21"/>
          <w:highlight w:val="none"/>
          <w:lang w:val="zh-CN" w:bidi="zh-CN"/>
        </w:rPr>
        <w:t xml:space="preserve">，从业人员</w:t>
      </w:r>
      <w:r>
        <w:rPr>
          <w:rFonts w:hint="eastAsia" w:ascii="宋体" w:hAnsi="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lang w:val="zh-CN" w:bidi="zh-CN"/>
        </w:rPr>
        <w:t xml:space="preserve">人，营业收入为</w:t>
      </w:r>
      <w:r>
        <w:rPr>
          <w:rFonts w:hint="eastAsia" w:ascii="宋体" w:hAnsi="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lang w:val="zh-CN" w:bidi="zh-CN"/>
        </w:rPr>
        <w:t xml:space="preserve">万元，资产总额为</w:t>
      </w:r>
      <w:r>
        <w:rPr>
          <w:rFonts w:hint="eastAsia" w:ascii="宋体" w:hAnsi="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lang w:val="zh-CN" w:bidi="zh-CN"/>
        </w:rPr>
        <w:t xml:space="preserve">万元，属于</w:t>
      </w:r>
      <w:r>
        <w:rPr>
          <w:rFonts w:hint="eastAsia" w:ascii="宋体" w:hAnsi="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u w:val="single"/>
          <w:lang w:val="zh-CN" w:bidi="zh-CN"/>
        </w:rPr>
        <w:t xml:space="preserve">（□中型企业、□小型企业、□微型企业）</w:t>
      </w:r>
      <w:r>
        <w:rPr>
          <w:rFonts w:hint="eastAsia" w:ascii="宋体" w:hAnsi="宋体" w:eastAsia="宋体" w:cs="宋体"/>
          <w:color w:val="000000"/>
          <w:sz w:val="21"/>
          <w:szCs w:val="21"/>
          <w:highlight w:val="none"/>
          <w:lang w:val="zh-CN" w:bidi="zh-CN"/>
        </w:rPr>
        <w:t xml:space="preserve">；</w:t>
      </w:r>
      <w:r>
        <w:rPr>
          <w:rFonts w:ascii="宋体" w:hAnsi="宋体" w:cs="宋体"/>
        </w:rPr>
      </w:r>
      <w:r/>
    </w:p>
    <w:p>
      <w:pPr>
        <w:pStyle w:val="885"/>
        <w:ind w:firstLine="420"/>
        <w:spacing w:line="360" w:lineRule="auto"/>
        <w:tabs>
          <w:tab w:val="left" w:pos="1243" w:leader="none"/>
        </w:tabs>
        <w:rPr>
          <w:rFonts w:hint="eastAsia" w:ascii="宋体" w:hAnsi="宋体" w:cs="宋体"/>
          <w:color w:val="000000"/>
          <w:sz w:val="21"/>
          <w:szCs w:val="21"/>
          <w:highlight w:val="none"/>
          <w:u w:val="single"/>
        </w:rPr>
      </w:pPr>
      <w:r>
        <w:rPr>
          <w:rFonts w:hint="eastAsia" w:ascii="宋体" w:hAnsi="宋体" w:cs="宋体"/>
          <w:color w:val="000000"/>
          <w:sz w:val="21"/>
          <w:szCs w:val="21"/>
          <w:highlight w:val="none"/>
          <w:lang w:bidi="zh-CN"/>
        </w:rPr>
        <w:t xml:space="preserve">2</w:t>
      </w:r>
      <w:r>
        <w:rPr>
          <w:rFonts w:hint="eastAsia" w:ascii="宋体" w:hAnsi="宋体" w:cs="宋体"/>
          <w:color w:val="000000"/>
          <w:sz w:val="21"/>
          <w:szCs w:val="21"/>
          <w:highlight w:val="none"/>
          <w:lang w:val="en-US" w:bidi="zh-CN"/>
        </w:rPr>
        <w:t xml:space="preserve">.</w:t>
      </w:r>
      <w:r>
        <w:rPr>
          <w:rFonts w:hint="eastAsia" w:ascii="宋体" w:hAnsi="宋体" w:eastAsia="宋体" w:cs="宋体"/>
          <w:color w:val="000000"/>
          <w:sz w:val="21"/>
          <w:szCs w:val="21"/>
          <w:highlight w:val="none"/>
          <w:u w:val="single"/>
          <w:lang w:val="zh-CN" w:bidi="zh-CN"/>
        </w:rPr>
        <w:t xml:space="preserve">（标的名称）</w:t>
      </w:r>
      <w:r>
        <w:rPr>
          <w:rFonts w:hint="eastAsia" w:ascii="宋体" w:hAnsi="宋体" w:eastAsia="宋体" w:cs="宋体"/>
          <w:color w:val="000000"/>
          <w:sz w:val="21"/>
          <w:szCs w:val="21"/>
          <w:highlight w:val="none"/>
          <w:lang w:val="zh-CN" w:bidi="zh-CN"/>
        </w:rPr>
        <w:t xml:space="preserve">，属于（</w:t>
      </w:r>
      <w:r>
        <w:rPr>
          <w:rFonts w:hint="eastAsia" w:ascii="宋体" w:hAnsi="宋体" w:eastAsia="宋体" w:cs="宋体"/>
          <w:color w:val="000000"/>
          <w:sz w:val="21"/>
          <w:szCs w:val="21"/>
          <w:highlight w:val="none"/>
          <w:u w:val="single"/>
          <w:lang w:val="zh-CN" w:bidi="zh-CN"/>
        </w:rPr>
        <w:t xml:space="preserve">工业</w:t>
      </w:r>
      <w:r>
        <w:rPr>
          <w:rFonts w:hint="eastAsia" w:ascii="宋体" w:hAnsi="宋体" w:eastAsia="宋体" w:cs="宋体"/>
          <w:color w:val="000000"/>
          <w:sz w:val="21"/>
          <w:szCs w:val="21"/>
          <w:highlight w:val="none"/>
          <w:u w:val="single"/>
          <w:lang w:val="zh-CN" w:bidi="zh-CN"/>
        </w:rPr>
        <w:t xml:space="preserve">）</w:t>
      </w:r>
      <w:r>
        <w:rPr>
          <w:rFonts w:hint="eastAsia" w:ascii="宋体" w:hAnsi="宋体" w:eastAsia="宋体" w:cs="宋体"/>
          <w:color w:val="000000"/>
          <w:sz w:val="21"/>
          <w:szCs w:val="21"/>
          <w:highlight w:val="none"/>
          <w:lang w:val="zh-CN" w:bidi="zh-CN"/>
        </w:rPr>
        <w:t xml:space="preserve">；</w:t>
      </w:r>
      <w:r>
        <w:rPr>
          <w:rFonts w:hint="eastAsia" w:ascii="宋体" w:hAnsi="宋体" w:eastAsia="宋体" w:cs="宋体"/>
          <w:color w:val="000000"/>
          <w:sz w:val="21"/>
          <w:szCs w:val="21"/>
          <w:highlight w:val="none"/>
          <w:lang w:bidi="zh-CN"/>
        </w:rPr>
        <w:t xml:space="preserve">制造商</w:t>
      </w:r>
      <w:r>
        <w:rPr>
          <w:rFonts w:hint="eastAsia" w:ascii="宋体" w:hAnsi="宋体" w:eastAsia="宋体" w:cs="宋体"/>
          <w:color w:val="000000"/>
          <w:sz w:val="21"/>
          <w:szCs w:val="21"/>
          <w:highlight w:val="none"/>
          <w:lang w:val="zh-CN" w:bidi="zh-CN"/>
        </w:rPr>
        <w:t xml:space="preserve">为</w:t>
      </w:r>
      <w:r>
        <w:rPr>
          <w:rFonts w:hint="eastAsia" w:ascii="宋体" w:hAnsi="宋体" w:eastAsia="宋体" w:cs="宋体"/>
          <w:color w:val="000000"/>
          <w:sz w:val="21"/>
          <w:szCs w:val="21"/>
          <w:highlight w:val="none"/>
          <w:u w:val="single"/>
          <w:lang w:val="zh-CN" w:bidi="zh-CN"/>
        </w:rPr>
        <w:t xml:space="preserve">（企业名称）</w:t>
      </w:r>
      <w:r>
        <w:rPr>
          <w:rFonts w:hint="eastAsia" w:ascii="宋体" w:hAnsi="宋体" w:eastAsia="宋体" w:cs="宋体"/>
          <w:color w:val="000000"/>
          <w:sz w:val="21"/>
          <w:szCs w:val="21"/>
          <w:highlight w:val="none"/>
          <w:lang w:val="zh-CN" w:bidi="zh-CN"/>
        </w:rPr>
        <w:t xml:space="preserve">，从业人员</w:t>
      </w:r>
      <w:r>
        <w:rPr>
          <w:rFonts w:hint="eastAsia" w:ascii="宋体" w:hAnsi="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lang w:val="zh-CN" w:bidi="zh-CN"/>
        </w:rPr>
        <w:t xml:space="preserve">人，营业收入为</w:t>
      </w:r>
      <w:r>
        <w:rPr>
          <w:rFonts w:hint="eastAsia" w:ascii="宋体" w:hAnsi="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lang w:val="zh-CN" w:bidi="zh-CN"/>
        </w:rPr>
        <w:t xml:space="preserve">万元，资产总额为</w:t>
      </w:r>
      <w:r>
        <w:rPr>
          <w:rFonts w:hint="eastAsia" w:ascii="宋体" w:hAnsi="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lang w:val="zh-CN" w:bidi="zh-CN"/>
        </w:rPr>
        <w:t xml:space="preserve">万元，属于</w:t>
      </w:r>
      <w:r>
        <w:rPr>
          <w:rFonts w:hint="eastAsia" w:ascii="宋体" w:hAnsi="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u w:val="single"/>
          <w:lang w:val="zh-CN" w:bidi="zh-CN"/>
        </w:rPr>
        <w:t xml:space="preserve">（□中型企业、□小型企业、□微型企业）</w:t>
      </w:r>
      <w:r>
        <w:rPr>
          <w:rFonts w:hint="eastAsia" w:ascii="宋体" w:hAnsi="宋体" w:eastAsia="宋体" w:cs="宋体"/>
          <w:color w:val="000000"/>
          <w:sz w:val="21"/>
          <w:szCs w:val="21"/>
          <w:highlight w:val="none"/>
          <w:lang w:val="zh-CN" w:bidi="zh-CN"/>
        </w:rPr>
        <w:t xml:space="preserve">；</w:t>
      </w:r>
      <w:r>
        <w:rPr>
          <w:rFonts w:ascii="宋体" w:hAnsi="宋体" w:cs="宋体"/>
        </w:rPr>
      </w:r>
      <w:r/>
    </w:p>
    <w:p>
      <w:pPr>
        <w:pStyle w:val="885"/>
        <w:ind w:firstLine="420"/>
        <w:spacing w:line="360" w:lineRule="auto"/>
        <w:tabs>
          <w:tab w:val="left" w:pos="1243" w:leader="none"/>
        </w:tabs>
        <w:rPr>
          <w:rFonts w:hint="eastAsia" w:ascii="宋体" w:hAnsi="宋体" w:cs="宋体"/>
          <w:color w:val="000000"/>
          <w:sz w:val="21"/>
          <w:szCs w:val="21"/>
          <w:highlight w:val="none"/>
          <w:u w:val="single"/>
        </w:rPr>
      </w:pPr>
      <w:r>
        <w:rPr>
          <w:rFonts w:hint="eastAsia" w:ascii="宋体" w:hAnsi="宋体" w:cs="宋体"/>
          <w:color w:val="000000"/>
          <w:sz w:val="21"/>
          <w:szCs w:val="21"/>
          <w:highlight w:val="none"/>
          <w:lang w:bidi="zh-CN"/>
        </w:rPr>
        <w:t xml:space="preserve">3</w:t>
      </w:r>
      <w:r>
        <w:rPr>
          <w:rFonts w:hint="eastAsia" w:ascii="宋体" w:hAnsi="宋体" w:cs="宋体"/>
          <w:color w:val="000000"/>
          <w:sz w:val="21"/>
          <w:szCs w:val="21"/>
          <w:highlight w:val="none"/>
          <w:lang w:val="en-US" w:bidi="zh-CN"/>
        </w:rPr>
        <w:t xml:space="preserve">.</w:t>
      </w:r>
      <w:r>
        <w:rPr>
          <w:rFonts w:hint="eastAsia" w:ascii="宋体" w:hAnsi="宋体" w:eastAsia="宋体" w:cs="宋体"/>
          <w:color w:val="000000"/>
          <w:sz w:val="21"/>
          <w:szCs w:val="21"/>
          <w:highlight w:val="none"/>
          <w:u w:val="single"/>
          <w:lang w:val="zh-CN" w:bidi="zh-CN"/>
        </w:rPr>
        <w:t xml:space="preserve">（标的名称）</w:t>
      </w:r>
      <w:r>
        <w:rPr>
          <w:rFonts w:hint="eastAsia" w:ascii="宋体" w:hAnsi="宋体" w:eastAsia="宋体" w:cs="宋体"/>
          <w:color w:val="000000"/>
          <w:sz w:val="21"/>
          <w:szCs w:val="21"/>
          <w:highlight w:val="none"/>
          <w:lang w:val="zh-CN" w:bidi="zh-CN"/>
        </w:rPr>
        <w:t xml:space="preserve">，属于（</w:t>
      </w:r>
      <w:r>
        <w:rPr>
          <w:rFonts w:hint="eastAsia" w:ascii="宋体" w:hAnsi="宋体" w:eastAsia="宋体" w:cs="宋体"/>
          <w:color w:val="000000"/>
          <w:sz w:val="21"/>
          <w:szCs w:val="21"/>
          <w:highlight w:val="none"/>
          <w:u w:val="single"/>
          <w:lang w:val="zh-CN" w:bidi="zh-CN"/>
        </w:rPr>
        <w:t xml:space="preserve">工业</w:t>
      </w:r>
      <w:r>
        <w:rPr>
          <w:rFonts w:hint="eastAsia" w:ascii="宋体" w:hAnsi="宋体" w:eastAsia="宋体" w:cs="宋体"/>
          <w:color w:val="000000"/>
          <w:sz w:val="21"/>
          <w:szCs w:val="21"/>
          <w:highlight w:val="none"/>
          <w:u w:val="single"/>
          <w:lang w:val="zh-CN" w:bidi="zh-CN"/>
        </w:rPr>
        <w:t xml:space="preserve">）</w:t>
      </w:r>
      <w:r>
        <w:rPr>
          <w:rFonts w:hint="eastAsia" w:ascii="宋体" w:hAnsi="宋体" w:eastAsia="宋体" w:cs="宋体"/>
          <w:color w:val="000000"/>
          <w:sz w:val="21"/>
          <w:szCs w:val="21"/>
          <w:highlight w:val="none"/>
          <w:lang w:val="zh-CN" w:bidi="zh-CN"/>
        </w:rPr>
        <w:t xml:space="preserve">；</w:t>
      </w:r>
      <w:r>
        <w:rPr>
          <w:rFonts w:hint="eastAsia" w:ascii="宋体" w:hAnsi="宋体" w:eastAsia="宋体" w:cs="宋体"/>
          <w:color w:val="000000"/>
          <w:sz w:val="21"/>
          <w:szCs w:val="21"/>
          <w:highlight w:val="none"/>
          <w:lang w:bidi="zh-CN"/>
        </w:rPr>
        <w:t xml:space="preserve">制造商</w:t>
      </w:r>
      <w:r>
        <w:rPr>
          <w:rFonts w:hint="eastAsia" w:ascii="宋体" w:hAnsi="宋体" w:eastAsia="宋体" w:cs="宋体"/>
          <w:color w:val="000000"/>
          <w:sz w:val="21"/>
          <w:szCs w:val="21"/>
          <w:highlight w:val="none"/>
          <w:lang w:val="zh-CN" w:bidi="zh-CN"/>
        </w:rPr>
        <w:t xml:space="preserve">为</w:t>
      </w:r>
      <w:r>
        <w:rPr>
          <w:rFonts w:hint="eastAsia" w:ascii="宋体" w:hAnsi="宋体" w:eastAsia="宋体" w:cs="宋体"/>
          <w:color w:val="000000"/>
          <w:sz w:val="21"/>
          <w:szCs w:val="21"/>
          <w:highlight w:val="none"/>
          <w:u w:val="single"/>
          <w:lang w:val="zh-CN" w:bidi="zh-CN"/>
        </w:rPr>
        <w:t xml:space="preserve">（企业名称）</w:t>
      </w:r>
      <w:r>
        <w:rPr>
          <w:rFonts w:hint="eastAsia" w:ascii="宋体" w:hAnsi="宋体" w:eastAsia="宋体" w:cs="宋体"/>
          <w:color w:val="000000"/>
          <w:sz w:val="21"/>
          <w:szCs w:val="21"/>
          <w:highlight w:val="none"/>
          <w:lang w:val="zh-CN" w:bidi="zh-CN"/>
        </w:rPr>
        <w:t xml:space="preserve">，从业人员</w:t>
      </w:r>
      <w:r>
        <w:rPr>
          <w:rFonts w:hint="eastAsia" w:ascii="宋体" w:hAnsi="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lang w:val="zh-CN" w:bidi="zh-CN"/>
        </w:rPr>
        <w:t xml:space="preserve">人，营业收入为</w:t>
      </w:r>
      <w:r>
        <w:rPr>
          <w:rFonts w:hint="eastAsia" w:ascii="宋体" w:hAnsi="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lang w:val="zh-CN" w:bidi="zh-CN"/>
        </w:rPr>
        <w:t xml:space="preserve">万元，资产总额为</w:t>
      </w:r>
      <w:r>
        <w:rPr>
          <w:rFonts w:hint="eastAsia" w:ascii="宋体" w:hAnsi="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lang w:val="zh-CN" w:bidi="zh-CN"/>
        </w:rPr>
        <w:t xml:space="preserve">万元，属于</w:t>
      </w:r>
      <w:r>
        <w:rPr>
          <w:rFonts w:hint="eastAsia" w:ascii="宋体" w:hAnsi="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u w:val="single"/>
          <w:lang w:val="zh-CN" w:bidi="zh-CN"/>
        </w:rPr>
        <w:t xml:space="preserve">（□中型企业、□小型企业、□微型企业）</w:t>
      </w:r>
      <w:r>
        <w:rPr>
          <w:rFonts w:hint="eastAsia" w:ascii="宋体" w:hAnsi="宋体" w:eastAsia="宋体" w:cs="宋体"/>
          <w:color w:val="000000"/>
          <w:sz w:val="21"/>
          <w:szCs w:val="21"/>
          <w:highlight w:val="none"/>
          <w:lang w:val="zh-CN" w:bidi="zh-CN"/>
        </w:rPr>
        <w:t xml:space="preserve">；</w:t>
      </w:r>
      <w:r>
        <w:rPr>
          <w:rFonts w:ascii="宋体" w:hAnsi="宋体" w:cs="宋体"/>
        </w:rPr>
      </w:r>
      <w:r/>
    </w:p>
    <w:p>
      <w:pPr>
        <w:pStyle w:val="885"/>
        <w:ind w:firstLine="420"/>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cs="宋体"/>
        </w:rPr>
      </w:r>
      <w:r/>
    </w:p>
    <w:p>
      <w:pPr>
        <w:pStyle w:val="1106"/>
        <w:ind w:firstLine="420"/>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ascii="宋体" w:hAnsi="宋体" w:cs="宋体"/>
        </w:rPr>
      </w:r>
      <w:r/>
    </w:p>
    <w:p>
      <w:pPr>
        <w:pStyle w:val="885"/>
        <w:ind w:firstLine="420"/>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rFonts w:ascii="宋体" w:hAnsi="宋体" w:cs="宋体"/>
        </w:rPr>
      </w:r>
      <w:r/>
    </w:p>
    <w:p>
      <w:pPr>
        <w:pStyle w:val="885"/>
        <w:ind w:firstLine="420"/>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w:t>
      </w:r>
      <w:r>
        <w:rPr>
          <w:rFonts w:ascii="宋体" w:hAnsi="宋体" w:cs="宋体"/>
        </w:rPr>
      </w:r>
      <w:r/>
    </w:p>
    <w:p>
      <w:pPr>
        <w:pStyle w:val="1106"/>
        <w:ind w:firstLine="420"/>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ascii="宋体" w:hAnsi="宋体" w:cs="宋体"/>
        </w:rPr>
      </w:r>
      <w:r/>
    </w:p>
    <w:p>
      <w:pPr>
        <w:pStyle w:val="885"/>
        <w:ind w:firstLine="630"/>
        <w:jc w:val="center"/>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   企业名称（盖章）：</w:t>
      </w:r>
      <w:r>
        <w:rPr>
          <w:rFonts w:ascii="宋体" w:hAnsi="宋体" w:cs="宋体"/>
        </w:rPr>
      </w:r>
      <w:r/>
    </w:p>
    <w:p>
      <w:pPr>
        <w:pStyle w:val="885"/>
        <w:ind w:firstLine="4515"/>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ascii="宋体" w:hAnsi="宋体" w:cs="宋体"/>
        </w:rPr>
      </w:r>
      <w:r/>
    </w:p>
    <w:p>
      <w:pPr>
        <w:pStyle w:val="885"/>
        <w:ind w:firstLine="63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ascii="宋体" w:hAnsi="宋体" w:cs="宋体"/>
        </w:rPr>
      </w:r>
      <w:r/>
    </w:p>
    <w:p>
      <w:pPr>
        <w:pStyle w:val="885"/>
        <w:ind w:firstLine="200"/>
        <w:jc w:val="lef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 </w:t>
      </w:r>
      <w:r>
        <w:rPr>
          <w:rFonts w:ascii="宋体" w:hAnsi="宋体" w:cs="宋体"/>
        </w:rPr>
      </w:r>
      <w:r/>
    </w:p>
    <w:p>
      <w:pPr>
        <w:pStyle w:val="885"/>
        <w:spacing w:line="440" w:lineRule="exact"/>
        <w:rPr>
          <w:rFonts w:hint="eastAsia" w:ascii="宋体" w:hAnsi="宋体" w:cs="宋体"/>
          <w:bCs/>
          <w:color w:val="000000"/>
          <w:sz w:val="21"/>
          <w:szCs w:val="21"/>
          <w:highlight w:val="none"/>
        </w:rPr>
      </w:pPr>
      <w:r>
        <w:rPr>
          <w:rFonts w:hint="eastAsia" w:ascii="宋体" w:hAnsi="宋体" w:eastAsia="宋体" w:cs="宋体"/>
          <w:b/>
          <w:color w:val="000000"/>
          <w:sz w:val="21"/>
          <w:szCs w:val="21"/>
          <w:highlight w:val="none"/>
        </w:rPr>
        <w:t xml:space="preserve">注：</w:t>
      </w:r>
      <w:r>
        <w:rPr>
          <w:rFonts w:hint="eastAsia" w:ascii="宋体" w:hAnsi="宋体" w:eastAsia="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从业人员、营业收入、资产总额填报上一年度数据，无上一年度数据的新成立企业可不填报。</w:t>
      </w:r>
      <w:r>
        <w:rPr>
          <w:rFonts w:ascii="宋体" w:hAnsi="宋体" w:cs="宋体"/>
        </w:rPr>
      </w:r>
      <w:r/>
    </w:p>
    <w:p>
      <w:pPr>
        <w:pStyle w:val="885"/>
        <w:ind w:firstLine="420"/>
        <w:spacing w:line="440" w:lineRule="exact"/>
        <w:rPr>
          <w:rFonts w:hint="eastAsia" w:ascii="宋体" w:hAnsi="宋体" w:cs="宋体"/>
          <w:b/>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在货物采购项目中，货物由中小企业制造，即货物由中小企业生产且使用该中小企业商号或者注册商标。</w:t>
      </w:r>
      <w:r>
        <w:rPr>
          <w:rFonts w:hint="eastAsia" w:ascii="宋体" w:hAnsi="宋体" w:eastAsia="宋体" w:cs="宋体"/>
          <w:b/>
          <w:color w:val="000000"/>
          <w:sz w:val="21"/>
          <w:szCs w:val="21"/>
          <w:highlight w:val="none"/>
        </w:rPr>
        <w:t xml:space="preserve">供应商提供的货物既有中小企业制造货物，也有大型企业制造货物的，不享受相应扶持政策。</w:t>
      </w:r>
      <w:r>
        <w:rPr>
          <w:rFonts w:ascii="宋体" w:hAnsi="宋体" w:cs="宋体"/>
        </w:rPr>
      </w:r>
      <w:r/>
    </w:p>
    <w:p>
      <w:pPr>
        <w:pStyle w:val="885"/>
        <w:ind w:firstLine="420"/>
        <w:spacing w:line="440" w:lineRule="exact"/>
        <w:rPr>
          <w:rFonts w:hint="eastAsia" w:ascii="宋体" w:hAnsi="宋体" w:cs="宋体"/>
          <w:b/>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《中小企业声明函》中所填的行业应与本采购标的对应的中小企业划分标准所属行业一致，不一致的不可享受相应政策优惠。</w:t>
      </w:r>
      <w:r>
        <w:rPr>
          <w:rFonts w:hint="eastAsia" w:ascii="宋体" w:hAnsi="宋体" w:eastAsia="宋体" w:cs="宋体"/>
          <w:b/>
          <w:bCs/>
          <w:color w:val="000000"/>
          <w:sz w:val="21"/>
          <w:szCs w:val="21"/>
          <w:highlight w:val="none"/>
        </w:rPr>
        <w:t xml:space="preserve">本采购标的对应的中小企业划分标准所属行业</w:t>
      </w:r>
      <w:r>
        <w:rPr>
          <w:rFonts w:hint="eastAsia" w:ascii="宋体" w:hAnsi="宋体" w:eastAsia="宋体" w:cs="宋体"/>
          <w:b/>
          <w:bCs/>
          <w:color w:val="000000"/>
          <w:sz w:val="21"/>
          <w:szCs w:val="21"/>
          <w:highlight w:val="none"/>
          <w:lang w:eastAsia="zh-CN"/>
        </w:rPr>
        <w:t xml:space="preserve">为工业</w:t>
      </w:r>
      <w:r>
        <w:rPr>
          <w:rFonts w:hint="eastAsia" w:ascii="宋体" w:hAnsi="宋体" w:eastAsia="宋体" w:cs="宋体"/>
          <w:b/>
          <w:bCs/>
          <w:color w:val="000000"/>
          <w:sz w:val="21"/>
          <w:szCs w:val="21"/>
          <w:highlight w:val="none"/>
        </w:rPr>
        <w:t xml:space="preserve">。</w:t>
      </w:r>
      <w:r>
        <w:rPr>
          <w:rFonts w:ascii="宋体" w:hAnsi="宋体" w:cs="宋体"/>
        </w:rPr>
      </w:r>
      <w:r/>
    </w:p>
    <w:p>
      <w:pPr>
        <w:pStyle w:val="885"/>
        <w:ind w:firstLine="422"/>
        <w:spacing w:line="440" w:lineRule="exact"/>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如未对（</w:t>
      </w:r>
      <w:r>
        <w:rPr>
          <w:rFonts w:hint="eastAsia" w:ascii="宋体" w:hAnsi="宋体" w:eastAsia="宋体" w:cs="宋体"/>
          <w:b/>
          <w:color w:val="000000"/>
          <w:sz w:val="21"/>
          <w:szCs w:val="21"/>
          <w:highlight w:val="none"/>
          <w:lang w:val="zh-CN"/>
        </w:rPr>
        <w:t xml:space="preserve">□中型企业、□小型企业、□微型企业</w:t>
      </w:r>
      <w:r>
        <w:rPr>
          <w:rFonts w:hint="eastAsia" w:ascii="宋体" w:hAnsi="宋体" w:eastAsia="宋体" w:cs="宋体"/>
          <w:b/>
          <w:color w:val="000000"/>
          <w:sz w:val="21"/>
          <w:szCs w:val="21"/>
          <w:highlight w:val="none"/>
        </w:rPr>
        <w:t xml:space="preserve">）进行勾选，视同不享受中小微企业相关扶持政策，因此产生的一切不利后果由供应商自行承担。</w:t>
      </w:r>
      <w:r>
        <w:rPr>
          <w:rFonts w:ascii="宋体" w:hAnsi="宋体" w:cs="宋体"/>
        </w:rPr>
      </w:r>
      <w:r/>
    </w:p>
    <w:p>
      <w:pPr>
        <w:pStyle w:val="885"/>
        <w:ind w:firstLine="420"/>
        <w:spacing w:line="440" w:lineRule="exact"/>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中标单位享受中小企业扶持政策的，《中小企业声明函》将随中标结果同时公告。</w:t>
      </w:r>
      <w:r>
        <w:rPr>
          <w:rFonts w:ascii="宋体" w:hAnsi="宋体" w:cs="宋体"/>
        </w:rPr>
      </w:r>
      <w:r/>
    </w:p>
    <w:p>
      <w:pPr>
        <w:pStyle w:val="932"/>
        <w:rPr>
          <w:rFonts w:hint="eastAsia" w:ascii="宋体" w:hAnsi="宋体" w:cs="宋体"/>
          <w:b/>
          <w:color w:val="000000"/>
          <w:szCs w:val="21"/>
          <w:highlight w:val="none"/>
        </w:rPr>
      </w:pPr>
      <w:r>
        <w:rPr>
          <w:rFonts w:hint="eastAsia" w:ascii="宋体" w:hAnsi="宋体" w:cs="宋体"/>
          <w:b/>
          <w:color w:val="000000"/>
          <w:szCs w:val="21"/>
          <w:highlight w:val="none"/>
        </w:rPr>
      </w:r>
      <w:r>
        <w:rPr>
          <w:rFonts w:ascii="宋体" w:hAnsi="宋体" w:cs="宋体"/>
        </w:rPr>
      </w:r>
      <w:r/>
    </w:p>
    <w:p>
      <w:pPr>
        <w:pStyle w:val="932"/>
        <w:rPr>
          <w:rFonts w:hint="eastAsia" w:ascii="宋体" w:hAnsi="宋体" w:cs="宋体"/>
          <w:b/>
          <w:color w:val="000000"/>
          <w:szCs w:val="21"/>
          <w:highlight w:val="none"/>
        </w:rPr>
      </w:pPr>
      <w:r>
        <w:rPr>
          <w:rFonts w:hint="eastAsia" w:ascii="宋体" w:hAnsi="宋体" w:cs="宋体"/>
          <w:b/>
          <w:color w:val="000000"/>
          <w:szCs w:val="21"/>
          <w:highlight w:val="none"/>
        </w:rPr>
      </w:r>
      <w:r>
        <w:rPr>
          <w:rFonts w:ascii="宋体" w:hAnsi="宋体" w:cs="宋体"/>
        </w:rPr>
      </w:r>
      <w:r/>
    </w:p>
    <w:p>
      <w:pPr>
        <w:pStyle w:val="932"/>
        <w:rPr>
          <w:rFonts w:hint="eastAsia" w:ascii="宋体" w:hAnsi="宋体" w:cs="宋体"/>
          <w:b/>
          <w:color w:val="000000"/>
          <w:szCs w:val="21"/>
          <w:highlight w:val="none"/>
        </w:rPr>
      </w:pPr>
      <w:r>
        <w:rPr>
          <w:rFonts w:hint="eastAsia" w:ascii="宋体" w:hAnsi="宋体" w:cs="宋体"/>
          <w:b/>
          <w:color w:val="000000"/>
          <w:szCs w:val="21"/>
          <w:highlight w:val="none"/>
        </w:rPr>
      </w:r>
      <w:r>
        <w:rPr>
          <w:rFonts w:ascii="宋体" w:hAnsi="宋体" w:cs="宋体"/>
        </w:rPr>
      </w:r>
      <w:r/>
    </w:p>
    <w:p>
      <w:pPr>
        <w:spacing w:line="440" w:lineRule="exact"/>
        <w:rPr>
          <w:rFonts w:hint="eastAsia" w:ascii="宋体" w:hAnsi="宋体" w:cs="宋体"/>
          <w:b/>
          <w:bCs/>
          <w:color w:val="000000"/>
          <w:sz w:val="21"/>
          <w:szCs w:val="21"/>
          <w:highlight w:val="none"/>
        </w:rPr>
      </w:pPr>
      <w:r>
        <w:rPr>
          <w:rFonts w:hint="eastAsia" w:ascii="宋体" w:hAnsi="宋体" w:cs="宋体"/>
          <w:b/>
          <w:color w:val="000000"/>
          <w:sz w:val="21"/>
          <w:szCs w:val="21"/>
          <w:highlight w:val="none"/>
        </w:rPr>
      </w:r>
      <w:r>
        <w:rPr>
          <w:rFonts w:hint="eastAsia" w:ascii="宋体" w:hAnsi="宋体" w:cs="宋体"/>
          <w:b/>
          <w:color w:val="000000"/>
          <w:sz w:val="21"/>
          <w:szCs w:val="21"/>
          <w:highlight w:val="none"/>
        </w:rPr>
      </w:r>
      <w:r/>
    </w:p>
    <w:p>
      <w:pPr>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r/>
    </w:p>
    <w:p>
      <w:pPr>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r/>
    </w:p>
    <w:p>
      <w:pPr>
        <w:pStyle w:val="885"/>
        <w:spacing w:line="440" w:lineRule="exact"/>
        <w:rPr>
          <w:rFonts w:hint="eastAsia" w:ascii="宋体" w:hAnsi="宋体" w:cs="宋体"/>
          <w:b/>
          <w:bCs/>
          <w:color w:val="000000"/>
          <w:sz w:val="21"/>
          <w:szCs w:val="21"/>
          <w:highlight w:val="none"/>
        </w:rPr>
      </w:pPr>
      <w:r>
        <w:rPr>
          <w:rFonts w:hint="eastAsia" w:ascii="宋体" w:hAnsi="宋体" w:cs="宋体"/>
          <w:b/>
          <w:color w:val="000000"/>
          <w:sz w:val="21"/>
          <w:szCs w:val="21"/>
          <w:highlight w:val="none"/>
        </w:rPr>
      </w:r>
      <w:r>
        <w:rPr>
          <w:rFonts w:ascii="宋体" w:hAnsi="宋体" w:cs="宋体"/>
        </w:rPr>
      </w:r>
      <w:r/>
    </w:p>
    <w:p>
      <w:pPr>
        <w:pStyle w:val="885"/>
        <w:jc w:val="center"/>
        <w:spacing w:line="400" w:lineRule="exact"/>
        <w:rPr>
          <w:rFonts w:ascii="宋体" w:hAnsi="宋体" w:cs="宋体"/>
          <w:b/>
          <w:color w:val="000000"/>
          <w:sz w:val="21"/>
          <w:szCs w:val="21"/>
          <w:highlight w:val="none"/>
        </w:rPr>
      </w:pPr>
      <w:r>
        <w:rPr>
          <w:rFonts w:hint="eastAsia" w:ascii="宋体" w:hAnsi="宋体" w:eastAsia="宋体" w:cs="宋体"/>
          <w:b/>
          <w:color w:val="000000"/>
          <w:sz w:val="21"/>
          <w:szCs w:val="21"/>
          <w:highlight w:val="none"/>
          <w:lang w:val="zh-CN"/>
        </w:rPr>
        <w:t xml:space="preserve">中小企业声明函</w:t>
      </w:r>
      <w:r>
        <w:rPr>
          <w:rFonts w:hint="eastAsia" w:ascii="宋体" w:hAnsi="宋体" w:eastAsia="宋体" w:cs="宋体"/>
          <w:b/>
          <w:color w:val="000000"/>
          <w:sz w:val="21"/>
          <w:szCs w:val="21"/>
          <w:highlight w:val="none"/>
          <w:lang w:eastAsia="zh-CN"/>
        </w:rPr>
        <w:t xml:space="preserve">（第二标段）</w:t>
      </w:r>
      <w:r>
        <w:rPr>
          <w:rFonts w:ascii="宋体" w:hAnsi="宋体" w:cs="宋体"/>
        </w:rPr>
      </w:r>
      <w:r/>
    </w:p>
    <w:p>
      <w:pPr>
        <w:pStyle w:val="885"/>
        <w:spacing w:line="40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CN"/>
        </w:rPr>
        <w:t xml:space="preserve">：</w:t>
      </w:r>
      <w:r>
        <w:rPr>
          <w:rFonts w:ascii="宋体" w:hAnsi="宋体" w:cs="宋体"/>
        </w:rPr>
      </w:r>
      <w:r/>
    </w:p>
    <w:p>
      <w:pPr>
        <w:pStyle w:val="885"/>
        <w:ind w:firstLine="420"/>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本公司郑重声明，根据《政府采购促进中小企业发展管理办法》（财库﹝2020﹞46 号）的规定，本公司（联合体）参加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（项目名称）</w:t>
      </w:r>
      <w:r>
        <w:rPr>
          <w:rFonts w:hint="eastAsia" w:ascii="宋体" w:hAnsi="宋体" w:eastAsia="宋体" w:cs="宋体"/>
          <w:color w:val="000000"/>
          <w:sz w:val="21"/>
          <w:szCs w:val="21"/>
          <w:highlight w:val="none"/>
        </w:rPr>
        <w:t xml:space="preserve">采购活动，提供的货物全部由符合政策要求的中小企业制造。相关企业（含联合体中的中小企业、签订分包意向协议的中小企业）的具体情况如下：</w:t>
      </w:r>
      <w:r>
        <w:rPr>
          <w:rFonts w:ascii="宋体" w:hAnsi="宋体" w:cs="宋体"/>
        </w:rPr>
      </w:r>
      <w:r/>
    </w:p>
    <w:p>
      <w:pPr>
        <w:pStyle w:val="885"/>
        <w:ind w:firstLine="420"/>
        <w:spacing w:line="360" w:lineRule="auto"/>
        <w:tabs>
          <w:tab w:val="left" w:pos="1243" w:leader="none"/>
        </w:tabs>
        <w:rPr>
          <w:rFonts w:hint="eastAsia" w:ascii="宋体" w:hAnsi="宋体" w:cs="宋体"/>
          <w:color w:val="000000"/>
          <w:sz w:val="21"/>
          <w:szCs w:val="21"/>
          <w:highlight w:val="none"/>
          <w:u w:val="single"/>
        </w:rPr>
      </w:pPr>
      <w:r>
        <w:rPr>
          <w:rFonts w:hint="eastAsia" w:ascii="宋体" w:hAnsi="宋体" w:eastAsia="宋体" w:cs="宋体"/>
          <w:color w:val="000000"/>
          <w:sz w:val="21"/>
          <w:szCs w:val="21"/>
          <w:highlight w:val="none"/>
          <w:lang w:bidi="zh-CN"/>
        </w:rPr>
        <w:t xml:space="preserve">1</w:t>
      </w:r>
      <w:r>
        <w:rPr>
          <w:rFonts w:hint="eastAsia" w:ascii="宋体" w:hAnsi="宋体" w:eastAsia="宋体" w:cs="宋体"/>
          <w:color w:val="000000"/>
          <w:sz w:val="21"/>
          <w:szCs w:val="21"/>
          <w:highlight w:val="none"/>
          <w:lang w:val="en-US" w:bidi="zh-CN"/>
        </w:rPr>
        <w:t xml:space="preserve">.</w:t>
      </w:r>
      <w:r>
        <w:rPr>
          <w:rFonts w:hint="eastAsia" w:ascii="宋体" w:hAnsi="宋体" w:eastAsia="宋体" w:cs="宋体"/>
          <w:color w:val="000000"/>
          <w:sz w:val="21"/>
          <w:szCs w:val="21"/>
          <w:highlight w:val="none"/>
          <w:u w:val="single"/>
          <w:lang w:val="zh-CN" w:bidi="zh-CN"/>
        </w:rPr>
        <w:t xml:space="preserve">（标的名称）</w:t>
      </w:r>
      <w:r>
        <w:rPr>
          <w:rFonts w:hint="eastAsia" w:ascii="宋体" w:hAnsi="宋体" w:eastAsia="宋体" w:cs="宋体"/>
          <w:color w:val="000000"/>
          <w:sz w:val="21"/>
          <w:szCs w:val="21"/>
          <w:highlight w:val="none"/>
          <w:lang w:val="zh-CN" w:bidi="zh-CN"/>
        </w:rPr>
        <w:t xml:space="preserve">，属于（</w:t>
      </w:r>
      <w:r>
        <w:rPr>
          <w:rFonts w:hint="eastAsia" w:ascii="宋体" w:hAnsi="宋体" w:eastAsia="宋体" w:cs="宋体"/>
          <w:color w:val="000000"/>
          <w:sz w:val="21"/>
          <w:szCs w:val="21"/>
          <w:highlight w:val="none"/>
          <w:u w:val="single"/>
          <w:lang w:val="zh-CN" w:bidi="zh-CN"/>
        </w:rPr>
        <w:t xml:space="preserve">工业）</w:t>
      </w:r>
      <w:r>
        <w:rPr>
          <w:rFonts w:hint="eastAsia" w:ascii="宋体" w:hAnsi="宋体" w:eastAsia="宋体" w:cs="宋体"/>
          <w:color w:val="000000"/>
          <w:sz w:val="21"/>
          <w:szCs w:val="21"/>
          <w:highlight w:val="none"/>
          <w:lang w:val="zh-CN" w:bidi="zh-CN"/>
        </w:rPr>
        <w:t xml:space="preserve">；</w:t>
      </w:r>
      <w:r>
        <w:rPr>
          <w:rFonts w:hint="eastAsia" w:ascii="宋体" w:hAnsi="宋体" w:eastAsia="宋体" w:cs="宋体"/>
          <w:color w:val="000000"/>
          <w:sz w:val="21"/>
          <w:szCs w:val="21"/>
          <w:highlight w:val="none"/>
          <w:lang w:bidi="zh-CN"/>
        </w:rPr>
        <w:t xml:space="preserve">制造商</w:t>
      </w:r>
      <w:r>
        <w:rPr>
          <w:rFonts w:hint="eastAsia" w:ascii="宋体" w:hAnsi="宋体" w:eastAsia="宋体" w:cs="宋体"/>
          <w:color w:val="000000"/>
          <w:sz w:val="21"/>
          <w:szCs w:val="21"/>
          <w:highlight w:val="none"/>
          <w:lang w:val="zh-CN" w:bidi="zh-CN"/>
        </w:rPr>
        <w:t xml:space="preserve">为</w:t>
      </w:r>
      <w:r>
        <w:rPr>
          <w:rFonts w:hint="eastAsia" w:ascii="宋体" w:hAnsi="宋体" w:eastAsia="宋体" w:cs="宋体"/>
          <w:color w:val="000000"/>
          <w:sz w:val="21"/>
          <w:szCs w:val="21"/>
          <w:highlight w:val="none"/>
          <w:u w:val="single"/>
          <w:lang w:val="zh-CN" w:bidi="zh-CN"/>
        </w:rPr>
        <w:t xml:space="preserve">（企业名称）</w:t>
      </w:r>
      <w:r>
        <w:rPr>
          <w:rFonts w:hint="eastAsia" w:ascii="宋体" w:hAnsi="宋体" w:eastAsia="宋体" w:cs="宋体"/>
          <w:color w:val="000000"/>
          <w:sz w:val="21"/>
          <w:szCs w:val="21"/>
          <w:highlight w:val="none"/>
          <w:lang w:val="zh-CN" w:bidi="zh-CN"/>
        </w:rPr>
        <w:t xml:space="preserve">，从业人员</w:t>
      </w:r>
      <w:r>
        <w:rPr>
          <w:rFonts w:hint="eastAsia" w:ascii="宋体" w:hAnsi="宋体" w:eastAsia="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lang w:val="zh-CN" w:bidi="zh-CN"/>
        </w:rPr>
        <w:t xml:space="preserve">人，营业收入为</w:t>
      </w:r>
      <w:r>
        <w:rPr>
          <w:rFonts w:hint="eastAsia" w:ascii="宋体" w:hAnsi="宋体" w:eastAsia="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lang w:val="zh-CN" w:bidi="zh-CN"/>
        </w:rPr>
        <w:t xml:space="preserve">万元，资产总额为</w:t>
      </w:r>
      <w:r>
        <w:rPr>
          <w:rFonts w:hint="eastAsia" w:ascii="宋体" w:hAnsi="宋体" w:eastAsia="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lang w:val="zh-CN" w:bidi="zh-CN"/>
        </w:rPr>
        <w:t xml:space="preserve">万元，属于</w:t>
      </w:r>
      <w:r>
        <w:rPr>
          <w:rFonts w:hint="eastAsia" w:ascii="宋体" w:hAnsi="宋体" w:eastAsia="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u w:val="single"/>
          <w:lang w:val="zh-CN" w:bidi="zh-CN"/>
        </w:rPr>
        <w:t xml:space="preserve">（□中型企业、□小型企业、□微型企业）</w:t>
      </w:r>
      <w:r>
        <w:rPr>
          <w:rFonts w:hint="eastAsia" w:ascii="宋体" w:hAnsi="宋体" w:eastAsia="宋体" w:cs="宋体"/>
          <w:color w:val="000000"/>
          <w:sz w:val="21"/>
          <w:szCs w:val="21"/>
          <w:highlight w:val="none"/>
          <w:lang w:val="zh-CN" w:bidi="zh-CN"/>
        </w:rPr>
        <w:t xml:space="preserve">；</w:t>
      </w:r>
      <w:r>
        <w:rPr>
          <w:rFonts w:ascii="宋体" w:hAnsi="宋体" w:cs="宋体"/>
        </w:rPr>
      </w:r>
      <w:r/>
    </w:p>
    <w:p>
      <w:pPr>
        <w:pStyle w:val="885"/>
        <w:ind w:firstLine="420"/>
        <w:spacing w:line="360" w:lineRule="auto"/>
        <w:tabs>
          <w:tab w:val="left" w:pos="1243" w:leader="none"/>
        </w:tabs>
        <w:rPr>
          <w:rFonts w:hint="eastAsia" w:ascii="宋体" w:hAnsi="宋体" w:cs="宋体"/>
          <w:color w:val="000000"/>
          <w:sz w:val="21"/>
          <w:szCs w:val="21"/>
          <w:highlight w:val="none"/>
          <w:u w:val="single"/>
        </w:rPr>
      </w:pPr>
      <w:r>
        <w:rPr>
          <w:rFonts w:hint="eastAsia" w:ascii="宋体" w:hAnsi="宋体" w:eastAsia="宋体" w:cs="宋体"/>
          <w:color w:val="000000"/>
          <w:sz w:val="21"/>
          <w:szCs w:val="21"/>
          <w:highlight w:val="none"/>
          <w:lang w:bidi="zh-CN"/>
        </w:rPr>
        <w:t xml:space="preserve">2</w:t>
      </w:r>
      <w:r>
        <w:rPr>
          <w:rFonts w:hint="eastAsia" w:ascii="宋体" w:hAnsi="宋体" w:eastAsia="宋体" w:cs="宋体"/>
          <w:color w:val="000000"/>
          <w:sz w:val="21"/>
          <w:szCs w:val="21"/>
          <w:highlight w:val="none"/>
          <w:lang w:val="en-US" w:bidi="zh-CN"/>
        </w:rPr>
        <w:t xml:space="preserve">.</w:t>
      </w:r>
      <w:r>
        <w:rPr>
          <w:rFonts w:hint="eastAsia" w:ascii="宋体" w:hAnsi="宋体" w:eastAsia="宋体" w:cs="宋体"/>
          <w:color w:val="000000"/>
          <w:sz w:val="21"/>
          <w:szCs w:val="21"/>
          <w:highlight w:val="none"/>
          <w:u w:val="single"/>
          <w:lang w:val="zh-CN" w:bidi="zh-CN"/>
        </w:rPr>
        <w:t xml:space="preserve">（标的名称）</w:t>
      </w:r>
      <w:r>
        <w:rPr>
          <w:rFonts w:hint="eastAsia" w:ascii="宋体" w:hAnsi="宋体" w:eastAsia="宋体" w:cs="宋体"/>
          <w:color w:val="000000"/>
          <w:sz w:val="21"/>
          <w:szCs w:val="21"/>
          <w:highlight w:val="none"/>
          <w:lang w:val="zh-CN" w:bidi="zh-CN"/>
        </w:rPr>
        <w:t xml:space="preserve">，属于（</w:t>
      </w:r>
      <w:r>
        <w:rPr>
          <w:rFonts w:hint="eastAsia" w:ascii="宋体" w:hAnsi="宋体" w:eastAsia="宋体" w:cs="宋体"/>
          <w:color w:val="000000"/>
          <w:sz w:val="21"/>
          <w:szCs w:val="21"/>
          <w:highlight w:val="none"/>
          <w:u w:val="single"/>
          <w:lang w:val="zh-CN" w:bidi="zh-CN"/>
        </w:rPr>
        <w:t xml:space="preserve">工业</w:t>
      </w:r>
      <w:r>
        <w:rPr>
          <w:rFonts w:hint="eastAsia" w:ascii="宋体" w:hAnsi="宋体" w:eastAsia="宋体" w:cs="宋体"/>
          <w:color w:val="000000"/>
          <w:sz w:val="21"/>
          <w:szCs w:val="21"/>
          <w:highlight w:val="none"/>
          <w:u w:val="single"/>
          <w:lang w:val="zh-CN" w:bidi="zh-CN"/>
        </w:rPr>
        <w:t xml:space="preserve">）</w:t>
      </w:r>
      <w:r>
        <w:rPr>
          <w:rFonts w:hint="eastAsia" w:ascii="宋体" w:hAnsi="宋体" w:eastAsia="宋体" w:cs="宋体"/>
          <w:color w:val="000000"/>
          <w:sz w:val="21"/>
          <w:szCs w:val="21"/>
          <w:highlight w:val="none"/>
          <w:lang w:val="zh-CN" w:bidi="zh-CN"/>
        </w:rPr>
        <w:t xml:space="preserve">；</w:t>
      </w:r>
      <w:r>
        <w:rPr>
          <w:rFonts w:hint="eastAsia" w:ascii="宋体" w:hAnsi="宋体" w:eastAsia="宋体" w:cs="宋体"/>
          <w:color w:val="000000"/>
          <w:sz w:val="21"/>
          <w:szCs w:val="21"/>
          <w:highlight w:val="none"/>
          <w:lang w:bidi="zh-CN"/>
        </w:rPr>
        <w:t xml:space="preserve">制造商</w:t>
      </w:r>
      <w:r>
        <w:rPr>
          <w:rFonts w:hint="eastAsia" w:ascii="宋体" w:hAnsi="宋体" w:eastAsia="宋体" w:cs="宋体"/>
          <w:color w:val="000000"/>
          <w:sz w:val="21"/>
          <w:szCs w:val="21"/>
          <w:highlight w:val="none"/>
          <w:lang w:val="zh-CN" w:bidi="zh-CN"/>
        </w:rPr>
        <w:t xml:space="preserve">为</w:t>
      </w:r>
      <w:r>
        <w:rPr>
          <w:rFonts w:hint="eastAsia" w:ascii="宋体" w:hAnsi="宋体" w:eastAsia="宋体" w:cs="宋体"/>
          <w:color w:val="000000"/>
          <w:sz w:val="21"/>
          <w:szCs w:val="21"/>
          <w:highlight w:val="none"/>
          <w:u w:val="single"/>
          <w:lang w:val="zh-CN" w:bidi="zh-CN"/>
        </w:rPr>
        <w:t xml:space="preserve">（企业名称）</w:t>
      </w:r>
      <w:r>
        <w:rPr>
          <w:rFonts w:hint="eastAsia" w:ascii="宋体" w:hAnsi="宋体" w:eastAsia="宋体" w:cs="宋体"/>
          <w:color w:val="000000"/>
          <w:sz w:val="21"/>
          <w:szCs w:val="21"/>
          <w:highlight w:val="none"/>
          <w:lang w:val="zh-CN" w:bidi="zh-CN"/>
        </w:rPr>
        <w:t xml:space="preserve">，从业人员</w:t>
      </w:r>
      <w:r>
        <w:rPr>
          <w:rFonts w:hint="eastAsia" w:ascii="宋体" w:hAnsi="宋体" w:eastAsia="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lang w:val="zh-CN" w:bidi="zh-CN"/>
        </w:rPr>
        <w:t xml:space="preserve">人，营业收入为</w:t>
      </w:r>
      <w:r>
        <w:rPr>
          <w:rFonts w:hint="eastAsia" w:ascii="宋体" w:hAnsi="宋体" w:eastAsia="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lang w:val="zh-CN" w:bidi="zh-CN"/>
        </w:rPr>
        <w:t xml:space="preserve">万元，资产总额为</w:t>
      </w:r>
      <w:r>
        <w:rPr>
          <w:rFonts w:hint="eastAsia" w:ascii="宋体" w:hAnsi="宋体" w:eastAsia="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lang w:val="zh-CN" w:bidi="zh-CN"/>
        </w:rPr>
        <w:t xml:space="preserve">万元，属于</w:t>
      </w:r>
      <w:r>
        <w:rPr>
          <w:rFonts w:hint="eastAsia" w:ascii="宋体" w:hAnsi="宋体" w:eastAsia="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u w:val="single"/>
          <w:lang w:val="zh-CN" w:bidi="zh-CN"/>
        </w:rPr>
        <w:t xml:space="preserve">（□中型企业、□小型企业、□微型企业）</w:t>
      </w:r>
      <w:r>
        <w:rPr>
          <w:rFonts w:hint="eastAsia" w:ascii="宋体" w:hAnsi="宋体" w:eastAsia="宋体" w:cs="宋体"/>
          <w:color w:val="000000"/>
          <w:sz w:val="21"/>
          <w:szCs w:val="21"/>
          <w:highlight w:val="none"/>
          <w:lang w:val="zh-CN" w:bidi="zh-CN"/>
        </w:rPr>
        <w:t xml:space="preserve">；</w:t>
      </w:r>
      <w:r>
        <w:rPr>
          <w:rFonts w:ascii="宋体" w:hAnsi="宋体" w:cs="宋体"/>
        </w:rPr>
      </w:r>
      <w:r/>
    </w:p>
    <w:p>
      <w:pPr>
        <w:pStyle w:val="885"/>
        <w:ind w:firstLine="420"/>
        <w:spacing w:line="360" w:lineRule="auto"/>
        <w:tabs>
          <w:tab w:val="left" w:pos="1243" w:leader="none"/>
        </w:tabs>
        <w:rPr>
          <w:rFonts w:hint="eastAsia" w:ascii="宋体" w:hAnsi="宋体" w:cs="宋体"/>
          <w:color w:val="000000"/>
          <w:sz w:val="21"/>
          <w:szCs w:val="21"/>
          <w:highlight w:val="none"/>
          <w:u w:val="single"/>
        </w:rPr>
      </w:pPr>
      <w:r>
        <w:rPr>
          <w:rFonts w:hint="eastAsia" w:ascii="宋体" w:hAnsi="宋体" w:eastAsia="宋体" w:cs="宋体"/>
          <w:color w:val="000000"/>
          <w:sz w:val="21"/>
          <w:szCs w:val="21"/>
          <w:highlight w:val="none"/>
          <w:lang w:bidi="zh-CN"/>
        </w:rPr>
        <w:t xml:space="preserve">3</w:t>
      </w:r>
      <w:r>
        <w:rPr>
          <w:rFonts w:hint="eastAsia" w:ascii="宋体" w:hAnsi="宋体" w:eastAsia="宋体" w:cs="宋体"/>
          <w:color w:val="000000"/>
          <w:sz w:val="21"/>
          <w:szCs w:val="21"/>
          <w:highlight w:val="none"/>
          <w:lang w:val="en-US" w:bidi="zh-CN"/>
        </w:rPr>
        <w:t xml:space="preserve">.</w:t>
      </w:r>
      <w:r>
        <w:rPr>
          <w:rFonts w:hint="eastAsia" w:ascii="宋体" w:hAnsi="宋体" w:eastAsia="宋体" w:cs="宋体"/>
          <w:color w:val="000000"/>
          <w:sz w:val="21"/>
          <w:szCs w:val="21"/>
          <w:highlight w:val="none"/>
          <w:u w:val="single"/>
          <w:lang w:val="zh-CN" w:bidi="zh-CN"/>
        </w:rPr>
        <w:t xml:space="preserve">（标的名称）</w:t>
      </w:r>
      <w:r>
        <w:rPr>
          <w:rFonts w:hint="eastAsia" w:ascii="宋体" w:hAnsi="宋体" w:eastAsia="宋体" w:cs="宋体"/>
          <w:color w:val="000000"/>
          <w:sz w:val="21"/>
          <w:szCs w:val="21"/>
          <w:highlight w:val="none"/>
          <w:lang w:val="zh-CN" w:bidi="zh-CN"/>
        </w:rPr>
        <w:t xml:space="preserve">，属于（</w:t>
      </w:r>
      <w:r>
        <w:rPr>
          <w:rFonts w:hint="eastAsia" w:ascii="宋体" w:hAnsi="宋体" w:eastAsia="宋体" w:cs="宋体"/>
          <w:color w:val="000000"/>
          <w:sz w:val="21"/>
          <w:szCs w:val="21"/>
          <w:highlight w:val="none"/>
          <w:u w:val="single"/>
          <w:lang w:val="zh-CN" w:bidi="zh-CN"/>
        </w:rPr>
        <w:t xml:space="preserve">工业</w:t>
      </w:r>
      <w:r>
        <w:rPr>
          <w:rFonts w:hint="eastAsia" w:ascii="宋体" w:hAnsi="宋体" w:eastAsia="宋体" w:cs="宋体"/>
          <w:color w:val="000000"/>
          <w:sz w:val="21"/>
          <w:szCs w:val="21"/>
          <w:highlight w:val="none"/>
          <w:u w:val="single"/>
          <w:lang w:val="zh-CN" w:bidi="zh-CN"/>
        </w:rPr>
        <w:t xml:space="preserve">）</w:t>
      </w:r>
      <w:r>
        <w:rPr>
          <w:rFonts w:hint="eastAsia" w:ascii="宋体" w:hAnsi="宋体" w:eastAsia="宋体" w:cs="宋体"/>
          <w:color w:val="000000"/>
          <w:sz w:val="21"/>
          <w:szCs w:val="21"/>
          <w:highlight w:val="none"/>
          <w:lang w:val="zh-CN" w:bidi="zh-CN"/>
        </w:rPr>
        <w:t xml:space="preserve">；</w:t>
      </w:r>
      <w:r>
        <w:rPr>
          <w:rFonts w:hint="eastAsia" w:ascii="宋体" w:hAnsi="宋体" w:eastAsia="宋体" w:cs="宋体"/>
          <w:color w:val="000000"/>
          <w:sz w:val="21"/>
          <w:szCs w:val="21"/>
          <w:highlight w:val="none"/>
          <w:lang w:bidi="zh-CN"/>
        </w:rPr>
        <w:t xml:space="preserve">制造商</w:t>
      </w:r>
      <w:r>
        <w:rPr>
          <w:rFonts w:hint="eastAsia" w:ascii="宋体" w:hAnsi="宋体" w:eastAsia="宋体" w:cs="宋体"/>
          <w:color w:val="000000"/>
          <w:sz w:val="21"/>
          <w:szCs w:val="21"/>
          <w:highlight w:val="none"/>
          <w:lang w:val="zh-CN" w:bidi="zh-CN"/>
        </w:rPr>
        <w:t xml:space="preserve">为</w:t>
      </w:r>
      <w:r>
        <w:rPr>
          <w:rFonts w:hint="eastAsia" w:ascii="宋体" w:hAnsi="宋体" w:eastAsia="宋体" w:cs="宋体"/>
          <w:color w:val="000000"/>
          <w:sz w:val="21"/>
          <w:szCs w:val="21"/>
          <w:highlight w:val="none"/>
          <w:u w:val="single"/>
          <w:lang w:val="zh-CN" w:bidi="zh-CN"/>
        </w:rPr>
        <w:t xml:space="preserve">（企业名称）</w:t>
      </w:r>
      <w:r>
        <w:rPr>
          <w:rFonts w:hint="eastAsia" w:ascii="宋体" w:hAnsi="宋体" w:eastAsia="宋体" w:cs="宋体"/>
          <w:color w:val="000000"/>
          <w:sz w:val="21"/>
          <w:szCs w:val="21"/>
          <w:highlight w:val="none"/>
          <w:lang w:val="zh-CN" w:bidi="zh-CN"/>
        </w:rPr>
        <w:t xml:space="preserve">，从业人员</w:t>
      </w:r>
      <w:r>
        <w:rPr>
          <w:rFonts w:hint="eastAsia" w:ascii="宋体" w:hAnsi="宋体" w:eastAsia="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lang w:val="zh-CN" w:bidi="zh-CN"/>
        </w:rPr>
        <w:t xml:space="preserve">人，营业收入为</w:t>
      </w:r>
      <w:r>
        <w:rPr>
          <w:rFonts w:hint="eastAsia" w:ascii="宋体" w:hAnsi="宋体" w:eastAsia="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lang w:val="zh-CN" w:bidi="zh-CN"/>
        </w:rPr>
        <w:t xml:space="preserve">万元，资产总额为</w:t>
      </w:r>
      <w:r>
        <w:rPr>
          <w:rFonts w:hint="eastAsia" w:ascii="宋体" w:hAnsi="宋体" w:eastAsia="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lang w:val="zh-CN" w:bidi="zh-CN"/>
        </w:rPr>
        <w:t xml:space="preserve">万元，属于</w:t>
      </w:r>
      <w:r>
        <w:rPr>
          <w:rFonts w:hint="eastAsia" w:ascii="宋体" w:hAnsi="宋体" w:eastAsia="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u w:val="single"/>
          <w:lang w:val="zh-CN" w:bidi="zh-CN"/>
        </w:rPr>
        <w:t xml:space="preserve">（□中型企业、□小型企业、□微型企业）</w:t>
      </w:r>
      <w:r>
        <w:rPr>
          <w:rFonts w:hint="eastAsia" w:ascii="宋体" w:hAnsi="宋体" w:eastAsia="宋体" w:cs="宋体"/>
          <w:color w:val="000000"/>
          <w:sz w:val="21"/>
          <w:szCs w:val="21"/>
          <w:highlight w:val="none"/>
          <w:lang w:val="zh-CN" w:bidi="zh-CN"/>
        </w:rPr>
        <w:t xml:space="preserve">；</w:t>
      </w:r>
      <w:r>
        <w:rPr>
          <w:rFonts w:ascii="宋体" w:hAnsi="宋体" w:cs="宋体"/>
        </w:rPr>
      </w:r>
      <w:r/>
    </w:p>
    <w:p>
      <w:pPr>
        <w:pStyle w:val="885"/>
        <w:ind w:firstLine="420"/>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cs="宋体"/>
        </w:rPr>
      </w:r>
      <w:r/>
    </w:p>
    <w:p>
      <w:pPr>
        <w:pStyle w:val="885"/>
        <w:ind w:firstLine="420"/>
        <w:jc w:val="both"/>
        <w:spacing w:line="360" w:lineRule="auto"/>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 </w:t>
      </w:r>
      <w:r>
        <w:rPr>
          <w:rFonts w:ascii="宋体" w:hAnsi="宋体" w:cs="宋体"/>
        </w:rPr>
      </w:r>
      <w:r/>
    </w:p>
    <w:p>
      <w:pPr>
        <w:pStyle w:val="885"/>
        <w:ind w:firstLine="420"/>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rFonts w:ascii="宋体" w:hAnsi="宋体" w:cs="宋体"/>
        </w:rPr>
      </w:r>
      <w:r/>
    </w:p>
    <w:p>
      <w:pPr>
        <w:pStyle w:val="885"/>
        <w:ind w:firstLine="420"/>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w:t>
      </w:r>
      <w:r>
        <w:rPr>
          <w:rFonts w:ascii="宋体" w:hAnsi="宋体" w:cs="宋体"/>
        </w:rPr>
      </w:r>
      <w:r/>
    </w:p>
    <w:p>
      <w:pPr>
        <w:pStyle w:val="885"/>
        <w:ind w:firstLine="420"/>
        <w:jc w:val="both"/>
        <w:spacing w:line="360" w:lineRule="auto"/>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 </w:t>
      </w:r>
      <w:r>
        <w:rPr>
          <w:rFonts w:ascii="宋体" w:hAnsi="宋体" w:cs="宋体"/>
        </w:rPr>
      </w:r>
      <w:r/>
    </w:p>
    <w:p>
      <w:pPr>
        <w:pStyle w:val="885"/>
        <w:ind w:firstLine="630"/>
        <w:jc w:val="center"/>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   企业名称（盖章）：</w:t>
      </w:r>
      <w:r>
        <w:rPr>
          <w:rFonts w:ascii="宋体" w:hAnsi="宋体" w:cs="宋体"/>
        </w:rPr>
      </w:r>
      <w:r/>
    </w:p>
    <w:p>
      <w:pPr>
        <w:pStyle w:val="885"/>
        <w:ind w:firstLine="4515"/>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ascii="宋体" w:hAnsi="宋体" w:cs="宋体"/>
        </w:rPr>
      </w:r>
      <w:r/>
    </w:p>
    <w:p>
      <w:pPr>
        <w:pStyle w:val="885"/>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897"/>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88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ind w:firstLine="422"/>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
          <w:color w:val="000000"/>
          <w:sz w:val="21"/>
          <w:szCs w:val="21"/>
          <w:highlight w:val="none"/>
        </w:rPr>
        <w:t xml:space="preserve">注：</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从业人员、营业收入、资产总额填报上一年度数据，无上一年度数据的新成立企业可不填报。</w:t>
      </w:r>
      <w:r>
        <w:rPr>
          <w:rFonts w:ascii="宋体" w:hAnsi="宋体" w:cs="宋体"/>
        </w:rPr>
      </w:r>
      <w:r/>
    </w:p>
    <w:p>
      <w:pPr>
        <w:pStyle w:val="885"/>
        <w:numPr>
          <w:ilvl w:val="0"/>
          <w:numId w:val="0"/>
        </w:numPr>
        <w:ind w:firstLine="422"/>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2</w:t>
      </w:r>
      <w:r>
        <w:rPr>
          <w:rFonts w:hint="eastAsia" w:ascii="宋体" w:hAnsi="宋体" w:eastAsia="宋体" w:cs="宋体"/>
          <w:b/>
          <w:color w:val="000000"/>
          <w:sz w:val="21"/>
          <w:szCs w:val="21"/>
          <w:highlight w:val="none"/>
          <w:lang w:eastAsia="zh-CN"/>
        </w:rPr>
        <w:t xml:space="preserve">）涉及多个采购标的的项目，</w:t>
      </w:r>
      <w:r>
        <w:rPr>
          <w:rFonts w:hint="eastAsia" w:ascii="宋体" w:hAnsi="宋体" w:eastAsia="宋体" w:cs="宋体"/>
          <w:b/>
          <w:color w:val="000000"/>
          <w:sz w:val="21"/>
          <w:szCs w:val="21"/>
          <w:highlight w:val="none"/>
          <w:lang w:val="en-US" w:eastAsia="zh-CN" w:bidi="ar-SA"/>
        </w:rPr>
        <w:t xml:space="preserve">供应商</w:t>
      </w:r>
      <w:r>
        <w:rPr>
          <w:rFonts w:hint="eastAsia" w:ascii="宋体" w:hAnsi="宋体" w:eastAsia="宋体" w:cs="宋体"/>
          <w:b/>
          <w:color w:val="000000"/>
          <w:sz w:val="21"/>
          <w:szCs w:val="21"/>
          <w:highlight w:val="none"/>
          <w:lang w:val="en-US" w:eastAsia="zh-CN" w:bidi="ar-SA"/>
        </w:rPr>
        <w:t xml:space="preserve">应当</w:t>
      </w:r>
      <w:r>
        <w:rPr>
          <w:rFonts w:hint="eastAsia" w:ascii="宋体" w:hAnsi="宋体" w:eastAsia="宋体" w:cs="宋体"/>
          <w:b/>
          <w:color w:val="000000"/>
          <w:sz w:val="21"/>
          <w:szCs w:val="21"/>
          <w:highlight w:val="none"/>
          <w:lang w:val="en-US" w:eastAsia="zh-CN" w:bidi="ar-SA"/>
        </w:rPr>
        <w:t xml:space="preserve">逐一填报各主要采购标的（不含配件、辅料）的制造商或承建（承接）供应商信息</w:t>
      </w:r>
      <w:r>
        <w:rPr>
          <w:rFonts w:hint="eastAsia" w:ascii="宋体" w:hAnsi="宋体" w:eastAsia="宋体" w:cs="宋体"/>
          <w:b/>
          <w:color w:val="000000"/>
          <w:sz w:val="21"/>
          <w:szCs w:val="21"/>
          <w:highlight w:val="none"/>
          <w:lang w:eastAsia="zh-CN"/>
        </w:rPr>
        <w:t xml:space="preserve">。本采购包中采购标的对应的</w:t>
      </w:r>
      <w:r>
        <w:rPr>
          <w:rFonts w:hint="eastAsia" w:ascii="宋体" w:hAnsi="宋体" w:eastAsia="宋体" w:cs="宋体"/>
          <w:b/>
          <w:color w:val="000000"/>
          <w:sz w:val="21"/>
          <w:szCs w:val="21"/>
          <w:highlight w:val="none"/>
          <w:lang w:val="en-US" w:eastAsia="zh-CN"/>
        </w:rPr>
        <w:t xml:space="preserve">标的类型</w:t>
      </w:r>
      <w:r>
        <w:rPr>
          <w:rFonts w:hint="eastAsia" w:ascii="宋体" w:hAnsi="宋体" w:eastAsia="宋体" w:cs="宋体"/>
          <w:b/>
          <w:color w:val="000000"/>
          <w:sz w:val="21"/>
          <w:szCs w:val="21"/>
          <w:highlight w:val="none"/>
          <w:lang w:eastAsia="zh-CN"/>
        </w:rPr>
        <w:t xml:space="preserve">，以招标文件第四章《招标书》规定为准。</w:t>
      </w:r>
      <w:r>
        <w:rPr>
          <w:rFonts w:ascii="宋体" w:hAnsi="宋体" w:cs="宋体"/>
        </w:rPr>
      </w:r>
      <w:r/>
    </w:p>
    <w:p>
      <w:pPr>
        <w:pStyle w:val="885"/>
        <w:numPr>
          <w:ilvl w:val="0"/>
          <w:numId w:val="0"/>
        </w:numPr>
        <w:ind w:firstLine="422"/>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《中小企业声明函》中所填的行业应与本采购标的对应的中小企业划分标准所属行业一致，</w:t>
      </w:r>
      <w:r>
        <w:rPr>
          <w:rFonts w:hint="eastAsia" w:ascii="宋体" w:hAnsi="宋体" w:eastAsia="宋体" w:cs="宋体"/>
          <w:b/>
          <w:bCs/>
          <w:color w:val="000000"/>
          <w:sz w:val="21"/>
          <w:szCs w:val="21"/>
          <w:highlight w:val="none"/>
        </w:rPr>
        <w:t xml:space="preserve">本采购标的对应的中小企业划分标准所属行业</w:t>
      </w:r>
      <w:r>
        <w:rPr>
          <w:rFonts w:hint="eastAsia" w:ascii="宋体" w:hAnsi="宋体" w:eastAsia="宋体" w:cs="宋体"/>
          <w:b/>
          <w:bCs/>
          <w:color w:val="000000"/>
          <w:sz w:val="21"/>
          <w:szCs w:val="21"/>
          <w:highlight w:val="none"/>
          <w:lang w:eastAsia="zh-CN"/>
        </w:rPr>
        <w:t xml:space="preserve">为工业</w:t>
      </w:r>
      <w:r>
        <w:rPr>
          <w:rFonts w:hint="eastAsia" w:ascii="宋体" w:hAnsi="宋体" w:eastAsia="宋体" w:cs="宋体"/>
          <w:b/>
          <w:bCs/>
          <w:color w:val="000000"/>
          <w:sz w:val="21"/>
          <w:szCs w:val="21"/>
          <w:highlight w:val="none"/>
        </w:rPr>
        <w:t xml:space="preserve">。</w:t>
      </w:r>
      <w:r>
        <w:rPr>
          <w:rFonts w:ascii="宋体" w:hAnsi="宋体" w:cs="宋体"/>
        </w:rPr>
      </w:r>
      <w:r/>
    </w:p>
    <w:p>
      <w:pPr>
        <w:pStyle w:val="885"/>
        <w:ind w:firstLine="422"/>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如未对（□中型企业、□小型企业、□微型企业）进行勾选，视同非中小微企业，按无效投标处理，由此产生的一切不利后果由供应商自行承担。</w:t>
      </w:r>
      <w:r>
        <w:rPr>
          <w:rFonts w:ascii="宋体" w:hAnsi="宋体" w:cs="宋体"/>
        </w:rPr>
      </w:r>
      <w:r/>
    </w:p>
    <w:p>
      <w:pPr>
        <w:pStyle w:val="885"/>
        <w:ind w:firstLine="420"/>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zh-CN"/>
        </w:rPr>
        <w:t xml:space="preserve">若</w:t>
      </w:r>
      <w:r>
        <w:rPr>
          <w:rFonts w:hint="eastAsia" w:ascii="宋体" w:hAnsi="宋体" w:eastAsia="宋体" w:cs="宋体"/>
          <w:bCs/>
          <w:color w:val="000000"/>
          <w:sz w:val="21"/>
          <w:szCs w:val="21"/>
          <w:highlight w:val="none"/>
        </w:rPr>
        <w:t xml:space="preserve">投标单位</w:t>
      </w:r>
      <w:r>
        <w:rPr>
          <w:rFonts w:hint="eastAsia" w:ascii="宋体" w:hAnsi="宋体" w:eastAsia="宋体" w:cs="宋体"/>
          <w:bCs/>
          <w:color w:val="000000"/>
          <w:sz w:val="21"/>
          <w:szCs w:val="21"/>
          <w:highlight w:val="none"/>
          <w:lang w:val="zh-CN"/>
        </w:rPr>
        <w:t xml:space="preserve">提供的“中小企业声明函”内容不实的，属于提供虚假材料谋取中标、成交，依照《中华人民共和国政府采购法》等国家有关规定追究相应责任。</w:t>
      </w:r>
      <w:r>
        <w:rPr>
          <w:rFonts w:ascii="宋体" w:hAnsi="宋体" w:cs="宋体"/>
        </w:rPr>
      </w:r>
      <w:r/>
    </w:p>
    <w:p>
      <w:pPr>
        <w:pStyle w:val="885"/>
        <w:ind w:firstLine="420"/>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中标单位享受中小企业扶持政策的，《中小企业声明函》将随中标结果同时公告。</w:t>
      </w:r>
      <w:r>
        <w:rPr>
          <w:rFonts w:ascii="宋体" w:hAnsi="宋体" w:cs="宋体"/>
        </w:rPr>
      </w:r>
      <w:r/>
    </w:p>
    <w:p>
      <w:pPr>
        <w:pStyle w:val="897"/>
        <w:rPr>
          <w:rFonts w:hint="eastAsia" w:ascii="宋体" w:hAnsi="宋体" w:cs="宋体"/>
          <w:color w:val="000000"/>
        </w:rPr>
      </w:pPr>
      <w:r>
        <w:rPr>
          <w:rFonts w:hint="eastAsia" w:ascii="宋体" w:hAnsi="宋体" w:cs="宋体"/>
          <w:color w:val="000000"/>
        </w:rPr>
      </w:r>
      <w:r>
        <w:rPr>
          <w:rFonts w:ascii="宋体" w:hAnsi="宋体" w:cs="宋体"/>
        </w:rPr>
      </w:r>
      <w:r/>
    </w:p>
    <w:p>
      <w:pPr>
        <w:spacing w:line="440" w:lineRule="exact"/>
        <w:rPr>
          <w:rFonts w:ascii="宋体" w:hAnsi="宋体" w:cs="宋体"/>
          <w:b/>
          <w:bCs/>
          <w:color w:val="000000"/>
          <w:sz w:val="21"/>
          <w:szCs w:val="21"/>
          <w:highlight w:val="none"/>
        </w:rPr>
      </w:pPr>
      <w:r>
        <w:rPr>
          <w:rFonts w:hint="eastAsia" w:ascii="宋体" w:hAnsi="宋体" w:eastAsia="宋体" w:cs="宋体"/>
          <w:b/>
          <w:color w:val="000000"/>
          <w:sz w:val="21"/>
          <w:szCs w:val="21"/>
          <w:highlight w:val="none"/>
        </w:rPr>
      </w:r>
      <w:r>
        <w:rPr>
          <w:rFonts w:hint="eastAsia" w:ascii="宋体" w:hAnsi="宋体" w:eastAsia="宋体" w:cs="宋体"/>
          <w:b/>
          <w:color w:val="000000"/>
          <w:sz w:val="21"/>
          <w:szCs w:val="21"/>
          <w:highlight w:val="none"/>
        </w:rPr>
      </w:r>
      <w:r/>
    </w:p>
    <w:p>
      <w:pPr>
        <w:spacing w:line="440" w:lineRule="exact"/>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r>
      <w:r>
        <w:rPr>
          <w:rFonts w:hint="eastAsia" w:ascii="宋体" w:hAnsi="宋体" w:eastAsia="宋体" w:cs="宋体"/>
          <w:b/>
          <w:color w:val="000000"/>
          <w:sz w:val="21"/>
          <w:szCs w:val="21"/>
          <w:highlight w:val="none"/>
        </w:rPr>
      </w:r>
      <w:r/>
    </w:p>
    <w:p>
      <w:pPr>
        <w:pStyle w:val="885"/>
        <w:spacing w:line="440" w:lineRule="exact"/>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附：中小企业划型标准规定</w:t>
      </w:r>
      <w:r>
        <w:rPr>
          <w:rFonts w:ascii="宋体" w:hAnsi="宋体" w:cs="宋体"/>
        </w:rPr>
      </w:r>
      <w:r/>
    </w:p>
    <w:p>
      <w:pPr>
        <w:pStyle w:val="885"/>
        <w:ind w:firstLine="422"/>
        <w:spacing w:line="440" w:lineRule="exact"/>
        <w:rPr>
          <w:rFonts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（一）农、林、牧、渔业。</w:t>
      </w:r>
      <w:r>
        <w:rPr>
          <w:rFonts w:hint="eastAsia" w:ascii="宋体" w:hAnsi="宋体" w:eastAsia="宋体" w:cs="宋体"/>
          <w:color w:val="000000"/>
          <w:sz w:val="21"/>
          <w:szCs w:val="21"/>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rPr>
      </w:r>
      <w:r/>
    </w:p>
    <w:p>
      <w:pPr>
        <w:pStyle w:val="885"/>
        <w:ind w:firstLine="422"/>
        <w:spacing w:line="440" w:lineRule="exact"/>
        <w:rPr>
          <w:rFonts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（二）工业。</w:t>
      </w:r>
      <w:r>
        <w:rPr>
          <w:rFonts w:hint="eastAsia" w:ascii="宋体" w:hAnsi="宋体" w:eastAsia="宋体" w:cs="宋体"/>
          <w:color w:val="000000"/>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rPr>
      </w:r>
      <w:r/>
    </w:p>
    <w:p>
      <w:pPr>
        <w:pStyle w:val="885"/>
        <w:ind w:firstLine="422"/>
        <w:spacing w:line="440" w:lineRule="exact"/>
        <w:rPr>
          <w:rFonts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（三）建筑业。</w:t>
      </w:r>
      <w:r>
        <w:rPr>
          <w:rFonts w:hint="eastAsia" w:ascii="宋体" w:hAnsi="宋体" w:eastAsia="宋体" w:cs="宋体"/>
          <w:color w:val="000000"/>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rPr>
      </w:r>
      <w:r/>
    </w:p>
    <w:p>
      <w:pPr>
        <w:pStyle w:val="885"/>
        <w:ind w:firstLine="422"/>
        <w:spacing w:line="440" w:lineRule="exact"/>
        <w:rPr>
          <w:rFonts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（四）批发业。</w:t>
      </w:r>
      <w:r>
        <w:rPr>
          <w:rFonts w:hint="eastAsia" w:ascii="宋体" w:hAnsi="宋体" w:eastAsia="宋体" w:cs="宋体"/>
          <w:color w:val="000000"/>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rPr>
      </w:r>
      <w:r/>
    </w:p>
    <w:p>
      <w:pPr>
        <w:pStyle w:val="885"/>
        <w:ind w:firstLine="422"/>
        <w:spacing w:line="440" w:lineRule="exact"/>
        <w:rPr>
          <w:rFonts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（五）零售业。</w:t>
      </w:r>
      <w:r>
        <w:rPr>
          <w:rFonts w:hint="eastAsia" w:ascii="宋体" w:hAnsi="宋体" w:eastAsia="宋体" w:cs="宋体"/>
          <w:color w:val="000000"/>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rPr>
      </w:r>
      <w:r/>
    </w:p>
    <w:p>
      <w:pPr>
        <w:pStyle w:val="885"/>
        <w:ind w:firstLine="422"/>
        <w:spacing w:line="440" w:lineRule="exact"/>
        <w:rPr>
          <w:rFonts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（六）交通运输业。</w:t>
      </w:r>
      <w:r>
        <w:rPr>
          <w:rFonts w:hint="eastAsia" w:ascii="宋体" w:hAnsi="宋体" w:eastAsia="宋体" w:cs="宋体"/>
          <w:color w:val="000000"/>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rPr>
      </w:r>
      <w:r/>
    </w:p>
    <w:p>
      <w:pPr>
        <w:pStyle w:val="885"/>
        <w:ind w:firstLine="422"/>
        <w:spacing w:line="440" w:lineRule="exact"/>
        <w:rPr>
          <w:rFonts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（七）仓储业。</w:t>
      </w:r>
      <w:r>
        <w:rPr>
          <w:rFonts w:hint="eastAsia" w:ascii="宋体" w:hAnsi="宋体" w:eastAsia="宋体" w:cs="宋体"/>
          <w:color w:val="000000"/>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rPr>
      </w:r>
      <w:r/>
    </w:p>
    <w:p>
      <w:pPr>
        <w:pStyle w:val="885"/>
        <w:ind w:firstLine="422"/>
        <w:spacing w:line="440" w:lineRule="exact"/>
        <w:rPr>
          <w:rFonts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（八）邮政业。</w:t>
      </w:r>
      <w:r>
        <w:rPr>
          <w:rFonts w:hint="eastAsia" w:ascii="宋体" w:hAnsi="宋体" w:eastAsia="宋体" w:cs="宋体"/>
          <w:color w:val="000000"/>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rPr>
      </w:r>
      <w:r/>
    </w:p>
    <w:p>
      <w:pPr>
        <w:pStyle w:val="885"/>
        <w:ind w:firstLine="422"/>
        <w:spacing w:line="440" w:lineRule="exact"/>
        <w:rPr>
          <w:rFonts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（九）住宿业。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885"/>
        <w:ind w:firstLine="422"/>
        <w:spacing w:line="440" w:lineRule="exact"/>
        <w:rPr>
          <w:rFonts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（十）餐饮业。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885"/>
        <w:ind w:firstLine="422"/>
        <w:spacing w:line="440" w:lineRule="exact"/>
        <w:rPr>
          <w:rFonts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（十一）信息传输业。</w:t>
      </w:r>
      <w:r>
        <w:rPr>
          <w:rFonts w:hint="eastAsia" w:ascii="宋体" w:hAnsi="宋体" w:eastAsia="宋体" w:cs="宋体"/>
          <w:color w:val="000000"/>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rPr>
      </w:r>
      <w:r/>
    </w:p>
    <w:p>
      <w:pPr>
        <w:pStyle w:val="885"/>
        <w:ind w:firstLine="422"/>
        <w:spacing w:line="440" w:lineRule="exact"/>
        <w:rPr>
          <w:rFonts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（十二）软件和信息技术服务业。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rPr>
      </w:r>
      <w:r/>
    </w:p>
    <w:p>
      <w:pPr>
        <w:pStyle w:val="885"/>
        <w:ind w:firstLine="422"/>
        <w:spacing w:line="440" w:lineRule="exact"/>
        <w:rPr>
          <w:rFonts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（十三）房地产开发经营。</w:t>
      </w:r>
      <w:r>
        <w:rPr>
          <w:rFonts w:hint="eastAsia" w:ascii="宋体" w:hAnsi="宋体" w:eastAsia="宋体" w:cs="宋体"/>
          <w:color w:val="000000"/>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rPr>
      </w:r>
      <w:r/>
    </w:p>
    <w:p>
      <w:pPr>
        <w:pStyle w:val="885"/>
        <w:ind w:firstLine="422"/>
        <w:spacing w:line="440" w:lineRule="exact"/>
        <w:rPr>
          <w:rFonts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（十四）物业管理。</w:t>
      </w:r>
      <w:r>
        <w:rPr>
          <w:rFonts w:hint="eastAsia" w:ascii="宋体" w:hAnsi="宋体" w:eastAsia="宋体" w:cs="宋体"/>
          <w:color w:val="000000"/>
          <w:sz w:val="21"/>
          <w:szCs w:val="21"/>
          <w:highlight w:val="none"/>
        </w:rPr>
        <w:t xml:space="preserve">从业人员1000人以下或营业收入5000万元以下的为中小微型企业。其中，从业人员</w:t>
      </w:r>
      <w:r>
        <w:rPr>
          <w:rFonts w:ascii="宋体" w:hAnsi="宋体" w:cs="宋体"/>
        </w:rPr>
      </w:r>
      <w:r/>
    </w:p>
    <w:p>
      <w:pPr>
        <w:pStyle w:val="885"/>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s="宋体"/>
        </w:rPr>
      </w:r>
      <w:r/>
    </w:p>
    <w:p>
      <w:pPr>
        <w:pStyle w:val="885"/>
        <w:ind w:firstLine="422"/>
        <w:spacing w:line="440" w:lineRule="exact"/>
        <w:rPr>
          <w:rFonts w:hint="eastAsia"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（十五）租赁和商务服务业。</w:t>
      </w:r>
      <w:r>
        <w:rPr>
          <w:rFonts w:hint="eastAsia" w:ascii="宋体" w:hAnsi="宋体" w:eastAsia="宋体" w:cs="宋体"/>
          <w:color w:val="000000"/>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rPr>
      </w:r>
      <w:r/>
    </w:p>
    <w:p>
      <w:pPr>
        <w:pStyle w:val="885"/>
        <w:ind w:firstLine="422"/>
        <w:spacing w:line="440" w:lineRule="exact"/>
        <w:rPr>
          <w:rFonts w:hint="eastAsia"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（十六）其他未列明行业。</w:t>
      </w:r>
      <w:r>
        <w:rPr>
          <w:rFonts w:hint="eastAsia" w:ascii="宋体" w:hAnsi="宋体" w:eastAsia="宋体" w:cs="宋体"/>
          <w:color w:val="000000"/>
          <w:sz w:val="21"/>
          <w:szCs w:val="21"/>
          <w:highlight w:val="none"/>
        </w:rPr>
        <w:t xml:space="preserve">从业人员300人以下的为中小微型企业。其中，从业人员100人及以上的为中型企业；从业人员10人及以上的为小型企业；从业人员10人以下的为微型企业。</w:t>
      </w:r>
      <w:r>
        <w:rPr>
          <w:rFonts w:ascii="宋体" w:hAnsi="宋体" w:cs="宋体"/>
        </w:rPr>
      </w:r>
      <w:r/>
    </w:p>
    <w:p>
      <w:pPr>
        <w:pStyle w:val="897"/>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85"/>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97"/>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85"/>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97"/>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85"/>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97"/>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85"/>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97"/>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85"/>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97"/>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85"/>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97"/>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85"/>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97"/>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85"/>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97"/>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85"/>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97"/>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85"/>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97"/>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932"/>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932"/>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932"/>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945"/>
        <w:spacing w:before="602" w:after="0" w:line="480" w:lineRule="atLeas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pStyle w:val="945"/>
        <w:spacing w:before="602" w:after="0" w:line="48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w:t>
      </w:r>
      <w:r>
        <w:rPr>
          <w:rFonts w:hint="eastAsia" w:ascii="宋体" w:hAnsi="宋体" w:eastAsia="宋体" w:cs="宋体"/>
          <w:b/>
          <w:bCs/>
          <w:color w:val="000000"/>
          <w:sz w:val="21"/>
          <w:szCs w:val="21"/>
          <w:highlight w:val="none"/>
        </w:rPr>
        <w:t xml:space="preserve">残疾人福利性单位声明函</w:t>
      </w:r>
      <w:r>
        <w:rPr>
          <w:rFonts w:ascii="宋体" w:hAnsi="宋体" w:cs="宋体"/>
        </w:rPr>
      </w:r>
      <w:r/>
    </w:p>
    <w:p>
      <w:pPr>
        <w:pStyle w:val="945"/>
        <w:ind w:left="17" w:right="17"/>
        <w:jc w:val="center"/>
        <w:spacing w:before="0" w:after="0" w:line="480" w:lineRule="atLeas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残疾人福利性单位声明函</w:t>
      </w:r>
      <w:r>
        <w:rPr>
          <w:rFonts w:ascii="宋体" w:hAnsi="宋体" w:cs="宋体"/>
        </w:rPr>
      </w:r>
      <w:r/>
    </w:p>
    <w:p>
      <w:pPr>
        <w:pStyle w:val="945"/>
        <w:ind w:left="17" w:right="17" w:firstLine="420"/>
        <w:spacing w:before="0" w:after="0" w:line="480" w:lineRule="atLeas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b/>
          <w:bCs/>
          <w:color w:val="000000"/>
          <w:sz w:val="21"/>
          <w:szCs w:val="21"/>
          <w:highlight w:val="none"/>
          <w:u w:val="single"/>
        </w:rPr>
        <w:t xml:space="preserve">        </w:t>
      </w:r>
      <w:r>
        <w:rPr>
          <w:rFonts w:hint="eastAsia" w:ascii="宋体" w:hAnsi="宋体" w:eastAsia="宋体" w:cs="宋体"/>
          <w:color w:val="000000"/>
          <w:sz w:val="21"/>
          <w:szCs w:val="21"/>
          <w:highlight w:val="none"/>
          <w:lang w:val="zh-CN"/>
        </w:rPr>
        <w:t xml:space="preserve">单位的</w:t>
      </w: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CN"/>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rPr>
      </w:r>
      <w:r/>
    </w:p>
    <w:p>
      <w:pPr>
        <w:pStyle w:val="945"/>
        <w:ind w:firstLine="420"/>
        <w:spacing w:before="0" w:after="0" w:line="480" w:lineRule="atLeas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本单位对上述声明的真实性负责。如有虚假，将依法承担相应责任。</w:t>
      </w:r>
      <w:r>
        <w:rPr>
          <w:rFonts w:ascii="宋体" w:hAnsi="宋体" w:cs="宋体"/>
        </w:rPr>
      </w:r>
      <w:r/>
    </w:p>
    <w:p>
      <w:pPr>
        <w:pStyle w:val="945"/>
        <w:spacing w:before="0" w:after="0" w:line="480" w:lineRule="atLeast"/>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945"/>
        <w:spacing w:before="0" w:after="0" w:line="480" w:lineRule="atLeast"/>
        <w:rPr>
          <w:rFonts w:hint="eastAsia" w:ascii="宋体" w:hAnsi="宋体" w:cs="宋体"/>
          <w:color w:val="000000"/>
          <w:sz w:val="21"/>
          <w:szCs w:val="21"/>
          <w:highlight w:val="none"/>
        </w:rPr>
      </w:pPr>
      <w:r>
        <w:rPr>
          <w:rFonts w:hint="eastAsia" w:ascii="宋体" w:hAnsi="宋体" w:cs="宋体"/>
          <w:color w:val="000000"/>
          <w:highlight w:val="none"/>
        </w:rPr>
        <w:t xml:space="preserve">                   </w:t>
      </w:r>
      <w:r>
        <w:rPr>
          <w:rFonts w:hint="eastAsia" w:ascii="宋体" w:hAnsi="宋体" w:cs="宋体"/>
          <w:color w:val="000000"/>
          <w:sz w:val="21"/>
          <w:szCs w:val="21"/>
          <w:highlight w:val="none"/>
          <w:lang w:val="zh-CN"/>
        </w:rPr>
        <w:t xml:space="preserve"> </w:t>
      </w:r>
      <w:r>
        <w:rPr>
          <w:rFonts w:hint="eastAsia" w:ascii="宋体" w:hAnsi="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单位名称（盖章）：</w:t>
      </w:r>
      <w:r>
        <w:rPr>
          <w:rFonts w:ascii="宋体" w:hAnsi="宋体" w:cs="宋体"/>
        </w:rPr>
      </w:r>
      <w:r/>
    </w:p>
    <w:p>
      <w:pPr>
        <w:pStyle w:val="945"/>
        <w:spacing w:before="0" w:after="0" w:line="48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w:t>
      </w:r>
      <w:r>
        <w:rPr>
          <w:rFonts w:hint="eastAsia" w:ascii="宋体" w:hAnsi="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日  期：</w:t>
      </w:r>
      <w:r>
        <w:rPr>
          <w:rFonts w:ascii="宋体" w:hAnsi="宋体" w:cs="宋体"/>
        </w:rPr>
      </w:r>
      <w:r/>
    </w:p>
    <w:p>
      <w:pPr>
        <w:pStyle w:val="885"/>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85"/>
        <w:spacing w:line="360" w:lineRule="auto"/>
        <w:rPr>
          <w:rFonts w:ascii="宋体" w:hAnsi="宋体" w:cs="宋体"/>
          <w:color w:val="000000"/>
          <w:sz w:val="21"/>
          <w:szCs w:val="21"/>
          <w:highlight w:val="none"/>
        </w:rPr>
      </w:pPr>
      <w:r>
        <w:rPr>
          <w:rFonts w:ascii="宋体" w:hAnsi="宋体" w:cs="宋体"/>
          <w:color w:val="000000"/>
          <w:sz w:val="21"/>
          <w:szCs w:val="21"/>
          <w:highlight w:val="none"/>
          <w:lang w:val="zh-CN"/>
        </w:rPr>
      </w:r>
      <w:r>
        <w:rPr>
          <w:rFonts w:ascii="宋体" w:hAnsi="宋体" w:cs="宋体"/>
        </w:rPr>
      </w:r>
      <w:r/>
    </w:p>
    <w:p>
      <w:pPr>
        <w:pStyle w:val="885"/>
        <w:ind w:firstLine="420"/>
        <w:spacing w:line="440" w:lineRule="exact"/>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备注</w:t>
      </w:r>
      <w:r>
        <w:rPr>
          <w:rFonts w:hint="eastAsia" w:ascii="宋体" w:hAnsi="宋体" w:eastAsia="宋体" w:cs="宋体"/>
          <w:b/>
          <w:color w:val="000000"/>
          <w:sz w:val="21"/>
          <w:szCs w:val="21"/>
          <w:highlight w:val="none"/>
          <w:lang w:val="zh-CN"/>
        </w:rPr>
        <w:t xml:space="preserve">：1</w:t>
      </w:r>
      <w:r>
        <w:rPr>
          <w:rFonts w:hint="eastAsia" w:ascii="宋体" w:hAnsi="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享受政府采购支持政策的残疾人福利性单位应当同时满足以下条件：</w:t>
      </w:r>
      <w:r>
        <w:rPr>
          <w:rFonts w:ascii="宋体" w:hAnsi="宋体" w:cs="宋体"/>
        </w:rPr>
      </w:r>
      <w:r/>
    </w:p>
    <w:p>
      <w:pPr>
        <w:pStyle w:val="885"/>
        <w:ind w:firstLine="420"/>
        <w:spacing w:line="440" w:lineRule="exact"/>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w:t>
      </w:r>
      <w:r>
        <w:rPr>
          <w:rFonts w:hint="eastAsia" w:ascii="宋体" w:hAnsi="宋体" w:cs="宋体"/>
          <w:bCs/>
          <w:color w:val="000000"/>
          <w:sz w:val="21"/>
          <w:szCs w:val="21"/>
          <w:highlight w:val="none"/>
        </w:rPr>
        <w:t xml:space="preserve">1</w:t>
      </w:r>
      <w:r>
        <w:rPr>
          <w:rFonts w:hint="eastAsia" w:ascii="宋体" w:hAnsi="宋体" w:eastAsia="宋体" w:cs="宋体"/>
          <w:bCs/>
          <w:color w:val="000000"/>
          <w:sz w:val="21"/>
          <w:szCs w:val="21"/>
          <w:highlight w:val="none"/>
          <w:lang w:val="zh-CN"/>
        </w:rPr>
        <w:t xml:space="preserve">）安置的残疾人占本单位在职职工人数的比例不低于25%（含25%），并且安置的残疾人人数不少于10人（含10人）；</w:t>
      </w:r>
      <w:r>
        <w:rPr>
          <w:rFonts w:ascii="宋体" w:hAnsi="宋体" w:cs="宋体"/>
        </w:rPr>
      </w:r>
      <w:r/>
    </w:p>
    <w:p>
      <w:pPr>
        <w:pStyle w:val="885"/>
        <w:ind w:firstLine="420"/>
        <w:spacing w:line="440" w:lineRule="exact"/>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w:t>
      </w:r>
      <w:r>
        <w:rPr>
          <w:rFonts w:hint="eastAsia" w:ascii="宋体" w:hAnsi="宋体" w:cs="宋体"/>
          <w:bCs/>
          <w:color w:val="000000"/>
          <w:sz w:val="21"/>
          <w:szCs w:val="21"/>
          <w:highlight w:val="none"/>
        </w:rPr>
        <w:t xml:space="preserve">2</w:t>
      </w:r>
      <w:r>
        <w:rPr>
          <w:rFonts w:hint="eastAsia" w:ascii="宋体" w:hAnsi="宋体" w:eastAsia="宋体" w:cs="宋体"/>
          <w:bCs/>
          <w:color w:val="000000"/>
          <w:sz w:val="21"/>
          <w:szCs w:val="21"/>
          <w:highlight w:val="none"/>
          <w:lang w:val="zh-CN"/>
        </w:rPr>
        <w:t xml:space="preserve">）依法与安置的每位残疾人签订了一年以上（含一年）的劳动合同或服务协议；</w:t>
      </w:r>
      <w:r>
        <w:rPr>
          <w:rFonts w:ascii="宋体" w:hAnsi="宋体" w:cs="宋体"/>
        </w:rPr>
      </w:r>
      <w:r/>
    </w:p>
    <w:p>
      <w:pPr>
        <w:pStyle w:val="885"/>
        <w:ind w:firstLine="420"/>
        <w:spacing w:line="440" w:lineRule="exact"/>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w:t>
      </w:r>
      <w:r>
        <w:rPr>
          <w:rFonts w:hint="eastAsia" w:ascii="宋体" w:hAnsi="宋体" w:cs="宋体"/>
          <w:bCs/>
          <w:color w:val="000000"/>
          <w:sz w:val="21"/>
          <w:szCs w:val="21"/>
          <w:highlight w:val="none"/>
        </w:rPr>
        <w:t xml:space="preserve">3</w:t>
      </w:r>
      <w:r>
        <w:rPr>
          <w:rFonts w:hint="eastAsia" w:ascii="宋体" w:hAnsi="宋体" w:eastAsia="宋体" w:cs="宋体"/>
          <w:bCs/>
          <w:color w:val="000000"/>
          <w:sz w:val="21"/>
          <w:szCs w:val="21"/>
          <w:highlight w:val="none"/>
          <w:lang w:val="zh-CN"/>
        </w:rPr>
        <w:t xml:space="preserve">）为安置的每位残疾人按月足额缴纳了基本养老保险、基本医疗保险、失业保险、工伤保险和生育保险等社会保险费；</w:t>
      </w:r>
      <w:r>
        <w:rPr>
          <w:rFonts w:ascii="宋体" w:hAnsi="宋体" w:cs="宋体"/>
        </w:rPr>
      </w:r>
      <w:r/>
    </w:p>
    <w:p>
      <w:pPr>
        <w:pStyle w:val="885"/>
        <w:ind w:firstLine="420"/>
        <w:spacing w:line="440" w:lineRule="exact"/>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w:t>
      </w:r>
      <w:r>
        <w:rPr>
          <w:rFonts w:hint="eastAsia" w:ascii="宋体" w:hAnsi="宋体" w:cs="宋体"/>
          <w:bCs/>
          <w:color w:val="000000"/>
          <w:sz w:val="21"/>
          <w:szCs w:val="21"/>
          <w:highlight w:val="none"/>
        </w:rPr>
        <w:t xml:space="preserve">4</w:t>
      </w:r>
      <w:r>
        <w:rPr>
          <w:rFonts w:hint="eastAsia" w:ascii="宋体" w:hAnsi="宋体" w:eastAsia="宋体" w:cs="宋体"/>
          <w:bCs/>
          <w:color w:val="000000"/>
          <w:sz w:val="21"/>
          <w:szCs w:val="21"/>
          <w:highlight w:val="none"/>
          <w:lang w:val="zh-CN"/>
        </w:rPr>
        <w:t xml:space="preserve">）通过银行等金融机构向安置的每位残疾人，按月支付了不低于单位所在区县适用的经省级人民政府批准的月最低工资标准的工资；</w:t>
      </w:r>
      <w:r>
        <w:rPr>
          <w:rFonts w:ascii="宋体" w:hAnsi="宋体" w:cs="宋体"/>
        </w:rPr>
      </w:r>
      <w:r/>
    </w:p>
    <w:p>
      <w:pPr>
        <w:pStyle w:val="885"/>
        <w:ind w:firstLine="420"/>
        <w:spacing w:line="440" w:lineRule="exact"/>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w:t>
      </w:r>
      <w:r>
        <w:rPr>
          <w:rFonts w:hint="eastAsia" w:ascii="宋体" w:hAnsi="宋体" w:cs="宋体"/>
          <w:bCs/>
          <w:color w:val="000000"/>
          <w:sz w:val="21"/>
          <w:szCs w:val="21"/>
          <w:highlight w:val="none"/>
        </w:rPr>
        <w:t xml:space="preserve">5</w:t>
      </w:r>
      <w:r>
        <w:rPr>
          <w:rFonts w:hint="eastAsia" w:ascii="宋体" w:hAnsi="宋体" w:eastAsia="宋体" w:cs="宋体"/>
          <w:bCs/>
          <w:color w:val="000000"/>
          <w:sz w:val="21"/>
          <w:szCs w:val="21"/>
          <w:highlight w:val="none"/>
          <w:lang w:val="zh-CN"/>
        </w:rPr>
        <w:t xml:space="preserve">）提供本单位制造的货物、承担的工程或者服务（以下简称产品），或者提供其他残疾人福利性单位制造的货物（不包括使用非残疾人福利性单位注册商标的货物）。</w:t>
      </w:r>
      <w:r>
        <w:rPr>
          <w:rFonts w:ascii="宋体" w:hAnsi="宋体" w:cs="宋体"/>
        </w:rPr>
      </w:r>
      <w:r/>
    </w:p>
    <w:p>
      <w:pPr>
        <w:pStyle w:val="885"/>
        <w:ind w:firstLine="420"/>
        <w:spacing w:line="440" w:lineRule="exact"/>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cs="宋体"/>
        </w:rPr>
      </w:r>
      <w:r/>
    </w:p>
    <w:p>
      <w:pPr>
        <w:pStyle w:val="885"/>
        <w:ind w:firstLine="422"/>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zh-CN"/>
        </w:rPr>
        <w:t xml:space="preserve">2</w:t>
      </w:r>
      <w:r>
        <w:rPr>
          <w:rFonts w:hint="eastAsia" w:ascii="宋体" w:hAnsi="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lang w:val="zh-CN"/>
        </w:rPr>
        <w:t xml:space="preserve">中标单位为残疾人福利性单位的，《残疾人福利性单位声明函》将随中标结果同时公告。</w:t>
      </w:r>
      <w:r>
        <w:rPr>
          <w:rFonts w:ascii="宋体" w:hAnsi="宋体" w:cs="宋体"/>
        </w:rPr>
      </w:r>
      <w:r/>
    </w:p>
    <w:p>
      <w:pPr>
        <w:pStyle w:val="885"/>
        <w:ind w:firstLine="422"/>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zh-CN"/>
        </w:rPr>
        <w:t xml:space="preserve">3</w:t>
      </w:r>
      <w:r>
        <w:rPr>
          <w:rFonts w:hint="eastAsia" w:ascii="宋体" w:hAnsi="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lang w:val="zh-CN"/>
        </w:rPr>
        <w:t xml:space="preserve">供应商提供的《残疾人福利性单位声明函》与事实不符的，依照《政府采购法》第七十七条第一款的规定追究法律责任。</w:t>
      </w:r>
      <w:r>
        <w:rPr>
          <w:rFonts w:ascii="宋体" w:hAnsi="宋体" w:cs="宋体"/>
        </w:rPr>
      </w:r>
      <w:r/>
    </w:p>
    <w:p>
      <w:pPr>
        <w:pStyle w:val="885"/>
        <w:ind w:firstLine="2759"/>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85"/>
        <w:ind w:firstLine="2759"/>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85"/>
        <w:ind w:firstLine="2759"/>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952"/>
        <w:rPr>
          <w:rFonts w:ascii="宋体" w:hAnsi="宋体" w:cs="宋体"/>
          <w:b/>
          <w:bCs/>
          <w:color w:val="000000"/>
          <w:highlight w:val="none"/>
        </w:rPr>
      </w:pPr>
      <w:r>
        <w:rPr>
          <w:rFonts w:ascii="宋体" w:hAnsi="宋体" w:cs="宋体"/>
          <w:b/>
          <w:bCs/>
          <w:color w:val="000000"/>
          <w:highlight w:val="none"/>
        </w:rPr>
      </w:r>
      <w:r>
        <w:rPr>
          <w:rFonts w:ascii="宋体" w:hAnsi="宋体" w:cs="宋体"/>
          <w:b/>
          <w:bCs/>
          <w:color w:val="000000"/>
          <w:highlight w:val="none"/>
        </w:rPr>
      </w:r>
      <w:r/>
    </w:p>
    <w:p>
      <w:pPr>
        <w:pStyle w:val="952"/>
        <w:rPr>
          <w:rFonts w:ascii="宋体" w:hAnsi="宋体" w:cs="宋体"/>
          <w:b/>
          <w:bCs/>
          <w:color w:val="000000"/>
          <w:highlight w:val="none"/>
        </w:rPr>
      </w:pPr>
      <w:r>
        <w:rPr>
          <w:rFonts w:ascii="宋体" w:hAnsi="宋体" w:cs="宋体"/>
          <w:b/>
          <w:bCs/>
          <w:color w:val="000000"/>
          <w:highlight w:val="none"/>
        </w:rPr>
      </w:r>
      <w:r>
        <w:rPr>
          <w:rFonts w:ascii="宋体" w:hAnsi="宋体" w:cs="宋体"/>
          <w:b/>
          <w:bCs/>
          <w:color w:val="000000"/>
          <w:highlight w:val="none"/>
        </w:rPr>
      </w:r>
      <w:r/>
    </w:p>
    <w:p>
      <w:pPr>
        <w:pStyle w:val="952"/>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85"/>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85"/>
        <w:jc w:val="left"/>
        <w:spacing w:line="44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（5）监狱企业声明函</w:t>
      </w:r>
      <w:r>
        <w:rPr>
          <w:rFonts w:ascii="宋体" w:hAnsi="宋体" w:cs="宋体"/>
        </w:rPr>
      </w:r>
      <w:r/>
    </w:p>
    <w:p>
      <w:pPr>
        <w:pStyle w:val="885"/>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85"/>
        <w:jc w:val="center"/>
        <w:rPr>
          <w:rFonts w:hint="eastAsia" w:ascii="宋体" w:hAnsi="宋体" w:cs="宋体"/>
          <w:b/>
          <w:color w:val="000000"/>
          <w:sz w:val="21"/>
          <w:szCs w:val="21"/>
          <w:highlight w:val="none"/>
        </w:rPr>
      </w:pPr>
      <w:r>
        <w:rPr>
          <w:rFonts w:hint="eastAsia" w:ascii="宋体" w:hAnsi="宋体" w:eastAsia="宋体" w:cs="宋体"/>
          <w:b/>
          <w:bCs/>
          <w:color w:val="000000"/>
          <w:sz w:val="21"/>
          <w:szCs w:val="21"/>
          <w:highlight w:val="none"/>
        </w:rPr>
        <w:t xml:space="preserve">监狱企业声明函</w:t>
      </w:r>
      <w:r>
        <w:rPr>
          <w:rFonts w:ascii="宋体" w:hAnsi="宋体" w:cs="宋体"/>
        </w:rPr>
      </w:r>
      <w:r/>
    </w:p>
    <w:p>
      <w:pPr>
        <w:pStyle w:val="945"/>
        <w:ind w:left="0" w:right="17"/>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945"/>
        <w:ind w:right="17" w:firstLine="480"/>
        <w:spacing w:before="0" w:after="0"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本企业（单位）郑重声明下列事项（按照实际情况勾选或填空）：</w:t>
      </w:r>
      <w:r>
        <w:rPr>
          <w:rFonts w:ascii="宋体" w:hAnsi="宋体" w:cs="宋体"/>
        </w:rPr>
      </w:r>
      <w:r/>
    </w:p>
    <w:p>
      <w:pPr>
        <w:pStyle w:val="945"/>
        <w:ind w:right="17" w:firstLine="480"/>
        <w:spacing w:before="0" w:after="0"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本企业（单位）为直接投标人提供本企业（单位）的服务。</w:t>
      </w:r>
      <w:r>
        <w:rPr>
          <w:rFonts w:ascii="宋体" w:hAnsi="宋体" w:cs="宋体"/>
        </w:rPr>
      </w:r>
      <w:r/>
    </w:p>
    <w:p>
      <w:pPr>
        <w:pStyle w:val="945"/>
        <w:ind w:right="17" w:firstLine="480"/>
        <w:spacing w:before="0" w:after="0"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（1）本企业（单位）</w:t>
      </w: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（请填写：是、不是）监狱企业。后附省级以上监狱管理局、戒毒管理局（含新疆生产建设兵团）出具的属于监狱企业的证明文件。</w:t>
      </w:r>
      <w:r>
        <w:rPr>
          <w:rFonts w:ascii="宋体" w:hAnsi="宋体" w:cs="宋体"/>
        </w:rPr>
      </w:r>
      <w:r/>
    </w:p>
    <w:p>
      <w:pPr>
        <w:pStyle w:val="945"/>
        <w:ind w:right="17" w:firstLine="480"/>
        <w:spacing w:before="0" w:after="0"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（2）本企业（单位）</w:t>
      </w: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（请填写：是、不是）为联合体一方，提供本企业（单位）的服务。本企业（单位）提供协议合同金额占到共同投标协议合同总金额的比例为</w:t>
      </w: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cs="宋体"/>
        </w:rPr>
      </w:r>
      <w:r/>
    </w:p>
    <w:p>
      <w:pPr>
        <w:pStyle w:val="945"/>
        <w:ind w:right="17" w:firstLine="480"/>
        <w:spacing w:before="0" w:after="0"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本企业（单位）对上述声明的真实性负责。如有虚假，将依法承担相应责任。</w:t>
      </w:r>
      <w:r>
        <w:rPr>
          <w:rFonts w:ascii="宋体" w:hAnsi="宋体" w:cs="宋体"/>
        </w:rPr>
      </w:r>
      <w:r/>
    </w:p>
    <w:p>
      <w:pPr>
        <w:pStyle w:val="945"/>
        <w:ind w:firstLine="480"/>
        <w:spacing w:before="75" w:after="75"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945"/>
        <w:ind w:firstLine="480"/>
        <w:spacing w:before="75" w:after="75"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85"/>
        <w:ind w:right="1560" w:firstLine="444"/>
        <w:jc w:val="center"/>
        <w:spacing w:line="360" w:lineRule="auto"/>
        <w:tabs>
          <w:tab w:val="left" w:pos="4860" w:leader="none"/>
        </w:tabs>
        <w:rPr>
          <w:rFonts w:ascii="宋体" w:hAnsi="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                                  单位名称（盖章）：</w:t>
      </w:r>
      <w:r>
        <w:rPr>
          <w:rFonts w:ascii="宋体" w:hAnsi="宋体" w:cs="宋体"/>
        </w:rPr>
      </w:r>
      <w:r/>
    </w:p>
    <w:p>
      <w:pPr>
        <w:pStyle w:val="918"/>
        <w:ind w:firstLine="444"/>
        <w:spacing w:line="360" w:lineRule="auto"/>
        <w:rPr>
          <w:rFonts w:hint="eastAsia" w:ascii="宋体" w:hAnsi="宋体" w:cs="宋体"/>
          <w:color w:val="000000"/>
          <w:sz w:val="21"/>
          <w:szCs w:val="21"/>
          <w:highlight w:val="none"/>
        </w:rPr>
      </w:pPr>
      <w:r>
        <w:rPr>
          <w:rFonts w:hint="eastAsia" w:ascii="宋体" w:hAnsi="宋体" w:eastAsia="宋体" w:cs="宋体"/>
          <w:color w:val="000000"/>
          <w:spacing w:val="6"/>
          <w:sz w:val="21"/>
          <w:szCs w:val="21"/>
          <w:highlight w:val="none"/>
        </w:rPr>
        <w:t xml:space="preserve">                                          日  期：</w:t>
      </w:r>
      <w:r>
        <w:rPr>
          <w:rFonts w:ascii="宋体" w:hAnsi="宋体" w:cs="宋体"/>
        </w:rPr>
      </w:r>
      <w:r/>
    </w:p>
    <w:p>
      <w:pPr>
        <w:pStyle w:val="885"/>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85"/>
        <w:ind w:firstLine="2759"/>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85"/>
        <w:ind w:firstLine="2759"/>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85"/>
        <w:ind w:firstLine="2759"/>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85"/>
        <w:ind w:firstLine="2759"/>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85"/>
        <w:ind w:firstLine="2759"/>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85"/>
        <w:ind w:firstLine="2759"/>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85"/>
        <w:ind w:firstLine="2759"/>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85"/>
        <w:ind w:firstLine="2759"/>
        <w:rPr>
          <w:rFonts w:hint="eastAsia" w:ascii="宋体" w:hAnsi="宋体" w:cs="宋体"/>
          <w:b/>
          <w:bCs/>
          <w:color w:val="000000"/>
          <w:highlight w:val="none"/>
        </w:rPr>
      </w:pPr>
      <w:r>
        <w:rPr>
          <w:rFonts w:hint="eastAsia" w:ascii="宋体" w:hAnsi="宋体" w:cs="宋体"/>
          <w:b/>
          <w:bCs/>
          <w:color w:val="000000"/>
          <w:highlight w:val="none"/>
        </w:rPr>
      </w:r>
      <w:r>
        <w:rPr>
          <w:rFonts w:ascii="宋体" w:hAnsi="宋体" w:cs="宋体"/>
        </w:rPr>
      </w:r>
      <w:r/>
    </w:p>
    <w:p>
      <w:pPr>
        <w:pStyle w:val="104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04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045"/>
        <w:ind w:left="0" w:firstLine="0"/>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85"/>
        <w:ind w:firstLine="2759"/>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918"/>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8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8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r>
      <w:r>
        <w:rPr>
          <w:rFonts w:ascii="宋体" w:hAnsi="宋体" w:cs="宋体"/>
        </w:rPr>
      </w:r>
      <w:r/>
    </w:p>
    <w:p>
      <w:pPr>
        <w:pStyle w:val="885"/>
        <w:keepLines w:val="0"/>
        <w:keepNext w:val="0"/>
        <w:pageBreakBefore/>
        <w:spacing w:beforeAutospacing="0" w:after="0" w:afterAutospacing="0" w:line="400" w:lineRule="exact"/>
        <w:widowControl w:val="off"/>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lang w:val="zh-CN"/>
        </w:rPr>
        <w:t xml:space="preserve">附件</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en-US" w:eastAsia="zh-CN"/>
        </w:rPr>
        <w:t xml:space="preserve">、关于符合本国产品标准的声明函</w:t>
      </w:r>
      <w:r>
        <w:rPr>
          <w:rFonts w:ascii="宋体" w:hAnsi="宋体" w:cs="宋体"/>
        </w:rPr>
      </w:r>
      <w:r/>
    </w:p>
    <w:p>
      <w:pPr>
        <w:pStyle w:val="897"/>
        <w:ind w:left="0" w:firstLine="0"/>
        <w:jc w:val="center"/>
        <w:keepLines w:val="0"/>
        <w:keepNext w:val="0"/>
        <w:spacing w:line="400" w:lineRule="exact"/>
        <w:widowControl w:val="off"/>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关于符合本国产品标准的声明函</w:t>
      </w:r>
      <w:r>
        <w:rPr>
          <w:rFonts w:ascii="宋体" w:hAnsi="宋体" w:cs="宋体"/>
        </w:rPr>
      </w:r>
      <w:r/>
    </w:p>
    <w:p>
      <w:pPr>
        <w:pStyle w:val="885"/>
        <w:ind w:left="15" w:right="15" w:firstLine="480"/>
        <w:jc w:val="both"/>
        <w:keepLines w:val="0"/>
        <w:keepNext w:val="0"/>
        <w:pageBreakBefore w:val="0"/>
        <w:spacing w:before="30" w:after="30" w:line="312" w:lineRule="auto"/>
        <w:shd w:val="clear" w:color="auto" w:fill="ffffff"/>
        <w:widowControl/>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rPr>
      </w:r>
      <w:r/>
    </w:p>
    <w:p>
      <w:pPr>
        <w:pStyle w:val="885"/>
        <w:ind w:left="15" w:right="15" w:firstLine="480"/>
        <w:jc w:val="both"/>
        <w:keepLines w:val="0"/>
        <w:keepNext w:val="0"/>
        <w:pageBreakBefore w:val="0"/>
        <w:spacing w:before="0" w:after="0" w:line="312" w:lineRule="auto"/>
        <w:shd w:val="clear" w:color="auto" w:fill="ffffff"/>
        <w:widowControl/>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mc:AlternateContent>
          <mc:Choice Requires="wpg">
            <w:drawing>
              <wp:anchor xmlns:wp="http://schemas.openxmlformats.org/drawingml/2006/wordprocessingDrawing" xmlns:wp14="http://schemas.microsoft.com/office/word/2010/wordprocessingDrawing" distT="0" distB="0" distL="115200" distR="115200" simplePos="0" relativeHeight="251679754" behindDoc="0" locked="0" layoutInCell="1" allowOverlap="1">
                <wp:simplePos x="0" y="0"/>
                <wp:positionH relativeFrom="column">
                  <wp:posOffset>4036135</wp:posOffset>
                </wp:positionH>
                <wp:positionV relativeFrom="paragraph">
                  <wp:posOffset>671549</wp:posOffset>
                </wp:positionV>
                <wp:extent cx="861391" cy="140804"/>
                <wp:effectExtent l="4762" t="4762" r="4762" b="4762"/>
                <wp:wrapNone/>
                <wp:docPr id="1" name=""/>
                <wp:cNvGraphicFramePr/>
                <a:graphic xmlns:a="http://schemas.openxmlformats.org/drawingml/2006/main">
                  <a:graphicData uri="http://schemas.microsoft.com/office/word/2010/wordprocessingShape">
                    <wps:wsp>
                      <wps:cNvPr id="0" name=""/>
                      <wps:cNvSpPr/>
                      <wps:spPr bwMode="auto">
                        <a:xfrm flipH="0" flipV="1">
                          <a:off x="0" y="0"/>
                          <a:ext cx="861391" cy="140804"/>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0" o:spid="_x0000_s0" style="position:absolute;left:0;text-align:left;z-index:251679754;mso-wrap-distance-left:9.1pt;mso-wrap-distance-top:0.0pt;mso-wrap-distance-right:9.1pt;mso-wrap-distance-bottom:0.0pt;flip:y;visibility:visible;" from="317.8pt,52.9pt" to="385.6pt,64.0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8730" behindDoc="0" locked="0" layoutInCell="1" allowOverlap="1">
                <wp:simplePos x="0" y="0"/>
                <wp:positionH relativeFrom="column">
                  <wp:posOffset>5725787</wp:posOffset>
                </wp:positionH>
                <wp:positionV relativeFrom="paragraph">
                  <wp:posOffset>224288</wp:posOffset>
                </wp:positionV>
                <wp:extent cx="588065" cy="140804"/>
                <wp:effectExtent l="4762" t="4762" r="4762" b="4762"/>
                <wp:wrapNone/>
                <wp:docPr id="2" name=""/>
                <wp:cNvGraphicFramePr/>
                <a:graphic xmlns:a="http://schemas.openxmlformats.org/drawingml/2006/main">
                  <a:graphicData uri="http://schemas.microsoft.com/office/word/2010/wordprocessingShape">
                    <wps:wsp>
                      <wps:cNvPr id="0" name=""/>
                      <wps:cNvSpPr/>
                      <wps:spPr bwMode="auto">
                        <a:xfrm flipH="0" flipV="1">
                          <a:off x="0" y="0"/>
                          <a:ext cx="588065" cy="140804"/>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 o:spid="_x0000_s1" style="position:absolute;left:0;text-align:left;z-index:251678730;mso-wrap-distance-left:9.1pt;mso-wrap-distance-top:0.0pt;mso-wrap-distance-right:9.1pt;mso-wrap-distance-bottom:0.0pt;flip:y;visibility:visible;" from="450.8pt,17.7pt" to="497.2pt,28.7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7706" behindDoc="0" locked="0" layoutInCell="1" allowOverlap="1">
                <wp:simplePos x="0" y="0"/>
                <wp:positionH relativeFrom="column">
                  <wp:posOffset>4698743</wp:posOffset>
                </wp:positionH>
                <wp:positionV relativeFrom="paragraph">
                  <wp:posOffset>224288</wp:posOffset>
                </wp:positionV>
                <wp:extent cx="902804" cy="132521"/>
                <wp:effectExtent l="4762" t="4762" r="4762" b="4762"/>
                <wp:wrapNone/>
                <wp:docPr id="3" name=""/>
                <wp:cNvGraphicFramePr/>
                <a:graphic xmlns:a="http://schemas.openxmlformats.org/drawingml/2006/main">
                  <a:graphicData uri="http://schemas.microsoft.com/office/word/2010/wordprocessingShape">
                    <wps:wsp>
                      <wps:cNvPr id="0" name=""/>
                      <wps:cNvSpPr/>
                      <wps:spPr bwMode="auto">
                        <a:xfrm flipH="0" flipV="1">
                          <a:off x="0" y="0"/>
                          <a:ext cx="902804" cy="132521"/>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2" o:spid="_x0000_s2" style="position:absolute;left:0;text-align:left;z-index:251677706;mso-wrap-distance-left:9.1pt;mso-wrap-distance-top:0.0pt;mso-wrap-distance-right:9.1pt;mso-wrap-distance-bottom:0.0pt;flip:y;visibility:visible;" from="370.0pt,17.7pt" to="441.1pt,28.1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6682" behindDoc="0" locked="0" layoutInCell="1" allowOverlap="1">
                <wp:simplePos x="0" y="0"/>
                <wp:positionH relativeFrom="column">
                  <wp:posOffset>2727482</wp:posOffset>
                </wp:positionH>
                <wp:positionV relativeFrom="paragraph">
                  <wp:posOffset>249136</wp:posOffset>
                </wp:positionV>
                <wp:extent cx="836543" cy="115956"/>
                <wp:effectExtent l="4762" t="4762" r="4762" b="4762"/>
                <wp:wrapNone/>
                <wp:docPr id="4" name=""/>
                <wp:cNvGraphicFramePr/>
                <a:graphic xmlns:a="http://schemas.openxmlformats.org/drawingml/2006/main">
                  <a:graphicData uri="http://schemas.microsoft.com/office/word/2010/wordprocessingShape">
                    <wps:wsp>
                      <wps:cNvPr id="0" name=""/>
                      <wps:cNvSpPr/>
                      <wps:spPr bwMode="auto">
                        <a:xfrm flipH="0" flipV="1">
                          <a:off x="0" y="0"/>
                          <a:ext cx="836543" cy="115956"/>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3" o:spid="_x0000_s3" style="position:absolute;left:0;text-align:left;z-index:251676682;mso-wrap-distance-left:9.1pt;mso-wrap-distance-top:0.0pt;mso-wrap-distance-right:9.1pt;mso-wrap-distance-bottom:0.0pt;flip:y;visibility:visible;" from="214.8pt,19.6pt" to="280.6pt,28.7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5658" behindDoc="0" locked="0" layoutInCell="1" allowOverlap="1">
                <wp:simplePos x="0" y="0"/>
                <wp:positionH relativeFrom="column">
                  <wp:posOffset>1708722</wp:posOffset>
                </wp:positionH>
                <wp:positionV relativeFrom="paragraph">
                  <wp:posOffset>232571</wp:posOffset>
                </wp:positionV>
                <wp:extent cx="861391" cy="124239"/>
                <wp:effectExtent l="4762" t="4762" r="4762" b="4762"/>
                <wp:wrapNone/>
                <wp:docPr id="5" name=""/>
                <wp:cNvGraphicFramePr/>
                <a:graphic xmlns:a="http://schemas.openxmlformats.org/drawingml/2006/main">
                  <a:graphicData uri="http://schemas.microsoft.com/office/word/2010/wordprocessingShape">
                    <wps:wsp>
                      <wps:cNvPr id="0" name=""/>
                      <wps:cNvSpPr/>
                      <wps:spPr bwMode="auto">
                        <a:xfrm flipH="0" flipV="1">
                          <a:off x="0" y="0"/>
                          <a:ext cx="861391" cy="12423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4" o:spid="_x0000_s4" style="position:absolute;left:0;text-align:left;z-index:251675658;mso-wrap-distance-left:9.1pt;mso-wrap-distance-top:0.0pt;mso-wrap-distance-right:9.1pt;mso-wrap-distance-bottom:0.0pt;flip:y;visibility:visible;" from="134.5pt,18.3pt" to="202.4pt,28.1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4634" behindDoc="0" locked="0" layoutInCell="1" allowOverlap="1">
                <wp:simplePos x="0" y="0"/>
                <wp:positionH relativeFrom="column">
                  <wp:posOffset>681678</wp:posOffset>
                </wp:positionH>
                <wp:positionV relativeFrom="paragraph">
                  <wp:posOffset>224288</wp:posOffset>
                </wp:positionV>
                <wp:extent cx="853109" cy="132521"/>
                <wp:effectExtent l="4762" t="4762" r="4762" b="4762"/>
                <wp:wrapNone/>
                <wp:docPr id="6" name=""/>
                <wp:cNvGraphicFramePr/>
                <a:graphic xmlns:a="http://schemas.openxmlformats.org/drawingml/2006/main">
                  <a:graphicData uri="http://schemas.microsoft.com/office/word/2010/wordprocessingShape">
                    <wps:wsp>
                      <wps:cNvPr id="0" name=""/>
                      <wps:cNvSpPr/>
                      <wps:spPr bwMode="auto">
                        <a:xfrm flipH="0" flipV="1">
                          <a:off x="0" y="0"/>
                          <a:ext cx="853108" cy="132521"/>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5" o:spid="_x0000_s5" style="position:absolute;left:0;text-align:left;z-index:251674634;mso-wrap-distance-left:9.1pt;mso-wrap-distance-top:0.0pt;mso-wrap-distance-right:9.1pt;mso-wrap-distance-bottom:0.0pt;flip:y;visibility:visible;" from="53.7pt,17.7pt" to="120.8pt,28.1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0538" behindDoc="0" locked="0" layoutInCell="1" allowOverlap="1">
                <wp:simplePos x="0" y="0"/>
                <wp:positionH relativeFrom="column">
                  <wp:posOffset>4069265</wp:posOffset>
                </wp:positionH>
                <wp:positionV relativeFrom="paragraph">
                  <wp:posOffset>25506</wp:posOffset>
                </wp:positionV>
                <wp:extent cx="861391" cy="107674"/>
                <wp:effectExtent l="4762" t="4762" r="4762" b="4762"/>
                <wp:wrapNone/>
                <wp:docPr id="7" name=""/>
                <wp:cNvGraphicFramePr/>
                <a:graphic xmlns:a="http://schemas.openxmlformats.org/drawingml/2006/main">
                  <a:graphicData uri="http://schemas.microsoft.com/office/word/2010/wordprocessingShape">
                    <wps:wsp>
                      <wps:cNvPr id="0" name=""/>
                      <wps:cNvSpPr/>
                      <wps:spPr bwMode="auto">
                        <a:xfrm flipH="0" flipV="1">
                          <a:off x="0" y="0"/>
                          <a:ext cx="861391" cy="107673"/>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6" o:spid="_x0000_s6" style="position:absolute;left:0;text-align:left;z-index:251670538;mso-wrap-distance-left:9.1pt;mso-wrap-distance-top:0.0pt;mso-wrap-distance-right:9.1pt;mso-wrap-distance-bottom:0.0pt;flip:y;visibility:visible;" from="320.4pt,2.0pt" to="388.2pt,10.5pt" filled="f" strokecolor="#233B59" strokeweight="0.75pt"/>
            </w:pict>
          </mc:Fallback>
        </mc:AlternateContent>
      </w:r>
      <w:r>
        <w:rPr>
          <w:rFonts w:hint="eastAsia" w:ascii="宋体" w:hAnsi="宋体" w:eastAsia="宋体" w:cs="宋体"/>
          <w:color w:val="000000"/>
          <w:sz w:val="21"/>
          <w:szCs w:val="21"/>
          <w:highlight w:val="none"/>
        </w:rPr>
        <w:t xml:space="preserve">1.</w:t>
      </w:r>
      <w:r>
        <w:rPr>
          <w:rFonts w:hint="eastAsia" w:ascii="宋体" w:hAnsi="宋体" w:eastAsia="宋体" w:cs="宋体"/>
          <w:i/>
          <w:color w:val="000000"/>
          <w:sz w:val="21"/>
          <w:szCs w:val="21"/>
          <w:highlight w:val="none"/>
          <w:u w:val="single"/>
        </w:rPr>
        <w:t xml:space="preserve">（产品名称1）</w:t>
      </w:r>
      <w:r>
        <w:rPr>
          <w:rFonts w:hint="eastAsia" w:ascii="宋体" w:hAnsi="宋体" w:eastAsia="宋体" w:cs="宋体"/>
          <w:i/>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，生产厂为</w:t>
      </w:r>
      <w:r>
        <w:rPr>
          <w:rFonts w:hint="eastAsia" w:ascii="宋体" w:hAnsi="宋体" w:eastAsia="宋体" w:cs="宋体"/>
          <w:i/>
          <w:color w:val="000000"/>
          <w:sz w:val="21"/>
          <w:szCs w:val="21"/>
          <w:highlight w:val="none"/>
          <w:u w:val="single"/>
        </w:rPr>
        <w:t xml:space="preserve">（厂名）</w:t>
      </w:r>
      <w:r>
        <w:rPr>
          <w:rFonts w:hint="eastAsia" w:ascii="宋体" w:hAnsi="宋体" w:eastAsia="宋体" w:cs="宋体"/>
          <w:i/>
          <w:color w:val="000000"/>
          <w:sz w:val="21"/>
          <w:szCs w:val="21"/>
          <w:highlight w:val="none"/>
          <w:vertAlign w:val="superscript"/>
        </w:rPr>
        <w:t xml:space="preserve">2</w:t>
      </w:r>
      <w:r>
        <w:rPr>
          <w:rFonts w:hint="eastAsia" w:ascii="宋体" w:hAnsi="宋体" w:eastAsia="宋体" w:cs="宋体"/>
          <w:color w:val="000000"/>
          <w:sz w:val="21"/>
          <w:szCs w:val="21"/>
          <w:highlight w:val="none"/>
        </w:rPr>
        <w:t xml:space="preserve">，厂址为</w:t>
      </w:r>
      <w:r>
        <w:rPr>
          <w:rFonts w:hint="eastAsia" w:ascii="宋体" w:hAnsi="宋体" w:eastAsia="宋体" w:cs="宋体"/>
          <w:i/>
          <w:color w:val="000000"/>
          <w:sz w:val="21"/>
          <w:szCs w:val="21"/>
          <w:highlight w:val="none"/>
          <w:u w:val="single"/>
        </w:rPr>
        <w:t xml:space="preserve">（生产厂址）</w:t>
      </w:r>
      <w:r>
        <w:rPr>
          <w:rFonts w:hint="eastAsia" w:ascii="宋体" w:hAnsi="宋体" w:eastAsia="宋体" w:cs="宋体"/>
          <w:color w:val="000000"/>
          <w:sz w:val="21"/>
          <w:szCs w:val="21"/>
          <w:highlight w:val="none"/>
        </w:rPr>
        <w:t xml:space="preserve">。</w:t>
      </w:r>
      <w:r>
        <w:rPr>
          <w:rFonts w:hint="eastAsia" w:ascii="宋体" w:hAnsi="宋体" w:eastAsia="宋体" w:cs="宋体"/>
          <w:i/>
          <w:color w:val="000000"/>
          <w:sz w:val="21"/>
          <w:szCs w:val="21"/>
          <w:highlight w:val="none"/>
          <w:u w:val="single"/>
        </w:rPr>
        <w:t xml:space="preserve">（产品名称1）</w:t>
      </w:r>
      <w:r>
        <w:rPr>
          <w:rFonts w:hint="eastAsia" w:ascii="宋体" w:hAnsi="宋体" w:eastAsia="宋体" w:cs="宋体"/>
          <w:color w:val="000000"/>
          <w:sz w:val="21"/>
          <w:szCs w:val="21"/>
          <w:highlight w:val="none"/>
        </w:rPr>
        <w:t xml:space="preserve">的中国境内生产的组件成本占比≥</w:t>
      </w:r>
      <w:r>
        <w:rPr>
          <w:rFonts w:hint="eastAsia" w:ascii="宋体" w:hAnsi="宋体" w:eastAsia="宋体" w:cs="宋体"/>
          <w:i/>
          <w:color w:val="000000"/>
          <w:sz w:val="21"/>
          <w:szCs w:val="21"/>
          <w:highlight w:val="none"/>
          <w:u w:val="single"/>
        </w:rPr>
        <w:t xml:space="preserve">（规定比例）</w:t>
      </w:r>
      <w:r>
        <w:rPr>
          <w:rFonts w:hint="eastAsia" w:ascii="宋体" w:hAnsi="宋体" w:eastAsia="宋体" w:cs="宋体"/>
          <w:i/>
          <w:color w:val="000000"/>
          <w:sz w:val="21"/>
          <w:szCs w:val="21"/>
          <w:highlight w:val="none"/>
          <w:vertAlign w:val="superscript"/>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i/>
          <w:color w:val="000000"/>
          <w:sz w:val="21"/>
          <w:szCs w:val="21"/>
          <w:highlight w:val="none"/>
          <w:u w:val="single"/>
        </w:rPr>
        <w:t xml:space="preserve">（产品名称1）</w:t>
      </w:r>
      <w:r>
        <w:rPr>
          <w:rFonts w:hint="eastAsia" w:ascii="宋体" w:hAnsi="宋体" w:eastAsia="宋体" w:cs="宋体"/>
          <w:color w:val="000000"/>
          <w:sz w:val="21"/>
          <w:szCs w:val="21"/>
          <w:highlight w:val="none"/>
        </w:rPr>
        <w:t xml:space="preserve">的</w:t>
      </w:r>
      <w:r>
        <w:rPr>
          <w:rFonts w:hint="eastAsia" w:ascii="宋体" w:hAnsi="宋体" w:eastAsia="宋体" w:cs="宋体"/>
          <w:i/>
          <w:color w:val="000000"/>
          <w:sz w:val="21"/>
          <w:szCs w:val="21"/>
          <w:highlight w:val="none"/>
          <w:u w:val="single"/>
        </w:rPr>
        <w:t xml:space="preserve">（关键组件）</w:t>
      </w:r>
      <w:r>
        <w:rPr>
          <w:rFonts w:hint="eastAsia" w:ascii="宋体" w:hAnsi="宋体" w:eastAsia="宋体" w:cs="宋体"/>
          <w:i/>
          <w:color w:val="000000"/>
          <w:sz w:val="21"/>
          <w:szCs w:val="21"/>
          <w:highlight w:val="none"/>
          <w:vertAlign w:val="superscript"/>
        </w:rPr>
        <w:t xml:space="preserve">4</w:t>
      </w:r>
      <w:r>
        <w:rPr>
          <w:rFonts w:hint="eastAsia" w:ascii="宋体" w:hAnsi="宋体" w:eastAsia="宋体" w:cs="宋体"/>
          <w:color w:val="000000"/>
          <w:sz w:val="21"/>
          <w:szCs w:val="21"/>
          <w:highlight w:val="none"/>
        </w:rPr>
        <w:t xml:space="preserve">在中国境内生产。</w:t>
      </w:r>
      <w:r>
        <w:rPr>
          <w:rFonts w:hint="eastAsia" w:ascii="宋体" w:hAnsi="宋体" w:eastAsia="宋体" w:cs="宋体"/>
          <w:i/>
          <w:color w:val="000000"/>
          <w:sz w:val="21"/>
          <w:szCs w:val="21"/>
          <w:highlight w:val="none"/>
          <w:u w:val="single"/>
        </w:rPr>
        <w:t xml:space="preserve">（产品名称1）</w:t>
      </w:r>
      <w:r>
        <w:rPr>
          <w:rFonts w:hint="eastAsia" w:ascii="宋体" w:hAnsi="宋体" w:eastAsia="宋体" w:cs="宋体"/>
          <w:color w:val="000000"/>
          <w:sz w:val="21"/>
          <w:szCs w:val="21"/>
          <w:highlight w:val="none"/>
        </w:rPr>
        <w:t xml:space="preserve">的</w:t>
      </w:r>
      <w:r>
        <w:rPr>
          <w:rFonts w:hint="eastAsia" w:ascii="宋体" w:hAnsi="宋体" w:eastAsia="宋体" w:cs="宋体"/>
          <w:i/>
          <w:color w:val="000000"/>
          <w:sz w:val="21"/>
          <w:szCs w:val="21"/>
          <w:highlight w:val="none"/>
          <w:u w:val="single"/>
        </w:rPr>
        <w:t xml:space="preserve">（关键工序）</w:t>
      </w:r>
      <w:r>
        <w:rPr>
          <w:rFonts w:hint="eastAsia" w:ascii="宋体" w:hAnsi="宋体" w:eastAsia="宋体" w:cs="宋体"/>
          <w:i/>
          <w:color w:val="000000"/>
          <w:sz w:val="21"/>
          <w:szCs w:val="21"/>
          <w:highlight w:val="none"/>
          <w:vertAlign w:val="superscript"/>
        </w:rPr>
        <w:t xml:space="preserve">5</w:t>
      </w:r>
      <w:r>
        <w:rPr>
          <w:rFonts w:hint="eastAsia" w:ascii="宋体" w:hAnsi="宋体" w:eastAsia="宋体" w:cs="宋体"/>
          <w:color w:val="000000"/>
          <w:sz w:val="21"/>
          <w:szCs w:val="21"/>
          <w:highlight w:val="none"/>
        </w:rPr>
        <w:t xml:space="preserve">在中国境内完成。</w:t>
      </w:r>
      <w:r>
        <w:rPr>
          <w:rFonts w:ascii="宋体" w:hAnsi="宋体" w:cs="宋体"/>
        </w:rPr>
      </w:r>
      <w:r/>
    </w:p>
    <w:p>
      <w:pPr>
        <w:pStyle w:val="885"/>
        <w:ind w:left="15" w:right="15" w:firstLine="480"/>
        <w:jc w:val="both"/>
        <w:keepLines w:val="0"/>
        <w:keepNext w:val="0"/>
        <w:pageBreakBefore w:val="0"/>
        <w:spacing w:before="0" w:after="0" w:line="312" w:lineRule="auto"/>
        <w:shd w:val="clear" w:color="auto" w:fill="ffffff"/>
        <w:widowControl/>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mc:AlternateContent>
          <mc:Choice Requires="wpg">
            <w:drawing>
              <wp:anchor xmlns:wp="http://schemas.openxmlformats.org/drawingml/2006/wordprocessingDrawing" xmlns:wp14="http://schemas.microsoft.com/office/word/2010/wordprocessingDrawing" distT="0" distB="0" distL="115200" distR="115200" simplePos="0" relativeHeight="251685898" behindDoc="0" locked="0" layoutInCell="1" allowOverlap="1">
                <wp:simplePos x="0" y="0"/>
                <wp:positionH relativeFrom="column">
                  <wp:posOffset>5485591</wp:posOffset>
                </wp:positionH>
                <wp:positionV relativeFrom="paragraph">
                  <wp:posOffset>204155</wp:posOffset>
                </wp:positionV>
                <wp:extent cx="803413" cy="182217"/>
                <wp:effectExtent l="4762" t="4762" r="4762" b="4762"/>
                <wp:wrapNone/>
                <wp:docPr id="8" name=""/>
                <wp:cNvGraphicFramePr/>
                <a:graphic xmlns:a="http://schemas.openxmlformats.org/drawingml/2006/main">
                  <a:graphicData uri="http://schemas.microsoft.com/office/word/2010/wordprocessingShape">
                    <wps:wsp>
                      <wps:cNvPr id="0" name=""/>
                      <wps:cNvSpPr/>
                      <wps:spPr bwMode="auto">
                        <a:xfrm flipH="0" flipV="1">
                          <a:off x="0" y="0"/>
                          <a:ext cx="803412" cy="182217"/>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7" o:spid="_x0000_s7" style="position:absolute;left:0;text-align:left;z-index:251685898;mso-wrap-distance-left:9.1pt;mso-wrap-distance-top:0.0pt;mso-wrap-distance-right:9.1pt;mso-wrap-distance-bottom:0.0pt;flip:y;visibility:visible;" from="431.9pt,16.1pt" to="495.2pt,30.4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4874" behindDoc="0" locked="0" layoutInCell="1" allowOverlap="1">
                <wp:simplePos x="0" y="0"/>
                <wp:positionH relativeFrom="column">
                  <wp:posOffset>4491678</wp:posOffset>
                </wp:positionH>
                <wp:positionV relativeFrom="paragraph">
                  <wp:posOffset>229003</wp:posOffset>
                </wp:positionV>
                <wp:extent cx="819978" cy="140804"/>
                <wp:effectExtent l="4762" t="4762" r="4762" b="4762"/>
                <wp:wrapNone/>
                <wp:docPr id="9" name=""/>
                <wp:cNvGraphicFramePr/>
                <a:graphic xmlns:a="http://schemas.openxmlformats.org/drawingml/2006/main">
                  <a:graphicData uri="http://schemas.microsoft.com/office/word/2010/wordprocessingShape">
                    <wps:wsp>
                      <wps:cNvPr id="0" name=""/>
                      <wps:cNvSpPr/>
                      <wps:spPr bwMode="auto">
                        <a:xfrm flipH="0" flipV="1">
                          <a:off x="0" y="0"/>
                          <a:ext cx="819978" cy="140804"/>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8" o:spid="_x0000_s8" style="position:absolute;left:0;text-align:left;z-index:251684874;mso-wrap-distance-left:9.1pt;mso-wrap-distance-top:0.0pt;mso-wrap-distance-right:9.1pt;mso-wrap-distance-bottom:0.0pt;flip:y;visibility:visible;" from="353.7pt,18.0pt" to="418.2pt,29.1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3850" behindDoc="0" locked="0" layoutInCell="1" allowOverlap="1">
                <wp:simplePos x="0" y="0"/>
                <wp:positionH relativeFrom="column">
                  <wp:posOffset>2637155</wp:posOffset>
                </wp:positionH>
                <wp:positionV relativeFrom="paragraph">
                  <wp:posOffset>245568</wp:posOffset>
                </wp:positionV>
                <wp:extent cx="777784" cy="107674"/>
                <wp:effectExtent l="4762" t="4762" r="4762" b="4762"/>
                <wp:wrapNone/>
                <wp:docPr id="10" name=""/>
                <wp:cNvGraphicFramePr/>
                <a:graphic xmlns:a="http://schemas.openxmlformats.org/drawingml/2006/main">
                  <a:graphicData uri="http://schemas.microsoft.com/office/word/2010/wordprocessingShape">
                    <wps:wsp>
                      <wps:cNvPr id="0" name=""/>
                      <wps:cNvSpPr/>
                      <wps:spPr bwMode="auto">
                        <a:xfrm flipH="0" flipV="1">
                          <a:off x="0" y="0"/>
                          <a:ext cx="777783" cy="107673"/>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9" o:spid="_x0000_s9" style="position:absolute;left:0;text-align:left;z-index:251683850;mso-wrap-distance-left:9.1pt;mso-wrap-distance-top:0.0pt;mso-wrap-distance-right:9.1pt;mso-wrap-distance-bottom:0.0pt;flip:y;visibility:visible;" from="207.6pt,19.3pt" to="268.9pt,27.8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1802" behindDoc="0" locked="0" layoutInCell="1" allowOverlap="1">
                <wp:simplePos x="0" y="0"/>
                <wp:positionH relativeFrom="column">
                  <wp:posOffset>1609330</wp:posOffset>
                </wp:positionH>
                <wp:positionV relativeFrom="paragraph">
                  <wp:posOffset>245568</wp:posOffset>
                </wp:positionV>
                <wp:extent cx="819978" cy="107674"/>
                <wp:effectExtent l="4762" t="4762" r="4762" b="4762"/>
                <wp:wrapNone/>
                <wp:docPr id="11" name=""/>
                <wp:cNvGraphicFramePr/>
                <a:graphic xmlns:a="http://schemas.openxmlformats.org/drawingml/2006/main">
                  <a:graphicData uri="http://schemas.microsoft.com/office/word/2010/wordprocessingShape">
                    <wps:wsp>
                      <wps:cNvPr id="0" name=""/>
                      <wps:cNvSpPr/>
                      <wps:spPr bwMode="auto">
                        <a:xfrm flipH="0" flipV="1">
                          <a:off x="0" y="0"/>
                          <a:ext cx="819978" cy="107673"/>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0" o:spid="_x0000_s10" style="position:absolute;left:0;text-align:left;z-index:251681802;mso-wrap-distance-left:9.1pt;mso-wrap-distance-top:0.0pt;mso-wrap-distance-right:9.1pt;mso-wrap-distance-bottom:0.0pt;flip:y;visibility:visible;" from="126.7pt,19.3pt" to="191.3pt,27.8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0778" behindDoc="0" locked="0" layoutInCell="1" allowOverlap="1">
                <wp:simplePos x="0" y="0"/>
                <wp:positionH relativeFrom="column">
                  <wp:posOffset>673395</wp:posOffset>
                </wp:positionH>
                <wp:positionV relativeFrom="paragraph">
                  <wp:posOffset>245568</wp:posOffset>
                </wp:positionV>
                <wp:extent cx="811696" cy="107674"/>
                <wp:effectExtent l="4762" t="4762" r="4762" b="4762"/>
                <wp:wrapNone/>
                <wp:docPr id="12" name=""/>
                <wp:cNvGraphicFramePr/>
                <a:graphic xmlns:a="http://schemas.openxmlformats.org/drawingml/2006/main">
                  <a:graphicData uri="http://schemas.microsoft.com/office/word/2010/wordprocessingShape">
                    <wps:wsp>
                      <wps:cNvPr id="0" name=""/>
                      <wps:cNvSpPr/>
                      <wps:spPr bwMode="auto">
                        <a:xfrm flipH="0" flipV="1">
                          <a:off x="0" y="0"/>
                          <a:ext cx="811695" cy="107673"/>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1" o:spid="_x0000_s11" style="position:absolute;left:0;text-align:left;z-index:251680778;mso-wrap-distance-left:9.1pt;mso-wrap-distance-top:0.0pt;mso-wrap-distance-right:9.1pt;mso-wrap-distance-bottom:0.0pt;flip:y;visibility:visible;" from="53.0pt,19.3pt" to="116.9pt,27.8pt" filled="f" strokecolor="#233B59" strokeweight="0.75pt"/>
            </w:pict>
          </mc:Fallback>
        </mc:AlternateContent>
      </w:r>
      <w:r>
        <w:rPr>
          <w:rFonts w:hint="eastAsia" w:ascii="宋体" w:hAnsi="宋体" w:eastAsia="宋体" w:cs="宋体"/>
          <w:color w:val="000000"/>
          <w:sz w:val="21"/>
          <w:szCs w:val="21"/>
          <w:highlight w:val="none"/>
        </w:rPr>
        <w:t xml:space="preserve">2.</w:t>
      </w:r>
      <w:r>
        <w:rPr>
          <w:rFonts w:hint="eastAsia" w:ascii="宋体" w:hAnsi="宋体" w:eastAsia="宋体" w:cs="宋体"/>
          <w:i/>
          <w:color w:val="000000"/>
          <w:sz w:val="21"/>
          <w:szCs w:val="21"/>
          <w:highlight w:val="none"/>
          <w:u w:val="single"/>
        </w:rPr>
        <w:t xml:space="preserve">（产品名称2）</w:t>
      </w:r>
      <w:r>
        <w:rPr>
          <w:rFonts w:hint="eastAsia" w:ascii="宋体" w:hAnsi="宋体" w:eastAsia="宋体" w:cs="宋体"/>
          <w:color w:val="000000"/>
          <w:sz w:val="21"/>
          <w:szCs w:val="21"/>
          <w:highlight w:val="none"/>
        </w:rPr>
        <w:t xml:space="preserve">，生产厂为</w:t>
      </w:r>
      <w:r>
        <w:rPr>
          <w:rFonts w:hint="eastAsia" w:ascii="宋体" w:hAnsi="宋体" w:eastAsia="宋体" w:cs="宋体"/>
          <w:i/>
          <w:color w:val="000000"/>
          <w:sz w:val="21"/>
          <w:szCs w:val="21"/>
          <w:highlight w:val="none"/>
          <w:u w:val="single"/>
        </w:rPr>
        <w:t xml:space="preserve">（厂名）</w:t>
      </w:r>
      <w:r>
        <w:rPr>
          <w:rFonts w:hint="eastAsia" w:ascii="宋体" w:hAnsi="宋体" w:eastAsia="宋体" w:cs="宋体"/>
          <w:color w:val="000000"/>
          <w:sz w:val="21"/>
          <w:szCs w:val="21"/>
          <w:highlight w:val="none"/>
        </w:rPr>
        <w:t xml:space="preserve">，厂址为</w:t>
      </w:r>
      <w:r>
        <w:rPr>
          <w:rFonts w:hint="eastAsia" w:ascii="宋体" w:hAnsi="宋体" w:eastAsia="宋体" w:cs="宋体"/>
          <w:i/>
          <w:color w:val="000000"/>
          <w:sz w:val="21"/>
          <w:szCs w:val="21"/>
          <w:highlight w:val="none"/>
          <w:u w:val="single"/>
        </w:rPr>
        <w:t xml:space="preserve">（生产厂址）</w:t>
      </w:r>
      <w:r>
        <w:rPr>
          <w:rFonts w:hint="eastAsia" w:ascii="宋体" w:hAnsi="宋体" w:eastAsia="宋体" w:cs="宋体"/>
          <w:color w:val="000000"/>
          <w:sz w:val="21"/>
          <w:szCs w:val="21"/>
          <w:highlight w:val="none"/>
        </w:rPr>
        <w:t xml:space="preserve">。</w:t>
      </w:r>
      <w:r>
        <w:rPr>
          <w:rFonts w:hint="eastAsia" w:ascii="宋体" w:hAnsi="宋体" w:eastAsia="宋体" w:cs="宋体"/>
          <w:i/>
          <w:color w:val="000000"/>
          <w:sz w:val="21"/>
          <w:szCs w:val="21"/>
          <w:highlight w:val="none"/>
          <w:u w:val="single"/>
        </w:rPr>
        <w:t xml:space="preserve">（产品名称2）</w:t>
      </w:r>
      <w:r>
        <w:rPr>
          <w:rFonts w:hint="eastAsia" w:ascii="宋体" w:hAnsi="宋体" w:eastAsia="宋体" w:cs="宋体"/>
          <w:color w:val="000000"/>
          <w:sz w:val="21"/>
          <w:szCs w:val="21"/>
          <w:highlight w:val="none"/>
        </w:rPr>
        <w:t xml:space="preserve">的中国境内生产的组件成本占比≥</w:t>
      </w:r>
      <w:r>
        <w:rPr>
          <w:rFonts w:hint="eastAsia" w:ascii="宋体" w:hAnsi="宋体" w:eastAsia="宋体" w:cs="宋体"/>
          <w:i/>
          <w:color w:val="000000"/>
          <w:sz w:val="21"/>
          <w:szCs w:val="21"/>
          <w:highlight w:val="none"/>
          <w:u w:val="single"/>
        </w:rPr>
        <w:t xml:space="preserve">（规定比例）</w:t>
      </w:r>
      <w:r>
        <w:rPr>
          <w:rFonts w:hint="eastAsia" w:ascii="宋体" w:hAnsi="宋体" w:eastAsia="宋体" w:cs="宋体"/>
          <w:color w:val="000000"/>
          <w:sz w:val="21"/>
          <w:szCs w:val="21"/>
          <w:highlight w:val="none"/>
        </w:rPr>
        <w:t xml:space="preserve">。</w:t>
      </w:r>
      <w:r>
        <w:rPr>
          <w:rFonts w:hint="eastAsia" w:ascii="宋体" w:hAnsi="宋体" w:eastAsia="宋体" w:cs="宋体"/>
          <w:i/>
          <w:color w:val="000000"/>
          <w:sz w:val="21"/>
          <w:szCs w:val="21"/>
          <w:highlight w:val="none"/>
          <w:u w:val="single"/>
        </w:rPr>
        <w:t xml:space="preserve">（产品名称2）</w:t>
      </w:r>
      <w:r>
        <w:rPr>
          <w:rFonts w:hint="eastAsia" w:ascii="宋体" w:hAnsi="宋体" w:eastAsia="宋体" w:cs="宋体"/>
          <w:color w:val="000000"/>
          <w:sz w:val="21"/>
          <w:szCs w:val="21"/>
          <w:highlight w:val="none"/>
        </w:rPr>
        <w:t xml:space="preserve">的</w:t>
      </w:r>
      <w:r>
        <w:rPr>
          <w:rFonts w:hint="eastAsia" w:ascii="宋体" w:hAnsi="宋体" w:eastAsia="宋体" w:cs="宋体"/>
          <w:i/>
          <w:color w:val="000000"/>
          <w:sz w:val="21"/>
          <w:szCs w:val="21"/>
          <w:highlight w:val="none"/>
          <w:u w:val="single"/>
        </w:rPr>
        <w:t xml:space="preserve">（关键组件）</w:t>
      </w:r>
      <w:r>
        <w:rPr>
          <w:rFonts w:hint="eastAsia" w:ascii="宋体" w:hAnsi="宋体" w:eastAsia="宋体" w:cs="宋体"/>
          <w:color w:val="000000"/>
          <w:sz w:val="21"/>
          <w:szCs w:val="21"/>
          <w:highlight w:val="none"/>
        </w:rPr>
        <w:t xml:space="preserve">在中国境内生产。</w:t>
      </w:r>
      <w:r>
        <w:rPr>
          <w:rFonts w:hint="eastAsia" w:ascii="宋体" w:hAnsi="宋体" w:eastAsia="宋体" w:cs="宋体"/>
          <w:i/>
          <w:color w:val="000000"/>
          <w:sz w:val="21"/>
          <w:szCs w:val="21"/>
          <w:highlight w:val="none"/>
          <w:u w:val="single"/>
        </w:rPr>
        <w:t xml:space="preserve">（产品名称2）</w:t>
      </w:r>
      <w:r>
        <w:rPr>
          <w:rFonts w:hint="eastAsia" w:ascii="宋体" w:hAnsi="宋体" w:eastAsia="宋体" w:cs="宋体"/>
          <w:color w:val="000000"/>
          <w:sz w:val="21"/>
          <w:szCs w:val="21"/>
          <w:highlight w:val="none"/>
        </w:rPr>
        <w:t xml:space="preserve">的</w:t>
      </w:r>
      <w:r>
        <w:rPr>
          <w:rFonts w:hint="eastAsia" w:ascii="宋体" w:hAnsi="宋体" w:eastAsia="宋体" w:cs="宋体"/>
          <w:i/>
          <w:color w:val="000000"/>
          <w:sz w:val="21"/>
          <w:szCs w:val="21"/>
          <w:highlight w:val="none"/>
          <w:u w:val="single"/>
        </w:rPr>
        <w:t xml:space="preserve">（关键工序）</w:t>
      </w:r>
      <w:r>
        <w:rPr>
          <w:rFonts w:hint="eastAsia" w:ascii="宋体" w:hAnsi="宋体" w:eastAsia="宋体" w:cs="宋体"/>
          <w:color w:val="000000"/>
          <w:sz w:val="21"/>
          <w:szCs w:val="21"/>
          <w:highlight w:val="none"/>
        </w:rPr>
        <w:t xml:space="preserve">在中国境内完成。</w:t>
      </w:r>
      <w:r>
        <w:rPr>
          <w:rFonts w:ascii="宋体" w:hAnsi="宋体" w:cs="宋体"/>
        </w:rPr>
      </w:r>
      <w:r/>
    </w:p>
    <w:p>
      <w:pPr>
        <w:pStyle w:val="885"/>
        <w:ind w:left="15" w:right="15" w:firstLine="480"/>
        <w:jc w:val="both"/>
        <w:keepLines w:val="0"/>
        <w:keepNext w:val="0"/>
        <w:pageBreakBefore w:val="0"/>
        <w:spacing w:before="30" w:after="30" w:line="312" w:lineRule="auto"/>
        <w:shd w:val="clear" w:color="auto" w:fill="ffffff"/>
        <w:widowControl/>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ascii="宋体" w:hAnsi="宋体" w:cs="宋体"/>
        </w:rPr>
      </w:r>
      <w:r/>
    </w:p>
    <w:p>
      <w:pPr>
        <w:pStyle w:val="885"/>
        <w:ind w:left="15" w:right="15" w:firstLine="480"/>
        <w:jc w:val="both"/>
        <w:keepLines w:val="0"/>
        <w:keepNext w:val="0"/>
        <w:pageBreakBefore w:val="0"/>
        <w:spacing w:before="30" w:after="30" w:line="312" w:lineRule="auto"/>
        <w:shd w:val="clear" w:color="auto" w:fill="ffffff"/>
        <w:widowControl/>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本公司（单位）对上述声明内容的真实性负责。如有虚假，愿承担相应法律责任。</w:t>
      </w:r>
      <w:r>
        <w:rPr>
          <w:rFonts w:ascii="宋体" w:hAnsi="宋体" w:cs="宋体"/>
        </w:rPr>
      </w:r>
      <w:r/>
    </w:p>
    <w:p>
      <w:pPr>
        <w:pStyle w:val="885"/>
        <w:ind w:left="15" w:right="15" w:firstLine="4608"/>
        <w:jc w:val="both"/>
        <w:keepLines w:val="0"/>
        <w:keepNext w:val="0"/>
        <w:pageBreakBefore w:val="0"/>
        <w:spacing w:before="30" w:after="30" w:line="312" w:lineRule="auto"/>
        <w:shd w:val="clear" w:color="auto" w:fill="ffffff"/>
        <w:widowControl/>
        <w:rPr>
          <w:rFonts w:ascii="宋体" w:hAnsi="宋体" w:cs="宋体"/>
          <w:color w:val="000000"/>
          <w:sz w:val="21"/>
          <w:szCs w:val="21"/>
          <w:highlight w:val="none"/>
        </w:rPr>
        <w:outlineLvl w:val="9"/>
      </w:pPr>
      <w:r>
        <w:rPr>
          <w:rFonts w:ascii="宋体" w:hAnsi="宋体" w:eastAsia="宋体" w:cs="宋体"/>
          <w:color w:val="000000"/>
          <w:sz w:val="21"/>
          <w:szCs w:val="21"/>
          <w:highlight w:val="none"/>
        </w:rPr>
      </w:r>
      <w:r>
        <w:rPr>
          <w:rFonts w:ascii="宋体" w:hAnsi="宋体" w:cs="宋体"/>
        </w:rPr>
      </w:r>
      <w:r/>
    </w:p>
    <w:p>
      <w:pPr>
        <w:pStyle w:val="885"/>
        <w:ind w:left="15" w:right="815" w:firstLine="4608"/>
        <w:jc w:val="center"/>
        <w:keepLines w:val="0"/>
        <w:keepNext w:val="0"/>
        <w:pageBreakBefore w:val="0"/>
        <w:spacing w:before="30" w:after="30" w:line="312" w:lineRule="auto"/>
        <w:shd w:val="clear" w:color="auto" w:fill="ffffff"/>
        <w:widowControl/>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公司（单位）名称（盖章）：</w:t>
      </w:r>
      <w:r>
        <w:rPr>
          <w:rFonts w:ascii="宋体" w:hAnsi="宋体" w:cs="宋体"/>
        </w:rPr>
      </w:r>
      <w:r/>
    </w:p>
    <w:p>
      <w:pPr>
        <w:pStyle w:val="885"/>
        <w:ind w:right="815" w:firstLine="5460"/>
        <w:jc w:val="both"/>
        <w:keepLines w:val="0"/>
        <w:keepNext w:val="0"/>
        <w:pageBreakBefore w:val="0"/>
        <w:spacing w:before="0" w:after="0" w:line="312" w:lineRule="auto"/>
        <w:shd w:val="clear" w:color="auto" w:fill="ffffff"/>
        <w:widowControl/>
        <w:rPr>
          <w:rFonts w:ascii="宋体" w:hAnsi="宋体" w:cs="宋体"/>
          <w:color w:val="000000"/>
          <w:highlight w:val="none"/>
        </w:rPr>
        <w:outlineLvl w:val="9"/>
      </w:pPr>
      <w:r>
        <w:rPr>
          <w:rFonts w:hint="eastAsia" w:ascii="宋体" w:hAnsi="宋体" w:eastAsia="宋体" w:cs="宋体"/>
          <w:color w:val="000000"/>
          <w:sz w:val="21"/>
          <w:szCs w:val="21"/>
          <w:highlight w:val="none"/>
        </w:rPr>
        <w:t xml:space="preserve">日期： </w:t>
      </w:r>
      <w:r>
        <w:rPr>
          <w:rFonts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t xml:space="preserve">年 </w:t>
      </w:r>
      <w:r>
        <w:rPr>
          <w:rFonts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t xml:space="preserve">月 </w:t>
      </w:r>
      <w:r>
        <w:rPr>
          <w:rFonts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t xml:space="preserve">日</w:t>
      </w:r>
      <w:r>
        <w:rPr>
          <w:rFonts w:ascii="宋体" w:hAnsi="宋体" w:cs="宋体"/>
        </w:rPr>
      </w:r>
      <w:r/>
    </w:p>
    <w:p>
      <w:pPr>
        <w:pStyle w:val="885"/>
        <w:ind w:left="15" w:right="15" w:firstLine="4608"/>
        <w:jc w:val="right"/>
        <w:keepLines w:val="0"/>
        <w:keepNext w:val="0"/>
        <w:pageBreakBefore w:val="0"/>
        <w:spacing w:before="0" w:after="0" w:line="312" w:lineRule="auto"/>
        <w:shd w:val="clear" w:color="auto" w:fill="ffffff"/>
        <w:widowControl/>
        <w:rPr>
          <w:rFonts w:ascii="宋体" w:hAnsi="宋体" w:cs="宋体"/>
          <w:color w:val="000000"/>
          <w:highlight w:val="none"/>
        </w:rPr>
        <w:outlineLvl w:val="9"/>
      </w:pPr>
      <w:r>
        <w:rPr>
          <w:rFonts w:ascii="宋体" w:hAnsi="宋体" w:eastAsia="宋体" w:cs="宋体"/>
          <w:color w:val="000000"/>
          <w:highlight w:val="none"/>
        </w:rPr>
      </w:r>
      <w:r>
        <w:rPr>
          <w:rFonts w:ascii="宋体" w:hAnsi="宋体" w:cs="宋体"/>
        </w:rPr>
      </w:r>
      <w:r/>
    </w:p>
    <w:p>
      <w:pPr>
        <w:pStyle w:val="885"/>
        <w:ind w:left="15" w:right="15" w:firstLine="4608"/>
        <w:jc w:val="right"/>
        <w:keepLines w:val="0"/>
        <w:keepNext w:val="0"/>
        <w:pageBreakBefore w:val="0"/>
        <w:spacing w:before="0" w:after="0" w:line="312" w:lineRule="auto"/>
        <w:shd w:val="clear" w:color="auto" w:fill="ffffff"/>
        <w:widowControl/>
        <w:rPr>
          <w:rFonts w:ascii="宋体" w:hAnsi="宋体" w:cs="宋体"/>
          <w:color w:val="000000"/>
          <w:highlight w:val="none"/>
        </w:rPr>
        <w:outlineLvl w:val="9"/>
      </w:pPr>
      <w:r>
        <w:rPr>
          <w:rFonts w:ascii="宋体" w:hAnsi="宋体" w:eastAsia="宋体" w:cs="宋体"/>
          <w:color w:val="000000"/>
          <w:highlight w:val="none"/>
        </w:rPr>
      </w:r>
      <w:r>
        <w:rPr>
          <w:rFonts w:ascii="宋体" w:hAnsi="宋体" w:cs="宋体"/>
        </w:rPr>
      </w:r>
      <w:r/>
    </w:p>
    <w:p>
      <w:pPr>
        <w:pStyle w:val="885"/>
        <w:ind w:left="15" w:right="15" w:firstLine="4608"/>
        <w:jc w:val="right"/>
        <w:keepLines w:val="0"/>
        <w:keepNext w:val="0"/>
        <w:pageBreakBefore w:val="0"/>
        <w:spacing w:before="0" w:after="0" w:line="312" w:lineRule="auto"/>
        <w:shd w:val="clear" w:color="auto" w:fill="ffffff"/>
        <w:widowControl/>
        <w:rPr>
          <w:rFonts w:ascii="宋体" w:hAnsi="宋体" w:cs="宋体"/>
          <w:color w:val="000000"/>
          <w:highlight w:val="none"/>
        </w:rPr>
        <w:outlineLvl w:val="9"/>
      </w:pPr>
      <w:r>
        <w:rPr>
          <w:rFonts w:ascii="宋体" w:hAnsi="宋体" w:eastAsia="宋体" w:cs="宋体"/>
          <w:color w:val="000000"/>
          <w:highlight w:val="none"/>
        </w:rPr>
      </w:r>
      <w:r>
        <w:rPr>
          <w:rFonts w:ascii="宋体" w:hAnsi="宋体" w:cs="宋体"/>
        </w:rPr>
      </w:r>
      <w:r/>
    </w:p>
    <w:p>
      <w:pPr>
        <w:pStyle w:val="885"/>
        <w:ind w:left="15" w:right="15" w:firstLine="4608"/>
        <w:jc w:val="right"/>
        <w:keepLines w:val="0"/>
        <w:keepNext w:val="0"/>
        <w:pageBreakBefore w:val="0"/>
        <w:spacing w:before="0" w:after="0" w:line="312" w:lineRule="auto"/>
        <w:shd w:val="clear" w:color="auto" w:fill="ffffff"/>
        <w:widowControl/>
        <w:rPr>
          <w:rFonts w:ascii="宋体" w:hAnsi="宋体" w:cs="宋体"/>
          <w:color w:val="000000"/>
          <w:highlight w:val="none"/>
        </w:rPr>
        <w:outlineLvl w:val="9"/>
      </w:pPr>
      <w:r>
        <w:rPr>
          <w:rFonts w:ascii="宋体" w:hAnsi="宋体" w:eastAsia="宋体" w:cs="宋体"/>
          <w:color w:val="000000"/>
          <w:highlight w:val="none"/>
        </w:rPr>
      </w:r>
      <w:r>
        <w:rPr>
          <w:rFonts w:ascii="宋体" w:hAnsi="宋体" w:cs="宋体"/>
        </w:rPr>
      </w:r>
      <w:r/>
    </w:p>
    <w:p>
      <w:pPr>
        <w:pStyle w:val="885"/>
        <w:ind w:left="0" w:right="15" w:firstLine="0"/>
        <w:jc w:val="both"/>
        <w:keepLines w:val="0"/>
        <w:keepNext w:val="0"/>
        <w:pageBreakBefore w:val="0"/>
        <w:spacing w:before="30" w:after="30" w:line="312" w:lineRule="auto"/>
        <w:shd w:val="clear" w:color="auto" w:fill="ffffff"/>
        <w:widowControl/>
        <w:rPr>
          <w:rFonts w:ascii="宋体" w:hAnsi="宋体" w:cs="宋体"/>
          <w:color w:val="000000"/>
          <w:highlight w:val="none"/>
        </w:rPr>
        <w:outlineLvl w:val="9"/>
      </w:pPr>
      <w:r>
        <w:rPr>
          <w:rFonts w:hint="eastAsia" w:ascii="宋体" w:hAnsi="宋体" w:eastAsia="宋体" w:cs="宋体"/>
          <w:color w:val="000000"/>
          <w:highlight w:val="none"/>
        </w:rPr>
        <w:t xml:space="preserve">__________________</w:t>
      </w:r>
      <w:r>
        <w:rPr>
          <w:rFonts w:ascii="宋体" w:hAnsi="宋体" w:cs="宋体"/>
        </w:rPr>
      </w:r>
      <w:r/>
    </w:p>
    <w:p>
      <w:pPr>
        <w:pStyle w:val="885"/>
        <w:ind w:left="15" w:right="15" w:firstLine="480"/>
        <w:jc w:val="both"/>
        <w:keepLines w:val="0"/>
        <w:keepNext w:val="0"/>
        <w:pageBreakBefore w:val="0"/>
        <w:spacing w:before="0" w:after="0" w:line="312" w:lineRule="auto"/>
        <w:shd w:val="clear" w:color="auto" w:fill="ffffff"/>
        <w:widowControl/>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1.产品如有型号，请在“产品名称”栏一并填写。</w:t>
      </w:r>
      <w:r>
        <w:rPr>
          <w:rFonts w:ascii="宋体" w:hAnsi="宋体" w:cs="宋体"/>
        </w:rPr>
      </w:r>
      <w:r/>
    </w:p>
    <w:p>
      <w:pPr>
        <w:pStyle w:val="885"/>
        <w:ind w:left="15" w:right="15" w:firstLine="480"/>
        <w:jc w:val="both"/>
        <w:keepLines w:val="0"/>
        <w:keepNext w:val="0"/>
        <w:pageBreakBefore w:val="0"/>
        <w:spacing w:before="0" w:after="0" w:line="312" w:lineRule="auto"/>
        <w:shd w:val="clear" w:color="auto" w:fill="ffffff"/>
        <w:widowControl/>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2.生产厂名与厂址应与生产厂营业执照载明的相关信息保持一致。</w:t>
      </w:r>
      <w:r>
        <w:rPr>
          <w:rFonts w:ascii="宋体" w:hAnsi="宋体" w:cs="宋体"/>
        </w:rPr>
      </w:r>
      <w:r/>
    </w:p>
    <w:p>
      <w:pPr>
        <w:pStyle w:val="885"/>
        <w:ind w:left="15" w:right="15" w:firstLine="480"/>
        <w:jc w:val="both"/>
        <w:keepLines w:val="0"/>
        <w:keepNext w:val="0"/>
        <w:pageBreakBefore w:val="0"/>
        <w:spacing w:before="0" w:after="0" w:line="312" w:lineRule="auto"/>
        <w:shd w:val="clear" w:color="auto" w:fill="ffffff"/>
        <w:widowControl/>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3.该产品的中国境内生产的组件成本占比相关要求实施前，“规定比例”栏可不填，下同。</w:t>
      </w:r>
      <w:r>
        <w:rPr>
          <w:rFonts w:ascii="宋体" w:hAnsi="宋体" w:cs="宋体"/>
        </w:rPr>
      </w:r>
      <w:r/>
    </w:p>
    <w:p>
      <w:pPr>
        <w:pStyle w:val="885"/>
        <w:ind w:left="15" w:right="15" w:firstLine="480"/>
        <w:jc w:val="both"/>
        <w:keepLines w:val="0"/>
        <w:keepNext w:val="0"/>
        <w:pageBreakBefore w:val="0"/>
        <w:spacing w:before="0" w:after="0" w:line="312" w:lineRule="auto"/>
        <w:shd w:val="clear" w:color="auto" w:fill="ffffff"/>
        <w:widowControl/>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4.该产品的关键组件要求实施前，“关键组件”栏可不填，下同。</w:t>
      </w:r>
      <w:r>
        <w:rPr>
          <w:rFonts w:ascii="宋体" w:hAnsi="宋体" w:cs="宋体"/>
        </w:rPr>
      </w:r>
      <w:r/>
    </w:p>
    <w:p>
      <w:pPr>
        <w:pStyle w:val="885"/>
        <w:ind w:left="15" w:right="15" w:firstLine="480"/>
        <w:jc w:val="both"/>
        <w:keepLines w:val="0"/>
        <w:keepNext w:val="0"/>
        <w:pageBreakBefore w:val="0"/>
        <w:spacing w:before="0" w:after="0" w:line="312" w:lineRule="auto"/>
        <w:shd w:val="clear" w:color="auto" w:fill="ffffff"/>
        <w:widowControl/>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5.该产品的关键工序要求实施前，“关键工序”栏可不填，下同。</w:t>
      </w:r>
      <w:r>
        <w:rPr>
          <w:rFonts w:ascii="宋体" w:hAnsi="宋体" w:cs="宋体"/>
        </w:rPr>
      </w:r>
      <w:r/>
    </w:p>
    <w:p>
      <w:pPr>
        <w:pStyle w:val="885"/>
        <w:ind w:left="15" w:right="15" w:firstLine="480"/>
        <w:jc w:val="both"/>
        <w:keepLines w:val="0"/>
        <w:keepNext w:val="0"/>
        <w:pageBreakBefore w:val="0"/>
        <w:spacing w:before="0" w:after="0" w:line="312" w:lineRule="auto"/>
        <w:shd w:val="clear" w:color="auto" w:fill="ffffff"/>
        <w:widowControl/>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6</w:t>
      </w:r>
      <w:r>
        <w:rPr>
          <w:rFonts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rPr>
        <w:t xml:space="preserve">用斜线划除的地方无需填写。</w:t>
      </w:r>
      <w:r>
        <w:rPr>
          <w:rFonts w:ascii="宋体" w:hAnsi="宋体" w:cs="宋体"/>
        </w:rPr>
      </w:r>
      <w:r/>
    </w:p>
    <w:p>
      <w:pPr>
        <w:pStyle w:val="88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r>
      <w:r>
        <w:rPr>
          <w:rFonts w:ascii="宋体" w:hAnsi="宋体" w:cs="宋体"/>
        </w:rPr>
      </w:r>
      <w:r/>
    </w:p>
    <w:p>
      <w:pPr>
        <w:pStyle w:val="897"/>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r>
      <w:r>
        <w:rPr>
          <w:rFonts w:ascii="宋体" w:hAnsi="宋体" w:cs="宋体"/>
        </w:rPr>
      </w:r>
      <w:r/>
    </w:p>
    <w:p>
      <w:pPr>
        <w:pStyle w:val="88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r>
      <w:r>
        <w:rPr>
          <w:rFonts w:ascii="宋体" w:hAnsi="宋体" w:cs="宋体"/>
        </w:rPr>
      </w:r>
      <w:r/>
    </w:p>
    <w:p>
      <w:pPr>
        <w:pStyle w:val="897"/>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r>
      <w:r>
        <w:rPr>
          <w:rFonts w:ascii="宋体" w:hAnsi="宋体" w:cs="宋体"/>
        </w:rPr>
      </w:r>
      <w:r/>
    </w:p>
    <w:p>
      <w:pPr>
        <w:pStyle w:val="88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r>
      <w:r>
        <w:rPr>
          <w:rFonts w:ascii="宋体" w:hAnsi="宋体" w:cs="宋体"/>
        </w:rPr>
      </w:r>
      <w:r/>
    </w:p>
    <w:p>
      <w:pPr>
        <w:pStyle w:val="897"/>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r>
      <w:r>
        <w:rPr>
          <w:rFonts w:ascii="宋体" w:hAnsi="宋体" w:cs="宋体"/>
        </w:rPr>
      </w:r>
      <w:r/>
    </w:p>
    <w:p>
      <w:pPr>
        <w:pStyle w:val="88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r>
      <w:r>
        <w:rPr>
          <w:rFonts w:ascii="宋体" w:hAnsi="宋体" w:cs="宋体"/>
        </w:rPr>
      </w:r>
      <w:r/>
    </w:p>
    <w:p>
      <w:pPr>
        <w:pStyle w:val="897"/>
        <w:rPr>
          <w:rFonts w:hint="eastAsia" w:ascii="宋体" w:hAnsi="宋体" w:cs="宋体"/>
          <w:color w:val="000000"/>
          <w:highlight w:val="none"/>
        </w:rPr>
      </w:pPr>
      <w:r>
        <w:rPr>
          <w:rFonts w:hint="eastAsia" w:ascii="宋体" w:hAnsi="宋体" w:cs="宋体"/>
          <w:color w:val="000000"/>
          <w:highlight w:val="none"/>
          <w:lang w:val="zh-CN"/>
        </w:rPr>
      </w:r>
      <w:r>
        <w:rPr>
          <w:rFonts w:ascii="宋体" w:hAnsi="宋体" w:cs="宋体"/>
        </w:rPr>
      </w:r>
      <w:r/>
    </w:p>
    <w:p>
      <w:pPr>
        <w:pStyle w:val="897"/>
        <w:rPr>
          <w:rFonts w:hint="eastAsia" w:ascii="宋体" w:hAnsi="宋体" w:cs="宋体"/>
          <w:color w:val="000000"/>
          <w:highlight w:val="none"/>
        </w:rPr>
      </w:pPr>
      <w:r>
        <w:rPr>
          <w:rFonts w:hint="eastAsia" w:ascii="宋体" w:hAnsi="宋体" w:cs="宋体"/>
          <w:color w:val="000000"/>
          <w:highlight w:val="none"/>
          <w:lang w:val="zh-CN"/>
        </w:rPr>
      </w:r>
      <w:r>
        <w:rPr>
          <w:rFonts w:ascii="宋体" w:hAnsi="宋体" w:cs="宋体"/>
        </w:rPr>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r/>
    </w:p>
    <w:p>
      <w:pPr>
        <w:pStyle w:val="88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r>
      <w:r>
        <w:rPr>
          <w:rFonts w:ascii="宋体" w:hAnsi="宋体" w:cs="宋体"/>
        </w:rPr>
      </w:r>
      <w:r/>
    </w:p>
    <w:p>
      <w:pPr>
        <w:pStyle w:val="885"/>
        <w:spacing w:line="40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附件</w:t>
      </w:r>
      <w:r>
        <w:rPr>
          <w:rFonts w:hint="eastAsia" w:ascii="宋体" w:hAnsi="宋体" w:cs="宋体"/>
          <w:b/>
          <w:bCs/>
          <w:color w:val="000000"/>
          <w:sz w:val="21"/>
          <w:szCs w:val="21"/>
          <w:highlight w:val="none"/>
        </w:rPr>
        <w:t xml:space="preserve">1</w:t>
      </w:r>
      <w:r>
        <w:rPr>
          <w:rFonts w:hint="eastAsia" w:ascii="宋体" w:hAnsi="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rPr>
        <w:t xml:space="preserve">政府采购合同信用融资政策告知函（该项为通知内容，不需要作为</w:t>
      </w:r>
      <w:r>
        <w:rPr>
          <w:rFonts w:hint="eastAsia" w:ascii="宋体" w:hAnsi="宋体" w:eastAsia="宋体" w:cs="宋体"/>
          <w:b/>
          <w:bCs/>
          <w:color w:val="000000"/>
          <w:sz w:val="21"/>
          <w:szCs w:val="21"/>
          <w:highlight w:val="none"/>
          <w:lang w:eastAsia="zh-CN"/>
        </w:rPr>
        <w:t xml:space="preserve">投</w:t>
      </w:r>
      <w:r>
        <w:rPr>
          <w:rFonts w:hint="eastAsia" w:ascii="宋体" w:hAnsi="宋体" w:eastAsia="宋体" w:cs="宋体"/>
          <w:b/>
          <w:bCs/>
          <w:color w:val="000000"/>
          <w:sz w:val="21"/>
          <w:szCs w:val="21"/>
          <w:highlight w:val="none"/>
        </w:rPr>
        <w:t xml:space="preserve">文件组成）</w:t>
      </w:r>
      <w:r>
        <w:rPr>
          <w:rFonts w:ascii="宋体" w:hAnsi="宋体" w:cs="宋体"/>
        </w:rPr>
      </w:r>
      <w:r/>
    </w:p>
    <w:p>
      <w:pPr>
        <w:pStyle w:val="885"/>
        <w:jc w:val="center"/>
        <w:spacing w:line="440" w:lineRule="exact"/>
        <w:rPr>
          <w:rFonts w:ascii="宋体" w:hAnsi="宋体" w:cs="宋体"/>
          <w:b/>
          <w:color w:val="000000"/>
          <w:sz w:val="28"/>
          <w:szCs w:val="28"/>
          <w:highlight w:val="none"/>
        </w:rPr>
      </w:pPr>
      <w:r>
        <w:rPr>
          <w:rFonts w:ascii="宋体" w:hAnsi="宋体" w:cs="宋体"/>
          <w:b/>
          <w:color w:val="000000"/>
          <w:sz w:val="28"/>
          <w:szCs w:val="28"/>
          <w:highlight w:val="none"/>
        </w:rPr>
      </w:r>
      <w:r>
        <w:rPr>
          <w:rFonts w:ascii="宋体" w:hAnsi="宋体" w:cs="宋体"/>
        </w:rPr>
      </w:r>
      <w:r/>
    </w:p>
    <w:p>
      <w:pPr>
        <w:pStyle w:val="885"/>
        <w:jc w:val="center"/>
        <w:spacing w:line="440" w:lineRule="exact"/>
        <w:rPr>
          <w:rFonts w:ascii="宋体" w:hAnsi="宋体" w:cs="宋体"/>
          <w:b/>
          <w:color w:val="000000"/>
          <w:sz w:val="28"/>
          <w:szCs w:val="28"/>
          <w:highlight w:val="none"/>
        </w:rPr>
      </w:pPr>
      <w:r>
        <w:rPr>
          <w:rFonts w:hint="eastAsia" w:ascii="宋体" w:hAnsi="宋体" w:eastAsia="宋体" w:cs="宋体"/>
          <w:b/>
          <w:color w:val="000000"/>
          <w:sz w:val="28"/>
          <w:szCs w:val="28"/>
          <w:highlight w:val="none"/>
        </w:rPr>
        <w:t xml:space="preserve">政府采购合同信用融资政策告知函</w:t>
      </w:r>
      <w:r>
        <w:rPr>
          <w:rFonts w:ascii="宋体" w:hAnsi="宋体" w:cs="宋体"/>
        </w:rPr>
      </w:r>
      <w:r/>
    </w:p>
    <w:p>
      <w:pPr>
        <w:pStyle w:val="885"/>
        <w:spacing w:line="440" w:lineRule="exact"/>
        <w:rPr>
          <w:rFonts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各政府采购供应商：</w:t>
      </w:r>
      <w:r>
        <w:rPr>
          <w:rFonts w:ascii="宋体" w:hAnsi="宋体" w:cs="宋体"/>
        </w:rPr>
      </w:r>
      <w:r/>
    </w:p>
    <w:p>
      <w:pPr>
        <w:pStyle w:val="885"/>
        <w:ind w:firstLine="420"/>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欢迎贵公司参加苏州市政府采购活动！</w:t>
      </w:r>
      <w:r>
        <w:rPr>
          <w:rFonts w:ascii="宋体" w:hAnsi="宋体" w:cs="宋体"/>
        </w:rPr>
      </w:r>
      <w:r/>
    </w:p>
    <w:p>
      <w:pPr>
        <w:pStyle w:val="903"/>
        <w:spacing w:line="440" w:lineRule="exact"/>
        <w:rPr>
          <w:rFonts w:ascii="宋体" w:hAnsi="宋体" w:cs="宋体"/>
          <w:b/>
          <w:bCs/>
          <w:color w:val="000000"/>
          <w:sz w:val="21"/>
          <w:szCs w:val="21"/>
          <w:highlight w:val="none"/>
        </w:rPr>
      </w:pPr>
      <w:r>
        <w:rPr>
          <w:rFonts w:hint="eastAsia" w:ascii="宋体" w:hAnsi="宋体" w:eastAsia="宋体" w:cs="宋体"/>
          <w:color w:val="000000"/>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ascii="宋体" w:hAnsi="宋体" w:cs="宋体"/>
        </w:rPr>
      </w:r>
      <w:r/>
    </w:p>
    <w:p>
      <w:pPr>
        <w:pStyle w:val="886"/>
        <w:ind w:left="431" w:right="-28" w:hanging="431"/>
        <w:jc w:val="center"/>
        <w:spacing w:before="166" w:after="0" w:line="360" w:lineRule="auto"/>
        <w:tabs>
          <w:tab w:val="left" w:pos="432" w:leader="none"/>
        </w:tabs>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106"/>
        <w:ind w:firstLine="480"/>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106"/>
        <w:ind w:firstLine="480"/>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106"/>
        <w:ind w:firstLine="480"/>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106"/>
        <w:ind w:firstLine="480"/>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106"/>
        <w:ind w:firstLine="480"/>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106"/>
        <w:ind w:firstLine="480"/>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106"/>
        <w:ind w:firstLine="480"/>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106"/>
        <w:ind w:firstLine="480"/>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6"/>
        <w:ind w:left="431" w:right="-28" w:hanging="431"/>
        <w:jc w:val="center"/>
        <w:spacing w:before="166" w:after="0" w:line="360" w:lineRule="auto"/>
        <w:tabs>
          <w:tab w:val="left" w:pos="432" w:leader="none"/>
        </w:tabs>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6"/>
        <w:ind w:left="431" w:right="-28" w:hanging="431"/>
        <w:jc w:val="center"/>
        <w:spacing w:before="166" w:after="0" w:line="360" w:lineRule="auto"/>
        <w:tabs>
          <w:tab w:val="left" w:pos="432" w:leader="none"/>
        </w:tabs>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941"/>
        <w:ind w:firstLine="420"/>
        <w:spacing w:line="440" w:lineRule="exact"/>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p>
      <w:pPr>
        <w:pStyle w:val="941"/>
        <w:ind w:firstLine="420"/>
        <w:spacing w:line="440" w:lineRule="exact"/>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p>
      <w:pPr>
        <w:pStyle w:val="886"/>
        <w:ind w:left="431" w:right="-28" w:hanging="431"/>
        <w:jc w:val="center"/>
        <w:spacing w:before="166" w:after="0" w:line="360" w:lineRule="auto"/>
        <w:tabs>
          <w:tab w:val="left" w:pos="432" w:leader="none"/>
        </w:tabs>
        <w:rPr>
          <w:rFonts w:ascii="宋体" w:hAnsi="宋体" w:cs="宋体"/>
          <w:color w:val="000000"/>
          <w:sz w:val="21"/>
          <w:szCs w:val="21"/>
          <w:highlight w:val="none"/>
        </w:rPr>
      </w:pPr>
      <w:r>
        <w:rPr>
          <w:rFonts w:hint="eastAsia" w:ascii="宋体" w:hAnsi="宋体" w:eastAsia="宋体" w:cs="宋体"/>
          <w:color w:val="000000"/>
          <w:highlight w:val="none"/>
        </w:rPr>
        <w:t xml:space="preserve">第四章  招标书</w:t>
      </w:r>
      <w:r>
        <w:rPr>
          <w:rFonts w:ascii="宋体" w:hAnsi="宋体" w:cs="宋体"/>
        </w:rPr>
      </w:r>
      <w:r/>
    </w:p>
    <w:p>
      <w:pPr>
        <w:pStyle w:val="941"/>
        <w:ind w:firstLine="420"/>
        <w:keepLines w:val="0"/>
        <w:keepNext w:val="0"/>
        <w:pageBreakBefore w:val="0"/>
        <w:spacing w:line="40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受</w:t>
      </w:r>
      <w:r>
        <w:rPr>
          <w:rFonts w:hint="eastAsia" w:ascii="宋体" w:hAnsi="宋体" w:eastAsia="宋体" w:cs="宋体"/>
          <w:color w:val="000000"/>
          <w:sz w:val="21"/>
          <w:szCs w:val="21"/>
          <w:highlight w:val="none"/>
          <w:lang w:eastAsia="zh-CN"/>
        </w:rPr>
        <w:t xml:space="preserve">江苏省苏州丝绸中等专业学校</w:t>
      </w:r>
      <w:r>
        <w:rPr>
          <w:rFonts w:ascii="宋体" w:hAnsi="宋体" w:eastAsia="宋体" w:cs="宋体"/>
          <w:color w:val="000000"/>
          <w:sz w:val="21"/>
          <w:szCs w:val="21"/>
          <w:highlight w:val="none"/>
        </w:rPr>
        <w:t xml:space="preserve">的委托，苏州欣禾诚工程咨询服务有限公司作为招标机构，对该单位采购的</w:t>
      </w:r>
      <w:r>
        <w:rPr>
          <w:rFonts w:hint="eastAsia" w:ascii="宋体" w:hAnsi="宋体" w:eastAsia="宋体" w:cs="宋体"/>
          <w:color w:val="000000"/>
          <w:sz w:val="21"/>
          <w:szCs w:val="21"/>
          <w:highlight w:val="none"/>
          <w:lang w:eastAsia="zh-CN"/>
        </w:rPr>
        <w:t xml:space="preserve">异地新建实训室设施设备采购项目</w:t>
      </w:r>
      <w:r>
        <w:rPr>
          <w:rFonts w:ascii="宋体" w:hAnsi="宋体" w:eastAsia="宋体" w:cs="宋体"/>
          <w:color w:val="000000"/>
          <w:sz w:val="21"/>
          <w:szCs w:val="21"/>
          <w:highlight w:val="none"/>
        </w:rPr>
        <w:t xml:space="preserve">进行公开招标。</w:t>
      </w:r>
      <w:r>
        <w:rPr>
          <w:rFonts w:ascii="宋体" w:hAnsi="宋体" w:cs="宋体"/>
        </w:rPr>
      </w:r>
      <w:r/>
    </w:p>
    <w:p>
      <w:pPr>
        <w:pStyle w:val="885"/>
        <w:numPr>
          <w:ilvl w:val="0"/>
          <w:numId w:val="5"/>
        </w:numPr>
        <w:keepLines w:val="0"/>
        <w:keepNext w:val="0"/>
        <w:pageBreakBefore w:val="0"/>
        <w:spacing w:line="400" w:lineRule="exact"/>
        <w:widowControl w:val="off"/>
        <w:tabs>
          <w:tab w:val="left" w:pos="360" w:leader="none"/>
          <w:tab w:val="left" w:pos="540" w:leader="none"/>
        </w:tabs>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招标编号：</w:t>
      </w:r>
      <w:r>
        <w:rPr>
          <w:rFonts w:hint="eastAsia" w:ascii="宋体" w:hAnsi="宋体" w:cs="宋体"/>
          <w:color w:val="000000"/>
          <w:sz w:val="21"/>
          <w:szCs w:val="21"/>
          <w:highlight w:val="none"/>
          <w:lang w:eastAsia="zh-CN"/>
        </w:rPr>
        <w:t xml:space="preserve">JSZC-320509-SXHC-G2026-0010</w:t>
      </w:r>
      <w:r>
        <w:rPr>
          <w:rFonts w:ascii="宋体" w:hAnsi="宋体" w:cs="宋体"/>
        </w:rPr>
      </w:r>
      <w:r/>
    </w:p>
    <w:p>
      <w:pPr>
        <w:pStyle w:val="885"/>
        <w:numPr>
          <w:ilvl w:val="0"/>
          <w:numId w:val="5"/>
        </w:numPr>
        <w:keepLines w:val="0"/>
        <w:keepNext w:val="0"/>
        <w:pageBreakBefore w:val="0"/>
        <w:spacing w:line="400" w:lineRule="exact"/>
        <w:widowControl w:val="off"/>
        <w:tabs>
          <w:tab w:val="left" w:pos="360" w:leader="none"/>
          <w:tab w:val="left" w:pos="540" w:leader="none"/>
        </w:tabs>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招标项目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异地新建实训室设施设备采购项目</w:t>
      </w:r>
      <w:r>
        <w:rPr>
          <w:rFonts w:ascii="宋体" w:hAnsi="宋体" w:cs="宋体"/>
        </w:rPr>
      </w:r>
      <w:r/>
    </w:p>
    <w:p>
      <w:pPr>
        <w:pStyle w:val="885"/>
        <w:numPr>
          <w:ilvl w:val="0"/>
          <w:numId w:val="5"/>
        </w:numPr>
        <w:keepLines w:val="0"/>
        <w:keepNext w:val="0"/>
        <w:pageBreakBefore w:val="0"/>
        <w:spacing w:line="400" w:lineRule="exact"/>
        <w:widowControl w:val="off"/>
        <w:tabs>
          <w:tab w:val="left" w:pos="360" w:leader="none"/>
          <w:tab w:val="left" w:pos="540" w:leader="none"/>
        </w:tabs>
        <w:rPr>
          <w:rFonts w:hint="eastAsia" w:ascii="宋体" w:hAnsi="宋体" w:cs="宋体"/>
          <w:color w:val="000000"/>
          <w:sz w:val="21"/>
          <w:szCs w:val="21"/>
          <w:highlight w:val="none"/>
        </w:rPr>
        <w:outlineLvl w:val="9"/>
      </w:pPr>
      <w:r>
        <w:rPr>
          <w:rFonts w:hint="eastAsia" w:ascii="宋体" w:hAnsi="宋体" w:eastAsia="宋体" w:cs="宋体"/>
          <w:b/>
          <w:color w:val="000000"/>
          <w:sz w:val="21"/>
          <w:szCs w:val="21"/>
          <w:highlight w:val="none"/>
        </w:rPr>
        <w:t xml:space="preserve">采购预算：</w:t>
      </w:r>
      <w:r>
        <w:rPr>
          <w:rFonts w:hint="eastAsia" w:ascii="宋体" w:hAnsi="宋体" w:eastAsia="宋体" w:cs="宋体"/>
          <w:color w:val="000000"/>
          <w:sz w:val="21"/>
          <w:szCs w:val="21"/>
          <w:highlight w:val="none"/>
          <w:lang w:eastAsia="zh-CN"/>
        </w:rPr>
        <w:t xml:space="preserve">人民币</w:t>
      </w:r>
      <w:r>
        <w:rPr>
          <w:rFonts w:hint="eastAsia" w:ascii="宋体" w:hAnsi="宋体" w:eastAsia="宋体" w:cs="宋体"/>
          <w:color w:val="000000"/>
          <w:sz w:val="21"/>
          <w:szCs w:val="21"/>
          <w:highlight w:val="none"/>
          <w:lang w:val="en-US" w:eastAsia="zh-CN"/>
        </w:rPr>
        <w:t xml:space="preserve">壹仟壹佰玖拾叁万伍仟捌佰伍拾陆</w:t>
      </w:r>
      <w:r>
        <w:rPr>
          <w:rFonts w:hint="eastAsia" w:ascii="宋体" w:hAnsi="宋体" w:eastAsia="宋体" w:cs="宋体"/>
          <w:color w:val="000000"/>
          <w:sz w:val="21"/>
          <w:szCs w:val="21"/>
          <w:highlight w:val="none"/>
          <w:lang w:eastAsia="zh-CN"/>
        </w:rPr>
        <w:t xml:space="preserve">元整（¥</w:t>
      </w:r>
      <w:r>
        <w:rPr>
          <w:rFonts w:hint="eastAsia" w:ascii="宋体" w:hAnsi="宋体" w:eastAsia="宋体" w:cs="宋体"/>
          <w:color w:val="000000"/>
          <w:sz w:val="21"/>
          <w:szCs w:val="21"/>
          <w:highlight w:val="none"/>
          <w:lang w:val="en-US" w:eastAsia="zh-CN"/>
        </w:rPr>
        <w:t xml:space="preserve">11935856</w:t>
      </w:r>
      <w:r>
        <w:rPr>
          <w:rFonts w:hint="eastAsia" w:ascii="宋体" w:hAnsi="宋体" w:eastAsia="宋体" w:cs="宋体"/>
          <w:color w:val="000000"/>
          <w:sz w:val="21"/>
          <w:szCs w:val="21"/>
          <w:highlight w:val="none"/>
          <w:lang w:eastAsia="zh-CN"/>
        </w:rPr>
        <w:t xml:space="preserve">.00），具体分标段预算如下：</w:t>
      </w:r>
      <w:r>
        <w:rPr>
          <w:rFonts w:ascii="宋体" w:hAnsi="宋体" w:cs="宋体"/>
        </w:rPr>
      </w:r>
      <w:r/>
    </w:p>
    <w:tbl>
      <w:tblPr>
        <w:tblStyle w:val="9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393"/>
        <w:gridCol w:w="3835"/>
        <w:gridCol w:w="4103"/>
      </w:tblGrid>
      <w:tr>
        <w:trPr/>
        <w:tc>
          <w:tcPr>
            <w:tcW w:w="787" w:type="dxa"/>
            <w:vAlign w:val="center"/>
            <w:textDirection w:val="lrTb"/>
            <w:noWrap w:val="false"/>
          </w:tcPr>
          <w:p>
            <w:pPr>
              <w:pStyle w:val="885"/>
              <w:ind w:left="0" w:firstLine="0"/>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序号</w:t>
            </w:r>
            <w:r>
              <w:rPr>
                <w:rFonts w:ascii="宋体" w:hAnsi="宋体" w:cs="宋体"/>
              </w:rPr>
            </w:r>
            <w:r/>
          </w:p>
        </w:tc>
        <w:tc>
          <w:tcPr>
            <w:tcW w:w="1393" w:type="dxa"/>
            <w:vAlign w:val="center"/>
            <w:textDirection w:val="lrTb"/>
            <w:noWrap w:val="false"/>
          </w:tcPr>
          <w:p>
            <w:pPr>
              <w:pStyle w:val="885"/>
              <w:ind w:left="0" w:firstLine="0"/>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标段号</w:t>
            </w:r>
            <w:r>
              <w:rPr>
                <w:rFonts w:ascii="宋体" w:hAnsi="宋体" w:cs="宋体"/>
              </w:rPr>
            </w:r>
            <w:r/>
          </w:p>
        </w:tc>
        <w:tc>
          <w:tcPr>
            <w:tcW w:w="3835" w:type="dxa"/>
            <w:vAlign w:val="center"/>
            <w:textDirection w:val="lrTb"/>
            <w:noWrap w:val="false"/>
          </w:tcPr>
          <w:p>
            <w:pPr>
              <w:pStyle w:val="885"/>
              <w:ind w:left="0" w:firstLine="0"/>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名称</w:t>
            </w:r>
            <w:r>
              <w:rPr>
                <w:rFonts w:ascii="宋体" w:hAnsi="宋体" w:cs="宋体"/>
              </w:rPr>
            </w:r>
            <w:r/>
          </w:p>
        </w:tc>
        <w:tc>
          <w:tcPr>
            <w:tcW w:w="4103" w:type="dxa"/>
            <w:vAlign w:val="center"/>
            <w:textDirection w:val="lrTb"/>
            <w:noWrap w:val="false"/>
          </w:tcPr>
          <w:p>
            <w:pPr>
              <w:pStyle w:val="885"/>
              <w:ind w:left="0" w:firstLine="0"/>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预算金额</w:t>
            </w:r>
            <w:r>
              <w:rPr>
                <w:rFonts w:ascii="宋体" w:hAnsi="宋体" w:cs="宋体"/>
              </w:rPr>
            </w:r>
            <w:r/>
          </w:p>
        </w:tc>
      </w:tr>
      <w:tr>
        <w:trPr/>
        <w:tc>
          <w:tcPr>
            <w:tcW w:w="787" w:type="dxa"/>
            <w:vAlign w:val="center"/>
            <w:textDirection w:val="lrTb"/>
            <w:noWrap w:val="false"/>
          </w:tcPr>
          <w:p>
            <w:pPr>
              <w:pStyle w:val="885"/>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1</w:t>
            </w:r>
            <w:r>
              <w:rPr>
                <w:rFonts w:ascii="宋体" w:hAnsi="宋体" w:cs="宋体"/>
              </w:rPr>
            </w:r>
            <w:r/>
          </w:p>
        </w:tc>
        <w:tc>
          <w:tcPr>
            <w:tcW w:w="1393" w:type="dxa"/>
            <w:vAlign w:val="center"/>
            <w:textDirection w:val="lrTb"/>
            <w:noWrap w:val="false"/>
          </w:tcPr>
          <w:p>
            <w:pPr>
              <w:pStyle w:val="885"/>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第一标段</w:t>
            </w:r>
            <w:r>
              <w:rPr>
                <w:rFonts w:ascii="宋体" w:hAnsi="宋体" w:cs="宋体"/>
              </w:rPr>
            </w:r>
            <w:r/>
          </w:p>
        </w:tc>
        <w:tc>
          <w:tcPr>
            <w:tcW w:w="3835" w:type="dxa"/>
            <w:vAlign w:val="center"/>
            <w:textDirection w:val="lrTb"/>
            <w:noWrap w:val="false"/>
          </w:tcPr>
          <w:p>
            <w:pPr>
              <w:pStyle w:val="885"/>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lang w:eastAsia="zh-CN"/>
              </w:rPr>
              <w:t xml:space="preserve">异地新建实训室设施设备采购</w:t>
            </w:r>
            <w:r>
              <w:rPr>
                <w:rFonts w:hint="eastAsia" w:ascii="宋体" w:hAnsi="宋体" w:eastAsia="宋体" w:cs="宋体"/>
                <w:color w:val="000000"/>
                <w:sz w:val="21"/>
                <w:szCs w:val="21"/>
                <w:highlight w:val="none"/>
                <w:lang w:val="en-US" w:eastAsia="zh-CN"/>
              </w:rPr>
              <w:t xml:space="preserve">1</w:t>
            </w:r>
            <w:r>
              <w:rPr>
                <w:rFonts w:ascii="宋体" w:hAnsi="宋体" w:cs="宋体"/>
              </w:rPr>
            </w:r>
            <w:r/>
          </w:p>
        </w:tc>
        <w:tc>
          <w:tcPr>
            <w:tcW w:w="4103" w:type="dxa"/>
            <w:vAlign w:val="center"/>
            <w:textDirection w:val="lrTb"/>
            <w:noWrap w:val="false"/>
          </w:tcPr>
          <w:p>
            <w:pPr>
              <w:pStyle w:val="885"/>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人民币</w:t>
            </w:r>
            <w:r>
              <w:rPr>
                <w:rFonts w:hint="eastAsia" w:ascii="宋体" w:hAnsi="宋体" w:eastAsia="宋体" w:cs="宋体"/>
                <w:color w:val="000000"/>
                <w:sz w:val="21"/>
                <w:szCs w:val="21"/>
                <w:highlight w:val="none"/>
                <w:lang w:eastAsia="zh-CN"/>
              </w:rPr>
              <w:t xml:space="preserve">贰佰玖拾肆万捌仟零壹拾元整</w:t>
            </w:r>
            <w:r>
              <w:rPr>
                <w:rFonts w:ascii="宋体" w:hAnsi="宋体" w:cs="宋体"/>
              </w:rPr>
            </w:r>
            <w:r/>
          </w:p>
          <w:p>
            <w:pPr>
              <w:pStyle w:val="885"/>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vertAlign w:val="baseline"/>
                <w:lang w:val="en-US" w:eastAsia="zh-CN" w:bidi="ar-SA"/>
              </w:rPr>
              <w:t xml:space="preserve">2948010</w:t>
            </w:r>
            <w:r>
              <w:rPr>
                <w:rFonts w:hint="eastAsia" w:ascii="宋体" w:hAnsi="宋体" w:eastAsia="宋体" w:cs="宋体"/>
                <w:color w:val="000000"/>
                <w:sz w:val="21"/>
                <w:szCs w:val="21"/>
                <w:highlight w:val="none"/>
                <w:vertAlign w:val="baseline"/>
                <w:lang w:val="en-US" w:eastAsia="zh-CN" w:bidi="ar-SA"/>
              </w:rPr>
              <w:t xml:space="preserve">.00</w:t>
            </w:r>
            <w:r>
              <w:rPr>
                <w:rFonts w:hint="eastAsia" w:ascii="宋体" w:hAnsi="宋体" w:eastAsia="宋体" w:cs="宋体"/>
                <w:color w:val="000000"/>
                <w:sz w:val="21"/>
                <w:szCs w:val="21"/>
                <w:highlight w:val="none"/>
                <w:lang w:eastAsia="zh-CN"/>
              </w:rPr>
              <w:t xml:space="preserve">）</w:t>
            </w:r>
            <w:r>
              <w:rPr>
                <w:rFonts w:ascii="宋体" w:hAnsi="宋体" w:cs="宋体"/>
              </w:rPr>
            </w:r>
            <w:r/>
          </w:p>
        </w:tc>
      </w:tr>
      <w:tr>
        <w:trPr/>
        <w:tc>
          <w:tcPr>
            <w:tcW w:w="787" w:type="dxa"/>
            <w:vAlign w:val="center"/>
            <w:textDirection w:val="lrTb"/>
            <w:noWrap w:val="false"/>
          </w:tcPr>
          <w:p>
            <w:pPr>
              <w:pStyle w:val="885"/>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2</w:t>
            </w:r>
            <w:r>
              <w:rPr>
                <w:rFonts w:ascii="宋体" w:hAnsi="宋体" w:cs="宋体"/>
              </w:rPr>
            </w:r>
            <w:r/>
          </w:p>
        </w:tc>
        <w:tc>
          <w:tcPr>
            <w:tcW w:w="1393" w:type="dxa"/>
            <w:vAlign w:val="center"/>
            <w:textDirection w:val="lrTb"/>
            <w:noWrap w:val="false"/>
          </w:tcPr>
          <w:p>
            <w:pPr>
              <w:pStyle w:val="885"/>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第二标段</w:t>
            </w:r>
            <w:r>
              <w:rPr>
                <w:rFonts w:ascii="宋体" w:hAnsi="宋体" w:cs="宋体"/>
              </w:rPr>
            </w:r>
            <w:r/>
          </w:p>
        </w:tc>
        <w:tc>
          <w:tcPr>
            <w:tcW w:w="3835" w:type="dxa"/>
            <w:vAlign w:val="center"/>
            <w:textDirection w:val="lrTb"/>
            <w:noWrap w:val="false"/>
          </w:tcPr>
          <w:p>
            <w:pPr>
              <w:pStyle w:val="885"/>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lang w:eastAsia="zh-CN"/>
              </w:rPr>
              <w:t xml:space="preserve">异地新建实训室设施设备采购</w:t>
            </w:r>
            <w:r>
              <w:rPr>
                <w:rFonts w:hint="eastAsia" w:ascii="宋体" w:hAnsi="宋体" w:eastAsia="宋体" w:cs="宋体"/>
                <w:color w:val="000000"/>
                <w:sz w:val="21"/>
                <w:szCs w:val="21"/>
                <w:highlight w:val="none"/>
                <w:lang w:val="en-US" w:eastAsia="zh-CN"/>
              </w:rPr>
              <w:t xml:space="preserve">2</w:t>
            </w:r>
            <w:r>
              <w:rPr>
                <w:rFonts w:ascii="宋体" w:hAnsi="宋体" w:cs="宋体"/>
              </w:rPr>
            </w:r>
            <w:r/>
          </w:p>
        </w:tc>
        <w:tc>
          <w:tcPr>
            <w:tcW w:w="4103" w:type="dxa"/>
            <w:vAlign w:val="center"/>
            <w:textDirection w:val="lrTb"/>
            <w:noWrap w:val="false"/>
          </w:tcPr>
          <w:p>
            <w:pPr>
              <w:pStyle w:val="885"/>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人民币</w:t>
            </w:r>
            <w:r>
              <w:rPr>
                <w:rFonts w:hint="eastAsia" w:ascii="宋体" w:hAnsi="宋体" w:eastAsia="宋体" w:cs="宋体"/>
                <w:color w:val="000000"/>
                <w:sz w:val="21"/>
                <w:szCs w:val="21"/>
                <w:highlight w:val="none"/>
                <w:lang w:eastAsia="zh-CN"/>
              </w:rPr>
              <w:t xml:space="preserve">捌佰玖拾捌万柒仟捌佰肆拾陆元整</w:t>
            </w:r>
            <w:r>
              <w:rPr>
                <w:rFonts w:ascii="宋体" w:hAnsi="宋体" w:cs="宋体"/>
              </w:rPr>
            </w:r>
            <w:r/>
          </w:p>
          <w:p>
            <w:pPr>
              <w:pStyle w:val="885"/>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vertAlign w:val="baseline"/>
                <w:lang w:val="en-US" w:eastAsia="zh-CN" w:bidi="ar-SA"/>
              </w:rPr>
              <w:t xml:space="preserve">8987846</w:t>
            </w:r>
            <w:r>
              <w:rPr>
                <w:rFonts w:hint="eastAsia" w:ascii="宋体" w:hAnsi="宋体" w:eastAsia="宋体" w:cs="宋体"/>
                <w:color w:val="000000"/>
                <w:sz w:val="21"/>
                <w:szCs w:val="21"/>
                <w:highlight w:val="none"/>
                <w:vertAlign w:val="baseline"/>
                <w:lang w:val="en-US" w:eastAsia="zh-CN" w:bidi="ar-SA"/>
              </w:rPr>
              <w:t xml:space="preserve">.00</w:t>
            </w:r>
            <w:r>
              <w:rPr>
                <w:rFonts w:hint="eastAsia" w:ascii="宋体" w:hAnsi="宋体" w:eastAsia="宋体" w:cs="宋体"/>
                <w:color w:val="000000"/>
                <w:sz w:val="21"/>
                <w:szCs w:val="21"/>
                <w:highlight w:val="none"/>
                <w:lang w:eastAsia="zh-CN"/>
              </w:rPr>
              <w:t xml:space="preserve">）</w:t>
            </w:r>
            <w:r>
              <w:rPr>
                <w:rFonts w:ascii="宋体" w:hAnsi="宋体" w:cs="宋体"/>
              </w:rPr>
            </w:r>
            <w:r/>
          </w:p>
        </w:tc>
      </w:tr>
    </w:tbl>
    <w:p>
      <w:pPr>
        <w:pStyle w:val="885"/>
        <w:numPr>
          <w:ilvl w:val="0"/>
          <w:numId w:val="5"/>
        </w:numPr>
        <w:keepLines w:val="0"/>
        <w:keepNext w:val="0"/>
        <w:pageBreakBefore w:val="0"/>
        <w:spacing w:line="400" w:lineRule="exact"/>
        <w:widowControl w:val="off"/>
        <w:tabs>
          <w:tab w:val="left" w:pos="360" w:leader="none"/>
          <w:tab w:val="left" w:pos="540" w:leader="none"/>
        </w:tabs>
        <w:rPr>
          <w:rFonts w:hint="eastAsia" w:ascii="宋体" w:hAnsi="宋体" w:cs="宋体"/>
          <w:b/>
          <w:color w:val="000000"/>
          <w:sz w:val="21"/>
          <w:szCs w:val="21"/>
          <w:highlight w:val="none"/>
        </w:rPr>
        <w:outlineLvl w:val="9"/>
      </w:pPr>
      <w:r>
        <w:rPr>
          <w:rFonts w:hint="eastAsia" w:ascii="宋体" w:hAnsi="宋体" w:eastAsia="宋体" w:cs="宋体"/>
          <w:b/>
          <w:bCs/>
          <w:color w:val="000000"/>
          <w:sz w:val="21"/>
          <w:szCs w:val="21"/>
          <w:highlight w:val="none"/>
        </w:rPr>
        <w:t xml:space="preserve">最高限价：</w:t>
      </w:r>
      <w:r>
        <w:rPr>
          <w:rFonts w:hint="eastAsia" w:ascii="宋体" w:hAnsi="宋体" w:eastAsia="宋体" w:cs="宋体"/>
          <w:color w:val="000000"/>
          <w:sz w:val="21"/>
          <w:szCs w:val="21"/>
          <w:highlight w:val="none"/>
        </w:rPr>
        <w:t xml:space="preserve">同预算金额</w:t>
      </w:r>
      <w:r>
        <w:rPr>
          <w:rFonts w:ascii="宋体" w:hAnsi="宋体" w:cs="宋体"/>
        </w:rPr>
      </w:r>
      <w:r/>
    </w:p>
    <w:p>
      <w:pPr>
        <w:pStyle w:val="885"/>
        <w:numPr>
          <w:ilvl w:val="0"/>
          <w:numId w:val="5"/>
        </w:numPr>
        <w:keepLines w:val="0"/>
        <w:keepNext w:val="0"/>
        <w:pageBreakBefore w:val="0"/>
        <w:spacing w:line="400" w:lineRule="exact"/>
        <w:widowControl w:val="off"/>
        <w:tabs>
          <w:tab w:val="left" w:pos="360" w:leader="none"/>
          <w:tab w:val="left" w:pos="540" w:leader="none"/>
          <w:tab w:val="left" w:pos="7102" w:leader="none"/>
        </w:tabs>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招标内容：</w:t>
      </w:r>
      <w:r>
        <w:rPr>
          <w:rFonts w:hint="eastAsia" w:ascii="宋体" w:hAnsi="宋体" w:cs="宋体"/>
          <w:b/>
          <w:color w:val="000000"/>
          <w:sz w:val="21"/>
          <w:szCs w:val="21"/>
          <w:highlight w:val="none"/>
        </w:rPr>
        <w:tab/>
      </w:r>
      <w:r>
        <w:rPr>
          <w:rFonts w:ascii="宋体" w:hAnsi="宋体" w:cs="宋体"/>
        </w:rPr>
      </w:r>
      <w:r/>
    </w:p>
    <w:p>
      <w:pPr>
        <w:pStyle w:val="941"/>
        <w:ind w:firstLine="422"/>
        <w:keepLines w:val="0"/>
        <w:keepNext w:val="0"/>
        <w:pageBreakBefore w:val="0"/>
        <w:spacing w:line="400" w:lineRule="exact"/>
        <w:widowControl w:val="off"/>
        <w:rPr>
          <w:rFonts w:ascii="宋体" w:hAnsi="宋体" w:cs="宋体"/>
          <w:b/>
          <w:bCs/>
          <w:color w:val="000000"/>
          <w:sz w:val="21"/>
          <w:szCs w:val="21"/>
          <w:highlight w:val="none"/>
        </w:rPr>
        <w:outlineLvl w:val="9"/>
      </w:pPr>
      <w:r>
        <w:rPr>
          <w:rFonts w:ascii="宋体" w:hAnsi="宋体" w:eastAsia="宋体" w:cs="宋体"/>
          <w:b/>
          <w:bCs/>
          <w:color w:val="000000"/>
          <w:sz w:val="21"/>
          <w:szCs w:val="21"/>
          <w:highlight w:val="none"/>
        </w:rPr>
        <w:t xml:space="preserve">（一）项目概况</w:t>
      </w:r>
      <w:r>
        <w:rPr>
          <w:rFonts w:ascii="宋体" w:hAnsi="宋体" w:cs="宋体"/>
        </w:rPr>
      </w:r>
      <w:r/>
    </w:p>
    <w:p>
      <w:pPr>
        <w:pStyle w:val="885"/>
        <w:ind w:firstLine="420"/>
        <w:keepLines w:val="0"/>
        <w:keepNext w:val="0"/>
        <w:pageBreakBefore w:val="0"/>
        <w:spacing w:line="400" w:lineRule="exact"/>
        <w:widowControl w:val="off"/>
        <w:tabs>
          <w:tab w:val="left" w:pos="540" w:leader="none"/>
        </w:tabs>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为满足丝绸中专教学</w:t>
      </w:r>
      <w:r>
        <w:rPr>
          <w:rFonts w:hint="eastAsia" w:ascii="宋体" w:hAnsi="宋体" w:eastAsia="宋体" w:cs="宋体"/>
          <w:color w:val="000000"/>
          <w:sz w:val="21"/>
          <w:szCs w:val="21"/>
          <w:highlight w:val="none"/>
          <w:lang w:val="en-US" w:eastAsia="zh-CN"/>
        </w:rPr>
        <w:t xml:space="preserve">实训与技能培养需求，现启动多院系实训设备采购项目。采购范围覆盖信息传媒系、商务管理系、纺织服装系3大院系，包含网络综合实训、数媒艺术实训、快递产业实训、电商产业实训、数智商务实训、智慧物流实训、焊接技术实训、纺织综合实训、服装工艺实训共9大实训系统，采购内容涵盖实训平台软件、专业设备、教学辅助设施及配套服务。所有采购设备及软件须符合相关国家标准与教学实训要求，具备良好的稳定性和兼容性，能够满足各院系专业教学、技能实训、赛事承办等多样化需求，助力学校构建产教融合的实训教学体系，提升学生实践操作能力与职业素养。</w:t>
      </w:r>
      <w:r>
        <w:rPr>
          <w:rFonts w:ascii="宋体" w:hAnsi="宋体" w:cs="宋体"/>
        </w:rPr>
      </w:r>
      <w:r/>
    </w:p>
    <w:p>
      <w:pPr>
        <w:pStyle w:val="885"/>
        <w:numPr>
          <w:ilvl w:val="0"/>
          <w:numId w:val="6"/>
        </w:numPr>
        <w:ind w:firstLine="422"/>
        <w:keepLines w:val="0"/>
        <w:keepNext w:val="0"/>
        <w:pageBreakBefore w:val="0"/>
        <w:spacing w:line="400" w:lineRule="exact"/>
        <w:widowControl w:val="off"/>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采购清单及技术要求：</w:t>
      </w:r>
      <w:r>
        <w:rPr>
          <w:rFonts w:ascii="宋体" w:hAnsi="宋体" w:cs="宋体"/>
        </w:rPr>
      </w:r>
      <w:r/>
    </w:p>
    <w:p>
      <w:pPr>
        <w:pStyle w:val="941"/>
        <w:numPr>
          <w:ilvl w:val="0"/>
          <w:numId w:val="0"/>
        </w:numPr>
        <w:ind w:firstLine="422"/>
        <w:keepLines w:val="0"/>
        <w:keepNext w:val="0"/>
        <w:pageBreakBefore w:val="0"/>
        <w:spacing w:line="42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rPr>
        <w:t xml:space="preserve">1.采购清单（第一标段）</w:t>
      </w:r>
      <w:r>
        <w:rPr>
          <w:rFonts w:ascii="宋体" w:hAnsi="宋体" w:cs="宋体"/>
        </w:rPr>
      </w:r>
      <w:r/>
    </w:p>
    <w:tbl>
      <w:tblPr>
        <w:tblW w:w="4996"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51"/>
        <w:gridCol w:w="1537"/>
        <w:gridCol w:w="5"/>
        <w:gridCol w:w="6396"/>
        <w:gridCol w:w="683"/>
        <w:gridCol w:w="26"/>
        <w:gridCol w:w="628"/>
      </w:tblGrid>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b/>
                <w:i w:val="0"/>
                <w:color w:val="000000"/>
                <w:sz w:val="21"/>
                <w:szCs w:val="21"/>
                <w:highlight w:val="none"/>
                <w:u w:val="none"/>
              </w:rPr>
              <w:outlineLvl w:val="9"/>
              <w:suppressLineNumbers w:val="0"/>
            </w:pPr>
            <w:r>
              <w:rPr>
                <w:rFonts w:hint="eastAsia" w:ascii="宋体" w:hAnsi="宋体" w:eastAsia="宋体" w:cs="宋体"/>
                <w:b/>
                <w:i w:val="0"/>
                <w:color w:val="000000"/>
                <w:sz w:val="21"/>
                <w:szCs w:val="21"/>
                <w:highlight w:val="none"/>
                <w:u w:val="none"/>
                <w:lang w:val="en-US" w:eastAsia="zh-CN" w:bidi="ar"/>
              </w:rPr>
              <w:t xml:space="preserve">序号</w:t>
            </w:r>
            <w:r>
              <w:rPr>
                <w:rFonts w:ascii="宋体" w:hAnsi="宋体" w:cs="宋体"/>
              </w:rPr>
            </w:r>
            <w:r/>
          </w:p>
        </w:tc>
        <w:tc>
          <w:tcPr>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b/>
                <w:i w:val="0"/>
                <w:color w:val="000000"/>
                <w:sz w:val="21"/>
                <w:szCs w:val="21"/>
                <w:highlight w:val="none"/>
                <w:u w:val="none"/>
              </w:rPr>
              <w:outlineLvl w:val="9"/>
              <w:suppressLineNumbers w:val="0"/>
            </w:pPr>
            <w:r>
              <w:rPr>
                <w:rFonts w:hint="eastAsia" w:ascii="宋体" w:hAnsi="宋体" w:eastAsia="宋体" w:cs="宋体"/>
                <w:b/>
                <w:i w:val="0"/>
                <w:color w:val="000000"/>
                <w:sz w:val="21"/>
                <w:szCs w:val="21"/>
                <w:highlight w:val="none"/>
                <w:u w:val="none"/>
                <w:lang w:val="en-US" w:eastAsia="zh-CN" w:bidi="ar"/>
              </w:rPr>
              <w:t xml:space="preserve">名称</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ind w:left="0" w:right="134" w:firstLine="0"/>
              <w:jc w:val="center"/>
              <w:keepLines w:val="0"/>
              <w:keepNext w:val="0"/>
              <w:pageBreakBefore w:val="0"/>
              <w:spacing w:line="400" w:lineRule="exact"/>
              <w:widowControl/>
              <w:tabs>
                <w:tab w:val="left" w:pos="6661" w:leader="none"/>
              </w:tabs>
              <w:rPr>
                <w:rFonts w:hint="eastAsia" w:ascii="宋体" w:hAnsi="宋体" w:cs="宋体"/>
                <w:b/>
                <w:i w:val="0"/>
                <w:color w:val="000000"/>
                <w:sz w:val="21"/>
                <w:szCs w:val="21"/>
                <w:highlight w:val="none"/>
                <w:u w:val="none"/>
              </w:rPr>
              <w:outlineLvl w:val="9"/>
              <w:suppressLineNumbers w:val="0"/>
            </w:pPr>
            <w:r>
              <w:rPr>
                <w:rFonts w:hint="eastAsia" w:ascii="宋体" w:hAnsi="宋体" w:eastAsia="宋体" w:cs="宋体"/>
                <w:b/>
                <w:i w:val="0"/>
                <w:color w:val="000000"/>
                <w:sz w:val="21"/>
                <w:szCs w:val="21"/>
                <w:highlight w:val="none"/>
                <w:u w:val="none"/>
                <w:lang w:val="en-US" w:eastAsia="zh-CN" w:bidi="ar"/>
              </w:rPr>
              <w:t xml:space="preserve">技术参数</w:t>
            </w:r>
            <w:r>
              <w:rPr>
                <w:rFonts w:ascii="宋体" w:hAnsi="宋体" w:cs="宋体"/>
              </w:rPr>
            </w:r>
            <w:r/>
          </w:p>
        </w:tc>
        <w:tc>
          <w:tcPr>
            <w:tcMar>
              <w:left w:w="15" w:type="dxa"/>
              <w:top w:w="15" w:type="dxa"/>
              <w:right w:w="15" w:type="dxa"/>
            </w:tcMar>
            <w:tcW w:w="683"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b/>
                <w:i w:val="0"/>
                <w:color w:val="000000"/>
                <w:sz w:val="21"/>
                <w:szCs w:val="21"/>
                <w:highlight w:val="none"/>
                <w:u w:val="none"/>
              </w:rPr>
              <w:outlineLvl w:val="9"/>
              <w:suppressLineNumbers w:val="0"/>
            </w:pPr>
            <w:r>
              <w:rPr>
                <w:rFonts w:hint="eastAsia" w:ascii="宋体" w:hAnsi="宋体" w:eastAsia="宋体" w:cs="宋体"/>
                <w:b/>
                <w:i w:val="0"/>
                <w:color w:val="000000"/>
                <w:sz w:val="21"/>
                <w:szCs w:val="21"/>
                <w:highlight w:val="none"/>
                <w:u w:val="none"/>
                <w:lang w:val="en-US" w:eastAsia="zh-CN" w:bidi="ar"/>
              </w:rPr>
              <w:t xml:space="preserve">单位</w:t>
            </w:r>
            <w:r>
              <w:rPr>
                <w:rFonts w:ascii="宋体" w:hAnsi="宋体" w:cs="宋体"/>
              </w:rPr>
            </w:r>
            <w:r/>
          </w:p>
        </w:tc>
        <w:tc>
          <w:tcPr>
            <w:gridSpan w:val="2"/>
            <w:tcMar>
              <w:left w:w="15" w:type="dxa"/>
              <w:top w:w="15" w:type="dxa"/>
              <w:right w:w="15" w:type="dxa"/>
            </w:tcMar>
            <w:tcW w:w="654"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b/>
                <w:i w:val="0"/>
                <w:color w:val="000000"/>
                <w:sz w:val="21"/>
                <w:szCs w:val="21"/>
                <w:highlight w:val="none"/>
                <w:u w:val="none"/>
              </w:rPr>
              <w:outlineLvl w:val="9"/>
              <w:suppressLineNumbers w:val="0"/>
            </w:pPr>
            <w:r>
              <w:rPr>
                <w:rFonts w:hint="eastAsia" w:ascii="宋体" w:hAnsi="宋体" w:eastAsia="宋体" w:cs="宋体"/>
                <w:b/>
                <w:i w:val="0"/>
                <w:color w:val="000000"/>
                <w:sz w:val="21"/>
                <w:szCs w:val="21"/>
                <w:highlight w:val="none"/>
                <w:u w:val="none"/>
                <w:lang w:val="en-US" w:eastAsia="zh-CN" w:bidi="ar"/>
              </w:rPr>
              <w:t xml:space="preserve">数量</w:t>
            </w:r>
            <w:r>
              <w:rPr>
                <w:rFonts w:ascii="宋体" w:hAnsi="宋体" w:cs="宋体"/>
              </w:rPr>
            </w:r>
            <w:r/>
          </w:p>
        </w:tc>
      </w:tr>
      <w:tr>
        <w:trPr>
          <w:trHeight w:val="340"/>
        </w:trPr>
        <w:tc>
          <w:tcPr>
            <w:gridSpan w:val="7"/>
            <w:tcMar>
              <w:left w:w="15" w:type="dxa"/>
              <w:top w:w="15" w:type="dxa"/>
              <w:right w:w="15" w:type="dxa"/>
            </w:tcMar>
            <w:tcW w:w="9924"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b/>
                <w:i w:val="0"/>
                <w:color w:val="000000"/>
                <w:sz w:val="21"/>
                <w:szCs w:val="21"/>
                <w:highlight w:val="none"/>
                <w:u w:val="none"/>
              </w:rPr>
              <w:outlineLvl w:val="9"/>
              <w:suppressLineNumbers w:val="0"/>
            </w:pPr>
            <w:r>
              <w:rPr>
                <w:rFonts w:hint="eastAsia" w:ascii="宋体" w:hAnsi="宋体" w:eastAsia="宋体" w:cs="宋体"/>
                <w:b/>
                <w:i w:val="0"/>
                <w:color w:val="000000"/>
                <w:sz w:val="21"/>
                <w:szCs w:val="21"/>
                <w:highlight w:val="none"/>
                <w:u w:val="none"/>
                <w:lang w:val="en-US" w:eastAsia="zh-CN" w:bidi="ar"/>
              </w:rPr>
              <w:t xml:space="preserve">信息传媒系-网络综合实训</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智能网络教学实训平台</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ind w:firstLine="0"/>
              <w:jc w:val="both"/>
              <w:keepLines w:val="0"/>
              <w:keepNext w:val="0"/>
              <w:pageBreakBefore w:val="0"/>
              <w:spacing w:line="40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1.提高师生在教学过程中的便捷流畅，系统需支持本地化部署；</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2.支持进行授权更新、用户管理、权限管理、实验环境管理、资源查看等；</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3.支持在线更新、离线更新2种模式，授权更新需包含资源授权、资源更新、功能授权、系统有效期更新；系统需支持查看历史的授权更新记录；</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可以对教师、学生账号进行管理；支持添加和批量导入教师、学生账号，并可以通过设置角色，给该账号分配相应的权限；可以对教师、学生账号进行启用/禁用操作，禁用后的教师、学生账号无法登录系统；支持批量导出教师账号；</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5.支持班级管理功能，可以对班级进行管理；支持新增班级，支持批量新增和批量删除班级，支持查看班级下的学生列表，可以对班级进行禁用操作；</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6.支持查看资源使用统计情况，可以了解资源的被引用次数、创建计划次数、上课学生人次等使用数据；</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7.平台支持通过可视化的图表统计分析平台的使用情况、标准资源统计、自定义资源统计、标准课程使用情况等数据指标；</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8.支持一键排课，能够快速完成教学计划的创建并发布，支持同时给多个班级创建教学计划；</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9.支持教学计划进行创建并发布、仅创建、发布计划、编辑计划、复制计划、结课、重启计划操作；</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11.支持教师在教学计划详情中查看学生的上课签到次数、实验报告提交次数、作业完成情况、考试完成情况的统计数据；</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12.支持在教学分析下查看成绩单；成绩单可以了解学生在这门课的基本情况、实验成绩、作业成绩、考试成绩以及知识点掌握情况；使用可视化的图表来展示数据，如折线图或柱状图展示学生的实验成绩、作业成绩、考试成绩；</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13.实验页面可以同时显示实验环境和实验指导区域，实验环境包括机架设备、逻辑拓扑图，实验指导区支持查看实验手册或指导视频，实验文档界面支持隐藏；</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14.平台支持学生进行在线实验，支持在同一页面下显示实验环境与实验参考资料，参考资料的形式至少应支持：实验文档、指导视频、理论知识、课堂讲义、课后作业；</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15.实验课程支持学生在线编写实验报告，支持截图功能，能够将当前实验环境生成截图并插入到实验报告中；截图需显示截图时间；系统支持学生查看实验报告得分，并支持导出报告；</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16.平台支持老师发起在线答题功能，并支持对答题互动次数、答题累计用时、题目总数、答题正确率、每道题的正确率、答错人数、学生答题选项分布等数据进行统计分析；</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17.平台支持以留言板的形式进行线上课堂答疑；</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18.平台支持作业和试卷产生的错题自动添加至错题本，同时支持将非错题通过点击“收藏至错题本”方式手动添加至错题本；</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19.平台个人资料库功能支持用户对资料进行标签管理，用户可为资料库中的文件添加标签，并可在标签管理中进行添加标签、修改、删除操作；</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20.支持教师对于课程资源进行管理，支持查看标准课程和自定义课程，课程按照章节体系化呈现；自定义课程支持多种创建方式；</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21.支持教师自主编辑课程信息，可以新增、修改、删除、移动课程目录，还支持添加、删除章节关联资源；添加资源支持从系统已有资源中引用，也可以自定义添加资源；</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22.题库需支持多种题型，包括单选题、多选题、判断题、填空题、简答题、项目案例题；支持富文本编辑题目内容，支持下载不同题型的excel模板进行题目批量导入；</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23.支持将学生在平台中做题产生的错题自动收集到错题本，包括课堂答题、作业和试卷产生的错题；并支持手动将课堂答题、作业和试卷中的题目添加到错题本；</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24.支持学生错题重练，系统将记录每次的练习时长；</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25.平台支持线上布置作业功能，老师可对作业设定得分要求、作答时长要求等达标要求，且支持设置单一达标要求和多个达标要求；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26.支持作业督促功能，在作业截止时间前，支持教师对未提交作业的学生进行一键督促，学生会接收到相应的消息提醒；支持批改学生的作业，可以导出作业的成绩数据；系统应支持自动批改单选题、多选题、判断题等客观题；</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27.作业分析根据作业模式需分为2类：常规作业分析和训练作业分析，系统需提供班级的这两种作业分析功能，并使用可视化图表形式展示作业相关统计数据，包含学生的成绩汇总、题目关联的知识点的答题情况等。</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28.支持学生对存疑题目进行标记，支持统计作业用时，可以中途暂停作答并暂停计时；页面提供答题卡，可以看到题目作答状态（未作、已做）和标记；支持保存进度，下次继续功能；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29.支持在线备课功能，可以查看该节课配置的教学资源，可以更换资源，提供课堂讲义功能，支持上传补充材料；</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30.支持在备课时对课件、实验手册进行在线编辑；编辑的文件支持另存到个人资料库中；</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31.提供实验备课功能，支持在备课时进入实验环境，查看实验手册，实验指导区支持查看实验手册文档或指导视频；</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32.支持基于岗位胜任力中的学习路径，对全校各班级的岗位达标情况进行统计分析，分析维度应至少包括：岗位达标人数、未达标人数、达标率、已达标与未达标学生详细名单；</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33.考试功能可以查看学生的试卷提交情况，对学生提交的试卷进行批改，支持导出考试的成绩数据；系统支持自动批改单选题、多选题、判断题等客观题；</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34.支持考试一键督促功能，在考试截止时间前，支持教师对未提交试卷的学生进行督促，学生会接收到相应的消息提醒；</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35.系统需提供每次考试的分析报告，统计分析的数据包括：测评完成率、答题用时、得分分布、题型分布、难度分布、知识点分布、题型得分情况、题目正确率、知识点答题情况、成绩排名等，方便教师对考试情况进行总结分析；</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36.支持教学分析功能，通过可视化的图表（如关系图、柱状图等）来直观的展示教学数据，包含：建议课时、理论课时、实验课时、已上课时、实验报告批改量、作业布置份数、作业批改量、考试发布次数和试卷批改量、知识点分布、课堂答题情况、实验报告、课后作业、考试测评、知识点掌握度以及知识点分类掌握情况；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37.支持通过可视化图表展示学生的考试报告，数据维度至少应包括：学生的测试成绩、作答时间、班级平均作答时间、答题情况、题型得分情况、知识点答题情况等</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38.在线考试需支持展示考试限时和倒计时，做题过程中当答题倒计时为0或者到了考试截止时间，系统将按照当前答题进度自动提交试卷，并提示用户；</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39.支持通过可视化图表进行作业分析，数据维度至少应包含：作业完成率、答题用时、得分分布、知识点的答题情况、未作答学生名单、学生成绩汇总等；</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40.支持通过可视化图表进行试卷分析，数据维度至少应包含：测评完成率、答题用时、得分分布、题型分布、难度分布、知识点分布、题型得分情况、题目正确率、知识点答题情况、成绩排名等；</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41.平台提供学情分析，查看授课班级学生的学情分析报告；支持按照学生名单查看学生的学情分析，支持选择授课班级、输入学生姓名或学号查找学生并查看学情分析；</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42.支持学生情况分析功能，包含基本情况、学习表现、练习时长、知识点掌握、岗位胜任5大模块；基本情况可以看到学生的学习课程数、实验完成、作业完成、考试完成、累计练习时长、岗位能力达标、错题数量以及错题重练次数，通过时间轴的方式展示学习历程；学习表现，能够查看概况、课堂答题、实验得分、作业成绩、考试成绩；练习时长可以查看课堂答题时长、作业答题时长、考试答题时长、错题重练时长等；知识点掌握情况从熟练掌握、基本掌握、薄弱点等方面进行分析；岗位胜任模块展示学生在不同岗位的能力雷达图和达标情况；</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43.平台支持通过可视化图表展示学生的成绩单，数据维度至少应包含：课堂答题数据、实验成绩数据、作业成绩数据、考试成绩数据以及知识点掌握情况等；</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44.支持基于能力画像功能，数据维度至少应包含：学习概况、学习历程、课堂答题情况、实验得分、作业成绩、考试成绩、练习时据、错题回顾、知识点掌握情况等；</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45.支持对虚拟机镜像进行管理，支持在平台上打开已有虚拟机镜像进行二次编辑，并保存为自定义镜像；系统需支持对授课班级使用的虚拟机进行筛选、关闭；支持对教学计划下的全部虚拟机进行关闭和回收；</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46.支持虚拟机实验环境管理，包括对虚拟机模板和镜像的管理，支持新增、编辑、删除虚拟机模板的功能；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47.虚拟机实验课时支持对学生的实验环境进行监控，可以查看实验环境的配置说明以及学生的虚拟机状态，支持远程控制学生的实验环境；</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48.支持对机架实验的实验环境进行管理，机架管理支持新增机架，对机架的配置应该包括管理类设备配置和应用类设备配置，可以按照真实机架设备的部署情况进行虚拟端口映射，支持批量新增机架；</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49.支持图形化方式呈现机架设备，支持在图形化机架中进行模拟设备连线，并在逻辑拓扑图中同步生成网络拓扑图，且支持对拓扑图进行移动调整设备的位置；</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50.机架实验的设备控制台（命令行界面）支持弹窗显示，可以同时多台设备的控制台（命令行界面）于同一个弹窗界面内，弹窗界面可以进行不同设备控制台（命令行界面）的切换；</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51.机架实验的设备间连线需支持鼠标拖动改变弯曲程度，支持改变连线颜色≥4种；</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52.支持查看实验室机架设备使用情况监控，并显示占用者的用户名，支持教师账号强制释放任意设备的占用；</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53.支持一键完成物理设备的初始化，能够一键将指定的设备（一台设备、当前机架的设备、所有机架的设备）恢复到出厂状态；</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54.规格要求：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（1）2*CPU，主频不低于2.2GHZ，12核；</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（2）内存，不低于64GB DDR4内存；</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（3）硬盘，大小不低于12TB；</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（4）网卡：不少于2口千兆网卡；</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（5）电源：配置不低于2个550瓦电源，支持热插拔（1+1）。</w:t>
            </w:r>
            <w:r>
              <w:rPr>
                <w:rFonts w:ascii="宋体" w:hAnsi="宋体" w:cs="宋体"/>
              </w:rPr>
            </w:r>
            <w:r/>
          </w:p>
        </w:tc>
        <w:tc>
          <w:tcPr>
            <w:tcMar>
              <w:left w:w="15" w:type="dxa"/>
              <w:top w:w="15" w:type="dxa"/>
              <w:right w:w="15" w:type="dxa"/>
            </w:tcMar>
            <w:tcW w:w="683"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gridSpan w:val="2"/>
            <w:tcMar>
              <w:left w:w="15" w:type="dxa"/>
              <w:top w:w="15" w:type="dxa"/>
              <w:right w:w="15" w:type="dxa"/>
            </w:tcMar>
            <w:tcW w:w="654"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课程服务：《中小型企业网络构建》</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ind w:firstLine="0"/>
              <w:jc w:val="both"/>
              <w:keepLines w:val="0"/>
              <w:keepNext w:val="0"/>
              <w:pageBreakBefore w:val="0"/>
              <w:spacing w:line="40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体系化教学课程资源，本课程共计80课时，涵盖教学开展所需WORD课程大纲、PPT授课课件、WORD实验手册。课程以中小型网络项目构建为场景进行设计，内容涉及的网络基础知识、网络参考模型、基础协议、交换机工作原理、虚拟局域网、生成树、静态路由、动态路由、交换机端口安全、ACL、NAT技术等知识点融入到十四个项目中，通过每个项目的实践来讲解不同的技术。课程将以基于工作过程的“项目引领、任务驱动”案例为载体展开教学，课程内容采用实际案例，教学过程与实际的工作过程相一致。</w:t>
            </w:r>
            <w:r>
              <w:rPr>
                <w:rFonts w:ascii="宋体" w:hAnsi="宋体" w:cs="宋体"/>
              </w:rPr>
            </w:r>
            <w:r/>
          </w:p>
        </w:tc>
        <w:tc>
          <w:tcPr>
            <w:tcMar>
              <w:left w:w="15" w:type="dxa"/>
              <w:top w:w="15" w:type="dxa"/>
              <w:right w:w="15" w:type="dxa"/>
            </w:tcMar>
            <w:tcW w:w="683"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gridSpan w:val="2"/>
            <w:tcMar>
              <w:left w:w="15" w:type="dxa"/>
              <w:top w:w="15" w:type="dxa"/>
              <w:right w:w="15" w:type="dxa"/>
            </w:tcMar>
            <w:tcW w:w="654"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课程服务：《Python编程从入门到实践》</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ind w:firstLine="0"/>
              <w:jc w:val="both"/>
              <w:keepLines w:val="0"/>
              <w:keepNext w:val="0"/>
              <w:pageBreakBefore w:val="0"/>
              <w:spacing w:line="40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编程教学课程资，课程资源至少包含10个章节内容，共计32课时，资源涵盖了基础应用、PPT授课课件、项目源码等，如：根据出生日期判断你的星座，根据出生日期判断生肖，用Python制作简易数字累加器、商品竞猜价格游戏，根据计算机硬盘、主板、CPU生成注册信息，数字大小写转换程序等16个项目，实际案例。</w:t>
            </w:r>
            <w:r>
              <w:rPr>
                <w:rFonts w:ascii="宋体" w:hAnsi="宋体" w:cs="宋体"/>
              </w:rPr>
            </w:r>
            <w:r/>
          </w:p>
        </w:tc>
        <w:tc>
          <w:tcPr>
            <w:tcMar>
              <w:left w:w="15" w:type="dxa"/>
              <w:top w:w="15" w:type="dxa"/>
              <w:right w:w="15" w:type="dxa"/>
            </w:tcMar>
            <w:tcW w:w="683"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gridSpan w:val="2"/>
            <w:shd w:val="clear" w:color="auto" w:fill="ffffff"/>
            <w:tcMar>
              <w:left w:w="15" w:type="dxa"/>
              <w:top w:w="15" w:type="dxa"/>
              <w:right w:w="15" w:type="dxa"/>
            </w:tcMar>
            <w:tcW w:w="654"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课程服务：《PHP入门到精通》</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ind w:firstLine="0"/>
              <w:jc w:val="both"/>
              <w:keepLines w:val="0"/>
              <w:keepNext w:val="0"/>
              <w:pageBreakBefore w:val="0"/>
              <w:spacing w:line="40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编程教学课程资，课程资源至少包含14个章节内容，共计32课时，资源涵盖了PHP基础、PHP数据库操作、PHP高级技术、PPT授课课件、项目源码、视频等，如：使用session完成登录，后台的简单实现，商品上传和列表显示、图片的缩放原理及实现等16个项目，实际案例。</w:t>
            </w:r>
            <w:r>
              <w:rPr>
                <w:rFonts w:ascii="宋体" w:hAnsi="宋体" w:cs="宋体"/>
              </w:rPr>
            </w:r>
            <w:r/>
          </w:p>
        </w:tc>
        <w:tc>
          <w:tcPr>
            <w:tcMar>
              <w:left w:w="15" w:type="dxa"/>
              <w:top w:w="15" w:type="dxa"/>
              <w:right w:w="15" w:type="dxa"/>
            </w:tcMar>
            <w:tcW w:w="683"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gridSpan w:val="2"/>
            <w:shd w:val="clear" w:color="auto" w:fill="ffffff"/>
            <w:tcMar>
              <w:left w:w="15" w:type="dxa"/>
              <w:top w:w="15" w:type="dxa"/>
              <w:right w:w="15" w:type="dxa"/>
            </w:tcMar>
            <w:tcW w:w="654"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课程服务：《网络安全设备配置与管理》</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ind w:firstLine="0"/>
              <w:jc w:val="both"/>
              <w:keepLines w:val="0"/>
              <w:keepNext w:val="0"/>
              <w:pageBreakBefore w:val="0"/>
              <w:spacing w:line="40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体系化教学课程资源，共计64课时，资源涵盖出口网关运维、出口网关配置、出口网关认证、审计设备运行维护、行为审计配置、行为审计记录、防火墙运行维护、防火墙安全规则和防火墙VPN等网络安全配置与管理相关的内容。</w:t>
            </w:r>
            <w:r>
              <w:rPr>
                <w:rFonts w:ascii="宋体" w:hAnsi="宋体" w:cs="宋体"/>
              </w:rPr>
            </w:r>
            <w:r/>
          </w:p>
        </w:tc>
        <w:tc>
          <w:tcPr>
            <w:tcMar>
              <w:left w:w="15" w:type="dxa"/>
              <w:top w:w="15" w:type="dxa"/>
              <w:right w:w="15" w:type="dxa"/>
            </w:tcMar>
            <w:tcW w:w="683"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gridSpan w:val="2"/>
            <w:shd w:val="clear" w:color="auto" w:fill="ffffff"/>
            <w:tcMar>
              <w:left w:w="15" w:type="dxa"/>
              <w:top w:w="15" w:type="dxa"/>
              <w:right w:w="15" w:type="dxa"/>
            </w:tcMar>
            <w:tcW w:w="654"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课程服务：《大中型网络构建》</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ind w:firstLine="0"/>
              <w:jc w:val="both"/>
              <w:keepLines w:val="0"/>
              <w:keepNext w:val="0"/>
              <w:pageBreakBefore w:val="0"/>
              <w:spacing w:line="40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1.课程资源至少包含14个章节内容；</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2.课程资源包提供该课程的课程标准；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3.课程资源包中每个章节包含授课课件（PPT）、实验操作手册等，提供样例；</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4.课程资源包中操作手册至少包含实验目的、实验内容、实验原理、实验环境、实验设计、实验步骤、实验验证、实验结论；提供样例；</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5.课程资源至少涵盖RIP高级应用、OSPF高级应用、策略路由、路由重分发技术、NAT高级应用、VLAN高级应用、链路聚合技术、生成树高级应用、VRRP技术、SPAN技术、ACL技术、RLDP技术、IPV6、VPN技术等技术范畴；</w:t>
            </w:r>
            <w:r>
              <w:rPr>
                <w:rFonts w:ascii="宋体" w:hAnsi="宋体" w:cs="宋体"/>
              </w:rPr>
            </w:r>
            <w:r/>
          </w:p>
        </w:tc>
        <w:tc>
          <w:tcPr>
            <w:tcMar>
              <w:left w:w="15" w:type="dxa"/>
              <w:top w:w="15" w:type="dxa"/>
              <w:right w:w="15" w:type="dxa"/>
            </w:tcMar>
            <w:tcW w:w="683"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gridSpan w:val="2"/>
            <w:shd w:val="clear" w:color="auto" w:fill="ffffff"/>
            <w:tcMar>
              <w:left w:w="15" w:type="dxa"/>
              <w:top w:w="15" w:type="dxa"/>
              <w:right w:w="15" w:type="dxa"/>
            </w:tcMar>
            <w:tcW w:w="654"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7</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课程服务：《网络系统规划与部署-初级》培训资源</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ind w:firstLine="0"/>
              <w:jc w:val="both"/>
              <w:keepLines w:val="0"/>
              <w:keepNext w:val="0"/>
              <w:pageBreakBefore w:val="0"/>
              <w:spacing w:line="40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提供网络系统规划与部署初级证书培训所需的PPT课件及实验指导案例，培训主题包含初级网络技术、网络连通规划、有线无线融合网络部署、网络联调测试等。培训课件不少于10个，实验指导案例不少于10个。</w:t>
            </w:r>
            <w:r>
              <w:rPr>
                <w:rFonts w:ascii="宋体" w:hAnsi="宋体" w:cs="宋体"/>
              </w:rPr>
            </w:r>
            <w:r/>
          </w:p>
        </w:tc>
        <w:tc>
          <w:tcPr>
            <w:tcMar>
              <w:left w:w="15" w:type="dxa"/>
              <w:top w:w="15" w:type="dxa"/>
              <w:right w:w="15" w:type="dxa"/>
            </w:tcMar>
            <w:tcW w:w="683"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gridSpan w:val="2"/>
            <w:shd w:val="clear" w:color="auto" w:fill="ffffff"/>
            <w:tcMar>
              <w:left w:w="15" w:type="dxa"/>
              <w:top w:w="15" w:type="dxa"/>
              <w:right w:w="15" w:type="dxa"/>
            </w:tcMar>
            <w:tcW w:w="654"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8</w:t>
            </w:r>
            <w:r>
              <w:rPr>
                <w:rFonts w:ascii="宋体" w:hAnsi="宋体" w:cs="宋体"/>
              </w:rPr>
            </w:r>
            <w:r/>
          </w:p>
        </w:tc>
        <w:tc>
          <w:tcPr>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机架管理控制器</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ind w:firstLine="0"/>
              <w:jc w:val="both"/>
              <w:keepLines w:val="0"/>
              <w:keepNext w:val="0"/>
              <w:pageBreakBefore w:val="0"/>
              <w:spacing w:line="40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1.标准1U设备，19寸机架；固化10/100m以太网接口数量≥2个；支持同时管理和控制的网络设备数量≥24个；</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2.支持对实验设备中“指定的某一台”、“指定的某几台”以及“全部实验设备”配置的统一清除功能；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3.支持Web方式的、简单直观的图形化管理界面；要求管理界面能够提供所连接实验设备的数量和设备型号信息；</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4.要求管理界面能够提供所连接实验设备是否空闲或被正被占用的信息；</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5.要求控制管理服务平台支持管理分级授权，至少包括普通使用者和管理者权限；</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6.控制管理服务平台的所有接口都支持口令设置，每个接口都能够支持独立授权，从而实现对使用者PC的授权管理；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7.支持过滤敏感命令：平台会禁止一些敏感命令的输入，比如del命令是无法输入到设备中的。</w:t>
            </w:r>
            <w:r>
              <w:rPr>
                <w:rFonts w:ascii="宋体" w:hAnsi="宋体" w:cs="宋体"/>
              </w:rPr>
            </w:r>
            <w:r/>
          </w:p>
        </w:tc>
        <w:tc>
          <w:tcPr>
            <w:tcMar>
              <w:left w:w="15" w:type="dxa"/>
              <w:top w:w="15" w:type="dxa"/>
              <w:right w:w="15" w:type="dxa"/>
            </w:tcMar>
            <w:tcW w:w="683"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gridSpan w:val="2"/>
            <w:tcMar>
              <w:left w:w="15" w:type="dxa"/>
              <w:top w:w="15" w:type="dxa"/>
              <w:right w:w="15" w:type="dxa"/>
            </w:tcMar>
            <w:tcW w:w="654"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9</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拓扑连接交换机</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ind w:firstLine="0"/>
              <w:jc w:val="both"/>
              <w:keepLines w:val="0"/>
              <w:keepNext w:val="0"/>
              <w:pageBreakBefore w:val="0"/>
              <w:spacing w:line="40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1.固化10/100/1000m以太网端口≥48个，固化1G SFP光接口≥4个；交换容量≥672bps，包转发率≥166mpps；</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2.支持静态路由、RIP/RIPng、OSPFv2/OSPFv3等三层路由协议；</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3.支持虚拟化功能，可将多台物理设备虚拟化为一台逻辑设备统一管理；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4.能够通过图形化配置，支持在交换机任意2个端口间建立连接，从而实现端口的拓扑的链接；可以按照管理系统指令，随时断开两个任意端口直接的链接，实现链路的断开；</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5.支持网络智能教学实训系统通过串口、TELNET、SSH方式管理交换机；</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6.每台需配置一个授权实现上述第4、5条功能；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▲7.产品支持ITU-TG.8032国际公有环网协议ERPS，并且链路故障的收敛时间≤50ms。</w:t>
            </w:r>
            <w:r>
              <w:rPr>
                <w:rFonts w:ascii="宋体" w:hAnsi="宋体" w:cs="宋体"/>
              </w:rPr>
            </w:r>
            <w:r/>
          </w:p>
        </w:tc>
        <w:tc>
          <w:tcPr>
            <w:tcMar>
              <w:left w:w="15" w:type="dxa"/>
              <w:top w:w="15" w:type="dxa"/>
              <w:right w:w="15" w:type="dxa"/>
            </w:tcMar>
            <w:tcW w:w="683"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gridSpan w:val="2"/>
            <w:tcMar>
              <w:left w:w="15" w:type="dxa"/>
              <w:top w:w="15" w:type="dxa"/>
              <w:right w:w="15" w:type="dxa"/>
            </w:tcMar>
            <w:tcW w:w="654"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ascii="宋体" w:hAnsi="宋体" w:cs="宋体"/>
              </w:rPr>
            </w:r>
            <w:r/>
          </w:p>
        </w:tc>
        <w:tc>
          <w:tcPr>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路由器</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ind w:firstLine="0"/>
              <w:jc w:val="both"/>
              <w:keepLines w:val="0"/>
              <w:keepNext w:val="0"/>
              <w:pageBreakBefore w:val="0"/>
              <w:spacing w:line="40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1.转发性能≥120mpps；交换容量≥230Gbps；</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2.实配不少于8个三层万兆口，4个三层千兆电口；实配不少于24个二层千兆电口，且支持LAN/WAN切换；</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3.设备CPU/交换芯片/内存/PHY/时钟芯片/CPLD等关键器件均为国产；</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4.内存≥4GB， FLASH≥4GB；支持电源冗余，固化双电源；支持槽位扩展，可扩展插槽数≥4，且为了方便部署，无槽位使用限制；</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5.支持E1/CE1接口、POS接口、4G/5G接口；</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6.支持L3路由国际标准协议：RIP/RIPv2，OSPFv2/v3，BGP4/4+，IPv4，IPv6；支持PIm、IGmPv3、DHCP等协议；</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7.支持IPv4路由表容量100W；IPv6路由表容量100W；</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8.支持CPP（CPU保护功能），限制非法报文对CPU的攻击，保护路由器在各种环境下稳定工作；</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9.支持RLDP快速链路检测协议，可快速检测链路的通断和光纤链路的单向性，并支持端口下的环路检测功能，防止端口下因私接Hub等设备形成的环路而导致网络故障的现象；</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10.设备应全面支持IPv6+新技术，支持SRv6 Policy、EVPN、信道化子接口切片技术、IFIT等；</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11.支持国密局商密算法Sm1/Sm2/Sm3/Sm4；</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12.支持应用识别（自定义/预定义），FPI首包识别，DPI深度识别，DNS关联识别；</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13.支持智能选路/负载均衡/调度随行/灾备逃生；支持广域网传输前向纠错（A-FEC）。</w:t>
            </w:r>
            <w:r>
              <w:rPr>
                <w:rFonts w:ascii="宋体" w:hAnsi="宋体" w:cs="宋体"/>
              </w:rPr>
            </w:r>
            <w:r/>
          </w:p>
        </w:tc>
        <w:tc>
          <w:tcPr>
            <w:tcMar>
              <w:left w:w="15" w:type="dxa"/>
              <w:top w:w="15" w:type="dxa"/>
              <w:right w:w="15" w:type="dxa"/>
            </w:tcMar>
            <w:tcW w:w="683"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gridSpan w:val="2"/>
            <w:tcMar>
              <w:left w:w="15" w:type="dxa"/>
              <w:top w:w="15" w:type="dxa"/>
              <w:right w:w="15" w:type="dxa"/>
            </w:tcMar>
            <w:tcW w:w="654"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11</w:t>
            </w:r>
            <w:r>
              <w:rPr>
                <w:rFonts w:ascii="宋体" w:hAnsi="宋体" w:cs="宋体"/>
              </w:rPr>
            </w:r>
            <w:r/>
          </w:p>
        </w:tc>
        <w:tc>
          <w:tcPr>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三层交换机</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ind w:firstLine="0"/>
              <w:jc w:val="both"/>
              <w:keepLines w:val="0"/>
              <w:keepNext w:val="0"/>
              <w:pageBreakBefore w:val="0"/>
              <w:spacing w:line="400" w:lineRule="exact"/>
              <w:widowControl w:val="off"/>
              <w:tabs>
                <w:tab w:val="left" w:pos="54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1.交换容量≥1.36Tbps；包转发率≥280mpps；</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2.固化10/100/1000m以太网端口≥24个，10G/1G SFP+光接口≥4个；</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3.支持并实配可拔插双模块化电源，单电源功率≥70W，实现1+1冗余；</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4.产品端口浪涌抗扰度≥10KV，即具备10KV的防雷能力；</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5.支持RIP/RIPng、OSPFv2/OSPFv3等三层路由协议；</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6.支持SAVI功能，可防止地址解析欺骗；</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7.支持CPU保护功能，限制非法报文对CPU的攻击，保护交换机在各种环境下稳定工作；</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8.支持专门基础网络保护机制，支持限制用户向网络中发送数据包的速率，对有攻击行为的用户进行隔离，保证设备和整网的安全稳定运行；</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9.支持快速以太网链路检测协议，可快速检测链路的通断和光纤链路的单向性，并支持端口下的环路检测功能；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10.支持虚拟化功能，即可将多台物理设备虚拟化为一台逻辑设备统一管理，并且链路故障的收敛时间≤50ms；</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11.支持基于GRPC的Telemetry技术，实现对CPU、内存等信息的周期性采集；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12.支持SNmP、CLI（Telnet/Console）、RmON、SSH、Syslog、</w:t>
            </w:r>
            <w:r>
              <w:rPr>
                <w:rFonts w:hint="eastAsia" w:ascii="宋体" w:hAnsi="宋体" w:cs="宋体"/>
                <w:color w:val="000000"/>
                <w:sz w:val="21"/>
                <w:szCs w:val="21"/>
                <w:highlight w:val="none"/>
              </w:rPr>
            </w:r>
            <w:r/>
          </w:p>
          <w:p>
            <w:pPr>
              <w:ind w:firstLine="0"/>
              <w:jc w:val="both"/>
              <w:keepLines w:val="0"/>
              <w:keepNext w:val="0"/>
              <w:pageBreakBefore w:val="0"/>
              <w:spacing w:line="40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NTP/SNTP、FTP、TFTP、Web；</w:t>
            </w:r>
            <w:r>
              <w:rPr>
                <w:rFonts w:hint="eastAsia" w:ascii="宋体" w:hAnsi="宋体" w:eastAsia="宋体" w:cs="宋体"/>
                <w:color w:val="000000"/>
                <w:sz w:val="21"/>
                <w:szCs w:val="21"/>
                <w:highlight w:val="none"/>
                <w:lang w:val="en-US" w:eastAsia="zh-CN"/>
              </w:rPr>
              <w:br/>
            </w:r>
            <w:r>
              <w:rPr>
                <w:rFonts w:hint="eastAsia" w:ascii="宋体" w:hAnsi="宋体" w:eastAsia="宋体" w:cs="宋体"/>
                <w:color w:val="000000"/>
                <w:sz w:val="21"/>
                <w:szCs w:val="21"/>
                <w:highlight w:val="none"/>
                <w:lang w:val="en-US" w:eastAsia="zh-CN"/>
              </w:rPr>
              <w:t xml:space="preserve">13.每台配置1个电源，1条堆叠线缆。</w:t>
            </w:r>
            <w:r>
              <w:rPr>
                <w:rFonts w:ascii="宋体" w:hAnsi="宋体" w:cs="宋体"/>
              </w:rPr>
            </w:r>
            <w:r/>
          </w:p>
        </w:tc>
        <w:tc>
          <w:tcPr>
            <w:tcMar>
              <w:left w:w="15" w:type="dxa"/>
              <w:top w:w="15" w:type="dxa"/>
              <w:right w:w="15" w:type="dxa"/>
            </w:tcMar>
            <w:tcW w:w="683"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gridSpan w:val="2"/>
            <w:tcMar>
              <w:left w:w="15" w:type="dxa"/>
              <w:top w:w="15" w:type="dxa"/>
              <w:right w:w="15" w:type="dxa"/>
            </w:tcMar>
            <w:tcW w:w="654"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12</w:t>
            </w:r>
            <w:r>
              <w:rPr>
                <w:rFonts w:ascii="宋体" w:hAnsi="宋体" w:cs="宋体"/>
              </w:rPr>
            </w:r>
            <w:r/>
          </w:p>
        </w:tc>
        <w:tc>
          <w:tcPr>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二层交换机</w:t>
            </w:r>
            <w:r>
              <w:rPr>
                <w:rFonts w:ascii="宋体" w:hAnsi="宋体" w:cs="宋体"/>
              </w:rPr>
            </w:r>
            <w:r/>
          </w:p>
        </w:tc>
        <w:tc>
          <w:tcPr>
            <w:gridSpan w:val="2"/>
            <w:shd w:val="clear" w:color="auto" w:fill="ffffff"/>
            <w:tcMar>
              <w:left w:w="15" w:type="dxa"/>
              <w:top w:w="15" w:type="dxa"/>
              <w:right w:w="15" w:type="dxa"/>
            </w:tcMar>
            <w:tcW w:w="6400" w:type="dxa"/>
            <w:vAlign w:val="center"/>
            <w:textDirection w:val="lrTb"/>
            <w:noWrap w:val="false"/>
          </w:tcPr>
          <w:p>
            <w:pPr>
              <w:pStyle w:val="885"/>
              <w:ind w:firstLine="0"/>
              <w:jc w:val="both"/>
              <w:keepLines w:val="0"/>
              <w:keepNext w:val="0"/>
              <w:pageBreakBefore w:val="0"/>
              <w:spacing w:line="400" w:lineRule="exact"/>
              <w:widowControl w:val="off"/>
              <w:tabs>
                <w:tab w:val="left" w:pos="54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1.交换容量≥672Gbps，转发性能≥171mpps；</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2.固化10/100/1000m以太网端口≥24，固化1G/10G SFP+接口≥4个；</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▲3.要求所投产品具备静音设计，设备的噪音最大声压级≤35dB；</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4.设备mAC地址≥16K；</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5.支持1对1、1对多、多对1和基于流的本地、远程镜像；且支持RSPAN和ERSPAN；</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6.支持专门针对CPU保护机制功能，可将送CPU的报文，如ARP报文的速率进行限制，使CPU的使用率降低到10%左右，保障CPU安全；</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7.支持专门基础网络保护机制，能够限制用户向网络中发送数据包的速率，对有攻击行为的用户进行隔离，保证设备和整网的安全稳定运行；</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8.支持sFlow网络监测技术；</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9.支持虚拟化功能，可将多台物理设备虚拟化为一台逻辑设备统一管理，并且链路故障的收敛时间≤30ms；</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10.支持ITU-TG.8032国际公有环网协议ERPS，并且链路故障的收敛时间≤50ms；</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11.符合国家低碳环保等政策要求，支持IEEE 802.3az标准的EEE节能技术；</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12.支持OpenFlow 1.3协议；</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13.设备自带云管理功能，支持一键设备发现，并在线生成交付验收报告；支持一键全网巡检操作，随时随地掌握网络健康状况，并自动生成巡检报告；支持短信认证、微信认证、web认证，支持认证页面自定义；支持一键升级、定时升级网络中的网络设备；支持分级分权功能，实现分布区域，统一管理等；</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14.支持SNmP、CLI（Telnet/Console）、RmON、SSH、Syslog、</w:t>
            </w:r>
            <w:r>
              <w:rPr>
                <w:rFonts w:hint="eastAsia" w:ascii="宋体" w:hAnsi="宋体" w:cs="宋体"/>
                <w:color w:val="000000"/>
                <w:sz w:val="21"/>
                <w:szCs w:val="21"/>
                <w:highlight w:val="none"/>
              </w:rPr>
            </w:r>
            <w:r/>
          </w:p>
          <w:p>
            <w:pPr>
              <w:ind w:firstLine="0"/>
              <w:jc w:val="both"/>
              <w:keepLines w:val="0"/>
              <w:keepNext w:val="0"/>
              <w:pageBreakBefore w:val="0"/>
              <w:spacing w:line="40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NTP/SNTP、FTP、TFTP、Web。</w:t>
            </w:r>
            <w:r>
              <w:rPr>
                <w:rFonts w:ascii="宋体" w:hAnsi="宋体" w:cs="宋体"/>
              </w:rPr>
            </w:r>
            <w:r/>
          </w:p>
        </w:tc>
        <w:tc>
          <w:tcPr>
            <w:tcMar>
              <w:left w:w="15" w:type="dxa"/>
              <w:top w:w="15" w:type="dxa"/>
              <w:right w:w="15" w:type="dxa"/>
            </w:tcMar>
            <w:tcW w:w="683"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gridSpan w:val="2"/>
            <w:tcMar>
              <w:left w:w="15" w:type="dxa"/>
              <w:top w:w="15" w:type="dxa"/>
              <w:right w:w="15" w:type="dxa"/>
            </w:tcMar>
            <w:tcW w:w="654"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13</w:t>
            </w:r>
            <w:r>
              <w:rPr>
                <w:rFonts w:ascii="宋体" w:hAnsi="宋体" w:cs="宋体"/>
              </w:rPr>
            </w:r>
            <w:r/>
          </w:p>
        </w:tc>
        <w:tc>
          <w:tcPr>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无线控制器</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ind w:firstLine="0"/>
              <w:jc w:val="both"/>
              <w:keepLines w:val="0"/>
              <w:keepNext w:val="0"/>
              <w:pageBreakBefore w:val="0"/>
              <w:spacing w:line="40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1.802.11转发性能≥10G；固化千兆电口数≥10；固化千兆光口数≥2个，固化万兆光口数≥2个；</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2.默认可管理AP数≥32个，最大可支持管理512个AP；</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3.支持本地认证功能，无需通过外置Portal服务平台和Radius服务平台认证；</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4.要求设备可配置AP的本地数据转发技术模式，即可根据网络的SSID和用户VLAN的规划，决定数据是否需要全部经过无线AC转发或直接进入有线网络进行本地交换，从而更好的适应未来无线网络更高流量传输的要求；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5.AC设备多账户分权管理功能，实现一台物理AC设备或多台物理AC设备虚拟成一台AC设备后，均能受多账户管理，各账户分别管理不同的无线信息；</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6.为快速建立高度隔离的安全网络，设备应支持实现AP虚拟化功能，实现一台AP虚拟为多台AP，分别受不同AC设备独立管理，互不影响；</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7.支持mAC认证、WEB认证、802.1X认证，认证后能实现IP地址、mAC地址、WLAN等元素的绑定信息，保证只有合法的用户才能进入网络，保留测试权利。</w:t>
            </w:r>
            <w:r>
              <w:rPr>
                <w:rFonts w:ascii="宋体" w:hAnsi="宋体" w:cs="宋体"/>
              </w:rPr>
            </w:r>
            <w:r/>
          </w:p>
        </w:tc>
        <w:tc>
          <w:tcPr>
            <w:tcMar>
              <w:left w:w="15" w:type="dxa"/>
              <w:top w:w="15" w:type="dxa"/>
              <w:right w:w="15" w:type="dxa"/>
            </w:tcMar>
            <w:tcW w:w="683"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gridSpan w:val="2"/>
            <w:tcMar>
              <w:left w:w="15" w:type="dxa"/>
              <w:top w:w="15" w:type="dxa"/>
              <w:right w:w="15" w:type="dxa"/>
            </w:tcMar>
            <w:tcW w:w="654"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14</w:t>
            </w:r>
            <w:r>
              <w:rPr>
                <w:rFonts w:ascii="宋体" w:hAnsi="宋体" w:cs="宋体"/>
              </w:rPr>
            </w:r>
            <w:r/>
          </w:p>
        </w:tc>
        <w:tc>
          <w:tcPr>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无线接入点</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ind w:firstLine="0"/>
              <w:jc w:val="both"/>
              <w:keepLines w:val="0"/>
              <w:keepNext w:val="0"/>
              <w:pageBreakBefore w:val="0"/>
              <w:spacing w:line="40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1.至少1个10/100/1000m以太网接口支持对外供电，可扩展物联网模块；整机最大接入速率≥8.5Gbps；支持802.11ax标准，整机支持10条流；</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2.支持1个5G电口和1个5G光口；</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3.支持蓝牙5.1；支持USB 3.0；支持WPA3安全标准；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4.支持SSID隐藏，支持为每个SSID配置单独的认证方式、加密机制，VLAN属性；</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5.支持基于SSID、射频卡的接入用户数限制；支持基于终端数或流量的智能负载均衡，支持基于STA/SSID/AP的限速；</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6.当AP工作在Fit（瘦）模式时，可通过AC系列无线控制器切换为Fat模式；当AP工作在Fat（胖）模式时，可通过本地控制口、Telnet方式切换为Fit模式；</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7.支持非法AP检测及反制功能。具有非法AP的精确反制和模糊反制功能，能够主动识别非法设备并令非法设备不能使用；</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8.支持PSK认证、Web认证、微信认证、二维码访客认证、短信认证、无感知认证等认证方式；</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9.数据加密支持WPA（TKIP）、WPA-PSK、WPA2（AES）、WPA3、WEP（64/128位）；</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10.数据帧过滤支持白名单、静态黑名单、动态黑名单；支持动态ACL下发；</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11.支持通过Telnet、TFTP管理、Web管理；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12.每台配置1个电源。</w:t>
            </w:r>
            <w:r>
              <w:rPr>
                <w:rFonts w:ascii="宋体" w:hAnsi="宋体" w:cs="宋体"/>
              </w:rPr>
            </w:r>
            <w:r/>
          </w:p>
        </w:tc>
        <w:tc>
          <w:tcPr>
            <w:tcMar>
              <w:left w:w="15" w:type="dxa"/>
              <w:top w:w="15" w:type="dxa"/>
              <w:right w:w="15" w:type="dxa"/>
            </w:tcMar>
            <w:tcW w:w="683"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gridSpan w:val="2"/>
            <w:tcMar>
              <w:left w:w="15" w:type="dxa"/>
              <w:top w:w="15" w:type="dxa"/>
              <w:right w:w="15" w:type="dxa"/>
            </w:tcMar>
            <w:tcW w:w="654"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15</w:t>
            </w:r>
            <w:r>
              <w:rPr>
                <w:rFonts w:ascii="宋体" w:hAnsi="宋体" w:cs="宋体"/>
              </w:rPr>
            </w:r>
            <w:r/>
          </w:p>
        </w:tc>
        <w:tc>
          <w:tcPr>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出口网关</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ind w:firstLine="0"/>
              <w:jc w:val="both"/>
              <w:keepLines w:val="0"/>
              <w:keepNext w:val="0"/>
              <w:pageBreakBefore w:val="0"/>
              <w:spacing w:line="40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1.支持内存≥2GB；</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2.支持固化千兆电口≥8个，固化千兆光口≥2个；</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3.标准1U机箱，多核非X86架构；支持1个硬盘，硬盘容量≥1TB；</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4.支持1个电源，整机功耗低于25W；</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5.支持VPN内流量的可视化监控；支持VPN内流量流量控制；</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6.所投产品URL数据库、应用分类库、地址库、内容审计特征库、支持在产品维保期内免费升级；</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7.支持对无线AP进行管理，可自动发现接入AP，默认可管理AP数量为64个，最大可扩容至128个；</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8.可设置无线用户黑白名单，支持反制非法AP；</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9.支持内网二层用户隔离；</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10.支持设置STA优先接入5G频段（band select）；</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11.支持AP状态信息查看，支持AP批量升级，支持反制非法AP；</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12.支持开启无线网优功能；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13.为保证在多条外网线路情况下带宽的合理分配使用，设备必须支持多链路负载均衡，负载均衡可基于带宽等多种方式；</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14.支持应用路由功能，支持基于通讯、视频等应用进行路由选择，为防止虚假应标；</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15.应用路由效果可通过图表呈现，为防止虚假应标；</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16.DHCP支持IPAm，支持显示地址池使用情况，包含地址数、地址总数、已经分配地址数、使用率，支持IP安全绑定情况显示；</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17.支持IP地址智能管理图形界面显示，可显示固态在线IP、固态离线IP、动态分配IP、接口IP、排除IP、冲突IP。无需安装任何客户端，支持IP地址绑定，可单mAC绑定、IP+主机名绑定、IP+mAC绑定、IP+mAC+主机名绑定、IP+主机名+接入设备绑定、IP+mAC+主机名+接入设备绑定，进而实现DHCP无感知准入控制；</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18.支持终端迁移告警，可显示迁移终端IP及mAC，终端迁移时间，迁移前后接入设备IP及mAC，迁移前后VLAN及端口；</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19.支持应用缓存加速（被动缓存），可将用户访问过的APP（IOS及Android）均缓存到本地，供其他访问相同APP的用户在本地下载，提高下载速度；</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20.应用缓存加速（被动缓存）支持精确缓存指定的APP，避免浪费本地存储空间；</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21.支持安全域：支持基于IP的安全域划分，支持基于逻辑接口的安全域划分；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22.支持入侵防御功能：支持SQL注入攻击、XSS注入攻击、webshell攻击、挖矿木马恶意样本通信、僵尸家族恶意样本通信（紫狐、双枪、独狼等）、APT32组织恶意样本通信、海莲花组织恶意样本通信、勒索病毒恶意样本通信等；</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23.为方便用户远程接入，设备需支持SSL VPN，并提供≥200个免费SSL VPN接入授权；</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24.IPSec VPN建立完成后能够自动生成拓扑图，便于监控各级单位设备在线状态；</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25.为避免跨运营商访问，投标设备需要支持地址库路由，包含移动、联通、电信、教育、电信通五家地址库；</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26.支持正向DNS代理功能，可根据配置实现对不同外网线路的DNS服务平台地址管理；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27.支持智能DNS，无需内部服务平台做任何修改情况下，为外网用户提供一个与该用户相同运营商的链路对内访问；</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28.要求所投产品内置多种流控模型，包括娱乐模版，办公模版，专家模板等，支持一键开启智能流量控制；</w:t>
            </w:r>
            <w:r>
              <w:rPr>
                <w:rFonts w:ascii="宋体" w:hAnsi="宋体" w:cs="宋体"/>
              </w:rPr>
            </w:r>
            <w:r/>
          </w:p>
        </w:tc>
        <w:tc>
          <w:tcPr>
            <w:tcMar>
              <w:left w:w="15" w:type="dxa"/>
              <w:top w:w="15" w:type="dxa"/>
              <w:right w:w="15" w:type="dxa"/>
            </w:tcMar>
            <w:tcW w:w="683"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gridSpan w:val="2"/>
            <w:tcMar>
              <w:left w:w="15" w:type="dxa"/>
              <w:top w:w="15" w:type="dxa"/>
              <w:right w:w="15" w:type="dxa"/>
            </w:tcMar>
            <w:tcW w:w="654"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16</w:t>
            </w:r>
            <w:r>
              <w:rPr>
                <w:rFonts w:ascii="宋体" w:hAnsi="宋体" w:cs="宋体"/>
              </w:rPr>
            </w:r>
            <w:r/>
          </w:p>
        </w:tc>
        <w:tc>
          <w:tcPr>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上网行为管理</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ind w:firstLine="0"/>
              <w:jc w:val="both"/>
              <w:keepLines w:val="0"/>
              <w:keepNext w:val="0"/>
              <w:pageBreakBefore w:val="0"/>
              <w:spacing w:line="40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1.所投产品须整机最少支持6个千兆电口；具有1TB的硬盘存储；尺寸大小：1U；单电源；</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2.全功能开启审计适用带宽≥100mbps，要求所投整机最大支持并发连接数50万，要求所投整机每秒新建连接数≥4200/秒；</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3.ARP表/邻居表支持Web管理ARP表查看，并支持指定静态ARP；支持Web管理IPv6邻居表查看，并支持指定静态；</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4.部署模式支持路由模式，旁路模式、网桥模式、混合模式部署；切换部署模式无需重启，不影响设备正常使用；</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5.支持基于应用层服务和SAAS的策略路由，可基于IP、国家列表、ISP自动地址表（电信、移动、网通、铁通等）和域名来控制目的地址；</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6.支持PPPoE拨号以及负载均衡；支持基于链路的上行、下行、总流量自动均衡的多链路负载均衡算法，支持基于固定指派链路的自动均衡算法，支持基于最佳路径的多链路负载均衡算法；支持基于轮询的多链路负载均衡算法；</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7.链路聚合支持将多个以太网物理端口捆绑成一条逻辑端口（即将多个端口捆绑成一个逻辑的端口以增加带宽，同时增加链路备份）支持基于主备、哈希、802.3ad负载方式；</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8.VPN支持L2TP、GRE VPN、PPTP、IPSec；针对内网用户的Web访问质量进行检测，能对整体网络提供清晰的整体网络质量评级；</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9.支持DNS链路健康检查算法；支持IcmP链路健康检查算法；支持TCP链路健康检查算法；支持自定义的链路健康检查算法。</w:t>
            </w:r>
            <w:r>
              <w:rPr>
                <w:rFonts w:ascii="宋体" w:hAnsi="宋体" w:cs="宋体"/>
              </w:rPr>
            </w:r>
            <w:r/>
          </w:p>
        </w:tc>
        <w:tc>
          <w:tcPr>
            <w:tcMar>
              <w:left w:w="15" w:type="dxa"/>
              <w:top w:w="15" w:type="dxa"/>
              <w:right w:w="15" w:type="dxa"/>
            </w:tcMar>
            <w:tcW w:w="683"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gridSpan w:val="2"/>
            <w:tcMar>
              <w:left w:w="15" w:type="dxa"/>
              <w:top w:w="15" w:type="dxa"/>
              <w:right w:w="15" w:type="dxa"/>
            </w:tcMar>
            <w:tcW w:w="654"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17</w:t>
            </w:r>
            <w:r>
              <w:rPr>
                <w:rFonts w:ascii="宋体" w:hAnsi="宋体" w:cs="宋体"/>
              </w:rPr>
            </w:r>
            <w:r/>
          </w:p>
        </w:tc>
        <w:tc>
          <w:tcPr>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防火墙</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ind w:firstLine="0"/>
              <w:jc w:val="both"/>
              <w:keepLines w:val="0"/>
              <w:keepNext w:val="0"/>
              <w:pageBreakBefore w:val="0"/>
              <w:spacing w:line="40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1.要求固化千兆电口数量≥8个；固化千兆光口数量≥1个；固化万兆光口数量≥1个；</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2.支持可插拔1TB企业级硬盘；</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3.三层网络吞吐≥1Gbps，最大可支持扩展三层网络吞吐≥3Gbps；IPS吞吐量≥2.5Gbps；</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4.最大并发连接≥50万；最大新建连接≥8.5万；</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支持策略模拟功能，可提供一个虚拟的策略空间来对运行创建的模拟策略，模拟策略不会对真实业务流量产生影响，但可以把模拟策略的执行结果与现有的真实策略的不同的处置动作进行对比展现，方便用户判断模拟策略是否会对重要业务产生不良影响，如模拟策略，可一键转化为真实策略；</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6.支持自动扫描用户网内资产，自动识别资产端口和协议启用情况，结合用户资产信息生成推荐的安全防护策略；</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7.支持基于流量学习的方式对网内资产的互访关系进行梳理，能可视化展示目标资产的端口的访问关系，包括：访问源IP、命中策略、阻断次数、最近一次阻断时间等信息；</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8.支持策略配置向导功能，运维人员可通过向导流程完成地址对象创建、策略创建、策略模拟运行、策略执行等必要配置步骤；</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9.要求支持显示策略来源、首次创建时间、源安全区域、源地址、目的安全区域、目的地址、服务、应用、首次匹配时间、命中次数统计；</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10.应具备策略优化能力，支持对配置的策略进行梳理，能够识别策略问题。分析维度包括但不限于从未匹配、7天未匹配、30天未匹配、90天未匹配、冗余策略、冲突策略、组合策略、归纳策略、过期策略等。对问题策略支持列表展示，并提供优化建议。</w:t>
            </w:r>
            <w:r>
              <w:rPr>
                <w:rFonts w:ascii="宋体" w:hAnsi="宋体" w:cs="宋体"/>
              </w:rPr>
            </w:r>
            <w:r/>
          </w:p>
        </w:tc>
        <w:tc>
          <w:tcPr>
            <w:tcMar>
              <w:left w:w="15" w:type="dxa"/>
              <w:top w:w="15" w:type="dxa"/>
              <w:right w:w="15" w:type="dxa"/>
            </w:tcMar>
            <w:tcW w:w="683"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gridSpan w:val="2"/>
            <w:tcMar>
              <w:left w:w="15" w:type="dxa"/>
              <w:top w:w="15" w:type="dxa"/>
              <w:right w:w="15" w:type="dxa"/>
            </w:tcMar>
            <w:tcW w:w="654"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18</w:t>
            </w:r>
            <w:r>
              <w:rPr>
                <w:rFonts w:ascii="宋体" w:hAnsi="宋体" w:cs="宋体"/>
              </w:rPr>
            </w:r>
            <w:r/>
          </w:p>
        </w:tc>
        <w:tc>
          <w:tcPr>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机柜</w:t>
            </w:r>
            <w:r>
              <w:rPr>
                <w:rFonts w:ascii="宋体" w:hAnsi="宋体" w:cs="宋体"/>
              </w:rPr>
            </w:r>
            <w:r/>
          </w:p>
        </w:tc>
        <w:tc>
          <w:tcPr>
            <w:gridSpan w:val="2"/>
            <w:shd w:val="clear" w:color="auto" w:fill="ffffff"/>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42U标准网络机柜，安装宽度约600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，深度约1200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，高度约2000</w:t>
            </w:r>
            <w:r>
              <w:rPr>
                <w:rFonts w:hint="eastAsia" w:ascii="宋体" w:hAnsi="宋体" w:eastAsia="宋体" w:cs="宋体"/>
                <w:i w:val="0"/>
                <w:color w:val="000000"/>
                <w:sz w:val="21"/>
                <w:szCs w:val="21"/>
                <w:highlight w:val="none"/>
                <w:u w:val="none"/>
                <w:lang w:val="en-US" w:eastAsia="zh-CN" w:bidi="ar"/>
              </w:rPr>
              <w:t xml:space="preserve">mm</w:t>
            </w:r>
            <w:r>
              <w:rPr>
                <w:rFonts w:ascii="宋体" w:hAnsi="宋体" w:cs="宋体"/>
              </w:rPr>
            </w:r>
            <w:r/>
          </w:p>
        </w:tc>
        <w:tc>
          <w:tcPr>
            <w:tcMar>
              <w:left w:w="15" w:type="dxa"/>
              <w:top w:w="15" w:type="dxa"/>
              <w:right w:w="15" w:type="dxa"/>
            </w:tcMar>
            <w:tcW w:w="683"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gridSpan w:val="2"/>
            <w:tcMar>
              <w:left w:w="15" w:type="dxa"/>
              <w:top w:w="15" w:type="dxa"/>
              <w:right w:w="15" w:type="dxa"/>
            </w:tcMar>
            <w:tcW w:w="654"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19</w:t>
            </w:r>
            <w:r>
              <w:rPr>
                <w:rFonts w:ascii="宋体" w:hAnsi="宋体" w:cs="宋体"/>
              </w:rPr>
            </w:r>
            <w:r/>
          </w:p>
        </w:tc>
        <w:tc>
          <w:tcPr>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辅材</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网线，光纤，水晶头，PVC管材等</w:t>
            </w:r>
            <w:r>
              <w:rPr>
                <w:rFonts w:ascii="宋体" w:hAnsi="宋体" w:cs="宋体"/>
              </w:rPr>
            </w:r>
            <w:r/>
          </w:p>
        </w:tc>
        <w:tc>
          <w:tcPr>
            <w:tcMar>
              <w:left w:w="15" w:type="dxa"/>
              <w:top w:w="15" w:type="dxa"/>
              <w:right w:w="15" w:type="dxa"/>
            </w:tcMar>
            <w:tcW w:w="683"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gridSpan w:val="2"/>
            <w:tcMar>
              <w:left w:w="15" w:type="dxa"/>
              <w:top w:w="15" w:type="dxa"/>
              <w:right w:w="15" w:type="dxa"/>
            </w:tcMar>
            <w:tcW w:w="654"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20</w:t>
            </w:r>
            <w:r>
              <w:rPr>
                <w:rFonts w:ascii="宋体" w:hAnsi="宋体" w:cs="宋体"/>
              </w:rPr>
            </w:r>
            <w:r/>
          </w:p>
        </w:tc>
        <w:tc>
          <w:tcPr>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24口交换机</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千兆网管交换机，交换容量≥336Gbps，包转发率≥78</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pps，24口10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100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1000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bps自适应电口交换机，固化4个SFP千兆光口，支持VLAN、ACL、端口镜像、端口聚合等功能</w:t>
            </w:r>
            <w:r>
              <w:rPr>
                <w:rFonts w:ascii="宋体" w:hAnsi="宋体" w:cs="宋体"/>
              </w:rPr>
            </w:r>
            <w:r/>
          </w:p>
        </w:tc>
        <w:tc>
          <w:tcPr>
            <w:tcMar>
              <w:left w:w="15" w:type="dxa"/>
              <w:top w:w="15" w:type="dxa"/>
              <w:right w:w="15" w:type="dxa"/>
            </w:tcMar>
            <w:tcW w:w="683"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gridSpan w:val="2"/>
            <w:tcMar>
              <w:left w:w="15" w:type="dxa"/>
              <w:top w:w="15" w:type="dxa"/>
              <w:right w:w="15" w:type="dxa"/>
            </w:tcMar>
            <w:tcW w:w="654"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23</w:t>
            </w:r>
            <w:r>
              <w:rPr>
                <w:rFonts w:ascii="宋体" w:hAnsi="宋体" w:cs="宋体"/>
              </w:rPr>
            </w:r>
            <w:r/>
          </w:p>
        </w:tc>
      </w:tr>
      <w:tr>
        <w:trPr>
          <w:trHeight w:val="340"/>
        </w:trPr>
        <w:tc>
          <w:tcPr>
            <w:gridSpan w:val="7"/>
            <w:shd w:val="clear" w:color="auto" w:fill="ffffff"/>
            <w:tcMar>
              <w:left w:w="15" w:type="dxa"/>
              <w:top w:w="15" w:type="dxa"/>
              <w:right w:w="15" w:type="dxa"/>
            </w:tcMar>
            <w:tcW w:w="9924"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b/>
                <w:bCs/>
                <w:i w:val="0"/>
                <w:color w:val="000000"/>
                <w:sz w:val="21"/>
                <w:szCs w:val="21"/>
                <w:highlight w:val="none"/>
                <w:u w:val="none"/>
                <w:lang w:val="en-US" w:eastAsia="zh-CN" w:bidi="ar"/>
              </w:rPr>
              <w:t xml:space="preserve">信息传媒系-数媒技术实训</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48口千兆交换机</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可网管二层交换机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固化业务接口</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48口10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100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1000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自适应电口，4个1G</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10G SFP+光口</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固化单交流电源和风扇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包转发率</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≥207</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pps</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交换容量</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≥672Gbps</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6.72Tbps</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管理特性</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SN</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Pv1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v2c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v3、CLI</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Telnet</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Console</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、R</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ON</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1，2，3，9</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、SSH、Syslog、NTP</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SNTP、FTP、TFTP、Web、sFLOW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支持虚拟化技术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支持本地堆叠和远程堆叠</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支持堆叠内跨机箱的链路捆绑</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支持通过标准业务口实现虚拟化（非堆叠插卡，不占用扩展槽位）</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24口千兆交换机</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可网管二层交换机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固化业务接口</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24口10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100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1000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自适应电口，4个1G</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10G SFP+光口</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固化单交流电源和风扇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包转发率</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≥171</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pps</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交换容量</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≥672Gbps</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6.72Tbps</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管理特性</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SN</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Pv1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v2c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v3、CLI</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Telnet</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Console</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、R</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ON</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1，2，3，9</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、SSH、Syslog、NTP</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SNTP、FTP、TFTP、Web、sFLOW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支持虚拟化技术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支持本地堆叠和远程堆叠</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支持堆叠内跨机箱的链路捆绑</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支持通过标准业务口实现虚拟化（非堆叠插卡，不占用扩展槽位）</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16</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机柜</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容量</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约22U、宽</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约600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、深</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约600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标准：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符合ANSI</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EIA RS-310-D、IEC297-2、DIN41494；PART1、DIN41494；PART7、GB</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T3047.2-92；兼容ETSI标准。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材料：方孔条与安装梁</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耐指纹敷铝锌板；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其余：SPCC优质冷轧板；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厚度：方孔条2.0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；安装梁1.5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；其余1.2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表面处理：脱脂、陶化、静电喷塑。</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防护等级：IP20。</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称重：静载800KG（带支脚）</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画架</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高度：约175-238</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置画高度：约131</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夹画厚度：约5</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后撑式距离：约88</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材质：实木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颜色：原木色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其他：滑轨升降</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245</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投影数码相机</w:t>
            </w:r>
            <w:r>
              <w:rPr>
                <w:rFonts w:ascii="宋体" w:hAnsi="宋体" w:cs="宋体"/>
              </w:rPr>
            </w:r>
            <w:r/>
          </w:p>
        </w:tc>
        <w:tc>
          <w:tcPr>
            <w:shd w:val="clear" w:color="auto" w:fill="ffffff"/>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机身颜色：黑色</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单反画幅：全画幅</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感光元件类型：</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OS</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传感器尺寸：35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全画幅</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显示屏类型：触摸屏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储存类型：SD卡，</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S卡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配件套餐：官方标配</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防抖性能：支持机身防抖</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曝光模式：光圈优先，快门优先，手动曝光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快门类型：电子快门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镜头组合：SEL2870标准变焦单镜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有效像素：约2420万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高感光度范围：ISO100-51200</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视频拍摄：4K HDR</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接口：高速USB 3.1 Gen 1</w:t>
            </w:r>
            <w:r>
              <w:rPr>
                <w:rFonts w:ascii="宋体" w:hAnsi="宋体" w:cs="宋体"/>
              </w:rPr>
            </w:r>
            <w:r/>
          </w:p>
        </w:tc>
        <w:tc>
          <w:tcPr>
            <w:gridSpan w:val="2"/>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部</w:t>
            </w:r>
            <w:r>
              <w:rPr>
                <w:rFonts w:ascii="宋体" w:hAnsi="宋体" w:cs="宋体"/>
              </w:rPr>
            </w:r>
            <w:r/>
          </w:p>
        </w:tc>
        <w:tc>
          <w:tcPr>
            <w:shd w:val="clear" w:color="auto" w:fill="ffffff"/>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写生台</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桌面尺寸：约60</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*90</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底座尺寸：约50</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*70</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桌面高度：55.5-81</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材质：实木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颜色：原木色</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其他：可升降，台面可展开，带抽屉和滑轮</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shd w:val="clear" w:color="auto" w:fill="ffffff"/>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7</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吊灯</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灯罩宽度：约38</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灯罩高度：约36</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延长线：50-120</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颜色：银色</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灯身材质：ABS+五金底盘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灯身辅材质：ABS+五金底盘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灯罩辅材质：P</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A高透光率灯罩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灯具造型：鱼线型吊灯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照射面积：5</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²-10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²</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吊灯类型：锌合金吊灯</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只</w:t>
            </w:r>
            <w:r>
              <w:rPr>
                <w:rFonts w:ascii="宋体" w:hAnsi="宋体" w:cs="宋体"/>
              </w:rPr>
            </w:r>
            <w:r/>
          </w:p>
        </w:tc>
        <w:tc>
          <w:tcPr>
            <w:shd w:val="clear" w:color="auto" w:fill="ffffff"/>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8</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展示板</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长度：约240</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宽度：约100</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面板：金属烤漆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边框：实木边框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颜色：面板（白色）、边框（原木色）</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块</w:t>
            </w:r>
            <w:r>
              <w:rPr>
                <w:rFonts w:ascii="宋体" w:hAnsi="宋体" w:cs="宋体"/>
              </w:rPr>
            </w:r>
            <w:r/>
          </w:p>
        </w:tc>
        <w:tc>
          <w:tcPr>
            <w:shd w:val="clear" w:color="auto" w:fill="ffffff"/>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15</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9</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4K摄录一体机</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1.传感器尺寸≥1英寸</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2.最大像素≥2090万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3.有效像素≥1400万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4.实际焦距范围：f=7.71-154.21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5.等效35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焦距范围：24-480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6.最大光圈范围：F2.8-F4.5</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7.滤镜直径≥72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8.液晶屏支持：触摸屏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9.录制格式支持：XAVC S</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PEG-4 AVC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H.264、XAVC HS</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PEG-H HEVC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H.265</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10.网络直播视频编码格式支持：</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PEG-4 AVC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H.264、</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PEG-H HEVC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H.265</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11.视频分辨率支持：3840×2160、1920×1080、1280×720</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12.音频编码格式支持：AAC-LC 2ch</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16bit 48 kHz</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13.网络协议支持：RT</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P</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RT</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PS</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SRT</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14.输出接口不低于</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BNC接口模式</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 12G-SDI</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 6G-SDI</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 3G-SDI</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Level 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B</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 HD-SDI</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15.支持HD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I输出接口</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摄像机遥控单元</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1.可以控制便携式摄像机的变焦。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2.通过倾斜摇杆，可调节变焦速度。</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3.夹钳可固定到直径45 毫米的圆形管上，可安装单脚握把。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4.可调整摄像机的缩放。</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5.逆转开关可改变缩放方向。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6.双面缩放摇杆支持底层位置随指缩放，平滑准确的缩放速度。</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7.REC启动</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停止按钮可连接到直径2.5毫米的圆形管。</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11</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加厚锂电池</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1.容量≥6600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Ah</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2.输出电压：14.4V</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3.电池配套项目中4K手持式摄录一体机使用</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4.D电池内置</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CU微控制单元，具备每级25%的四级电量显示</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12</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存储卡</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内存：80G；具备高速度、耐用性和可靠性的TOUGH三防规格（5倍于标准规格的抗摔性能和10倍于标准规格的抗折能力）；高达约700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B</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s的写入速度和约800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B</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s的读取速度；如相机支持VPG400视频性能配置文件规范，可以400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B</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s的速度稳定地录制视频</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13</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读卡器</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可读取SDXC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SDHC（UHS-I和UHS-II）等存储卡</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只</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14</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摄像机三角架</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1.脚架+云台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2.最高工作高度≥1630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3.最低工作高度≤790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4.折叠高度≤840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5.最大负荷≥8kg</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6.材质：碳纤维</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只</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15</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三脚架脚轮</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配合三角架使用，便于摄像机室内灵活静音移动</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只</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16</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导播虚拟一体机</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1.系统至少支持4个3G-SDI双向接口可用于四链路信号采集或输出。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2.支持自定义运动轨迹速度曲线，可设置匀速、加减速等。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3.要求是真三维虚拟空间，实现真实的三维空间还原。</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4.支持多种抠像模式，包括：软件抠像、外置色键器抠像。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5.支持基于AI的自然背景抠像，即在自然环境，非绿箱环境中，即可完成主持人抠像。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6.支持真实的地面反射效果，能将摄像机画面及虚拟大屏中播放的实时内容反射到地面上。</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7.要求内录出的视频文件应符合广电总局要求的指标。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8.支持将手机画面以信号的方式输入到虚拟软件中，并可以配合虚拟场景同步进行推拉摇移。</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9.支持桌面投屏功能。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10.要求三维虚拟背景三角形面片数应支持不低于1亿面，三维虚拟背景贴图容量不低于8000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B。</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11.支持多个虚拟大屏，并支持在播出过程中对内容进行实时替换。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12.支持在播出过程中实时调节PG</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输出的音频大小。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13.支持对虚拟背景、虚拟前景、DDR、PPT、图文、字幕建立播出单，并支持在播出的过程中同时还可以导入场景，而不影响播出功能。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▲14.系统应具备区域抠像保护功能，即当主持人身上有与绿箱或蓝箱背景一致的颜色时，可以将主持人身上的颜色单独提取出来，不被抠掉。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15.系统应具备对主持人面部进行面部提亮功能。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16.系统应采用无轨模式，实现节目制作过程中镜头推、拉、摇、移、升降等大摇臂。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▲17.系统应满足36个虚拟机位的一键式导播切换效果，且摄像机运动过程的时长可以由用户通过系统自定义和修改。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18.系统应可实现将一台摄像机的信号分配给多个机位使用，实现多台摄像机的效果，并可以在这两个机位间实现自由特技切换，实现多主持人效果，并可自定义摄像机信号绑定到哪个虚拟机位中。</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19.支持摇臂曲线灯光，且光源点数无限制。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20.支持流媒体信号的接入，并对流媒体信号及本地视频文件做抠像处理。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21.系统应兼容高清和标清，支持1080P码流本地录制输出，并能调整其合成与输出分辨率和帧率，输出的文件为常见高标清视频格式。如</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P4、H.264、</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OV等。支持实时流媒体发布功能，实现网络直播。</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22.要求系统场景模型中的纹理可随意更换内容，并在播出端展现出来。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23.要求支持将场景中的纹理通过简单的操作，使物件纹理运动起来，从而实现一个动态纹理的效果，无需重新再用第三方三维软件制作的动画文件作为贴图。</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24.具有全媒体信息接收模块，可以对微博微信的内容进行实时发布，并以图文的方式展现出来，实现动态变化，提升节目互动性（微信、投票、抽奖及任何传统数据）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25.要求支持模拟演播室开始或结束时，真实的灯光明暗变化效果播出。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26.支持灯光和正反向控制。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27.系统应能够导入3D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ax的FBX、OBJ、X、3DS等工程和三维图形文件，并且可以编单播出。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28.系统应支持下游键功能，可实现多层图文字幕的叠加，且多层字幕所在层号可自由分配，实现多层字幕自定义遮挡关系。</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29.虚拟软件应支持通过推拽节点的方式，轻松实现多表单的联动播出。</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17</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导播控制面板</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水晶按键、RGB三色灯七彩色，金属面板、通讯接口USB、422，具有独立供电接口。可嵌入桌面使用。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支持双母线切换模式，支持快切、自动切、T杆切换方式。支持DSK和字幕上下键，DDR、PPT、CG、图文播单播出控制，虚拟机位的切换、轨迹、特技、摇臂功能，以及对4路外来信号、网络、本地和PG</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通道的调音功能。可替代键鼠导播切换操作。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与虚拟演播室同品牌。</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18</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监看器</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1.屏幕尺寸：≥65英寸</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2.屏幕比例：16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9</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3.屏幕分辨率：≥3840×2160</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4.屏幕刷新频率：≥60Hz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5.图像性能：HDR</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6.内存容量：≥2GB</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7.存储空间：≥8GB</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19</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返送器</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1.屏幕尺寸：≥65英寸</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2.屏幕比例：16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9</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3.屏幕分辨率：≥3840×2160</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4.屏幕刷新频率：≥60Hz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5.图像性能：HDR</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6.内存容量：≥2GB</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7.存储空间：≥8GB</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20</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调音台</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1.话筒接入：≥10</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2.频响：+0.5dB</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-0.5dB（20Hz-20kHz）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3.总谐波失真：0.03%@+14dBu（20 Hz-20kHz）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4.输入通道：≥16通道：单声道：≥8；立体声：≥4</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5.输出通道：≥2；PHONES：≥1</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6.母线：立体声：≥1；编组：≥4，AUX（包括FX）</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7.USB音频：USB音频2.0兼容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8.采样率：最大192kHz，Bit深度：24-bit</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9.幻象电源电压：+48V</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内建数字效果：24编程</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21</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无线话筒组件</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双通道无线麦克风，有效距离达50-80米</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采用高性能的动圈麦克风咪芯和先进的语音处理电路，能发挥出优秀的音质效果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具有防声反馈啸叫功能</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能有效降低啸叫的产生</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具有独立和混合式6.3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音频输出插座，可接调音台和卡拉OK放大器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采用独立包装方式，可任意搭配手持麦克风、腰挂式发射器、台式会议无线麦克风使用，满足不同场合的需求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发射器和对应接收机的频率使用不同的颜色区分，一目了然，操作简便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配置：1主机+2头戴+2领夹</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22</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演播话筒1</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1.基于数字U段的传输技术，pi</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4-DQPSK调制方式，采用国产主控芯片，传输距离80米；具有混响、均衡、智能静音、音频加密、功率调节功能。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2.具有1台接收主机、2只手持发射机；频率范围470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Hz-510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Hz、540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Hz-590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Hz、640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Hz-690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Hz、807</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Hz-830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Hz四个频段使用。发射机采用符合人体工学设计，外形圆润贴合手部曲线，握感舒适。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3.具有音频加密功能，开启后发射机与接收机通过独特的ID码导频加密技术，达到设备不串频的效果。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4.具有多频段均衡调节功能，均衡调节2197种，麦克风均衡器调节功能，具有高、中、低音三种调节档位，每种效果支持13档调节。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5.具有自动静音功能，麦克风跌落、抛掷时，毫秒级自动静音，避免冲击声；实时监测设备姿态，静置5秒静音，8分钟关机，无需手动干预。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6.具有自动频率扫描功能，可快速地给发射机找到清晰的频率，操作简单。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7.具有通过红外扫描和同步，将发射机与接收机轻松配对。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8.具有多档位混响调节功能，混响效果15625个，效果占比、回响延时、混响幅度调节，三种音效各具有25档调节方式。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9.接收机具有两路平衡输出、一路非平衡混音输出，满足用户不同需求。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接收机前面板具有2个显示屏、2个编码旋钮、2个频率扫描实体按键、2个红外对频实体按键、1个电源开关按键、1个二合一指示灯（红外发射管+对频指示灯）；后面板具有1个LINE-OUT接口、2个XLR-OUT接口、2个BNC接口、1个DC接口。发射机具有1个OLED显示屏、1个开关机</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静音按键、2个工作状态指示灯。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11.接收机具有2个2.2英寸的TFT-LCD显示屏</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用户可通过显示屏查看设备射频信号强度、音频信号强度、麦克风开启状态、手持麦克风电池电量情况、当前频率数值、音量大小、语言切换选项等，可轻松获取设备当前信息。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12.发射机具有0.96英寸OLED显示屏，能够显示频率信息、音频加密状态、功率挡位、静音状态、电量格数信息。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13.发射机具有长时间自动关机功能，设备自动检测工作状态（使用状态、静置状态），静置5秒后发射机自动静音、静置8分钟后发射机自动关机。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14.具有一键静音按键，麦克风支持双击静音且可以通过接收机取消麦克风静音功能。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15.接收机面板精湛工艺制作，大气美观；话筒采用高还原动圈咪芯，专业音腔设计，音质呈现自然原声。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16.具有ID码防串扰功能，采用32位唯一ID码，用于接收和发射配对，收发ID码必须相同才能对码，能够有效防止相同频率的信号相互串台。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17.具有长时间续航，发射机使用时长10小时。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18.发射机电量过低时接收机显示屏会进行低电提醒。</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19.发射机功率档位支持7档可调节。</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只</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23</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演播话筒2</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1.基于数字U段的传输技术，pi</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4-DQPSK调制方式，采用国产主控芯片，传输距离80米；具有混响、均衡、智能静音、音频加密、功率调节功能。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2.具有1台接收主机、2台桌面式鹅颈咪杆发射机；频率范围470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Hz-510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Hz、540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Hz-590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Hz、640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Hz-690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Hz、807</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Hz-830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Hz四个频段使用。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3.具有音频加密功能，开启后发射机与接收机通过独特的ID码导频加密技术，达到设备不串频的效果。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4.具有多频段均衡调节功能，均衡调节2</w:t>
            </w:r>
            <w:r>
              <w:rPr>
                <w:rFonts w:hint="eastAsia" w:ascii="宋体" w:hAnsi="宋体" w:eastAsia="宋体" w:cs="宋体"/>
                <w:i w:val="0"/>
                <w:color w:val="000000"/>
                <w:sz w:val="21"/>
                <w:szCs w:val="21"/>
                <w:highlight w:val="none"/>
                <w:u w:val="none"/>
                <w:lang w:val="en-US" w:eastAsia="zh-CN" w:bidi="ar"/>
              </w:rPr>
              <w:t xml:space="preserve">000多</w:t>
            </w:r>
            <w:r>
              <w:rPr>
                <w:rFonts w:hint="eastAsia" w:ascii="宋体" w:hAnsi="宋体" w:eastAsia="宋体" w:cs="宋体"/>
                <w:i w:val="0"/>
                <w:color w:val="000000"/>
                <w:sz w:val="21"/>
                <w:szCs w:val="21"/>
                <w:highlight w:val="none"/>
                <w:u w:val="none"/>
                <w:lang w:val="en-US" w:eastAsia="zh-CN" w:bidi="ar"/>
              </w:rPr>
              <w:t xml:space="preserve">种，麦克风均衡器调节功能，具有高、中、低音三种调节档位，每种效果支持13档调节。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5.具有多档位混响调节功能，混响效果15</w:t>
            </w:r>
            <w:r>
              <w:rPr>
                <w:rFonts w:hint="eastAsia" w:ascii="宋体" w:hAnsi="宋体" w:eastAsia="宋体" w:cs="宋体"/>
                <w:i w:val="0"/>
                <w:color w:val="000000"/>
                <w:sz w:val="21"/>
                <w:szCs w:val="21"/>
                <w:highlight w:val="none"/>
                <w:u w:val="none"/>
                <w:lang w:val="en-US" w:eastAsia="zh-CN" w:bidi="ar"/>
              </w:rPr>
              <w:t xml:space="preserve">000多</w:t>
            </w:r>
            <w:r>
              <w:rPr>
                <w:rFonts w:hint="eastAsia" w:ascii="宋体" w:hAnsi="宋体" w:eastAsia="宋体" w:cs="宋体"/>
                <w:i w:val="0"/>
                <w:color w:val="000000"/>
                <w:sz w:val="21"/>
                <w:szCs w:val="21"/>
                <w:highlight w:val="none"/>
                <w:u w:val="none"/>
                <w:lang w:val="en-US" w:eastAsia="zh-CN" w:bidi="ar"/>
              </w:rPr>
              <w:t xml:space="preserve">个，效果占比、回响延时、混响幅度调节，三种音效各具有25档调节方式。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接收机前面板具有2个TFT-LCD显示屏、2个编码旋钮、2个频率扫描实体按键、2个红外对频实体按键、1个电源开关按键、1个二合一指示灯（红外发射管+对频指示灯）；后面板具有1个LINE-OUT接口、2个XLR-OUT接口、2个BNC接口、1个DC接口。桌面式发射机具有1个TYPE-C充电口、1个3.5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耳麦输入接口、1个OLED显示屏、1个电源开关按键，1个触摸开关麦按键。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接收机具有2个2.2英寸的TFT-LCD显示屏，用户可通过显示屏查看设备射频信号强度、音频信号强度、麦克风开启状态、桌面麦电池电量情况、当前频率数值、音量大小、语言切换选项等，可轻松获取设备当前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8.发射机具有0.96英寸OLED显示屏，能够显示频率信息、音频加密状态、功率挡位、静音状态、电量格数信息。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9.接收机具有两路平衡输出、一路非平衡混音输出。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10.具有ID码防串扰功能，采用32位唯一ID码，用于接收和发射配对，收发ID码必须相同才能对码，能够有效防止相同频率的信号相互串台。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11.桌面式发射机配置1颗容量2400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Ah的锂电池，使用时长15小时；设备电池孔位4个，电池具有扩展性，通过拓展连续使用时长60小时。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12.接收机支持调节发射功率，包含1到7档发射功率满足不同场景使用。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13.桌面麦支持通过Type-C口进行充电。</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14.接收机面板精湛工艺制作，大气美观。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15.桌面麦具有一键静音按键，短按按键可开启或关闭发射机静音功能。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16.桌面麦支持通过3.5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耳机孔输入音频。</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17.桌面麦电量过低时接收机显示屏会进行低电提醒。</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18.通过红外扫描和同步，将发射机与接收机轻松配对。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19.具有自动频率扫描功能，可快速地给发射机找到清晰的频率，操作简单。</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只</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24</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监听耳机</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功能用途</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手机耳机，HiFi耳机，监听耳机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连接方式</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3.5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6.3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立体声插头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佩戴方式</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头戴式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发声原理</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动圈</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驱动单元</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频响范围</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12-35000Hz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产品阻抗</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32欧姆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灵敏度</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101dB</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只</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25</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监听音响</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高保真有源监听2.0音箱 HIFI音质  </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只</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26</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无线路由器</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无线标准</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IEEE 802.11abigracraxrbe</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支持Wi-Fi 7</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工作频段</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2.4GHz、5GHz，支持双频和三频模式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广域网接口</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1×10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100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1000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2500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bps 自适应WAN接口</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局域网接口</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3×10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100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1000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2500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bps 自适应LAN接口</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27</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演播室背景设备</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背景显示像素点间距≤1.538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像素密度422500点</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㎡；亮度均匀性：≥99.5%；色温：2000K-10000K可调；对比度：≥2000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1；刷新频率≥3840Hz； 校正后白平衡亮度：≥550cd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²，亮度：0-550cd</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㎡可调；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光学参数：单点亮度校正，单点颜色校正；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像素结构：表贴三合一；</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色度均匀性：≤0.001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 </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平米</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28</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可视化系统加密保护系统</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公共显示屏内容安全智能管控系统，利用人工智能技术、边缘智能计算、智能存储和多媒体信息处理技术，形成一套高效的内容审核方案体系，并在此基础上集成硬件资源的智盒检测服务，对输出的内容进行实时检测和控制，提供轻量级、智能化、可边缘部署的视频检测与识别智能终端，做到内容安全管理的最后一道防护墙，为显示终端提供的内容安全提供保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内容审核算法模型采用前沿的深度学习技术与多媒体信息处理技术，实现对视频流逐帧逐像素地高精准确识别，同步检测视频中出现的不良画面、字幕、文本、弹幕等内容。 </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29</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演播室5G+4K</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8K+AI智能播控系统</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需支持逐点校正；</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软件系统支持对显示箱体状态信息进行实时采集，可对接收卡、监控卡、风扇、箱门、排线、模组状态、电源等故障信息进行采集，反馈至软件平台，一目了然；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软件系统至少可以支持云监控功能；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软件系统支持温度、湿度、烟雾检测及运行监控，支持信号源类别： S-Video，DVD</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VCD，VGA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RGB，SDI，HDSDI，HD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I，DVI，TV等主流媒体接口；</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视频、文字等信息过滤，敏感信息排查、监测。</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30</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监控管理设备</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一、显示终端：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整机≥21.5英寸，显示比例16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9，具备防眩光效果，可视角度：≥178°，物理分辨率：≥1920×1080；</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2.背光源类型：D-LED；边框宽度：≤2.5 </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；边框宽度公差：±0.8 </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；亮度：≥500 cd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²；</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可视角：178°</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水平</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178°</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垂直</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；对比度：1200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 ；音视频输入接口：≥HD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I×1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DVI×1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VGA×1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USB×1；</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3.支持会议信息动态展示：根据会议状态变化，门牌指示灯跟随变化，屏幕上的会议信息动态展示，包含会议主题、会议室信息、主持人、时间等信息。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4.整机采用硬件低蓝光背光技术，在源头减少有害蓝光波段能量，蓝光占比（有害蓝光415～455n</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能量综合）</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（整体蓝光400～500能量综合）＜50%，低蓝光保护显示不偏色、不泛黄；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5.支持人脸和刷卡签到认证：支持会议预约功能，提前设置参会人员名单，可添加或删除名单，在开会时段通过人脸识别和刷卡认证，对参会人员进行签到，自动生成签到结果，上报给平台</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门禁联动控制：根据人员签到认证结果，触发电信号，直接联动电磁锁或者电插锁开门；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6.支持显示模板动态配置：根据智能会议管理平台的配置功能，动态替换门牌屏幕上的显示内容，包含背景壁纸、会议主题、主持人、会议室信息、时间信息、参会人员信息等；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NFC功能：整机支持搭配具有NFC功能的手机、平板，通过接触NFC标签，接触即可实现手机与大屏的连接并同步画面，无需其它操作设置，支持不少于4台手机、平板同时连接并显示，屏体具有防眩光效果，具有消除摩尔纹功能，软件支持视频、图像智能化增强处理，可以与LED显示屏或其他带有H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I或DVI高清接口的显示设备连接进行同屏显示互动，用户自定义通道信号源名称后，若该名称为系统记录过的常见信号源，将会自动更换为该信号源名称匹配的图标；</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31</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智能电源管理器</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（包括电子屏、服务器、监视主机、机房设备、控制台等用电设备）；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可对组网设备进行编辑管理、分组命名、集中管控；</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对终端设备电量管理，运行状态监控，并且提供报表数据中心进行储存数据，方便综合管理；所有终端设备图形化界面监视；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管理软件实时采集的数据需与设备仪表数据一致；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软件设计12通道管理功能，具有火警、入侵、紧急启停等功能指示；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具有（电压、电流、温度、湿度）设置报警值功能；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管理软件中显示的时间与PC同步，并具有定时设置及定时开关功能；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在集中控制软件中同一页面内显示多个采集信息（包括电流、电压、温度、湿度及其他扩展传感设备信息）以便掌控及管理所有用电设备的运作；</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32</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框架结构</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显示体框架安装配套，要求抗绣，抗腐蚀，稳定牢固，不允许存在安全隐患，大屏包边，美观。</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33</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影视电源线</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2×1.5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²影视电缆线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导体采用高存度无氧铜制造，具有传输信号衰减小，信号损耗小，电阻小传输速率高等特点；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线材的绝缘及护套采用塑胶材质，具有耐磨、耐酸碱、耐油使用寿命长等特点；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线材印字采用精密喷码机喷米标识，保证长度精确</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卷</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34</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信号线</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2×0.5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²影视信号线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导体采用高存度无氧铜制造，带屏蔽型，电阻小传输速率高；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线材的绝缘及护套采用塑胶材质，具有耐磨、耐酸碱、耐油使用寿命长等特点</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卷</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35</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隔音空腔</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隔音空腔，内置环保聚酯纤维吸音棉。</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项</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36</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墙面吸音模块</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采用工程纤维磨具一次模压成艺术造型模块，外观在具备艺术观赏性的基础上，模压多形状多反射表面造型，具备声学扩散、多反射面处理特征，选用环保材料制造，无异味，符合厅堂环保要求，材质密度适中，适合中小型空间声学处理特性，对低频、中频、高频的处理均有明显效果，大大降低二次反射声次数，合理的缩短混响时间，达到优良的声学效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本声学产品重量轻，安装简单，大大降低了建筑物负载，E1级环保，B1级阻燃，颜色可选，规格造型可选，有效提高环境音质丰富度及立体感，又大幅度降低产品自重和克服传统材质缺陷。有助于控制颤动回声和降低驻波，同时保留了房间声环境的空间感。</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3.可以很轻松的安装于墙面，达到声学功能与艺术的完美结合。</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项</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37</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声学门</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一体钢制结构，门内面用优质≥25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阻燃吸声棉做内衬，外包阻燃声学材料形成优质的吸声体，处理房间内部的高中低频声音。门外面用优质≥25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阻燃吸声棉做内衬。外包阻优质的隔声材料，形成优质的隔声效果，隔声量达到≤35dB。高强密封性专用锁具</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38</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隔音观察窗</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玻璃类型</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双层单片钢化玻璃，单片厚度5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，参考尺寸</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*1200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中空结构</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中空腔厚度12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有效阻隔外界噪音，适配广播电视台隔音需求</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，腔体内填充干燥空气</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基础配置，成本适中</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隔音性能</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计权隔音里RW&gt;35dB</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可阻隔校园环境噪音、外界交通声，保障演播室收音纯净</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安全性能</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符合GB15763.2-2005钢化玻璃标准，破碎后呈钝角小颗粒，无尖锐角。</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39</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地台</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木工板+阻燃板框架定制造型</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40</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背景框架结构部分</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木工板+阻燃板框架定制造型</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41</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框架饰面</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高密度吸音板根据物美造型切割安装（具备吸音装饰双层功能）</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项</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42</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背景喷绘画面</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高密度吸音板喷绘打印（具备吸音装饰双层功能）</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项</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43</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RGB LED灯带</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高亮七彩变色灯带</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项</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44</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透光板</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透光板根据灯带造型切割安装</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45</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灯带控制器</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工作温度：-20-60℃</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供电电压：AC 100～240V 50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60HZ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输出电压：DC 100～240V</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输出连接方式：共阳 4线3回路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外型尺寸：L203×W134×H50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包装尺寸：L250×W230×H65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净重：678.5g</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静态功耗：&lt;3.96W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最大输出电流：3*2A</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调光频率：800Hz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最大输出功率：660W（输入电压110V），1320W（输入电压220V）</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46</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演播台</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1.播音桌参考尺寸宽：2-2.4米，高：70-80厘米，进深80-1.2米，桌面是整板，如尺寸加大就要拼板</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2.总体设计：拼装式钢木结构，流线型设计，外形美观，操作方便符合人体工程学原理。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3.生产工艺：采用数控设备经剪切、冲压、折弯加工，独特的静电喷塑工艺。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4.加工材料：钢制部分采用优质A3冷轧钢板，质量达到行业相关安全保护标准，木制部分为优质中密度板。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5.表面处理：所有钢制部分经脱脂、酸洗、防锈磷化处理，耐酸碱、防锈蚀、抗静电，表面静电喷塑。音台台板全为密度板，贴真木皮，喷环保漆，底层做三底五面喷漆，表面再做防火底漆处理。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6.播音台台面及下面的围条为密度板，贴真木皮，喷环保漆，表面另做防火底漆处理，木面厚度约为36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。挡板为冷轧钢板，材料厚度约1.5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47</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导播台</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木制部分：木质台面厚度25-30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，桌面基层为E1级密度板，面层涂料环保家具树脂漆面具有耐潮</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耐热</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不滋生霉菌</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易清理</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使用寿命长等卓越特性。</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机柜钢制部分：全部采用优质冷轧</w:t>
            </w:r>
            <w:r>
              <w:rPr>
                <w:rFonts w:hint="eastAsia" w:ascii="宋体" w:hAnsi="宋体" w:eastAsia="宋体" w:cs="宋体"/>
                <w:i w:val="0"/>
                <w:color w:val="000000"/>
                <w:sz w:val="21"/>
                <w:szCs w:val="21"/>
                <w:highlight w:val="none"/>
                <w:u w:val="none"/>
                <w:lang w:val="en-US" w:eastAsia="zh-CN" w:bidi="ar"/>
              </w:rPr>
              <w:t xml:space="preserve">A3</w:t>
            </w:r>
            <w:r>
              <w:rPr>
                <w:rFonts w:hint="eastAsia" w:ascii="宋体" w:hAnsi="宋体" w:eastAsia="宋体" w:cs="宋体"/>
                <w:i w:val="0"/>
                <w:color w:val="000000"/>
                <w:sz w:val="21"/>
                <w:szCs w:val="21"/>
                <w:highlight w:val="none"/>
                <w:u w:val="none"/>
                <w:lang w:val="en-US" w:eastAsia="zh-CN" w:bidi="ar"/>
              </w:rPr>
              <w:t xml:space="preserve">钢板；钢板厚度1.5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，加强梁钢板厚度1.8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根据零部件工位和作用，钢板材料厚度规格合理搭配。机柜满足19英寸设备嵌入，满足横置式主机嵌入调节。钢制部分表面处理：脱脂，酸洗，防锈磷化处理，静电喷涂。颜色可选定：银灰色，无光黑，象牙白，无光驼，蓝砂等塑粉。</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48</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护眼照明灯</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一、产品参数</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1.额定电压：AC220V</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2.频率：50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60Hz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3.功率：40W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4.显色指数：Ra≥96（R9＞93）</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5.色温：5000K±100K</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6.功率因数：＞0.97</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7.频闪波动深度：≤0.4%</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8.眩光值UGR：16</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9.平均照度：484LUX</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10.照度均匀度：0.8</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11.维护系数：0.8</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12.柔光装置：柔光板+防眩目微晶板双柔光设置</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柔光板+防眩目格栅板双柔光设置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控制方式：开光控，智能四模式控制二选一</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二、产品及服务要求</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独立大面积散热装置，保证光源散热，延长光源寿命，光照技术指标稳定。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为便于后期的维护</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LED教室灯灯体和光源必须是分体结构，独立可拆卸光源、电源驱动设计。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可维护性高，整灯无需拆卸即可更换灯具光源、驱动。课间十分钟、自习五分钟，可处理灯具不亮、维修等问题。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灯具使用寿命到期后，仅仅需要更换光源或驱动即可完成二次寿命更新</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每灯光源或驱动均以很低的代价更换即可完成灯具二次寿命更新使用。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发光方式：直发光。光源功率冗余量须高于灯具额定功率，即灯具LED模组光源颗数乘以光源额定功率之积是灯具额定功率的四倍以上</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灯具安装采用伸缩吊杆，安装简便易操作。无需借助具即可更换和灯具。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照明系统要具有可扩展性、可升级性，以便将来升级为智慧照明系统。</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显色指数：Ra≥96。R9值实测≥93；色温：5000K±100K；</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光生物危害为无危险类。</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课桌面维持平均照度≥300lx；教室统一眩光（UGR值）≤16；上述数值使用的维护系数为0.8。</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49</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辅材配件</w:t>
            </w:r>
            <w:r>
              <w:rPr>
                <w:rFonts w:ascii="宋体" w:hAnsi="宋体" w:cs="宋体"/>
              </w:rPr>
            </w:r>
            <w:r/>
          </w:p>
        </w:tc>
        <w:tc>
          <w:tcPr>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连接线、控制器、高清视频线、铜芯线+86型插座灯具+PVC线管等辅材</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项</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50</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拍摄相机</w:t>
            </w:r>
            <w:r>
              <w:rPr>
                <w:rFonts w:ascii="宋体" w:hAnsi="宋体" w:cs="宋体"/>
              </w:rPr>
            </w:r>
            <w:r/>
          </w:p>
        </w:tc>
        <w:tc>
          <w:tcPr>
            <w:shd w:val="clear" w:color="auto" w:fill="ffffff"/>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焦距规格：焦距范围≥18-45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，满足广角至中焦段拍摄需求，适配多种场景构图。​</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最大光圈：F2.8-F4，兼顾大光圈虚化与较充足进光量，适应暗光及人像拍摄。​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最小光圈：F22-F32，支持小光圈下长曝光、大景深拍摄，满足创意摄影需求。​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对焦能力：最近对焦距离约0.2米（18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时），支持近距离特写拍摄，呈现细节纹理。</w:t>
            </w:r>
            <w:r>
              <w:rPr>
                <w:rFonts w:ascii="宋体" w:hAnsi="宋体" w:cs="宋体"/>
              </w:rPr>
            </w:r>
            <w:r/>
          </w:p>
        </w:tc>
        <w:tc>
          <w:tcPr>
            <w:gridSpan w:val="2"/>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shd w:val="clear" w:color="auto" w:fill="ffffff"/>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51</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摄影闪光灯双灯套装</w:t>
            </w:r>
            <w:r>
              <w:rPr>
                <w:rFonts w:ascii="宋体" w:hAnsi="宋体" w:cs="宋体"/>
              </w:rPr>
            </w:r>
            <w:r/>
          </w:p>
        </w:tc>
        <w:tc>
          <w:tcPr>
            <w:shd w:val="clear" w:color="auto" w:fill="ffffff"/>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造型灯功率：≥150W；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闪光指数：≥65GN；</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闪光能量：≥400W；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闪光触发控制：内置接收器；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造型灯挡位：5%-100%；</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2.8</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灯架*2；</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60*90柔光箱*2。</w:t>
            </w:r>
            <w:r>
              <w:rPr>
                <w:rFonts w:ascii="宋体" w:hAnsi="宋体" w:cs="宋体"/>
              </w:rPr>
            </w:r>
            <w:r/>
          </w:p>
        </w:tc>
        <w:tc>
          <w:tcPr>
            <w:gridSpan w:val="2"/>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52</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摄影箱</w:t>
            </w:r>
            <w:r>
              <w:rPr>
                <w:rFonts w:ascii="宋体" w:hAnsi="宋体" w:cs="宋体"/>
              </w:rPr>
            </w:r>
            <w:r/>
          </w:p>
        </w:tc>
        <w:tc>
          <w:tcPr>
            <w:shd w:val="clear" w:color="auto" w:fill="ffffff"/>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尺寸：≥L60×W60×H60</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，适合多种小物件拍摄；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材质：棚体通过框架钢管组装，搭配透光性好、不易变形的柔光布；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光源：配备高亮度、高显色指数的LED灯珠，加装电流芯片保护，全身铝基板散热，灯珠寿命长，棚内亮度≥10000LUX；</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调光功能：支持无极调光，有恒流保护功能，可自由调节光源，满足不同场景需要；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支持俯视拍摄、小窗口拍摄、全开拍摄、半小窗口拍摄四种拍摄模式；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摄影棚CRI指数＞95，TLCI指数＞97，光线自然柔和无频闪。</w:t>
            </w:r>
            <w:r>
              <w:rPr>
                <w:rFonts w:ascii="宋体" w:hAnsi="宋体" w:cs="宋体"/>
              </w:rPr>
            </w:r>
            <w:r/>
          </w:p>
        </w:tc>
        <w:tc>
          <w:tcPr>
            <w:gridSpan w:val="2"/>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53</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桌面直播机</w:t>
            </w:r>
            <w:r>
              <w:rPr>
                <w:rFonts w:ascii="宋体" w:hAnsi="宋体" w:cs="宋体"/>
              </w:rPr>
            </w:r>
            <w:r/>
          </w:p>
        </w:tc>
        <w:tc>
          <w:tcPr>
            <w:shd w:val="clear" w:color="auto" w:fill="ffffff"/>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主要配置及参数：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1.不低于8核64位处理器，CPU主频≥2.84Ghz；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2.存储：不低于12G RA</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+128G RO</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3.编解码能力，最高支持8K@60fps解码，8K@30fps编码；</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4.屏幕：≥12英寸2K触摸全面屏；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5.摄像头：≥5000W像素摄像头；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6.电池容量：≥20100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Ah；</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7.网络连接方式：支持双频WI-FI、蓝牙5.0、千兆有线网络；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8.音频输入输出：双线性阵列数字麦克风，双立体音喇叭；</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9.接口数量：不得低于1* Type A USB 3.0；1* Type C USB3.0；1* Type C USB2.0（OTG），支持外接声卡</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麦克风；</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 HD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I-IN（最高输入4K</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30fps）；1* HD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I-OUT（最高输出1080p</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60fps），支持外接扩展显示器；1* </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IC IN，支持外接3.5</w:t>
            </w:r>
            <w:r>
              <w:rPr>
                <w:rFonts w:hint="eastAsia" w:ascii="宋体" w:hAnsi="宋体" w:eastAsia="宋体" w:cs="宋体"/>
                <w:i w:val="0"/>
                <w:color w:val="000000"/>
                <w:sz w:val="21"/>
                <w:szCs w:val="21"/>
                <w:highlight w:val="none"/>
                <w:u w:val="none"/>
                <w:lang w:val="en-US" w:eastAsia="zh-CN" w:bidi="ar"/>
              </w:rPr>
              <w:t xml:space="preserve">mmm</w:t>
            </w:r>
            <w:r>
              <w:rPr>
                <w:rFonts w:hint="eastAsia" w:ascii="宋体" w:hAnsi="宋体" w:eastAsia="宋体" w:cs="宋体"/>
                <w:i w:val="0"/>
                <w:color w:val="000000"/>
                <w:sz w:val="21"/>
                <w:szCs w:val="21"/>
                <w:highlight w:val="none"/>
                <w:u w:val="none"/>
                <w:lang w:val="en-US" w:eastAsia="zh-CN" w:bidi="ar"/>
              </w:rPr>
              <w:t xml:space="preserve">麦克风；1* AUDIO OUT，支持外接耳机；支持外接采集卡+单反相机；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10.支持双机位、画中画，绿幕背景，无线投屏等丰富软件功能。</w:t>
            </w:r>
            <w:r>
              <w:rPr>
                <w:rFonts w:ascii="宋体" w:hAnsi="宋体" w:cs="宋体"/>
              </w:rPr>
            </w:r>
            <w:r/>
          </w:p>
        </w:tc>
        <w:tc>
          <w:tcPr>
            <w:gridSpan w:val="2"/>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54</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直播相机</w:t>
            </w:r>
            <w:r>
              <w:rPr>
                <w:rFonts w:ascii="宋体" w:hAnsi="宋体" w:cs="宋体"/>
              </w:rPr>
            </w:r>
            <w:r/>
          </w:p>
        </w:tc>
        <w:tc>
          <w:tcPr>
            <w:shd w:val="clear" w:color="auto" w:fill="ffffff"/>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像素</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不低于2000-2999万；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功能</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自拍、延时拍摄、遥控拍摄；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取景器类型</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光学取景器；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场景模式</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肖像、风景、微距、运动、日落、夜景肖像、夜景；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外接电源</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不支持外接电源；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存储介质</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SD卡；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接口</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HD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I；Wi-Fi；</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最大光圈</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F3.5；</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液晶屏尺寸</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≥3.0英寸；</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液晶屏类型</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普通屏；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滤镜直径</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58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画幅</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APS-C画幅；</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连拍速度</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最高约3张</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秒。</w:t>
            </w:r>
            <w:r>
              <w:rPr>
                <w:rFonts w:ascii="宋体" w:hAnsi="宋体" w:cs="宋体"/>
              </w:rPr>
            </w:r>
            <w:r/>
          </w:p>
        </w:tc>
        <w:tc>
          <w:tcPr>
            <w:gridSpan w:val="2"/>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55</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直播采集卡</w:t>
            </w:r>
            <w:r>
              <w:rPr>
                <w:rFonts w:ascii="宋体" w:hAnsi="宋体" w:cs="宋体"/>
              </w:rPr>
            </w:r>
            <w:r/>
          </w:p>
        </w:tc>
        <w:tc>
          <w:tcPr>
            <w:shd w:val="clear" w:color="auto" w:fill="ffffff"/>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Type-C视频采集卡；                                                                                                                                                                                  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HD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I输入：支持分辨率高达4K</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60Hz HD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I环出：支持分辨率高达4K</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60Hz HD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I输入格式：RGB、YCbCr 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0；                                                               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采集输出：支持分辨率 1080P</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60Hz Type-C接口：USB 3.0，传输速率≥5Gbps；                                                                                                               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音频接口：支持3.5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 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4 极耳机和3.5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 2极耳机 音频输出功率：≥40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W 音频频率响应：20Hz~20KHz±0.5dB 音频输入：信噪比≥90dB；失真率：&lt;-80dB；                                                                                                                                                                                             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配线：≥0.5</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                                                                                                                                                                                          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操作系统：Windows7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acOS 10.5及以上，Linux kernel 2.4.6及以上；                                                                                                                    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尺寸：≥L90*W60*H21（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gridSpan w:val="2"/>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56</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无线领夹麦克风</w:t>
            </w:r>
            <w:r>
              <w:rPr>
                <w:rFonts w:ascii="宋体" w:hAnsi="宋体" w:cs="宋体"/>
              </w:rPr>
            </w:r>
            <w:r/>
          </w:p>
        </w:tc>
        <w:tc>
          <w:tcPr>
            <w:shd w:val="clear" w:color="auto" w:fill="ffffff"/>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支持2发1收，传输距离≥100米；</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超强抗干扰，2.4G自动跳频，无需调频；</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超低延时，延时＜5</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s；</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DSP智能降噪技术有效过滤环境噪音，保留原声细节，便于后期剪辑调音；</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小体积，发射器体积37*37*17.5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长续航，发射器4h，接收器7.5h，配合收纳盒可以使用18h</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2个发射器轮流充电使用；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内置全指向型麦克风，20Hz~20KHz 频响范围；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发射器、接收器均可一键关闭麦克风；</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领夹式，易拆装防风置，使用方便；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自动配对、自动连接，功能设置简便，取出即用，放入即充；</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独特蝙蝠避障增稳技术，以8000次</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秒频率扫描周围频点，智能选择优质频点连接，确保传输稳定性；</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安全音轨模式自动降低声音≥6dB，有效防止爆音。</w:t>
            </w:r>
            <w:r>
              <w:rPr>
                <w:rFonts w:ascii="宋体" w:hAnsi="宋体" w:cs="宋体"/>
              </w:rPr>
            </w:r>
            <w:r/>
          </w:p>
        </w:tc>
        <w:tc>
          <w:tcPr>
            <w:gridSpan w:val="2"/>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57</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桌面音响</w:t>
            </w:r>
            <w:r>
              <w:rPr>
                <w:rFonts w:ascii="宋体" w:hAnsi="宋体" w:cs="宋体"/>
              </w:rPr>
            </w:r>
            <w:r/>
          </w:p>
        </w:tc>
        <w:tc>
          <w:tcPr>
            <w:shd w:val="clear" w:color="auto" w:fill="ffffff"/>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功能参数​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音频连接方式​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（1）蓝牙连接：支持蓝牙5.0版本，可与手机、平板、电脑等蓝牙设备无线配对，实现音频无线传输，有效传输距离不低于10米；</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（2）TF卡读取：具备TF卡读取功能，支持</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P3、W</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A等常见音频格式，可直接播放TF卡内存储的音频文件；​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（3）AUX接口：配备AUX接口，通过音频线可连接电视、CD机等外部设备，拓展音频输入来源；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外壳材质：采用优质塑胶材质，具备良好的耐磨性、抗冲击性；表面经特殊工艺处理，手感舒适，不易沾染指纹，且符合相关防火安全标准；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额定功率：≤5W；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功放规格：双声道功放设计，每声道功率5瓦，支持立体声播放，提供强劲音频输出；​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播放时间：满电状态下，连续播放时间为4-6小时；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电池容量：≥3600毫安。</w:t>
            </w:r>
            <w:r>
              <w:rPr>
                <w:rFonts w:ascii="宋体" w:hAnsi="宋体" w:cs="宋体"/>
              </w:rPr>
            </w:r>
            <w:r/>
          </w:p>
        </w:tc>
        <w:tc>
          <w:tcPr>
            <w:gridSpan w:val="2"/>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58</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直播声卡</w:t>
            </w:r>
            <w:r>
              <w:rPr>
                <w:rFonts w:ascii="宋体" w:hAnsi="宋体" w:cs="宋体"/>
              </w:rPr>
            </w:r>
            <w:r/>
          </w:p>
        </w:tc>
        <w:tc>
          <w:tcPr>
            <w:shd w:val="clear" w:color="auto" w:fill="ffffff"/>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功耗</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3.7V 500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A1.5W 电池</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AH；</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耳机输出</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40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W不失真；</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主机外壳</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ABS树脂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按键</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实体按键+硅胶；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灯光</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不少于71个三色灯；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CU+DSP</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1核</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CU+2核DSP；</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边用边充电</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支持；</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数字接口</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1个；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蓝牙伴奏</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可清除配对；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48V接口</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1个；</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满电使用时间</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4-5小时</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开48V、动画灯效</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特效</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不低于7个内置+4个自定义</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可面板替换、可录音、录音15S</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采样支持</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44.1K\48K 16bit立体声；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低电量时声卡电量格会变色用以提醒用户连接电源充电</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gridSpan w:val="2"/>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59</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补光灯双灯套装</w:t>
            </w:r>
            <w:r>
              <w:rPr>
                <w:rFonts w:ascii="宋体" w:hAnsi="宋体" w:cs="宋体"/>
              </w:rPr>
            </w:r>
            <w:r/>
          </w:p>
        </w:tc>
        <w:tc>
          <w:tcPr>
            <w:shd w:val="clear" w:color="auto" w:fill="ffffff"/>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色温：5500K±200K；</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功率：≥90W；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灯具遥控：支持远程调控；</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调光范围：0%-100%；</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静音风机：支持风机关闭全静音模式；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支架：280</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灯箱：60*90</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方形灯箱+65</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球形灯箱。</w:t>
            </w:r>
            <w:r>
              <w:rPr>
                <w:rFonts w:ascii="宋体" w:hAnsi="宋体" w:cs="宋体"/>
              </w:rPr>
            </w:r>
            <w:r/>
          </w:p>
        </w:tc>
        <w:tc>
          <w:tcPr>
            <w:gridSpan w:val="2"/>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60</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电动绿幕</w:t>
            </w:r>
            <w:r>
              <w:rPr>
                <w:rFonts w:ascii="宋体" w:hAnsi="宋体" w:cs="宋体"/>
              </w:rPr>
            </w:r>
            <w:r/>
          </w:p>
        </w:tc>
        <w:tc>
          <w:tcPr>
            <w:shd w:val="clear" w:color="auto" w:fill="ffffff"/>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使用方式：悬挂安装、电动升降；</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产品尺寸：≥宽2.5米*高2.5米；</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幕布材质：加厚牛津布，不反光，不透光；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电机：低噪电机，使用噪音不高于48分贝。</w:t>
            </w:r>
            <w:r>
              <w:rPr>
                <w:rFonts w:ascii="宋体" w:hAnsi="宋体" w:cs="宋体"/>
              </w:rPr>
            </w:r>
            <w:r/>
          </w:p>
        </w:tc>
        <w:tc>
          <w:tcPr>
            <w:gridSpan w:val="2"/>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61</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48口交换机</w:t>
            </w:r>
            <w:r>
              <w:rPr>
                <w:rFonts w:ascii="宋体" w:hAnsi="宋体" w:cs="宋体"/>
              </w:rPr>
            </w:r>
            <w:r/>
          </w:p>
        </w:tc>
        <w:tc>
          <w:tcPr>
            <w:shd w:val="clear" w:color="auto" w:fill="ffffff"/>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接口数量：不低于48个10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100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1000BASE-T以太网端口，4个千兆SFP；</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交换容量：≥432Gbps</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4.32Tbps；</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包转发率：≥87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166</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ppS；</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管理类型：全网管；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电源：内置AC电源；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功耗：≤50.4W；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散热方式：风冷散热，智能调速；</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规格：≥19英寸</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标准机架</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适用网络：中小型网络；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电源电压：额定电压：100V AC～240V AC；50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60Hz；输入电压：90V AC～264V AC；47Hz～63Hz。</w:t>
            </w:r>
            <w:r>
              <w:rPr>
                <w:rFonts w:ascii="宋体" w:hAnsi="宋体" w:cs="宋体"/>
              </w:rPr>
            </w:r>
            <w:r/>
          </w:p>
        </w:tc>
        <w:tc>
          <w:tcPr>
            <w:gridSpan w:val="2"/>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62</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24口交换机</w:t>
            </w:r>
            <w:r>
              <w:rPr>
                <w:rFonts w:ascii="宋体" w:hAnsi="宋体" w:cs="宋体"/>
              </w:rPr>
            </w:r>
            <w:r/>
          </w:p>
        </w:tc>
        <w:tc>
          <w:tcPr>
            <w:shd w:val="clear" w:color="auto" w:fill="ffffff"/>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接口数量：不低于24个10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100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1000BASE-T以太网端口，4个千兆SFP；</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交换容量：≥48Gbps；</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包转发率：≥35.71</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ppS；</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管理类型：全网管；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电源：内置AC电源；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功耗：≤14.23W；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散热方式：无风扇自然散热；</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适用网络：中小型网络；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电源电压：输入电压：100V AC～240V AC；50Hz～60Hz。</w:t>
            </w:r>
            <w:r>
              <w:rPr>
                <w:rFonts w:ascii="宋体" w:hAnsi="宋体" w:cs="宋体"/>
              </w:rPr>
            </w:r>
            <w:r/>
          </w:p>
        </w:tc>
        <w:tc>
          <w:tcPr>
            <w:gridSpan w:val="2"/>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63</w:t>
            </w:r>
            <w:r>
              <w:rPr>
                <w:rFonts w:ascii="宋体" w:hAnsi="宋体" w:cs="宋体"/>
              </w:rPr>
            </w:r>
            <w:r/>
          </w:p>
        </w:tc>
        <w:tc>
          <w:tcPr>
            <w:gridSpan w:val="2"/>
            <w:shd w:val="clear" w:color="auto" w:fill="ffffff"/>
            <w:tcMar>
              <w:left w:w="15" w:type="dxa"/>
              <w:top w:w="15" w:type="dxa"/>
              <w:right w:w="15" w:type="dxa"/>
            </w:tcMar>
            <w:tcW w:w="154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24口交换机</w:t>
            </w:r>
            <w:r>
              <w:rPr>
                <w:rFonts w:ascii="宋体" w:hAnsi="宋体" w:cs="宋体"/>
              </w:rPr>
            </w:r>
            <w:r/>
          </w:p>
        </w:tc>
        <w:tc>
          <w:tcPr>
            <w:shd w:val="clear" w:color="auto" w:fill="ffffff"/>
            <w:tcMar>
              <w:left w:w="15" w:type="dxa"/>
              <w:top w:w="15" w:type="dxa"/>
              <w:right w:w="15" w:type="dxa"/>
            </w:tcMar>
            <w:tcW w:w="6396"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接口数量：不低于24个10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100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1000BASE-T以太网端口，4个千兆SFP；</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交换容量：≥48Gbps；</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包转发率：≥35.71</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ppS；</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管理类型：全网管；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电源：内置AC电源；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功耗：≤14.23W；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散热方式：无风扇自然散热；</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适用网络：中小型网络；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电源电压：输入电压：100V AC～240V AC；50Hz～60Hz。</w:t>
            </w:r>
            <w:r>
              <w:rPr>
                <w:rFonts w:ascii="宋体" w:hAnsi="宋体" w:cs="宋体"/>
              </w:rPr>
            </w:r>
            <w:r/>
          </w:p>
        </w:tc>
        <w:tc>
          <w:tcPr>
            <w:gridSpan w:val="2"/>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r>
      <w:tr>
        <w:trPr>
          <w:trHeight w:val="340"/>
        </w:trPr>
        <w:tc>
          <w:tcPr>
            <w:gridSpan w:val="7"/>
            <w:shd w:val="clear" w:color="auto" w:fill="ffffff"/>
            <w:tcMar>
              <w:left w:w="15" w:type="dxa"/>
              <w:top w:w="15" w:type="dxa"/>
              <w:right w:w="15" w:type="dxa"/>
            </w:tcMar>
            <w:tcW w:w="9924"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b/>
                <w:bCs/>
                <w:i w:val="0"/>
                <w:color w:val="000000"/>
                <w:sz w:val="21"/>
                <w:szCs w:val="21"/>
                <w:highlight w:val="none"/>
                <w:u w:val="none"/>
                <w:lang w:val="en-US" w:eastAsia="zh-CN" w:bidi="ar"/>
              </w:rPr>
              <w:t xml:space="preserve">商务管理系-快递产业实训</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门禁模块</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电磁锁</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取件软件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门禁控制器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智能盒子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USB中继HUB</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烟雾报警器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玻璃门</w:t>
            </w:r>
            <w:r>
              <w:rPr>
                <w:rFonts w:hint="eastAsia" w:ascii="宋体" w:hAnsi="宋体" w:eastAsia="宋体" w:cs="宋体"/>
                <w:i w:val="0"/>
                <w:color w:val="000000"/>
                <w:sz w:val="21"/>
                <w:szCs w:val="21"/>
                <w:highlight w:val="none"/>
                <w:u w:val="none"/>
                <w:lang w:val="en-US" w:eastAsia="zh-CN" w:bidi="ar"/>
              </w:rPr>
              <w:t xml:space="preserve">U</w:t>
            </w:r>
            <w:r>
              <w:rPr>
                <w:rFonts w:hint="eastAsia" w:ascii="宋体" w:hAnsi="宋体" w:eastAsia="宋体" w:cs="宋体"/>
                <w:i w:val="0"/>
                <w:color w:val="000000"/>
                <w:sz w:val="21"/>
                <w:szCs w:val="21"/>
                <w:highlight w:val="none"/>
                <w:u w:val="none"/>
                <w:lang w:val="en-US" w:eastAsia="zh-CN" w:bidi="ar"/>
              </w:rPr>
              <w:t xml:space="preserve">型支架</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定制高拍仪</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一、性能参数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系统：Android</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性能：Rockchip RK3399，1.8GHz</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双 Cortex-A72 大核+四 Contex-A53小核 64-biCPU</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内存：RA</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 4G+ RO</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 64G</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存储：支持TF卡，最大支持128GB</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WIFI：内置WIFI，支持双频，单天线，2.4G/5G/WiFi-双模通信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二、基本参数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分辨率：4K高清彩色摄像头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条码识别：一维码</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Code39. Code93. Code128. CodeBar. EAN. ITF25等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最大读码速度：&gt;45件/</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in</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人脸检测：支持人脸检测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外部接口：DC电源头1、千兆网口+1、USB接口+2、HD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I1</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供电：DC12V，2A</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外形尺寸：525 </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&gt;555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&gt;920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温度：工作温度</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-10-50℃，储藏温度</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-30-70℃</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扫描枪</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内存配置：6GB RO</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 ：128GB RA</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操作系统：Android</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处理器：八核64位，2.45GHz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显示屏：5.7英寸彩色全面屏</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720×1440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扫描：专业扫描头，支持扫描主流的一维和二维码，支持屏幕扫码</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摄像头：前置500W像素，后置1300W摄像头，支持闪光灯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防护等级：IP67</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WiFi：双频WiFi（支持 2.4GHz/5GHz）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定位：北斗+GPS双定位，精度达0.3-1.5米</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NFC：支持NFC读取功能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扫描：专业扫描头，支持扫描主流的一维和二维码，支持屏幕扫码</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卡槽类型：Nano-SI</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×2 、</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icro SD最大可支持256GB扩展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主电池：3.85V 5000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Ah可充电锂电池</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自助查件终端</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1.显示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屏幕：18.5 英寸IPS屏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分辨率：1920×1080</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亮度：300 cd/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²</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对比度：1000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显示比例/显示区域：16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9/显示区域：414×234</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2.配置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CPU：四核，主频1.8GHz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内存：2GB</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闪存：32GB</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3.网络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WIFI：支持连接WIFI上网（802.11b/g/n）</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以太网：支持网线上网</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蓝牙：蓝牙4.2</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3G/4G：支持外接3G/4G USB dongle上网</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4.接口</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TF：1个TF卡槽（最大支持32GB）</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USB2.0：2个接口（支持U盘、鼠标、键盘、打印机等连接）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RJ45：1个网线接口</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耳机插孔：1个3.5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接口</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HD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I out：1个标准HD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I输出接口</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电源插孔：1个5.5×2.1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 DC电源插孔</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5.多媒体</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视频格式：支持</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PEG-1、</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PEG-2、</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PEG-4、H.263、H.264、VC1、RV等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音频格式：支持</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P3、W</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A、AAC等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图片格式：JPEG、JPG</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6.其它参数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无线鼠标键盘：支持</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喇叭：2个2W喇叭</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摄像头：标配2.0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P（5.0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P可选）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OSD语言：中、英、德、韩、俄等多国语言</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快递管理系统标识终端</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产品尺寸：不小于100×115×55（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打印方式：热敏式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打印速度：60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/s</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装纸宽度：25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-80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 自由调节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打印宽度：≤72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分辨率：203dpi</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通讯接口：Type C USB，双模蓝牙4.0</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标签类型：热敏标签纸（蓝色/白色底纸）、热敏连续纸</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电动手推车</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最大载重：≥200kg</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整机重量：≥34kg</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电池重量：</w:t>
            </w:r>
            <w:r>
              <w:rPr>
                <w:rFonts w:hint="eastAsia" w:ascii="宋体" w:hAnsi="宋体" w:eastAsia="宋体" w:cs="宋体"/>
                <w:i w:val="0"/>
                <w:color w:val="000000"/>
                <w:sz w:val="21"/>
                <w:szCs w:val="21"/>
                <w:highlight w:val="none"/>
                <w:u w:val="none"/>
                <w:lang w:val="en-US" w:eastAsia="zh-CN" w:bidi="ar"/>
              </w:rPr>
              <w:t xml:space="preserve">约</w:t>
            </w:r>
            <w:r>
              <w:rPr>
                <w:rFonts w:hint="eastAsia" w:ascii="宋体" w:hAnsi="宋体" w:eastAsia="宋体" w:cs="宋体"/>
                <w:i w:val="0"/>
                <w:color w:val="000000"/>
                <w:sz w:val="21"/>
                <w:szCs w:val="21"/>
                <w:highlight w:val="none"/>
                <w:u w:val="none"/>
                <w:lang w:val="en-US" w:eastAsia="zh-CN" w:bidi="ar"/>
              </w:rPr>
              <w:t xml:space="preserve">4kg</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额定重量：</w:t>
            </w:r>
            <w:r>
              <w:rPr>
                <w:rFonts w:hint="eastAsia" w:ascii="宋体" w:hAnsi="宋体" w:eastAsia="宋体" w:cs="宋体"/>
                <w:i w:val="0"/>
                <w:color w:val="000000"/>
                <w:sz w:val="21"/>
                <w:szCs w:val="21"/>
                <w:highlight w:val="none"/>
                <w:u w:val="none"/>
                <w:lang w:val="en-US" w:eastAsia="zh-CN" w:bidi="ar"/>
              </w:rPr>
              <w:t xml:space="preserve">约</w:t>
            </w:r>
            <w:r>
              <w:rPr>
                <w:rFonts w:hint="eastAsia" w:ascii="宋体" w:hAnsi="宋体" w:eastAsia="宋体" w:cs="宋体"/>
                <w:i w:val="0"/>
                <w:color w:val="000000"/>
                <w:sz w:val="21"/>
                <w:szCs w:val="21"/>
                <w:highlight w:val="none"/>
                <w:u w:val="none"/>
                <w:lang w:val="en-US" w:eastAsia="zh-CN" w:bidi="ar"/>
              </w:rPr>
              <w:t xml:space="preserve">100kg</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续航里程：≥25k</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最大爬坡角度：≥7°</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平地速度范围：0~12k</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/h</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防护/噪音：防护等级：IP54</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防护/噪音：最大噪音：≤65dB</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手推车（高×长×宽）：1100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×1050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电池长度：</w:t>
            </w:r>
            <w:r>
              <w:rPr>
                <w:rFonts w:hint="eastAsia" w:ascii="宋体" w:hAnsi="宋体" w:eastAsia="宋体" w:cs="宋体"/>
                <w:i w:val="0"/>
                <w:color w:val="000000"/>
                <w:sz w:val="21"/>
                <w:szCs w:val="21"/>
                <w:highlight w:val="none"/>
                <w:u w:val="none"/>
                <w:lang w:val="en-US" w:eastAsia="zh-CN" w:bidi="ar"/>
              </w:rPr>
              <w:t xml:space="preserve">约</w:t>
            </w:r>
            <w:r>
              <w:rPr>
                <w:rFonts w:hint="eastAsia" w:ascii="宋体" w:hAnsi="宋体" w:eastAsia="宋体" w:cs="宋体"/>
                <w:i w:val="0"/>
                <w:color w:val="000000"/>
                <w:sz w:val="21"/>
                <w:szCs w:val="21"/>
                <w:highlight w:val="none"/>
                <w:u w:val="none"/>
                <w:lang w:val="en-US" w:eastAsia="zh-CN" w:bidi="ar"/>
              </w:rPr>
              <w:t xml:space="preserve">160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配套组件：手推车、连接部件、平板车</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辆</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7</w:t>
            </w:r>
            <w:r>
              <w:rPr>
                <w:rFonts w:ascii="宋体" w:hAnsi="宋体" w:cs="宋体"/>
              </w:rPr>
            </w:r>
            <w:r/>
          </w:p>
        </w:tc>
        <w:tc>
          <w:tcPr>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驿站管理系统</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一、智能入库管理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面单智能识别：采用先进图像识别算法，支持任意角度、断帧、污损面单的条形码快速识别</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自动信息提取：扫描面单时自动带出手机号，老用户手机号智能纠错，自动区分新老客户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隐私面单优化：特别优化电商平台 </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如拼多多</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 隐私面单识别能力，自动关联客户历史寄件记录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极速批量处理：支持一次性扫描多个包裹，系统自动生成入库记录，大幅减少人工操作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二、通知与取件管理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三通道通知：微信、短信、云呼三种取件通知方式，失败自动重试，确保100% 触达率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公众号通知：支持通过公众号推送取件通知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扫码取件：顾客到驿站后直接扫码取件，无需翻短信或报取件码，系统自动同步取件信息，防止漏件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取件码管理：支持自定义取件码规则，取件时系统自动验证</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三、个性化设置与品牌管理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自定义品牌库：自主管理派件/寄件品牌，灵活设置合作快递公司，优化出入库流程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路由开关功能：手机端新增路由管理，可灵活调整配送路线，与快递员合作更便捷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入库规则定制：支持设置不同快递公司、不同类型包裹的入库规则</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多店铺支持：可同时管理多个驿站，实现连锁化运营，数据统一分析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四、寄件服务与便捷操作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运费计算：系统内置运费计算功能，支持多种快递服务类型价格查询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地址管理：自动保存常用寄收件地址，一键选择，提高寄件效率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禁寄品查询：内置禁寄品数据库，寄件前自动校验，降低违规风险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快速查询：扫描运单条码或输入运单号，立即定位包裹位置，支持多条件筛选查询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数据统计：实时统计收件、寄件数量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五、结算与财务管理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财务报表：自动生成收寄件统计、费用结算报表，支持多维度数据分析，优化经营决策</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六、系统集成与数据安全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快递系统对接：与快递系统无缝集成，实时同步物流数据，确保信息准确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多用户协作：支持团队分工操作，设置不同权限，提升整体工作效率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数据加密：敏感信息 </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如客户手机号、地址</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 加密存储，多级权限控制，保障数据安全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异常提醒：系统自动监测异常情况 </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如包裹滞留、库存异常</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，及时预警</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七、其他实用功能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自动记录：系统自动整理收发件记录，无需手动登记，减少错误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云存储：数据云端备份，防止本地数据丢失，确保业务连续性</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8</w:t>
            </w:r>
            <w:r>
              <w:rPr>
                <w:rFonts w:ascii="宋体" w:hAnsi="宋体" w:cs="宋体"/>
              </w:rPr>
            </w:r>
            <w:r/>
          </w:p>
        </w:tc>
        <w:tc>
          <w:tcPr>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无人车</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1.使用环境要求：满足环境温湿度要求，支持夜间、雨雪天气正常使用，支持公众电信网覆盖下的各种道路行驶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2.整车尺寸要求：满足无人车长、宽、高要求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3.速度要求：无人车设计速度应符合业务场景要求及政府相关规定，并具有限速功能，可按当地交通管理部门的规定和使用部门要求限制行驶速度</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4.续航里程（k</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）：满载不小于100k</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5.动力电池要求：无人车动力电池容量不低于7.8kWh，电池不起火、不爆炸</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6.整车质量（kg）：不超过800kg</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7.最大装载质量：不低于300kg</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8.最小离地间隙：不小于120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9.接近角和离去角：均不小于18°</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10.操作屏幕：无人车应配备操作屏幕，尺寸不小于7寸，分辨率不低于1024*600，具备防震动、防静电性能，达到IP65防尘防水，其位置应在无人车行驶方向右侧或后方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11.充电系统：支持线充、换电两种充电模式的任意一种，应该配备充电器/充电枪，充电时长&lt;5.5h，传导充电用连接装置、充电接口功能和尺寸应符合相关标准规定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12.车辆爬坡能力：爬坡度应不低于20%（11.3°），无人车在坡度为20%的坡道上起步，不溜坡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13.自动驾驶功能：无人车厂商应具备L4级及以上自动驾驶能力</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14.货箱要求：单格口货箱容积3≤V＜5立方米；支持货箱内监控功能；采用侧开门、后开门、顶开门等不同结构方式；经过漏水检测；具有应急开厢功能；支持软件远程开锁和机械开锁两种形式；以及其它要求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15.运营支撑：提供远程监控保障措施，通过厂商云控平台实时监控车辆的行驶状态，建立人车报警处理流程、自动驾驶风险问题提报流程、事故处理流程来保障无人车运营，并与采购方建立联动机制</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9</w:t>
            </w:r>
            <w:r>
              <w:rPr>
                <w:rFonts w:ascii="宋体" w:hAnsi="宋体" w:cs="宋体"/>
              </w:rPr>
            </w:r>
            <w:r/>
          </w:p>
        </w:tc>
        <w:tc>
          <w:tcPr>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大数据供应链实践软件平台</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1.大数据供应链实践平台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1.1平台应包含软件教师管理员界面，学生使用者界面，结合当前已开设、正在开设课程进行展示，能够及时管理查看学生学习数据，提升学生自主学习意识，实现个性化教学指导。</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1.2数据同步：支持接入的数据源类型：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1.2.1</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ysql/Oracle/SQLServer/Hana/PostgreSQL；</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1.2.2申请接入支持单表、批量在线和批量上传Excel方式接入尚未接入过的数据；无需进行代码编写，仅需按照步骤填写后提交流程.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1.2.3对于接入申请，需管理员审批；管理员审批同意后，生成任务，避免接入无效数据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1.3离线作业调度</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1.3.1任务开发管理，支持ETL任务，Hive任务，ZIP任务，Shell任务，Python任务，工作流任务类型，同时任务类型支持按照分钟、小时、天、周、月、临时接口/上游触发等多种时间周期设置调度策略；提供在线代码编辑器、在线代码版本管理和在线测试功能进行代码逻辑验证。</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1.3.2支持任务信息展示，包括任务名称、授权模式、任务级别、开发人员、运维人员等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1.3.3支持代码版本管理，支持查看、删除、编辑版本</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可视化及自助分析，提供拖拽即可得的大数据自助可视化分析能力，面向业务和数据分析师的敏捷高效的商业智能分析和报表制作工具，支持多维度数据分析需求进行报表开发，支持多种图表样式近，包括表格、柱状图、折线图、散点图、地图、热力图、饼图各种各样的图表样式，满足不同的分析需求，服务不同的业务场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1.5租户管理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租户列表：展示当前一级租户下的租户树结构，标识我管理的、我参与的，我管理的支持编辑，我参与的支持退出，未参与的支持加入；支持多级租户形态，目前最多2级；租户信息：展示租户基本信息，支持添加租户管理员；租户应用：展示租户应用信息，支持查看、新建、下线；租户成员：展示租户成员信息，支持添加、编辑、删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1.6流程管理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展示当前一级租户下的所属流程，包含数据同步申请、库申请、表申请、任务发布申请等，支持撤销；我的待办：展示当前一级租户下待我审批的流程，支持快速同意或驳回，支持查看详情，据此完成审批；我的经办：展示当前一级租户下我已审批的流程，支持查看详情；</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1.7平台管理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1.7.1企业管理/用户管理Cas登录：支持添加用户，查看部门信息；非Cas登录：支持添加用户、编辑用户、重置密码，支持添加、编辑、删除部门信息；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1.7.2企业管理/角色管理支持新增、编辑自定义角色，用于流程模版审批节点；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1.7.3系统管理/流程模版支持新增、编辑、开启、关闭、删除流程模版，流程模版审批节点可关联系统角色（直属上级、租户管理员、应用管理员等）或自定义角色。</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gridSpan w:val="7"/>
            <w:tcMar>
              <w:left w:w="15" w:type="dxa"/>
              <w:top w:w="15" w:type="dxa"/>
              <w:right w:w="15" w:type="dxa"/>
            </w:tcMar>
            <w:tcW w:w="9924"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b/>
                <w:bCs/>
                <w:i w:val="0"/>
                <w:color w:val="000000"/>
                <w:sz w:val="21"/>
                <w:szCs w:val="21"/>
                <w:highlight w:val="none"/>
                <w:u w:val="none"/>
                <w:lang w:val="en-US" w:eastAsia="zh-CN" w:bidi="ar"/>
              </w:rPr>
              <w:t xml:space="preserve">商务管理系-智慧物流实训</w:t>
            </w:r>
            <w:r>
              <w:rPr>
                <w:rFonts w:ascii="宋体" w:hAnsi="宋体" w:cs="宋体"/>
              </w:rPr>
            </w:r>
            <w:r/>
          </w:p>
        </w:tc>
      </w:tr>
      <w:tr>
        <w:trPr>
          <w:trHeight w:val="340"/>
        </w:trPr>
        <w:tc>
          <w:tcPr>
            <w:gridSpan w:val="7"/>
            <w:shd w:val="clear" w:color="auto" w:fill="ffffff"/>
            <w:tcMar>
              <w:left w:w="15" w:type="dxa"/>
              <w:top w:w="15" w:type="dxa"/>
              <w:right w:w="15" w:type="dxa"/>
            </w:tcMar>
            <w:tcW w:w="9924"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b/>
                <w:i w:val="0"/>
                <w:color w:val="000000"/>
                <w:sz w:val="21"/>
                <w:szCs w:val="21"/>
                <w:highlight w:val="none"/>
                <w:u w:val="none"/>
              </w:rPr>
              <w:outlineLvl w:val="9"/>
              <w:suppressLineNumbers w:val="0"/>
            </w:pPr>
            <w:r>
              <w:rPr>
                <w:rFonts w:hint="eastAsia" w:ascii="宋体" w:hAnsi="宋体" w:eastAsia="宋体" w:cs="宋体"/>
                <w:b/>
                <w:i w:val="0"/>
                <w:color w:val="000000"/>
                <w:sz w:val="21"/>
                <w:szCs w:val="21"/>
                <w:highlight w:val="none"/>
                <w:u w:val="none"/>
                <w:lang w:val="en-US" w:eastAsia="zh-CN" w:bidi="ar"/>
              </w:rPr>
              <w:t xml:space="preserve">生产物流实训中心</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 </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信息处理终端</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1.定位设备：多点触控触摸板；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2.摄像头：720P高清摄像头</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3.支持物理防窥功能，保护个人隐私</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4.Intel Core i5或以上 </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 ≥16G内存</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6.显存≥4G</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 Windows 10 or 11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8.集成10/100/1000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以太网卡</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9.包含定制工位套件5套：尺寸约L1200×W600×H750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含标准办公座位）。结构：钢木结构；板面材质：优质E1级高密度实木颗粒板材；</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 </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 </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生产设备终端</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1.尺寸55英寸及以上</w:t>
            </w:r>
            <w:r>
              <w:rPr>
                <w:rFonts w:hint="eastAsia" w:ascii="宋体" w:hAnsi="宋体" w:eastAsia="宋体" w:cs="宋体"/>
                <w:b/>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用于对接智慧物流生产系统可视化显示。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简约外观，前拆式红外触摸框</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20点触控</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高灵敏度</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书写流畅</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 AG防炫光钢化玻璃</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莫氏7级硬度；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3.内置高性能书写软件</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软件支持2种画笔、3种擦除、9种颜色、5种图形及保存书写界面、保存书写界面、扫码分享、导出图片、邮件发送、插入图片等功能。实时批注功能：可在任意系统界面进行批注并支持扫码带走、书写界面保存等功能；无线投屏功能：支持软件加硬件两种模式；支持手机、平板、手机投屏，手机端+PAPA发射器（支持触摸互控）支持画面投屏，音频、视频、图片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迎宾功能：内有12类行业几十个模版可选；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悬浮导航助手：可快捷打开主页、内置电脑、计算器、白板、设置、浏览器等常用功能；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内置2.4G/5G双频，双网卡</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支持无线上网和WIFI热点同时使用；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智能休眠、触屏唤醒、一键节能</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环保省电</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延长使用寿命；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预留OPS接口，可扩展双系统</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Windows+安卓）。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标配四画面投屏器。</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 </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 </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RF手持操作设备</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显示屏5.5英寸高清全面屏（18：9），IPS IGZO 1440×720触控屏，支持多点触控，支持手套或湿手操作，电池容量：主机可拆卸电池（4420 </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Ah），待机时间≥400小时，工作时间≥10小时，充电时间≤2.5小时，通讯接口：USB Type-C，USB3.0，OTG；音频：2个麦克风，1个用于降噪，背面；1个扬声器；听筒；键盘：1个电源键+2个扫描键+2个音量键；传感器：加速度传感器、光线传感器、距离传感器、重力传感器；通知：声音、LED指示灯、振动；处理器：八核，2.0GHz；存储：RA</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+RO</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 3GB+32GB；操作系统：Android 11；工作温度：-20 ℃至+50 ℃；储存温度：-40 ℃至+70 ℃；环境湿度：5% RH~95% RH（无凝结）</w:t>
            </w:r>
            <w:r>
              <w:rPr>
                <w:rFonts w:hint="eastAsia" w:ascii="宋体" w:hAnsi="宋体" w:eastAsia="宋体" w:cs="宋体"/>
                <w:i w:val="0"/>
                <w:color w:val="000000"/>
                <w:sz w:val="21"/>
                <w:szCs w:val="21"/>
                <w:highlight w:val="none"/>
                <w:u w:val="none"/>
                <w:lang w:val="en-US" w:eastAsia="zh-CN" w:bidi="ar"/>
              </w:rPr>
              <w:t xml:space="preserve">；跌落规格：在操作温度范围内，6面均能承受多次（至少20次）从1.8米高度跌落至混凝土地面的冲击；滚动测试：滚动连续1000次0.5米，6个面接触面滚动后依然稳定运行，达到IEC滚动规格；防护等级：IP65，达到IEC密封标准；WLAN：2.4G/5G双频，支持802.11 a/b/g/n/ac/ax-ready/d/e/h/i/k/r/v，IPV4，IPV6，5G PA；安全加密：WEP，WPA/WPA2-PSK（TKIP and AES），WAPI- PSK—EAP-TTLS，EAP-TLS，PEAP-</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SCHAPv2，PEAP-LTS，PEAP-GTC等；Vo-LTE支持Vo-LTE高清视频语音通话；支持蓝牙；含手持操作设备软件。</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 </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 </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智慧生产物流管控实训软件</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一、实操环境配置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实操配置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系统可支持配置多套“实操”数据，选择不同实操数据，一键完成实操基础数据配置。应用实操数据后，将清空已产生的作业数据。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系统可对用户的作业流程进行监控，并生成监控结果数据，监控结果数据将呈现用户的产品BO</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配置结果、存储策略配置结果、补料规则配置结果、已完成入库作业结果（包含入库货位、物料及数量）、已完成补料作业结果（包含补料源货位、物料及数量）、已完成生产作业结果（产成品数量）。并可提前录入预期值，由系统自动完成预期结果及用户操作结果的对比，并标记不一致作业结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二、作业流程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（一）作业策略配置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产品BO</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配置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系统支持根据产品BO</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数据、产品生产工序及工艺要求，完成产品BO</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配置。配置的BO</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结果，可作为每道工序的生产依据，在模拟生产中自动执行。</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工艺配置：支持配置产品工艺及工序信息，工艺设置可设置工序间关系，工序标准工时、生产能力、产线半成品库存限制等参数。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存储策略设置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系统支持对原料、成品等物料进行存储策略设置，存储策略支持对物料的入库库区、入库货位、入库数量、货位存储上限、货位存储下限进行配置。其中，同种物料支持配置在多个货位，且可配置货位的入库顺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（二）原材料入库</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系统支持入库计划制定，支持在一个入库计划中，配置多个订单行的物料入库，支持对物料入库的货位、数量进行配置。系统可根据物料存储策略，自动选择最优货位。</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系统支持根据入库计划进行入库作业，并根据不同的库区属性，呈现不同的入库作业流程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货到人库区入库作业当进行货到人库区入库作业时，用户可使用智能手持终端或平板电脑，选定入库计划，开启入库作业。入库作业开启后，潜伏式AGV1将作业货架从存储区搬运至入库作业点，平板电脑显示来料货架，并高亮作业货位的物理位置。用户可使用智能手持终端或平板电脑完成入库信息的录入，入库信息包括货位编码、料箱编码、物料编码、物料数量。同一次入库作业中，用户可一次完成多种物料在多个货位的入库作业。系统可根据入库作业进程，自动进行料架的旋转与取放。</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（三）生产补料流程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生产补料单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用户可手动下达生产领料单，确定补料作业的补料物料编码、物料名称、物料数量及目标工位。系统还可根据用户设置的补料规则，在到达补料时机后，自动下达生产补料单。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补料单处理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用户可手动对生产补料单进行处理，并生成补料计划。</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在补料处理过程中，用户可选择整箱补料或零散补料2种补料方式，并定义补料的源货位、及每种物料在不同货位的补料数量。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系统还可根据用户设置的补料规则，在系统自动下达生产补料单后，自动完成补料单的处理，并生成补料计划。</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（四）生产模拟仿真</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生产工单：用户可在系统用户端手动创建生产工单，完成生产指令的下达。生产工单还可作为实操环境数据，在后台进行配置，并一键发布至用户端。生产工单支持手动开始及暂停功能。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物料齐套：用户可利用齐套功能，对生产产品的工位库存进行检查，若工位原料数量无法开始生产且未生成生产领料单，则自动生成生产领料单。当工位物料库存充足，则可齐套完成，进入可生产状态。</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自动化生产</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完成物料齐套，并启动生产工单后，系统根据产品生产的工序及工艺配置，自动生成每个工序的独立子工单，并开启每个工序的生产模拟，按设置的工艺流程、生产节拍及物料配比进行原材料的消耗及成品/半成品的生成。当工序缺料无法完成工序生产时，工序工单自动暂停，在工序原料充足后，自动恢复生产。</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生产看板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用户可通过产线看板对产线生产情况进行监控，看板显示生产工单目标产量、已生产量、待生产量、生产进度及工位原料库存、产品库存。根据工位的库存数据不同，显示补料及缺料状态，并显示物料在途库存。当系统自动生成生产领料单或补料计划时，系统将在看板发布作业通知消息，提示用户进行后续作业操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（五）成品入库</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用户可直接在系统中发送入库计划指令，并在产成品工位，通过智能手持终端或平板电脑通过录入源工位后直接进行成品的入库。录入周转箱条码、物料编码及物料数量等入库信息。用户可自行选择入库货位，或由系统根据设置的存储策略，自动选定最优货位。</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用户在智能手持终端或平板电脑点击装箱入库后，系统呼叫接驳机器人完成料箱的取箱及自动搬运进行上架。根据用户下达的入库作业指令，机器人可一次搬运多个周转箱入库进行上架。</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 </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 </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智慧物流规划仿真实训软件</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软件可实现基于生产物流、商贸物流作业特点为背景的智慧物流三维场景布局设计，实现物流场景动态网络布局、网格绑定、点位设计、逻辑编辑可视化编辑及模拟仿真运行等。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搭建布局，提供包含建筑、区域规划、存储设备、搬运设备、生产设备、工作站点及物料的多种物流搭建布局所需要的设备、工具，可实现建筑地面的搭建，区域自定义规划，存储设备搭建，搬运设备拖动及参数定义，生产线的组装布局，工作站点的定义及物料设备的选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网格绑定，开发工具满足自定义运作区域后相对应的设备拖动吸附，自适应根据区域及单位设备大小进行相应区域的合理布局。</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人员管理，系统提供仓储经理、制单员、补货员、拣货员、复核员、搬运工等角色，可根据系统需要进行选择和数量的定义。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系统采用无代码编辑的方式将场景编辑布局设施设备映射至无代码编辑器，通过逻辑节点之间的关系连接，定义设施设备运作流及人员节点规划，通过可视化编辑实现物流作业流程的仿真规划设。</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系统支持外部指的任务数据导入作为运营仿真数据源。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仿真运行，软件支持基于数据、场景和逻辑编辑的仿真运行，可设定仿真运行速度1-50整数倍速，仿真的运行及执行控制，仿真运行输出运行结果包含布局图及各维度的数据分析。</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 </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 </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自动充电桩</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1.输入电压：AC220V。</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2.输出电压：DC54.6V。</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3.输出电流：≥15A。</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4.充电口连接寿命：＞20000次。</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 </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7 </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潜伏式AGV搬运机器人</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1.承重：≥600KG。</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2.防碰撞：有。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3.检测距离</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≥1.5</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4.角度校准范围：≤5度。</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5.直线行走位置偏移校准：支持。</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6.位置偏移校准范围：≤20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7.位置重复精度：≤10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8.支持最大运行速度：≥1.5</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/s。</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9.旋转精度：≤1°。</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10.搬运机器人循迹方式：二维码惯性导航。</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11.搬运机器人停靠精度：≤10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12.导航方式：二维码导航。</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13.坐标精度：0.1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14.角度精度：0.3度。</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 </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8 </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移动储存料柜</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1.尺寸：长约900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宽约900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高约2400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2.类型：采用5层双面拣选；钢管规格采用40*40*1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的钢管或者能保证强度的类似钢材钢管；架及托具的角钢厚度不低于1.5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 </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9 </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拣选工作套件</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产品尺寸：约1200×800×750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，可根据场地大小定制</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工艺：加厚贴面板、防油防水、抗氧化、可随意调节脚底高度</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工作台单层承载：200kg</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 </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10 </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电子播种墙</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both"/>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电子播种墙一台</w:t>
            </w:r>
            <w:r>
              <w:rPr>
                <w:rFonts w:ascii="宋体" w:hAnsi="宋体" w:cs="宋体"/>
              </w:rPr>
            </w:r>
            <w:r/>
          </w:p>
          <w:p>
            <w:pPr>
              <w:pStyle w:val="885"/>
              <w:jc w:val="both"/>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1.基础尺寸约L1500*W600*H2000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，4×3=12个播种位；</w:t>
            </w:r>
            <w:r>
              <w:rPr>
                <w:rFonts w:ascii="宋体" w:hAnsi="宋体" w:cs="宋体"/>
              </w:rPr>
            </w:r>
            <w:r/>
          </w:p>
          <w:p>
            <w:pPr>
              <w:pStyle w:val="885"/>
              <w:jc w:val="both"/>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光栅参数</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光束数10束，光电间距20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，检测高度220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，检测距离0-3米；</w:t>
            </w:r>
            <w:r>
              <w:rPr>
                <w:rFonts w:ascii="宋体" w:hAnsi="宋体" w:cs="宋体"/>
              </w:rPr>
            </w:r>
            <w:r/>
          </w:p>
          <w:p>
            <w:pPr>
              <w:pStyle w:val="885"/>
              <w:jc w:val="both"/>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.工作电压</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DC12V，消耗功率</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5W，输出方式</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NPN，相应时间10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s； </w:t>
            </w:r>
            <w:r>
              <w:rPr>
                <w:rFonts w:ascii="宋体" w:hAnsi="宋体" w:cs="宋体"/>
              </w:rPr>
            </w:r>
            <w:r/>
          </w:p>
          <w:p>
            <w:pPr>
              <w:pStyle w:val="885"/>
              <w:jc w:val="both"/>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4.外形材质铝合金，光幕形式对射型；</w:t>
            </w:r>
            <w:r>
              <w:rPr>
                <w:rFonts w:ascii="宋体" w:hAnsi="宋体" w:cs="宋体"/>
              </w:rPr>
            </w:r>
            <w:r/>
          </w:p>
          <w:p>
            <w:pPr>
              <w:pStyle w:val="885"/>
              <w:jc w:val="both"/>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5.工作温度</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-15℃--65℃，储存温度</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-25℃--75℃；</w:t>
            </w:r>
            <w:r>
              <w:rPr>
                <w:rFonts w:ascii="宋体" w:hAnsi="宋体" w:cs="宋体"/>
              </w:rPr>
            </w:r>
            <w:r/>
          </w:p>
          <w:p>
            <w:pPr>
              <w:pStyle w:val="885"/>
              <w:jc w:val="both"/>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6.防护等级</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IP65，截面尺寸</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18×35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；1*12个；</w:t>
            </w:r>
            <w:r>
              <w:rPr>
                <w:rFonts w:ascii="宋体" w:hAnsi="宋体" w:cs="宋体"/>
              </w:rPr>
            </w:r>
            <w:r/>
          </w:p>
          <w:p>
            <w:pPr>
              <w:pStyle w:val="885"/>
              <w:jc w:val="both"/>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7.电子标签参数：全密封外壳，灰色黑色外壳可选24个5位数码7段式两色显示；电压</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电流：DC12V</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120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A；</w:t>
            </w:r>
            <w:r>
              <w:rPr>
                <w:rFonts w:ascii="宋体" w:hAnsi="宋体" w:cs="宋体"/>
              </w:rPr>
            </w:r>
            <w:r/>
          </w:p>
          <w:p>
            <w:pPr>
              <w:pStyle w:val="885"/>
              <w:jc w:val="both"/>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8.读码器：二维读码，可读一维二维，串口连接；控制器：CAN-串口转接板1个；中央处理器，60KB Flash存储器，4KB的RA</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，一路CAN总线接口，1路RS232串口。</w:t>
            </w:r>
            <w:r>
              <w:rPr>
                <w:rFonts w:ascii="宋体" w:hAnsi="宋体" w:cs="宋体"/>
              </w:rPr>
            </w:r>
            <w:r/>
          </w:p>
          <w:p>
            <w:pPr>
              <w:pStyle w:val="885"/>
              <w:jc w:val="both"/>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二</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直接式热敏打印机1台</w:t>
            </w:r>
            <w:r>
              <w:rPr>
                <w:rFonts w:ascii="宋体" w:hAnsi="宋体" w:cs="宋体"/>
              </w:rPr>
            </w:r>
            <w:r/>
          </w:p>
          <w:p>
            <w:pPr>
              <w:pStyle w:val="885"/>
              <w:jc w:val="both"/>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打印方式：热传/热敏式；打印模式：碳带热敏；打印速度：2~5inch/s；打印宽度：104</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；接口类型：串口、USB、并口、网络接口</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RJ45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 </w:t>
            </w:r>
            <w:r>
              <w:rPr>
                <w:rFonts w:ascii="宋体" w:hAnsi="宋体" w:cs="宋体"/>
              </w:rPr>
            </w:r>
            <w:r/>
          </w:p>
          <w:p>
            <w:pPr>
              <w:pStyle w:val="885"/>
              <w:numPr>
                <w:ilvl w:val="0"/>
                <w:numId w:val="7"/>
              </w:numPr>
              <w:jc w:val="both"/>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理货台2张</w:t>
            </w:r>
            <w:r>
              <w:rPr>
                <w:rFonts w:ascii="宋体" w:hAnsi="宋体" w:cs="宋体"/>
              </w:rPr>
            </w:r>
            <w:r/>
          </w:p>
          <w:p>
            <w:pPr>
              <w:pStyle w:val="885"/>
              <w:numPr>
                <w:ilvl w:val="0"/>
                <w:numId w:val="0"/>
              </w:numPr>
              <w:jc w:val="both"/>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尺寸约：L1500*W300*H750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（允许正负偏差5 </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）1张、L1500*W400*H750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（允许正负偏差5 </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）1张；防腐蚀、防污染、防耐磨、防火环保台面，钢结构带防滑脚垫，可承重150KG。</w:t>
            </w:r>
            <w:r>
              <w:rPr>
                <w:rFonts w:ascii="宋体" w:hAnsi="宋体" w:cs="宋体"/>
              </w:rPr>
            </w:r>
            <w:r/>
          </w:p>
          <w:p>
            <w:pPr>
              <w:pStyle w:val="885"/>
              <w:numPr>
                <w:ilvl w:val="0"/>
                <w:numId w:val="7"/>
              </w:numPr>
              <w:ind w:left="0" w:firstLine="0"/>
              <w:jc w:val="both"/>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软件功能要求</w:t>
            </w:r>
            <w:r>
              <w:rPr>
                <w:rFonts w:ascii="宋体" w:hAnsi="宋体" w:cs="宋体"/>
              </w:rPr>
            </w:r>
            <w:r/>
          </w:p>
          <w:p>
            <w:pPr>
              <w:pStyle w:val="885"/>
              <w:numPr>
                <w:ilvl w:val="0"/>
                <w:numId w:val="0"/>
              </w:numPr>
              <w:jc w:val="both"/>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B/S架构，系统后台数据设置灵活，通过最先进的云计算、大数据、人工智能技术，通过中间键联动平板、电子标签、光栅、打印机等智能设备。系统架构分为三层，顶层为平台层，实现对智慧仓储数据接收及移动端控制，并为设备提供接口支持；中间层为处理层，实现各类作业任务执行，并实现订单合并、优化算法动态分配；底层为驱动层，实现对设备的操作，包括电子标签点亮、光栅反应、打印驱动等等。</w:t>
            </w:r>
            <w:r>
              <w:rPr>
                <w:rFonts w:ascii="宋体" w:hAnsi="宋体" w:cs="宋体"/>
              </w:rPr>
            </w:r>
            <w:r/>
          </w:p>
          <w:p>
            <w:pPr>
              <w:pStyle w:val="885"/>
              <w:numPr>
                <w:ilvl w:val="0"/>
                <w:numId w:val="0"/>
              </w:numPr>
              <w:jc w:val="both"/>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优化订单并分配：客户订单分拨系统实时接收智慧仓储管理软件通过无线网络发送拣选的客户订单作业单据，系统进行订单合并，通过底层大数据优化算法动态分配到电子播种墙设备中的不同阁口。 </w:t>
            </w:r>
            <w:r>
              <w:rPr>
                <w:rFonts w:ascii="宋体" w:hAnsi="宋体" w:cs="宋体"/>
              </w:rPr>
            </w:r>
            <w:r/>
          </w:p>
          <w:p>
            <w:pPr>
              <w:pStyle w:val="885"/>
              <w:numPr>
                <w:ilvl w:val="0"/>
                <w:numId w:val="0"/>
              </w:numPr>
              <w:jc w:val="both"/>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操作便捷并容错：系统根据商品信息和作业流程对应阁口的电子标签，同时操作指引与提示放入的商品数量，智能性分拣投放操作，商品拣选错误时，光栅系统与看板APP系统同时报警提示操作错误，从而提高分拣效率。</w:t>
            </w:r>
            <w:r>
              <w:rPr>
                <w:rFonts w:ascii="宋体" w:hAnsi="宋体" w:cs="宋体"/>
              </w:rPr>
            </w:r>
            <w:r/>
          </w:p>
          <w:p>
            <w:pPr>
              <w:pStyle w:val="885"/>
              <w:numPr>
                <w:ilvl w:val="0"/>
                <w:numId w:val="0"/>
              </w:numPr>
              <w:jc w:val="both"/>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移动接入：通过实时看板APP系统屏读波次拣选商品信息、数量、以及波次商品作业信息、拣货信息的状态，同时提供商品错误投放阁口报错信息，看板APP系统通过自动提醒订单完成数量信息、状态信息等；客户订单分拨系统配合上位机智慧仓储软件完场订单拣选后，自动发送信息至打印机，打印客户信息和装箱订单信息，无需再次复核。</w:t>
            </w:r>
            <w:r>
              <w:rPr>
                <w:rFonts w:ascii="宋体" w:hAnsi="宋体" w:cs="宋体"/>
              </w:rPr>
            </w:r>
            <w:r/>
          </w:p>
          <w:p>
            <w:pPr>
              <w:pStyle w:val="885"/>
              <w:numPr>
                <w:ilvl w:val="0"/>
                <w:numId w:val="0"/>
              </w:numPr>
              <w:jc w:val="both"/>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4.软硬件结合：订单拣选完毕后，系统自动提醒分拨订单完成，用户确认完成的作业订单，系统会自动联动打印机打印订单信息与客户信息。</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 </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11 </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线性搬运机器人</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1.载重：5KG。</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2.驱动动力：磷酸铁锂或锂电池。</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3.制动方式：电机制动。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4.导航方式：二维码。</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5.通讯方式：WiFi。</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6.状态显示：支持。</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7.额定速度：1</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/s。</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8.额定加速度：≥0.5</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/s²。</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9.读码精度：10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10.停止精度：5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 </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12 </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流利式货柜</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1.尺寸：长约900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宽约900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高约2400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2.类型：采用5层双面拣选；钢管规格采用40*40*1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的钢管或者能保证强度的类似钢材钢管；货架及托具的角钢厚度不低于1.5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组</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 </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13 </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无动力辊筒线</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numPr>
                <w:ilvl w:val="0"/>
                <w:numId w:val="0"/>
              </w:numPr>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采用加强型氧化挤压铝型材边框，金属方通烤漆支架。</w:t>
            </w:r>
            <w:r>
              <w:rPr>
                <w:rFonts w:ascii="宋体" w:hAnsi="宋体" w:cs="宋体"/>
              </w:rPr>
            </w:r>
            <w:r/>
          </w:p>
          <w:p>
            <w:pPr>
              <w:pStyle w:val="885"/>
              <w:numPr>
                <w:ilvl w:val="0"/>
                <w:numId w:val="0"/>
              </w:numPr>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滚筒机身：铝型材；滚筒间距：100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；滚筒材质：SUS304。</w:t>
            </w:r>
            <w:r>
              <w:rPr>
                <w:rFonts w:ascii="宋体" w:hAnsi="宋体" w:cs="宋体"/>
              </w:rPr>
            </w:r>
            <w:r/>
          </w:p>
          <w:p>
            <w:pPr>
              <w:pStyle w:val="885"/>
              <w:numPr>
                <w:ilvl w:val="0"/>
                <w:numId w:val="0"/>
              </w:numPr>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尺寸：L1500×W600×H750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 </w:t>
            </w:r>
            <w:r>
              <w:rPr>
                <w:rFonts w:ascii="宋体" w:hAnsi="宋体" w:cs="宋体"/>
              </w:rPr>
            </w:r>
            <w:r/>
          </w:p>
          <w:p>
            <w:pPr>
              <w:pStyle w:val="885"/>
              <w:numPr>
                <w:ilvl w:val="0"/>
                <w:numId w:val="0"/>
              </w:numPr>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承重：100kg。</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 </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14 </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自动化立体仓库</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1.仓库尺寸：约高2000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*宽800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*长2200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2.仓库规模：4层，总仓位≥20个；配备入库和出库输送口，含条码扫描设备。</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 </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15 </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模拟生产物料</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十种不同颜色的模拟生产物料，每种颜色模拟生产物料数量不少于10个，每个模拟生产物料上有单一条码。</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批</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 </w:t>
            </w:r>
            <w:r>
              <w:rPr>
                <w:rFonts w:ascii="宋体" w:hAnsi="宋体" w:cs="宋体"/>
              </w:rPr>
            </w:r>
            <w:r/>
          </w:p>
        </w:tc>
      </w:tr>
      <w:tr>
        <w:trPr>
          <w:trHeight w:val="340"/>
        </w:trPr>
        <w:tc>
          <w:tcPr>
            <w:gridSpan w:val="7"/>
            <w:shd w:val="clear" w:color="auto" w:fill="ffffff"/>
            <w:tcMar>
              <w:left w:w="15" w:type="dxa"/>
              <w:top w:w="15" w:type="dxa"/>
              <w:right w:w="15" w:type="dxa"/>
            </w:tcMar>
            <w:tcW w:w="9924"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b/>
                <w:i w:val="0"/>
                <w:color w:val="000000"/>
                <w:sz w:val="21"/>
                <w:szCs w:val="21"/>
                <w:highlight w:val="none"/>
                <w:u w:val="none"/>
              </w:rPr>
              <w:outlineLvl w:val="9"/>
              <w:suppressLineNumbers w:val="0"/>
            </w:pPr>
            <w:r>
              <w:rPr>
                <w:rFonts w:hint="eastAsia" w:ascii="宋体" w:hAnsi="宋体" w:eastAsia="宋体" w:cs="宋体"/>
                <w:b/>
                <w:i w:val="0"/>
                <w:color w:val="000000"/>
                <w:sz w:val="21"/>
                <w:szCs w:val="21"/>
                <w:highlight w:val="none"/>
                <w:u w:val="none"/>
                <w:lang w:val="en-US" w:eastAsia="zh-CN" w:bidi="ar"/>
              </w:rPr>
              <w:t xml:space="preserve">无人机配送实训中心</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无人机虚拟仿真软件平台</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一、基础设置要求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应具有灵敏度调节功能，能够支持对副翼、升降、油门、方向进行操控灵敏度调节。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应支持固定视角、跟随视角、FPV视角等多种视角模式；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能够支持姿态模式、GNSS模式。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画面设置应支持设置窗口模式、支持独占全屏、窗口模式等功能，并能够根据不同的显示器设置适配的分辨率，用于提高画面的质量和匹配电脑性能。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具有音频设置功能，能够自定义设置主音量、背景音量、音效音量及语音音量等。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平台应默认适配至少两款遥控器；支持遥控器自定义校准；遥控器需支持USB-HID协议，能够支持预览遥控器通道的实时输入，并可支持单独对每个通道进行功能映射和校准。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能够显示软件授权信息及授权模块。</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应该支持键盘、遥控器、VR手柄进行软件全局功能操作。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系统应支持在线热更新。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二、画质设置要求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能够支持画面帧数实时显示，可一键打开和关闭帧数显示。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能够提供分辨率自定义设置，适配不同电脑屏幕的显示；画质设置应提供720P屏幕分辨率、1080P屏幕分辨率、2K屏幕分辨率、4K屏幕分辨率等多种选项，并支持分辨率的一键改变。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应具有全屏开关功能，能够支持一键切换窗口化运行和全屏运行。</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应提供多种画质选项，能够适配低中高配置性能的电脑，画质质量设置应提供不低于六种性能阶梯的选项，可一键改变画质，改善运行帧数。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三、遥控器运行环境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能够支持6通道以上遥控器；软件应支持一键切换美国手、日本手、中国手；应支持预览遥控器通道的实时输入，并可支持单独对每个通道进行功能映射校准。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四、自由飞行</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自有飞行模块应支持多种机型可选：至少应支持六旋翼、八旋翼以及其他常用机型，不少于6种。</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系统应预设有海岛场景。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系统应具备良好的飞控性能，可以体验各种无人机的飞行姿态及操作手感。</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应具备多种摇杆模式，能够自定义调节摇杆灵敏度，能够支持美国手、日本手、中国手。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系统应具备完善的天气系统功能，能够支持切换天气效果，至少应包含晴天、阴天、雨天、大雪等天气效果。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系统应支持自定义设置模拟时间，能够根据调整的时间自动变换太阳的位置、角度以及太阳光强度等。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应具备设置风力等级的功能，能够支持无风、1-3级风力调节。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应支持多视角模式，至少包含固定视角、跟随视角和FPV视角。</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应具备视角调整功能，在固定视角下应能进行视域调整和高度调整。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飞行模式应支持姿态模式和GNSS模式。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五、民航执照培训</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场地类型应支持森林、学校、沙滩、山地等四个场景自由切换。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系统应支持自选机型，至少支持六旋翼、八旋翼等常用机型的自由选择。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系统应支持多种训练模式，至少包括训练模式和闯关模式。训练模式能够对所有子模块不做限制进行训练；闯关模式能够按照子模块顺序进行闯关，子模块逐一解锁。</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系统应具备悬停训练功能，能够在场景中展示桩桶及悬停范围；应详细展示无人机飞行参数，包括无人机飞行速度、水平速度、垂直速度、角速度等；不同训练内容都应该具有详细的步骤引导及任务完成反馈，当无人机进入指定的悬停范围时地面标识应具有高亮提示功能；360°自旋应具有对应旋转进程引导提示，并可根据无人机所处位置和飞行速度进行判定是否训练合格。</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六、无人机电力巡检</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杆塔类型应支持220kv单回路直线塔；能够一比一高度还原真实铁塔模型，达到销钉级别建模还原；能够对杆塔整体及组成进行文字介绍，并应提供杆塔结构爆炸图，可支持查看部件爆炸结构图。</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杆塔应具有匹配真实的杆塔图片对应杆塔模型功能。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应具有引导巡检模块，能够按《电力行业无人机巡检作业人员培训考核规范》</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T/CEC 193-2018）规范，引导操控无人机对杆塔本体及部件进行巡检拍照。每个步骤应显示该部件的名称、拍摄角度要求、位置要求；拍摄目标应具备高亮显示提示用户的功能。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应支持常用巡检无人机机型，并支持模拟使用界面，能够显示飞行信息，包括飞行模式、电量等。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应具有相册功能，能够查看拍摄的照片。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应具有变焦模拟功能，能够模拟常用巡检无人机镜头参数和变焦后的画质损失。</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具有操作帮助功能，能够查看键盘和遥控器操作键位。</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应具有调节摇杆灵敏度的功能，支持美国手、日本手、中国手。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系统应具备完善的天气系统功能，能够支持切换天气效果，至少应包含晴天、阴天、雨天、大雪等天气效果。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系统应支持自定义设置模拟时间，能够根据调整的时间自动变换太阳的位置、角度以及太阳光强度等。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应具备设置风力等级的功能，能够支持无风、1-3级风力调节，根据调节的风力，场地中风向标能够自动呈现风力大小和方向，并根据风力影响无人机飞行稳定性，以达到模拟各种真实环境的目的。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应支持多视角模式，至少包含固定视角、跟随视角和FPV视角。</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应具备视角调整功能，在固定视角下应能进行视域调整和高度调整。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飞行模式应支持姿态模式和GNSS模式。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应具有数据分析功能，能够记录巡检训练所产生的数据；如训练次数，训练时长，任务成功率，单次巡检产生的数据及拍摄的照片，并能够对巡检产生的照片进行标注。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七、无人机地理测绘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系统具备基础知识介绍功能，应对无人机航测基础原理、无人机航测设备进行介绍。</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系统应具备山地、学校场景等对外业场景，并支持一键选择。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应具有详细的步骤提示，至少应包含测绘作业主要六个环节：场地踏勘、规划测区、像控点布设、航线规划、航测拍摄、数据处理等。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应具有背包功能，背包中至少应包含外业所需主要设备：制标靶、相机、无人机及遥控器、RTK及手簿等。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应支持自由规划测区，测区连接点不少于3个。能够还原RTK像控点布设核心流程，包含新建项目、RTK蓝牙连接、杆高设置等。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采集数据应至少包含6个维度：N、E、Z、B、L、H。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测绘数据应支持Excel导出。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航测拍摄时应能够支持测绘常用系列机型，支持广角镜头、正射采集，支持设置：正射GSD、航线飞行高度、航线速度、主航线角度、相对起飞高度、旁向重叠率、航向重叠率、边距等参数。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拍照模式应支持等时间隔拍照。</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任务完成时能够自动返航。</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支持数据生产工具PIX4D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apper引导下载及安装介绍。</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八、无人机农业植保</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系统支持选择机型，应支持常用植保机机型选择。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应提供植保无人机手动作业、手动增强作业、AB点作业、航线规划四种作业模式。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系统中环境地形至少应分为简单、常规、复杂三种地形。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系统至少应内置水稻、棉花、玉米等三种常见农作物。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系统支持AB点作业，应支持操控无人机进行场地A点、B点标定，标定完成后能够按照AB点生成航线，并支持设定喷洒流速、水平喷幅、航线角度、飞行高度、飞行速度等作业参数。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能够显示任务详情，支持动态更新当前航线计算出的作业面积、航线长度、预计飞行航时以及预估的药量。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应具有航线作业功能，能够添加和移除地块边界点，自动按照喷洒参数生成弓字型作业飞行航线；还应支持添加或移除不喷区域、支持设定喷洒流速、水平喷幅、航线角度、飞行高度、飞行速度等作业参数。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航线作业时应显示任务详情，能够动态更新当前航线计算出的作业面积、航线长度、预计飞行航时、以及预估的药量。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应具有手动增强作业功能，应支持操控无人机进行场地作业，能够设定喷洒流速、水平喷幅、航线角度、飞行高度、飞行速度等作业参数，飞机半自动按照作业参数执行任务，并支持一键掉头，锁定航向。</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应具备手动作业功能，能够操控飞机进行纯手动作业，并支持一键掉头，锁定航向。</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应支持模拟断药断电返航后的断点续喷功能。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应具有调节摇杆灵敏度的功能，支持美国手、日本手、中国手。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系统应具备完善的天气系统功能，能够支持切换天气效果，至少应包含晴天、阴天、雨天、大雪等天气效果。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系统应支持自定义设置模拟时间，能够根据调整的时间自动变换太阳的位置、角度以及太阳光强度等。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应具备设置风力等级的功能，能够支持无风、1-3级风力调节，根据调节的风力，场地中风向标能够自动呈现风力大小和方向，并根据风力影响无人机飞行稳定性，以达到模拟各种真实环境的目的。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应支持多视角模式，至少包含固定视角、跟随视角和FPV视角。</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应具备视角调整功能，在固定视角下应能进行视域调整和高度调整。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18</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飞行模式应支持姿态模式和GNSS模式。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九、无人机组装调试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系统应包含组装调试过程中所有的安全注意事项说明，不少于5条。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系统应具备任务工单的功能，能够包含组装调试中涉及到的检查零部件及耗材清单、无人机外观及结构认知、对无人机机体及部件进行组装、对传感器及遥控器进行调试以及进行试飞验证等五个核心任务环节。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应具有无人机结构认知模块，应对无人机核心部件进行介绍，并支持无人机结构爆炸图的形式展示，支持手动控制无人机爆炸或组合。</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应包含无人机整机部件及电路接线组装的全部步骤。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应具有传感器校准功能，至少应包含罗盘校准，陀螺仪校准，加速度校准，水平校准等四个维度的校准。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支持遥控器校准功能，应包含遥控器校准的主要步骤，如开启遥控器，摇杆校准、电机一键急停模式开启、遥控器UI模式开启等。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能够支持操控遥控器控制无人机完成升降、俯仰、副翼、偏航等操作</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进阶版遥控器</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支持通道数：不低于8通道；</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应支持双摇杆自动回中。</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支持协议：USB-HID协议。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电池：不低于1100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ah；</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数据接口：应支持type-C；</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应具有双侧肩部拨轮。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应支持USB直接供电。</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支持在线更新。</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20</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高性能工作站</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1.定位设备：多点触控触摸板；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2.摄像头：720P高清摄像头，支持物理防窥功能，保护个人隐私；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3.指纹识别器；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4.处理器：性能不低于i5-12500；</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5.内存：≥16 GDDR4；</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6.硬盘：≥512G SSD </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.2固态硬盘；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7.显卡：性能不低于GTX1650，显存≥4GB DDR6；</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8.电源：≥300W；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9.显示器：≥27寸；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配套设备：工作台：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1.规格：单人人位翻转式工作桌；</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2.结构：钢木结构；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3.板面材质：优质E1级高密度实木颗粒板材；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4.尺寸：直径≥600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，单边≥400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，高度≥750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工作台座位：1.座垫：采用高密度发泡海绵，回弹性能好，不变形；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2.靠背：根据人体工学原理设计，采用高分子尼龙背框，透气网布；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3.面料：采用优质布绒，阻燃、防污、耐磨性强；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4.脚架：采用优质钢管脚架，表面经静电喷涂处理；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5.尺寸：坐高≥400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，总高≥900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，坐宽≥400</w:t>
            </w:r>
            <w:r>
              <w:rPr>
                <w:rFonts w:hint="eastAsia" w:ascii="宋体" w:hAnsi="宋体" w:eastAsia="宋体" w:cs="宋体"/>
                <w:i w:val="0"/>
                <w:color w:val="000000"/>
                <w:sz w:val="21"/>
                <w:szCs w:val="21"/>
                <w:highlight w:val="none"/>
                <w:u w:val="none"/>
                <w:lang w:val="en-US" w:eastAsia="zh-CN" w:bidi="ar"/>
              </w:rPr>
              <w:t xml:space="preserve">mm。</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20</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无人机信息处理终端</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1.尺寸：≥75英寸，采用LED背光；屏幕物理分辨率：≥3840×2160；屏幕满足全屏显示比例16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9；</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2.整机可抗强光干扰，在400KLUX的强光照射下，产品各项书写、触控功能正常；</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3.支持10点同时触控，支持10笔书写，触摸分辨率≥32767×32767；触摸高度≤2.5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；最小识别直径≤3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4.交互平板整机提供隐藏式前置接口，需有磁吸式盖板多重防护，接口不少于3个双通道接口（Android2.0和PC3.0），有中文标识；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5.为提高便利性，交互平板需具备前置HD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I*1接口，教师可快速连接实现信号的接入；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交互平板左右两侧具有与教学应用密切相关的软件快捷键，为方便应用和管理，快捷键可隐藏，快捷键数量不少于15个，该快捷键至少具备笔，橡皮、翻页、展台、多屏互动等常用功能，并且双侧快捷键具有中文标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7.为最大限度呈现显示内容的原本色彩，色彩覆盖率不低于NTSC85%，最大可视角度≥178度；</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8.交互平板具备前置一键电脑还原按键，带中文丝印标识，不需专业人员即可轻松解决电脑系统故障；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9.为确保教学环境下完美的视听体验，支持DBX音响交互平板具备总功率不低于30W的前朝向音箱；</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10.为保证信号不遮挡，屏体正面前置2.4G、5G双频WiFi和蓝牙信号接发装置，Windows及Android均可实现无线上网功能；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11.交互平板的主板至少具备RO</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不小于8G，RA</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不小于2G，版本不低于8.0；</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12.为了高安全性，防止设备因接触不良导致损坏，交互平板需具备供电保护模块，在外接设备未锁定的情况下，不给供电，保障设备与师生的安全；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13.为提高便利性，交互平板只需一根网线，即可满足windows和Android双系统的上网需求；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14.为防止学生误触，交互平板需提供不少于3种锁定设备的方式，通过遥控器、前置按键或虚拟按键进行锁定；同时，应提供不少于3种方式进行解锁，通过遥控器、前置按键或USBKey进行解锁；</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15.交互平板至少具备智能护眼组合功能，可提供护眼模式、实现智能光控、以及书写时屏显自动变暗；</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16.后置输入接口至少具备USB×2（其中1路为双通道）、USB触控×1、HD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I×2、VGA×1、Linein×1、Lineout×1、R232×1、RJ45×1；</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17.为方便排查问题，交互平板需提供硬件系统检测（支持无PC状况下使用）对系统内存、存储、触控系统、内嵌电脑、屏温监控等提供直观的状态、故障提示等信息；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18.内置电脑采用插拔式模块电脑架构，接口严格遵循Intel的OPS-C相关规范，针脚数≤80Pin，与插拔式电脑无单独接线；CPU采用ntel酷睿I5或以上、主频≥2.2GHz；内存性能：≥4GDDR4内存；硬盘：≥128G固态，并具有防震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19.为操作便捷，教师可通过多指长按屏幕，一步操作达到息屏和唤醒功能，不接受触摸菜单或物理按键；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20.至少具备文件浏览功能，可实现文件分类，具有选定、全选、复制、粘贴、删除、一键发送、二维码分享等功能；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21.至少具备智能护眼组合功能，可提供护眼模式、实现智能光控、以及书写时屏显自动变暗；</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22.为方便教师操作，在Windows和Android的白板软件下，悬浮菜单中的书写工具（批注、橡皮）可与底部白板软件的工具条联动；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23.为了教师方便应用，交互平板至少提供前置综合设置物理按键，可在任意通道下一键呼出系统设置、系统检测、智能温控（含高温预警及断电保护功能）、信号源预览等功能进行快速设置；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24.为方便教学，本地白板软件至少具备二维码分享功能；为方便老师操作，交互平板各通道的名称可以修改；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25.方便教学，悬浮菜单中的信号源可自定义修改，并固化到菜单中，一键直达常用信号源；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26.为方便教学，提高教学进度，可通过交互平板的悬浮菜单一键切换信号源通道，并可通过两指调用悬浮菜单到屏幕任意位置；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27.为方便排查问题，交互平板需提供硬件系统检测（支持无PC状况下使用）对系统内存、存储、触控系统、内嵌电脑、屏温监控等提供直观的状态、故障提示等信息；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28.至少具备任意通道下无需点击物理按键，可随时调用计算器、日历等小工具，并支持拖拽及关闭；</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29.为适应不同教师使用习惯，交互平板提供不少于三种启动展台软件和白板软件的方式；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30.为方便教学，交互平板至少具备多任务功能，对正在运行的应用快速切换或结束进程。</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讲台</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1.产品用料：优质镀锌冷轧钢板，板材厚度：1.0～1.2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。表面经过酸洗磷化、除油除锈、静电喷塑等先进工艺处理，具有良好的防锈性能；左右两侧扶手采用钢制咖啡色效果，造型新颖美观。                  </w:t>
            </w:r>
            <w:r>
              <w:rPr>
                <w:rFonts w:ascii="宋体" w:hAnsi="宋体" w:cs="宋体"/>
              </w:rPr>
            </w:r>
            <w:r/>
          </w:p>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2.尺寸：长×宽×高</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不小于900×650×950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3.两侧为钢制咖啡色实木扶手，能有效防止物品滚落。整个面板做成平面，以方便教师放置教学教具。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4.所有边角均采用圆角设计，圆角直径大于25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，以保护学生安全。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5.底部要求具备通风散热孔。</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机柜</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外形尺寸：约宽600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*深800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*高1600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材质：冷轧钢板；</w:t>
            </w:r>
            <w:r>
              <w:rPr>
                <w:rFonts w:ascii="宋体" w:hAnsi="宋体" w:cs="宋体"/>
              </w:rPr>
            </w:r>
            <w:r/>
          </w:p>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颜色：黑色；</w:t>
            </w:r>
            <w:r>
              <w:rPr>
                <w:rFonts w:ascii="宋体" w:hAnsi="宋体" w:cs="宋体"/>
              </w:rPr>
            </w:r>
            <w:r/>
          </w:p>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托盘，2块；</w:t>
            </w:r>
            <w:r>
              <w:rPr>
                <w:rFonts w:ascii="宋体" w:hAnsi="宋体" w:cs="宋体"/>
              </w:rPr>
            </w:r>
            <w:r/>
          </w:p>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带脚轮或支脚</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7</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机架式处理终端</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2U机架式服务器；2.4G 20核 40线程；32GB内存/2*4TB SAS/H3</w:t>
            </w:r>
            <w:r>
              <w:rPr>
                <w:rFonts w:hint="eastAsia" w:ascii="宋体" w:hAnsi="宋体" w:eastAsia="宋体" w:cs="宋体"/>
                <w:i w:val="0"/>
                <w:color w:val="000000"/>
                <w:sz w:val="21"/>
                <w:szCs w:val="21"/>
                <w:highlight w:val="none"/>
                <w:u w:val="none"/>
                <w:lang w:val="en-US" w:eastAsia="zh-CN" w:bidi="ar"/>
              </w:rPr>
              <w:t xml:space="preserve">50；≥16条扩展插槽≥512GB内存扩展；7.2K 热插拔3.5寸SATA硬盘，最大支持4*3.5寸硬盘扩展；RAID功能支持SATA/SAS RAID 0/1/5/10；网卡≥2个千兆以太网控制器，1个独享的管理端口，可选双口增加万兆或四口万兆控制器；配件外置DVD光驱，机架安装滑动导轨；电源输出功率≥450W， 80+金牌电源，支持交直流兼容（AC/DC），可选750W钛金电源；冷却系统支持5+1冗余风扇；I/O扩展：扩展槽最多支持≥2个PCIe 3.0接口，4个USB接口，1个串口，2个VGA接口。</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8</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交换机</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背板带宽≥336Gbps，包转发≥132</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bps，16k</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ac地址表，4k VLAN，千兆自适应端口≥24个，千兆SFP光口≥4个</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r>
      <w:tr>
        <w:trPr>
          <w:trHeight w:val="340"/>
        </w:trPr>
        <w:tc>
          <w:tcPr>
            <w:gridSpan w:val="7"/>
            <w:shd w:val="clear" w:color="auto" w:fill="ffffff"/>
            <w:tcMar>
              <w:left w:w="15" w:type="dxa"/>
              <w:top w:w="15" w:type="dxa"/>
              <w:right w:w="15" w:type="dxa"/>
            </w:tcMar>
            <w:tcW w:w="9924"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b/>
                <w:i w:val="0"/>
                <w:color w:val="000000"/>
                <w:sz w:val="21"/>
                <w:szCs w:val="21"/>
                <w:highlight w:val="none"/>
                <w:u w:val="none"/>
              </w:rPr>
              <w:outlineLvl w:val="9"/>
              <w:suppressLineNumbers w:val="0"/>
            </w:pPr>
            <w:r>
              <w:rPr>
                <w:rFonts w:hint="eastAsia" w:ascii="宋体" w:hAnsi="宋体" w:eastAsia="宋体" w:cs="宋体"/>
                <w:b/>
                <w:i w:val="0"/>
                <w:color w:val="000000"/>
                <w:sz w:val="21"/>
                <w:szCs w:val="21"/>
                <w:highlight w:val="none"/>
                <w:u w:val="none"/>
                <w:lang w:val="en-US" w:eastAsia="zh-CN" w:bidi="ar"/>
              </w:rPr>
              <w:t xml:space="preserve">物流信息化实训中心</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智能工作套件</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1.定制尺寸约L1200×W600×H750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（含标准办公座位）。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2.工艺：加厚贴面板、防油防水、抗氧化、可随意调节脚底高度</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3.台面承载：≥2100kg</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48</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行走平台版VR虚拟仿真教学套件</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采用一体化、模块化整体结构设计、符合人体工程学设计</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外观端庄典雅</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造型美观大方</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流线造型、现代感强；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机体全钢结构、表面采用高温喷塑工艺，多种颜色可选，变换自如；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主机体独立排气风扇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内部机电设备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多媒体组件：立体功效，2*5W音箱，内磁式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散热：内置12V散热风扇，效果良好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网络接口：RJ45八芯标准通讯接口</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复位开关：无需开机柜，直接外置复位开关机，方便快捷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电源：内置安全可靠的电源外引线及插座</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板材厚度：≥冷扎钢板1.5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表面涂层：高温喷塑</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光源：蓝色5050高亮度led 12V/30A高功率双供电系统</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尺寸：约2.4×2.5×2.45米</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长×宽×高</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14.无线键鼠：套装，数量：1套；</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15.USB延长线，长度1米，数量：1根；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16.音响1个，电源线1根，音频线1根；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17.DVI线：长度3米，数量：1根；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18.电源线：长度3米，数量：1根；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19.拉线器：长度2米，数量：1个；</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20.12V-30A电源盒，数量：1个；</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21.定位器延长线，数量：2根；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22.公牛8孔插排，数量：1个；</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23.公牛3项插头，数量：2个；</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二、终端显示大屏（内置主机）：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机箱：准机箱，整体模块化设计，支持免工具拆卸，易于搬运，防止机器内关键部件被拆除；线锁插槽：防止机器被整机搬迁</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内存：≥16G*1 DDR4 2400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Hz内存，最大可支持64内存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硬盘：≥512 SSD硬盘，最大可支持3个硬盘，可支持任意组合的2个3.5 寸或2.5寸硬盘</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+1个 </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.2硬盘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显卡：显存≥6G带HD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I接口</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读卡器：Integrated 9-in-1_</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CR</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电源：500W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键鼠：PS/2键盘、鼠标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系统：DOS</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光驱：DVD 刻录光驱</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显示终端：尺寸≥55英寸；分辨率≥3840×2160；</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随机应用：具有设计与分析应用软件的性能优化功能，通过整合针对单线程与多线程应用软件使用模式的资源，最终实现更为流畅的操作体验优化后可使主流的设计软件有明显性能提升，所提供的性能优化整体解决方案软件需同时提供硬件性能监控和警报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含一个蓝牙模块，HD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I线4米</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三、头显终端设备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屏幕分辨率：单眼分辨率≥1080×1200像素（组合分辨率≥2160×1200像素）；</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空间定位模式：Inside-Out；</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响应时间：6</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s</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光学设计：视场角；单眼 90°；</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传感器：陀螺仪；9 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接口：HD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I、USB 2.0、3.5 </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 立体耳机插座、电源插座、蓝牙支持；</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机身材质分类：PC。</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含手柄2个。</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专用信息处理终端</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配置65寸、分辨率1920*1080，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SD648_Cortex A53*4 1.4GHz；4核CPU，GPU：</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ali450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P4 </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4+2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 600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Hz；内存2G，板载32G存储空间，采用Android操作系统；                                                                                                                                             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简约外观，前拆式红外触摸框</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20点触控</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高灵敏度</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书写流畅</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 AG防炫光钢化玻璃</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莫氏7级硬度；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3.内置高性能书写软件</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软件支持2种画笔、3种擦除、9种颜色、5种图形及保存书写界面、保存书写界面、扫码分享、导出图片、邮件发送、插入图片等功能。实时批注功能：可在任意系统界面进行批注并支持扫码带走、书写界面保存等功能；无线投屏功能：支持软件加硬件两种模式；支持手机、平板、手机投屏，手机端+PAPA发射器（支持触摸互控）支持画面投屏，音频、视频、图片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迎宾功能：内有12类行业几十个模版可选；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悬浮导航助手：可快捷打开主页、内置电脑、计算器、白板、设置、浏览器等常用功能；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内置2.4G/5G双频，双网卡</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支持无线上网和WIFI热点同时使用；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智能休眠、触屏唤醒、一键节能</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环保省电</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延长使用寿命；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预留OPS接口，可扩展双系统</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Windows+安卓）。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标配四画面投屏器，配可移动支架</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gridSpan w:val="7"/>
            <w:shd w:val="clear" w:color="auto" w:fill="ffffff"/>
            <w:tcMar>
              <w:left w:w="15" w:type="dxa"/>
              <w:top w:w="15" w:type="dxa"/>
              <w:right w:w="15" w:type="dxa"/>
            </w:tcMar>
            <w:tcW w:w="9924"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b/>
                <w:i w:val="0"/>
                <w:color w:val="000000"/>
                <w:sz w:val="21"/>
                <w:szCs w:val="21"/>
                <w:highlight w:val="none"/>
                <w:u w:val="none"/>
              </w:rPr>
              <w:outlineLvl w:val="9"/>
              <w:suppressLineNumbers w:val="0"/>
            </w:pPr>
            <w:r>
              <w:rPr>
                <w:rFonts w:hint="eastAsia" w:ascii="宋体" w:hAnsi="宋体" w:eastAsia="宋体" w:cs="宋体"/>
                <w:b/>
                <w:i w:val="0"/>
                <w:color w:val="000000"/>
                <w:sz w:val="21"/>
                <w:szCs w:val="21"/>
                <w:highlight w:val="none"/>
                <w:u w:val="none"/>
                <w:lang w:val="en-US" w:eastAsia="zh-CN" w:bidi="ar"/>
              </w:rPr>
              <w:t xml:space="preserve">第三方物流实训中心</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智慧物流仓储实训平台</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1.系统任务信息可与 RF设备无缝对接，系统单据信息填制完成后，系统将信息发送至RF设备，学生根据设备上的提示信息进行现场业务操作；现场业务操作完成后，可通过RF设备确认信息并将信息反馈到系统中；</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2.系统中的业务单据均可连接打印机，将单据打印出来，学生根据单据进行现场业务操作；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3.可与电子拣选系统对接；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4.系统包含仓储、运输业务模块，模块之间数据无缝衔接；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5.可实现入库、出库、补货、移库、盘点、运输、配送作业在内的主要业务流程；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6.系统可与货到人 AGV 进行对接，完成补货任务与货到人播种拣选工作。</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半自动堆高车</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额定载荷：≥1500kg </w:t>
            </w:r>
            <w:r>
              <w:rPr>
                <w:rFonts w:ascii="宋体" w:hAnsi="宋体" w:cs="宋体"/>
              </w:rPr>
            </w:r>
            <w:r/>
          </w:p>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举升高度：≥3000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 </w:t>
            </w:r>
            <w:r>
              <w:rPr>
                <w:rFonts w:ascii="宋体" w:hAnsi="宋体" w:cs="宋体"/>
              </w:rPr>
            </w:r>
            <w:r/>
          </w:p>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货叉最低高度：≥85</w:t>
            </w:r>
            <w:r>
              <w:rPr>
                <w:rFonts w:hint="eastAsia" w:ascii="宋体" w:hAnsi="宋体" w:eastAsia="宋体" w:cs="宋体"/>
                <w:i w:val="0"/>
                <w:color w:val="000000"/>
                <w:sz w:val="21"/>
                <w:szCs w:val="21"/>
                <w:highlight w:val="none"/>
                <w:u w:val="none"/>
                <w:lang w:val="en-US" w:eastAsia="zh-CN" w:bidi="ar"/>
              </w:rPr>
              <w:t xml:space="preserve">mm</w:t>
            </w:r>
            <w:r>
              <w:rPr>
                <w:rFonts w:ascii="宋体" w:hAnsi="宋体" w:cs="宋体"/>
              </w:rPr>
            </w:r>
            <w:r/>
          </w:p>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叉车长度：≥1100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 </w:t>
            </w:r>
            <w:r>
              <w:rPr>
                <w:rFonts w:ascii="宋体" w:hAnsi="宋体" w:cs="宋体"/>
              </w:rPr>
            </w:r>
            <w:r/>
          </w:p>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转弯半径：</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1350</w:t>
            </w:r>
            <w:r>
              <w:rPr>
                <w:rFonts w:hint="eastAsia" w:ascii="宋体" w:hAnsi="宋体" w:eastAsia="宋体" w:cs="宋体"/>
                <w:i w:val="0"/>
                <w:color w:val="000000"/>
                <w:sz w:val="21"/>
                <w:szCs w:val="21"/>
                <w:highlight w:val="none"/>
                <w:u w:val="none"/>
                <w:lang w:val="en-US" w:eastAsia="zh-CN" w:bidi="ar"/>
              </w:rPr>
              <w:t xml:space="preserve">mm</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辆</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电子标签系统</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1套控制器、转换器、绿灯完成器、和订单显示器，大于12片电子标签</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以及配套辅助材料等。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设备参数：5位数7段式LED显示，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1个确认按钮及2个功能键，红色指示灯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电压</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电流：BJ12V</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200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A</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标签尺寸</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：148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L</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×46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×30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H</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工作温度：0℃~40℃</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实训环境提升及设备安装调试</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完成所有软硬件系统对接以及所供设备安装调试培训等工作。对原有中职省赛场地搬迁，设备维护保养；对600平左右实训场地环境升级。</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r>
      <w:tr>
        <w:trPr>
          <w:trHeight w:val="340"/>
        </w:trPr>
        <w:tc>
          <w:tcPr>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153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高性能工作站</w:t>
            </w:r>
            <w:r>
              <w:rPr>
                <w:rFonts w:ascii="宋体" w:hAnsi="宋体" w:cs="宋体"/>
              </w:rPr>
            </w:r>
            <w:r/>
          </w:p>
        </w:tc>
        <w:tc>
          <w:tcPr>
            <w:gridSpan w:val="2"/>
            <w:tcMar>
              <w:left w:w="15" w:type="dxa"/>
              <w:top w:w="15" w:type="dxa"/>
              <w:right w:w="15" w:type="dxa"/>
            </w:tcMar>
            <w:tcW w:w="6400"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定位设备：多点触控触摸板；摄像头：720P高清摄像头，支持物理防窥功能，保护个人隐私；指纹识别器：电源二合一指纹识别器；接口：2个USB-C 3.2 G2接口（其中1个支持雷电4协议）、2个USB-A 3.2 G1接口（其中1个支持PowerUSB）、HD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I2.0接口、耳麦二合一接口、RJ45接口；电池：内置≥60WHr以上锂电池；CPU：参照或相当于Intel第十四代U7-255H（16核</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2.0GHz主频</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24</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B缓存）；内存：≥16G DDR5 5600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Hz内存，标配双内存插槽，最大支持32G；硬盘：参照或相当于≥512G </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.2 PCIe NV</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E SSD硬盘；显示屏：14” LED雾面防眩光液晶显示屏，分辨率≥1920×1200，16：10，屏占比90%，180度开合；显卡：集显（2G显存）；网卡：802.11 AX无线网卡（支持WIFI6协议，蓝牙5.2协议）；键盘：防泼溅键盘；体积：重量≤1.38KG（含电池），厚度≤17</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；操作系统：配置 Windows 64位操作系统；机壳：A/D双面合金</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gridSpan w:val="2"/>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tcMar>
              <w:left w:w="15" w:type="dxa"/>
              <w:top w:w="15" w:type="dxa"/>
              <w:right w:w="15" w:type="dxa"/>
            </w:tcMar>
            <w:tcW w:w="6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r>
    </w:tbl>
    <w:p>
      <w:pPr>
        <w:pStyle w:val="941"/>
        <w:ind w:firstLine="422"/>
        <w:keepLines w:val="0"/>
        <w:keepNext w:val="0"/>
        <w:pageBreakBefore w:val="0"/>
        <w:spacing w:line="420" w:lineRule="exact"/>
        <w:widowControl w:val="off"/>
        <w:rPr>
          <w:rFonts w:hint="eastAsia" w:ascii="宋体" w:hAnsi="宋体" w:cs="宋体"/>
          <w:b/>
          <w:bCs/>
          <w:color w:val="000000"/>
          <w:sz w:val="21"/>
          <w:szCs w:val="21"/>
          <w:highlight w:val="none"/>
        </w:rPr>
        <w:outlineLvl w:val="9"/>
      </w:pPr>
      <w:r>
        <w:rPr>
          <w:rFonts w:ascii="宋体" w:hAnsi="宋体" w:eastAsia="宋体" w:cs="宋体"/>
          <w:b/>
          <w:bCs/>
          <w:color w:val="000000"/>
          <w:sz w:val="21"/>
          <w:szCs w:val="21"/>
          <w:highlight w:val="none"/>
        </w:rPr>
        <w:t xml:space="preserve">注：</w:t>
      </w:r>
      <w:r>
        <w:rPr>
          <w:rFonts w:hint="eastAsia" w:ascii="宋体" w:hAnsi="宋体" w:eastAsia="宋体" w:cs="宋体"/>
          <w:b/>
          <w:bCs/>
          <w:color w:val="000000"/>
          <w:sz w:val="21"/>
          <w:szCs w:val="21"/>
          <w:highlight w:val="none"/>
        </w:rPr>
        <w:t xml:space="preserve">（1）本采购包</w:t>
      </w:r>
      <w:r>
        <w:rPr>
          <w:rFonts w:hint="eastAsia" w:ascii="宋体" w:hAnsi="宋体" w:eastAsia="宋体" w:cs="宋体"/>
          <w:b/>
          <w:bCs/>
          <w:color w:val="000000"/>
          <w:sz w:val="21"/>
          <w:szCs w:val="21"/>
          <w:highlight w:val="none"/>
          <w:lang w:eastAsia="zh-CN"/>
        </w:rPr>
        <w:t xml:space="preserve">主要</w:t>
      </w:r>
      <w:r>
        <w:rPr>
          <w:rFonts w:hint="eastAsia" w:ascii="宋体" w:hAnsi="宋体" w:eastAsia="宋体" w:cs="宋体"/>
          <w:b/>
          <w:bCs/>
          <w:color w:val="000000"/>
          <w:sz w:val="21"/>
          <w:szCs w:val="21"/>
          <w:highlight w:val="none"/>
        </w:rPr>
        <w:t xml:space="preserve">产品：导播虚拟一体机</w:t>
      </w:r>
      <w:r>
        <w:rPr>
          <w:rFonts w:hint="eastAsia" w:ascii="宋体" w:hAnsi="宋体" w:eastAsia="宋体" w:cs="宋体"/>
          <w:b/>
          <w:bCs/>
          <w:color w:val="000000"/>
          <w:sz w:val="21"/>
          <w:szCs w:val="21"/>
          <w:highlight w:val="none"/>
          <w:lang w:eastAsia="zh-CN"/>
        </w:rPr>
        <w:t xml:space="preserve">（信息传媒系-数媒技术实训）、大数据供应链实践软件平台（商务管理系-快递产业实训）</w:t>
      </w:r>
      <w:r>
        <w:rPr>
          <w:rFonts w:hint="eastAsia" w:ascii="宋体" w:hAnsi="宋体" w:eastAsia="宋体" w:cs="宋体"/>
          <w:b/>
          <w:bCs/>
          <w:color w:val="000000"/>
          <w:sz w:val="21"/>
          <w:szCs w:val="21"/>
          <w:highlight w:val="none"/>
        </w:rPr>
        <w:t xml:space="preserve">。</w:t>
      </w:r>
      <w:r>
        <w:rPr>
          <w:rFonts w:ascii="宋体" w:hAnsi="宋体" w:cs="宋体"/>
        </w:rPr>
      </w:r>
      <w:r/>
    </w:p>
    <w:p>
      <w:pPr>
        <w:pStyle w:val="941"/>
        <w:ind w:firstLine="422"/>
        <w:keepLines w:val="0"/>
        <w:keepNext w:val="0"/>
        <w:pageBreakBefore w:val="0"/>
        <w:spacing w:line="42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若本次采购包为单一产品，提供相同品牌产品且通过资格审查、符合性审查的不同投标人参加同一合同项下投标的，按一家投标人计算；对招标文件作实质响应的投标人不足三个的，将作废标处理。</w:t>
      </w:r>
      <w:r>
        <w:rPr>
          <w:rFonts w:ascii="宋体" w:hAnsi="宋体" w:cs="宋体"/>
        </w:rPr>
      </w:r>
      <w:r/>
    </w:p>
    <w:p>
      <w:pPr>
        <w:pStyle w:val="941"/>
        <w:ind w:firstLine="422"/>
        <w:keepLines w:val="0"/>
        <w:keepNext w:val="0"/>
        <w:pageBreakBefore w:val="0"/>
        <w:spacing w:line="42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若本次采购包为非单一产品，提供相同品牌核心产品且通过资格审查、符合性审查的不同投标人参加同一合同项下投标的，按一家投标人计算；对招标文件作实质响应的投标人不足三个的，将作废标处理。</w:t>
      </w:r>
      <w:r>
        <w:rPr>
          <w:rFonts w:ascii="宋体" w:hAnsi="宋体" w:cs="宋体"/>
        </w:rPr>
      </w:r>
      <w:r/>
    </w:p>
    <w:p>
      <w:pPr>
        <w:pStyle w:val="941"/>
        <w:ind w:firstLine="422"/>
        <w:keepLines w:val="0"/>
        <w:keepNext w:val="0"/>
        <w:pageBreakBefore w:val="0"/>
        <w:spacing w:line="42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（2）本采购包不接受进口产品。</w:t>
      </w:r>
      <w:r>
        <w:rPr>
          <w:rFonts w:ascii="宋体" w:hAnsi="宋体" w:cs="宋体"/>
        </w:rPr>
      </w:r>
      <w:r/>
    </w:p>
    <w:p>
      <w:pPr>
        <w:pStyle w:val="941"/>
        <w:ind w:firstLine="422"/>
        <w:keepLines w:val="0"/>
        <w:keepNext w:val="0"/>
        <w:pageBreakBefore w:val="0"/>
        <w:spacing w:line="420" w:lineRule="exact"/>
        <w:widowControl w:val="off"/>
        <w:rPr>
          <w:rFonts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（3）上述所有技术参数中如有涉及的品牌仅为参考品牌，投标人可投其他品牌，但所投产品的技术参数应等于或高于参考品牌的要求。</w:t>
      </w:r>
      <w:r>
        <w:rPr>
          <w:rFonts w:ascii="宋体" w:hAnsi="宋体" w:cs="宋体"/>
        </w:rPr>
      </w:r>
      <w:r/>
    </w:p>
    <w:p>
      <w:pPr>
        <w:pStyle w:val="885"/>
        <w:numPr>
          <w:ilvl w:val="0"/>
          <w:numId w:val="0"/>
        </w:numPr>
        <w:ind w:firstLine="422"/>
        <w:jc w:val="both"/>
        <w:keepLines w:val="0"/>
        <w:keepNext w:val="0"/>
        <w:pageBreakBefore w:val="0"/>
        <w:spacing w:line="42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2.采购清单（第二标段）</w:t>
      </w:r>
      <w:r>
        <w:rPr>
          <w:rFonts w:ascii="宋体" w:hAnsi="宋体" w:cs="宋体"/>
        </w:rPr>
      </w:r>
      <w:r/>
    </w:p>
    <w:tbl>
      <w:tblPr>
        <w:tblW w:w="4998"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51"/>
        <w:gridCol w:w="1417"/>
        <w:gridCol w:w="5811"/>
        <w:gridCol w:w="709"/>
        <w:gridCol w:w="709"/>
        <w:gridCol w:w="632"/>
      </w:tblGrid>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b/>
                <w:bCs w:val="0"/>
                <w:i w:val="0"/>
                <w:color w:val="000000"/>
                <w:sz w:val="21"/>
                <w:szCs w:val="21"/>
                <w:highlight w:val="none"/>
                <w:u w:val="none"/>
              </w:rPr>
              <w:outlineLvl w:val="9"/>
              <w:suppressLineNumbers w:val="0"/>
            </w:pPr>
            <w:r>
              <w:rPr>
                <w:rFonts w:hint="eastAsia" w:ascii="宋体" w:hAnsi="宋体" w:eastAsia="宋体" w:cs="宋体"/>
                <w:b/>
                <w:bCs w:val="0"/>
                <w:i w:val="0"/>
                <w:color w:val="000000"/>
                <w:sz w:val="21"/>
                <w:szCs w:val="21"/>
                <w:highlight w:val="none"/>
                <w:u w:val="none"/>
                <w:lang w:val="en-US" w:eastAsia="zh-CN" w:bidi="ar"/>
              </w:rPr>
              <w:t xml:space="preserve">序号</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b/>
                <w:bCs w:val="0"/>
                <w:i w:val="0"/>
                <w:color w:val="000000"/>
                <w:sz w:val="21"/>
                <w:szCs w:val="21"/>
                <w:highlight w:val="none"/>
                <w:u w:val="none"/>
              </w:rPr>
              <w:outlineLvl w:val="9"/>
              <w:suppressLineNumbers w:val="0"/>
            </w:pPr>
            <w:r>
              <w:rPr>
                <w:rFonts w:hint="eastAsia" w:ascii="宋体" w:hAnsi="宋体" w:eastAsia="宋体" w:cs="宋体"/>
                <w:b/>
                <w:bCs w:val="0"/>
                <w:i w:val="0"/>
                <w:color w:val="000000"/>
                <w:sz w:val="21"/>
                <w:szCs w:val="21"/>
                <w:highlight w:val="none"/>
                <w:u w:val="none"/>
                <w:lang w:val="en-US" w:eastAsia="zh-CN" w:bidi="ar"/>
              </w:rPr>
              <w:t xml:space="preserve">名称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b/>
                <w:bCs w:val="0"/>
                <w:i w:val="0"/>
                <w:color w:val="000000"/>
                <w:sz w:val="21"/>
                <w:szCs w:val="21"/>
                <w:highlight w:val="none"/>
                <w:u w:val="none"/>
              </w:rPr>
              <w:outlineLvl w:val="9"/>
              <w:suppressLineNumbers w:val="0"/>
            </w:pPr>
            <w:r>
              <w:rPr>
                <w:rFonts w:hint="eastAsia" w:ascii="宋体" w:hAnsi="宋体" w:eastAsia="宋体" w:cs="宋体"/>
                <w:b/>
                <w:bCs w:val="0"/>
                <w:i w:val="0"/>
                <w:color w:val="000000"/>
                <w:sz w:val="21"/>
                <w:szCs w:val="21"/>
                <w:highlight w:val="none"/>
                <w:u w:val="none"/>
                <w:lang w:val="en-US" w:eastAsia="zh-CN" w:bidi="ar"/>
              </w:rPr>
              <w:t xml:space="preserve">技术参数</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b/>
                <w:bCs w:val="0"/>
                <w:i w:val="0"/>
                <w:color w:val="000000"/>
                <w:sz w:val="21"/>
                <w:szCs w:val="21"/>
                <w:highlight w:val="none"/>
                <w:u w:val="none"/>
              </w:rPr>
              <w:outlineLvl w:val="9"/>
              <w:suppressLineNumbers w:val="0"/>
            </w:pPr>
            <w:r>
              <w:rPr>
                <w:rFonts w:hint="eastAsia" w:ascii="宋体" w:hAnsi="宋体" w:eastAsia="宋体" w:cs="宋体"/>
                <w:b/>
                <w:bCs w:val="0"/>
                <w:i w:val="0"/>
                <w:color w:val="000000"/>
                <w:sz w:val="21"/>
                <w:szCs w:val="21"/>
                <w:highlight w:val="none"/>
                <w:u w:val="none"/>
                <w:lang w:val="en-US" w:eastAsia="zh-CN" w:bidi="ar"/>
              </w:rPr>
              <w:t xml:space="preserve">单位</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b/>
                <w:bCs w:val="0"/>
                <w:i w:val="0"/>
                <w:color w:val="000000"/>
                <w:sz w:val="21"/>
                <w:szCs w:val="21"/>
                <w:highlight w:val="none"/>
                <w:u w:val="none"/>
              </w:rPr>
              <w:outlineLvl w:val="9"/>
              <w:suppressLineNumbers w:val="0"/>
            </w:pPr>
            <w:r>
              <w:rPr>
                <w:rFonts w:hint="eastAsia" w:ascii="宋体" w:hAnsi="宋体" w:eastAsia="宋体" w:cs="宋体"/>
                <w:b/>
                <w:bCs w:val="0"/>
                <w:i w:val="0"/>
                <w:color w:val="000000"/>
                <w:sz w:val="21"/>
                <w:szCs w:val="21"/>
                <w:highlight w:val="none"/>
                <w:u w:val="none"/>
                <w:lang w:val="en-US" w:eastAsia="zh-CN" w:bidi="ar"/>
              </w:rPr>
              <w:t xml:space="preserve">数量</w:t>
            </w:r>
            <w:r>
              <w:rPr>
                <w:rFonts w:ascii="宋体" w:hAnsi="宋体" w:cs="宋体"/>
              </w:rPr>
            </w:r>
            <w:r/>
          </w:p>
        </w:tc>
        <w:tc>
          <w:tcPr>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b/>
                <w:bCs w:val="0"/>
                <w:i w:val="0"/>
                <w:color w:val="000000"/>
                <w:sz w:val="21"/>
                <w:szCs w:val="21"/>
                <w:highlight w:val="none"/>
                <w:u w:val="none"/>
              </w:rPr>
              <w:outlineLvl w:val="9"/>
              <w:suppressLineNumbers w:val="0"/>
            </w:pPr>
            <w:r>
              <w:rPr>
                <w:rFonts w:hint="eastAsia" w:ascii="宋体" w:hAnsi="宋体" w:eastAsia="宋体" w:cs="宋体"/>
                <w:b/>
                <w:bCs w:val="0"/>
                <w:i w:val="0"/>
                <w:color w:val="000000"/>
                <w:sz w:val="21"/>
                <w:szCs w:val="21"/>
                <w:highlight w:val="none"/>
                <w:u w:val="none"/>
                <w:lang w:val="en-US" w:eastAsia="zh-CN" w:bidi="ar"/>
              </w:rPr>
              <w:t xml:space="preserve">标的类型</w:t>
            </w:r>
            <w:r>
              <w:rPr>
                <w:rFonts w:ascii="宋体" w:hAnsi="宋体" w:cs="宋体"/>
              </w:rPr>
            </w:r>
            <w:r/>
          </w:p>
        </w:tc>
      </w:tr>
      <w:tr>
        <w:trPr>
          <w:trHeight w:val="340"/>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b/>
                <w:bCs w:val="0"/>
                <w:i w:val="0"/>
                <w:color w:val="000000"/>
                <w:sz w:val="21"/>
                <w:szCs w:val="21"/>
                <w:highlight w:val="none"/>
                <w:u w:val="none"/>
              </w:rPr>
              <w:outlineLvl w:val="9"/>
              <w:suppressLineNumbers w:val="0"/>
            </w:pPr>
            <w:r>
              <w:rPr>
                <w:rFonts w:hint="eastAsia" w:ascii="宋体" w:hAnsi="宋体" w:eastAsia="宋体" w:cs="宋体"/>
                <w:b/>
                <w:i w:val="0"/>
                <w:color w:val="000000"/>
                <w:sz w:val="21"/>
                <w:szCs w:val="21"/>
                <w:highlight w:val="none"/>
                <w:u w:val="none"/>
                <w:lang w:val="en-US" w:eastAsia="zh-CN" w:bidi="ar"/>
              </w:rPr>
              <w:t xml:space="preserve">商务管理</w:t>
            </w:r>
            <w:r>
              <w:rPr>
                <w:rFonts w:hint="eastAsia" w:ascii="宋体" w:hAnsi="宋体" w:eastAsia="宋体" w:cs="宋体"/>
                <w:b/>
                <w:i w:val="0"/>
                <w:color w:val="000000"/>
                <w:sz w:val="21"/>
                <w:szCs w:val="21"/>
                <w:highlight w:val="none"/>
                <w:u w:val="none"/>
                <w:lang w:val="en-US" w:eastAsia="zh-CN" w:bidi="ar"/>
              </w:rPr>
              <w:t xml:space="preserve">系-</w:t>
            </w:r>
            <w:r>
              <w:rPr>
                <w:rFonts w:hint="eastAsia" w:ascii="宋体" w:hAnsi="宋体" w:eastAsia="宋体" w:cs="宋体"/>
                <w:b/>
                <w:i w:val="0"/>
                <w:color w:val="000000"/>
                <w:sz w:val="21"/>
                <w:szCs w:val="21"/>
                <w:highlight w:val="none"/>
                <w:u w:val="none"/>
                <w:lang w:val="en-US" w:eastAsia="zh-CN" w:bidi="ar"/>
              </w:rPr>
              <w:t xml:space="preserve">电脑产业</w:t>
            </w:r>
            <w:r>
              <w:rPr>
                <w:rFonts w:hint="eastAsia" w:ascii="宋体" w:hAnsi="宋体" w:eastAsia="宋体" w:cs="宋体"/>
                <w:b/>
                <w:i w:val="0"/>
                <w:color w:val="000000"/>
                <w:sz w:val="21"/>
                <w:szCs w:val="21"/>
                <w:highlight w:val="none"/>
                <w:u w:val="none"/>
                <w:lang w:val="en-US" w:eastAsia="zh-CN" w:bidi="ar"/>
              </w:rPr>
              <w:t xml:space="preserve">实训</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产教融合双元制实训管理平台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一、管理员端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权限管理：管理员可以管理各个角色的权限，如教师、学生、企业导师等。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用户管理模块：管理员端可创建、查看、删除学校老师、企业老师、学生信息，并进行添加院系、专业等操作。设置账户名称、登录账号、登录密码、头像等信息。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班级管理模块：管理员端可创建班级（学院、专业、班级人数）等信息。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岗位管理：管理员端可创建、编辑、删除实训岗位，并设置实训岗位地址信息。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任务管理：管理员可以创建、编辑、删除实训岗位任务，并设置任务要求、任务时间、任务类型等参数。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课程管理：管理员端可创建、编辑、删除课程，并设置课程考核表、企业老师、学校老师、对应岗位以及实训岗位时长等信息。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管理员端可对于课程管理制定考核表单，包含考核类型、考核标准、分数等信息。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管理员端展示所有登录系统日志记录，包含IP、时间、状态、用户类型、用户信息。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二、教师端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学校老师可创建、删除班级，并设置院系、专业、协助老师等信息。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学校&amp;企业老师可查看实训任务列表，包含岗位、实训时间、地址信息。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实训看板：学校&amp;企业老师端可查看学生实训岗位相关数据明细，包括时间、考评状态、导师、课程、专业、岗位等字段，具备查看和导出功能。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实训评分：学校&amp;企业老师端可针对已完成实训岗位学生进行评分，对于实训表现进行评语。包含学生照片、姓名、班级、岗位、任务时间、签到时间等信息。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数据大屏：学校&amp;企业老师端可查看生产型实训监控大数据，包含周度实训岗位情况、累计已实训总人数、当日报名情况、实训人员状态等可视化数据。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6、我的课程：学校老师可直接查看涉及课程、课程时间、岗位数量、实训时长等信息。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三、学生端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我的课程：学生可通过课程目录查看涉及课程中岗位、实训时长、考核标准、实训周期等信息。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学生可针对岗位名称、实训时间、实训要求进行申请实训操作。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考核评定：学生可查看应实训时长、实际实训时长、实训岗位分数等信息。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我的实训：已申请实训岗位可进行签到、签出。实训中提供个人信息内容形式展现。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心得体会：学生可对已完成实训岗位填写实训心得，并在老师端显示。</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数智新媒体实战教学平台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该平台应支持管理、教师和学生三个角色，并涵盖课程管理、教学活动、学习进度跟踪、考试管理及系统设置等功能。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1.课程中心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1.1课程分类：支持创建和维护课程类别，方便用户查找和管理。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1.2课程管理：允许管理员添加、编辑、删除课程信息，可通过课时管理功能，管理对应课程的课时和课时小节。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1.3课时管理：可以规划和调整每门课程的具体课时安排。</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1.4小节管理：细化到每一节课的小节内容管理，确保教学内容有序进行。</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1.5管理工具：备课时进入，针对每一节课的小节内容，可增加投票、上传、问卷、测验、实训等教学活动。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2.课程授权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2.1授权管理：查看所有用户的课程授权状态和授权历史。</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2.2授权列表：实现对课程访问权限的控制，确保只有授权教师才能访问特定课程资源。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3.教学</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3.1授课班级：创建和管理授课班级，分配教师与学生。</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3.2学生管理：记录学生的授课班级信息。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3.3课程管理：教师可管理自己负责的课程，如上传资料、布置作业等。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3.4学习数据：收集和分析学生的学习行为数据，以改进教学方法。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4.学习</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4.1我的课程：学生查看自己注册的所有课程及相关信息。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4.2我的成绩：展示学生在各个课程中的成绩记录。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5.考试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5.1测验：支持在线测验功能，教师可设定题目、评分规则。</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5.2统考：组织大规模的在线统一考试，保证考试公平性和安全性。</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6.工具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6.1思维导图：提供思维导图工具辅助教学和学习。</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6.2白板：集成白板功能，用于实时互动教学或讨论。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7.系统管理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7.1账号管理：管理所有用户的账号信息，包括创建、修改密码等。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7.2角色管理：定义不同角色的权限范围，确保系统的安全使用。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7.3班级管理：可创建院校、专业、班级等。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7.4职位管理：配置职位相关信息，关联用户角色。</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7.5个人中心：提供个性化设置界面，用户可以定制自己的使用体验。</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7.6通知公告：发布重要通知和公告，确保信息传达给所有相关人员。</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项</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电商直播理实一体化实战平台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这是一款基于互联网技术的直播实战平台系统，主要为学生提供一个真实的直播实战环境。平台由前端、后端、数据库和服务器等多个组件构成。具有商品管理、订单管理、用户管理、直播管理等功能，同时平台还提供了优惠券、拼团等多样化营销工具，为学生提供更加完整的直播实战环境，帮助学生获得更加真实的直播实战经验。</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管理端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一、B2B2C</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控制台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店铺（商城店铺总数量）、商品（商城店铺商品总和）、会员（平台注册会员总数）、今日会员（今日新增用户数量）、平台总流水、今日订单金额、今日充值金额、待处理提现、订单统计、待付款、待发货、售后订单、总订单数、在售SKU总量、商品访客数、评论数量、TOP10销量、新申请店铺、介入退款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店铺管理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（1）店铺列表（个人、企业、旗舰、店铺基本信息）</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可以编辑、删除店铺，同时可操作商品、平图案、平拍、运费末班、种草信息、类目等。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（2）新店铺审核</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可查看已提交资质，完善店铺信息，审核情况等。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（3）地址管理</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可用于添加编辑、删除、地址等情况。</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（4）服务管理</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用于店铺服务项目管理，包含添加、编辑、删除等功能设置商家服务。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（5）运费模板</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删除设置运费模板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（6）品牌管理</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添加、编辑、删除品牌信息。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电商类目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（1）订单监管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①商品订单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待支付、待发货、待收货、待评论、已完成、已取消的所有订单的删除、回收站信息。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②拼团订单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微信支付、待成团、待发货、待收货、待评论、已完成、已取消 的所有订单的删除及回收站信息。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③评论管理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好评、中评、差评的添加、编辑删除更多的功能。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④退款管理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申请退款、卖家同意、买家已退货、卖家拒绝，申请平台介入、成功退款、退款已关闭、退款还返中、退款失败 信息查询。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（2）装修商城</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①模板管理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新建模板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②页面管理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APP首页、店铺主页、单页的新建页面和删除。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③全局样式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类目样式、图案栏目页样式、发现页样式、购物车样式、用户中心样式等的制作。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④链接管理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系统、活动、用户中心、商品、自定义页面等功能的编辑、删除、回收站等功能。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⑤目标管理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添加、编辑、删除国际图标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（3）客服服务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①投诉管理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用户举报、商品举报、店铺举报、拼团举报的删除等功能。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②意见反馈</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未受理、已受理的意见反馈</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（4）财务管理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①资金账单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商品交易、拼团交易、充值、提现、退款、系统业务的查看。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②用户提现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申请中</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成功</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已拒绝</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的情况查看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（5）阶梯拼团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①拼团管理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准备中、拼团中、已成团、拼团失败、自动成团的信息展示。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②商品管理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出售中的宝贝、仓库中宝贝 的信息查看。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（6）种草短视频</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①作品列表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发布中、待审核、危险内容、转码中、截图中、发布成功等消息的删除。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②社交评论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③直播回放</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④视频点播</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（7）内容管理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①文章列表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文章的添加、编辑、删除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②分类管理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添加、编辑、删除分类信息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（8）微信管理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①菜单管理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添加子菜单、加载服务端菜单、保存并发布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②资源管理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添加、编辑</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（10）商城配置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二、控制台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总会员数、总插件数、总附件数、总管理员数、注册、登录、新增、活跃的信息统计。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三、常规管理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（1）系统配置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基础配置、邮件配置、字典配置、会员配置、示例分组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（2）附件管理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（3）个人资料</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四、权限管理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（1）管理员管理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添加、删除管理员信息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（2）管理员日志</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（3）角色组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五、会员管理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（1）会员管理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（2）会员分组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（3）会员规则</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（4）会员提现管理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六、微信管理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（1）自动回复管理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（2）配置管理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（3）菜单管理编辑</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（4）资源管理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七、第三方登录管理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八、批量导入日记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九、签到管理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学员端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一、会员中心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二、个人资料</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个人资料、 编写</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三、密码修改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四、退出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五、邀请好友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六、充值中心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（1）充值余额</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（2）余额日志</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（3）每日签到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七、卖家管理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卖家控制台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（1）控制台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总商品数、总访问数、总订单数、总金额、店铺收藏、加购物车、今日订单、未处理订单、七日新增、今日总额</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（2）交易管理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①商品订单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待支付、待发货、待收货、待评论、已完成、已取消查看发货单，批量发货。</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②拼团订单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待支付、待发货、待收货、待评论、已完成、已取消查看发货单，批量发货。</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③评论管理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好评、中评、差评管理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④退款管理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申请退款、等待退款、买家已退货、已拒绝、平台介入、退款完成、退款已关闭、退款返还中、退款失败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（3）宝贝管理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①发布宝贝</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基础信息、销售信息、图文描述、支付信息、物流信息、售后信息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②出售中的宝贝</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编辑、添加、删除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③仓库中的宝贝</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编辑、添加、删除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八、类目管理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添加、编辑、删除、列表、全部商品、全部拼团、类目样式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八、店铺管理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（1）装修店铺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添加、操作、编辑、装修店铺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（2）图片空间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上传文件 图片、音频、视频、文档、应用、压缩包</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（3）品牌管理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添加、编辑、删除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（4）店铺资料</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九、阶梯拼团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（1）商品列表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新增商品、复制商品、删除商品</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（2）拼团管理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准备中、拼团中、已成团、拼团失败、自动成团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（3）订单管理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待支付、待成团、待发货</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十、种草短视频</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上新短视频、直播种草、活动、买家秀</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十一、营销活动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满减</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包邮券</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十二、物流运费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运费模板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财务管理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（1）商家对账单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商品、拼团、充值、提现、退款、系统业务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（2）商家提现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十四、店铺设置</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全域社交电商管理平台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全域社交电商管理平台，依托当前主流分销平台展示，利用社交平台的裂变传播特性，达到销售产品服务和裂变获取的目的。平台通过提供当前电商平台高佣、爆品等信息，查询电商平台隐藏优惠券，实现自购省钱，分享赚钱，让学生了解社交电商底层运行逻辑</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一、管理后台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主页</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（1）默认展示近7天平台整体推广数据，含推广订单量，推广订单金额，完成订单量，完成订单金额，预估收益等信息，支持折线图方式展示每日推广情况，方便直观了解平台推广情况</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频道管理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（1）平台主推：查看当前平台主推频道商品列表，可以修改上下架状态，修改商品权重，修改推广时间，控制商品在小程序端的展示和顺序；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（2）平台主推录品：可将当前在推广中的商品，录入sku Id，系统自动解析商品信息，包括商品名称，价格，图片，推广佣金等信息；有券品自动解析到券信息（含隐藏券），设置推广时间，控制商品在分销小程序的展示时间。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（3）平台快报：可自主设置通知快报信息，快报展示时间，支持多条快报轮播展示；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推手管理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（1）用户信息查看：按注册时间，展示当前平台推手基本信息&amp;佣金余额，实时掌握平台用户情况；</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（2）用户关系查看：通过用户唯一标识or手机号查询单一用户信息，点击邀请人数，直接查看直邀用户，不断下钻，掌握用户邀请链路；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推广管理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订单管理：近实时拉取推手推广订单详情（推广订单5分钟之内可展示到后台&amp;推手端）；通过下单时间（或完成时间），自定义查询时间段、订单状态、推手标识等条件查询推广订单；订单展示商品信息，下单时间，完成时间，购买数量，退换货数量，预估收益，实际收益，推手收益等核心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（2）账单管理：每月定时生成推手账单，自动结算上月完成订单收益；可通过账期，推手唯一标识查看账单详情，账单含三级分佣收益明细，了解推手属性（自推型or团队型）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（3）提现管理，可以处理推手端提现请求，通过推手唯一标识，提现处理状态等条件查询提现记录，将佣金以微信零钱方式发放，非法提现记录直接驳回；</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系统配置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（1）基本信息维护：系统设置可以设置分销端基本设置，前端页面广告位图片，更多功能等；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（2）推广设置：平台默认三级分佣，合理合规。设置订单直接推广者，推广者上级，推广者上上级三级分佣比例，推广成单之后，收益按设置比例自动计入相关人账号；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二、小程序端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首页</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（1）搜索：直接搜索商品库，可以返回平台隐藏优惠券，支持综合排序，佣金比例排序，成单量排序；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（2）商品/分类：按主类目（食品、家居、美妆等），分类目展示商品库商品；支持综合排序，佣金比例排序，成单量排序；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（3）金刚区：展示自营热卖，秒杀，9.9包邮，高收益榜，爆品等5个栏目，商品自动抓取，实时更新，满足不同推手推广需求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（4）广告位：自营商品为您推荐频道，自动抓取并展示自己供应链商品，推广商品品质和物流可控；平台主推商品，专业运营人员为您选好品；平台验货频道，平台实际采购，专业验货，放心推广。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（5）为您推荐：系统抓取当前最好卖的商品</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（6）转链：上任意商品或其他平台看到的好品，都可以拿链接来平台转链，转链后推广，获取推广收益</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（6）商品推广：可以直接分享商品图片到社交平台，获取推广文案和下单链接，选取商品图片合成商品海报等形式对商品推广，获取收益；</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商学院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（1）开店必学：带您了解社交电商，了解基础操作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（2）店长进阶：教您爆单，社交引流技巧，带您收益快速提升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（3）大咖分享：卖货达人，分享自己的经历，向牛人看齐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我的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（1）收益查看：今日推广订单数，今日推广收益，今日总收益汇总展示，一目了然；支持近7日，近30日汇总，自定义日期查询，了解您的近期自推收益和总收益变化；</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（2）订单查询：查看您的推广订单详情，支持按订单状态筛选，待支付的订单赶紧去付款拿收益；计佣金额&amp;推广赚一目了然；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（3）团队管理：一键邀请好友，锁定关系，带领好友一起赚钱；查看直邀会员，团队会员，了解我的团队组成，互相交流卖货心得；</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（4）更多功能：联系客服，自定义联系人，做好推手支持；关于我们，支持自定义内容，更好地介绍我们；用户规范，遵守规范，让我们的社交生态更健康</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电商一体化课程云平台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电商一体化云课程平台为版权课程提供信息化呈现，可帮助教师打造一站式教学、自学、实训、考试、评价体验。</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支持管理、教师和学生三个角色，并涵盖课程管理、教学活动、学习进度跟踪、考试管理及系统设置等功能。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1.课程中心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1.1课程分类：支持创建和维护课程类别，方便用户查找和管理。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1.2课程管理：允许管理员添加、编辑、删除课程信息，可通过课时管理功能，管理对应课程的课时和课时小节。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1.3课时管理：可以规划和调整每门课程的具体课时安排。</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1.4小节管理：细化到每一节课的小节内容管理，确保教学内容有序进行。</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1.5实训平台管理：添加学生需要参与的实训平台，并选择课程分类</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2.课程授权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2.1授权管理：查看所有用户的课程授权状态和授权历史。</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2.2授权列表：实现对课程访问权限的控制，确保只有授权教师才能访问特定课程资源。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3.教学</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3.1授课班级：创建和管理授课班级，分配教师与学生。</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3.2课程管理：教师可管理自己负责的课程，如上传资料、布置作业， 创建考试。学生可进入考试平台。课堂互动工具，发布投票、上传文件，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发布文件，发布测验，设置实训任务。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3.3学习数据：收集和分析学生的学习行为数据，以改进教学方法。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4.学习</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4.1我的课程：学生查看自己注册的所有课程及相关信息。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4.2我的成绩：展示学生在各个课程中的成绩记录。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5.考试中心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5.1考试分类：添加不同考试专业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5.2题目分类：根据专业，添加题目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5.3题目难度管理：添加题目难度</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5.4题库：添加单选题，多选题，填空题，判断题，简答题。支持Excel导入、Word导入，AI生成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6.工具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6.1思维导图：提供思维导图工具辅助教学和学习。</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6.2白板：集成白板功能，用于实时互动教学或讨论。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7.系统管理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7.1账号管理：管理所有用户的账号信息，包括创建、修改密码等。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7.2角色管理：定义不同角色的权限范围，确保系统的安全使用。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7.3班级管理：可创建院校、专业、班级等。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7.4职位管理：配置职位相关信息，关联用户角色。</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7.5个人中心：提供个性化设置界面，用户可以定制自己的使用体验。</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7.6通知公告：发布重要通知和公告，确保信息传达给所有相关人员。</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《电商店铺开设与入驻》课程服务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（1）课程内容：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1.电商平台概况（平台发展历程）；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2.电商平台入驻（了解招商信息、店铺合作模式、开店前的资质准备）；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3.店铺入驻流程（店铺注册、钱包及账户）；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4.店铺结算与续签（店铺结算介绍、店铺结算方式、店铺续签）；</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5.开放平台总则（开放平台总则）；</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6.电商团队搭建与职责（电商团队的岗位与职责）；</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7.店铺产品架构与分析（店铺产品架构与分析）；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（2）课程介质：教学视频、教学课件（PPT</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12个，练习题：154个，微课：12个）。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7</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《电商店铺装修与设计》课程服务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（1）课程内容：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1.视觉营销（认识视觉营销、视觉规范）；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2.店铺装修意义及基本操作（店铺装修基本介绍、装修介绍及注意事项）；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3.PC端店铺装修（商品类模块介绍、商品类模块介绍、创意代码类模块介绍）；</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4.移动端店铺装修（无线端装修的后台、后台与操作说明）；</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5.商详关联版式（商详关联版式功能、批量装修功能、数据表现、具体操作、重要必读规范）；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6.装吧介绍（装吧及商品介绍、装吧工作台基本操作介绍、装吧操作说明及模板功能说明）；</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7.通天塔（通天塔基本操作模块（上）、通天塔基本操作模块（下）、模板详细说明－图文1、模板详细说明－图文2、模板详细说明－图文3、模板详细说明－商品、模板详细说明－营销、模板详细说明-TAB 导航、PC专属模板）；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（2）课程介质：教学视频、教学课件。（PPT</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17个，练习题：287个，微课：27个）。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8</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《电商店铺商品管理与销售》课程服务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（1）课程内容：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商品的认识（商品的定义、选择商品）商品上架前准备（市场环境分析、行业数据分析、货源获取、商品分析与定价、商品的卖点与功能、商品详情页的制作逻辑、商品拍摄、多媒体素材拍摄、后期制作与美化、仓储与物流设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2.商品上架（选择类目、商品标题撰写、规格与定价设置、上传主图与视频、详情页上传、商品上架）；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3.商品管理（商品优化、关联版式设置、库存管理、商品评价管理）；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（2）课程介质：教学视频、教学课件（PPT</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22个，练习题：121个，微课：22个）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9</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《电商店铺营销与策划》课程服务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（1）课程内容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1.营销中心（首页版块介绍）；</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2.店铺运营（店铺入口配置、店铺首页配置、店铺营销活动）；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3.营销工具（营销工具策略、商品促销设置、优惠券设置、促销应用工具）；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4.客户营销（用户会员管理、微信公众号营销、互动营销）；</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5.新品运营（新品营销操作指南、新品权益工具）；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6.联合营销（联合营销及推广模块介绍）；</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（2）课程介质：教学视频、教学课件（PPT</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14个，练习题：192个，微课：15个）。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《电商店铺引流与推广》课程服务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（1）课程内容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1.付费引流（展示广告、搜索广告、购物触点、付佣广告、品牌广告、海投广告、联合活动）；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2.活动引流（活动引流的重要性、官方营销活动、频道活动、全站大促活动、活动引流实施）；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3.搜索引流（搜索的重要性、认识搜索、搜索的规则）；</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（2）课程介质：教学视频、教学课件（PPT</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16个，练习题：94个，微课：17个）。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《电商产品创意创作》课程服务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（1）课程内容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1.社交营销；</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2.达人平台（达人入驻、达人成长、商品选择、达人内容创作）；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3.购物圈营销（购物圈介绍、购物圈入驻、购物圈内容创作）；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4.直播（直播业务介绍、直播平台政策、主播成长体系、直播平台的基础功能、直播营销产品）；</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（2）课程介质：教学视频、教学课件。（PPT</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16个，练习题：69个，微课：16个）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《电商数据分析及搜索引擎优化》课程服务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（1）课程内容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1.数据分析的意义（数据分析对于运营的意义、数据分析对于店铺营销的意义、数据分析对于营运人员的意义）；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2.数据分析基础（关于商智、基础名词释义）；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3.数据整理与分析（运营数据整理、客户数据整理、活动分析、搜索分析、商品分析、交易分析、服务分析、营销分析、供应链分析、品牌分析、属性分析、产品分析、竞争分析）；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（2）课程介质：教学视频、教学课件。（PPT</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16个，练习题：84个，微课：8个）。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《电商仓配客一体化系统》课程服务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（1）课程内容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1.订单管理（订单类型、订单处理规范）；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2.客服（客服工作的意义、客服常用工具、售后管理、交易纠纷及商品评价）；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3.店铺配送管理（物流公司管理、仓储管理、运费模板设置、无界电子面单、发票管理、延时发货报备）；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4.仓储（云仓、SOP入仓基本介绍及操作规范、FBP入仓基本介绍及操作规范）；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5.配送（物流、SOP开通流程及操作规范）；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（2）课程介质：教学视频、教学课件。（PPT</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18个，练习题：123个，微课：19个）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跨境电商数据运营虚拟仿真理实一体化系统</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跨境电商数据运营虚拟仿真教学实训软件包括行业分析、品类分析、选品分析、运营推广、关键词分析等功能模块，分别提供行业数据、商品数据等方面的信息。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（一）行业分析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1.行业趋势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系统内置A-Z 26个产品字母缩写，并拥有36个产品通过类目和名称搜索查询，对该类目或名称下行业数据进行采集，采集</w:t>
            </w:r>
            <w:r>
              <w:rPr>
                <w:rFonts w:hint="eastAsia" w:ascii="宋体" w:hAnsi="宋体" w:eastAsia="宋体" w:cs="宋体"/>
                <w:i w:val="0"/>
                <w:color w:val="000000"/>
                <w:sz w:val="21"/>
                <w:szCs w:val="21"/>
                <w:highlight w:val="none"/>
                <w:u w:val="none"/>
                <w:lang w:val="en-US" w:eastAsia="zh-CN" w:bidi="ar"/>
              </w:rPr>
              <w:t xml:space="preserve">结果可通过行业词云分析、趋势图（包括交易指数趋势图、高质量宝贝趋势图）等不同的可视化方式呈现，提供亚马逊平台不少于50个类目连续6个月以上的行业数据，一级类目包括美容健康、家居用品、消费电子等且数据按月更新。行业趋势模块可按照总销量、平均价格和高质量宝贝数查看各类目的详细数据，并且提供各类目的行业趋势图和表格，行业趋势图包括销量趋势和增幅趋势，以柱状图和折线图的组合图形式呈现，可拖动图片下方横条选择时间范围，表格提供数据包括月份、总销量、平均价格、高质量宝贝，可按照后三者在线排序查看，行业数据支持一键下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2.商品排行榜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（拥有</w:t>
            </w:r>
            <w:r>
              <w:rPr>
                <w:rFonts w:hint="eastAsia" w:ascii="宋体" w:hAnsi="宋体" w:eastAsia="宋体" w:cs="宋体"/>
                <w:i w:val="0"/>
                <w:color w:val="000000"/>
                <w:sz w:val="21"/>
                <w:szCs w:val="21"/>
                <w:highlight w:val="none"/>
                <w:u w:val="none"/>
                <w:lang w:val="en-US" w:eastAsia="zh-CN" w:bidi="ar"/>
              </w:rPr>
              <w:t xml:space="preserve">约</w:t>
            </w:r>
            <w:r>
              <w:rPr>
                <w:rFonts w:hint="eastAsia" w:ascii="宋体" w:hAnsi="宋体" w:eastAsia="宋体" w:cs="宋体"/>
                <w:i w:val="0"/>
                <w:color w:val="000000"/>
                <w:sz w:val="21"/>
                <w:szCs w:val="21"/>
                <w:highlight w:val="none"/>
                <w:u w:val="none"/>
                <w:lang w:val="en-US" w:eastAsia="zh-CN" w:bidi="ar"/>
              </w:rPr>
              <w:t xml:space="preserve">50000条海量数据）排行榜模块可以根据月份、类目查看具体的商品排行榜，可查看商品分析和相似商品查看。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3.店铺排行榜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店铺排行榜模块可以根据月份、类目查看具体的店铺排行榜，可查看每个店铺的销量、销售金额、增幅等数据，也可进行具体店铺的详细分析。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（二）品类分析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根据用户输入关键词和类目，自动抓取平台商品信息；提供平台实时的关键词对应的商品数量、最高价格、最低价格、平均价格和更新时间等信息。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1.品类调研</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品类调研共</w:t>
            </w:r>
            <w:r>
              <w:rPr>
                <w:rFonts w:hint="eastAsia" w:ascii="宋体" w:hAnsi="宋体" w:eastAsia="宋体" w:cs="宋体"/>
                <w:i w:val="0"/>
                <w:color w:val="000000"/>
                <w:sz w:val="21"/>
                <w:szCs w:val="21"/>
                <w:highlight w:val="none"/>
                <w:u w:val="none"/>
                <w:lang w:val="en-US" w:eastAsia="zh-CN" w:bidi="ar"/>
              </w:rPr>
              <w:t xml:space="preserve">约</w:t>
            </w:r>
            <w:r>
              <w:rPr>
                <w:rFonts w:hint="eastAsia" w:ascii="宋体" w:hAnsi="宋体" w:eastAsia="宋体" w:cs="宋体"/>
                <w:i w:val="0"/>
                <w:color w:val="000000"/>
                <w:sz w:val="21"/>
                <w:szCs w:val="21"/>
                <w:highlight w:val="none"/>
                <w:u w:val="none"/>
                <w:lang w:val="en-US" w:eastAsia="zh-CN" w:bidi="ar"/>
              </w:rPr>
              <w:t xml:space="preserve">1000条数据，提供产品数量、总评论数、近一个月供需指数、复合增长率、同比增长率、平均价格等数据，也可进行主动搜索查看。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2.品类纵横</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通过衡量指标进行品类详情分析。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（三）选品分析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1.大数据选品</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提供</w:t>
            </w:r>
            <w:r>
              <w:rPr>
                <w:rFonts w:hint="eastAsia" w:ascii="宋体" w:hAnsi="宋体" w:eastAsia="宋体" w:cs="宋体"/>
                <w:i w:val="0"/>
                <w:color w:val="000000"/>
                <w:sz w:val="21"/>
                <w:szCs w:val="21"/>
                <w:highlight w:val="none"/>
                <w:u w:val="none"/>
                <w:lang w:val="en-US" w:eastAsia="zh-CN" w:bidi="ar"/>
              </w:rPr>
              <w:t xml:space="preserve">约</w:t>
            </w:r>
            <w:r>
              <w:rPr>
                <w:rFonts w:hint="eastAsia" w:ascii="宋体" w:hAnsi="宋体" w:eastAsia="宋体" w:cs="宋体"/>
                <w:i w:val="0"/>
                <w:color w:val="000000"/>
                <w:sz w:val="21"/>
                <w:szCs w:val="21"/>
                <w:highlight w:val="none"/>
                <w:u w:val="none"/>
                <w:lang w:val="en-US" w:eastAsia="zh-CN" w:bidi="ar"/>
              </w:rPr>
              <w:t xml:space="preserve">20000条商品的主图、标题、选择类目、销量、增幅及价格。</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2.选市场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通过</w:t>
            </w:r>
            <w:r>
              <w:rPr>
                <w:rFonts w:hint="eastAsia" w:ascii="宋体" w:hAnsi="宋体" w:eastAsia="宋体" w:cs="宋体"/>
                <w:i w:val="0"/>
                <w:color w:val="000000"/>
                <w:sz w:val="21"/>
                <w:szCs w:val="21"/>
                <w:highlight w:val="none"/>
                <w:u w:val="none"/>
                <w:lang w:val="en-US" w:eastAsia="zh-CN" w:bidi="ar"/>
              </w:rPr>
              <w:t xml:space="preserve">约</w:t>
            </w:r>
            <w:r>
              <w:rPr>
                <w:rFonts w:hint="eastAsia" w:ascii="宋体" w:hAnsi="宋体" w:eastAsia="宋体" w:cs="宋体"/>
                <w:i w:val="0"/>
                <w:color w:val="000000"/>
                <w:sz w:val="21"/>
                <w:szCs w:val="21"/>
                <w:highlight w:val="none"/>
                <w:u w:val="none"/>
                <w:lang w:val="en-US" w:eastAsia="zh-CN" w:bidi="ar"/>
              </w:rPr>
              <w:t xml:space="preserve">15000条市场数据选择不同站点及月份纬度，包含新品定义等作为运营选市场的核心因素，最终展现样本数量。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3.关键词趋势选品</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关键词趋势选品</w:t>
            </w:r>
            <w:r>
              <w:rPr>
                <w:rFonts w:hint="eastAsia" w:ascii="宋体" w:hAnsi="宋体" w:eastAsia="宋体" w:cs="宋体"/>
                <w:i w:val="0"/>
                <w:color w:val="000000"/>
                <w:sz w:val="21"/>
                <w:szCs w:val="21"/>
                <w:highlight w:val="none"/>
                <w:u w:val="none"/>
                <w:lang w:val="en-US" w:eastAsia="zh-CN" w:bidi="ar"/>
              </w:rPr>
              <w:t xml:space="preserve">约</w:t>
            </w:r>
            <w:r>
              <w:rPr>
                <w:rFonts w:hint="eastAsia" w:ascii="宋体" w:hAnsi="宋体" w:eastAsia="宋体" w:cs="宋体"/>
                <w:i w:val="0"/>
                <w:color w:val="000000"/>
                <w:sz w:val="21"/>
                <w:szCs w:val="21"/>
                <w:highlight w:val="none"/>
                <w:u w:val="none"/>
                <w:lang w:val="en-US" w:eastAsia="zh-CN" w:bidi="ar"/>
              </w:rPr>
              <w:t xml:space="preserve">1000条数据，通过热门市场、趋势市场、搜索飙升市场、潜力市场进行关键词趋势选品。</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4.亚马逊Bestseller前1000+的产品</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提供亚马逊全类目前1000+的产品中10000余条产品数据，在畅销榜单下载与查看，能够快速精准定位优势产品。</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5.查竞品</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在竞品6000余条数据中，通过单一产品词查询同平台相关竞品情况。</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（四）运营推广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1.出单词反查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共150余条数据，按照美国时间计算每周数据，无需进行行业分类，根据ASIN号进行排序。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2.流量分析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共190余条数据，按照时间维度区分不同时间的流量情况。</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（五）关键词分析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1.历史热卖</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历史热卖共135100余条数据，包括产品标题、ASIN编号、价格、所属分类、评价数。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2.关键词反查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关键词反查共2182条数据，包括关键词、流量占比、流量词类型、流量分布、自然排名、广告排名、ABA周排名、月度搜索量、SPR标题、密度、月购买量、商品数、供需比、广告竞品数点击集中度、PPC竞价。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3.拓展流量词</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拓展流量词共</w:t>
            </w:r>
            <w:r>
              <w:rPr>
                <w:rFonts w:hint="eastAsia" w:ascii="宋体" w:hAnsi="宋体" w:eastAsia="宋体" w:cs="宋体"/>
                <w:i w:val="0"/>
                <w:color w:val="000000"/>
                <w:sz w:val="21"/>
                <w:szCs w:val="21"/>
                <w:highlight w:val="none"/>
                <w:u w:val="none"/>
                <w:lang w:val="en-US" w:eastAsia="zh-CN" w:bidi="ar"/>
              </w:rPr>
              <w:t xml:space="preserve">约</w:t>
            </w:r>
            <w:r>
              <w:rPr>
                <w:rFonts w:hint="eastAsia" w:ascii="宋体" w:hAnsi="宋体" w:eastAsia="宋体" w:cs="宋体"/>
                <w:i w:val="0"/>
                <w:color w:val="000000"/>
                <w:sz w:val="21"/>
                <w:szCs w:val="21"/>
                <w:highlight w:val="none"/>
                <w:u w:val="none"/>
                <w:lang w:val="en-US" w:eastAsia="zh-CN" w:bidi="ar"/>
              </w:rPr>
              <w:t xml:space="preserve">1199条数据，包括流量占比、ABA周排名、月度搜索量、SPR标题、密度、月购买量、商品数、供需比、广告竞品数、点击集中度、PPC竞价。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4.挖掘关键词</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挖掘关键词3000余条数据，包括关键词、所属类目、相关度、月度搜索量、月购买量、SPR、标题密度、商品数、供需比、广告竞品数、点击集中度、PPC竞价。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（六）店铺企划</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1.项目盈亏预测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本模块按照要求填入相关信息，可以自动分析项目变动成本、固定成本、毛利润、销售毛利率、净利润、净利润率、盈亏平衡点等。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2.目标拆解到月份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本模块可以选择等比例增长拆解法或增长系数拆解法，设置不同的变量，将年度目标销售额自动拆解为月目标销售额。</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3.店铺全年计划拆解</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本模块从销售、变动成本、固定成本、盈利及现金流对店铺的全年计划进行沙盘推演的拆解，动态掌握店铺信息。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（七）学生端_前台页面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学生登录账号之后进行相关课程学习的界面，包含我的主页、智能教学、案例中心、行业指南、任务锦鲤、实训平台、考试中心、实训轨迹、实训记录、交流中心、工具中心、资料下载功能模块。</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（八）我的主页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可显示累计学习时长、进入学习时长、连续学习天数，教师人数信息展示。学习课程模块可展示课程名称、课时以及学习进度。我的考试中显示当前考试的题库名称、题型、考试时长，以及参与人数等信息的展示，点击立即考试按钮可进行考试。实训任务进度显示总任务数、已完成任务数等信息。常用功能，展示常用的功能模块。</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（九）智能教学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1.作业报告</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通过报告标题、报告描述、班级进行搜索作业报告，查看、新增、修改和删除作业报告功能。学生实训完成后提交作业附件到系统，教师可在教师端下载并查看学生提交附件内容。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（十）案例中心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1.全域案例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在此模块系统内置134份案例文件，通过投放分类和关键词搜索查询，选择需要的案例，查看案例详情进行学习。</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2.我的案例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在我的案例模块可以搜索我的案例，可以添加我的案例，填写案例标题、案例分类、案例描述、上传案例主图、填写案例内容等操作。上传完成后可在我的案例中查看上传的案例。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（十一）行业指南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在行业指南中包括行业洞察和行业报告共10余套的分析报告，通过关键词搜索需要的行业进行查看，可以对PDF文件进行下载和打印功能。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（十二）任务锦鲤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通过任务卡中4个任务单进行学习，点击去实战即可跳转到实训平台。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（十三）考试中心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1.课程考试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在课程考试中有单选、多选和判断题200余套，选择相应的考试题目，点击即将开考，进入考试页面，答题完成后，点击交卷，即可完成本次考试。答题完成即可查看分数和答题详情。</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2.考试记录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在考试记录中可以查看考试记录、得分情况、查看解析功能。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（十四）实训轨迹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生成月度实训轨迹图，可查看近9个月完成任务数量。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（十五）实训记录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在实训记录中可以查看实训项目的学习记录、实操记录、答题记录的详情。包含用户名、用户昵称、类型、得分、实训时间。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（十六）资料下载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 可通过资料标题和6种资料分类进行搜索，选择需要的资料可下载到本地进行查看和使用。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（十七）教师端_我的主页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用于展示当前系统中的统计数据、统计报表及重要实时数据。包含参与教学、学生人数、实训案例、教师人数、评测库题等数据。同时还包含教学统计、任务统计、考试统计及实训记录等信息。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（二十）课程学习</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1.作业报告</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可以通过报告标题、报告描述、班级进行搜索作业报告，新增、修改、删除作业报告功能。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2.目录大纲</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可以在目录大纲增删系统的课程分类，课程分类级别为三级展示。通过点击“展开/折叠”按钮进行展开或收缩所有子目录。目录大纲列表包含的信息有章节名称、上级分类、费用、推荐、主图等。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3.课件记录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课件记录主要用于管理和记录系统内的课件学习记录信息，记录列表内容包含ID、标题记录、章节名称、创建者、创建时间、备注、操作。可以按照标题记录或者章节ID进行搜索或者重置，可以进行学习记录的新增、修改等操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4.讲义记录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讲义记录主要用于管理和记录系统内的讲义学习记录信息，记录列表内容包含ID、标题记录、章节名称、创建者、创建时间、备注、操作。可以按照标题记录或者章节ID进行搜索或者重置，可以进行学习记录的新增、修改等操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5.视频记录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视频记录主要用于管理和记录系统内的视频学习记录信息，记录列表内容包含ID、标题记录、章节名称、创建者、创建时间、备注、操作（修改、删除）。可以按照标题记录或者章节ID进行搜索或者重置，可以进行学习记录的新增、修改等操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6.图表概况</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图表概况界面主要以图表的形式展示学习情况。</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（二十一）理论测评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1.知识点管理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知识点管理界面可以展示出当前登录系统内所涵盖的知识点信息，知识点列表信息内容包含知识点内容、课程内容、创建人、创建时间等。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2.组卷测评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组卷测评界面可以设置理论考核、实训考核和实训项目三种类型的组卷测评。测评列表的内容信息包含编号、考核主题、考核类型、考核方式、开始时间、结束时间等。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3.审批试卷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审批试卷界面显示所有待审批的试卷记录，包含序号、学生姓名、考核名称、考核类型、得分等。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（二十二）数据集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1.数据列表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数据列表包含推广类型、百度推广实训平台、C端工具中心、C端资料下载、竞赛服务、资格认证等模块。其中C端工具中心是连接在系统中供学员使用的一些系统工具，C端资料下载是可供下载的资料数据的集合。</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（二十三）评测记录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测评记录可以查看当前系统内所有用户的测评分数和任务分数数据。评测记录列表信息包含用户名称、用户昵称、部门等。分数列表信息包含编号、考核主题、考核方式、开始时间、结束时间、总时长、总分值、附件、答题次数、创建人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（二十六）资源管理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1.理论题库</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理论题库界面可以展示所有已添加/导入的试题，试题可以按照问题标题、问题类型、试题难度、是否为真题、课程分类名称等的关键词进行搜索查询，试题列表的信息包括问题标题、问题类型、试题难度、是否为真题、课程分类名称、选项答案、问题答案、问题解析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2.试卷库</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试卷库界面可以对理论题库中的试题进行抽取组卷，包含任务试卷库和基础试卷库两种，可以对试卷进行添加、预览、编辑、复制、移动、删除。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3.课件管理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用于对系统内的课程进行课件的上传等的管理。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4.讲义管理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管理系统内课程的配套讲义，包含讲义的新增、修改、删除、导出，讲义列表展示信息包含id、讲义标题、文件地址、章节等。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5.视频管理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视频管理界面用于管理和上传课程的配套视频，可以按照素材标题或者章节名称进行查找。可以对视频信息进行新增、编辑、删除与数据导出。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6.笔记管理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笔记管理界面展示当前账户在学习过程中记录的笔记数据，包括笔记内容、姓名和操作，可以在此界面进行笔记内容的新增、修改和删除。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7.实训题库管理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实训题库界面可以根据实训题库的名称关键词进行查询，题库列表信息包含任务标题、系统平台、所属任务分类、任务级别、推广链接等。题库分类界面可以展示实训题库不同的分类，目前系统内的实训题库分类与实训项目分类相匹配。</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8.题库分类管理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题库分类管理展示所有的题库分类，可以展开或者收缩所有的子分类，题库分类列表信息包含分类名称、备注、创建时间等。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（二十七）系统管理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1.通知公告</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管理系统内的通知公告数据，包含通知、公告两种类型，通知公告列表信息包括序号、公告标题、公告类型、状态、创建者、创建时间等。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2.日志管理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操作日志可以对日志数据进行删除、清空、导出等，操作日志列表数据包含日志编号、系统模块、操作类型、请求方式、操作人员等；登录日志列表数据包含访问编号、用户名称、登录地址、登录地点、浏览器、操作系统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（二十八）用户管理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用户管理界面可以查看当前系统内注册的所有用户信息，可以按照用户名、手机号、状态、创建时间进行筛选查看，可以进行用户的新增、编辑等。用户列表数据信息包含用户编号、用户名称、用户昵称、部门、手机号码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（二十九）系统帮助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提供在线的系统帮助手册，可以下载和打印。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（三十）卡片管理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1.案例类型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案例信息用于设置实训软件案例锦鲤模块的案例具体信息，案例信息可以与案例分类进行绑定。案例分类通过输入案例名称、选择系统平台和上级菜单新增案例分类。可以对新增的案例分类进行修改和删除。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2.任务卡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任务单用于设置跨境电商数据运营虚拟仿真教学实训软件实训任务模块的任务具体信息，实训任务可以与任务分类进行绑定。任务分类可以添加、编辑或删除等。并且可以对添加的任务分类进行排序展示。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3.行业指南</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可以预览、修改和删除行业指南。并且可以通过系统平台和指南名称进行搜索，通过添加指南信息，包括指南名称、指南描述、指南主题等进行新增指南。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实训电脑桌</w:t>
            </w:r>
            <w:r>
              <w:rPr>
                <w:rFonts w:ascii="宋体" w:hAnsi="宋体" w:cs="宋体"/>
              </w:rPr>
            </w:r>
            <w:r/>
          </w:p>
        </w:tc>
        <w:tc>
          <w:tcPr>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1.规格：整体尺寸约为1600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长×600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宽×750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高，桌面左右各开一个60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走线孔。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2.桌面材质：采用优质低碳型环保ENF级浸渍胶膜纸饰面刨花板，燃烧性能B1级</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甲醛释放量，甲醛去除率</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24h</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TVOC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苯，甲苯，二甲苯，静曲强度，内结合强度</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含水率</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密度</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2h吸水厚度膨胀率</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握螺钉力</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表面胶合强度</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表面耐冷热循环无裂纹、鼓泡、变色、起皱等，表面耐划痕，表面耐龟裂，表面耐磨磨耗值，表面耐干热，表面耐香烟灼烧，表面耐污染腐蚀</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表面耐龟裂，表面耐水蒸气，耐光色牢度均符合国家标准。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3.封边：采用≥1.8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厚PVC封边条，表面应无皱纹、裂纹、染色线、无明显的气泡、针孔、划痕等瑕疵，表面涂层可迁移元素</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铅、汞、镉、铬、锑、砷、钡、硒</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厚度0.5＜H≤1.0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，甲醛释放量，耐开裂性（耐龟裂性）；耐老化性无开裂；耐干热性，耐磨性，耐冷热循环性，耐光色牢度，多溴联苯，多溴联苯醚，多溴二苯醚，邻苯二甲酸酯均符合国家标准。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4.桌架：采用优质20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*80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规格钢管，厚度达到2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除平角螺丝连接部位其他焊接部位牢固，无脱焊、虚焊、焊穿；焊缝均匀，无毛棱、锐棱、飞溅、裂纹等缺陷。桌架表面涂装</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表面需经除油、脱脂、磷化、皮膜处理。外表采一级颗粒粉末，经高温粉体烤漆，不得有刮伤货脱漆现象。涂层需无漏喷、锈蚀；涂层需光滑均匀，色泽一致，需无流挂、疙瘩、皱皮、飞漆等缺陷。涂层需平整光滑、清晰</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需无明显粒子、涨边现象。附着力不低于2级；耐腐蚀，冲击强度，硬度都达到国家标准。  5.主机架：采用优质25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规格方管和冲孔冷轧钢板进行制作，厚度达到1.8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。除平角螺丝连接部位其他焊接部位牢固，无脱焊、虚焊、焊穿；焊缝均匀，无毛棱、锐棱、飞溅、裂纹等缺陷。桌架表面涂装</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表面需经除油、脱脂、磷化、皮膜处理。外表采一级颗粒粉末，经高温粉体烤漆，不得有刮伤货脱漆现象。涂层需无漏喷、锈蚀；涂层需光滑均匀，色泽一致，需无流挂、疙瘩、皱皮、飞漆等缺陷。涂层需平整光滑、清晰</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需无明显粒子、涨边现象。附着力不低于2级；耐腐蚀，冲击强度，硬度都达到国家标准。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6.五金配件：桌子配线槽，配置4个86品牌插座面板。其中脚垫，螺丝，吊档杆等全部符合国家标准。</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232</w:t>
            </w:r>
            <w:r>
              <w:rPr>
                <w:rFonts w:ascii="宋体" w:hAnsi="宋体" w:cs="宋体"/>
              </w:rPr>
            </w:r>
            <w:r/>
          </w:p>
        </w:tc>
        <w:tc>
          <w:tcPr>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ascii="宋体" w:hAnsi="宋体" w:cs="宋体"/>
              </w:rPr>
            </w:r>
            <w:bookmarkStart w:id="44" w:name="OLE_LINK1"/>
            <w:r>
              <w:rPr>
                <w:rFonts w:hint="eastAsia" w:ascii="宋体" w:hAnsi="宋体" w:eastAsia="宋体" w:cs="宋体"/>
                <w:i w:val="0"/>
                <w:color w:val="000000"/>
                <w:sz w:val="21"/>
                <w:szCs w:val="21"/>
                <w:highlight w:val="none"/>
                <w:u w:val="none"/>
                <w:lang w:eastAsia="zh-CN"/>
              </w:rPr>
              <w:t xml:space="preserve">配件/辅料</w:t>
            </w:r>
            <w:bookmarkEnd w:id="44"/>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16</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实训凳</w:t>
            </w:r>
            <w:r>
              <w:rPr>
                <w:rFonts w:ascii="宋体" w:hAnsi="宋体" w:cs="宋体"/>
              </w:rPr>
            </w:r>
            <w:r/>
          </w:p>
        </w:tc>
        <w:tc>
          <w:tcPr>
            <w:tcMar>
              <w:left w:w="15" w:type="dxa"/>
              <w:top w:w="15" w:type="dxa"/>
              <w:right w:w="15" w:type="dxa"/>
            </w:tcMar>
            <w:tcW w:w="5811" w:type="dxa"/>
            <w:vAlign w:val="center"/>
            <w:textDirection w:val="lrTb"/>
            <w:noWrap w:val="false"/>
          </w:tcPr>
          <w:p>
            <w:pPr>
              <w:pStyle w:val="885"/>
              <w:numPr>
                <w:ilvl w:val="0"/>
                <w:numId w:val="0"/>
              </w:numPr>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规格：整体尺寸约为340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长×240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宽×450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2.凳架：采用优质20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*40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规格钢管，凳腿横档采用4根20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规格钢管。厚度达到2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除平角螺丝连接部位其他焊接部位牢固，无脱焊、虚焊、焊穿；焊缝均匀，无毛棱、锐棱、飞溅、裂纹等缺陷。桌架表面涂装</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表面需经除油、脱脂、磷化、皮膜处理。外表采一级颗粒粉末，经高温粉体烤漆，不得有刮伤货脱漆现象。涂层需无漏喷、锈蚀；涂层需光滑均匀，色泽一致，需无流挂、疙瘩、皱皮、飞漆等缺陷。涂层需平整光滑、清晰</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需无明显粒子、涨边现象。附着力不低于2级；耐腐蚀，冲击强度，硬度都达到国家标准。    </w:t>
            </w:r>
            <w:r>
              <w:rPr>
                <w:rFonts w:ascii="宋体" w:hAnsi="宋体" w:cs="宋体"/>
              </w:rPr>
            </w:r>
            <w:r/>
          </w:p>
          <w:p>
            <w:pPr>
              <w:pStyle w:val="885"/>
              <w:numPr>
                <w:ilvl w:val="0"/>
                <w:numId w:val="0"/>
              </w:numPr>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凳面：采用优质全新PP塑料+玻纤材料一次注塑成型，并添加UV抗紫外线防老化成分。具有强度高，有弹性，坐感舒适，安全可靠，使用寿命长的特点。表面做细皮纹处理，防滑，质感高。整体轮廓线流畅设计，美观时尚，边缘与转角细节做圆角设计，手感舒适，安全牢固。通过QB/T2280-2017强度和耐久性测试。材质符合ROHS、REACH  GB 28481-2015&lt;塑料家具中有害物质限量&gt;。多个颜色可选，使用高级别色母，颜色纯正稳定，不易褪色。</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496</w:t>
            </w:r>
            <w:r>
              <w:rPr>
                <w:rFonts w:ascii="宋体" w:hAnsi="宋体" w:cs="宋体"/>
              </w:rPr>
            </w:r>
            <w:r/>
          </w:p>
        </w:tc>
        <w:tc>
          <w:tcPr>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17</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维修工作台</w:t>
            </w:r>
            <w:r>
              <w:rPr>
                <w:rFonts w:ascii="宋体" w:hAnsi="宋体" w:cs="宋体"/>
              </w:rPr>
            </w:r>
            <w:r/>
          </w:p>
        </w:tc>
        <w:tc>
          <w:tcPr>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尺寸：约2400*1200*750，桌面：台面</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FC板材，环保板材达到E0级环保标准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钢架采用40*40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冷轧钢管，优质白色五金架，经酸洗磷化喷塑处理</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18</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实训椅</w:t>
            </w:r>
            <w:r>
              <w:rPr>
                <w:rFonts w:ascii="宋体" w:hAnsi="宋体" w:cs="宋体"/>
              </w:rPr>
            </w:r>
            <w:r/>
          </w:p>
        </w:tc>
        <w:tc>
          <w:tcPr>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PP加纤维背架尼龙固定腰靠</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PP分体固定扶手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高弹力海绵</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∮25管1.8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厚黑色烤漆弓形架</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16</w:t>
            </w:r>
            <w:r>
              <w:rPr>
                <w:rFonts w:ascii="宋体" w:hAnsi="宋体" w:cs="宋体"/>
              </w:rPr>
            </w:r>
            <w:r/>
          </w:p>
        </w:tc>
        <w:tc>
          <w:tcPr>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19</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实训升降靠背椅</w:t>
            </w:r>
            <w:r>
              <w:rPr>
                <w:rFonts w:ascii="宋体" w:hAnsi="宋体" w:cs="宋体"/>
              </w:rPr>
            </w:r>
            <w:r/>
          </w:p>
        </w:tc>
        <w:tc>
          <w:tcPr>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1.规格：整体尺寸约为400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长×350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宽×（360-420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2.椅面与椅背板采用优质橡木实木制作而成；采用优质环保水性漆（面漆、底漆）工艺，经三底五面精心涂装处理，自然风干，无尘工艺；voc≤68g/L；苯≤20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g/kg甲苯、二甲苯≤20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g/kg；多环芳烃总和含量≤200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g/kg</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卤代烃总和含量≤0.1%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不含甲醛。不含可溶性重金属。符合GB18581-2020《室内装饰装修材料 水性木器涂料中有害物质限量》检测依据；                                                                                        3.椅体钢架：椅下架底管30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×55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 D型管，下立管为30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×60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扁圆管，横档30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扁圆管，上架25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扁圆管，用φ25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圆管横向连接，椅子座靠背管为20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×40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扁圆管，椅面下方焊有两根15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扁圆管，整体更稳固结实。生产工艺：钢管焊接均采用二氧化碳保护焊接工艺，焊接表面波纹均匀，焊接处无夹渣、气孔、焊瘤、焊丝咬边和飞溅，无脱焊，虚焊和焊空的现象。喷塑采用先进的抛丸、喷磷工艺，达到产品管内外都能磷化成膜，做到管内外全部防锈，提高了产品使用寿命。喷塑表面光洁平整，无颗粒渣点，颜色均匀。符合国家标准。                                                        4.功能：可进行固定档调节高度。可在一定的高度进行调节，符合人体工程学。</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245</w:t>
            </w:r>
            <w:r>
              <w:rPr>
                <w:rFonts w:ascii="宋体" w:hAnsi="宋体" w:cs="宋体"/>
              </w:rPr>
            </w:r>
            <w:r/>
          </w:p>
        </w:tc>
        <w:tc>
          <w:tcPr>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20</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实训升降椅</w:t>
            </w:r>
            <w:r>
              <w:rPr>
                <w:rFonts w:ascii="宋体" w:hAnsi="宋体" w:cs="宋体"/>
              </w:rPr>
            </w:r>
            <w:r/>
          </w:p>
        </w:tc>
        <w:tc>
          <w:tcPr>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1.规格：整体尺寸约为340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长×240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宽×（360-420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2.座面采用优质橡木实木制作而成；采用优质环保水性漆（面漆、底漆）工艺，经三底五面精心涂装处理，自然风干，无尘工艺；voc≤68g/L；苯≤20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g/kg甲苯、二甲苯≤ 20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g/kg；多环芳烃总和含量≤200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g/kg</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卤代烃总和含量≤0.1%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不含甲醛。不含可溶性重金属。符合GB18581-2020《室内装饰装修材料 水性木器涂料中有害物质限量》检测依据；                                                                                        3.椅体钢架：椅下架底管30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×55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 D型管，下立管为30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×60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扁圆管，横档30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扁圆管，上架25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扁圆管，用φ25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圆管横向连接，椅子座靠背管为20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×40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扁圆管，椅面下方焊有两根15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扁圆管，整体更稳固结实。生产工艺：钢管焊接均采用二氧化碳保护焊接工艺，焊接表面波纹均匀，焊接处无夹渣、气孔、焊瘤、焊丝咬边和飞溅，无脱焊，虚焊和焊空的现象。喷塑采用先进的抛丸、喷磷工艺，达到产品管内外都能磷化成膜，做到管内外全部防锈，提高了产品使用寿命。喷塑表面光洁平整，无颗粒渣点，颜色均匀。符合国家标准。                                                       4.功能：可进行固定档调节高度。可在一定的高度进行调节，符合人体工程学。</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245</w:t>
            </w:r>
            <w:r>
              <w:rPr>
                <w:rFonts w:ascii="宋体" w:hAnsi="宋体" w:cs="宋体"/>
              </w:rPr>
            </w:r>
            <w:r/>
          </w:p>
        </w:tc>
        <w:tc>
          <w:tcPr>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实训储物柜</w:t>
            </w:r>
            <w:r>
              <w:rPr>
                <w:rFonts w:ascii="宋体" w:hAnsi="宋体" w:cs="宋体"/>
              </w:rPr>
            </w:r>
            <w:r/>
          </w:p>
        </w:tc>
        <w:tc>
          <w:tcPr>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双层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长度：约75</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宽度：约55</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高度：约80</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层板厚度：约2</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材质：实木生态板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颜色：黄花梨色门+铁灰色</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其他：双柜门，单个储物柜分为两层</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120</w:t>
            </w:r>
            <w:r>
              <w:rPr>
                <w:rFonts w:ascii="宋体" w:hAnsi="宋体" w:cs="宋体"/>
              </w:rPr>
            </w:r>
            <w:r/>
          </w:p>
        </w:tc>
        <w:tc>
          <w:tcPr>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提词器</w:t>
            </w:r>
            <w:r>
              <w:rPr>
                <w:rFonts w:ascii="宋体" w:hAnsi="宋体" w:cs="宋体"/>
              </w:rPr>
            </w:r>
            <w:r/>
          </w:p>
        </w:tc>
        <w:tc>
          <w:tcPr>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内嵌电脑双镜像智能提词器，采用企业级高效内嵌微型主机，采用</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ini-ITX‌系列或类似主板，cpu≥双核 2.4GHz，内存≥4G，硬盘≥128G，自带集成镜像模式，广泛支持图片、视频、网页、ppt、word等格式，实现所见即所得。</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搭配提词器专用无线遥控器，可轻松控制文稿的暂停与播放。操作简单，整体模块化设计，使用方便</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主要参数：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1.文稿录入、编辑方便，操作简单，自动完成排版。</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2.无需额外配置提词器电脑，内置电脑系统。</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3.具有一个高速网口，支持通过有线联网安装软件，从而实现钉钉直播、微信互动等交互功能，可直接打开图片，word，ppt，视频，网页等文件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4.拥有不少于四个usb口，支持从U盘导入演讲文档，支持利用高拍仪直接导入扫描文档，并支持鼠标键盘控制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▲5.提词器分光镜 透光率≥97%，反射率&gt;20%，分光镜比值50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50，60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40，70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30，分光镜厚度1.5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6.提词器文稿屏亮度为250cd/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²，拥有一个hd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i接口，可以输出提词器文稿屏画面至导播间监看，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7.提词器屏幕菜单支持8种语言。内置镜像，镜像可四个方向调整。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8.提词器软件男女播音员可分别选择不同的背景色和字色方便男女播音员选择自己的播音词，字体和字的大小任意选择，可选多种角色，以区分男角女角或更多播音角色。</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▲9.可对字体类型、字体颜色、字体大小进行更换、支持通过上键、下键、空格键进行滚动字幕的加速、减速、暂停等操作。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10.提词器整体结构为CNC数控加工成型，强度高，坚固结实、耐磕碰、防静电.整体模块化设计</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安装简单</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11.提词器三脚架：三脚架</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分体式轻钢机架</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升降可调</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支架的高度可在1~1.7米之间调节</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材质：金属组件</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节数：2节</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自重：2.5Kg</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最大承重</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20kg</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支撑高度</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1.7</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配置清单</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提词器主体结构及相关螺丝</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摄像机滑道</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小型相机增高架</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遮光罩</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20寸智能屏</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20寸监看屏，独立式三脚架</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提词器专用无线遥控器</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选配清单：脚踏板，空鼠板，遥控手柄</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虚拟蓝箱</w:t>
            </w:r>
            <w:r>
              <w:rPr>
                <w:rFonts w:ascii="宋体" w:hAnsi="宋体" w:cs="宋体"/>
              </w:rPr>
            </w:r>
            <w:r/>
          </w:p>
        </w:tc>
        <w:tc>
          <w:tcPr>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免漆拼接型蓝箱墙板、弧板、球形板、地板均为一次模压成型，多种板块均采用一种铝合金支架连接，可靠耐用、免维护；该产品无需采用传统的木料制作方式，避免批腻子，刷漆等费时费力繁琐工序，为工程施工节省工期90%以上，同时节省大量资金，也杜绝日常使用掉漆磨损引起的反复维修等缺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2.厚度：1块/17</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3.墙板：约250×250×17</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4.弧板：约270×250×17</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5.地板：约250×250×17</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6.材料：环保TS材料、表面哑光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7.地板承重：200公斤/块</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8.颜色：蓝色/绿色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9.模块化、拼接式、虚拟蓝箱设计，本方案由多个模块化产品，均为数控磨具产品，一次成型，尺寸标准，颜色一致，无批次差；地板设计防水、强度高，耐磨，不变色；</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10.备注：由于虚拟箱板尺寸是一次成型，所以尺寸要以25</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为单位增加或者减小；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11.主要类型：I型、L型、U型、扇形这四个形状供选择，I型是只有一面背景墙面；L型是有一个背景墙面加一个地面；U型是有三个背景墙面加上一个地面；扇形是两个背景墙面加一个地面。</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顶光用200W智能场景无线数字控制LED智控灯</w:t>
            </w:r>
            <w:r>
              <w:rPr>
                <w:rFonts w:ascii="宋体" w:hAnsi="宋体" w:cs="宋体"/>
              </w:rPr>
            </w:r>
            <w:r/>
          </w:p>
        </w:tc>
        <w:tc>
          <w:tcPr>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1.额定功率：200W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2.输入电压：100V</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240VAC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50/60Hz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3.LED类型：贴片灯珠</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4.相关色温：5600K（可选3200k）</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5.显色指数：Ra≥95</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6.光源寿命：＞50000小时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X通道数：3通道</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8.驱动方式：恒流驱动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9.亮度调节</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100%可调光，调光时无抖动、闪烁现象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10.控制模式：D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X512信号/本地控制/无线遥控</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11.冷却系统：无风扇静音散热</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12.显示：可显示灯具亮度和显示灯具地址码以及控制模式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▲13.灯具支持设置场景记忆，预设灯具亮度数值并搭配遥控终端进行存储，断电后不丢失，可一键调用</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14.工作温度：-10°—40°</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背景用100W智能场景无线数字控制LED智控灯</w:t>
            </w:r>
            <w:r>
              <w:rPr>
                <w:rFonts w:ascii="宋体" w:hAnsi="宋体" w:cs="宋体"/>
              </w:rPr>
            </w:r>
            <w:r/>
          </w:p>
        </w:tc>
        <w:tc>
          <w:tcPr>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1.额定功率：100W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2.输入电压：100V</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240VAC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50/60Hz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3.LED类型：贴片灯珠</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4.相关色温：5600K（可选3200k）</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5.显色指数：Ra≥95</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6.光源寿命：＞50000小时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X通道数：3通道</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8.驱动方式：恒流驱动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9.亮度调节</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100%可调光，调光时无抖动、闪烁现象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10.控制模式：D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X512信号/本地控制/无线遥控</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11.冷却系统：无风扇静音散热</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12.显示：可显示灯具亮度和显示灯具地址码以及控制模式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13.灯具支持设置场景记忆，预设灯具亮度数值并搭配遥控终端进行存储，断电后不丢失，可一键调用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14.工作温度：-10°—40°</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7</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26</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顶光用100W智能场景无线数字控制LED螺纹透镜聚光灯</w:t>
            </w:r>
            <w:r>
              <w:rPr>
                <w:rFonts w:ascii="宋体" w:hAnsi="宋体" w:cs="宋体"/>
              </w:rPr>
            </w:r>
            <w:r/>
          </w:p>
        </w:tc>
        <w:tc>
          <w:tcPr>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1.额定功率：100W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2.输入电压：90V—265VAC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50/60Hz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3.光源类型：COB</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4.相关色温：5600K（可选3200k）</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5.显色指数：CRI≥95%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TLCI</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Qa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：＞95</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6.光源寿命：＞50000小时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X通道数：1-3通道</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8.调光频率：16.6KHz</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工作频率：660KHz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9.灯体温度：≥40℃</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10.光斑角度：10°—80°</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11.驱动方式：恒流驱动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12.亮度调节</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100%无极调光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13.控制模式：D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X512信号/本地控制/无线遥控</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14.显示：可显示灯具亮度和显示灯具地址码以及控制模式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15.冷却系统：无风扇静音散热</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16.工作温度：-10°—40°</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17.灯具支持场景记忆功能</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27</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侧光用150W智能场景无线数字控制LED智控灯</w:t>
            </w:r>
            <w:r>
              <w:rPr>
                <w:rFonts w:ascii="宋体" w:hAnsi="宋体" w:cs="宋体"/>
              </w:rPr>
            </w:r>
            <w:r/>
          </w:p>
        </w:tc>
        <w:tc>
          <w:tcPr>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1.额定功率：150W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2.输入电压：100V—240VAC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50/60Hz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3.LED类型：贴片灯珠</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4.相关色温：5600K（可选3200k）</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5.显色指数：Ra≥95</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6.光源寿命：＞50000小时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X通道数：3通道</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8.驱动方式：恒流驱动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9.亮度调节</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0—100%可调光，调光时无抖动、闪烁现象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10.控制模式：D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X512信号/本地控制/无线遥控</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11.冷却系统：无风扇静音散</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12.显示：可显示灯具亮度和显示灯具地址码以及控制模式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13.灯具支持设置场景记忆，预设灯具亮度数值并搭配遥控终端进行存储，断电后不丢失，可一键调用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14.工作温度：-10°—40°</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28</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面光用200W智能场景无线数字控制LED智控灯</w:t>
            </w:r>
            <w:r>
              <w:rPr>
                <w:rFonts w:ascii="宋体" w:hAnsi="宋体" w:cs="宋体"/>
              </w:rPr>
            </w:r>
            <w:r/>
          </w:p>
        </w:tc>
        <w:tc>
          <w:tcPr>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1.额定功率：200W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2.输入电压：100V—240VAC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50/60Hz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3.LED类型：贴片灯珠</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4.相关色温：5600K（可选3200k）</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5.显色指数：Ra≥95</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6.光源寿命：＞50000小时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X通道数：3通道</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8.驱动方式：恒流驱动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9.亮度调节</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100%可调光，调光时无抖动、闪烁现象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10.控制模式：D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X512信号/本地控制/无线遥控</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11.冷却系统：无风扇静音散热</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12.显示：可显示灯具亮度和显示灯具地址码以及控制模式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13.灯具支持设置场景记忆，预设灯具亮度数值并搭配遥控终端进行存储，断电后不丢失，可一键调用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14.工作温度：-10°—40°</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12</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29</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48路调光台</w:t>
            </w:r>
            <w:r>
              <w:rPr>
                <w:rFonts w:ascii="宋体" w:hAnsi="宋体" w:cs="宋体"/>
              </w:rPr>
            </w:r>
            <w:r/>
          </w:p>
        </w:tc>
        <w:tc>
          <w:tcPr>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1.DC电源输入</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DC 9V</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500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A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2.材质：静电喷塑铝质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3.尺寸：490*290*100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4.24通道的D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X512调光台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5.2页48程序运行推杆 可同步运行</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6.48000个可编辑步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7.2个可编辑的辅助键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8.程序运行及渐变切换时间可调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9.通道可重新配置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10.A、B两页</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每通道都能调光</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30</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信号放大器</w:t>
            </w:r>
            <w:r>
              <w:rPr>
                <w:rFonts w:ascii="宋体" w:hAnsi="宋体" w:cs="宋体"/>
              </w:rPr>
            </w:r>
            <w:r/>
          </w:p>
        </w:tc>
        <w:tc>
          <w:tcPr>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电压：AC90-240V 50HZ；信号输入，8路经独立电气隔离的信号分配输出；数字信号：D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X512；接口类型：RS-485以及采用RS-485接口传输的各种数字信号；信号连接插座：三芯；尺寸：</w:t>
            </w:r>
            <w:r>
              <w:rPr>
                <w:rFonts w:hint="eastAsia" w:ascii="宋体" w:hAnsi="宋体" w:eastAsia="宋体" w:cs="宋体"/>
                <w:i w:val="0"/>
                <w:color w:val="000000"/>
                <w:sz w:val="21"/>
                <w:szCs w:val="21"/>
                <w:highlight w:val="none"/>
                <w:u w:val="none"/>
                <w:lang w:val="en-US" w:eastAsia="zh-CN" w:bidi="ar"/>
              </w:rPr>
              <w:t xml:space="preserve">约</w:t>
            </w:r>
            <w:r>
              <w:rPr>
                <w:rFonts w:hint="eastAsia" w:ascii="宋体" w:hAnsi="宋体" w:eastAsia="宋体" w:cs="宋体"/>
                <w:i w:val="0"/>
                <w:color w:val="000000"/>
                <w:sz w:val="21"/>
                <w:szCs w:val="21"/>
                <w:highlight w:val="none"/>
                <w:u w:val="none"/>
                <w:lang w:val="en-US" w:eastAsia="zh-CN" w:bidi="ar"/>
              </w:rPr>
              <w:t xml:space="preserve">270×170×70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；重量：2KG</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灯具悬挂轨道</w:t>
            </w:r>
            <w:r>
              <w:rPr>
                <w:rFonts w:ascii="宋体" w:hAnsi="宋体" w:cs="宋体"/>
              </w:rPr>
            </w:r>
            <w:r/>
          </w:p>
        </w:tc>
        <w:tc>
          <w:tcPr>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纵轨8米（2根4米），横轨12米（4根3米），轨道吊架8套，万向滑车8个，灯具滑车12个，线缆滑车12个，工轨连接板2套，轨道堵头12个</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恒力铰链</w:t>
            </w:r>
            <w:r>
              <w:rPr>
                <w:rFonts w:ascii="宋体" w:hAnsi="宋体" w:cs="宋体"/>
              </w:rPr>
            </w:r>
            <w:r/>
          </w:p>
        </w:tc>
        <w:tc>
          <w:tcPr>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1.专业安全实用卡簧式铰链，7公斤以下均采用单个卡簧即可，可准确定位。</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2.结构：调簧式设计、准确定位</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3.提升重量：</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7Kg</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4.颜色：黑色</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20</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b/>
                <w:bCs/>
                <w:i w:val="0"/>
                <w:color w:val="000000"/>
                <w:sz w:val="21"/>
                <w:szCs w:val="21"/>
                <w:highlight w:val="none"/>
                <w:u w:val="none"/>
                <w:lang w:val="en-US" w:eastAsia="zh-CN" w:bidi="ar"/>
              </w:rPr>
              <w:t xml:space="preserve">商务管理系-数智商务实训</w:t>
            </w:r>
            <w:r>
              <w:rPr>
                <w:rFonts w:ascii="宋体" w:hAnsi="宋体" w:cs="宋体"/>
              </w:rPr>
            </w:r>
            <w:r/>
          </w:p>
        </w:tc>
      </w:tr>
      <w:tr>
        <w:trPr>
          <w:trHeight w:val="340"/>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b/>
                <w:bCs/>
                <w:i w:val="0"/>
                <w:color w:val="000000"/>
                <w:sz w:val="21"/>
                <w:szCs w:val="21"/>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财务共享实训中心</w:t>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基础会计理实一体化教学云平台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一、功能、技术指标：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1.提供云平台使用服务，只需通过网页登录就可以进行使用，同时支持安装在学校本地服务器，无站点限制。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平台支持教师和学生在手机微信端进行管理操作：1）教师能够在手机微信端创建班级并生成邀请码，然后学生通过手机微信端输入邀请码就可以自己创建学生账号加入班级；2）教师能够通过手机微信端进行作业发布、查看学生成绩分析；3）支持教师每次发布好一份作业后，学生在手机微信端能够实时收到新作业通知；4）手机微信端和电脑端的操作内容能够实时同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平台支持学生在手机微信小程序端进行答题，包括：1）微信小程序端能够支持理论题和实操题答题，其中包括单选题、多选题、判断题、分录题、原始凭证、记账凭证、账簿、报表等所有题型答题；2）学生交完卷后能够直接在小程序上查看详细成绩分析，理论题能够提供题析，单据实务题能够进行答案对比（错误的地方能够以颜色框框选出来）并且查看正确答案；3）学生答完题之后可以在小程序上点击重新做题；4）手机小程序和电脑端的操作内容能够实时同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4.平台支持教师针对作业考试发布进行灵活设置，包括：（1）教师发布作业考试时可以设置</w:t>
            </w:r>
            <w:r>
              <w:rPr>
                <w:rFonts w:hint="eastAsia" w:ascii="宋体" w:hAnsi="宋体" w:eastAsia="宋体" w:cs="宋体"/>
                <w:i w:val="0"/>
                <w:color w:val="000000"/>
                <w:sz w:val="21"/>
                <w:szCs w:val="21"/>
                <w:highlight w:val="none"/>
                <w:u w:val="none"/>
                <w:lang w:val="en-US" w:eastAsia="zh-CN" w:bidi="ar"/>
              </w:rPr>
              <w:t xml:space="preserve">一份试卷同时满足多种抽题条件，具体为①设置试卷中不同难度系数题目的分值比重②设置试卷中不同章节或知识点的分值比重③设置试卷中不同题型的数量以及不同题目的分值，题型包含单选题、多选题、判断题、分录题、原始凭证题、记账凭证题、账簿题等。从而平台会根据以上三个条件抽题生成试卷；（2）教师可以将设置好的抽题条件保存成模板，实现下次发布作业时可以选择需要的模板直接按模板里的抽题条件快速智能生成题目；（3）教师能够对抽题生成的试卷进行预览，如果对试卷中某个题目不满意可以针对该题进行重新抽题，从而生成教师满意的试卷题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平台具有试卷组功能，支持教师抽题组卷时设置是否加入试卷组，在试卷组下每一份试卷在进行抽题时题目都不会重复，没有在同一个试卷组则每份试卷如果抽题的范围有重叠则同一个题目有可能会在不同的试卷中出现。同时平台支持教师从课程题库中挑选自己想要的的指定题目组成一份试卷发布给学生进行训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平台具有智能助教功能，教师可以设置学生做题时是否可以使用智能助教功能，开放智能助教功能情况下则在学生的做题界面能够同步显示智能助教窗口，智能助教采用AI对话互动式的交流模式，学生可以直接向AI提出问题并得到详尽的答案解析与咨询服务，同时智能助教须是基于海量文本数据训练的深度学习模型，不仅要能够回答会计相关问题，还能够回答各行各业各种相关问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平台中的记账凭证业务支持教师根据需要设置“是否智能填写科目”，在智能填写科目模式下学生进行记账凭证业务实训时，编辑总账科目或明细科目时可以直接从下拉框中选择需要的科目，也可以输入关键词搜索需要的科目；在非智能填写科目模式下学生进行记账凭证业务实训时，编辑总账科目或明细科目时只能全部手动录入科目名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8.平台支持学生按课程章节自主练习，同时教师可以设置自主练习为随机模式或非随机模式，随机模式下学生每次进入某个课程章节练习则系统会随机生成一些题目，非随机模式则要练习所有的内容。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平台支持作业或考试发布，并且教师可以设置是否允许学生提早交卷以及提前交卷时间，可以设置是否允许学生重复做题，同时系统支持最低分数的设置，即老师可以设置学生答题率达到某百分比时本次任务成绩保证能够得到设置好的最低分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平台支持教师能够强制终止某个学生或所有学生正在进行的训练或考试，老师可以一键提交所有学生或个别需要提前终止训练或考试的内容并计算成绩，也可以一键重置所有学生或个别学生误操作提前交卷的情况而恢复其能继续做题且保证已答题数据继续存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平台支持教师设置实务题评分规则为按分层评分或按空得分。按分层评分：关键信息及主要内容优先评分。例如银行类单据：收款人姓名、金额填写错误，则整笔业务不得分，只有签章及主要信息正确时，其他信息按权重比例得分；记账凭证会计分录三要素（总账及明细科目、借贷方向、金额）优先判分，在三要素全部正确的前提下，其他内容才会按权重得分。按空得分：单据中所有要求填的空都有不同权重的分值，学生只要有填对一个空就可以得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平台针对每一份作业或考试能够提供详细的精准分析，包括：（1）针对选择题、判断题等能够自动统计每个题目的答题人数、正确人数、正确率，并且系统还会自动统计该题目学生答题的不同答案选项有哪些以及分别对应人数，同时系统能够以列表形式展示该题目已做题的学生情况，包含每个学生的名字、学生答案、得分、答题时间以及可以点击详情查看这个学生的具体做题试卷情况。（2）针对单据实操题移动鼠标到业务单据中的每个考核点处就能对应显示学生答题人数和错误人数，同时还能够详细展示具体错误答案情况及不同错误答案对应的人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平台能够针对每个单据业务题进行精准化分析，能够统计单据中每个需要填写的空格的答题正确率，鼠标移动到每个空格能够统计学生的错误答案有哪几种以及正确答案是什么，同时还能统计显示本题业务平均得分、及格率等。从而了解学生整体掌握情况，以便教师进行指导。</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平台能够提供学生根据课程章节练习的统计分析，包含学生每个章节做题情况的统计图，支持查看不少于二级的统计分析（比如按章和按节），统计图能够包含学生的做题次数、总分、合格分、最终得分等信息。同时能够统计每个章节的练习人次、练习次数、平均分析、正确率以及具体每个学生答题情况。能够将结果导出为Excel格式文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15.平台具有试卷导出功能，包括：1）支持教师对抽题组好的试卷进行预览，可以提供纯题目预览或者题目及答案预览两种模式，同时预览时支持将该预览模式下的试卷导出下载为Word文档；2）支持学生交完卷后教师可以将学生的考试试卷进行一键批量下载，每个学生能够单独生成一份PDF文档，下载的PDF文档能够详细记录该试卷内容、学生答题记录以及得分情况等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16.平台分别预置理论和实操两个课程内容，支持教师添加修改课程内容，每个章节预置配套课件资源和视频资源，支持教师下载系统预置的课件资源和上传自己的课件资源，同时视频内容要与课件内容相匹配，视频数量不少于20个。</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17.平台中预置的教学课件支持下载，同时为了方便教学可以在平台上对教学课件进行基本操作，包括课件放大缩小、课件单页视图或双页视图显示、课件垂直滚动或者水平滚动显示等。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8.平台具备 AI 智能出题功能，教师进入目标课程的章节目录，在需要补充试题的章节下点击“智能出题”按钮，即可进入对应的智能出题对话界面。在该界面中，教师仅需在对话框输入两类核心信息：一是明确题目考察范围的“出题方向”，用于界定需覆盖的知识点；二是具体的题型数量要求，包括单选题、多选题、判断题、填空题各自的生成个数。系统会基于“出题方向”所设定的知识点要求，结合教师指定的各题型数量，自动智能生成匹配数量与考察范围的题目，且这些生成的题目会直接自动添加至当前操作的课程章节下，无需额外进行手动上传、导入等操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19.平台搭载AI智能生成PDF教案资源</w:t>
            </w:r>
            <w:r>
              <w:rPr>
                <w:rFonts w:hint="eastAsia" w:ascii="宋体" w:hAnsi="宋体" w:eastAsia="宋体" w:cs="宋体"/>
                <w:i w:val="0"/>
                <w:color w:val="000000"/>
                <w:sz w:val="21"/>
                <w:szCs w:val="21"/>
                <w:highlight w:val="none"/>
                <w:u w:val="none"/>
                <w:lang w:val="en-US" w:eastAsia="zh-CN" w:bidi="ar"/>
              </w:rPr>
              <w:t xml:space="preserve">功能，教师进入目标课程的章节目录后，找到需补充资源的对应章节并点击“智能生成PDF”按钮，即可进入专属的智能生成PDF对话界面。在此界面中，教师仅需在对话框内输入教案资源的主题，或明确具体的教案内容要求（如知识点侧重、结构格式等），系统便会基于输入的信息精准匹配需求，自动智能生成完整的教案内容。教案生成完成后，教师点击“绑定资源”，系统将直接把这份智能生成的PDF格式教案自动添加至当前操作的课程章节下，无需额外进行手动上传、导入等操作；同时，该平台生成的PDF教案支持教师下载至本地，满足多样化教学场景需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20.平台具备AI智能生成PPT课件资源功能，教师进入目标课程的章节目录后，在需添加资源的对应章节下点击“智</w:t>
            </w:r>
            <w:r>
              <w:rPr>
                <w:rFonts w:hint="eastAsia" w:ascii="宋体" w:hAnsi="宋体" w:eastAsia="宋体" w:cs="宋体"/>
                <w:i w:val="0"/>
                <w:color w:val="000000"/>
                <w:sz w:val="21"/>
                <w:szCs w:val="21"/>
                <w:highlight w:val="none"/>
                <w:u w:val="none"/>
                <w:lang w:val="en-US" w:eastAsia="zh-CN" w:bidi="ar"/>
              </w:rPr>
              <w:t xml:space="preserve">能生成PPT”按钮，即可进入智能生成PPT对话界面。在此界面中，教师仅需在对话框内输入想要生成的课件资源主题，或明确具体的课件内容要求，系统便会基于所输入的信息自动智能生成匹配需求的课件内容目录；随后教师选择心仪的PPT模板并确认，即可一键生成完整的PPT课件，且针对生成的PPT，教师可直接在线进行编辑调整。课件生成完成后，教师点击“绑定资源”，系统将自动把这份智能生成的PPT课件添加至当前操作的课程章节下，无需额外进行手动上传、导入等步骤；同时，该PPT课件支持教师下载至本地使用，满足多样化教学场景需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21.平台支持教师发布好一份作业或考试后，能够在教师端针对这份作业或考试进行模拟做题，进入模拟做题即模拟学生的做题界面。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22.平台具有课程回收站功能，系统支持教师对平台中预置好的的课程内容进行添加、删除或修改，删除后的内容都会归集到课程回收站中，那么教师就可以根据需要随时进入课程回收站去进行恢复。</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23.平台具备PK竞赛功能，教师可设置多专题的排位赛、练习赛，自定义每题答题时长，题目可从基础会计课程预置题库抽取或自主导入；学生通过微信小程序参赛，流程如下：（1）参赛显示倒计时，答题选定后不可修改且实时展示倒计时，先抢答正确者得分，该题有人答对则全员自动进入下一题且其他人不得分，无人答对则计时结束后进入下一题，赛后可查看成绩排行榜。（2）学生可在小程序自主命题投稿，经教师审核通过的题目，可纳入竞赛题库供全体参赛者使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24.财会信息化智能制题模块需提供不少于12个月在线使用服务，可嵌入平台并同步至基础会计课程，支持快速智能生成含原始凭证、记账凭证、账簿、报表、纳税申报表等业务的实操题目，既允许按模块分项制题，也可生成各模块具勾稽关系的完整账套业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25.财会信息化智能制题模块预置不少于400种经济业务模板（含≥100 种原始凭证模板、≥300种记账凭证模板），覆盖企业财务全场景；预置≥250家主体企业、≥400家往来企业，涵盖不同准则及一般纳税人/小规模纳税人类型，支持教师快速新增个性化企业。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26.记账凭证制题功能支持系统自动生成期初数据，也可Excel导入/导出期初数据；教师选定业务模板并设置考核知识点后，系统自动生成对应背景单据、记账凭证及答案；同时支持导入Excel分录文本数据，系统自动识别生成记账凭证单据，可作为账簿等专项练习背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27.财会信息化智能制题模块能够快速智能生成分岗位和不分岗位的实习账套，分岗位的实习账套包含出纳、会计、财务经理三个角色，同时支持一键生成三种题型。教师出一笔业务时只要选择一个经济业务模板然后对要考核的知识点进行简单设置后，系统能够一键生成包含手工帐（根据设置的内容能够自动生成背景单据和记账凭证）、理论分录题、电算化三种题型，并且能够展示该业务做题时的业务流程以及每个流程是由出纳、会计或财务经理哪个角色完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28.财会信息化智能制题模块支持将制好的一套包含原始凭证、记账凭证、账簿、报表等模块的完整业务试卷作多种用途：1）支持教师发布一套试卷让学生按账务处理流程进行各模块完整的会计账务处理的综合训练。2）支持教师发布任务时根据教学需要将同一套完整试卷设置成专项训练模块，比如教师想要让学生只进行训练账簿或科目汇总表或报表等，那么就可以将原始凭证、记账凭证等其他模块勾选作为背景资料就可以，学生登入后原始凭证和记账凭证将不用实训作为背景资料展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二、预置训练内容指标：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平台预置基础会计理论训练题库和基础会计实务操作训练题库。</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平台预置基础会计理论训练题库包含：（</w:t>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总论（2）会计要素与会计等式（3）会计科目与账户（4）会计记账方法（5）借贷记账法下主要经济业务的账务处理（6）会计凭证（7）会计账簿（8）账务处理程序（9）财产清查（10）财务会计报告十个章节的题库。基础会计实务操作训练题库包含：（1）原始凭证的填制与审核（2）记账凭证的填制与审核（3）企业日常的经济业务处理（4）建账与登记账簿（5）财产清查（6）对账与结账（7）编制科目汇总表（8）编制财务报表（9）综合实训。</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综合实训模拟制造业企业某年一个月的经济业务资料，执行的专业技术标准为《会计基础工作规范》，会计处理具体原则和方法遵照《企业会计准则》和现行税法（以财政部、国家税务总局2024年12月31日日前发布文件为准）。</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企业财务会计理实一体化教学云平台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一、功能、技术指标：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1.提供云平台使用服务，只需通过网页登录就可以进行使用，同时支持安装在学校本地服务器，无站点限制。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平台支持教师和学生在手机微信端进行管理操作：1）教师能够在手机微信端创建班级并生成邀请码，然后学生通过手机微信端输入邀请码就可以自己创建学生账号加入班级；2）教师能够通过手机微信端进行作业发布、查看学生成绩分析；3）支持教师每次发布好一份作业后，学生在手机微信端能够实时收到新作业通知；4）手机微信端和电脑端的操作内容能够实时同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平台支持学生在手机微信小程序端进行答题，包括：1）微信小程序端能够支持理论题和实操题答题，其中包括单选题、多选题、判断题、分录题、记账凭证等所有题型答题；2）学生交完卷后能够直接在小程序上查看详细成绩分析，理论题能够提供题析，单据实务题能够进行答案对比（错误的地方能够以颜色框框选出来）并且查看正确答案；3）学生答完题之后可以在小程序上点击重新做题；4）手机小程序和电脑端的操作内容能够实时同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4.平台支持教师针对作业考试发布进行灵活设置，包括：（1）教师发</w:t>
            </w:r>
            <w:r>
              <w:rPr>
                <w:rFonts w:hint="eastAsia" w:ascii="宋体" w:hAnsi="宋体" w:eastAsia="宋体" w:cs="宋体"/>
                <w:i w:val="0"/>
                <w:color w:val="000000"/>
                <w:sz w:val="21"/>
                <w:szCs w:val="21"/>
                <w:highlight w:val="none"/>
                <w:u w:val="none"/>
                <w:lang w:val="en-US" w:eastAsia="zh-CN" w:bidi="ar"/>
              </w:rPr>
              <w:t xml:space="preserve">布作业考试时可以设置一份试卷同时满足多种抽题条件，具体为①设置试卷中不同难度系数题目的分值比重②设置试卷中不同章节或知识点的分值比重③设置试卷中不同题型的数量以及不同题目的分值，题型包含单选题、多选题、判断题、分录题、记账凭证题等。从而平台会根据以上三个条件抽题生成试卷；（2）教师可以将设置好的抽题条件保存成模板，实现下次发布作业时可以选择需要的模板直接按模板里的抽题条件快速智能生成题目；（3）教师能够对抽题生成的试卷进行预览，如果对试卷中某个题目不满意可以针对该题进行重新抽题，从而生成教师满意的试卷题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平台具有试卷组功能，支持教师抽题组卷时设置是否加入试卷组，在试卷组下每一份试卷在进行抽题时题目都不会重复，没有在同一个试卷组则每份试卷如果抽题的范围有重叠则同一个题目有可能会在不同的试卷中出现。同时平台支持教师从课程题库中挑选自己想要的的指定题目组成一份试卷发布给学生进行训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平台具有智能助教功能，教师可以设置学生做题时是否可以使用智能助教功能，开放智能助教功能情况下则在学生的做题界面能够同步显示智能助教窗口，智能助教采用AI对话互动式的交流模式，学生可以直接向AI提出问题并得到详尽的答案解析与咨询服务，同时智能助教须是基于海量文本数据训练的深度学习模型，不仅要能够回答会计相关问题，还能够回答各行各业各种相关问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平台中的记账凭证业务支持教师根据需要设置“是否智能填写科目”，在智能填写科目模式下学生进行记账凭证业务实训时，编辑总账科目或明细科目时可以直接从下拉框中选择需要的科目，也可以输入关键词搜索需要的科目；在非智能填写科目模式下学生进行记账凭证业务实训时，编辑总账科目或明细科目时只能全部手动录入科目名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8.平台支持学生按课程章节自主练习，同时教师可以设置自主练习为随机模式或非随机模式，随机模式下学生每次进入某个课程章节练习则系统会随机生成一些题目，非随机模式则要练习所有的内容。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平台支持作业或考试发布，并且教师可以设置是否允许学生提早交卷以及提前交卷时间，可以设置是否允许学生重复做题，同时系统支持最低分数的设置，即老师可以设置学生答题率达到某百分比时本次任务成绩保证能够得到设置好的最低分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平台支持教师能够强制终止某个学生或所有学生正在进行的训练或考试，老师可以一键提交所有学生或个别需要提前终止训练或考试的内容并计算成绩，也可以一键重置所有学生或个别学生误操作提前交卷的情况而恢复其能继续做题且保证已答题数据继续存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平台支持教师设置实务题评分规则为按分层评分或按空得分。按分层评分：关键信息及主要内容优先评分。例如银行类单据：收款人姓名、金额填写错误，则整笔业务不得分，只有签章及主要信息正确时，其他信息按权重比例得分；记账凭证会计分录三要素（总账及明细科目、借贷方向、金额）优先判分，在三要素全部正确的前提下，其他内容才会按权重得分。按空得分：单据中所有要求填的空都有不同权重的分值，学生只要有填对一个空就可以得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平台针对每一份作业或考试能够提供详细的精准分析，包括：（1）针对选择题、判断题等能够自动统计每个题目的答题人数、正确人数、正确率，并且系统还会自动统计该题目学生答题的不同答案选项有哪些以及分别对应人数，同时系统能够以列表形式展示该题目已做题的学生情况，包含每个学生的名字、学生答案、得分、答题时间以及可以点击详情查看这个学生的具体做题试卷情况。（2）针对单据实操题移动鼠标到业务单据中的每个考核点处就能对应显示学生答题人数和错误人数，同时还能够详细展示具体错误答案情况及不同错误答案对应的人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平台能够针对每个单据业务题进行精准化分析，能够统计单据中每个需要填写的空格的答题正确率，鼠标移动到每个空格能够统计学生的错误答案有哪几种以及正确答案是什么，同时还能统计显示本题业务平均得分、及格率等。从而了解学生整体掌握情况，以便教师进行指导。</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平台能够提供学生根据课程章节练习的统计分析，包含学生每个章节做题情况的统计图，支持查看不少于二级的统计分析（比如按章和按节），统计图能够包含学生的做题次数、总分、合格分、最终得分等信息。同时能够统计每个章节的练习人次、练习次数、平均分析、正确率以及具体每个学生答题情况。能够将结果导出为Excel格式文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15.平台具有试卷导出功能，包括：1）支持教师对抽题组好的试卷进行预览，可以提供纯题目预览或者题目及答案预览两种模式，同时预览时支持将该预览模式下的试卷导出下载为Word文档；2）支持学生交完卷后教师可以将学生的考试试卷进行一键批量下载，每个学生能够单独生成一份PDF文档，下载的PDF文档能够详细记录该试卷内容、学生答题记录以及得分情况等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16.平台预置理论和实操课程内容，每个章节预置配套课件资源，支持教师下载系统预置的课件资源，同时也支持教师上传自己的课件资源。同时为了方便教学可以在平台上对教学课件进行基本操作，包括课件放大缩小、课件单页视图或双页视图显示、课件垂直滚动或者水平滚动显示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17.平台具备AI智能出题功能，教师进入目标课程的章节目录，在需要补充试题的章节下点击“智能出题”按钮，即可进入对应的智能出题对话界面。在该界面中，教师仅需在对话框输入两类核心信息：一是明确题目考察范围的“出题方向”，用于界定需覆盖的知识点；二是具体的题型数量要求，包括单选题、多选题、判断题、填空题各自的生成个数。系统会基于“出题方向”所设定的知识点要求，结合教师指定的各题型数量，自动智能生成匹配数量与考察范围的题目，且这些生成的题目会直接自动添加至当前操作的课程章节下，无需额外进行手动上传、导入等操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18.平台搭载AI智能生成PDF教案资源</w:t>
            </w:r>
            <w:r>
              <w:rPr>
                <w:rFonts w:hint="eastAsia" w:ascii="宋体" w:hAnsi="宋体" w:eastAsia="宋体" w:cs="宋体"/>
                <w:i w:val="0"/>
                <w:color w:val="000000"/>
                <w:sz w:val="21"/>
                <w:szCs w:val="21"/>
                <w:highlight w:val="none"/>
                <w:u w:val="none"/>
                <w:lang w:val="en-US" w:eastAsia="zh-CN" w:bidi="ar"/>
              </w:rPr>
              <w:t xml:space="preserve">功能，教师进入目标课程的章节目录后，找到需补充资源的对应章节并点击“智能生成PDF”按钮，即可进入专属的智能生成PDF对话界面。在此界面中，教师仅需在对话框内输入教案资源的主题，或明确具体的教案内容要求（如知识点侧重、结构格式等），系统便会基于输入的信息精准匹配需求，自动智能生成完整的教案内容。教案生成完成后，教师点击“绑定资源”，系统将直接把这份智能生成的PDF格式教案自动添加至当前操作的课程章节下，无需额外进行手动上传、导入等操作；同时，该平台生成的PDF教案支持教师下载至本地，满足多样化教学场景需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19.平台具备AI智能生成PPT课件资源功能，教师进入目标课程的章节目录后，在需添加资源的对应章节下点击“智</w:t>
            </w:r>
            <w:r>
              <w:rPr>
                <w:rFonts w:hint="eastAsia" w:ascii="宋体" w:hAnsi="宋体" w:eastAsia="宋体" w:cs="宋体"/>
                <w:i w:val="0"/>
                <w:color w:val="000000"/>
                <w:sz w:val="21"/>
                <w:szCs w:val="21"/>
                <w:highlight w:val="none"/>
                <w:u w:val="none"/>
                <w:lang w:val="en-US" w:eastAsia="zh-CN" w:bidi="ar"/>
              </w:rPr>
              <w:t xml:space="preserve">能生成PPT”按钮，即可进入智能生成PPT对话界面。在此界面中，教师仅需在对话框内输入想要生成的课件资源主题，或明确具体的课件内容要求，系统便会基于所输入的信息自动智能生成匹配需求的课件内容目录；随后教师选择心仪的PPT模板并确认，即可一键生成完整的PPT课件，且针对生成的PPT，教师可直接在线进行编辑调整。课件生成完成后，教师点击“绑定资源”，系统将自动把这份智能生成的PPT课件添加至当前操作的课程章节下，无需额外进行手动上传、导入等步骤；同时，该PPT课件支持教师下载至本地使用，满足多样化教学场景需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20.教师发布作业考试时支持随机模式。随机模式下系统会根据教师设置好的抽题条件自动生成不少于5套不同的试卷并且随机分配给每个学生。</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21.平台嵌入财会信息化智能制题模块并且能够提不少于12个月在线使用服务，通过财会信息化智能制题模块教师可以快速智能的生成包含原始凭证、记账凭证、账簿、报表、纳税申报表等业务，可以按模块分项制题，也可以出各模块具有勾稽关系的完整账套业务，智能制题模块生成的实操业务可以同步到企业财务会计课程中。</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22.财会信息化智能制题模块能够快速智能生成分岗位和不分岗位的实习账套，分岗位的实习账套包含出纳、会计、财务经理三个角色，同时支持一键生成三种题型。教师出一笔业务时只要选择一个经济业务模板然后对要考核的知识点进行简单设置后，系统能够一键生成包含手工帐（根据设置的内容能够自动生成背景单据和记账凭证）、理论分录题、电算化三种题型，并且能够展示该业务做题时的业务流程以及每个流程是由出纳、会计或财务经理哪个角色完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二、预置训练内容指标：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平台预置企业财务会计课程理论和实务训练题库。课程题库内容包含：（1）总论（2）货币资金（3）应收和预付款项（4）存货（5）金融资产（6）长期股权投资（7）固定资产（8）无形资产及其他资产（9）流动负债（10）非流动负债（11）所有者权益（12）收入费用和利润（13）财务会计报告。</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适用新收入准则及新金融工具准则，题库内容会计处理具体原则和方法遵照《企业会计准则》和现行税法（以财政部、国家税务总局2024年12月31日前发布文件为准）。</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成本会计理实一体化教学云平台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numPr>
                <w:ilvl w:val="0"/>
                <w:numId w:val="8"/>
              </w:numPr>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功能、技术指标：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提供云平台使用服务，只需通过网页登录就可以进行使用，同时支持安装在学校本地服务器，无站点限制。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2.平台支持教师手机端管理操作，教师微信端可创建班级生成邀请码，学生输入邀请码自主注册入班；支持作业发布、成绩分析查看；作业发布后学生微信端实时接收通知；微信端与电脑端操作内容实时同步。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平台支持学生微信小程序答题，支持理论题（单选、多选、判断）与实操题（记账凭证等）答题；交卷后可查看详细成绩分析，理论题附题析，实务题支持答案对比（错误处标色框选）并展示正确答案；支持答后重新做题；小程序与电脑端操作内容实时同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平台支持教师针对作业考试发布进行灵活设置，包括多条件抽题组卷：可按难度系数分值占比、章节/知识点分值占比、题型（单选/多选/判断/分录/记账凭证等）数量及分值设置抽题规则，系统自动生成试卷；抽题模板复用：支持保存抽题条件为模板，后续可直接调用快速组卷；试卷预览优化：可预览抽题结果，对不满意题目单独重新抽题，生成符合需求的试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5.平台具备试卷组功能，教师抽题组卷时可设置是否加入试卷组，同组试卷抽题不重复，不同组试卷若抽题范围重叠则可能出现重复题目；同时支持教师从课程题库中挑选指定题目组卷并发布给学生训练。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平台具备智能助教功能，教师可设置学生做题时是否启用该功能；启用后学生做题界面同步显示智能助教窗口，该功能采用AI对话互动模式，学生可提问并获取详尽解析与咨询服务。智能助教基于海量文本数据训练的深度学习模型构建，可解答会计及各行业相关问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7.平台记账凭证实训支持教师配置科目填写模式，智能模式：学生可下拉选择或关键词搜索总账/明细科目；非智能模式：学生需手动录入全部总账/明细科目名称。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平台支持作业/考试发布，教师可设置是否允许提前交卷及提前交卷时间、是否允许重复做题，还可设置最低分数规则（学生答题率达标即可获得对应最低分）；支持教师强制终止个别或全体学生的训练/考试，可一键提交相关内容并核算成绩，也可一键重置个别或全体学生的误操作提前交卷状态，恢复其做题权限且保留已答题数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平台支持教师配置实务题分层评分/按空得分两种规则。分层评分：优先判定关键信息，如银行单据收款人、金额，记账凭证分录三要素（总账/明细科目、借贷方向、金额）；关键信息正确后，其余内容按权重计分；关键信息错误则整笔业务不计分；按空得分：所有填项均设权重分值，填对一项即得对应分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平台支持作业/考试精准分析，其中选择题、判断题：自动统计每题答题人数、正确人数、正确率，以及各选项选择人数，并以列表展示已作答学生信息（姓名、答案、得分、答题时间），支持点击查看试卷详情；单据实操题：鼠标 移动至考核点，可查看对应答题人数、错误人数及各类错误答案的分布情况。</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11.平台支持单据业务题精细化分析，能够统计每个填写项的正确率，鼠标移动至空格可查看正确答案及各类错误答案，自动生成本题平均得分、及格率等数据，辅助教师掌握学生知识掌握情况。</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12.平台支持试卷导出功能，师组卷后可预览纯题目或题目+答案两种模式，支持导出为Word文档；学生交卷后，教师可一键批量下载学生试卷，每生单独生成PDF文档，完整记录试卷内容、答题记录及得分情况。</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13.平台具备AI智能出题功能：教师在课程章节下点击“智能出题”，输入出题方向（知识点范围）和各题型数量（单选、多选、判断、填空），系统自动生成匹配题目并直接添加至该章节，无需手动上传。</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14.平台搭载AI智能生成PDF教案功能：教师在课程章节下点击“智能生成PDF”，输入教案主题或内容要求，系统自动生成完整教案；教师点击“绑定资源”即可将教案添加至该章节，支持下载至本地。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15.平台具备AI智能生成PPT课件功能：教师在课程章节下点击“智能生成PPT”，输入课件主题或内容要求，系统生成课件目录，教师选定模板后一键生成完整PPT，支持在线编辑；点击“绑定资源”即可将课件添加至该章节，支持下载至本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16.平台支持教师发布好一份作业或考试后，能够在教师端针对这份作业或考试进行模拟做题，进入模拟做题即模拟学生的做题界面。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17.平台具有课程回收站功能，系统支持教师对平台中预置好的的课程内容进行添加、删除或修改，删除后的内容都会归集到课程回收站中，那么教师就可以根据需要随时进入课程回收站去进行恢复。</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18.平台具备PK竞赛功能，教师可设置多专题的排位赛、练习赛，自定义每题答题时长，题目可从基础会计课程预置题库抽取或自主导入；学生通过微信小程序参赛，流程如下：（1）参赛显示倒计时，答题选定后不可修改且实时展示倒计时，先抢答正确者得分，该题有人答对则全员自动进入下一题且其他人不得分，无人答对则计时结束后进入下一题，赛后可查看成绩排行榜。（2）学生可在小程序自主命题投稿，经教师审核通过的题目，可纳入竞赛题库供全体参赛者使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19.财会信息化智能制题模块需提供不少于12个月在线使用服务，可嵌入平台并同步至成本会计课程，支持快速智能生成含原始凭证、记账凭证、账簿、报表、纳税申报表等业务的实操题目，既允许按模块分项制题，也可生成各模块具勾稽关系的完整账套业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20.财会信息化智能制题模块预置不少于400种经济业务模板（含≥100 种原始凭证模板、≥300种记账凭证模板），覆盖企业财务全场景；预置≥250家主体企业、≥400家往来企业，涵盖不同准则及一般纳税人/小规模纳税人类型，支持教师快速新增个性化企业。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21.财会信息化智能制题模块记账凭证制题功能支持系统自动生成期初数据，也可Excel导入/导出期初数据；教师选定业务模板并设置考核知识点后，系统自动生成对应背景单据、记账凭证及答案；同时支持导入Excel分录文本数据，系统自动识别生成记账凭证单据，可作为账簿等专项练习背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22.财会信息化智能制题模块支持教师出记账凭证业务时只要选择某个经济业务模板，然后可以个性化选择设置要考核的知识点，平台就会自动生成对应的背景单据、记账凭证以及答案。同时账簿、报表、纳税申报等模块业务可以根据记账凭证模块业务自动勾稽生成题目数据和答案。</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二、预置训练内容指标：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平台预置成本会计理论训练题库和成本会计实务操作训练题库。</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成本会计理论训练题库包含：1）总论。2）工业企业成本核算的要求和一般程序。3）费用在各种产品以及期间费用之间的归集和分配。4）生产费用在完工产品与在产品之间的归集和分配。5）产品成本计算方法。6）产品成本计算的基本方法。</w:t>
            </w:r>
            <w:r>
              <w:rPr>
                <w:rFonts w:ascii="宋体" w:hAnsi="宋体" w:cs="宋体"/>
              </w:rPr>
            </w:r>
            <w:r/>
          </w:p>
          <w:p>
            <w:pPr>
              <w:pStyle w:val="885"/>
              <w:numPr>
                <w:ilvl w:val="0"/>
                <w:numId w:val="0"/>
              </w:numPr>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成本会计实务操作训练题库包含：1）费用在各种产品以及期间费用之间的归集和分配。2）生产费用在完工产品与在产品之间的分配。3）成本计算的基本方法。4）成本计算的辅助方法。5）成本控制与考核。6）综合实训。</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出纳实务实训云平台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一、功能、技术指标：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1.提供云平台使用服务，只需通过网页登录就可以进行使用，同时支持安装在学校本地服务器，无站点限制。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平台支持教师和学生在手机微信端进行管理操作：1）教师能够在手机微信端创建班级并生成邀请码，然后学生通过手机微信端输入邀请码就可以自己创建学生账号加入班级；2）教师能够通过手机微信端进行作业发布、查看学生成绩分析；3）支持教师每次发布好一份作业后，学生在手机微信端能够实时收到新作业通知；4）手机微信端和电脑端的操作内容能够实时同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平台支持学生在手机微信小程序端进行答题，包括：1）微信小程序端能够支持单选题、多选题、填空题、综合题、原始凭证、记账凭证、账簿等所有题型答题；2）学生交完卷后能够直接在小程序上查看详细成绩分析，能够进行答案对比（错误地方能够以颜色框框选出来）并且查看正确答案；3）学生答完题之后可以在小程序上点击重新做题。手机小程序和电脑端的操作内容能够实时同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4.平台支持教师针对作业考试发布进行灵活设置，包括：（1）教师发布作业考试时可以设置</w:t>
            </w:r>
            <w:r>
              <w:rPr>
                <w:rFonts w:hint="eastAsia" w:ascii="宋体" w:hAnsi="宋体" w:eastAsia="宋体" w:cs="宋体"/>
                <w:i w:val="0"/>
                <w:color w:val="000000"/>
                <w:sz w:val="21"/>
                <w:szCs w:val="21"/>
                <w:highlight w:val="none"/>
                <w:u w:val="none"/>
                <w:lang w:val="en-US" w:eastAsia="zh-CN" w:bidi="ar"/>
              </w:rPr>
              <w:t xml:space="preserve">一份试卷同时满足多种抽题条件，具体为①设置试卷中不同难度系数题目的分值比重②设置试卷中不同章节或知识点的分值比重③设置试卷中不同题型的数量以及不同题目的分值，题型包含单选题、多选题、判断题、填空题、原始凭证题、记账凭证题、账簿题等。从而平台会根据以上三个条件抽题生成试卷；（2）教师可以将设置好的抽题条件保存成模板，实现下次发布作业时可以选择需要的模板直接按模板里的抽题条件快速智能生成题目；（3）教师能够对抽题生成的试卷进行预览，如果对试卷中某个题目不满意可以针对该题进行重新抽题，从而生成教师满意的试卷题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平台具有试卷组功能，支持教师抽题组卷时设置是否加入试卷组，在试卷组下每一份试卷在进行抽题时题目都不会重复，没有在同一个试卷组则每份试卷如果抽题的范围有重叠则同一个题目有可能会在不同的试卷中出现。同时平台支持教师从课程题库中挑选自己想要的的指定题目组成一份试卷发布给学生进行训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平台具有智能助教功能，教师可以设置学生做题时是否可以使用智能助教功能，开放智能助教功能情况下则在学生的做题界面能够同步显示智能助教窗口，智能助教采用AI对话互动式的交流模式，学生可以直接向AI提出问题并得到详尽的答案解析与咨询服务，同时智能助教须是基于海量文本数据训练的深度学习模型，不仅要能够回答会计相关问题，还能够回答各行各业各种相关问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平台中的记账凭证业务支持教师根据需要设置“是否智能填写科目”，在智能填写科目模式下学生进行记账凭证业务实训时，编辑总账科目或明细科目时可以直接从下拉框中选择需要的科目，也可以输入关键词搜索需要的科目；在非智能填写科目模式下学生进行记账凭证业务实训时，编辑总账科目或明细科目时只能全部手动录入科目名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8.平台支持学生按课程章节自主练习，同时教师可以设置自主练习为随机模式或非随机模式，随机模式下学生每次进入某个课程章节练习则系统会随机生成一些题目，非随机模式则要练习所有的内容。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平台支持作业或考试发布，并且教师可以设置是否允许学生提早交卷以及提前交卷时间，可以设置是否允许学生重复做题，同时系统支持最低分数的设置，即老师可以设置学生答题率达到某百分比时本次任务成绩保证能够得到设置好的最低分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平台支持教师能够强制终止某个学生或所有学生正在进行的训练或考试，老师可以一键提交所有学生或个别需要提前终止训练或考试的内容并计算成绩，也可以一键重置所有学生或个别学生误操作提前交卷的情况而恢复其能继续做题且保证已答题数据继续存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平台支持教师设置实务题评分规则为按分层评分或按空得分。按分层评分：关键信息及主要内容优先评分。例如银行类单据：收款人姓名、金额填写错误，则整笔业务不得分，只有签章及主要信息正确时，其他信息按权重比例得分；记账凭证会计分录三要素（总账及明细科目、借贷方向、金额）优先判分，在三要素全部正确的前提下，其他内容才会按权重得分。按空得分：单据中所有要求填的空都有不同权重的分值，学生只要有填对一个空就可以得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平台针对每一份作业或考试能够提供详细的精准分析，包括：（1）针对选择题、判断题等能够自动统计每个题目的答题人数、正确人数、正确率，并且系统还会自动统计该题目学生答题的不同答案选项有哪些以及分别对应人数，同时系统能够以列表形式展示该题目已做题的学生情况，包含每个学生的名字、学生答案、得分、答题时间以及可以点击详情查看这个学生的具体做题试卷情况。（2）针对单据实操题移动鼠标到业务单据中的每个考核点处就能对应显示学生答题人数和错误人数，同时还能够详细展示具体错误答案情况及不同错误答案对应的人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平台能够针对每个单据业务题进行精准化分析，能够统计单据中每个需要填写的空格的答题正确率，鼠标移动到每个空格能够统计学生的错误答案有哪几种以及正确答案是什么，同时还能统计显示本题业务平均得分、及格率等。从而了解学生整体掌握情况，以便教师进行指导。</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平台能够提供学生根据课程章节练习的统计分析，包含学生每个章节做题情况的统计图，支持查看不少于二级的统计分析（比如按章和按节），统计图能够包含学生的做题次数、总分、合格分、最终得分等信息。同时能够统计每个章节的练习人次、练习次数、平均分析、正确率以及具体每个学生答题情况。能够将结果导出为Excel格式文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15.平台具有试卷导出功能，包括：1）支持教师对抽题组好的试卷进行预览，可以提供纯题目预览或者题目及答案预览两种模式，同时预览时支持将该预览模式下的试卷导出下载为Word文档；2）支持学生交完卷后教师可以将学生的考试试卷进行一键批量下载，每个学生能够单独生成一份PDF文档，下载的PDF文档能够详细记录该试卷内容、学生答题记录以及得分情况等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16.平台分别预置理论和实操内容，支持教师添加修改课程内容，预置配套课件资源和视频资源，支持教师下载系统预置的课件资源和上传自己的课件资源，同时为了方便教学可以在平台上对教学课件进行基本操作，包括课件放大缩小、课件单页视图或双页视图显示、课件垂直滚动或者水平滚动显示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17.平台具备AI智能出题功能，教师进入目标课程的章节目录，在需要补充试题的章节下点击“智能出题”按钮，即可进入对应的智能出题对话界面。在该界面中，教师仅需在对话框输入两类核心信息：一是明确题目考察范围的“出题方向”，用于界定需覆盖的知识点；二是具体的题型数量要求，包括单选题、多选题、判断题、填空题各自的生成个数。系统会基于“出题方向”所设定的知识点要求，结合教师指定的各题型数量，自动智能生成匹配数量与考察范围的题目，且这些生成的题目会直接自动添加至当前操作的课程章节下，无需额外进行手动上传、导入等操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18.平台搭载AI智能生成PDF教案资源</w:t>
            </w:r>
            <w:r>
              <w:rPr>
                <w:rFonts w:hint="eastAsia" w:ascii="宋体" w:hAnsi="宋体" w:eastAsia="宋体" w:cs="宋体"/>
                <w:i w:val="0"/>
                <w:color w:val="000000"/>
                <w:sz w:val="21"/>
                <w:szCs w:val="21"/>
                <w:highlight w:val="none"/>
                <w:u w:val="none"/>
                <w:lang w:val="en-US" w:eastAsia="zh-CN" w:bidi="ar"/>
              </w:rPr>
              <w:t xml:space="preserve">功能，教师进入目标课程的章节目录后，找到需补充资源的对应章节并点击“智能生成PDF”按钮，即可进入专属的智能生成PDF对话界面。在此界面中，教师仅需在对话框内输入教案资源的主题，或明确具体的教案内容要求（如知识点侧重、结构格式等），系统便会基于输入的信息精准匹配需求，自动智能生成完整的教案内容。教案生成完成后，教师点击“绑定资源”，系统将直接把这份智能生成的PDF格式教案自动添加至当前操作的课程章节下，无需额外进行手动上传、导入等操作；同时，该平台生成的PDF教案支持教师下载至本地，满足多样化教学场景需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19.平台具备AI智能生成PPT课件资源功能，教师进入目标课程的章节目录后，在需添加资源的对应章节下点击“智</w:t>
            </w:r>
            <w:r>
              <w:rPr>
                <w:rFonts w:hint="eastAsia" w:ascii="宋体" w:hAnsi="宋体" w:eastAsia="宋体" w:cs="宋体"/>
                <w:i w:val="0"/>
                <w:color w:val="000000"/>
                <w:sz w:val="21"/>
                <w:szCs w:val="21"/>
                <w:highlight w:val="none"/>
                <w:u w:val="none"/>
                <w:lang w:val="en-US" w:eastAsia="zh-CN" w:bidi="ar"/>
              </w:rPr>
              <w:t xml:space="preserve">能生成PPT”按钮，即可进入智能生成PPT对话界面。在此界面中，教师仅需在对话框内输入想要生成的课件资源主题，或明确具体的课件内容要求，系统便会基于所输入的信息自动智能生成匹配需求的课件内容目录；随后教师选择心仪的PPT模板并确认，即可一键生成完整的PPT课件，且针对生成的PPT，教师可直接在线进行编辑调整。课件生成完成后，教师点击“绑定资源”，系统将自动把这份智能生成的PPT课件添加至当前操作的课程章节下，无需额外进行手动上传、导入等步骤；同时，该PPT课件支持教师下载至本地使用，满足多样化教学场景需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二、预置训练内容指标：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系统预置出纳实务操作训练题库及学习指引，包含出纳学习方法，基础技能、出纳常见业务、出纳专项技能、出纳专项业务实训、出纳业务综合实训。</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系统所有业务执行的专业技术标准为《会计基础工作规范》，《支付结算办法》，《人民币银行结算账户管理办法实施细则》，同时结合现行会计法律法规、税法等相关法律文件。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系统预置出纳实务操作训练题库主要包括：3.1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出纳学习方法指引；3.2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出纳基础技能，包括：出纳工作内容了解，出纳安全知识，出纳业务涉及主要法律及法规，出纳基本功。3.3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出纳常见业务包括：现金管理业务，银行结算业务，报销核算业务，账簿登记，月末处理，编制出纳常见报表。3.4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出纳专项技能包括：出纳工作交接，银行开户销户，常用软件操作，资金看板设计。3.5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出纳业务综合实训包括一整个月内企业经济业务发生过程中涉及出纳进行业务处理的全部内容。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实训题库中还包含了相应模的训练指引，主要业务的业务办理流程，以及对应业务的场景案例题，帮助学生了解和掌握除单据填写以外的出纳必备技能。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实训题库涵盖了企业实际结算业务中涉及的各类结算案例，包括：支票业务、银行汇本票产业务、银行卡POS机收单 业务、网上支付业务、电子商业汇票业务、汇兑业务、托收承付业务、委托收款业务、国内信用证业务。同时体现第三方支付的办理，如微信、支付宝业务。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从培养学生实际工作能力出发，还设置了出纳常用软件操作案例题，如EXCEL办公软件应用，财务软件出纳模块的应用。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实训题库包括资金看板设计等出纳必备的专项技能的案例训练。</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工作台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工作台要求采用钢木结构，主体采用优质冷轧钢板，台体拐角采用圆弧设计，防止碰伤。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工作台带键盘锁，带笔记本用电源插座面板。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工作台材料：主体采用约1.5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冷轧钢板，其它部分采用约1.2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冷轧钢板。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工作台尺寸：关闭时，长宽高约（1000×700×1000）</w:t>
            </w:r>
            <w:r>
              <w:rPr>
                <w:rFonts w:hint="eastAsia" w:ascii="宋体" w:hAnsi="宋体" w:eastAsia="宋体" w:cs="宋体"/>
                <w:i w:val="0"/>
                <w:color w:val="000000"/>
                <w:sz w:val="21"/>
                <w:szCs w:val="21"/>
                <w:highlight w:val="none"/>
                <w:u w:val="none"/>
                <w:lang w:val="en-US" w:eastAsia="zh-CN" w:bidi="ar"/>
              </w:rPr>
              <w:t xml:space="preserve">mm。</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件</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rPr>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实训桌椅</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实训桌尺寸：约800×600×750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，台面板材厚度</w:t>
            </w:r>
            <w:r>
              <w:rPr>
                <w:rFonts w:hint="eastAsia" w:ascii="宋体" w:hAnsi="宋体" w:eastAsia="宋体" w:cs="宋体"/>
                <w:color w:val="000000"/>
                <w:highlight w:val="none"/>
                <w:lang w:val="en-US" w:eastAsia="zh-CN"/>
              </w:rPr>
              <w:t xml:space="preserve">≥</w:t>
            </w:r>
            <w:r>
              <w:rPr>
                <w:rFonts w:hint="eastAsia" w:ascii="宋体" w:hAnsi="宋体" w:eastAsia="宋体" w:cs="宋体"/>
                <w:i w:val="0"/>
                <w:color w:val="000000"/>
                <w:sz w:val="21"/>
                <w:szCs w:val="21"/>
                <w:highlight w:val="none"/>
                <w:u w:val="none"/>
                <w:lang w:val="en-US" w:eastAsia="zh-CN" w:bidi="ar"/>
              </w:rPr>
              <w:t xml:space="preserve">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，桌面采用三聚氰胺浸渍纸饰面，耐磨、不褪色；基材采用实木颗粒刨花板，甲醛释放量符合GB/T 39600-2021《人造板及其制品甲醛释放量分级》，GB18580-2017《室内装饰装修材料人造板及其制品中甲醛释放限量》，甲醛释放量≤0.025</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g/</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³。桌面板材厚度</w:t>
            </w:r>
            <w:r>
              <w:rPr>
                <w:rFonts w:hint="eastAsia" w:ascii="宋体" w:hAnsi="宋体" w:eastAsia="宋体" w:cs="宋体"/>
                <w:color w:val="000000"/>
                <w:highlight w:val="none"/>
                <w:lang w:val="en-US" w:eastAsia="zh-CN"/>
              </w:rPr>
              <w:t xml:space="preserve">≥</w:t>
            </w:r>
            <w:r>
              <w:rPr>
                <w:rFonts w:hint="eastAsia" w:ascii="宋体" w:hAnsi="宋体" w:eastAsia="宋体" w:cs="宋体"/>
                <w:i w:val="0"/>
                <w:color w:val="000000"/>
                <w:sz w:val="21"/>
                <w:szCs w:val="21"/>
                <w:highlight w:val="none"/>
                <w:u w:val="none"/>
                <w:lang w:val="en-US" w:eastAsia="zh-CN" w:bidi="ar"/>
              </w:rPr>
              <w:t xml:space="preserve">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，长期使用不变</w:t>
            </w:r>
            <w:r>
              <w:rPr>
                <w:rFonts w:hint="eastAsia" w:ascii="宋体" w:hAnsi="宋体" w:eastAsia="宋体" w:cs="宋体"/>
                <w:i w:val="0"/>
                <w:color w:val="000000"/>
                <w:sz w:val="21"/>
                <w:szCs w:val="21"/>
                <w:highlight w:val="none"/>
                <w:u w:val="none"/>
                <w:lang w:val="en-US" w:eastAsia="zh-CN" w:bidi="ar"/>
              </w:rPr>
              <w:t xml:space="preserve">形，不鼓包。封边条采用优质同色PVC封边条。封边条使用无铅、汞、镉三大重金属的高成份PVC粉做为原料来生产封边条，弹性好，耐撞击，达到国标环保要求；使用助剂及色粉，达到长期使用不变黄；使用水性油墨印刷，纹理清晰，抗紫外线达4-5级；热熔胶：采用优质环保热熔胶，符合GB18583-2008《室内装饰装修材料胶黏剂中有害物质限量》，GB33372-2020《胶粘剂挥发性有机化合物限量》，游离甲醛≤1.0g/kg，苯≤0.20g/kg，甲苯+二甲苯≤10g/kg，总挥发性有机物≤110g/L。钢架采用厚度≥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优质镀锌钢管经激光焊工艺整体焊接成型，确保钢架牢固度高、稳定性强。钢脚与地面接触部位安装有ABS塑料调整脚垫。钢架表面焊接平整、无虚焊、无明显焊疤、焊接处打磨光滑。钢架表面先经过除油、除锈、磷化处理后，再进行表面的静电喷塑，确保钢架表面光滑、无流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实训椅：椅面采用ABS耐冲击塑料一级新料一体射出成型，无毒、无味、强度高，耐冲击强度须能承受5磅榔头重力锤击不得破裂；耐老化性能≥500小时；外观颜色变色评级≥3级；不得采用回收料生产。椅背采用人体工效学原理设计。钢架采用优质高频焊管，焊接采用激光焊接工艺整体焊接成型。钢架表面经抛丸工艺预处理后再做表面的静电粉末喷涂，确保钢架表面光滑、无流痕。</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rPr>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7</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工作椅</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面材采用优质网布。座垫海绵采用高密度定型海绵，透气性好。软硬度适中。黑色尼龙玻纤椅身参照人类体态制成，提供适当的承托力，减轻部分过重的压力负荷，从而促进血液循环，松弛身心。扶手采用PP连体固定扶手。椅脚钢架采用φ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圆管，厚度约为1.8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的黑色弓形架。</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rPr>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8</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功放音箱设备</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铝合金面板，液晶显示屏，内置数字DSP效果器，可通过屏幕菜单进行话筒EQ、音乐EQ进行调节，出厂内置多种效果模式供选择，含双U段充电金属话筒2只</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支持光纤、同轴、蓝牙、USB、AUX输入，额定功率150W，双声道前置功放。含2只10寸二分频3单元低频反射式音箱，3寸高音单元2个，频宽：500-18khz，10寸低音单元音圈1个：35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 磁钢：100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双磁，频宽：70-8000KHZ，松压盆。 额定输入功率（连续、音乐信号、峰值）：≥200W、≥400W、≥500W；频率响应（±3db）70-18Hz</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灵敏度（1W@1</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）92dB</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覆盖角度≥120°×90°（H×V）输出最大声压98dB peak。</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9</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文件柜</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尺寸：约1200×550×750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；桌面级柜体采用三聚氰胺浸渍纸饰面，耐磨、不褪色；基材采用实木颗粒刨花板，甲醛释放量符合GB/T 39600-2021《人造板及其制品甲醛释放量分级》，GB18580-2017《室内装饰装修材料人造板及其制品中甲醛释放限量》，甲醛释放量≤0.025</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g/</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³。桌面板材厚度</w:t>
            </w:r>
            <w:r>
              <w:rPr>
                <w:rFonts w:hint="eastAsia" w:ascii="宋体" w:hAnsi="宋体" w:eastAsia="宋体" w:cs="宋体"/>
                <w:i w:val="0"/>
                <w:color w:val="000000"/>
                <w:sz w:val="21"/>
                <w:szCs w:val="21"/>
                <w:highlight w:val="none"/>
                <w:u w:val="none"/>
                <w:lang w:val="en-US" w:eastAsia="zh-CN" w:bidi="ar"/>
              </w:rPr>
              <w:t xml:space="preserve">约</w:t>
            </w:r>
            <w:r>
              <w:rPr>
                <w:rFonts w:hint="eastAsia" w:ascii="宋体" w:hAnsi="宋体" w:eastAsia="宋体" w:cs="宋体"/>
                <w:i w:val="0"/>
                <w:color w:val="000000"/>
                <w:sz w:val="21"/>
                <w:szCs w:val="21"/>
                <w:highlight w:val="none"/>
                <w:u w:val="none"/>
                <w:lang w:val="en-US" w:eastAsia="zh-CN" w:bidi="ar"/>
              </w:rPr>
              <w:t xml:space="preserve">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，柜体板材厚度</w:t>
            </w:r>
            <w:r>
              <w:rPr>
                <w:rFonts w:hint="eastAsia" w:ascii="宋体" w:hAnsi="宋体" w:eastAsia="宋体" w:cs="宋体"/>
                <w:i w:val="0"/>
                <w:color w:val="000000"/>
                <w:sz w:val="21"/>
                <w:szCs w:val="21"/>
                <w:highlight w:val="none"/>
                <w:u w:val="none"/>
                <w:lang w:val="en-US" w:eastAsia="zh-CN" w:bidi="ar"/>
              </w:rPr>
              <w:t xml:space="preserve">约</w:t>
            </w:r>
            <w:r>
              <w:rPr>
                <w:rFonts w:hint="eastAsia" w:ascii="宋体" w:hAnsi="宋体" w:eastAsia="宋体" w:cs="宋体"/>
                <w:i w:val="0"/>
                <w:color w:val="000000"/>
                <w:sz w:val="21"/>
                <w:szCs w:val="21"/>
                <w:highlight w:val="none"/>
                <w:u w:val="none"/>
                <w:lang w:val="en-US" w:eastAsia="zh-CN" w:bidi="ar"/>
              </w:rPr>
              <w:t xml:space="preserve">18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长期使用不变形，不鼓包。封边条采用优质同色PVC封边条。封边条使用无铅、汞、镉三大重金属的高成份PVC粉做为原料来生产封边条，弹性好，耐撞击，达到国标环保要求；使用助剂及色粉，达到长期使用不变黄；使用水性油墨印刷，纹理清晰，抗紫外线达4-5级；热熔胶：采用优质环保热熔胶，符合GB18583-2008《室内装饰装修材料胶黏剂中有害物质限量》，GB33372-2020《胶粘剂挥发性有机化合物限量》，游离甲醛≤1.0g/kg，苯≤0.20g/kg，甲苯+二甲苯≤10g/kg，总挥发性有机物≤110g/L。</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rPr>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交换机机柜</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尺寸≥600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（宽）*600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（深）*1000㎜（高）；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表面处理</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方孔条、安装横梁：热镀锌板；其余：脱脂、硅烷化处理、静电喷塑。</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rPr>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实训室综合布线与布置服务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实训室整体规划符合公共实训基地的建设理念，主题特色鲜明、针对性强，与实训基地整体文化融合；具有专业性、展示性、艺术性，能够激发学生学习兴趣。根据场地布置情况设置，布局合理；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实训室内文化布置</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设备数量结合实训室整体面积对设备合理布局、准确定位，在此基础上对设施、设备进行综合布线（包含（如有）吊顶、静电地板、强弱电设备、线材、插座、其他辅助材料）安装调试直至设备能整体正常运行；确保美观、安全可靠、结构合理，并保证其强度、稳定性、可靠性，达到采购人要求；材料品种、规格、性能符合国家行业有关标准规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桥架或地面走线、设计布置合理，走线规范</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所有材料如桥架、线槽、电源接口电源线、网线、气管等材料必须符合国家质量标准，对易损部分采取特别保护措施；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布线不影响外观，不影响正常的实训，满足设备使用所需；布线、安装调试要求按照国家有关法律规范安全标准进行，确保安全可靠。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项</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rPr>
            </w:r>
            <w:r>
              <w:rPr>
                <w:rFonts w:ascii="宋体" w:hAnsi="宋体" w:cs="宋体"/>
              </w:rPr>
            </w:r>
            <w:r/>
          </w:p>
        </w:tc>
      </w:tr>
      <w:tr>
        <w:trPr>
          <w:trHeight w:val="283"/>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i w:val="0"/>
                <w:color w:val="000000"/>
                <w:sz w:val="21"/>
                <w:szCs w:val="21"/>
                <w:highlight w:val="none"/>
                <w:u w:val="none"/>
                <w:lang w:val="en-US" w:eastAsia="zh-CN" w:bidi="ar"/>
              </w:rPr>
              <w:t xml:space="preserve">企业数智化转型实训中心</w:t>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电子票据技术应用教学云平台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一、功能、技术指标：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1.提供云平台使用服务，只需通过网页登录就可以进行使用，同时支持安装在学校本地服务器，无站点限制。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平台支持教师和学生在手机微信端进行管理操作：1）教师能够在手机微信端创建班级并生成邀请码，然后学生通过手机微信端输入邀请码就可以自己创建学生账号加入班级；2）教师能够通过手机微信端进行作业发布、查看学生成绩分析；3）支持教师每次发布好一份作业后，学生在手机微信端能够实时收到新作业通知；4）手机微信端和电脑端的操作内容能够实时同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平台支持学生在手机微信小程序端进行答题，包括：1）微信小程序端能够支持理论题和实操题答题，其中包括单选题、多选题、判断题题型答题；2）学生交完卷后能够直接在小程序上查看详细成绩分析；3）学生答完题之后可以在小程序上点击重新做题；4）手机小程序和电脑端的操作内容能够实时同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4.平台支持教师针对作业考试发布进行灵活设置，包括：（1）教师发布作业考试时可以设置</w:t>
            </w:r>
            <w:r>
              <w:rPr>
                <w:rFonts w:hint="eastAsia" w:ascii="宋体" w:hAnsi="宋体" w:eastAsia="宋体" w:cs="宋体"/>
                <w:i w:val="0"/>
                <w:color w:val="000000"/>
                <w:sz w:val="21"/>
                <w:szCs w:val="21"/>
                <w:highlight w:val="none"/>
                <w:u w:val="none"/>
                <w:lang w:val="en-US" w:eastAsia="zh-CN" w:bidi="ar"/>
              </w:rPr>
              <w:t xml:space="preserve">一份试卷同时满足多种抽题条件，具体为①设置试卷中不同难度系数题目的分值比重②设置试卷中不同章节或知识点的分值比重③设置试卷中不同题型的数量以及不同题目的分值，题型包含单选题、多选题、判断题、分录题、原始凭证题、记账凭证题、账簿题等。从而平台会根据以上三个条件抽题生成试卷；（2）教师可以将设置好的抽题条件保存成模板，实现下次发布作业时可以选择需要的模板直接按模板里的抽题条件快速智能生成题目；（3）教师能够对抽题生成的试卷进行预览，如果对试卷中某个题目不满意可以针对该题进行重新抽题，从而生成教师满意的试卷题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平台具有试卷组功能，支持教师抽题组卷时设置是否加入试卷组，在试卷组下每一份试卷在进行抽题时题目都不会重复，没有在同一个试卷组则每份试卷如果抽题的范围有重叠则同一个题目有可能会在不同的试卷中出现。同时平台支持教师从课程题库中挑选自己想要的的指定题目组成一份试卷发布给学生进行训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平台支持作业或考试发布，并且教师可以设置是否允许学生提早交卷以及提前交卷时间，可以设置是否允许学生重复做题，同时系统支持最低分数的设置，即老师可以设置学生答题率达到某百分比时本次任务成绩保证能够得到设置好的最低分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平台支持教师能够强制终止某个学生或所有学生正在进行的训练或考试，老师可以一键提交所有学生或个别需要提前终止训练或考试的内容并计算成绩，也可以一键重置所有学生或个别学生误操作提前交卷的情况而恢复其能继续做题且保证已答题数据继续存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平台具有AI助教功能，教师可以设置学生做题时是否可以使用AI助教功能，开放AI助教功能情况下则在学生的做题界面能够同步显示AI助教窗口，AI助教采用对话互动式的交流模式，学生可以直接向AI提出问题并得到详尽的答案解析与咨询服务，同时智能助教须是基于海量文本数据训练的深度学习模型，不仅要能够回答会计相关问题，还能够回答各行各业各种相关问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9.平台提供电子票据整理题，提供各种类型的电子票据库，然后对各种电子票据进行整理分类，从而系统能够自动判别电子票据分类是否正确。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平台提供电子发票开具的仿真业务，并且能够提供稀土电子发票、建筑服务电子发票、旅客运输服务电子发票、货物运输电子发票、不动产销售电子发票、农产品收购电子发票、自产农产品销售电子发票、增值税普通发票、增值税专用发票、数电普通发票、数电专用发票等开具业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11.平台提供电子票据审核题，提供各种类型电子票据，并且根据电子票据情况审查是否有误，有误能够进行修正并提交审核。</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12.平台能够提供会计档案归档情景题，题目流程包含开始、清点文件、档案、档案登记表、结束五个流程，通过构建情景交互模拟完成会计档案归档流程操作。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平台分别预置理论和实操课程内容，支持教师添加修改课程内容，每个章节预置配套课程讲义、课件资源和视频资源，支持教师下载系统预置的课件资源和上传自己的课件资源，同时视频内容要与课件内容相匹配。</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14.平台具有课程进度控制功能，针对课程题库，教师可以根据教学进度需要按章节开放给学生练习。</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15.平台支持学生按课程章节自主练习，同时教师可以设置自主练习为随机模式或非随机模式，随机模式下学生每次进入某个课程章节练习则系统会随机生成一些题目，非随机模式则要练习所有的内容。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16.平台具有试卷导出功能，包括：1）支持教师对抽题组好的试卷进行预览，可以提供纯题目预览或者题目及答案预览两种模式，同时预览时支持将该预览模式下的试卷导出下载为Word文档；2）支持学生交完卷后教师可以将学生的考试试卷进行一键批量下载，每个学生能够单独生成一份PDF文档，下载的PDF文档能够详细记录该试卷内容、学生答题记录以及得分情况等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17.平台针对每一份作业或考试能够提</w:t>
            </w:r>
            <w:r>
              <w:rPr>
                <w:rFonts w:hint="eastAsia" w:ascii="宋体" w:hAnsi="宋体" w:eastAsia="宋体" w:cs="宋体"/>
                <w:i w:val="0"/>
                <w:color w:val="000000"/>
                <w:sz w:val="21"/>
                <w:szCs w:val="21"/>
                <w:highlight w:val="none"/>
                <w:u w:val="none"/>
                <w:lang w:val="en-US" w:eastAsia="zh-CN" w:bidi="ar"/>
              </w:rPr>
              <w:t xml:space="preserve">供详细的精准分析，包括：（1）针对选择题、判断题等能够自动统计每个题目的答题人数、正确人数、正确率，并且系统还会自动统计该题目学生答题的不同答案选项有哪些以及分别对应人数，同时系统能够以列表形式展示该题目已做题的学生情况，包含每个学生的名字、学生答案、得分、答题时间以及可以点击详情查看这个学生的具体做题试卷情况。（2）针对每个单据业务题进行精准化分析，能够统计单据中每个需要填写的空格的答题正确率，鼠标移动到每个空格能够统计学生的错误答案有哪几种以及正确答案是什么，同时还能统计显示本题业务平均得分、及格率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18.平台能够提供学生根据课程章节练习的统计分析，包含学生每个章节做题情况的统计图，支持查看不少于二级的统计分析（比如按章和按节），统计图能够包含学生的做题次数、总分、合格分、最终得分等信息。同时能够统计每个章节的练习人次、练习次数、平均分析、正确率以及具体每个学生答题情况。能够将结果导出为Excel格式文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19.在多个班级学生做同一份作业或考试时，教师可以按所有学生查看成绩分析，也可以按每个班级单独查看成绩分析，并且支持成绩导出Excel。</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20.平台支持教师发布好一份作业或考试后，能够在教师端针对这份作业或考试进行模拟做题，进入模拟做题即模拟学生的做题界面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二、预置训练内容指标：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平台预置电子票据课程理论和实操内容：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项目一 电子票据概述：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（1）电子票据的理论基础</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项目二 电子票据的认知与分类：</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（1）电子票据的基本信息和要素</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（2）电子票据的分类与特点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项目三 电子票据的开具与填写</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（1）电子发票的开具与填写</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（2）电子银行指令申请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（3）企业内部电子票据的填写</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项目四 电子票据的审核与整理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（1）电子票据的审核</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（2）电子票据的业务分类</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项目五 会计档案的归档与保管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（1）会计档案的归档要求与流程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（2）会计档案的保管</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管理会计理实一体化教学云平台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一、功能、技术指标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提供云平台使用服务，只需通过网页登录就可以进行使用，同时支持安装在学校本地服务器，无站点限制。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平台支持教师和学生在手机微信端进行管理操作：1）教师能够在手机微信端创建班级并生成邀请码，然后学生通过手机微信端输入邀请码就可以自己创建学生账号加入班级；2）教师能够通过手机微信端进行作业发布、查看学生成绩分析；3）支持教师每次发布好一份作业后，学生在手机微信端能够实时收到新作业通知；4）手机微信端和电脑端的操作内容能够实时同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平台支持学生在手机微信小程序端进行答题，包括：1）微信小程序端能够支持单选题、多选题、判断题、案例题等题型答题；2）学生交完卷后能够直接在小程序上查看详细成绩分析；3）学生答完题之后可以在小程序上点击重新做题；4）手机小程序和电脑端的操作内容能够实时同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4.平台支持教师将理论题目和综合案例题组合成一份试卷，支持教师针对作业考试发布进行灵活设置，包括：（1）教师发</w:t>
            </w:r>
            <w:r>
              <w:rPr>
                <w:rFonts w:hint="eastAsia" w:ascii="宋体" w:hAnsi="宋体" w:eastAsia="宋体" w:cs="宋体"/>
                <w:i w:val="0"/>
                <w:color w:val="000000"/>
                <w:sz w:val="21"/>
                <w:szCs w:val="21"/>
                <w:highlight w:val="none"/>
                <w:u w:val="none"/>
                <w:lang w:val="en-US" w:eastAsia="zh-CN" w:bidi="ar"/>
              </w:rPr>
              <w:t xml:space="preserve">布作业考试时可以设置一份试卷同时满足多种抽题条件，具体为①设置试卷中不同难度系数题目的分值比重②设置试卷中不同章节或知识点的分值比重③设置试卷中不同题型的数量以及不同题目的分值，题型包含单选题、多选题、判断题、计算题、案例分析题等。从而平台会根据以上三个条件抽题生成试卷；（2）教师可以将设置好的抽题条件保存成模板，实现下次发布作业时可以选择需要的模板直接按模板里的抽题条件快速智能生成题目；（3）教师能够对抽题生成的试卷进行预览，如果对试卷中某个题目不满意可以针对该题进行重新抽题，从而生成教师满意的试卷题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平台具有试卷组功能，支持教师抽题组卷时设置是否加入试卷组，在试卷组下每一份试卷在进行抽题时题目都不会重复，没有在同一个试卷组则每份试卷如果抽题的范围有重叠则同一个题目有可能会在不同的试卷中出现。同时平台支持教师从课程题库中挑选自己想要的的指定题目组成一份试卷发布给学生进行训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平台具有智能助教功能，教师可以设置学生做题时是否可以使用智能助教功能，开放智能助教功能情况下则在学生的做题界面能够同步显示智能助教窗口，智能助教采用AI对话互动式的交流模式，学生可以直接向AI提出问题并得到详尽的答案解析与咨询服务，同时智能助教须是基于海量文本数据训练的深度学习模型，不仅要能够回答会计相关问题，还能够回答各行各业各种相关问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▲7.平台提供常见的管理会计分析决策工具，如：产品生命周期（PLC工具）、营运矩阵模型（Operation </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atrix）、经济增加模型（EVA工具）、波士顿矩阵模型（BCG工具）、平衡计分卡模型（BSC工具）、波特五力模型（FF</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工具）、态势分析模型（SWOT工具）、价值链分析（VCA工具）、金融计算器、宏观环境分析（PEST工具）、风险矩阵模型（Risk </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atrix）、关键绩效指标KPI、安全边际测试工具等。实现管理会计工作的真实情景化。并且每一个管理会计分析决策工具有对应配套操作视频，方便教师用于教学。</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8.学生可直接调用系统预置的管理会计分析决策工具开展案例分析，只需在工具内完成对应参数设置，即可自动生成分析报告，以经济增加值模型（EVA工具）为例，首先学生在使用EVA工具前，可</w:t>
            </w:r>
            <w:r>
              <w:rPr>
                <w:rFonts w:hint="eastAsia" w:ascii="宋体" w:hAnsi="宋体" w:eastAsia="宋体" w:cs="宋体"/>
                <w:i w:val="0"/>
                <w:color w:val="000000"/>
                <w:sz w:val="21"/>
                <w:szCs w:val="21"/>
                <w:highlight w:val="none"/>
                <w:u w:val="none"/>
                <w:lang w:val="en-US" w:eastAsia="zh-CN" w:bidi="ar"/>
              </w:rPr>
              <w:t xml:space="preserve">先观看专属操作指导视频，熟悉工具功能后再进行实操，工具操作具体分为四步：第一步，进入计算税后净营业利润模块，设置公司名称、分析年份起止、企业所得税税率、金额单位、每年的近利润值、每年利息支出值、每年研究开发费用值、每年非经常性收益值、每年税后经营业利润值等参数；第二步，进入计算调整后资本成本模块，设置各个年份的所有者权益总额、负责总额、无息负责总额、在建工程等参数；第三步，进入计算加权平均资本成本模块，设置短期负债总额、长期负债总额等参数；第四步，进入生成报告模块，会根据前面三步设置的数值自动生成分析报告。</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9.平台支持学生按课程章节自主练习，同时教师可以设置自主练习为随机模式或非随机模式，随机模式下学生每次进入某个课程章节练习则系统会随机生成一些题目，非随机模式则要练习所有的内容。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平台支持作业或考试发布，并且教师可以设置是否允许学生提早交卷以及提前交卷时间，可以设置是否允许学生重复做题，同时系统支持最低分数的设置，即老师可以设置学生答题率达到某百分比时本次任务成绩保证能够得到设置好的最低分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平台支持教师能够强制终止某个学生或所有学生正在进行的训练或考试，老师可以一键提交所有学生或个别需要提前终止训练或考试的内容并计算成绩，也可以一键重置所有学生或个别学生误操作提前交卷的情况而恢复其能继续做题且保证已答题数据继续存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平台支持试卷下载，包括：（1）支持教师对抽题组好的试卷进行预览，可以提供题目预览或者带答案预览两种模式，同时预览时支持将该预览模式下的试卷导出下载为Word文档。（2）学生答题交完卷后教师可以将学生的考试试卷进行一键批量下载，每个学生能够单独生成一份PDF文档，下载的PDF文档能够详细记录该试卷内容、学生答题记录以及得分情况等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平台能够提供学生根据课程章节练习的统计分析，包含学生每个章节做题情况的统计图，支持查看不少于二级的统计分析（比如按章和按节），统计图能够包含学生的做题次数、总分、合格分、最终得分等信息。同时能够统计每个章节的练习人次、练习次数、平均分析、正确率以及具体每个学生答题情况。能够将结果导出为Excel格式文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平台针对每一份作业或考试能够提供详细的精准分析：针对选择题、判断题等能够自动统计每个题目的答题人数、正确人数、正确率，并且系统还会自动统计该题目学生答题的不同答案选项有哪些以及分别对应人数，同时系统能够以列表形式展示该题目已做题的学生情况，包含每个学生的名字、学生答案、得分、答题时间以及可以点击详情查看这个学生的具体做题试卷情况。</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15.在多个班级学生做同一份作业或考试时，教师可以按所有学生查看成绩分析，也可以按每个班级单独查看成绩分析，并且支持成绩导出Excel。</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二、预置内容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产品中所包含的案例以真实企业为蓝本，以《财政部关于全面推进管理会计体系建设的指导意见》、《管理会计基本指引》、《管理会计应用指引》为框架进行编制，训练内容包含十大模块分别是：1）管理会计基本指引。2）成本管理。3）战略管理.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预算管理。5）营运管理。6）投融资管理。7）绩效管理。8）风险管理。9）企业管理会计报告。10）管理会计信息系统。12）综合案例。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每个实训模块采用先讲后练的形式进行教学和学习，首先通过“知识点解析”让学生熟悉和理解知识点的背景、基本工具运用，再通过理论测试和案例实训帮助学生从理论和实践两方面掌握和巩固知识点的应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3.应用指引：说明相关知识点根据管理会计应用指引具体哪块内容进行编写，让学生了解应用指引对应的内容。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4.知识点解析：预置配套教学课件资源以及说明相关知识点的概念，适用的环境，可使用的工具及模板操作。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5.理论测试：每个知识点的会提供大量的各种题型对整个模块知识点进行综合测试巩固。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6.计算训练：每个知识点都会提供多个小案例训练，通过小案例先进行知识点的学习应用。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案例实训：每个知识点都提供1-10个真实的企业综合案例，提供不少于120个案例。学生在实践学习过程中可以灵活调用各种工具、模板、图表对案例进行分析和解读，从而帮助学生掌握主流的管理会计工具，提高在真实企业管理场景中运用管理会计知识进行决策与分析的能力。</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8.综合案例：平台提供4家企业的综合案例分析，每家企业将管理会计课程中的知识点串联起来，培养学生利用管理会计知识综合分析企业的能力。</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三、业财融合：</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平台嵌入基于超级账本区块链技术的业财融合实战模块，提供不少于12个月在线使用服务。该模块打造企业经营实战平台，展现共识机制、智能合约等技术要素在业财税实战中的重要作用。例如采购流程，利用区块链去中心化、可追溯、不可篡改等特性，下放业务权限至部门，实现多部门同时审批，减少逐级审批，确保业务信息真实可靠。通过展示区块链技术在企业经营中的应用及对管理模式的改变，助力同学们掌握业财融合知识，体会其影响与重要意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2.业财融合实战模块基于联盟链开发，学生在企业经营之前需要进行联盟链创建，具体包含内容如下：联盟链创建过程支持学生在线编辑区块链配置文件configtx.ya</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l及命令行、企业通道创建等；经营之前学生需要进行各个业务channel通道安装，同时支持教师设置是否允许学生进行共识规则设置，若允许，学生需要选择该业务后续经营时共识发起方是谁，同时需要选择共识确认方有哪些角色；明确各节点需要参与共识的具体细项；设置各细项业务依据的判断条件以及是否允许发起特殊共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业财融合实战模块中企业相关业务信息的处理采用全共识机制来完成处理，每一笔业务的发起都要经过相关背书节点的背书同意才可以进行。发起组织将希望达成共识的信息发送给各个组织，请求各组织中的背书节点进行背书； 各背书接点接收请求后将各自认可的信息写入临时账本并调用链码执行背书策略，若该信息与各节点写入临时账本的信息一致则背书成功，背书成功后，由Orderer节点排序打包并写入账本。</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业财融合实战模块具有全面预算功能，包含：销售预算、生产预算、直接材料预算、直接人工预算、费用预算、生产线购置预算、研发项目预算和现金预算等，企业在经营过程中要以全面预算作为指导，当执行经营决策数据超出预算时，那么在进行各节点共识确认时会共识不通过，如果一定需要通过该业务决策，则需要手动发起特殊共识，由总裁办加入进行共识确认。</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管理会计综合案例教学云平台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一、功能、技术指标：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1.提供云平台使用服务，只需通过网页登录就可以进行使用，同时支持安装在学校本地服务器，无站点限制。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平台支持教师和学生在手机微信端进行管理操作：1）教师能够在手机微信端创建班级并生成邀请码，然后学生通过手机微信端输入邀请码就可以自己创建学生账号加入班级；2）教师能够通过手机微信端进行作业发布、查看学生成绩分析；3）支持教师每次发布好一份作业后，学生在手机微信端能够实时收到新作业通知；4）手机微信端和电脑端的操作内容能够实时同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系统支持学生在微信小程序端进行答题。学生交完卷后能够直接在小程序上查看详细成绩分析，能够进行答案对比并且查看正确答案；学生答完题之后可以在小程序上点击重新做题。手机小程序和电脑端的操作内容能够实时同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教师发布作业或开始时，系统能够提供多维度的抽题规则，教师可以根据考试需要设置一份试卷同时满足以下几个条件：（1）设置试卷不同章节或知识点的分值比重（2）设置试卷不同难度系数题目的分值比重（3）设置试卷不同题型的数量以及不同题目的分值。同时可以将设置好的抽题条件保存成模板，下次发布任务时直接调用模板就可以按模板里的抽题条件快速智能生成题目。并且教师能够对抽题生成的试卷进行预览，如果对试卷中某个题目不满意可以针对该题进行重新抽题，从而生成教师满意的试卷题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平台具有试卷组功能，支持教师抽题组卷时设置是否加入试卷组，在试卷组下每一份试卷在进行抽题时题目都不会重复，没有在同一个试卷组则每份试卷如果抽题的范围有重叠则同一个题目有可能会在不同的试卷中出现。同时平台支持教师从课程题库中挑选自己想要的的指定题目组成一份试卷发布给学生进行训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系统支持作业或考试发布，并且教师可以设置是否允许学生提早交卷以及提前交卷时间，可以设置是否允许学生重复做题，同时系统支持最低分数的设置，即教师可以设置学生答题率达到某百分比时本次任务成绩保证能够得到设置好的最低分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7.平台提供管理会计决策工具，包含：产品生命周期（PLC工具）、营运矩阵模型（Operation </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atrix）、经济增加模型（EVA工具）、波士顿矩阵模型（BCG工具）、平衡计分卡模型（BSC工具）、波特五力模型（FF</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工具）、态势分析模型（SWOT工具）、价值链分析（VCA工具）、金融计算器、宏观环境分析（PEST工具）、风险矩阵模型（Risk </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atrix）、关键绩效指标KPI、安全边际测试工具等。并且每一个管理会计分析决策工具有对应配套操作视频，方便教师用于教学。</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学生能够直接调用系统预置好的管理会计分析决策工具来进行案例分析，并且只要在工具中设置好对应的参数，那么就能够直接生成报告。例如经济增加模型（EVA工具）：学生第一步在计算税后经营业利润中设置好公司名称、分析起始年费、金额单位、每年的近利润值、利息支出值、研究开发费用值、非经常性收益值、税后经营业利润值，第二步在计算调整后资本成本中设置好各个年份的指标数值，第三步在计算加权平均资本成本中设置好各个年份的指标数值，那么最后系统就会自动生成分析报告。</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平台能够针对每个业务进行精准化分析，能够统计每个案例分析报告中每个需要填写的空格的答题正确率，同时鼠标移动到每个空格能够统计学生的错误答案有哪几种以及正确答案是什么，同时还能统计显示本题业务平均得分、及格率等。从而了解学生整体掌握情况，以便教师进行指导。</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系统能够提供学生根据课程章节练习的统计分析，包含学生每个章节做题情况的统计图，支持查看不少于二级的统计分析（比如按章和按节），统计图能够包含学生的做题次数、总分、合格分、最终得分等信息。同时能够统计每个章节的练习人次、练习次数、平均分析、正确率以及具体每个学生答题情况。能够将结果导出为Excel格式文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11.在多个行政班级做同一份作业或考试时，教师可以按所有学生查看成绩分析，也可以按每个行政班级单独查看成绩分析，并且支持成绩导出Excel。</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系统教支持教师能够强制终止某个学生或所有学生正在进行的训练或考试，老师可以一键提交所有学生或个别需要提前终止训练或考试的内容并计算成绩，也可以一键重置所有学生或个别学生误操作提前交卷的情况而恢复其能继续做题且保证已答题数据继续存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13.系统每个模块提供对应的知识点解析课件资源，支持教师下载系统预置的课件资源，同时也支持教师上传自己的课件资源。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14.系统中每个模块在具体实训案例之前有配套对应的示范案例，帮助学生实训前建立案例分析思维。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15.平台内容以《管理会计基本指引》中的《企业管理会计报告》进行编制，每个案例能够提供完整分析报告范本模板，然后采用填空、选择等填充式的方式进行练习，学生只需要填写报告中的关键数据以及结论判断等，通过这种填充式形式让学生掌握阅读、提炼、分析企业财务数据和非财数据并撰写分析报告的能力。</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二、预置内容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平台提供的内容适用新收入准则及新金融工具准则，同时更新至2024年12月31日为止的最新税收相关政策。产品中所包含的案例以真实企业为蓝本，以《财政部关于全面推进管理会计体系建设的指导意见》、《管理会计基本指引》、《管理会计应用指引》为框架进行编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平台包含十大模块内容，分别是：财务会计报表阅读报告、财务会计报表分析报告、成本项目管理分析报告、内部控制评价分析报告、纳税管理分析报告、风险控制分析报告、企业绩效评价分析报告、投融资管理分析报告、营运管理分析报告、预算管理分析报告；每个分析报告模块是独立的，每个案例能够提供完整分析报告范本模板，然后采用填空、选择等填充式的方式进行练习，学生只需要填写报告中的关键数据以及结论判断等，通过这种填充式形式让学生掌握阅读、提炼、分析企业财务数据和非财数据并撰写分析报告的能力。</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财务会计报表阅读报告包括企业财务会计报表和政府会计报表阅读。企业财务会计报表阅读包含对资产负债表、利润表、现金流量表、其他会计报表和会计报表附注的阅读分析。系统需包含一家上市股份公司、三家中小型制造企业和一家事业单位的财务会计报表案例资料，案例资料是在收集真实的企事业单位财务会计报表资料的基础上整理，分别供学生进行当期会计报表、前后期会计报表、企业财务会计报表及其附注、事业单位会计报表的阅读及报告编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财务会计报表分析报告的主要内容有：偿债能力、营运能力、盈利能力、发展能力和现金流量能力的分析，以企业常用财务会计报表分析指标体系作为训练案例的设计依据。系统设计了四家规模不同的制造业企业财务会计报表案例，案例资料是在收集真实的企业财务会计报表资料的基础上整理形成的，所提供案例资料的专业深度或难度逐步加大。</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5.成本项目</w:t>
            </w:r>
            <w:r>
              <w:rPr>
                <w:rFonts w:hint="eastAsia" w:ascii="宋体" w:hAnsi="宋体" w:eastAsia="宋体" w:cs="宋体"/>
                <w:i w:val="0"/>
                <w:color w:val="000000"/>
                <w:sz w:val="21"/>
                <w:szCs w:val="21"/>
                <w:highlight w:val="none"/>
                <w:u w:val="none"/>
                <w:lang w:val="en-US" w:eastAsia="zh-CN" w:bidi="ar"/>
              </w:rPr>
              <w:t xml:space="preserve">管理分析报告实训内容由成本项目管理概述、材料管理分析、薪酬管理分析、制造费用管理分析、产品成本管理分析、标准成本法管理分析、变动成本法管理分析七个项目内容组成，通过案例资料和有关管理分析报告文本格式，提示、引导学生对案例资料进行认知、解读、判断、分析、归纳，并撰写出规范、准确、科学的变动成本管理分析报告。系统通过对三家不同行业制造业企业的成本管理进行分析，引导学生分析、撰写采购分析报告、材料耗用分析报告、人工成本分析报告、制造费用分析报告、产品成本管理分析报告、标准成本管理分析报告、变动成本管理分析报告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内部控制评价分析报告对企业内部资金活动、重要资产、采购、销售、成本费用、担保等六个方面的控制活动进行评价分析。设计了中小企业五种具体业务的内部控制案例资料和评价底稿，案例资料和评价底稿在中小企业真实的相关资料的基础上整理而成。系统中包含三家中小型制造企业及一家房地产企业案例资料。</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工作台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工作台要求采用钢木结构，主体采用优质冷轧钢板，台体拐角采用圆弧设计，防止碰伤。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工作台带键盘锁，带笔记本用电源插座面板。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工作台材料：主体采用1.5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冷轧钢板，其它部分采用1.2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冷轧钢板。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工作台尺寸：关闭时，长宽高约（1000×700×1000）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件</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rPr>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实训桌椅</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实训桌尺寸：约1000×600×750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，台面板材厚度</w:t>
            </w:r>
            <w:r>
              <w:rPr>
                <w:rFonts w:hint="eastAsia" w:ascii="宋体" w:hAnsi="宋体" w:eastAsia="宋体" w:cs="宋体"/>
                <w:color w:val="000000"/>
                <w:highlight w:val="none"/>
                <w:lang w:val="en-US" w:eastAsia="zh-CN"/>
              </w:rPr>
              <w:t xml:space="preserve">≥</w:t>
            </w:r>
            <w:r>
              <w:rPr>
                <w:rFonts w:hint="eastAsia" w:ascii="宋体" w:hAnsi="宋体" w:eastAsia="宋体" w:cs="宋体"/>
                <w:i w:val="0"/>
                <w:color w:val="000000"/>
                <w:sz w:val="21"/>
                <w:szCs w:val="21"/>
                <w:highlight w:val="none"/>
                <w:u w:val="none"/>
                <w:lang w:val="en-US" w:eastAsia="zh-CN" w:bidi="ar"/>
              </w:rPr>
              <w:t xml:space="preserve">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，桌面采用三聚氰胺浸渍纸饰面，耐磨、不褪色；基材采用实木颗粒刨花板，甲醛释放量符合GB/T 39600-2021《人造板及其制品甲醛释放量分级》，GB18580-2017《室内装饰装修材料人造板及其制品中甲醛释放限量》，甲醛释放量≤0.025</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g/</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³。桌面板材厚度</w:t>
            </w:r>
            <w:r>
              <w:rPr>
                <w:rFonts w:hint="eastAsia" w:ascii="宋体" w:hAnsi="宋体" w:eastAsia="宋体" w:cs="宋体"/>
                <w:color w:val="000000"/>
                <w:highlight w:val="none"/>
                <w:lang w:val="en-US" w:eastAsia="zh-CN"/>
              </w:rPr>
              <w:t xml:space="preserve">≥</w:t>
            </w:r>
            <w:r>
              <w:rPr>
                <w:rFonts w:hint="eastAsia" w:ascii="宋体" w:hAnsi="宋体" w:eastAsia="宋体" w:cs="宋体"/>
                <w:i w:val="0"/>
                <w:color w:val="000000"/>
                <w:sz w:val="21"/>
                <w:szCs w:val="21"/>
                <w:highlight w:val="none"/>
                <w:u w:val="none"/>
                <w:lang w:val="en-US" w:eastAsia="zh-CN" w:bidi="ar"/>
              </w:rPr>
              <w:t xml:space="preserve">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，长期使用不变</w:t>
            </w:r>
            <w:r>
              <w:rPr>
                <w:rFonts w:hint="eastAsia" w:ascii="宋体" w:hAnsi="宋体" w:eastAsia="宋体" w:cs="宋体"/>
                <w:i w:val="0"/>
                <w:color w:val="000000"/>
                <w:sz w:val="21"/>
                <w:szCs w:val="21"/>
                <w:highlight w:val="none"/>
                <w:u w:val="none"/>
                <w:lang w:val="en-US" w:eastAsia="zh-CN" w:bidi="ar"/>
              </w:rPr>
              <w:t xml:space="preserve">形，不鼓包。封边条采用优质同色PVC封边条。封边条使用无铅、汞、镉三大重金属的高成份PVC粉做为原料来生产封边条，弹性好，耐撞击，达到国标环保要求；使用助剂及色粉，达到长期使用不变黄；使用水性油墨印刷，纹理清晰，抗紫外线达4-5级；热熔胶：采用优质环保热熔胶，符合GB18583-2008《室内装饰装修材料胶黏剂中有害物质限量》，GB33372-2020《胶粘剂挥发性有机化合物限量》，游离甲醛≤1.0g/kg，苯≤0.20g/kg，甲苯+二甲苯≤10g/kg，总挥发性有机物≤110g/L。钢架采用厚度≥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优质镀锌钢管经激光焊工艺整体焊接成型，确保钢架牢固度高、稳定性强。钢脚与地面接触部位安装有ABS塑料调整脚垫。钢架表面焊接平整、无虚焊、无明显焊疤、焊接处打磨光滑。钢架表面先经过除油、除锈、磷化处理后，再进行表面的静电喷塑，确保钢架表面光滑、无流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实训椅：椅面采用ABS耐冲击塑料一级新料一体射出成型，无毒、无味、强度高，耐冲击强度须能承受5磅榔头重力锤击不得破裂；耐老化性能≥500小时；外观颜色变色评级≥3级；不得采用回收料生产。椅背采用人体工效学原理设计。钢架采用优质高频焊管，焊接采用激光焊接工艺整体焊接成型。钢架表面经抛丸工艺预处理后再做表面的静电粉末喷涂，确保钢架表面光滑、无流痕。</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rPr>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工作椅</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面材采用优质网布。座垫海绵采用高密度定型海绵，透气性好。软硬度适中。黑色尼龙玻纤椅身参照人类体态制成，提供适当的承托力，减轻部分过重的压力负荷，从而促进血液循环，松弛身心。扶手采用PP连体固定扶手。椅脚钢架采用φ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圆管，厚度约1.8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的黑色弓形架。</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rPr>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7</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功放音箱设备</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铝合金面板，液晶显示屏，内置数字DSP效果器，可通过屏幕菜单进行卡拉OK效果、话筒EQ、音乐EQ进行调节，出厂内置多种效果模式供选择，含双U段充电金属话筒2只</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支持光纤、同轴、蓝牙、USB、AUX输入，支持语音点歌，卡拉OK评分功能，额定功率150W，双声道前置功放。含2只10寸二分频3单元低频反射式卡拉OK音箱，3寸高音单元2个，频宽：500-18khz，10寸低音单元音圈1个：35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 磁钢：100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双磁，频宽：70-8000KHZ，松压盆。额定输入功率（连续、音乐信号、峰值）：≥200W、≥400W、≥500W；频率响应（±3db）70-18Hz</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灵敏度（1W@1</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）92dB</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覆盖角度≥120°×90°（H×V）输出最大声压98dB peak。</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8</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交换机机柜</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尺寸≥600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（宽）*600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（深）*1000㎜（高）；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表面处理</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方孔条、安装横梁：热镀锌板；其余：脱脂、硅烷化处理、静电喷塑。</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rPr>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9</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实训室综合布线与布置服务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实训室整体规划符合公共实训基地的建设理念，主题特色鲜明、针对性强，与实训基地整体文化融合；具有专业性、展示性、艺术性，能够激发学生学习兴趣。根据场地布置情况设置，布局合理；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实训室内文化布置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设备数量结合实训室整体面积对设备合理布局、准确定位，在此基础上对设施、设备进行综合布线（包含（如有）吊顶、静电地板、强弱电设备、线材、插座、其他辅助材料）安装调试直至设备能整体正常运行；确保美观、安全可靠、结构合理，并保证其强度、稳定性、可靠性，达到采购人要求；材料品种、规格、性能符合国家行业有关标准规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桥架或地面走线、设计布置合理，走线规范</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所有材料如桥架、线槽、电源接口电源线、网线、气管等材料必须符合国家质量标准，对易损部分采取特别保护措施；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布线不影响外观，不影响正常的实训，满足设备使用所需；布线、安装调试要求按照国家有关法律规范安全标准进行，确保安全可靠。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项</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rPr>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数智企业经营管理沙盘软件系统</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numPr>
                <w:ilvl w:val="0"/>
                <w:numId w:val="9"/>
              </w:numPr>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功能、技术指标：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1.提供云平台使用服务，只需通过网页登录就可以进行使用，同时支持安装在学校本地服务器，无站点限制。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2.平台提供Python编程环境Jupyter Notebook或Python原生环境，将代码编译环境直接内嵌封装到平台里，学生无需再去单独安装第三方编译器，在学习过程直接通过浏览器使用平台内的Python编程环境进行Python代码的在线编写、调试与运行。</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平台支持教师和学生在手机微信端进行管理操作：1）教师能够在手机微信端创建班级并生成邀请码，然后学生通过手机微信端输入邀请码就可以自己创建学生账号加入班级；2）教师能够通过手机微信端进行作业发布、查看学生成绩分析；3）支持教师每次发布好一份作业后，学生在手机微信端能够实时收到新作业通知；4）手机微信端和电脑端的操作内容能够实时同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平台必须支持学生在手机微信小程序端进行答题，包括：1）微信小程序端能够支持单选题、多选题、判断题、填空题等题型答题；2）学生交完卷后能够直接在小程序上查看作业详细成绩分析；3）学生答完题之后可以在小程序上点击重新做题；4）手机小程序和电脑端的操作内容能够实时同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5.平台支持教师针对作业考试发布进行灵活设置，包括：（1）教师发</w:t>
            </w:r>
            <w:r>
              <w:rPr>
                <w:rFonts w:hint="eastAsia" w:ascii="宋体" w:hAnsi="宋体" w:eastAsia="宋体" w:cs="宋体"/>
                <w:i w:val="0"/>
                <w:color w:val="000000"/>
                <w:sz w:val="21"/>
                <w:szCs w:val="21"/>
                <w:highlight w:val="none"/>
                <w:u w:val="none"/>
                <w:lang w:val="en-US" w:eastAsia="zh-CN" w:bidi="ar"/>
              </w:rPr>
              <w:t xml:space="preserve">布作业考试时可以设置一份试卷同时满足多种抽题条件，具体为①设置试卷中不同难度系数题目的分值比重②设置试卷中不同章节或知识点的分值比重③设置试卷中不同题型的数量以及不同题目的分值，题型包含单选题、多选题、判断题、填空题、代码案例题等。从而平台会根据以上三个条件抽题生成试卷；（2）教师可以将设置好的抽题条件保存成模板，实现下次发布作业时可以选择需要的模板直接按模板里的抽题条件快速智能生成题目；（3）教师能够对抽题生成的试卷进行预览，如果对试卷中某个题目不满意可以针对该题进行重新抽题，从而生成教师满意的试卷题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平台具有试卷组功能，支持教师抽题组卷时设置是否加入试卷组，在试卷组下每一份试卷在进行抽题时题目都不会重复，没有在同一个试卷组则每份试卷如果抽题的范围有重叠则同一个题目有可能会在不同的试卷中出现。同时平台支持教师从课程题库中挑选自己想要的的指定题目组成一份试卷发布给学生进行训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平台支持考试任务发布，并且教师可以设置是否允许学生提前交卷以及提前交卷时间，可以设置学生考试是否IP绑定，同时系统支持最低分数的设置，即老师可以设置学生答题率达到某百分比时本次任务成绩保证能够得到设置好的最低分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平台具有AI助教功能，教师可以设置学生做题时是否可以使用AI助教功能，开放AI助教功能情况下则在学生的做题界面能够同步显示AI助教窗口，AI助教采用对话互动式的交流模式，学生可以直接向AI提出问题并得到详尽的答案解析与咨询服务，同时智能助教须是基于海量文本数据训练的深度学习模型，不仅要能够回答会计相关问题，还能够回答各行各业各种相关问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9.教师具有资源开放权限，教师可以根据教学进度需要去设置指定课程章节是否开放给学生。同时教师能够设置指定的章节知识点的示例代码是开放或不开放。</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平台能够将不同的知识点设置成关卡形式，让学生在游戏化的闯关过程中分模块地学习，同时教师可以设置学生学习是否采用关卡锁定模式，如果选择关卡锁定模式则学生只有完成上一关的学习后才能进入下一关。</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平台中每个关卡知识点配套视频学习/课件学习、课程内容学习、综合练习三个模块层层递进。其中视频学习能够详细讲解该关卡知识点以及常见的语法错误等情况，课程内容学习能够以对话交互形式将该关卡的知识点以及练习串联起来进行播放交互展示，综合练习能够提供将该关卡知识点所有内容都串联起来的的综合性案例供学生进行学习，同时教师可以设置关卡内是否采用模块锁定模式，如果选择模块锁定模式则学生只有先学习完前一模块才能进入下一模块。</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平台中视频学习/课件学习模块界面能够支持视频或教案课件和代码练习在同一个页面展示，能够边看视频或教案课件边进行代码编译练习，不需要切换窗口。学生观看视频没看完下次登入观看时能够自动定位到上次的观看位置开始继续学习。</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13.平台中每个知识点配套课程学习模块。课程学习模块针对知识点精心设计了教师课堂讲解的全套话术，将知识点讲解、客观题、代码编译题等内容融合一起，并以</w:t>
            </w:r>
            <w:r>
              <w:rPr>
                <w:rFonts w:hint="eastAsia" w:ascii="宋体" w:hAnsi="宋体" w:eastAsia="宋体" w:cs="宋体"/>
                <w:i w:val="0"/>
                <w:color w:val="000000"/>
                <w:sz w:val="21"/>
                <w:szCs w:val="21"/>
                <w:highlight w:val="none"/>
                <w:u w:val="none"/>
                <w:lang w:val="en-US" w:eastAsia="zh-CN" w:bidi="ar"/>
              </w:rPr>
              <w:t xml:space="preserve">类似微信对话流的交互式形式呈现内容，生动模拟真实的教师课堂教学场景。学生既能一键开启自动播放功能，让知识讲解按序推进；也可手动点击，在完成一条知识点的学习后，点击“继续”，便能无缝切换至下一条知识点的学习，例如：展示完一条知识点讲解那么点击继续就会显示下一条知识点讲解或者对应练习题目（代码编译题、客观题），练习题目学生做完题提交后就可以点击继续然后展示下一个内容，并且系统能够智能实时判别对错，通过交互式的形式实现轻松教学和学习。学生因事中断学习，下次登录时，系统会精准定位到上次的学习进度，从断点处继续学习。</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平台中综合练习模块界面能够提供任务区和代码编译区两部分，任务区能够对本关卡知识点作总结并给出综合训练任务，代码编译区学生可以根据任务要求直接进行代码编译并运行结果，同时能够直接上传本地Excel文件并在代码编辑模块进行读取，从而对文件数据进行分析，同时对于分析后的结果数据文件也能够支持下载到本地电脑。</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15.平台支持教师发布任务时，将系统预置好的代码编译题设置为是否采用困难模式，困难模式下发布任务后学生进行代码编译题答题时需要完全自己编写代码并运行；非困难模式下学生进行同一个任务同一个代码编译题答题时采用填充式的形式答题，系统会给出代码然后在适当位置需要学生进行代码填写补充然后运行。</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16.平台中每个知识点配套有对应教案，教师可以控制教案是否开放给学生，同时针对系统提供的教案支持教师能够直接在平台上进行编辑包括修改、删除或添加，修改保存后可以发布给学生。</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17.平台支持同一个案例两种实验模式，教师可以根据教学需要设置学生案例实训时采用哪一种模式，</w:t>
            </w:r>
            <w:r>
              <w:rPr>
                <w:rFonts w:hint="eastAsia" w:ascii="宋体" w:hAnsi="宋体" w:eastAsia="宋体" w:cs="宋体"/>
                <w:i w:val="0"/>
                <w:color w:val="000000"/>
                <w:sz w:val="21"/>
                <w:szCs w:val="21"/>
                <w:highlight w:val="none"/>
                <w:u w:val="none"/>
                <w:lang w:val="en-US" w:eastAsia="zh-CN" w:bidi="ar"/>
              </w:rPr>
              <w:t xml:space="preserve">两种模式如下：（1）代码实验模式，该模式下学生需要进行Python代码编写，从而在平台中运行Python代码进行案例分析；（2）大屏模式，该模式下学生不需要编写代码，通过平台中图形可视化托拉拽的功能界面操作进行案例分析，同时大屏模式下能够实现数据源采集、数据清洗、分析图表可视化过程，并且每一个托拉拽操作步骤都会生成并显示对应的python代码，同时会自动生成对应的代码注释，每个操作对应生成的Python的代码会在同个功能操作界面同步显示出来，帮助学生了解每个功能操作对应的代码块是怎样的，并应用于实际工作中。</w:t>
            </w:r>
            <w:r>
              <w:rPr>
                <w:rFonts w:ascii="宋体" w:hAnsi="宋体" w:cs="宋体"/>
              </w:rPr>
            </w:r>
            <w:r/>
          </w:p>
          <w:p>
            <w:pPr>
              <w:pStyle w:val="885"/>
              <w:numPr>
                <w:ilvl w:val="0"/>
                <w:numId w:val="0"/>
              </w:numPr>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18.平台支持通过可视化托拉拽工具进行数据采集和操作，包括：1）读取线上大数据中心中的企业报表数据、国家宏观经济数据、银行利率数据、货币时间价值数据；2）支持学生自行上传本地EXCEL数据表格，Word文件，创建空表格；3）读取数据后支持在当前页面查看数据源数据预览；4）具有“我的EXCEL数据”功能，学生上传的EXCEL数据会归集到“我的EXCEL数据”里，学生下次需要用到已上传的数据可以直接从“我的EXCEL数据”中读取，实现数据复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19.通过图形可视化拖拽的功能操作界面实现数据清洗，支持对数据进行多样化处理，数据清洗至少包含如下工具：筛选行列、pandas基本操作、合并表格</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erge格、拼接表格concat、排序、查询、设置索引、索引操作Index、循环操作loop、设置数据格式、计算/新增列、计算新增行、统计操作、Nu</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Py函数、新增变量、分组统计、透视表pivot、行列转置、修改列明rena</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e、自定义函数等以及财税相关工具折旧/摊销、财务相关finance、计算到期付息债券价格、个税计算器_表格、计提折旧_双倍余额递减法、计提折旧_年数总和法、计算日期相差月数等。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20.平台支持学生能够通过可视化的托拉拽操作工具实现办公自动化的应用，比如荣誉证书的制作：上传一个EXCEL学员成绩统计表和一个Word奖状证书模板，通过可视化托拉拽工具操作就能实现将符合成绩要求的每一个学员根据奖状模板自动生成获奖证书，并且能够批量将生成的所有学员证书进行下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21.可视化智能大屏制作：图形可视化拖拽的功能操作工具自带拖拽生成对应图表，通过选择想要的图表然后下拉选择已存在数据源的列，展示对应的数据，可以设置线条颜色、拖拽变化图表大小、位置，支持一个案例生成多个图表展示数据大屏，选择图表后无须重新运行代码即可根据数据清洗处理的数据结果实时变化图表，并且支持将制作好的大屏下载为图片到本地。同时可视化大屏可以设置背景颜色，能够点击选取需要的颜色或者直接输入十六位进制颜色码；支持输入文本文字，并对文字样式等进行设置，支持插入图片支持png、jpg、gif等常见图片格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22.可视化图表类型包含柱状图、折线图、雷达图、饼图、象形图、漏斗图、线性回归图、中国地图等不少于20种。图表选择后可以设置图表参数，包含标题设置、X轴设置、Y轴设置、数值设置、提示语设置、坐标轴边距设置、图例操作、自定义配色以及拖拽变化图表大小和位置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23.平台支持通过托拉拽可视化的操作工具进行文本分析，能够针对PDF/TXT/WORD等文件的文本数据进行批量分析，比如可以对海量的企业年度报告文本文件进行关键词搜索，系统会统计显示涉及到关键词的文件以及进行相应的分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24.平台具有代码智能审查功能，在平台中的任意代码编译区位置都会有智能助教功能，学生在编译区编写代码运行错误时可以通过点击智能助教来解决问题，学生只要点击智能助教功能，无需复制代码系统能够直接对编译区编写的代码进行智能审查，并且会针对编写错误或者不规范的代码解释说明错误位置、错误原因、应该怎么修正以及显示正确代码。</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25.平台具</w:t>
            </w:r>
            <w:r>
              <w:rPr>
                <w:rFonts w:hint="eastAsia" w:ascii="宋体" w:hAnsi="宋体" w:eastAsia="宋体" w:cs="宋体"/>
                <w:i w:val="0"/>
                <w:color w:val="000000"/>
                <w:sz w:val="21"/>
                <w:szCs w:val="21"/>
                <w:highlight w:val="none"/>
                <w:u w:val="none"/>
                <w:lang w:val="en-US" w:eastAsia="zh-CN" w:bidi="ar"/>
              </w:rPr>
              <w:t xml:space="preserve">有大数据中心，包含：（1）不少于4000家上市公司连续五年的数据，每家公司数据内容涵盖企业基本信息、财务指标、资产负债表、利润表、现金流量表、财务摘要表、业绩预告表等，支持上市公司数据下载。（2）能提供根据股票代码、企业名称、按行业分类进行搜索。（3）每家公司都有提供怎么读取该公司数据的示例代码，从而在案例分析代码实验模式下学生可以直接复制这个示例代码读取所需要的公司数据。（4）在大屏可视化托拉拽实验模式下可以直接选取大数据中心数据，同时大数据中心还需要包含国家宏观经济数据、银行利率、货币时间价值系数数据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26.平台预置丰富的题型资源包含：选择题、判断题、填空题、代码编译题等，同支支持教师新增题目资源，包括：（1）支持教师通过WORD文档批量导入题目，包含单选题、多选题、判断题、判断题、案例题等（2）支持教师新增代码编译题，教师通过平台创建题目说明文件，上传题目所需Excel数据文件，然后在Python代码运行框中输入需要学生编写和运行的代码，同时可以针对判分比例进行设置，那么学生练习时候就可以在代表编译框中编写Python代码并运行，同时系统会根据学生编写代码情况及运行的结果文件进行判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27.平台支持多维度查看学生学习情况，包括：（1）实时查看每个学生视频观看时长、代码运行次数和错误次数以及最后编写的代码情况。（2）针对学生的作业或考试能够自动生成学习报告，学习报告能够记录学生的答题信息、正确答案以及能够详细统计不同题型的总数量、已做数量、正确数量、错误数量以及对应分值等信息，同时支持学生将自己的学习报告下载成PDF文档。</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28.平台能够提供学生根据课程章节练习的统计分析，包含学生每个章节做题情况的统计图，支持查看不少于二级的统计分析（比如按章和按节），统计图能够包含学生的做题次数、总分、合格分、最终得分等信息。同时能够统计每个章节的练习人次、练习次数、平均分析、正确率以及具体每个学生答题情况。能够将成绩导出为Excel格式文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29.平台支持教师查看每个学生的做题详情，同时支持针对每次发布任务的整卷分析从而了解学生整体掌握情况，能够提供详细的精准分析，包括：针对选择题、判断题、多选题、不定项选择题等题型能够统计每道题的正确率、学生不同答案选项及对应学生人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30.平台支持在教师端将所有考完试的学生试卷进行批量下载，每个学生能够单独生成一份PDF文档，下载的PDF文档能够详细记录该试卷内容、学生答题记录以及得分情况等信息。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31.平台具有课程回收站功能，支持教师对预置好的的课程内容进行添加、删除或修改，删除后的内容都会归集到课程回收站中，那么教师就可以根据需要随时进入课程回收站去进行恢复。</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32.教师可以在平台上进行公告发布，可以编辑公告内容然后发布给学生，学生可以查看教师发布的公告通知。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33.学生可以进行考勤签到和签退操作，并且可以查询近7日自己签到签退记录；教师可以查看所有已签到的学生列表，可以进行签到记录导出，并且可以查看每个学生的签到记录详情，详情能够记录该学生所有的签到签退记录以及登入的浏览器指纹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34.平台内容必须以江苏联合职业技术学院校本教材为蓝本编制，要与江苏联合职业技术学院院本课程《会计大数据基础》完全匹配，并有配套的由出版社发行的教材，教材章节目录内容和顺序必须与平台以及招标内容指标保持一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35.平台嵌入ESG分析与报告披露模块。该模块紧密贴合中国《上市公司可持续发展报告指引》要求，助力学生掌握ESG分析报告撰写与投资思维，实现ESG与会计大数据基础的深度融合。</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36.在数据采集阶段，学生利用Python编程技能，从多渠道收集企业ESG 数据。除了常规的财务数据库，还可通过网络爬虫技术获取企业官网的 ESG报告、政府环保部门的企业污染排放数据、社会公益组织公布的企业捐赠信息等非结构化数据。运用大数据技术对这些海量数据进行筛选、清洗和整合，确保数据的准确性和完整性，为后续分析提供坚实基础。</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37.在数据分析环节，学生借助Python的数据分析库，如Pandas、Nu</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Py 和</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atplotlib等，对ESG数据进行深入挖掘。分析企业在环境、社会责任及公司治理方面的投入与成效。例如，通过对企业多年环保投资数据的趋势分析，预测未来环保成本的变化；利用聚类分析研究同行业企业在社会责任履行方面的差异，评估目标企业的相对表现；构建回归模型，探究公司治理结构指标与财务绩效之间的关系，考量ESG因素对财务数据的影响。同时，结合大数据财务分析框架，将ESG数据与传统财务数据相结合，综合评估企业的可持续发展能力。</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38.在模型构建方面，学生运用Python搭建ESG-财务综合评估模型。比如，基于层次分析法（AHP）确定环境、社会责任和公司治理各指标的权重，再利用模糊综合评价法对企业的ESG表现进行量化评价，并将该评价结果融入财务风险评估模型、企业价值评估模型等。通过这些模型，更全面地预测企业未来的财务状况和发展前景，为投资决策提供科学依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39.在报告生成与展示阶段，学生利用Python生成可视化的ESG分析报告。借助数据可视化库如Seaborn、Plotly等，将复杂的ESG数据和分析结果以直观的图表（如柱状图展示不同年份的环保投入对比、折线图呈现企业社会责任得分趋势）、图形（如用树状图展示公司治理结构）形式呈现。同时，在报告中融入文字分析，阐述ESG因素对企业财务数据和长期发展的影响，形成一份既专业又易懂的报告。</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40.ESG分析与报告披露模块还须提供ESG概述、环境社会与公司治理问题、ESG框架和标准、ESG实质性分析、ESG数据收集与管理、ESG报告撰写和披露、ESG监管与尽责管理以及ESG整合投资等知识模块，通过各模块的学习，帮助学生掌握ESG分析报告撰写技巧，形成基于ESG的投资思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41.ESG分析与报告披露模块内的每个知识模块均配备教学课件、智能课程教学以及课后练习等内容，其中智能课程教学模块针对ESG各知识点精心设计了教师课堂讲解的全套话术，它以类似微信对话流的交互式形式呈现内容，生动模拟真实的教师课堂教学场景。学生既能一键开启自动播放功能，让知识讲解按序推进；也可手动点击，在完成一条知识点的学习后，点击“继续”，便能无缝切换至下一条知识点的学习。学生因事中断学习，下次登录时，系统会精准定位到上次的学习进度，从断点处继续学习。</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42.ESG分析与报告披露模块提供ESG教学案例设计模板，含课程思政元素融合指南及跨学科教学方案。提供提供真实企业ESG报告，供学校进行科研及教学需要，案例库包含100家A股上市公司ESG数据。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43.平台嵌入基于超级账本区块链技术的业财融合虚拟仿真实验模块，提供不少于12个月在线使用服务。该模块打造企业经营实战平台，展现共识机制、智能合约等技术要素在业财税实战中的重要作用。例如采购流程，利用区块链去中心化、可追溯、不可篡改等特性，下放业务权限至部门，实现多部门同时审批，减少逐级审批，确保业务信息真实可靠。通过展示区块链技术在企业经营中的应用及对管理模式的改变，助力同学们掌握业财融合知识，体会其影响与重要意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44.业财融合虚拟仿真实验模块基于联盟链开发，学生在企业经营之前需要进行联盟链创建，具体包含内容如下：（1）联盟链创建过程支持学生在线编辑区块链配置文件configtx.ya</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l及命令行、企业通道创建等，从而保证后续企业经营的数据实时上链，同时让学生了解联盟链的原理。（2）经营之前学生需要进行各个业务channel通道安装，同时支持学生查看内部联盟链当前情况，可以看到目前内部联盟链运行情况，包含已开通通道channel、每个通道加入的peer节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45.业财融合虚拟仿真实验模块学生在企业经营之前需要先进行各种业务智能合约安装部署，同时支持学生对智能合约进行编辑修改然后将智能合约安装部署到企业经营的通道中，从而在企业经营过程系统根据智能合约进行各节点共识确认。如果共识不通过需发起特殊共识由总裁办进行手动确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46.业财融合虚拟仿真实验模块中企业相关业务信息的处理采用全共识机制来完成处理，每一笔业务的发起都要经过相关背书节点的背书同意才可以进行。发起组织将希望达成共识的信息发送给各个组织，请求各组织中的背书节点进行背书；各背书接点接收请求后将各自认可的信息写入临时账本并调用链码执行背书策略，若该信息与各节点写入临时账本的信息一致则背书成功，背书成功后，由Orderer节点排序打包并写入账本。</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47.业财融合虚拟仿真实验模块支持教师设置是否允许学生进行共识规则设置，允许学生进行规则设置时每组学生</w:t>
            </w:r>
            <w:r>
              <w:rPr>
                <w:rFonts w:hint="eastAsia" w:ascii="宋体" w:hAnsi="宋体" w:eastAsia="宋体" w:cs="宋体"/>
                <w:i w:val="0"/>
                <w:color w:val="000000"/>
                <w:sz w:val="21"/>
                <w:szCs w:val="21"/>
                <w:highlight w:val="none"/>
                <w:u w:val="none"/>
                <w:lang w:val="en-US" w:eastAsia="zh-CN" w:bidi="ar"/>
              </w:rPr>
              <w:t xml:space="preserve">在经营之前需要对每个大类业务（比如采购业务）进行共识规则设置，包括：（1）选择共识节点：需要选择该业务后续经营时共识发起方是谁，同时需要选择共识确认方有哪些角色；（2）设置共识内容：设置每个节点分别需要参与共识的具体细项业务内容有哪些；（3）设置规则：设置每个节点每个细项业务依据的判断规则是哪些，判定的条件是大于小于或等于，以及是否允许发起特殊共识，如果允许特殊共识即业务经营过程如果共识不通过则可以发起特殊共识并由总裁办进行特殊审批。共识规则设置好，学生在后续经营涉及到需要共识确认的内容时基于上述规则执行。</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48.业财融合虚拟仿真实验模块具有全面预算功能，包含：销售预算、生产预算、直接材料预算、直接人工预算、费用预算、生产线购置预算、研发项目预算和现金预算等，企业在经营过程中要以全面预算作为指导，当经营数据超出预算时，那么在进行各节点共识确认时会共识不通过，从而需要手动发起特殊共识，由总裁办加入进行共识确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49.业财融合虚拟仿真实验模块中账务处理部分根据每</w:t>
            </w:r>
            <w:r>
              <w:rPr>
                <w:rFonts w:hint="eastAsia" w:ascii="宋体" w:hAnsi="宋体" w:eastAsia="宋体" w:cs="宋体"/>
                <w:i w:val="0"/>
                <w:color w:val="000000"/>
                <w:sz w:val="21"/>
                <w:szCs w:val="21"/>
                <w:highlight w:val="none"/>
                <w:u w:val="none"/>
                <w:lang w:val="en-US" w:eastAsia="zh-CN" w:bidi="ar"/>
              </w:rPr>
              <w:t xml:space="preserve">组学生企业业务经营生成对应的原始单据进行处理，教师可以设置账务处理部分是自动化账务处理或是手工账务处理：（1）自动化账务处理：全部经营周期内学生每一笔经营业务完成时系统会实时的生成账证表以及财务指标分析等数据；（2）手工账务处理：1）账务处理中的记账凭证部分需要学生根据业务经营生成的原始单据进行手动填写，而账簿报表以及财务指标等数据则会根据学生填写的记账凭证数据进行自动生成。2）手工账务处理时教师还可以灵活的设置某个经营时间段内的业务让学生进行手工账务处理，其他经营时间段内的业务账务处理可以由系统自动生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50.业财融合虚拟仿真实验模块采用分组竞争对抗形式实训，每组之间就是在同一个市场环境下的单独一家同行业独立竞争企业，比如同一笔销售订单A组同学抢到后，其他小组同学就抢不到了。同时系统支持按一季度为一个经营周期，可连续经营12个经营周期，教师可以设置学生具体经营的周期数，每一期经营的数据会延续到第二期继续经营。同时支持学生在开始运营之前进行企业设置，每个团队都可以设置自己企业的名称、注册地等，注册地的不同到时运营过程进行采购或销售时也会影响到运费和运输时间等，从而每组学生的最优决策方案也不一样，提高对抗性。</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51.业财融合虚拟仿真实验模块为学生实训</w:t>
            </w:r>
            <w:r>
              <w:rPr>
                <w:rFonts w:hint="eastAsia" w:ascii="宋体" w:hAnsi="宋体" w:eastAsia="宋体" w:cs="宋体"/>
                <w:i w:val="0"/>
                <w:color w:val="000000"/>
                <w:sz w:val="21"/>
                <w:szCs w:val="21"/>
                <w:highlight w:val="none"/>
                <w:u w:val="none"/>
                <w:lang w:val="en-US" w:eastAsia="zh-CN" w:bidi="ar"/>
              </w:rPr>
              <w:t xml:space="preserve">搭建综合分析评价体系，支持教师灵活设置具体指标：（1）综合分析评价内容：涵盖财务指标（盈利能力、盈利质量等）、业务指标（生产、销售、采购等业务指标）、操作情况（考勤、未完成事项等），学生最终分数由各项指标得分累加。（2）教师自主设置功能：教师可依据考核重点，调整各指标分值权重及经营目标值。例如，在盈利能力分析中，能设定销售净利率经营目标值（如 15%，值越低学生越易完成）；还可设置该指标分值占比（如 18 分）。系统会对比学生运营的实际销售净利率与目标值，得出完成度，结合分值占比，依公式算出该指标最终得分。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二、预置训练内容指标：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系统预置课程内容主要包括：</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认知大数据：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1）大数据基本概念</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2）大数据发展历史与趋势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3）大数据对会计工作的影响。</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会计数据特征提取及分析思维。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大数据分析基本框架：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1）大数据分析的环境与类型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2）大数据分析的基本步骤。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数据库设计基础与基本步骤。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应用</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ySQL数据库建立财税模型：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1）初始</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ySQL数据库</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2）财务数据整理及分析常用函数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3）工资表数据建模及关联关系社会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Python语言基础：</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1）财会人员为何学习Python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2）财会人员的第一行Python代码</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3）会计信息与Python数据类型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4）财税数据的存储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5）财税核算中的判断。</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数据分析及可视化：</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1）使用Nu</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py操作数组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2）理解pandas数据结构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3）财务数据提取</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4）查看EXCEL数据源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5）财税数据连接与合并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6）财税数据分组聚合</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7）财税数据可视化。</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Python爬虫基础：</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1）初始爬虫</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2）用Python爬虫获取财税数据的步骤</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283"/>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i w:val="0"/>
                <w:color w:val="000000"/>
                <w:sz w:val="21"/>
                <w:szCs w:val="21"/>
                <w:highlight w:val="none"/>
                <w:u w:val="none"/>
                <w:lang w:val="en-US" w:eastAsia="zh-CN" w:bidi="ar"/>
              </w:rPr>
              <w:t xml:space="preserve">业财税融合实训中心</w:t>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税费核算与智能申报软件</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（一）技术参数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1.软件采用互联网技术，基于云模式，在线提供云服务，打造智慧财务云生态；</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1.1软件采用B/S架构，基于公有云与私有云混合模式，人工智能与会计的融合，打造智慧财务云生态。基于流行的J2EE技术栈，采用JDK1.8、</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ysql、Spring Boot、Spring Cloud、</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yBatis Plus、Vue、Ele</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entUI、Redis等技术，应用稳定的Spring Cloud微服务框架进行构建，系统支持分布式的部署方式，支持服务的无缝扩展和对接，单个服务功能变更不影响整体系统的正常操作，同时可以随时获取更高的计算能力，有效降低实施成本及使用成本；</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1.2拥有自主知识产权的产品，确保客户在使用系统服务的过程中不会产生侵权的风险；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1.3提供五年内的免费云服务技术支持，包含云平台运维服务及云平台内容服务；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1.3.1云平台运维服务：提供五年内的免费云服务技术支持，包含云服务器的硬件、软件、流量带宽及使用过程中发生的任何费用以及售后运维服务；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1.3.2云平台内容服务：提供五年内平台内容方面的免费升级，包括因相关政策法规等相关因素引起的平台内容升级服务、平台供应商主动的内容升级服务、平台使用培训等服务；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2.智慧税务实训平台提供了任务中心、企业电子税务局、自然人电子税务局、会计核算系统、企业信息、销项管理、进项管理、智能算税中心、智能申报管理、智能税费核算、我的成绩等11大模块；</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2.1任务中心提供实训任务、要求及相关操作事项；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2.2电子税务局包括税费申报及缴纳、开票业务、税务数字账户等模块；税费申报仿真金税四期国家税务总局电子税务局操作界面及功能，支持增值税及附加税费、消费税及附加税费、企业所得税、财产和行为税的申报与缴纳；开票业务支持数电发票开具，包括蓝字发票填开、红字发票填开、开票信息维护等操作；税务数字账户支持发票抵扣勾选、不抵扣勾选、抵扣勾选统计等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2.3自然人电子税务局模拟自然人电子税务局（扣缴端），包括人员信息采集、专项附加扣除信息采集、综合所得申报、税款缴纳、查询统计等功能。人员信息采集支持人员的添加、导入及报送；专项附加扣除信息采集支持信息的添加、导入、报送及下载更新；综合所得申报支持工资薪金、劳务报酬、稿酬、特许权使用费等申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2.4会计核算系统支持基础设置、业务票据建模、凭证列表、填制凭证、审核凭证等功能，可实现智能生成凭证及手动录入凭证；</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2.5企业信息支持企业基本信息、业务影像资料、合同台账、固定资产台账、财务报表等信息的查询，是平台操作的基础；</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2.6销项管理包含销售订单、特殊业务、无票管理、销售发票池等功能模块，其中销售订单功能模块针对一般常规业务运用内置RPA开票机器人实现发票智能填开，并将发票信息回传到销售发票池，实现销项发票的统计及可视化分析；特殊业务则要求学生进入电子税务局进行手动开票；无票管理支持添加视同销售的无票业务资料，并支持汇总对应销项税额数据，同时系统将汇总以上各功能模的销项税额数据并自动导入至智能算税中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2.7进项管理支持进项发票签收、进项发票认证、旅客运输抵扣台账、进项税额转出、进项发票池等功能，可以对收到的进项票据进行智能查验及签收，运用内置RPA认证机器人实现发票智能勾选认证。通过台账归集旅客运输发票抵扣及进项税额转出信息，并自动将归集后的数据导入到智能算税中心。进项发票池可以查看企业的进项发票管理状态、签收状态、勾选状态等信息，实现进项发票统计及可视化分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2.8智能算税中心支持基础配置、税源采集、智能算税等功能，通过各税种基础设置、计税规则的配置，智能采集税源，智能计算税费，最后生成申报表底稿；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2.9智能申报管理提供税费申报及申报结果查询两个子模块，申报之前需要先进行税务风险检测，检测内容包括申报表间勾稽关系及税务风险指标预警等。最后，运用内置RPA纳税申报机器人实现一键智能税费申报及缴纳；</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2.10智能税费核算提供销项业务核算、进项业务核算、税费业务核算等子模块，可以进行智能生成凭证及手动录入凭证，通过业务票据建模功能端进行设置凭证模板（包含分录模板设置，支持设置摘要、科目及科目匹配类型、借贷方向、金额取值公式及取值匹配），实现智能生成凭证；</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2.11我的成绩提供查看题目总分、得分、每题得分情况功能，错误的地方显示红色标识，支持做题结果的详细比对；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3.管理端：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3.1教师管理功能：提供新增、修改和删除教师账号功能，可进行批量新增、批量授权、批量延期等批量操作；提供控制教师账号权限管理，包括课程管理、试卷管理、竞赛试卷管理等权限；提供修改教师账号角色的功能；提供设置教师账号状态功能，状态包括有效、过期、锁定；提供设置教师账号到期时间功能，可选定一个具体的时间点（年月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3.2行政班级功能：提供新增、修改、删除和查找行政班的功能，支持行政班单个学生账号增加，也支持批量添加学生账号和Excel文件导入学生账号；提供根据用户名或者状态对学生信息进行增删改查功能，支持给学生设置有效、锁定、过期等多个状态，支持设置学生账号有效期（年月日）；提供行政班级教师授权功能，可授权其他教师以选择行政班级中的学生开展教学班授课；</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3.3教学班级功能：提供新增、修改、删除和查找教学班级的功能；支持设置课程和带班老师；提供学生管理、教学管理、考试管理和统计分析功能；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3.3.1学生管理功能：提供新增、查询、移除学生等功能，提供批量移除功能；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3.3.2</w:t>
            </w:r>
            <w:r>
              <w:rPr>
                <w:rFonts w:hint="eastAsia" w:ascii="宋体" w:hAnsi="宋体" w:eastAsia="宋体" w:cs="宋体"/>
                <w:i w:val="0"/>
                <w:color w:val="000000"/>
                <w:sz w:val="21"/>
                <w:szCs w:val="21"/>
                <w:highlight w:val="none"/>
                <w:u w:val="none"/>
                <w:lang w:val="en-US" w:eastAsia="zh-CN" w:bidi="ar"/>
              </w:rPr>
              <w:t xml:space="preserve">教学管理功能：提供成绩总览、章节明细、进度控制、签到管理等功能；提供搜索查询学生、导出学生成绩功能，支持详细查看学生各个章节完成情况、学习进度和分数，支持详细查看和导出学生学习报告；支持锁定、隐藏章节节点，支持隐藏题目答案和答题结果（勾选后，学生无法查看题目答案和答题结果），也支持隐藏题目答案但显示答题结果（勾选后，学生无法查看题目答案，但可以查看答题结果）；提供新增、搜索签到活动，支持设置签到开始时间和结束时间，可跟踪学生签到状态及具体签到时间，支持修改学生签到状态（正常、缺勤、迟到、早退、事假、病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3.3.3考试管理功能：提供新增考试功能，可设置考试名称、试卷选择、考试时间、成绩查看权限（无法查看、交卷后可看、结束后可看）、学生范围（全部学生、指定学生）、发布状态和考试描述；支持直接查看学生成绩（交卷状态、总分）、导出成绩、生成和下载班级考试总报告，支持查看和导出学生单人报告，可重置交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3.3.4成绩报告：支持生成班级所有学生的某个课程章节模块或某次考试的成绩报告，生成时具有进度条显示生成进度，生成完毕时进度条变成下载按钮，支持下载报告为PDF文档，支持单独查看每位学生的成绩报告及单独下载某位学生的成绩报告；</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3.3.5统计分析：支持查看学生课程模块得分率统计图，统计图以条状图形式呈现，并支持按项目-模块-题型-题目多级查看，支持以不同的颜色显示不同的得分率区间，支持选择图例以单独显示某些指标信息；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3.3.6在线时长：支持查看学生的在线学习时间统计，包含首次登录时间、最后登录时间、在线总时长、今日在线时长、上次在线时长和在线状态等，并支持通过图表展示在线时长统计情况，图表以线形图形式呈现学生的在线总时长、今日在线时长、上次在线时长的信息，支持按不同维度排序，支持选择图例以单独显示某些指标信息，支持下载图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3.4公告管理功能：提供新增、修改和删除公告的功能，可指定公告的启用时间、截止时间、启用状态；公告内容支持普通本文模式和</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arkDown模式；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3.5日志记录功能：提供查看用户登录时间、退出时间等功能日志，可详细跟踪用户使用平台状态；</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3.6课程管理：提供新增、查看、搜索课程功能，包括设置课程名称、课程类型、动态年、课程排序、课程描述、课程备注、LOGO引用或上传并使用；提供进入课程、模拟做题功能；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3.7试卷管理功能：提供新增、查看、搜索试卷功能，包括设置试卷名称、关联产品、发布状态、开放状态、模式选择（普通模式、单题模式、案例模式、综合模式）、题目组合、题目乱序、排序、动态年和备注；查看试卷后提供题型汇总功能，可查看试卷内题目类型、题数和总分情况，可预览和查看题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3.8资源管理功能：提供新建资源库文件夹，整理资源数据功能，支持删除、移动、分享、上传、重命名等功能；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3.9统计分析：包含站点统计（管理员账号可查看）和教学统计（教师账号可查看）；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3.9.1站点统计；汇总官方课程总数、官方微课总数、官方PPT总数、官方PDF总数、官方试卷总数、教师总数、学生总数、行政班总数、教学班总数；以动态图表的方式展示课程资源汇总、教师开课情况、年度课程学习人数汇总、在线人数统计（支持最近3小时、6小时区间切换）、学生新增人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3.9.2教学统计：汇总官方课程总数、官方微课总数、官方PPT总数、官方PDF总数、官方试卷总数、学生总数、行政班总数、教学班总数；以动态图表的方式展示课程资源汇总、学生新增人数、年度行政班人数汇总、年度教学班人数汇总；</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3.10个人信息管理：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3.10.1提供账号姓名、头像和密码等修改功能；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3.10.2提供绑定手机号码的功能，用户可以将账号与手机号码绑定，绑定后可以通过手机登录平台；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3.11帮助工具：提供帮助手册、密码锁屏和QQ咨询调用功能，用户可选择会计内容咨询或平台技术咨询，自动调用QQ跳转会话框进行咨询；提供数据查询列显隐功能；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4.学生端功能：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4.1个人信息管理功能：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4.1.1提供账号姓名、密码等修改功能；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4.1.2系统云平台提供绑定手机号码的功能，用户可以将账号与手机号码绑定，绑定后可以通过手机号输入验证码登录平台，同时支持绑定微信及QQ登录平台；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4.2学习统计功能：提供学生在课程下的学习状况统计雷达图，具有两张雷达图并可交互，一张雷达图显示每个项目的总分、合格分和得分信息，点击任意一个项目，另外一张雷达图对应显示该项目下每个任务的总分、合格分和得分信息；同时可以控制选择雷达图只显示总分、得分、合格分任意一种或组合信息；主界面还具有显示每个项目的总分、得分和正确率的统计列表，点击关闭按钮可隐藏该统计列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4.3章节进度功能：在平台主界面展开任一项目，该项目下的每个子任务都自带有学习进度条，进度条具有百分比数值以及不同的颜色来展示学习进度；</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4.4收藏题目功能：提供收藏题目功能，可在收藏列表中查看所有收藏的题目，方便针对性的学习；</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4.5工具箱功能：提供普通计算器、科学计算器功能；提供金融计算器功能；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4.6嵌入式网页PPT功能：提供画笔标注功能，包括画笔、荧光笔、橡皮擦；提供上下翻页、单页单独打开功能；提供PPT导航、模糊搜索内容功能；提供场景对话交互功能；内置客观题，包括单选、多选、判断等题型，支持将PPT切换成PDF模式阅览；</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4.7答题（试卷）报告功能：根据每个章节的课后练习或者试卷答题情况一一对应生成单独的答题报告或者试卷报告，报告中包含整份课后练习或整套试卷的总正确率以及每种题型的正确率统计图，包含课后练习或试卷的各类型题目的正确数、错误数、已做题目数、未做题目数和题目总数的统计表，可以查看到学生具体答题信息、正确答案以及题目解析，并支持将答题报告及试卷报告导出为PDF文档；</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4.8签到系统：内嵌签到模块，在指定时间内进行签到，在表格模式进行签到操作及查看签到情况及状态，在图形模式下统计签到记录情况；</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4.9排行榜：内嵌排行榜模块，可以查看同班同学的总分得分情况，图形模式以柱状图进行显示总分得分情况；</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5.平台配套提供终端载体单机版，要求支持在无网络状态使用，内置以下功能模块：</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5.1互动财会游戏功能模块，满足以下要求：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5.1.1要求游戏总数量不少于50个；要求游戏类型应该是多样性的，具有支持拖拉拽操作、具有闯关模式等典型的游戏特征（不是简单的单选、多选、判断类型）；要求游戏内容与财会专业知识点相关，需随机抽取至少5个不同的游戏展示，游戏内容举例：战略地图游戏：通过拖拉拽的形式完成战略地图绘制。企业经营沙盘游戏：通过小沙盘的形式，模拟一家企业一年的经营，并且包含资产负债表的动态展示。数电发票识别游戏：通过游戏的形式，让学生学习了解财务机器人发票识别的步骤与过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5.1.2自定义房间名称功能：设置游戏时间及次数限制，游戏开始时间及持续时间；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5.1.3排行榜功能：支持竞赛比拼并提供排行，增加课堂趣味性，可重复进行游戏；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5.1.4在线游戏互动功能：学生可通过手机扫描系统中的会计游戏二维码，实现在手机上进行随堂游戏的互动体验；</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5.2微课制作功能模块，要求具有以下功能：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5.2.1可直接导入PPT并保留PPT所有动画效果，生成视频微课；</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5.2.2制作过程可自动录音，可合成至生成的视频微课中；</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5.2.3微课制作时支持两个摄像头切换录制，第一摄像头和第二摄像头可随时切换录制现场人像或现场展示资料，录制内容可合成至生成的视频微课中；</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5.2.4微课制作过程中可随时板书，录制板书操作，并合成到生成的视频微课；</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5.2.5微课保存为视频时，可选择添加背景音乐，使制作的微课全程具有背景音乐效果，背景音乐提供多种选择；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6.平台配套提供云课堂手机APP，实现云课堂功能，可以为老师学生在互联环境下达到沟通、资源共享、课堂考核的作用，体验互动教学与作业跟踪等新的教学模式：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6.1自定义签到：教师端可自定义课堂签到手势，学生端即可以规定手势进行签到；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6.2投票管理：教师端可自主编辑投票的标题、投票的内容、投票后是否立即显示结果、投票，学生端即可参与老师编辑好的投票；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6.3签章划线功能：APP版支持实务题签章划线。记账凭证支持盖章，盖章位置直接通过手势滑动确定位置，记账凭证支持画线，画线起点终点位置直接通过手势滑动确定，实训题支持业务流程，具有提交下一步、退回上一步操作功能，能够进行智能答案判断，错误之处使用深色背景标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7.平台配套提供会计信息化账务处理手机APP，供学生移动学习体验会计信息化常见功能模块：</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7.1初始设置：登录后可自定义创建账套，若已有账套，则直接进入角色登录界面；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7.2角色登录：提供四个岗位角色登录，支持网络版管理员针对实际情况分配角色登录权限；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7.3登录首页：包含凭证列表、审核凭证、记账、期末结账、结转损益、财务报表、查询/修改、明细账、总账、科目余额表等十个子功能模块；</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（二）内容参数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1.主要内容：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1.1项目一 走进智慧化税务：任务一 了解智慧化税务；任务二 了解现行税收制度；</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1.2项目二 增值税及附加税费核算与智能申报：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1.2.1任务一 增值税及附加税费基础认知；任务二 增值税发票管理（增值税专用发票、普通发票、红字发票、特定业务发票、差额开票、发票查验、发票勾选认证、RPA开票机器人、RPA发票查验机器人）；任务三 增值税销项税额管理（税费计算、税费核算）；任务四 增值税进项税额管理（税费计算、税费核算）；任务五 增值税及附加税费计算与申报（税费计算、税费申报）；任务六 增值税出口退税；</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1.2.1案例演练：一般纳税人增值税及附加税费核算与智能申报。案例以一家一般纳税人制造业企业为背景，模拟企业增值税及</w:t>
            </w:r>
            <w:r>
              <w:rPr>
                <w:rFonts w:hint="eastAsia" w:ascii="宋体" w:hAnsi="宋体" w:eastAsia="宋体" w:cs="宋体"/>
                <w:i w:val="0"/>
                <w:color w:val="000000"/>
                <w:sz w:val="21"/>
                <w:szCs w:val="21"/>
                <w:highlight w:val="none"/>
                <w:u w:val="none"/>
                <w:lang w:val="en-US" w:eastAsia="zh-CN" w:bidi="ar"/>
              </w:rPr>
              <w:t xml:space="preserve">附加税费智慧化申报与管理全过程，具体业务内容包括：（1）了解企业信息：包括企业基本信息和业务影像资料；（2）销项管理：进行一般业务智能开票、特殊业务手动开票、销售发票统计分析及可视化呈现；（3）进项管理：自动采集进项发票，并进行风险检测和发票签收，对签收后的进项发票进行勾选认证抵扣，汇总进项税额转出，最后进行进项发票统计分析及可视化呈现；（4）智能算税中心：智能算税并生成申报表底稿；（5）智能税费核算：设置凭证模板、智能生成凭证、特殊业务手动填制凭证；（6）智能申报管理：对检查无误的申报表数据进行智能申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w:t>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案例演练：小规模纳税人增值税及附加税费核算与智能申报。案例以一家小规模纳税人商贸企业为背景，模拟企业增值税及附加税费智慧化申报与管理全过程，具体业务内容包括：（1）了解企业信息：包括企业基本信息和业务影像资料；（2）销项管理：进行一般业务智能开票、特殊业务手动开票、销售发票统计分析及可视化呈现；（2）智能算税中心：算税并生成申报表底稿；（3）智能税费核算：设置凭证模板、智能生成凭证、特殊业务手动生成凭证；（4）智能申报管理：对检查无误的申报表数据进行智能申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1.3项目三 消费税及附加税费核算与智能申报：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1.3.1任务一 消费税及附加税费基础认知；任务二 消费税及附加税费计算与申报；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1.3.2</w:t>
            </w:r>
            <w:r>
              <w:rPr>
                <w:rFonts w:hint="eastAsia" w:ascii="宋体" w:hAnsi="宋体" w:eastAsia="宋体" w:cs="宋体"/>
                <w:i w:val="0"/>
                <w:color w:val="000000"/>
                <w:sz w:val="21"/>
                <w:szCs w:val="21"/>
                <w:highlight w:val="none"/>
                <w:u w:val="none"/>
                <w:lang w:val="en-US" w:eastAsia="zh-CN" w:bidi="ar"/>
              </w:rPr>
              <w:t xml:space="preserve">案例演练：消费税及附加税费核算与智能申报。案例以一家实木地板生产企业为背景，模拟企业消费税及附加税费智慧化申报与管理全过程，具体业务内容包括：（1）了解企业信息：包括企业基本信息、业务影像资料；（2）智能算税：包括基础设置、数据采集、智能算税。先设置商品价格、消费税税率、计税规则等信息；采集商品销售信息、外购应税消费品及委托加工应税消费品信息，生成计税信息；智能算税并生成申报表底稿；（3）智能税费核算：设置凭证模板、智能生成凭证、特殊业务手动填制凭证；（4）智能申报管理：对检查无误的申报表数据进行智能申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1.4项目四 企业所得税核算与智能申报：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1.4.1任务一 企业所得税基础认知；任务二 企业所得税计算与申报；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1.4.2案例演练：企业所得税核算与智能申报（季度预缴）。案例以一家高新技术企业为背景，模拟企业季度企业所得税智慧化申报与管理全过程，具体业务内容包括：（1）了解企业信息：包括企业基本信息、财务报表数据；（2）智能算税：配置企业的基本情况及企业优惠政策标准，算税并生成申报表底稿；（3）智能税费核算：设置凭证模板、智能生成凭证；（4）智能申报管理：对检查无误的申报表数据进行智能申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1.4.3案例演练：企业所得税核算与智能申报（年度汇算清缴）。案例以一家电子科技企业为背景，模拟企业年度企业所得税智慧化申报与管理全过程，具体业务内容包括：（1）了解企业信息：包括企业基本信息、财务报表、损益类科目明细表、应付职工薪酬发生额明细表、研发支出辅助账、查账汇总信息；（2）智能算税：设置企业基础信息，进行申报底搞维护，选择汇算清缴填报表单，智能算税并生成申报表底稿；（3）智能税费核算：设置凭证模板、智能生成凭证；（4）智能申报管理：对检查无误的申报表数据进行智能申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1.5项目五 个人所得税核算与智能申报：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1.5.1任务一 个人所得税基础认知；任务二 个人所得税计算与申报；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1.5.2案例演练：个人所得税核算与智能申报（综合所得）。案例以一家商贸企业为背景，模拟企业个人所得税智慧化申报与管理全过程，具体业务内容包括：（1）了解企业信息：包括企业基本信息、员工信息、工资薪金表等；（2）智能算税：人员信息采集、专项附加扣除信息采集、综合所得预扣预缴计算，生成申报表底稿；（3）智能税费核算：设置凭证模板、智能生成凭证；（4）智能申报管理：对检查无误的申报表数据进行智能申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1.6项目六 土地增值税核算与智能申报：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1.6.1任务一 土地增值税基础认知；任务二 土地增值税计算与申报；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1.6.2案例演练：土地增值税核算与智能申报（预缴），模拟房地产开发企业土地增值税申报及预缴；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1.6.3案例演练：土地增值税核算与智能申报（清算），模拟房地产开发企业土地增值税清算及申报；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1.7项目七 房产税及土地使用税核算与智能申报：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1.7.1任务一 房产税基础认知；任务二 土地使用税基础认知；任务三 房产税及土地使用税计算与申报；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1.7.2案例演练：房产税及土地使用税核算与智能申报。案例以一家科技企业为背景，模拟企业房产税及城镇土地使用税智慧化申报与管理全过程，具体业务内容包括：（1）了解企业信息：包括企业基本信息、房产、土地信息；（2）智能算税：土地信息和房屋信息采集，智能算税生成申报表底稿；（3）智能税费核算：设置凭证模板、智能生成凭证；（4）智能申报管理：对检查无误的申报表数据进行智能申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1.8项目八 印花税核算与智能申报：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1.8.1任务一 印花税基础认知；任务二 印花税计算与申报；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1.8.2案例演练：印花税核算与智能申报。案例以一家卫浴生产企业为背景，模拟企业印花税智慧化申报与管理全过程，具体业务内容包括：（1）了解企业信息：包括企业基本信息、合同台账；（2）智能算税：税目配置和合同类型设置，智能采集合同信息，并生成税源明细，智能算税生成申报表底稿；（3）智能税费核算：设置凭证模板、智能生成凭证；（4）智能申报管理：对检查无误的申报表数据进行智能申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1.9项目九 其他税费核算与智能申报：任务一 资源税核算与智能申报；任务二 车船税核算与智能申报；任务三 车辆购置税核算与智能申报；任务四 环境保护税核算与智能申报；任务五 耕地占用税核算与智能申报；任务六 关税核算与智能申报；任务七 烟叶税核算与智能申报；任务八 契税核算与智能申报；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1.10项目十 税收征收管理：任务一 税务管理；任务二 法律责任；任务三 纳税担保、税收保全及强制执行；任务四 税务行政处罚和行政救济；任务五 纳税信用管理；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2.教学资源：PPT（不少于34个）；微课（不少于34个）；客观题（不少于700道）；案例题（不少于80道）；操作手册PDF文档（不少于15个）。</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（三）线上共享记账平台（配套50个为期12个月在线共享记账平台账号）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1.智能日记账：</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日记账能够支持电脑、手机使用，手机上使用时按手机屏幕比例显示清晰，支持权限设置，分登记权限、修改权限、删除权限、对账权限等；可设置账户管理人员，只有具备账户管理权限的人员才能查询、并且管理此账户中的收支记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1.2具备智能记账功能，录入一段文字就可智能分析出交易日期、交易金额、收支科目、对方单位、部门、经办人，并且根据部门分析收支科目为销售费用、管理费用等；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1.3记账时支持选择本地图片、QQ截图并直接粘贴在界面上、手机微信扫码无缝上传三种方式将原始票据附在账目上，并且可进行放大、缩小、旋转、拖拽显示；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1.4能生成月报表，按柱状图显示13个月收入、支出、利润、账面余额；可同时选取5个收支科目进行13个月对比，以曲线图方式展示数据的变化趋势及相互作用关系；能将月报表导出成Excel文件格式；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1.5账面总览：展示总金额以及银行账户的余额并按照月份进行图表的呈现。根据需要进行本月收入小计、本月支出小计、本月收支差、本月应收余额、本月应付余额、全部应收余额、全部应付余额以及本月支出TOP5等项目的统计分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2.应收应付：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2.1支持收款核销或付款核销，核销过程中允许抹零扣费，即抹掉零头、扣除手续费、其他扣费，支持两种核销方式，直接录入核销金额或者从已有的收支账目中选取进行核销；</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2.2登记应收应付时支持选择本地图片、QQ截图并直接粘贴在界面上、手机微信扫码无缝上传三种方式将原始票据附在日记账上；</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2.3支持合并收款或合并付款，多笔应收应付可合并，合并后还可跟未合并的记录进行多次合并，应收应付金额自动根据被合并的记录计算，合并后的记录可取消合并；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3.物品管理：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3.1原材料、产成品、礼品管理：对企业的原材料、产成品、礼品进行入库、领用、库存等方面的管理，以及查看领用流水、原材料、产成品、礼品报表等功能，帮助掌握公司的原材料、产成品及礼品的实际情况；</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3.2支持打印送货单，送货单可根据需要设置是否显示单价、金额，送货单上打印二维码，通过微信扫一扫查看电子送货单；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3.3物品统计报表：按月份统计并列表显示出每一种物品的月初余额、本月入库、本月出库、月末库存余额；支持用曲线图表显示出某一种物品在多个月内入库、出库的曲线；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4.费用报销：</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4.1费用报销支持自定义报销类别，如差旅报销、日常费用报销等；填写报销单时允许自己为自己填写报销单，也允许为他们填写报销单；一笔报销单允许多行明细，如机票费、住宿费等；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4.2填写报销单时支持选择本地图片、QQ截图并直接粘贴在界面上、手机微信扫码无缝上传三种方式附上原始票据附，最多可附15张原始票据；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4.3支持费用报销审批，可一次选择多级审批，也可一次选择一级，等这一级审批通过后填报人再选择一级进行审批的方式，最后一级审批完成可设置为自动交出纳付款；审批过程中，可审批通过、审批不通过，退回，或者提交人可撤回；</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5.项目（合同）管理：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5.1项目管理列表显示项目金额、已收金额、应收余额、已付金额、应付余额、利润；</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5.2项目详情显示与本项目（合同）有关的全部收支记录，有关的全部物品入库出库记录，有关的全部应收应付记录；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5.3项目（合同）利润计算方式，可设置为按已收金额减去已付金额、应收金额减去应付金额、应收金额-已付金额、已收金额-应付金额或者应收金额-应付金额-日记账支出金额等不少五种方式；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6.工资管理：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6.1工资管理：支持添加、查询工资表。以工资模版的形式对工资表进行工资项目的调整。按年或者部门等方式进行工资的统计分析。工资表可以逐月进行调整、复核以及工资条发放以及工资条的导出备份，同时发放工资条时还可以以短信的方式进行通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6.2支持复核工资表，复核时可选择已有工资表进行对比，高亮显示同一员工不同之处，便于领导发现本月工资表与往月不一样之处；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6.3支持工资表记账，可将选定的员工工资记录合并为一笔产生一笔日记账，也可批量逐笔自动生成相同数量的日记账记录，支持从已有日记账中选取记录关联到工资表；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6.4支持将工资表导出为Excel文件，并且可选择是否每一行打印表头，方便打印成工资条；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7.其他功能：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7.1客户管理：支持客户的添加、收回、分配以及查询功能，并且支持excel的形式进行客户的导入与导出功能；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7.2项目管理：包括项目开始结束日期，项目类别、项目金额、应付金额、应收金额，自动关联日记账数据，自动计算出已付金额、应付余额或已收金额、应收余额；</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7.3工作周记：按照工作计划以及工作日记的形式进行记录，同时可以提供附加图片功能。管理员可以对每个用户进行权限管辖，以控制该用户查看周记的范围；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7.4外部报表功能：供上传税务账报表功能，可接受多种格式excel税务账报表，包括资产负债表，利润表、科目余额表等，上传的表格可设置分栏显示，包括分栏列头，方便在移动设备上查看报表；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7.5发票查重：提供发票查重支持两种方式，可通过手机扫一扫扫描电子发票的二维码实现查重，也可通过手工输入发票号码实现查重。</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工作台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工作台要求采用钢木结构，主体采用优质冷轧钢板，台体拐角采用圆弧设计，防止碰伤。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工作台带键盘锁，带笔记本用电源插座面板。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工作台材料：主体采用1.5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冷轧钢板，其它部分采用1.2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冷轧钢板。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工作台尺寸：关闭时，长宽高约（1000×700×1000）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件</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rPr>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实训桌椅</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实训桌尺寸：约800×600×750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，台面板材厚度</w:t>
            </w:r>
            <w:r>
              <w:rPr>
                <w:rFonts w:hint="eastAsia" w:ascii="宋体" w:hAnsi="宋体" w:eastAsia="宋体" w:cs="宋体"/>
                <w:color w:val="000000"/>
                <w:highlight w:val="none"/>
                <w:lang w:val="en-US" w:eastAsia="zh-CN"/>
              </w:rPr>
              <w:t xml:space="preserve">≥</w:t>
            </w:r>
            <w:r>
              <w:rPr>
                <w:rFonts w:hint="eastAsia" w:ascii="宋体" w:hAnsi="宋体" w:eastAsia="宋体" w:cs="宋体"/>
                <w:i w:val="0"/>
                <w:color w:val="000000"/>
                <w:sz w:val="21"/>
                <w:szCs w:val="21"/>
                <w:highlight w:val="none"/>
                <w:u w:val="none"/>
                <w:lang w:val="en-US" w:eastAsia="zh-CN" w:bidi="ar"/>
              </w:rPr>
              <w:t xml:space="preserve">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，桌面采用三聚氰胺浸渍纸饰面，耐磨、不褪色；基材采用实木颗粒刨花板，甲醛释放量符合GB/T 39600-2021《人造板及其制品甲醛释放量分级》，GB18580-2017《室内装饰装修材料人造板及其制品中甲醛释放限量》，甲醛释放量≤0.025</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g/</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³。桌面板材厚度</w:t>
            </w:r>
            <w:r>
              <w:rPr>
                <w:rFonts w:hint="eastAsia" w:ascii="宋体" w:hAnsi="宋体" w:eastAsia="宋体" w:cs="宋体"/>
                <w:color w:val="000000"/>
                <w:highlight w:val="none"/>
                <w:lang w:val="en-US" w:eastAsia="zh-CN"/>
              </w:rPr>
              <w:t xml:space="preserve">≥</w:t>
            </w:r>
            <w:r>
              <w:rPr>
                <w:rFonts w:hint="eastAsia" w:ascii="宋体" w:hAnsi="宋体" w:eastAsia="宋体" w:cs="宋体"/>
                <w:i w:val="0"/>
                <w:color w:val="000000"/>
                <w:sz w:val="21"/>
                <w:szCs w:val="21"/>
                <w:highlight w:val="none"/>
                <w:u w:val="none"/>
                <w:lang w:val="en-US" w:eastAsia="zh-CN" w:bidi="ar"/>
              </w:rPr>
              <w:t xml:space="preserve">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，长期使用不变</w:t>
            </w:r>
            <w:r>
              <w:rPr>
                <w:rFonts w:hint="eastAsia" w:ascii="宋体" w:hAnsi="宋体" w:eastAsia="宋体" w:cs="宋体"/>
                <w:i w:val="0"/>
                <w:color w:val="000000"/>
                <w:sz w:val="21"/>
                <w:szCs w:val="21"/>
                <w:highlight w:val="none"/>
                <w:u w:val="none"/>
                <w:lang w:val="en-US" w:eastAsia="zh-CN" w:bidi="ar"/>
              </w:rPr>
              <w:t xml:space="preserve">形，不鼓包。封边条采用优质同色PVC封边条。封边条使用无铅、汞、镉三大重金属的高成份PVC粉做为原料来生产封边条，弹性好，耐撞击，达到国标环保要求；使用助剂及色粉，达到长期使用不变黄；使用水性油墨印刷，纹理清晰，抗紫外线达4-5级；热熔胶：采用优质环保热熔胶，符合GB18583-2008《室内装饰装修材料胶黏剂中有害物质限量》，GB33372-2020《胶粘剂挥发性有机化合物限量》，游离甲醛≤1.0g/kg，苯≤0.20g/kg，甲苯+二甲苯≤10g/kg，总挥发性有机物≤110g/L。钢架采用厚度≥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优质镀锌钢管经激光焊工艺整体焊接成型，确保钢架牢固度高、稳定性强。钢脚与地面接触部位安装有ABS塑料调整脚垫。钢架表面焊接平整、无虚焊、无明显焊疤、焊接处打磨光滑。钢架表面先经过除油、除锈、磷化处理后，再进行表面的静电喷塑，确保钢架表面光滑、无流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实训椅：椅面采用ABS耐冲击塑料一级新料一体射出成型，无毒、无味、强度高，耐冲击强度须能承受5磅榔头重力锤击不得破裂；耐老化性能≥500小时；外观颜色变色评级≥3级；不得采用回收料生产。椅背采用人体工效学原理设计。钢架采用优质高频焊管，焊接采用激光焊接工艺整体焊接成型。钢架表面经抛丸工艺预处理后再做表面的静电粉末喷涂，确保钢架表面光滑、无流痕。</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rPr>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工作椅</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椅座/背：采用ABS工程塑料注塑而成，韧性强，可倒置踩踏；运用人体曲线的设计，不仅仅是其自身的美，还可以使坐席者舒服，边缘处理圆滑细腻，有韧性；椅架：采用优质冷轧高频光亮管，模具折弯成型，表面除油、除锈、磷化处理，折弯后电镀而成，带脚垫</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rPr>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功放音箱设备</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铝合金面板，液晶显示屏，内置数字DSP效果器，可通过屏幕菜单进行卡拉OK效果、话筒EQ、音乐EQ进行调节，出厂内置多种效果模式供选择，含双U段充电金属话筒2只</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支持光纤、同轴、蓝牙、USB、AUX输入，支持语音点歌，卡拉OK评分功能，额定功率150W，双声道前置功放。含2只10寸二分频3单元低频反射式卡拉OK音箱，3寸高音单元2个，频宽：500-18khz，10寸低音单元音圈1个：35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 磁钢：100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双磁，频宽：70-8000KHZ，松压盆。额定输入功率（连续、音乐信号、峰值）：≥200W、≥400W、≥500W；频率响应（±3db）70-18Hz</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灵敏度（1W@1</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）92dB</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覆盖角度≥120°×90°（H×V）输出最大声压98dB peak。</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交换机机柜</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尺寸≥600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（宽）*600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（深）*1000㎜（高）；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表面处理</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方孔条、安装横梁：热镀锌板；其余：脱脂、硅烷化处理、静电喷塑。</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rPr>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7</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实训室综合布线与布置服务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实训室整体规划符合公共实训基地的建设理念，主题特色鲜明、针对性强，与实训基地整体文化融合；具有专业性、展示性、艺术性，能够激发学生学习兴趣。根据场地布置情况设置，布局合理；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实训室内文化布置</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设备数量结合实训室整体面积对设备合理布局、准确定位，在此基础上对设施、设备进行综合布线（包含（如有）吊顶、静电地板、强弱电设备、线材、插座、其他辅助材料）安装调试直至设备能整体正常运行；确保美观、安全可靠、结构合理，并保证其强度、稳定性、可靠性，达到采购人要求；材料品种、规格、性能符合国家行业有关标准规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桥架或地面走线、设计布置合理，走线规范</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所有材料如桥架、线槽、电源接口电源线、网线、气管等材料必须符合国家质量标准，对易损部分采取特别保护措施；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布线不影响外观，不影响正常的实训，满足设备使用所需；布线、安装调试要求按照国家有关法律规范安全标准进行，确保安全可靠。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项</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rPr>
            </w:r>
            <w:r>
              <w:rPr>
                <w:rFonts w:ascii="宋体" w:hAnsi="宋体" w:cs="宋体"/>
              </w:rPr>
            </w:r>
            <w:r/>
          </w:p>
        </w:tc>
      </w:tr>
      <w:tr>
        <w:trPr>
          <w:trHeight w:val="283"/>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i w:val="0"/>
                <w:color w:val="000000"/>
                <w:sz w:val="21"/>
                <w:szCs w:val="21"/>
                <w:highlight w:val="none"/>
                <w:u w:val="none"/>
                <w:lang w:val="en-US" w:eastAsia="zh-CN" w:bidi="ar"/>
              </w:rPr>
              <w:t xml:space="preserve">会计综合岗位实训中心</w:t>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excel在财务数据中的应用服务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numPr>
                <w:ilvl w:val="0"/>
                <w:numId w:val="10"/>
              </w:numPr>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平台基本要求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系统支持浏览器方式使用，不需要额外安装任何插件；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支持教学过程全程管理，能够满足课前分步练习、课中集中练习、模拟测验、期末考试、统计分析等需求；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支持教师对班级和学生进行管理，能够一键上传学生信息并自动生成班级信息；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支持针对不同教学内容设置课程目录结构和行业分类、根据课程目录及行业分类维护课程题库；支持实践教学资源按行业进行分类；</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支持题库试题有效性检查，按章节知识点组卷；一张试卷呈现理论题（单选题，多选题，判断题，填空题，简答题）和电子表格实操题，支持试卷中必须出现指定试题；多套试卷自动查重试题，并对试卷中所有题型能够进行自动判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支持设置单卷随机、多卷随机、千人千卷的大题库随机考试；支持院校在期中、期末、大赛等多种场景进行创建考试，支持考试过程中允许查看的资料内容，能够实现考中监控，考后数据归档；</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支持提供人脸识别开启考试功能；支持考生证件图片与本人进行识别，人脸识别通过后自动开启考试；支持考试过程中通过人脸识别技术自动抓屏并拍照；</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支持考试过程防作弊，开启防作弊考生无法切出系统界面，且自动切断在线交流工具联网状态，可以自主选择允许启用的第三方应用；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支持考试延时功能，支持设置批量或指定特殊人群的提前或延长考试时间、取消误交卷状态；支持教师监控全体学生答题，答题详情等内容；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支持对多场考试数据进行合并后自动生成整体的考试统计分析数据，自定义考试报告；支持将考试数据生成PDF，Excel分析报告，并可以一键导出；支持试卷分析、班级分析和学生分析；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支持考试归档功能，归档后系统自动生成考试计划，试卷，及所有考生答题详情（文件）等数据，可生成电子文件下载留存，方便留档备查；</w:t>
            </w:r>
            <w:r>
              <w:rPr>
                <w:rFonts w:ascii="宋体" w:hAnsi="宋体" w:cs="宋体"/>
              </w:rPr>
            </w:r>
            <w:r/>
          </w:p>
          <w:p>
            <w:pPr>
              <w:pStyle w:val="885"/>
              <w:numPr>
                <w:ilvl w:val="0"/>
                <w:numId w:val="0"/>
              </w:numPr>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支持与院校提供的金山Web Office接口对接，拓展线上答题；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平台嵌入珠算训练模块并且能够提不少于12个月在线使用服务。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珠算训练模块功能：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操作简单：专业友好的阅卷界面，支持做标记，操作便捷。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屏蔽信息：系统对评卷教师屏蔽了答卷上的非必要信息，确保阅卷过程及结果的客观公正。</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打分方式</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提供鼠标移动覆盖得分分值就能给分功能，方便高效。</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实时监控</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实时进度与得分监控，把握评卷进度与质量。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加减、乘、除、账表、传票五个项目都有批阅过程，同时阅卷界面分别体现五个项目的加分与扣分规则，规则必须符合江苏省职业学校技能大赛比赛规则要求。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智能分析：完成阅卷后，可自动生成分析报表，支持成绩折算；分析图表、报表在线查看，Excel表格一键下载；支持查看存储答卷答案。</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二、课程内容要求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课程内容能够满足120学时教学资源并支持微软Excel、WPS双平台，教学资源需预置8个项目，32个工作任务，102个实验资源；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课程资源需至少包括如下内容：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（1）课程教学大纲：</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项目1 基本操作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任务1.1 数据输入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任务1.2 数据处理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任务1.3 数据输出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任务1.4 数据保护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项目2 数据格式设置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任务2.1 数据格式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任务2.2 数字格式设置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任务2.3 条件格式及其设置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项目3 公式与引用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任务3.1 公式的概念及其构成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任务3.2 单元格引用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任务3.3 三种引用的应用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项目4 数据整理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任务4.1删除工作表中多余的标题及对表头进行整理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任务4.2 删除空单元格和单元格中无意义的内容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任务4.3 使用“分列”整理数据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任务4.4 分散数据源表的合并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项目5 常用函数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任务5.1 常用逻辑函数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任务5.2 常用数学函数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任务5.3 常用统计函数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任务5.4 常用查找与引用函数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任务5.5 常用文本函数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任务5.6 常用日期函数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项目6 在会计工作中的应</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任务6.1 基础设置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任务6.2 凭证处理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任务6.3 账簿设置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任务6.4 财务报表编制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任务6.5 固定资产管理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任务6.6 应收账款管理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任务6.7 财务分析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项目7 在进销存中的应用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任务7.1采购管理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任务7.2库存管理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任务7.3销售管理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项目8 在人力资源管理中的应用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任务8.1 工资处理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任务8.2员工管理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（2）课程教学ppt不少于8个，操作视频不少于102个，练习试题不少于102个，模拟测验试卷不少于55套、期中期末试卷不少于15套、竞赛资源试卷不少于5套。</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三、课程教学要求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课程具有针对教师发布的内容进行电子表格操作题实验，提供实验手册、在线问答、实验报告的功能；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课程具有支持</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S Office Excel、金山WPS多个版本实验手册；支持在实验手册中插入操作视频，能够满足学生可以根据操作视频学习实验具体操作的功能；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课程具有下载答题模板文件，并在本地答题后上传模板文件，实现自动评判，反馈判分项目、明细，标准值/用户值对比、及操作结果详情的功能；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课程具有模拟测验和正式考试双模式对教学内容进行检测，检测时可以设置是否让学生查看实验手册的内容或全部内容；模拟测验和正式考试支持直接打开/上传本地答题文件，实现系统自动判分的功能；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课程具有根据不同班级的不同教学进度随时一键推送部分或全部单项实践练习和模拟试卷，并根据学生实训情况对实验手册进行是否可见设置，满足老师个性化日常教学活动、学生课上实践练习的功能；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课程具有支持以具体实训试题或技能点为基础数据采集项对学生的实操结果进行统计，能够形成含实践内容、实践目标、完成状态、问题列表和过程记录的分析报告的功能；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四、技术服务要求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支持提供课程安装手册、安装视频，支持软加密和硬加密等多种加密方式；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支持根据不同用户如管理员，教师等提供不同的培训计划；</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支持在售后维护期内对产品进行远程或实地的定期维护、升级</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件</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工作台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工作台要求采用钢木结构，主体采用优质冷轧钢板，台体拐角采用圆弧设计，防止碰伤。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工作台带键盘锁，带笔记本用电源插座面板。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工作台材料：主体采用1.5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冷轧钢板，其它部分采用1.2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冷轧钢板。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工作台尺寸：关闭时，长宽高约（1000×700×1000）</w:t>
            </w:r>
            <w:r>
              <w:rPr>
                <w:rFonts w:hint="eastAsia" w:ascii="宋体" w:hAnsi="宋体" w:eastAsia="宋体" w:cs="宋体"/>
                <w:i w:val="0"/>
                <w:color w:val="000000"/>
                <w:sz w:val="21"/>
                <w:szCs w:val="21"/>
                <w:highlight w:val="none"/>
                <w:u w:val="none"/>
                <w:lang w:val="en-US" w:eastAsia="zh-CN" w:bidi="ar"/>
              </w:rPr>
              <w:t xml:space="preserve">mm。</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件</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rPr>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实训桌椅</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实训桌尺寸：约800×600×750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，台面板材厚度</w:t>
            </w:r>
            <w:r>
              <w:rPr>
                <w:rFonts w:hint="eastAsia" w:ascii="宋体" w:hAnsi="宋体" w:eastAsia="宋体" w:cs="宋体"/>
                <w:color w:val="000000"/>
                <w:highlight w:val="none"/>
                <w:lang w:val="en-US" w:eastAsia="zh-CN"/>
              </w:rPr>
              <w:t xml:space="preserve">≥</w:t>
            </w:r>
            <w:r>
              <w:rPr>
                <w:rFonts w:hint="eastAsia" w:ascii="宋体" w:hAnsi="宋体" w:eastAsia="宋体" w:cs="宋体"/>
                <w:i w:val="0"/>
                <w:color w:val="000000"/>
                <w:sz w:val="21"/>
                <w:szCs w:val="21"/>
                <w:highlight w:val="none"/>
                <w:u w:val="none"/>
                <w:lang w:val="en-US" w:eastAsia="zh-CN" w:bidi="ar"/>
              </w:rPr>
              <w:t xml:space="preserve">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，桌面采用三聚氰胺浸渍纸饰面，耐磨、不褪色；基材采用实木颗粒刨花板，甲醛释放量符合GB/T 39600-2021《人造板及其制品甲醛释放量分级》，GB18580-2017《室内装饰装修材料人造板及其制品中甲醛释放限量》，甲醛释放量≤0.025</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g/</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³。桌面板材厚度</w:t>
            </w:r>
            <w:r>
              <w:rPr>
                <w:rFonts w:hint="eastAsia" w:ascii="宋体" w:hAnsi="宋体" w:eastAsia="宋体" w:cs="宋体"/>
                <w:color w:val="000000"/>
                <w:highlight w:val="none"/>
                <w:lang w:val="en-US" w:eastAsia="zh-CN"/>
              </w:rPr>
              <w:t xml:space="preserve">≥</w:t>
            </w:r>
            <w:r>
              <w:rPr>
                <w:rFonts w:hint="eastAsia" w:ascii="宋体" w:hAnsi="宋体" w:eastAsia="宋体" w:cs="宋体"/>
                <w:i w:val="0"/>
                <w:color w:val="000000"/>
                <w:sz w:val="21"/>
                <w:szCs w:val="21"/>
                <w:highlight w:val="none"/>
                <w:u w:val="none"/>
                <w:lang w:val="en-US" w:eastAsia="zh-CN" w:bidi="ar"/>
              </w:rPr>
              <w:t xml:space="preserve">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，长期使用不变</w:t>
            </w:r>
            <w:r>
              <w:rPr>
                <w:rFonts w:hint="eastAsia" w:ascii="宋体" w:hAnsi="宋体" w:eastAsia="宋体" w:cs="宋体"/>
                <w:i w:val="0"/>
                <w:color w:val="000000"/>
                <w:sz w:val="21"/>
                <w:szCs w:val="21"/>
                <w:highlight w:val="none"/>
                <w:u w:val="none"/>
                <w:lang w:val="en-US" w:eastAsia="zh-CN" w:bidi="ar"/>
              </w:rPr>
              <w:t xml:space="preserve">形，不鼓包。封边条采用优质同色PVC封边条。封边条使用无铅、汞、镉三大重金属的高成份PVC粉做为原料来生产封边条，弹性好，耐撞击，达到国标环保要求；使用助剂及色粉，达到长期使用不变黄；使用水性油墨印刷，纹理清晰，抗紫外线达4-5级；热熔胶：采用优质环保热熔胶，符合GB18583-2008《室内装饰装修材料胶黏剂中有害物质限量》，GB33372-2020《胶粘剂挥发性有机化合物限量》，游离甲醛≤1.0g/kg，苯≤0.20g/kg，甲苯+二甲苯≤10g/kg，总挥发性有机物≤110g/L。钢架采用厚度≥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优质镀锌钢管经激光焊工艺整体焊接成型，确保钢架牢固度高、稳定性强。钢脚与地面接触部位安装有ABS塑料调整脚垫。钢架表面焊接平整、无虚焊、无明显焊疤、焊接处打磨光滑。钢架表面先经过除油、除锈、磷化处理后，再进行表面的静电喷塑，确保钢架表面光滑、无流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实训椅：椅面采用ABS耐冲击塑料一级新料一体射出成型，无毒、无味、强度高，耐冲击强度须能承受5磅榔头重力锤击不得破裂；耐老化性能≥500小时；外观颜色变色评级≥3级；不得采用回收料生产。椅背采用人体工效学原理设计。钢架采用优质高频焊管，焊接采用激光焊接工艺整体焊接成型。钢架表面经抛丸工艺预处理后再做表面的静电粉末喷涂，确保钢架表面光滑、无流痕。</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rPr>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工作椅</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面材采用优质网布。座垫海绵采用高密度定型海绵，透气性好。软硬度适中。黑色尼龙玻纤椅身参照人类体态制成，提供适当的承托力，减轻部分过重的压力负荷，从而促进血液循环，松弛身心。扶手采用PP连体固定扶手。椅脚钢架采用φ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圆管，厚度约为1.8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的黑色弓形架。</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rPr>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功放音箱设备</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铝合金面板，液晶显示屏，内置数字DSP效果器，可通过屏幕菜单进行卡拉OK效果、话筒EQ、音乐EQ进行调节，出厂内置多种效果模式供选择，含双U段充电金属话筒2只</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支持光纤、同轴、蓝牙、USB、AUX输入，支持语音点歌，卡拉OK评分功能，额定功率150W，双声道前置功放。含2只10寸二分频3单元低频反射式卡拉OK音箱，3寸高音单元2个，频宽：500-18khz，10寸低音单元音圈1个：35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 磁钢：100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双磁，频宽：70-8000KHZ，松压盆。额定输入功率（连续、音乐信号、峰值）：≥200W、≥400W、≥500W；频率响应（±3db）70-18Hz</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灵敏度（1W@1</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）92dB</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覆盖角度≥120°×90°（H×V）输出最大声压98dB peak。</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交换机机柜</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尺寸≥600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（宽）*600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（深）*1000㎜（高）；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表面处理</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方孔条、安装横梁：热镀锌板；其余：脱脂、硅烷化处理、静电喷塑。</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rPr>
            </w:r>
            <w:r>
              <w:rPr>
                <w:rFonts w:ascii="宋体" w:hAnsi="宋体" w:cs="宋体"/>
              </w:rPr>
            </w:r>
            <w:r/>
          </w:p>
        </w:tc>
      </w:tr>
      <w:tr>
        <w:trPr>
          <w:trHeight w:val="283"/>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7</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实训室综合布线与布置服务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实训室整体规划符合公共实训基地的建设理念，主题特色鲜明、针对性强，与实训基地整体文化融合；具有专业性、展示性、艺术性，能够激发学生学习兴趣。根据场地布置情况设置，布局合理；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实训室内文化布置</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设备数量结合实训室整体面积对设备合理布局、准确定位，在此基础上对设施、设备进行综合布线（包含（如有）吊顶、静电地板、强弱电设备、线材、插座、其他辅助材料）安装调试直至设备能整体正常运行；确保美观、安全可靠、结构合理，并保证其强度、稳定性、可靠性，达到采购人要求；材料品种、规格、性能符合国家行业有关标准规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桥架或地面走线、设计布置合理，走线规范</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所有材料如桥架、线槽、电源接口电源线、网线、气管等材料必须符合国家质量标准，对易损部分采取特别保护措施；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布线不影响外观，不影响正常的实训，满足设备使用所需；布线、安装调试要求按照国家有关法律规范安全标准进行，确保安全可靠。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项</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rPr>
            </w:r>
            <w:r>
              <w:rPr>
                <w:rFonts w:ascii="宋体" w:hAnsi="宋体" w:cs="宋体"/>
              </w:rPr>
            </w:r>
            <w:r/>
          </w:p>
        </w:tc>
      </w:tr>
      <w:tr>
        <w:trPr>
          <w:trHeight w:val="283"/>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bCs/>
                <w:i w:val="0"/>
                <w:color w:val="000000"/>
                <w:sz w:val="21"/>
                <w:szCs w:val="21"/>
                <w:highlight w:val="none"/>
                <w:u w:val="none"/>
              </w:rPr>
              <w:t xml:space="preserve">纺织服装系-焊接技术实训</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焊接电弧光防护隔板</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1.采用防火岩棉板材料；含工位安装，阻燃垫，工位内设备供电箱桥架、电管布线（2路380V、1路220V、220V插座模块，辅助照明）。</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2.尺寸：约2.5</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*2.5</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*1.6</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（18间）；约3.2</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*3.5</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*1.6</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（2间）。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注：实训室内已有不低于450KW容量配电柜。</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焊烟除尘净化系统</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1.采用1套独立的自动清灰型中央一体柜式烟尘净化主机（风机、滤芯置于同一净化主机柜内）；</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2.单台主机风机出口采用双向出风口设计、电机功率≥7.5kw×2台 （每台主机使用2台电机，可分别启动，有效降低能耗，可满足10个工位使用）；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3.风量≥16000 </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³/h、压力≥2500pa；</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4.吸气臂长度：3</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（含立柱9套）</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5.电控柜：≥15kw；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6.提供备用主机滤筒1套；</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7.风管按照目标场地要求新管制安；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8.现有除尘设备移机（含吸气臂及立柱）</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焊接实训台架</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1.支架需磷化处理；含支架基础安装。焊接全位置，可转动360度，满足学校日常焊接教学、承办各级焊接赛事需求。</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15</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实训数字直流氩弧焊机</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1.IGBT逆变技术；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2.工作电压范围宽3相 266~456V 50~60Hz；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3.具有多种氩弧操作方式高频引弧；</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4.绝缘等级≥F，外壳保护等级≥IP23S；</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5.数显表显示并具备一元化旋钮精确预设焊接参数；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6.输出电流调节范围</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≥5A-410A；</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7.引弧时间</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0.01S-1S；</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8.上下坡时间</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≥0.1S-99.9S；</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9.提前送气</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0S-13S，滞后停气</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0.1S-50S；</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10.焊条电弧焊起弧时，具有长时间大电流短路不烧焊条，防粘条功能；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11.DSP数字化焊机；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12.具有RS-485通讯接口可与RC-6、RC-7遥控器通讯；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13.配置（氩弧焊枪，焊把线，地线，电焊钳，地线夹）。</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15</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实训熔化极气体保护焊机</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1.IGBT逆变技术；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2.电源电压适应范围宽3相380V±10% 50~60Hz；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3.焊接操作方式分二步/四步；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4.数字精准显示焊接电压，焊接电流≥20A-350A；</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5.慢送丝启动，提高引弧成功率；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6.送丝机构为双轮驱动，送丝平稳；</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7.引弧容易，具有收弧去小球功能；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8.采用单片机控制，采用波形控制；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9.电源动态品质优异，焊接全过程实时波控；</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10.具有预设焊接电压、送丝速度及焊丝直径选择等功能；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11.调节范围</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15V-40V；</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12.送丝速度</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2-25</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in；</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13.焊丝直径</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 可选；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14.散热设计合理，保护功能完善；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15.绝缘等级≥F</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外壳保护等级≥IP23；</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16.配置（气保焊枪，地线，地线夹，快速插头）。</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15</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实训半自动数字等离子切割机</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1.额定输入电压：3 相 380V±15% 50~60Hz；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2.输出电流：≥100A；</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3.全数字化控制系统，电流稳定，电弧集中度高，切口质量好；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4.非高频起弧方式，无高频干扰；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5.网格连弧切割功能，方便切割，不用频繁起弧；</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6.具有等离子弧气刨功能；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7.配高速联控仿形小车；</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8.提供≥0.8</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Pa压缩空气气源。</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7</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切割台架</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满足学校日常半自动等离子切割需求。外形尺寸：约1.5米（长）×0.8米（宽）×0.4米（高）；碳钢焊接主体，台面碳钢板。</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8</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实训机器人</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both"/>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1.工业机器人本体</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轴数：6轴；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有效负载：12Kg；</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重复定位精度：±0.03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，最大臂展：1479</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本体重量：165Kg；</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本体防护等级：IP54；</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能耗：2.5Kw；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电柜防护等级：IP54；</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手腕防护等级：IP67；</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手腕允许扭矩：4轴 26N.</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；5轴 26N.</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；6轴 11N.</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手腕允许转动惯量：4轴 0.9Kg.㎡；5轴 0.9Kg.㎡；6轴 0.3Kg.㎡；</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最大单轴运动速度：1轴265°/sec；2轴 255°/sec；3轴 270°/sec；4轴 450°/sec；5轴 450°/sec；6轴 700°/sec；</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各周运动范围：1轴 ±170°； 2轴 +85°/ -150°；3轴 +175°/ -85°；4轴 ±190°；5轴±140°（线缆内置）；6轴±220°（线缆内置）。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2.工业机器人控制器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示教器：TFT 8-inch LCD、触摸屏、键盘、热插拔功能、模式选择开关（3种）、急停按钮；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控制轴数：6轴+外部轴（选配）；</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接口：USB、以太网、数字IO（8个数字输入/8个数字输出（支持扩展））；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通讯方式：TCP/IP、</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odbus-TCP、CANOPEN、ProfibusDP、ProfiNet、EtherCAT；</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运动方式：点到点、直线、圆弧；</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坐标系：关节坐标系、机器人坐标系、用户坐标系、工具坐标系；</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异常检测：急停异常、伺服异常、语句异常、各种弧焊异常等；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软件包：焊接；</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链接电缆：标配长度8</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，支持常规定制12</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、16</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、20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供电电源：3×380V±10%，50/60Hz；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电柜防护等级：IP54，散热单元 IP30；</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环境温度：0—40℃；</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重量：125Kg。</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9</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焊条保温桶</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1.DC60-90V；5KG</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20</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打磨台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1.台架使用工业钢喷漆、抗变形、耐腐蚀、台面绝缘；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2.配2套台虎钳；</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3.工作台垂直承重≥1000KG；</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4.带灯架、挂板、抽屉</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监控</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1.包含26头4K高清摄像头（含支架）；中央电脑主机；视频档案查看终端</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≥70 英寸）；中央存储硬盘；桥架布线（监控范围：22个工位加4条通道）</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锯床</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1.锯割范围：约320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2.线速度：30/45/60/80（</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m</w:t>
            </w:r>
            <w:r>
              <w:rPr>
                <w:rFonts w:hint="eastAsia" w:ascii="宋体" w:hAnsi="宋体" w:eastAsia="宋体" w:cs="宋体"/>
                <w:i w:val="0"/>
                <w:color w:val="000000"/>
                <w:sz w:val="21"/>
                <w:szCs w:val="21"/>
                <w:highlight w:val="none"/>
                <w:u w:val="none"/>
                <w:lang w:val="en-US" w:eastAsia="zh-CN" w:bidi="ar"/>
              </w:rPr>
              <w:t xml:space="preserve">in） 锯条规格：约1.1×34×4115（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3.主电机：3.0KW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4.液压电机：0.55KW冷却电机：0.04KW重要提示：</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智慧工具箱</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1.双门，带抽屉、工具挂板。约 630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*410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*1210</w:t>
            </w:r>
            <w:r>
              <w:rPr>
                <w:rFonts w:hint="eastAsia" w:ascii="宋体" w:hAnsi="宋体" w:eastAsia="宋体" w:cs="宋体"/>
                <w:i w:val="0"/>
                <w:color w:val="000000"/>
                <w:sz w:val="21"/>
                <w:szCs w:val="21"/>
                <w:highlight w:val="none"/>
                <w:u w:val="none"/>
                <w:lang w:val="en-US" w:eastAsia="zh-CN" w:bidi="ar"/>
              </w:rPr>
              <w:t xml:space="preserve">mm</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20</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常用工具</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1.12寸活动扳手、尖嘴钳、十字起、一字起、敲渣锤。</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20</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实训室综合布线与布置服务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根据设备数量结合实训室整体面积对设备合理布局、准确定位，在此基础上对设施、设备进行综合布线、安装调试直至设备能整体正常运行；确保美观、安全可靠、结构合理，并保证其强度、稳定性、可靠性，达到采购人要求；材料品种、规格、性能符合国家行业有关标准规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2.桥架或地面走线、设计布置合理，走线规范</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所有材料如桥架、线槽、电源接口电源线、网线、气管等材料必须符合国家质量标准，对易损部分采取特别保护措施；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3.根据实训室环境进行一定的文化元素布置。</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项</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16</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集中供气</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1.为20个工位提供独立的氩气、CO2气源；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2.全部使用不锈钢管供气到每个工位，工位安装独立气阀；CO2流量计、氩气双头流量计。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3.系统含所需配套铜制汇流排、减压器、阀门、流量计等全部必要器件；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4.保证系统供气安全、有效，管路设计合理。</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bCs/>
                <w:i w:val="0"/>
                <w:color w:val="000000"/>
                <w:sz w:val="21"/>
                <w:szCs w:val="21"/>
                <w:highlight w:val="none"/>
                <w:u w:val="none"/>
              </w:rPr>
              <w:t xml:space="preserve">纺织服装系-纺织综合实训</w:t>
            </w:r>
            <w:r>
              <w:rPr>
                <w:rFonts w:ascii="宋体" w:hAnsi="宋体" w:cs="宋体"/>
              </w:rPr>
            </w:r>
            <w:r/>
          </w:p>
        </w:tc>
      </w:tr>
      <w:tr>
        <w:trPr>
          <w:trHeight w:val="270"/>
        </w:trPr>
        <w:tc>
          <w:tcPr>
            <w:gridSpan w:val="6"/>
            <w:shd w:val="clear" w:color="auto" w:fill="ffffff"/>
            <w:tcMar>
              <w:left w:w="15" w:type="dxa"/>
              <w:top w:w="15" w:type="dxa"/>
              <w:right w:w="15" w:type="dxa"/>
            </w:tcMar>
            <w:tcW w:w="9928" w:type="dxa"/>
            <w:vAlign w:val="center"/>
            <w:textDirection w:val="lrTb"/>
            <w:noWrap w:val="false"/>
          </w:tcPr>
          <w:p>
            <w:pPr>
              <w:pStyle w:val="885"/>
              <w:jc w:val="center"/>
              <w:rPr>
                <w:rFonts w:hint="eastAsia" w:ascii="宋体" w:hAnsi="宋体" w:cs="宋体"/>
                <w:i w:val="0"/>
                <w:color w:val="000000"/>
                <w:sz w:val="22"/>
                <w:szCs w:val="22"/>
                <w:highlight w:val="none"/>
                <w:u w:val="none"/>
              </w:rPr>
            </w:pPr>
            <w:r>
              <w:rPr>
                <w:rFonts w:hint="eastAsia" w:ascii="宋体" w:hAnsi="宋体" w:eastAsia="宋体" w:cs="宋体"/>
                <w:b/>
                <w:i w:val="0"/>
                <w:color w:val="000000"/>
                <w:sz w:val="20"/>
                <w:szCs w:val="20"/>
                <w:highlight w:val="none"/>
                <w:u w:val="none"/>
                <w:lang w:val="en-US" w:eastAsia="zh-CN" w:bidi="ar"/>
              </w:rPr>
              <w:t xml:space="preserve">小样试织区</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半自动打样实训机</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由控制部分和机械部分组成。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控制部分采用PLC和触摸屏控制，机械部分由电机、电磁吸合装置、接近开关及钢制机架等组成。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布面幅宽：约40厘米</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综框数量：16片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开口高度：约62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电源：220V、50Hz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功率</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750w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每片综框最多可安装280~300根综丝。</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控制屏中可存贮6个纹板；并且预留电脑插口，可以实现PC和PLC通信。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整经：使用机器自带的手动绕纱架制作经纱。</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绕纱架周长1.8米，绕纱1圈即可制作成长度1.8米，总经根数为1的经纱，如绕线100圈，即可制作长度为1.8米，总经根数为100的经纱。绕纱架自带记圈功能，能清楚的知道绕纱圈数。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提综：</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拥有发明专利的电磁提综开口机构，使用伺服电机控制综框起落，开口速度快，噪音小。综框数为16页，每片均由计算机单独控制。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控制中心：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控制中心使用一台6英寸触控屏，安装有工艺软件系统。</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20台以上配群控系统。</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50</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实训凳</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尺寸：约长360*宽240*高450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凳面 材质：优质多层实木/环保PP塑料（甲醛释放量≤0.05mg/m³，符合GB 18580-2017标准），表面处理：耐磨哑光漆/防滑纹理</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凳腿 材质：钢管/铝合金，壁厚≥1.2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，防锈处理工艺；结构：四脚支撑，底部带防滑垫。</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外观无毛刺、无裂纹、无色差。凳腿与凳面连接采用牢固，无晃动、无异响。</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154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矮隔断</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尺寸：约1000*160*1000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，铁艺围栏，方管焊接边框，中心为金属边，上下两端为铁丝网。</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36</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教师讲台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尺寸：约1200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（长）×700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（宽）×900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结构：钢木混合（金属框架+木质台面）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金属框架：40×40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冷轧钢管，壁厚≥1.5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，静电喷塑</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台面：25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厚E1级防火板或实木贴皮，甲醛释放量≤0.5mg/L（E1级），边缘倒圆角</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配有储物空间、静音抽屉或储物仓</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学生学习桌</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规格：约1100*500*750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台面板 采用刨花板（三聚氰胺板），符合国家E1级板材标准，厚度25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，面粘三聚氰胺胶面，PVC封边，具耐磨、防污、牢固耐用。台面形状是长条形。。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前挡板 采用冷轧钢板，壁厚为0.8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 ，档板四周以折弯工艺完成让档板更牢固耐用，抗变型，挡板表面经防锈静电喷涂处理后使挡板更加美观大</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注：挡板长度跟随定制尺寸变化，宽度不变）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侧脚底脚 采用高精度冷轧钢板经冲压折弯而成，脚跨为530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壁厚2.0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，表面采用防锈静电喷涂处理，整体牢固耐用，美观大方，抗变型。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侧脚立柱 脚管采用高精度冷轧方管（30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*60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）表面采用防锈静电喷涂处理，牢固耐用，美观大方，抗变型。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横梁 采用φ50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圆形冷轧钢管，长度为1035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表面再经防锈静电喷涂处理，实用牢固，承受力大。（横梁长度跟随定制尺寸变化）</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书网 采用φ14</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圆管</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厚度为0.8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经塑料件与圆管组合成型表面采用防锈静电喷涂处理。</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书网长度跟随定制尺寸变化）</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综合布线服务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技术参数：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含50台新半自动打样机（电动）、16台旧全自动剑杆织样机（气动）、10台旧半自动打样机（气动）、50台旧半自动打样机的工位布线，强电，国标，含辅材，含人工费。提供平面布置图，强电、弱电图纸。</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项</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7</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旧机拆装服务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技术参数：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对原设备进行保护性拆除、安装、调试。</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项</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i w:val="0"/>
                <w:color w:val="000000"/>
                <w:sz w:val="21"/>
                <w:szCs w:val="21"/>
                <w:highlight w:val="none"/>
                <w:u w:val="none"/>
                <w:lang w:val="en-US" w:eastAsia="zh-CN" w:bidi="ar"/>
              </w:rPr>
              <w:t xml:space="preserve">纺织CAD实训室（1）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交换机机柜</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尺寸≥600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（宽）*600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（深）*1000㎜（高）；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兼容ETSI标准；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表面处理</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方孔条、安装横梁：热镀锌板；其余：脱脂、硅烷化处理、静电喷塑。</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教师多媒体智能台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1.尺寸规格：讲台约长1100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×宽700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×高1050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，适配23.8寸以上显示器。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2.材质工艺：优质冷轧钢板（≥1.2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）静电喷塑，E1级耐磨台面（≥25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），边角圆弧防撞，无毛刺，连续焊接，打磨平整，无虚焊，承重≥100kg。</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3.功能结构：预留设备仓，可安装电脑主机、功放等，有防尘散热设计。</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教师椅</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座高可调节，气压升降，最大座高≥530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，人体工学设计，网布椅背、高密度海绵坐垫、钢制脚架，承重≥100kg。</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学生电脑桌</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规格：约1600*700*750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主体钢架用20*50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方管，弯管厚度1.2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，竖管厚度1.0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，机箱位采用20*20*1.0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方管，配焊铁皮网片。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钢架经激光切割、弯曲、二氧化碳焊接而成。铁皮网片：采用知名品牌0.60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冷轧板，经激光裁切剪板、冲压、折边而成。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桌面采用E1级环保型颗粒板贴面，25㎜厚，四面直边，桌面预留2个60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出线孔，方便设备连接（颜色待定）</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金属外表经酸洗除油、磷化镀膜、静电喷涂、高温固化处理而成。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整体结构采用可拆卸式，螺丝安装固定，组装方便快捷。</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实训凳</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尺寸：约长360*宽240*高450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凳面 材质：优质多层实木/环保PP塑料（甲醛释放量≤0.05mg/m³，符合GB 18580-2017标准），表面处理：耐磨哑光漆/防滑纹理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凳腿 材质：钢管/铝合金，壁厚≥1.2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，防锈处理工艺；结构：四脚支撑，底部带防滑垫。</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外观无毛刺、无裂纹、无色差。凳腿与凳面连接采用牢固，无晃动、无异响。</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综合布线及布置服务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设备数量结合实训室整体面积对设备合理布局、准确定位，在此基础上对设施、设备进行综合布线、安装调试直至设备能整体正常运行；确保美观、安全可靠、结构合理，并保证其强度、稳定性、可靠性，达到采购人要求；材料品种、规格、性能符合国家行业有关标准规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桥架或地面走线、设计布置合理，走线规范</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所有材料如桥架、线槽、电源接口电源线、网线、气管等材料必须符合国家质量标准，对易损部分采取特别保护措施；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根据实训室环境进行一定的文化元素布置。</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项</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i w:val="0"/>
                <w:color w:val="000000"/>
                <w:sz w:val="21"/>
                <w:szCs w:val="21"/>
                <w:highlight w:val="none"/>
                <w:u w:val="none"/>
                <w:lang w:val="en-US" w:eastAsia="zh-CN" w:bidi="ar"/>
              </w:rPr>
              <w:t xml:space="preserve">纺织CAD实训室（2）</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交换机机柜</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尺寸≥600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（宽）*600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（深）*1000㎜（高）；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兼容ETSI标准；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表面处理</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方孔条、安装横梁：热镀锌板；其余：脱脂、硅烷化处理、静电喷塑。</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教师多媒体智能台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1.尺寸规格：讲台长约1100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×宽700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×高1050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，适配23.8寸以上显示器。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2.材质工艺：优质冷轧钢板（≥1.2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）静电喷塑，E1级耐磨台面（≥25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），边角圆弧防撞，无毛刺，连续焊接，打磨平整，无虚焊，承重≥100kg。</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3.功能结构：预留设备仓，可安装电脑主机、功放等，有防尘散热设计。</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教师椅</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座高可调节，气压升降，最大座高≥530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，人体工学设计，网布椅背、高密度海绵坐垫、钢制脚架，承重≥100kg。</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学生电脑桌</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规格：约1600*700*750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主体钢架用20*50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方管，弯管厚度1.2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，竖管厚度1.0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，机箱位采用20*20*1.0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方管，配焊铁皮网片。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钢架经激光切割、弯曲、二氧化碳焊接而成。铁皮网片：采用知名品牌0.60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冷轧板，经激光裁切剪板、冲压、折边而成。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桌面采用E1级环保型颗粒板贴面，25㎜厚，四面直边，桌面预留2个60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出线孔，方便设备连接（颜色待定）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金属外表经酸洗除油、磷化镀膜、静电喷涂、高温固化处理而成。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整体结构采用可拆卸式，螺丝安装固定，组装方便快捷。</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实训凳</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尺寸：约长360*宽240*高450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凳面 材质：优质多层实木/环保PP塑料（甲醛释放量≤0.05mg/m³，符合GB 18580-2017标准），表面处理：耐磨哑光漆/防滑纹理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凳腿 材质：钢管/铝合金，壁厚≥1.2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，防锈处理工艺；结构：四脚支撑，底部带防滑垫。</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外观无毛刺、无裂纹、无色差。凳腿与凳面连接采用牢固，无晃动、无异响。</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综合布线及布置服务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设备数量结合实训室整体面积对设备合理布局、准确定位，在此基础上对设施、设备进行综合布线、安装调试直至设备能整体正常运行；确保美观、安全可靠、结构合理，并保证其强度、稳定性、可靠性，达到采购人要求；材料品种、规格、性能符合国家行业有关标准规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桥架或地面走线、设计布置合理，走线规范</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所有材料如桥架、线槽、电源接口电源线、网线、气管等材料必须符合国家质量标准，对易损部分采取特别保护措施；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根据实训室环境进行一定的文化元素布置。</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项</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i w:val="0"/>
                <w:color w:val="000000"/>
                <w:sz w:val="21"/>
                <w:szCs w:val="21"/>
                <w:highlight w:val="none"/>
                <w:u w:val="none"/>
                <w:lang w:val="en-US" w:eastAsia="zh-CN" w:bidi="ar"/>
              </w:rPr>
              <w:t xml:space="preserve">面料设计技能训练室</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实训凳</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尺寸：约长360*宽240*高450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凳面 材质：优质多层实木/环保PP塑料（甲醛释放量≤0.05mg/m³，符合GB 18580-2017标准），表面处理：耐磨哑光漆/防滑纹理</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凳腿 材质：钢管/铝合金，壁厚≥1.2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，防锈处理工艺；结构：四脚支撑，底部带防滑垫。</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外观无毛刺、无裂纹、无色差。凳腿与凳面连接采用牢固，无晃动、无异响。</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学生实践桌</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尺寸：约2400*1200*750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；桌面：台面MFC板材，环保板材达到E0级环保标准；钢架采用40*40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冷轧钢管，优质五金架，经酸洗磷化喷塑处理。</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i w:val="0"/>
                <w:color w:val="000000"/>
                <w:sz w:val="21"/>
                <w:szCs w:val="21"/>
                <w:highlight w:val="none"/>
                <w:u w:val="none"/>
                <w:lang w:val="en-US" w:eastAsia="zh-CN" w:bidi="ar"/>
              </w:rPr>
              <w:t xml:space="preserve">纺织面料分析室（1）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教师专用演示设备</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规格：约1500*700*900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2.结构：设备为落地式结构，可以单独或组合使用。所有设备正面应为平装嵌入式结构设计，以避免勾住实验袍等造成意外。所有钣金的表面接缝满焊，焊接处均应打磨平整以保持为连续的平滑表面。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3.框架：主框架采用裸板实际厚度≥1.0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厚冷轧钢板经激光切割折弯成型、焊接制作，表面经磷化处理、环氧树脂静电粉末涂装处理（涂装厚度为70μm）。拉手：采用不锈钢拉手；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4.合页：采用不锈钢模具一体成型，强度可以承受60kg重量不脱落；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5.滑轨：三节重型滚珠静音滑轨；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6.门吸：尼龙材质；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7.可调脚：采用全钢可调脚，不锈钢金属螺杆，高度可调节，调节范围为30-50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学生实践台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规格：约800*600*800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1.全木结构；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3.柜身：柜身为落地式，基材为16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厚E1级实验室专用三聚氰胺板制作。可见截面均经过PVC封边</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贴面和封边部件应严密、平整，不允许脱胶、鼓泡、凹陷、压痕以及表面划伤、麻点、裂痕、崩角和刃口，外表的圆角、倒棱应均匀一致；设置一个桌斗，桌斗下学生位镂空。</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规格：约L*600*800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规格：约L*600*800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5.5</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规格：约L*600*800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4.6</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规格：约L*600*800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7</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实验室岛式电源</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钢制线盒，主框架采用裸板实际厚度不小于1.0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厚优质钢材产一级冷轧钢板经CNC机压成形、焊接制作，表面经磷化处理、环氧树脂静电粉末涂装处理。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2.220V交流输出为1个新国标五孔插座，插座上配备透明防尘盖</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20</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8</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固定电源</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设备专用固定电源</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9</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规格：约L*750*800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PP水槽</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规格：约500*400*310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（1）所有水槽须为耐酸碱的聚丙烯材质。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（2）规格：长宽高的偏差不大于2</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（3）除有特殊说明，所有水槽颜色为黑色。</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（4）所有水槽须为表面光滑，各角落平整，底部向落水头处倾斜，并能与台面板紧密结合的款式。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（5）除有特殊说明者外，所有水槽出水口处均应配备聚丙烯材质存水弯堵臭装置。</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三口龙头</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（1）技术要求：主体：铜质（可根据要求生产不锈钢）涂层：高亮度环氧树脂，阀芯：陶瓷，90度旋转，鹅颈管：可360度旋转，折角管：可360度旋转，旋钮把手：高密度PP（HDPP），肘动把手：高密度PP（HDPP）</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（2）性能参数：额定工作压力：690kPa/6.9bar/100psi，工作压力范围：140kPa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20psi</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至860kPa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125psi</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，额定温度：5°C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40°F</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至71°C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160°F</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，爆破压力：阀体关闭时可承受3450kPa的液体压力达1分钟。</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实训凳</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尺寸：约长360*宽240*高450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凳面 材质：优质多层实木/环保PP塑料（甲醛释放量≤0.05mg/m³，符合GB 18580-2017标准），表面处理：耐磨哑光漆/防滑纹理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凳腿 材质：钢管/铝合金，壁厚≥1.2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，防锈处理工艺；结构：四脚支撑，底部带防滑垫。</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外观无毛刺、无裂纹、无色差。凳腿与凳面连接采用牢固，无晃动、无异响。</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纱线捻度仪</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1.采用微电脑控制，LED显示。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2.高精度滚动轴承之承的摆动片结合件转动灵敏可靠。</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3.适用标准：GB/T2543.1；GB/T2543.2；FZ/T10001；GB/T14345；ISO2061；BS2085；ASTM D1422/1423；JISL1095</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4.试验方法：直接计数法；一次退捻加捻法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5.试验长度：25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50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100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200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250，500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6.测量范围：1~9999.9捻</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7.试验转速：300~2000r/min 数字设定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8.电源电压：AC220V</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9.功率：20W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10.外形尺寸：970×150×310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（L×W×H）</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综合布线及布置服务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设备数量结合实训室整体面积对设备合理布局、准确定位，在此基础上对设施、设备进行综合布线、安装调试直至设备能整体正常运行；确保美观、安全可靠、结构合理，并保证其强度、稳定性、可靠性，达到采购人要求；材料品种、规格、性能符合国家行业有关标准规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桥架或地面走线、设计布置合理，走线规范</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所有材料如桥架、线槽、电源接口电源线、网线、气管等材料必须符合国家质量标准，对易损部分采取特别保护措施；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根据实训室环境进行一定的文化元素布置。</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项</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i w:val="0"/>
                <w:color w:val="000000"/>
                <w:sz w:val="21"/>
                <w:szCs w:val="21"/>
                <w:highlight w:val="none"/>
                <w:u w:val="none"/>
                <w:lang w:val="en-US" w:eastAsia="zh-CN" w:bidi="ar"/>
              </w:rPr>
              <w:t xml:space="preserve">纺织面料分析室（2）</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教师专用演示设备</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规格：约1500*700*900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2.结构：设备为落地式结构，可以单独或组合使用。所有设备正面应为平装嵌入式结构设计，以避免勾住实验袍等造成意外。所有钣金的表面接缝满焊，焊接处均应打磨平整以保持为连续的平滑表面。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3.框架：主框架采用裸板实际厚度≥1.0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厚冷轧钢板经激光切割折弯成型、焊接制作，表面经磷化处理、环氧树脂静电粉末涂装处理（涂装厚度为70μm）。拉手：采用不锈钢拉手；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4.合页：采用不锈钢模具一体成型，强度可以承受60kg重量不脱落；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5.滑轨：三节重型滚珠静音滑轨；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6.门吸：尼龙材质；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7.可调脚：采用全钢可调脚，不锈钢金属螺杆，高度可调节，调节范围为30-50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学生实践台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规格：约800*600*800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1.全木结构；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3.柜身：柜身为落地式，基材为16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厚E1级实验室专用三聚氰胺板制作。可见截面均经过PVC封边</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贴面和封边部件应严密、平整，不允许脱胶、鼓泡、凹陷、压痕以及表面划伤、麻点、裂痕、崩角和刃口，外表的圆角、倒棱应均匀一致；设置一个桌斗，桌斗下学生位镂空。</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规格：约L*600*800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规格：约L*600*800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规格：约L*600*800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规格：约L*600*800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7</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实验室岛式电源</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钢制线盒，主框架采用裸板实际厚度不小于1.0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厚优质钢材产一级冷轧钢板经CNC机压成形、焊接制作，表面经磷化处理、环氧树脂静电粉末涂装处理。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2.220V交流输出为1个新国标五孔插座，插座上配备透明防尘盖</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20</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8</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固定电源</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设备专用固定电源</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9</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规格：约L*750*800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PP水槽</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规格：约500*400*310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（1）所有水槽须为耐酸碱的聚丙烯材质。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（2）规格：长宽高的偏差不大于2</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（3）除有特殊说明，所有水槽颜色为黑色。</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（4）所有水槽须为表面光滑，各角落平整，底部向落水头处倾斜，并能与台面板紧密结合的款式。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（5）除有特殊说明者外，所有水槽出水口处均应配备聚丙烯材质存水弯堵臭装置。</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三口龙头</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（1）技术要求：主体：铜质（可根据要求生产不锈钢）涂层：高亮度环氧树脂，阀芯：陶瓷，90度旋转，鹅颈管：可360度旋转，折角管：可360度旋转，旋钮把手：高密度PP（HDPP），肘动把手：高密度PP（HDPP）</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（2）性能参数：额定工作压力：690kPa/6.9bar/100psi，工作压力范围：140kPa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20psi</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至860kPa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125psi</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，额定温度：5°C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40°F</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至71°C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160°F</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，爆破压力：阀体关闭时可承受3450kPa的液体压力达1分钟。</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实训凳</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尺寸：约长360*宽240*高450 </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凳面 材质：优质多层实木/环保PP塑料（甲醛释放量≤0.05mg/m³，符合GB 18580-2017标准），表面处理：耐磨哑光漆/防滑纹理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凳腿 材质：钢管/铝合金，壁厚≥1.2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，防锈处理工艺；结构：四脚支撑，底部带防滑垫。</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外观无毛刺、无裂纹、无色差。凳腿与凳面连接采用牢固，无晃动、无异响。</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综合布线及布置服务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设备数量结合实训室整体面积对设备合理布局、准确定位，在此基础上对设施、设备进行综合布线、安装调试直至设备能整体正常运行；确保美观、安全可靠、结构合理，并保证其强度、稳定性、可靠性，达到采购人要求；材料品种、规格、性能符合国家行业有关标准规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桥架或地面走线、设计布置合理，走线规范</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所有材料如桥架、线槽、电源接口电源线、网线、气管等材料必须符合国家质量标准，对易损部分采取特别保护措施；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根据实训室环境进行一定的文化元素布置。</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项</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i w:val="0"/>
                <w:color w:val="000000"/>
                <w:sz w:val="21"/>
                <w:szCs w:val="21"/>
                <w:highlight w:val="none"/>
                <w:u w:val="none"/>
                <w:lang w:val="en-US" w:eastAsia="zh-CN" w:bidi="ar"/>
              </w:rPr>
              <w:t xml:space="preserve">纺织材料检验室</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教师专用演示设备</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规格：约1500*700*900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2.结构：设备为落地式结构，可以单独或组合使用。所有设备正面应为平装嵌入式结构设计，以避免勾住实验袍等造成意外。所有钣金的表面接缝满焊，焊接处均应打磨平整以保持为连续的平滑表面。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3.框架：主框架采用裸板实际厚度≥1.0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厚冷轧钢板经激光切割折弯成型、焊接制作，表面经磷化处理、环氧树脂静电粉末涂装处理（涂装厚度为70μm）。拉手：采用不锈钢拉手；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4.合页：采用不锈钢模具一体成型，强度可以承受60kg重量不脱落；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5.滑轨：三节重型滚珠静音滑轨；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6.门吸：尼龙材质；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7.可调脚：采用全钢可调脚，不锈钢金属螺杆，高度可调节，调节范围为30-50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中央实训台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规格：约L*1500*800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1.钢木结构；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钢架部分：主框架采用优质方管，焊接成型，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4.书包斗：主框架采用裸板实际厚度不小于0.8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厚优质镀锌钢板经激光切割折弯成型、焊接制作，表面经磷化处理、环氧树脂静电粉末涂装处理（涂装厚度为70μm）。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5.可调脚：采用ABS专用注塑可调脚，金属螺杆，高度可调节，防滑减震</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中央实训台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规格：约L*1500*800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1.钢木结构；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钢架部分：主框架采用优质方管，焊接成型，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4.书包斗：主框架采用裸板实际厚度不小于0.8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厚优质镀锌钢板经激光切割折弯成型、焊接制作，表面经磷化处理、环氧树脂静电粉末涂装处理（涂装厚度为70μm）。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5.可调脚：采用ABS专用注塑可调脚，金属螺杆，高度可调节，防滑减震；</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中央实训台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规格：约L*1500*800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1.钢木结构；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钢架部分：主框架采用优质方管，焊接成型，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4.书包斗：主框架采用裸板实际厚度不小于0.8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厚优质镀锌钢板经激光切割折弯成型、焊接制作，表面经磷化处理、环氧树脂静电粉末涂装处理（涂装厚度为70μm）。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5.可调脚：采用ABS专用注塑可调脚，金属螺杆，高度可调节，防滑减震</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中央实训台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规格：约L*1500*800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1.钢木结构；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钢架部分：主框架采用优质方管，焊接成型，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4.书包斗：主框架采用裸板实际厚度不小于0.8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厚优质镀锌钢板经激光切割折弯成型、焊接制作，表面经磷化处理、环氧树脂静电粉末涂装处理（涂装厚度为70μm）。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5.可调脚：采用ABS专用注塑可调脚，金属螺杆，高度可调节，防滑减震</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规格：约L*750*800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8.2</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7</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规格：约L*750*800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7.9</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8</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规格：约L*750*800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9</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规格：约L*750*800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1.6</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实验室岛式电源</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钢制线盒，主框架采用裸板实际厚度不小于1.0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厚优质钢材产一级冷轧钢板经CNC机压成形、焊接制作，表面经磷化处理、环氧树脂静电粉末涂装处理。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220V交流输出为1个新国标五孔插座，插座上配备透明防尘盖</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16</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固定电源</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设备专用固定电源</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规格：约L*750*800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PP水槽</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规格：约500*400*310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（1）所有水槽须为耐酸碱的聚丙烯材质。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（2）规格：长宽高的偏差不大于2</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（3）除有特殊说明，所有水槽颜色为黑色。</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（4）所有水槽须为表面光滑，各角落平整，底部向落水头处倾斜，并能与台面板紧密结合的款式。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（5）除有特殊说明者外，所有水槽出水口处均应配备聚丙烯材质存水弯堵臭装置。</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三口龙头</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（1）技术要求：主体：铜质（可根据要求生产不锈钢）涂层：高亮度环氧树脂，阀芯：陶瓷，90度旋转，鹅颈管：可360度旋转，折角管：可360度旋转，旋钮把手：高密度PP（HDPP），肘动把手：高密度PP（HDPP）</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（2）性能参数：额定工作压力：690kPa/6.9bar/100psi，工作压力范围：140kPa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20psi</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至860kPa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125psi</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，额定温度：5°C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40°F</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至71°C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160°F</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，爆破压力：阀体关闭时可承受3450kPa的液体压力达1分钟。</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实训凳</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尺寸：约长360*宽240*高450 </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凳面 材质：优质多层实木/环保PP塑料（甲醛释放量≤0.05mg/m³，符合GB 18580-2017标准），表面处理：耐磨哑光漆/防滑纹理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凳腿 材质：钢管/铝合金，壁厚≥1.2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，防锈处理工艺；结构：四脚支撑，底部带防滑垫。</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外观无毛刺、无裂纹、无色差。凳腿与凳面连接采用牢固，无晃动、无异响。</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16</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综合布线及布置服务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设备数量结合实训室整体面积对设备合理布局、准确定位，在此基础上对设施、设备进行综合布线、安装调试直至设备能整体正常运行；确保美观、安全可靠、结构合理，并保证其强度、稳定性、可靠性，达到采购人要求；材料品种、规格、性能符合国家行业有关标准规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桥架或地面走线、设计布置合理，走线规范</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所有材料如桥架、线槽、电源接口电源线、网线、气管等材料必须符合国家质量标准，对易损部分采取特别保护措施；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根据实训室环境进行一定的文化元素布置。</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项</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i w:val="0"/>
                <w:color w:val="000000"/>
                <w:sz w:val="21"/>
                <w:szCs w:val="21"/>
                <w:highlight w:val="none"/>
                <w:u w:val="none"/>
                <w:lang w:val="en-US" w:eastAsia="zh-CN" w:bidi="ar"/>
              </w:rPr>
              <w:t xml:space="preserve">纤维测试室（1）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教师专用演示设备</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规格：约1500*700*900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2.结构：设备为落地式结构，可以单独或组合使用。所有设备正面应为平装嵌入式结构设计，以避免勾住实验袍等造成意外。所有钣金的表面接缝满焊，焊接处均应打磨平整以保持为连续的平滑表面。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3.框架：主框架采用裸板实际厚度≥1.0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厚冷轧钢板经激光切割折弯成型、焊接制作，表面经磷化处理、环氧树脂静电粉末涂装处理（涂装厚度为70μm）。拉手：采用不锈钢拉手；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4.合页：采用不锈钢模具一体成型，强度可以承受60kg重量不脱落；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5.滑轨：三节重型滚珠静音滑轨；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6.门吸：尼龙材质；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7.可调脚：采用全钢可调脚，不锈钢金属螺杆，高度可调节，调节范围为30-50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中央实训台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规格：约L*1500*800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1.钢木结构；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钢架部分：主框架采用优质方管，焊接成型，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4.书包斗：主框架采用裸板实际厚度不小于0.8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厚优质镀锌钢板经激光切割折弯成型、焊接制作，表面经磷化处理、环氧树脂静电粉末涂装处理（涂装厚度为70μm）。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5.可调脚：采用ABS专用注塑可调脚，金属螺杆，高度可调节，防滑减震；</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中央实训台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规格：约L*1500*800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1.钢木结构；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钢架部分：主框架采用优质方管，焊接成型，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4.书包斗：主框架采用裸板实际厚度不小于0.8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厚优质镀锌钢板经激光切割折弯成型、焊接制作，表面经磷化处理、环氧树脂静电粉末涂装处理（涂装厚度为70μm）。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5.可调脚：采用ABS专用注塑可调脚，金属螺杆，高度可调节，防滑减震；</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中央实训台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规格：约L*1500*800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1.钢木结构；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钢架部分：主框架采用优质方管，焊接成型，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4.书包斗：主框架采用裸板实际厚度不小于0.8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厚优质镀锌钢板经激光切割折弯成型、焊接制作，表面经磷化处理、环氧树脂静电粉末涂装处理（涂装厚度为70μm）。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5.可调脚：采用ABS专用注塑可调脚，金属螺杆，高度可调节，防滑减震</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中央实训台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规格：约L*1500*800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1.钢木结构；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钢架部分：主框架采用优质方管，焊接成型，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4.书包斗：主框架采用裸板实际厚度不小于0.8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厚优质镀锌钢板经激光切割折弯成型、焊接制作，表面经磷化处理、环氧树脂静电粉末涂装处理（涂装厚度为70μm）。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5.可调脚：采用ABS专用注塑可调脚，金属螺杆，高度可调节，防滑减震</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中央实训台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规格：约L*1500*800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1.钢木结构；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钢架部分：主框架采用优质方管，焊接成型，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4.书包斗：主框架采用裸板实际厚度不小于0.8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厚优质镀锌钢板经激光切割折弯成型、焊接制作，表面经磷化处理、环氧树脂静电粉末涂装处理（涂装厚度为70μm）。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5.可调脚：采用ABS专用注塑可调脚，金属螺杆，高度可调节，防滑减震；</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7</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中央实训台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规格：约L*1500*800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1.钢木结构；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钢架部分：主框架采用优质方管，焊接成型，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4.书包斗：主框架采用裸板实际厚度不小于0.8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厚优质镀锌钢板经激光切割折弯成型、焊接制作，表面经磷化处理、环氧树脂静电粉末涂装处理（涂装厚度为70μm）。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5.可调脚：采用ABS专用注塑可调脚，金属螺杆，高度可调节，防滑减震</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8</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中央实训台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规格：约L*1500*800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1.钢木结构；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钢架部分：主框架采用优质方管，焊接成型，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4.书包斗：主框架采用裸板实际厚度不小于0.8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厚优质镀锌钢板经激光切割折弯成型、焊接制作，表面经磷化处理、环氧树脂静电粉末涂装处理（涂装厚度为70μm）。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5.可调脚：采用ABS专用注塑可调脚，金属螺杆，高度可调节，防滑减震</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9</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中央实训台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规格：约L*1500*800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1.钢木结构；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钢架部分：主框架采用优质方管，焊接成型，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4.书包斗：主框架采用裸板实际厚度不小于0.8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厚优质镀锌钢板经激光切割折弯成型、焊接制作，表面经磷化处理、环氧树脂静电粉末涂装处理（涂装厚度为70μm）。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5.可调脚：采用ABS专用注塑可调脚，金属螺杆，高度可调节，防滑减震</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规格：约L*750*800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8.2</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规格：约L*750*800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7.9</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规格：约L*750*800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规格：约L*750*800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1.6</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实验室岛式电源</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钢制线盒，主框架采用裸板实际厚度不小于1.0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厚优质钢材产一级冷轧钢板经CNC机压成形、焊接制作，表面经磷化处理、环氧树脂静电粉末涂装处理。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2.220V交流输出为1个新国标五孔插座，插座上配备透明防尘盖</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16</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固定电源</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设备专用固定电源</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16</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规格：约L*750*800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17</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PP水槽</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规格：约500*400*310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（1）所有水槽须为耐酸碱的聚丙烯材质。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（2）规格：长宽高的偏差不大于2</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（3）除有特殊说明，所有水槽颜色为黑色。</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（4）所有水槽须为表面光滑，各角落平整，底部向落水头处倾斜，并能与台面板紧密结合的款式。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（5）除有特殊说明者外，所有水槽出水口处均应配备聚丙烯材质存水弯堵臭装置。</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18</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三口龙头</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（1）技术要求：主体：铜质（可根据要求生产不锈钢）涂层：高亮度环氧树脂，阀芯：陶瓷，90度旋转，鹅颈管：可360度旋转，折角管：可360度旋转，旋钮把手：高密度PP（HDPP），肘动把手：高密度PP（HDPP）</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（2）性能参数：额定工作压力：690kPa/6.9bar/100psi，工作压力范围：140kPa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20psi</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至860kPa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125psi</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，额定温度：5°C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40°F</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至71°C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160°F</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，爆破压力：阀体关闭时可承受3450kPa的液体压力达1分钟。</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19</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实训凳</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尺寸：约长360*宽240*高450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凳面 材质：优质多层实木/环保PP塑料（甲醛释放量≤0.05mg/m³，符合GB 18580-2017标准），表面处理：耐磨哑光漆/防滑纹理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凳腿 材质：钢管/铝合金，壁厚≥1.2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，防锈处理工艺；结构：四脚支撑，底部带防滑垫。</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外观无毛刺、无裂纹、无色差。凳腿与凳面连接采用牢固，无晃动、无异响。</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20</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综合布线及布置服务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设备数量结合实训室整体面积对设备合理布局、准确定位，在此基础上对设施、设备进行综合布线、安装调试直至设备能整体正常运行；确保美观、安全可靠、结构合理，并保证其强度、稳定性、可靠性，达到采购人要求；材料品种、规格、性能符合国家行业有关标准规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桥架或地面走线、设计布置合理，走线规范</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所有材料如桥架、线槽、电源接口电源线、网线、气管等材料必须符合国家质量标准，对易损部分采取特别保护措施；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根据实训室环境进行一定的文化元素布置。</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项</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i w:val="0"/>
                <w:color w:val="000000"/>
                <w:sz w:val="21"/>
                <w:szCs w:val="21"/>
                <w:highlight w:val="none"/>
                <w:u w:val="none"/>
                <w:lang w:val="en-US" w:eastAsia="zh-CN" w:bidi="ar"/>
              </w:rPr>
              <w:t xml:space="preserve">纤维测试室（2）</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教师专用演示设备</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规格：约1500*700*900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2.结构：设备为落地式结构，可以单独或组合使用。所有设备正面应为平装嵌入式结构设计，以避免勾住实验袍等造成意外。所有钣金的表面接缝满焊，焊接处均应打磨平整以保持为连续的平滑表面。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3.框架：主框架采用裸板实际厚度≥1.0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厚冷轧钢板经激光切割折弯成型、焊接制作，表面经磷化处理、环氧树脂静电粉末涂装处理（涂装厚度为70μm）。拉手：采用不锈钢拉手；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4.合页：采用不锈钢模具一体成型，强度可以承受60kg重量不脱落；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5.滑轨：三节重型滚珠静音滑轨；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6.门吸：尼龙材质；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7.可调脚：采用全钢可调脚，不锈钢金属螺杆，高度可调节，调节范围为30-50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学生六边形实验台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规格：约1600*1386*800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1.钢木结构；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钢架部分：主框架采用优质方管，焊接成型，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4.书包斗：主框架采用裸板实际厚度不小于0.8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厚优质镀锌钢板经激光切割折弯成型、焊接制作，表面经磷化处理、环氧树脂静电粉末涂装处理（涂装厚度为70μm）。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5.可调脚：采用ABS专用注塑可调脚，金属螺杆，高度可调节，防滑减震</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规格：约L*750*800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8.2</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规格：约L*750*800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8.4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规格：约L*750*800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1.6</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规格：约L*750*800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1.6</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7</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实验室岛式电源</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钢制线盒，主框架采用裸板实际厚度不小于1.0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厚优质钢材产一级冷轧钢板经CNC机压成形、焊接制作，表面经磷化处理、环氧树脂静电粉末涂装处理。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2.220V交流输出为1个新国标五孔插座，插座上配备透明防尘盖</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16</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8</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固定电源</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设备专用固定电源</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9</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规格：约L*750*800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PP水槽</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规格：约500*400*310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（1）所有水槽须为耐酸碱的聚丙烯材质。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（2）规格：长宽高的偏差不大于2</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（3）除有特殊说明，所有水槽颜色为黑色。</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（4）所有水槽须为表面光滑，各角落平整，底部向落水头处倾斜，并能与台面板紧密结合的款式。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（5）除有特殊说明者外，所有水槽出水口处均应配备聚丙烯材质存水弯堵臭装置。</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三口龙头</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（1）技术要求：主体：铜质（可根据要求生产不锈钢）涂层：高亮度环氧树脂，阀芯：陶瓷，90度旋转，鹅颈管：可360度旋转，折角管：可360度旋转，旋钮把手：高密度PP（HDPP），肘动把手：高密度PP（HDPP）</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（2）性能参数：额定工作压力：690kPa/6.9bar/100psi，工作压力范围：140kPa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20psi</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至860kPa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125psi</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，额定温度：5°C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40°F</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至71°C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160°F</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，爆破压力：阀体关闭时可承受3450kPa的液体压力达1分钟。</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实训凳</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尺寸：约长360*宽240*高450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凳面 材质：优质多层实木/环保PP塑料（甲醛释放量≤0.05mg/m³，符合GB 18580-2017标准），表面处理：耐磨哑光漆/防滑纹理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凳腿 材质：钢管/铝合金，壁厚≥1.2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，防锈处理工艺；结构：四脚支撑，底部带防滑垫。</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外观无毛刺、无裂纹、无色差。凳腿与凳面连接采用牢固，无晃动、无异响。</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综合布线及布置服务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设备数量结合实训室整体面积对设备合理布局、准确定位，在此基础上对设施、设备进行综合布线、安装调试直至设备能整体正常运行；确保美观、安全可靠、结构合理，并保证其强度、稳定性、可靠性，达到采购人要求；材料品种、规格、性能符合国家行业有关标准规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桥架或地面走线、设计布置合理，走线规范</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所有材料如桥架、线槽、电源接口电源线、网线、气管等材料必须符合国家质量标准，对易损部分采取特别保护措施；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根据实训室环境进行一定的文化元素布置。</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项</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i w:val="0"/>
                <w:color w:val="000000"/>
                <w:sz w:val="21"/>
                <w:szCs w:val="21"/>
                <w:highlight w:val="none"/>
                <w:u w:val="none"/>
                <w:lang w:val="en-US" w:eastAsia="zh-CN" w:bidi="ar"/>
              </w:rPr>
              <w:t xml:space="preserve">纺织名师工作室</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会议桌</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规格：约2800*1200*780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采用25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可弯曲美耐板，硬度高，不易磨花，具有防火性</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哑光持久。基料板材均采用符合E1级标准的绿色环保高密度刨花板，含水率：4%～13%，甲醛释放量&lt;9mg/100g。所有材料均经过防虫、防腐等化学处理</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采用</w:t>
            </w:r>
            <w:r>
              <w:rPr>
                <w:rFonts w:hint="eastAsia" w:ascii="宋体" w:hAnsi="宋体" w:eastAsia="宋体" w:cs="宋体"/>
                <w:i w:val="0"/>
                <w:color w:val="000000"/>
                <w:sz w:val="21"/>
                <w:szCs w:val="21"/>
                <w:highlight w:val="none"/>
                <w:u w:val="none"/>
                <w:lang w:val="en-US" w:eastAsia="zh-CN" w:bidi="ar"/>
              </w:rPr>
              <w:t xml:space="preserve">优质</w:t>
            </w:r>
            <w:r>
              <w:rPr>
                <w:rFonts w:hint="eastAsia" w:ascii="宋体" w:hAnsi="宋体" w:eastAsia="宋体" w:cs="宋体"/>
                <w:i w:val="0"/>
                <w:color w:val="000000"/>
                <w:sz w:val="21"/>
                <w:szCs w:val="21"/>
                <w:highlight w:val="none"/>
                <w:u w:val="none"/>
                <w:lang w:val="en-US" w:eastAsia="zh-CN" w:bidi="ar"/>
              </w:rPr>
              <w:t xml:space="preserve">五金配件。</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会议椅</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1.椅座连体全新工程聚丙PP材质，磨砂椅面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2.高密度回弹海绵，高档透气网布，3分纯棉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3.椅架喷涂实心钢筋，直径≥11</w:t>
            </w:r>
            <w:r>
              <w:rPr>
                <w:rFonts w:hint="eastAsia" w:ascii="宋体" w:hAnsi="宋体" w:eastAsia="宋体" w:cs="宋体"/>
                <w:i w:val="0"/>
                <w:color w:val="000000"/>
                <w:sz w:val="21"/>
                <w:szCs w:val="21"/>
                <w:highlight w:val="none"/>
                <w:u w:val="none"/>
                <w:lang w:val="en-US" w:eastAsia="zh-CN" w:bidi="ar"/>
              </w:rPr>
              <w:t xml:space="preserve">mm</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16</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会议室边柜</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尺寸约1600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×400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（长×宽×高），柜体采用E1级环保板材，分层储物设计，边角倒圆防磕碰，PVC封边无胶痕，底部可调脚垫确保稳固。</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i w:val="0"/>
                <w:color w:val="000000"/>
                <w:sz w:val="21"/>
                <w:szCs w:val="21"/>
                <w:highlight w:val="none"/>
                <w:u w:val="none"/>
                <w:lang w:val="en-US" w:eastAsia="zh-CN" w:bidi="ar"/>
              </w:rPr>
              <w:t xml:space="preserve">染整实训室</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教师专用演示设备</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规格：约1500*700*900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2.结构：设备为落地式结构，可以单独或组合使用。所有设备正面应为平装嵌入式结构设计，以避免勾住实验袍等造成意外。所有钣金的表面接缝满焊，焊接处均应打磨平整以保持为连续的平滑表面。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3.框架：主框架采用裸板实际厚度≥1.0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厚冷轧钢板经激光切割折弯成型、焊接制作，表面经磷化处理、环氧树脂静电粉末涂装处理（涂装厚度为70μm）。拉手：采用不锈钢拉手；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4.合页：采用不锈钢模具一体成型，强度可以承受60kg重量不脱落；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5.滑轨：三节重型滚珠静音滑轨；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6.门吸：尼龙材质；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7.可调脚：采用全钢可调脚，不锈钢金属螺杆，高度可调节，调节范围为30-50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中央实训台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规格：约L*1500*800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1.钢木结构；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钢架部分：主框架采用优质方管，焊接成型，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4.书包斗：主框架采用裸板实际厚度不小于0.8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厚优质镀锌钢板经激光切割折弯成型、焊接制作，表面经磷化处理、环氧树脂静电粉末涂装处理（涂装厚度为70μm）。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5.可调脚：采用ABS专用注塑可调脚，金属螺杆，高度可调节，防滑减震</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3.3</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中央实训台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规格：约L*1500*800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1.钢木结构；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钢架部分：主框架采用优质方管，焊接成型，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4.书包斗：主框架采用裸板实际厚度不小于0.8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厚优质镀锌钢板经激光切割折弯成型、焊接制作，表面经磷化处理、环氧树脂静电粉末涂装处理（涂装厚度为70μm）。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5.可调脚：采用ABS专用注塑可调脚，金属螺杆，高度可调节，防滑减震</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3.3</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中央实训台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规格：约L*1500*800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1.钢木结构；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钢架部分：主框架采用优质方管，焊接成型，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4.书包斗：主框架采用裸板实际厚度不小于0.8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厚优质镀锌钢板经激光切割折弯成型、焊接制作，表面经磷化处理、环氧树脂静电粉末涂装处理（涂装厚度为70μm）。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5.可调脚：采用ABS专用注塑可调脚，金属螺杆，高度可调节，防滑减震</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3.3</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试剂架</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规格：约L*300*450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1.试剂架采用立柱式设计，立柱内侧需按要求配置插座安装孔，插座需安装在试剂架立柱上，立柱内夹层需有足够的空间供插座配线隐藏铺设。</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2.试剂架支柱需采用不小于1.0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一级冷轧钢板（SPCCT）经CNC机压成形、焊接制作，可抗常规酸碱腐蚀，表面需用环氧树脂粉体涂装处理且漆面厚度不小于75μm。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3.固定片、调节架支撑翼、后挡板：需采用不小于1.0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一级冷轧钢板（SPCCT）经CNC机压成形、焊接制作，可抗常规酸碱腐蚀，表面需用环氧树脂粉体涂装处理且漆面厚度不小于75μm。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4.需采用台面安装式设计，以方便配置增减拆装。</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5.按需求配置单面型或双面型两种式样以方便中央台及边台使用试剂架。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6.试剂架立柱需具整排挂孔供活动层板悬挂用，层板上下调节间距每格需小于25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约1英寸</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7.试剂架层板：需采用不小于8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厚钢化玻璃，分上下2层，高低可调活动式，层板外缘采用Φ12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编号SUS304不锈钢材质护栏。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8.试剂架立柱内侧配置2个插座安装孔，立柱内夹层需有足够空间供插座配线隐藏铺设。</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3.3</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试剂架</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规格：约L*300*450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1.试剂架采用立柱式设计，立柱内侧需按要求配置插座安装孔，插座需安装在试剂架立柱上，立柱内夹层需有足够的空间供插座配线隐藏铺设。</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2.试剂架支柱需采用不小于1.0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一级冷轧钢板（SPCCT）经CNC机压成形、焊接制作，可抗常规酸碱腐蚀，表面需用环氧树脂粉体涂装处理且漆面厚度不小于75μm。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3.固定片、调节架支撑翼、后挡板：需采用不小于1.0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一级冷轧钢板（SPCCT）经CNC机压成形、焊接制作，可抗常规酸碱腐蚀，表面需用环氧树脂粉体涂装处理且漆面厚度不小于75μm。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4.需采用台面安装式设计，以方便配置增减拆装。</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5.按需求配置单面型或双面型两种式样以方便中央台及边台使用试剂架。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6.试剂架立柱需具整排挂孔供活动层板悬挂用，层板上下调节间距每格需小于25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约1英寸</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7.试剂架层板：需采用不小于8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厚钢化玻璃，分上下2层，高低可调活动式，层板外缘采用Φ12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编号SUS304不锈钢材质护栏。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8.试剂架立柱内侧配置2个插座安装孔，立柱内夹层需有足够空间供插座配线隐藏铺设。</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3.3</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7</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试剂架</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规格：约L*300*450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1.试剂架采用立柱式设计，立柱内侧需按要求配置插座安装孔，插座需安装在试剂架立柱上，立柱内夹层需有足够的空间供插座配线隐藏铺设。</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2.试剂架支柱需采用不小于1.0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一级冷轧钢板（SPCCT）经CNC机压成形、焊接制作，可抗常规酸碱腐蚀，表面需用环氧树脂粉体涂装处理且漆面厚度不小于75μm。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3.固定片、调节架支撑翼、后挡板：需采用不小于1.0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一级冷轧钢板（SPCCT）经CNC机压成形、焊接制作，可抗常规酸碱腐蚀，表面需用环氧树脂粉体涂装处理且漆面厚度不小于75μm。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4.需采用台面安装式设计，以方便配置增减拆装。</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5.按需求配置单面型或双面型两种式样以方便中央台及边台使用试剂架。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6.试剂架立柱需具整排挂孔供活动层板悬挂用，层板上下调节间距每格需小于25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约1英寸</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7.试剂架层板：需采用不小于8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厚钢化玻璃，分上下2层，高低可调活动式，层板外缘采用Φ12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编号SUS304不锈钢材质护栏。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8.试剂架立柱内侧配置2个插座安装孔，立柱内夹层需有足够空间供插座配线隐藏铺设。</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9.立柱通过48hNSS试验后外观无红锈现象；依据GB/T3325-2017标准针对喷涂层试验后硬度≥H、附着力</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1级，冲击高度400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时无剥落裂纹皱纹等现象。</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3.3</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8</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实验水槽台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规格：约1500*750*800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1.结构：全钢结构，要求采用≥0.8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冷轧钢板，钢材表面经纯环氧树脂塑粉高温固化处理，所有金属板、配件等必须先做除锈和防腐处理，应采用全钢结构环氧树脂静电喷涂，耐酸碱腐蚀。</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2.箱体：钢门内部钢板，家具前、后封板厚度≥0.8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。箱体上部、后部、底部和基座钢板，箱体后背板，组件紧固板，钢门外部钢板和检修孔封板≥0.8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。门及箱体合页加强件和L型前脚撑板≥2.0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在承受下述最大负荷下各工作部件不会损坏或对正常使用产生影响：每米靠墙准备设备应在荷重500公斤条件下，箱体可调脚直线承重每延米不小于200公斤；基本箱体承重：不小于40公斤。在箱体背面有一个服务通道，用来布设电、水、气管路，隐藏设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3.箱体门：双层实体结构。合叶可拆除，非焊接结构。箱体门装有橡胶缓冲材料。箱体门拉手为条形金属隐藏式，工艺成型。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4.合页：采用316不锈钢合页，坚固耐用。开启范围≥175°，不采用带有弹簧功能的合页。实验设备箱体门开启后应能承受60公斤以上的重物悬挂。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5.面板：采用12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抗倍特板制作，周边成型厚度为24</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具有耐高温、耐磨、抗老化、无毒、易清洁、耐冲击性能。</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9</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PP水槽</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规格：约500*400*310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（1）所有水槽须为耐酸碱的聚丙烯材质。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（2）规格：长宽高的偏差不大于2</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（3）除有特殊说明，所有水槽颜色为黑色。</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（4）所有水槽须为表面光滑，各角落平整，底部向落水头处倾斜，并能与台面板紧密结合的款式。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（5）除有特殊说明者外，所有水槽出水口处均应配备聚丙烯材质存水弯堵臭装置。</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7</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三口龙头</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（1）技术要求：主体：铜质（可根据要求生产不锈钢）涂层：高亮度环氧树脂，阀芯：陶瓷，90度旋转，鹅颈管：可360度旋转，折角管：可360度旋转，旋钮把手：高密度PP（HDPP），肘动把手：高密度PP（HDPP）</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（2）性能参数：额定工作压力：690kPa/6.9bar/100psi，工作压力范围：140kPa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20psi</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至860kPa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125psi</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，额定温度：5°C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40°F</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至71°C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160°F</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，爆破压力：阀体关闭时可承受3450kPa的液体压力达1分钟。</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7</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PP单面滴水架</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（1）采用高密度PP聚丙烯，经一体模具注塑成型，耐酸碱；</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（2）滴水棒具有锁扣功能，安装后可牢牢锁住；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（3）可实现滴水棒自由组合拆卸；</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（4）底部托盘中间设有排水孔，方便使用。</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桌上洗眼器</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（1）位置：根据需要在水槽设置洗眼器；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（2）主体：加厚铜质；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（3）涂层：高亮度环氧树脂涂层，耐腐蚀、耐热、防紫外线辐射；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（4）喷淋头：软性橡胶，出水经缓压处理呈泡沫状水柱，防止冲伤眼睛，在30psi的压力下，洗眼器流量不小于30L/m；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（5）防尘盖：PP材质，使用时自动被水冲开；</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（6）水流锁定开关：水流开启、水流锁定功能一次完成，方便使用；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（7）控水阀：止逆阀，其阀门可自动关闭；</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（8）供水软管：长度1.5米，软性PVC管外覆不锈钢网；</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（9）最大耐水压：7巴；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（10）安装方式：台式。</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规格：约L*750*800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规格：约L*750*800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规格：约L*750*800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1.6</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16</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通风柜</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尺寸：约1500*850*2350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（1）通风柜台面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采用25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厚一体实芯烧制实验室专用陶瓷台面，整个台面一体高温烧制成型</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可防止有害液体外溢（不能采用拼接或者后期加厚方式加工），台面耐强腐蚀，耐高温，耐磨，便于清洁，为确保后期使用牢固，不能采用拼接或者后期加厚</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（2）通风柜上部柜体</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采用1.2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厚（不含喷涂层）冷轧钢板，全钢结构，表面采用环氧树脂静电粉末喷涂处理，环氧树脂喷涂厚度≥75μm；（参考3.2.1整体、结构及表面处理）双层结构，外层为钢板、内层为实验室专用耐酸碱5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厚抗倍特板，外壳与内衬间夹层，可容纳水、电、气体管线系统，并可确保柜体气密与防护；上柜为可拆解模块式，而钣金组件结合时采可重复使用之螺丝件锁合，不采铆钉或焊接方式，以免破坏柜体。</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（3）下部底柜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采用组合式结构，可任意搭配各式需求柜子</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底柜为钢制底柜，要求同钢制实验台底柜；底柜需设置排风接口。</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（4）内衬板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采用实验室专用表面耐酸碱5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厚陶瓷纤维板制作。内衬板装设时可重复拆装塑料扣件，方便与外壳或框架结合、固定供水或供气管路。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（5）水电材料</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▲照明：柜含两个及以上节能LED灯管，5700K色温白光、无频闪、快速启动类型。照明装置上面有安全玻璃面板并且相对柜体密封；操作台面的平均照度大于500Lx（流明）。</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供水考克（水嘴）：采用壁式水用考克（水嘴），并附供水流量控制阀。阀体应为纯铜或高强度陶瓷制，本体为铜合金制且表面经耐碱漆涂烧处理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化验杯槽：采用PP（聚丙烯）黑色耐酸碱、抗蚀杯槽，杯槽安装于台面下方，接缝处做防水填充处理。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（6）噪声及阻力</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▲噪声及阻力：通风柜的噪声不应大于55dB（A）；阻力不大于70Pa。</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17</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实验室岛式电源</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钢制线盒，主框架采用裸板实际厚度不小于1.0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厚优质钢材产一级冷轧钢板经CNC机压成形、焊接制作，表面经磷化处理、环氧树脂静电粉末涂装处理。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2.220V交流输出为1个新国标五孔插座，插座上配备透明防尘盖</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18</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固定电源</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设备专用固定电源</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19</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规格：约L*750*800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20</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实训凳</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尺寸：约长360*宽240*高450 </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凳面 材质：优质多层实木/环保PP塑料（甲醛释放量≤0.05mg/m³，符合GB 18580-2017标准），表面处理：耐磨哑光漆/防滑纹理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凳腿 材质：钢管/铝合金，壁厚≥1.2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，防锈处理工艺；结构：四脚支撑，底部带防滑垫。</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外观无毛刺、无裂纹、无色差。凳腿与凳面连接采用牢固，无晃动、无异响。</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综合布线及布置服务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设备数量结合实训室整体面积对设备合理布局、准确定位，在此基础上对设施、设备进行综合布线、安装调试直至设备能整体正常运行；确保美观、安全可靠、结构合理，并保证其强度、稳定性、可靠性，达到采购人要求；材料品种、规格、性能符合国家行业有关标准规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桥架或地面走线、设计布置合理，走线规范</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所有材料如桥架、线槽、电源接口电源线、网线、气管等材料必须符合国家质量标准，对易损部分采取特别保护措施；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根据实训室环境进行一定的文化元素布置。</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项</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i w:val="0"/>
                <w:color w:val="000000"/>
                <w:sz w:val="21"/>
                <w:szCs w:val="21"/>
                <w:highlight w:val="none"/>
                <w:u w:val="none"/>
                <w:lang w:val="en-US" w:eastAsia="zh-CN" w:bidi="ar"/>
              </w:rPr>
              <w:t xml:space="preserve">创意印花实训室</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教师专用演示设备</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规格：约1500*700*900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2.结构：设备为落地式结构，可以单独或组合使用。所有设备正面应为平装嵌入式结构设计，以避免勾住实验袍等造成意外。所有钣金的表面接缝满焊，焊接处均应打磨平整以保持为连续的平滑表面。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3.框架：主框架采用裸板实际厚度≥1.0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厚冷轧钢板经激光切割折弯成型、焊接制作，表面经磷化处理、环氧树脂静电粉末涂装处理（涂装厚度为70μm）。拉手：采用不锈钢拉手；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4.合页：采用不锈钢模具一体成型，强度可以承受60kg重量不脱落；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5.滑轨：三节重型滚珠静音滑轨；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6.门吸：尼龙材质；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7.可调脚：采用全钢可调脚，不锈钢金属螺杆，高度可调节，调节范围为30-50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中央实训台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规格：约L*1500*800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1.钢木结构；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钢架部分：主框架采用优质方管，焊接成型，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4.书包斗：主框架采用裸板实际厚度不小于0.8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厚优质镀锌钢板经激光切割折弯成型、焊接制作，表面经磷化处理、环氧树脂静电粉末涂装处理（涂装厚度为70μm）。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5.可调脚：采用ABS专用注塑可调脚，金属螺杆，高度可调节，防滑减震</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2.5</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中央实训台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规格：约L*1500*800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1.钢木结构；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钢架部分：主框架采用优质方管，焊接成型，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4.书包斗：主框架采用裸板实际厚度不小于0.8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厚优质镀锌钢板经激光切割折弯成型、焊接制作，表面经磷化处理、环氧树脂静电粉末涂装处理（涂装厚度为70μm）。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5.可调脚：采用ABS专用注塑可调脚，金属螺杆，高度可调节，防滑减震</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2.5</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中央实训台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规格：约L*1500*800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1.钢木结构；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钢架部分：主框架采用优质方管，焊接成型，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4.书包斗：主框架采用裸板实际厚度不小于0.8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厚优质镀锌钢板经激光切割折弯成型、焊接制作，表面经磷化处理、环氧树脂静电粉末涂装处理（涂装厚度为70μm）。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5.可调脚：采用ABS专用注塑可调脚，金属螺杆，高度可调节，防滑减震</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2.5</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中央实训台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规格：约L*1500*800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1.钢木结构；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钢架部分：主框架采用优质方管，焊接成型，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4.书包斗：主框架采用裸板实际厚度不小于0.8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厚优质镀锌钢板经激光切割折弯成型、焊接制作，表面经磷化处理、环氧树脂静电粉末涂装处理（涂装厚度为70μm）。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5.可调脚：采用ABS专用注塑可调脚，金属螺杆，高度可调节，防滑减震</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2.5</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中央实训台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规格：约L*1500*800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1.钢木结构；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钢架部分：主框架采用优质方管，焊接成型，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4.书包斗：主框架采用裸板实际厚度不小于0.8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厚优质镀锌钢板经激光切割折弯成型、焊接制作，表面经磷化处理、环氧树脂静电粉末涂装处理（涂装厚度为70μm）。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5.可调脚：采用ABS专用注塑可调脚，金属螺杆，高度可调节，防滑减震</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2.5</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7</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中央实训台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规格：约L*1500*800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1.钢木结构；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钢架部分：主框架采用优质方管，焊接成型，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4.书包斗：主框架采用裸板实际厚度不小于0.8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厚优质镀锌钢板经激光切割折弯成型、焊接制作，表面经磷化处理、环氧树脂静电粉末涂装处理（涂装厚度为70μm）。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5.可调脚：采用ABS专用注塑可调脚，金属螺杆，高度可调节，防滑减震</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2.5</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8</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规格：约L*600*800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9</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规格：约L*600*800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规格：约L*600*800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1.6</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实验室岛式电源</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钢制线盒，主框架采用裸板实际厚度不小于1.0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厚优质钢材产一级冷轧钢板经CNC机压成形、焊接制作，表面经磷化处理、环氧树脂静电粉末涂装处理。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2.220V交流输出为1个新国标五孔插座，插座上配备透明防尘盖</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固定电源</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设备专用固定电源</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规格：约L*750*800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PP水槽</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规格：约500*400*310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（1）所有水槽须为耐酸碱的聚丙烯材质。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（2）规格：长宽高的偏差不大于2</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（3）除有特殊说明，所有水槽颜色为黑色。</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（4）所有水槽须为表面光滑，各角落平整，底部向落水头处倾斜，并能与台面板紧密结合的款式。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（5）除有特殊说明者外，所有水槽出水口处均应配备聚丙烯材质存水弯堵臭装置。</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三口龙头</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（1）技术要求：主体：铜质（可根据要求生产不锈钢）涂层：高亮度环氧树脂，阀芯：陶瓷，90度旋转，鹅颈管：可360度旋转，折角管：可360度旋转，旋钮把手：高密度PP（HDPP），肘动把手：高密度PP（HDPP）</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（2）性能参数：额定工作压力：690kPa/6.9bar/100psi，工作压力范围：140kPa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20psi</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至860kPa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125psi</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，额定温度：5°C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40°F</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至71°C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160°F</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，爆破压力：阀体关闭时可承受3450kPa的液体压力达1分钟。</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16</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实训凳</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尺寸：约长360*宽240*高450 </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凳面 材质：优质多层实木/环保PP塑料（甲醛释放量≤0.05mg/m³，符合GB 18580-2017标准），表面处理：耐磨哑光漆/防滑纹理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凳腿 材质：钢管/铝合金，壁厚≥1.2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，防锈处理工艺；结构：四脚支撑，底部带防滑垫。</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外观无毛刺、无裂纹、无色差。凳腿与凳面连接采用牢固，无晃动、无异响。</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17</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综合布线及布置服务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设备数量结合实训室整体面积对设备合理布局、准确定位，在此基础上对设施、设备进行综合布线、安装调试直至设备能整体正常运行；确保美观、安全可靠、结构合理，并保证其强度、稳定性、可靠性，达到采购人要求；材料品种、规格、性能符合国家行业有关标准规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桥架或地面走线、设计布置合理，走线规范</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所有材料如桥架、线槽、电源接口电源线、网线、气管等材料必须符合国家质量标准，对易损部分采取特别保护措施；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根据实训室环境进行一定的文化元素布置。</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项</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i w:val="0"/>
                <w:color w:val="000000"/>
                <w:sz w:val="21"/>
                <w:szCs w:val="21"/>
                <w:highlight w:val="none"/>
                <w:u w:val="none"/>
                <w:lang w:val="en-US" w:eastAsia="zh-CN" w:bidi="ar"/>
              </w:rPr>
              <w:t xml:space="preserve">纺织品检验技术服务与产学研中心</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规格：约L*750*800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PP水槽</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规格：约500*400*310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（1）所有水槽须为耐酸碱的聚丙烯材质。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（2）规格：长宽高的偏差不大于2</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（3）除有特殊说明，所有水槽颜色为黑色。</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（4）所有水槽须为表面光滑，各角落平整，底部向落水头处倾斜，并能与台面板紧密结合的款式。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（5）除有特殊说明者外，所有水槽出水口处均应配备聚丙烯材质存水弯堵臭装置。</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三口龙头</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（1）技术要求：主体：铜质（可根据要求生产不锈钢）涂层：高亮度环氧树脂，阀芯：陶瓷，90度旋转，鹅颈管：可360度旋转，折角管：可360度旋转，旋钮把手：高密度PP（HDPP），肘动把手：高密度PP（HDPP）</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（2）性能参数：额定工作压力：690kPa/6.9bar/100psi，工作压力范围：140kPa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20psi</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至860kPa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125psi</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，额定温度：5°C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40°F</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至71°C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160°F</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，爆破压力：阀体关闭时可承受3450kPa的液体压力达1分钟。</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i w:val="0"/>
                <w:color w:val="000000"/>
                <w:sz w:val="21"/>
                <w:szCs w:val="21"/>
                <w:highlight w:val="none"/>
                <w:u w:val="none"/>
                <w:lang w:val="en-US" w:eastAsia="zh-CN" w:bidi="ar"/>
              </w:rPr>
              <w:t xml:space="preserve">面料检测技能训练室</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规格：约L*750*800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3.5</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规格：约L*600*800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品牌耐腐蚀实芯理化板，耐酸碱耐冲击。边缘采用同质板材加厚度为≥26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6.24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规格：约L*600*800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2.24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实验室岛式电源</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钢制线盒，主框架采用裸板实际厚度不小于1.0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厚优质钢材产一级冷轧钢板经CNC机压成形、焊接制作，表面经磷化处理、环氧树脂静电粉末涂装处理。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2.220V交流输出为1个新国标五孔插座，插座上配备透明防尘盖</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电子分析天平</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1.全彩大屏幕：大屏幕真彩TFT液晶显示器，提供丰富的称量显示信息，方便读取。</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2.全屏触摸：符合实验室工作习惯的触摸解决方案，即使戴多双手套也可精确操作。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3.用户界面：应用Metro配色方案，采用环保色彩，长时间工作眼睛也不会疲劳。</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4.用户操作：丰富的操作信息提示，帮助用户更高效的完成工作流程。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5.内置程序：标配的便于使用的内置应用程序，以用于各种称量任务，内置固/液密度直读程序（需另外配备专用密度组件）。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6.显示屏防护罩：提供额外的防尘和防划保护，延长天平的使用寿命。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7.五面全透明玻璃防风罩，样品100%可见，前置水平泡。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8.采用高灵敏度温度传感器，将温度变化的敏感度降至最小。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9.该天平为全国职业院校技能大赛工业分析检验赛项使用天平。</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10.标准RS232双向通讯接口。可直连电脑，可连接HP-110CN天平打印机直接实现实时数据打印。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11.内置全国职业院校化学实验技术技能大赛专用称量软件，在保证称量的前提下还可仿真目前主流的天平操作，主界面为化学实验技术技能大赛应用界面。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12.该设备为近两年全国职业院校化学实验技术技能大赛国赛使用设备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13.实际分度值 0.0001g</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14.最大称量范围 220g</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15.可重复性标准偏差 0.0001g</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16.校准砝码值100g</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17.内置软件 为化学实验技术技能大赛专用软件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18.天平的外形尺寸 </w:t>
            </w:r>
            <w:r>
              <w:rPr>
                <w:rFonts w:hint="eastAsia" w:ascii="宋体" w:hAnsi="宋体" w:eastAsia="宋体" w:cs="宋体"/>
                <w:i w:val="0"/>
                <w:color w:val="000000"/>
                <w:sz w:val="21"/>
                <w:szCs w:val="21"/>
                <w:highlight w:val="none"/>
                <w:u w:val="none"/>
                <w:lang w:val="en-US" w:eastAsia="zh-CN" w:bidi="ar"/>
              </w:rPr>
              <w:t xml:space="preserve">约</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）310×205×225</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19.包装的外部尺寸</w:t>
            </w:r>
            <w:r>
              <w:rPr>
                <w:rFonts w:hint="eastAsia" w:ascii="宋体" w:hAnsi="宋体" w:eastAsia="宋体" w:cs="宋体"/>
                <w:i w:val="0"/>
                <w:color w:val="000000"/>
                <w:sz w:val="21"/>
                <w:szCs w:val="21"/>
                <w:highlight w:val="none"/>
                <w:u w:val="none"/>
                <w:lang w:val="en-US" w:eastAsia="zh-CN" w:bidi="ar"/>
              </w:rPr>
              <w:t xml:space="preserve">约</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）500×310×450</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20.秤盘尺寸 </w:t>
            </w:r>
            <w:r>
              <w:rPr>
                <w:rFonts w:hint="eastAsia" w:ascii="宋体" w:hAnsi="宋体" w:eastAsia="宋体" w:cs="宋体"/>
                <w:i w:val="0"/>
                <w:color w:val="000000"/>
                <w:sz w:val="21"/>
                <w:szCs w:val="21"/>
                <w:highlight w:val="none"/>
                <w:u w:val="none"/>
                <w:lang w:val="en-US" w:eastAsia="zh-CN" w:bidi="ar"/>
              </w:rPr>
              <w:t xml:space="preserve">约</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）Ф90</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21.风罩有效容积（</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约</w:t>
            </w:r>
            <w:r>
              <w:rPr>
                <w:rFonts w:hint="eastAsia" w:ascii="宋体" w:hAnsi="宋体" w:eastAsia="宋体" w:cs="宋体"/>
                <w:i w:val="0"/>
                <w:color w:val="000000"/>
                <w:sz w:val="21"/>
                <w:szCs w:val="21"/>
                <w:highlight w:val="none"/>
                <w:u w:val="none"/>
                <w:lang w:val="en-US" w:eastAsia="zh-CN" w:bidi="ar"/>
              </w:rPr>
              <w:t xml:space="preserve">175×170×220</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22.净重</w:t>
            </w:r>
            <w:r>
              <w:rPr>
                <w:rFonts w:hint="eastAsia" w:ascii="宋体" w:hAnsi="宋体" w:eastAsia="宋体" w:cs="宋体"/>
                <w:i w:val="0"/>
                <w:color w:val="000000"/>
                <w:sz w:val="21"/>
                <w:szCs w:val="21"/>
                <w:highlight w:val="none"/>
                <w:u w:val="none"/>
                <w:lang w:val="en-US" w:eastAsia="zh-CN" w:bidi="ar"/>
              </w:rPr>
              <w:t xml:space="preserve">约</w:t>
            </w:r>
            <w:r>
              <w:rPr>
                <w:rFonts w:hint="eastAsia" w:ascii="宋体" w:hAnsi="宋体" w:eastAsia="宋体" w:cs="宋体"/>
                <w:i w:val="0"/>
                <w:color w:val="000000"/>
                <w:sz w:val="21"/>
                <w:szCs w:val="21"/>
                <w:highlight w:val="none"/>
                <w:u w:val="none"/>
                <w:lang w:val="en-US" w:eastAsia="zh-CN" w:bidi="ar"/>
              </w:rPr>
              <w:t xml:space="preserve">3.5kg</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23.毛重</w:t>
            </w:r>
            <w:r>
              <w:rPr>
                <w:rFonts w:hint="eastAsia" w:ascii="宋体" w:hAnsi="宋体" w:eastAsia="宋体" w:cs="宋体"/>
                <w:i w:val="0"/>
                <w:color w:val="000000"/>
                <w:sz w:val="21"/>
                <w:szCs w:val="21"/>
                <w:highlight w:val="none"/>
                <w:u w:val="none"/>
                <w:lang w:val="en-US" w:eastAsia="zh-CN" w:bidi="ar"/>
              </w:rPr>
              <w:t xml:space="preserve">约</w:t>
            </w:r>
            <w:r>
              <w:rPr>
                <w:rFonts w:hint="eastAsia" w:ascii="宋体" w:hAnsi="宋体" w:eastAsia="宋体" w:cs="宋体"/>
                <w:i w:val="0"/>
                <w:color w:val="000000"/>
                <w:sz w:val="21"/>
                <w:szCs w:val="21"/>
                <w:highlight w:val="none"/>
                <w:u w:val="none"/>
                <w:lang w:val="en-US" w:eastAsia="zh-CN" w:bidi="ar"/>
              </w:rPr>
              <w:t xml:space="preserve">4.5kg</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紫外可见光分光光度计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波长范围：190-1100nm，波长分辨率0.1nm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光谱带宽：2nm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杂散光：≤0.05%T，@220nm、360nm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波长准确度：±0.5nm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波长重复性：≤0.3nm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光度准确度：±0.002A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0~0.5A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 ；±0.004A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0.5~1A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；±0.3%T</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0~100%T</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光度重复性：≤0.001A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0~0.5A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 0.002A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0.5~1A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 ≤0.15％T</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0~100%T</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光度噪声：0.0005Abs（500nm处）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主机功能：主机具有光度测量、甲醛测量、全波长扫描、文件管理和性能验证功能；主机具有双波长比/差法定量测试功能；标准曲线有标样校正、系数输入法、OD值输入三种定量法。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检测器：硅光二极管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光源：长寿命氘灯、钨灯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显示系统：5英寸彩色触摸屏，操作简单方便；主机测试数据，可通过U盘导出，导出的格式含有CSV、PDF等格式。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仪器样品池内的底部，设计有漏夜孔，不小心洒落的液体可通过该孔自动流出；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主机外壳上，有换灯的小窗口，换灯时避免拆卸整体罩壳</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仪器满足全国职业院校技能大赛《纺织品检验与贸易》赛项使用要求。</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7</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标准光源箱</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1.光源：D65：2×18W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2.TL84：2×18W、F/A：4×40W、UV：1×18W、CWF：2×18W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3.功率：286W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4.外形尺寸：710×530×570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5.电源：AC220V</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6.采用液显显示计时器，能对各种光源工作时间分别累加计时。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7.整机外壳采用高密度板喷涂处理，内壁喷涂标准灰色无光漆。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8.适用标准：FZ/T01047；BS950；DIN6173；ASTM D1729等</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8</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综合布线及布置服务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设备数量结合实训室整体面积对设备合理布局、准确定位，在此基础上对设施、设备进行综合布线、安装调试直至设备能整体正常运行；确保美观、安全可靠、结构合理，并保证其强度、稳定性、可靠性，达到采购人要求；材料品种、规格、性能符合国家行业有关标准规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桥架或地面走线、设计布置合理，走线规范</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所有材料如桥架、线槽、电源接口电源线、网线、气管等材料必须符合国家质量标准，对易损部分采取特别保护措施。</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项</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i w:val="0"/>
                <w:color w:val="000000"/>
                <w:sz w:val="21"/>
                <w:szCs w:val="21"/>
                <w:highlight w:val="none"/>
                <w:u w:val="none"/>
                <w:lang w:val="en-US" w:eastAsia="zh-CN" w:bidi="ar"/>
              </w:rPr>
              <w:t xml:space="preserve">纺织染色技能训练室</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中央实训台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规格：约L*1500*800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1.钢木结构；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钢架部分：主框架采用优质方管，焊接成型，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4.书包斗：主框架采用裸板实际厚度不小于0.8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厚优质镀锌钢板经激光切割折弯成型、焊接制作，表面经磷化处理、环氧树脂静电粉末涂装处理（涂装厚度为70μm）。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5.可调脚：采用ABS专用注塑可调脚，金属螺杆，高度可调节，防滑减震</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3.3</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试剂架</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规格：约L*300*450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1.试剂架采用立柱式设计，立柱内侧需按要求配置插座安装孔，插座需安装在试剂架立柱上，立柱内夹层需有足够的空间供插座配线隐藏铺设。</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2.试剂架支柱需采用不小于1.0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一级冷轧钢板（SPCCT）经CNC机压成形、焊接制作，可抗常规酸碱腐蚀，表面需用环氧树脂粉体涂装处理且漆面厚度不小于75μm。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3.固定片、调节架支撑翼、后挡板：需采用不小于1.0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一级冷轧钢板（SPCCT）经CNC机压成形、焊接制作，可抗常规酸碱腐蚀，表面需用环氧树脂粉体涂装处理且漆面厚度不小于75μm。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4.需采用台面安装式设计，以方便配置增减拆装。</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5.按需求配置单面型或双面型两种式样以方便中央台及边台使用试剂架。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6.试剂架立柱需具整排挂孔供活动层板悬挂用，层板上下调节间距每格需小于25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约1英寸</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7.试剂架层板：需采用不小于8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厚钢化玻璃，分上下2层，高低可调活动式，层板外缘采用Φ12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编号SUS304不锈钢材质护栏。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8.试剂架立柱内侧配置2个插座安装孔，立柱内夹层需有足够空间供插座配线隐藏铺设。</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9.立柱通过48hNSS试验后外观无红锈现象；依据GB/T3325-2017标准针对喷涂层试验后硬度</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H、附着力</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1级，冲击高度400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时无剥落裂纹皱纹等现象。</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3.3</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实验水槽台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规格：约1500*750*800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1.结构：全钢结构，要求采用≥0.8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冷轧钢板，钢材表面经纯环氧树脂塑粉高温固化处理，所有金属板、配件等必须先做除锈和防腐处理，应采用全钢结构环氧树脂静电喷涂，耐酸碱腐蚀。</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2.箱体：钢门内部钢板，家具前、后封板厚度≥0.8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。箱体上部、后部、底部和基座钢板，箱体后背板，组件紧固板，钢门外部钢板和检修孔封板≥0.8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。门及箱体合页加强件和L型前脚撑板≥2.0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在承受下述最大负荷下各工作部件不会损坏或对正常使用产生影响：每米靠墙准备设备应在荷重500公斤条件下，箱体可调脚直线承重每延米不小于200公斤；基本箱体承重：不小于40公斤。在箱体背面有一个服务通道，用来布设电、水、气管路，隐藏设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3.箱体门：双层实体结构。合叶可拆除，非焊接结构。箱体门装有橡胶缓冲材料。箱体门拉手为条形金属隐藏式，工艺成型。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4.合页：采用316不锈钢合页，坚固耐用。开启范围≥175°，不采用带有弹簧功能的合页。实验设备箱体门开启后应能承受60公斤以上的重物悬挂。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5.面板：采用12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抗倍特板制作，周边成型厚度为24</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具有耐高温、耐磨、抗老化、无毒、易清洁、耐冲击性能。</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PP水槽</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规格：约500*400*310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（1）所有水槽须为耐酸碱的聚丙烯材质。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（2）规格：长宽高的偏差不大于2</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（3）除有特殊说明，所有水槽颜色为黑色。</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（4）所有水槽须为表面光滑，各角落平整，底部向落水头处倾斜，并能与台面板紧密结合的款式。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（5）除有特殊说明者外，所有水槽出水口处均应配备聚丙烯材质存水弯堵臭装置。</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三口龙头</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（1）技术要求：主体：铜质（可根据要求生产不锈钢）涂层：高亮度环氧树脂，阀芯：陶瓷，90度旋转，鹅颈管：可360度旋转，折角管：可360度旋转，旋钮把手：高密度PP（HDPP），肘动把手：高密度PP（HDPP）</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（2）性能参数：额定工作压力：690kPa/6.9bar/100psi，工作压力范围：140kPa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20psi</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至860kPa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125psi</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，额定温度：5°C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40°F</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至71°C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160°F</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，爆破压力：阀体关闭时可承受3450kPa的液体压力达1分钟。</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PP单面滴水架</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（1）采用高密度PP聚丙烯，经一体模具注塑成型，耐酸碱；</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（2）滴水棒具有锁扣功能，安装后可牢牢锁住；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（3）可实现滴水棒自由组合拆卸；</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（4）底部托盘中间设有排水孔，方便使用。</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7</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桌上洗眼器</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（1）位置：根据需要在水槽设置洗眼器；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（2）主体：加厚铜质；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（3）涂层：高亮度环氧树脂涂层，耐腐蚀、耐热、防紫外线辐射；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（4）喷淋头：软性橡胶，出水经缓压处理呈泡沫状水柱，防止冲伤眼睛，在30psi的压力下，洗眼器流量不小于30L/m；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（5）防尘盖：PP材质，使用时自动被水冲开；</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（6）水流锁定开关：水流开启、水流锁定功能一次完成，方便使用；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（7）控水阀：止逆阀，其阀门可自动关闭；</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（8）供水软管：长度1.5米，软性PVC管外覆不锈钢网；</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（9）最大耐水压：7巴；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（10）安装方式：台式。</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8</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规格：约L*750*800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9</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规格：约L*600*800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规格：约L*600*800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1.54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规格：约L*600*800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3.84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实验室岛式电源</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钢制线盒，主框架采用裸板实际厚度不小于1.0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厚优质钢材产一级冷轧钢板经CNC机压成形、焊接制作，表面经磷化处理、环氧树脂静电粉末涂装处理。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220V交流输出为1个新国标五孔插座，插座上配备透明防尘盖</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12</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固定电源</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设备专用固定电源</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综合布线及布置服务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设备数量结合实训室整体面积对设备合理布局、准确定位，在此基础上对设施、设备进行综合布线、安装调试直至设备能整体正常运行；确保美观、安全可靠、结构合理，并保证其强度、稳定性、可靠性，达到采购人要求；材料品种、规格、性能符合国家行业有关标准规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桥架或地面走线、设计布置合理，走线规范</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所有材料如桥架、线槽、电源接口电源线、网线、气管等材料必须符合国家质量标准，对易损部分采取特别保护措施。</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项</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i w:val="0"/>
                <w:color w:val="000000"/>
                <w:sz w:val="21"/>
                <w:szCs w:val="21"/>
                <w:highlight w:val="none"/>
                <w:u w:val="none"/>
                <w:lang w:val="en-US" w:eastAsia="zh-CN" w:bidi="ar"/>
              </w:rPr>
              <w:t xml:space="preserve">丝绸产品制作实训室</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规格：约L*750*800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PP水槽</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规格：约500*400*310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（1）所有水槽须为耐酸碱的聚丙烯材质。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（2）规格：长宽高的偏差不大于2</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（3）除有特殊说明，所有水槽颜色为黑色。</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（4）所有水槽须为表面光滑，各角落平整，底部向落水头处倾斜，并能与台面板紧密结合的款式。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（5）除有特殊说明者外，所有水槽出水口处均应配备聚丙烯材质存水弯堵臭装置。</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三口龙头</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（1）技术要求：主体：铜质（可根据要求生产不锈钢）涂层：高亮度环氧树脂，阀芯：陶瓷，90度旋转，鹅颈管：可360度旋转，折角管：可360度旋转，旋钮把手：高密度PP（HDPP），肘动把手：高密度PP（HDPP）</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（2）性能参数：额定工作压力：690kPa/6.9bar/100psi，工作压力范围：140kPa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20psi</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至860kPa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125psi</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，额定温度：5°C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40°F</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至71°C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160°F</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，爆破压力：阀体关闭时可承受3450kPa的液体压力达1分钟。</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i w:val="0"/>
                <w:color w:val="000000"/>
                <w:sz w:val="21"/>
                <w:szCs w:val="21"/>
                <w:highlight w:val="none"/>
                <w:u w:val="none"/>
                <w:lang w:val="en-US" w:eastAsia="zh-CN" w:bidi="ar"/>
              </w:rPr>
              <w:t xml:space="preserve">非遗项目实训室</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实训边台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规格：约L*750*800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工艺要求：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（1）实验室操作台采用全钢落地结构，外形尺寸误差要求：长、宽、高误差≤2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；邻边垂直度：台面对角线、框架对角线1000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，3000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的误差≤3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；地脚平稳性：误差≤1</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（2）预留孔或钻孔位置符合规定要求。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（3）切割、钻孔和倒角后应去毛刺，各种配件安装应严密、平整、端正、牢固。金属配件应做除锈和防腐处理。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（4）实验室操作台颜色：可由</w:t>
            </w:r>
            <w:r>
              <w:rPr>
                <w:rFonts w:hint="eastAsia" w:ascii="宋体" w:hAnsi="宋体" w:eastAsia="宋体" w:cs="宋体"/>
                <w:i w:val="0"/>
                <w:color w:val="000000"/>
                <w:sz w:val="21"/>
                <w:szCs w:val="21"/>
                <w:highlight w:val="none"/>
                <w:u w:val="none"/>
                <w:lang w:val="en-US" w:eastAsia="zh-CN" w:bidi="ar"/>
              </w:rPr>
              <w:t xml:space="preserve">采购人</w:t>
            </w:r>
            <w:r>
              <w:rPr>
                <w:rFonts w:hint="eastAsia" w:ascii="宋体" w:hAnsi="宋体" w:eastAsia="宋体" w:cs="宋体"/>
                <w:i w:val="0"/>
                <w:color w:val="000000"/>
                <w:sz w:val="21"/>
                <w:szCs w:val="21"/>
                <w:highlight w:val="none"/>
                <w:u w:val="none"/>
                <w:lang w:val="en-US" w:eastAsia="zh-CN" w:bidi="ar"/>
              </w:rPr>
              <w:t xml:space="preserve">根据中标人的标准色卡统一选择。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材质要求：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（1）钢材：符合国家标准的优质冷轧钢板SPCC（SPCC--表示一般用冷轧碳素钢薄板及钢带，相当于国内Q195-215A牌号）。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（2）柜体：主框架采用冷轧钢板经CNC机压成形、焊接制作，表面经环氧树脂粉体涂装处理（涂装厚度为不小于75μm）；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（3）门板：柜门为双包结构，内附防噪填充；每个包层都是先喷涂再包合，不会因局部的破损而导致内部的损伤；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（4）抽屉：为四面抽墙一体成型式设计，抽头为双层结构，内具隔音材质；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（5）层板：可以上下调节；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（6）维修背板：采用可拆装式设计，以方便管线安装维护；</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（7）水槽台的挡水条：同台面材料，高100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（±1.5%），台面外侧上缘采用圆弧或斜边不刮手处理。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（8）台面：采用厚度≥13</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耐腐蚀实芯理化板，耐酸碱耐冲击。边缘采用同质板材加厚度为≥26</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米</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PP水槽</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规格：约500*400*310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（1）所有水槽须为耐酸碱的聚丙烯材质。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（2）规格：长宽高的偏差不大于2</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（3）除有特殊说明，所有水槽颜色为黑色。</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（4）所有水槽须为表面光滑，各角落平整，底部向落水头处倾斜，并能与台面板紧密结合的款式。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（5）除有特殊说明者外，所有水槽出水口处均应配备聚丙烯材质存水弯堵臭装置。</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三口龙头</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（1）技术要求：主体：铜质（可根据要求生产不锈钢）涂层：高亮度环氧树脂，阀芯：陶瓷，90度旋转，鹅颈管：可360度旋转，折角管：可360度旋转，旋钮把手：高密度PP（HDPP），肘动把手：高密度PP（HDPP）</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（2）性能参数：额定工作压力：690kPa/6.9bar/100psi，工作压力范围：140kPa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20psi</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至860kPa</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125psi</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，额定温度：5°C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40°F</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至71°C</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160°F</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，爆破压力：阀体关闭时可承受3450kPa的液体压力达1分钟。</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i w:val="0"/>
                <w:color w:val="000000"/>
                <w:sz w:val="21"/>
                <w:szCs w:val="21"/>
                <w:highlight w:val="none"/>
                <w:u w:val="none"/>
                <w:lang w:val="en-US" w:eastAsia="zh-CN" w:bidi="ar"/>
              </w:rPr>
              <w:t xml:space="preserve">电子产品装调实训室</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实训凳</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尺寸：约长360*宽240*高450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凳面 材质：优质多层实木/环保PP塑料（甲醛释放量≤0.05mg/m³，符合GB 18580-2017标准），表面处理：耐磨哑光漆/防滑纹理</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凳腿 材质：钢管/铝合金，壁厚≥1.2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，防锈处理工艺；结构：四脚支撑，底部带防滑垫。</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外观无毛刺、无裂纹、无色差。凳腿与凳面连接采用牢固，无晃动、无异响。</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综合布线及布置服务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设备数量结合实训室整体面积对设备合理布局、准确定位，在此基础上对设施、设备进行综合布线、安装调试直至设备能整体正常运行；确保美观、安全可靠、结构合理，并保证其强度、稳定性、可靠性，达到采购人要求；材料品种、规格、性能符合国家行业有关标准规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桥架或地面走线、设计布置合理，走线规范</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所有材料如桥架、线槽、电源接口电源线、网线、气管等材料必须符合国家质量标准，对易损部分采取特别保护措施；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根据实训室环境进行一定的文化元素布置。</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项</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i w:val="0"/>
                <w:color w:val="000000"/>
                <w:sz w:val="21"/>
                <w:szCs w:val="21"/>
                <w:highlight w:val="none"/>
                <w:u w:val="none"/>
                <w:lang w:val="en-US" w:eastAsia="zh-CN" w:bidi="ar"/>
              </w:rPr>
              <w:t xml:space="preserve">维修电工实训室</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教师专用演示台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尺寸：约1500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（长）×700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（宽）×900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结构：钢木混合（金属框架+木质台面）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金属框架：40×40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冷轧钢管，壁厚≥1.5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，静电喷塑</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台面：25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厚E1级防火板或实木贴皮，甲醛释放量≤0.5mg/L（E1级），边缘倒圆角</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配有储物空间、静音抽屉或储物仓</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学生桌</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规格：约1200*400*750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台面板采用刨花板（三聚氰胺板），符合国家E1级板材标准，厚度25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，面粘三聚氰胺胶面，PVC胶边，具耐磨、防污、牢固耐用。台面形状是长条形。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台面托架采用冷轧钢板经冲压折弯工艺一体而成，长280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*宽30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材料壁厚：（3.0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）表面采用防锈静电喷涂处理</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实用牢固，承受力大。</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前挡板采用高密度冷轧钢板，壁厚为0.8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，档板四周以折弯工艺完成让档板更牢固耐用，抗变型，挡板表面经防锈静电喷涂处理后使挡板更加美观大方</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注：挡板长度跟随定制尺寸变化，宽度不变）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侧脚采用高精度冷轧圆形钢管，经椎管工艺及塑胶配件而成，前后脚跨度为580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，管材壁厚平均为1.5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，表面经防锈静电喷涂处理，整体牢固耐用，美观大方，抗变型。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横梁采用φ50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圆形冷轧钢管，壁厚1.2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表面再经防锈静电喷涂处理，实用牢固，承受力大。（横梁长度跟随定制尺寸变化）</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书网采用φ14</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圆管</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厚度为0.8</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经塑料件与圆管组合成型表面采用防锈静电喷涂处理。</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书网长度跟随定制尺寸变化）</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外观设计采用人体工程理念及个性化需求，整件产品拼接好，接缝齐整，整体颜色基本相符。</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实训凳</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尺寸：约长360*宽240*高450 </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凳面 材质：优质多层实木/环保PP塑料（甲醛释放量≤0.05mg/m³，符合GB 18580-2017标准），表面处理：耐磨哑光漆/防滑纹理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凳腿 材质：钢管/铝合金，壁厚≥1.2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，防锈处理工艺；结构：四脚支撑，底部带防滑垫。</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外观无毛刺、无裂纹、无色差。凳腿与凳面连接采用牢固，无晃动、无异响。</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理、虚、实一体化高级工智能考核系统</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安全技术性能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输入电源：三相五线～380V±10%50Hz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工作环境：温度-10℃～+40℃相对湿度＜85%（25℃）海拔＜4000m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装置容量：＜3kA</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外形尺寸：1600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*860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*1380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（实训桌尺寸1600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*860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*750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设备特点及基本配置功能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设备采用理实一体化设计，桌子以上的实训平台可以进行电动升降，即降下来讲理论课，升起来做实操课，真正在同一实验室做到理实一体化教学。</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升降后网孔板挂置在升降台上后能够进行人体工学角度切斜（90°-135°可切换），方便学生进行实训操作；</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设备配备的电脑位采用翻转式使用方式，即使用时翻转开，进行PLC的编程或其他操作，不使用时翻转盖住，保护显示器的同时，不占用操作空间。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模块化设计，能够根据所学的课程进行自由的选择所使用的模块，同时，可以根据后期的需要，不改变原有设备布局的情况下进行升级。</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PLC采用快换方式，不占用较大的空间，实训方便、效果好。</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挂件储存设备</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规格：定制，每柜最多可容纳36个挂件</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综合布线及布置服务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设备数量结合实训室整体面积对设备合理布局、准确定位，在此基础上对设施、设备进行综合布线、安装调试直至设备能整体正常运行；确保美观、安全可靠、结构合理，并保证其强度、稳定性、可靠性，达到采购人要求；材料品种、规格、性能符合国家行业有关标准规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桥架或地面走线、设计布置合理，走线规范</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所有材料如桥架、线槽、电源接口电源线、网线、气管等材料必须符合国家质量标准，对易损部分采取特别保护措施；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根据实训室环境进行一定的文化元素布置。</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项</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i w:val="0"/>
                <w:color w:val="000000"/>
                <w:sz w:val="21"/>
                <w:szCs w:val="21"/>
                <w:highlight w:val="none"/>
                <w:u w:val="none"/>
                <w:lang w:val="en-US" w:eastAsia="zh-CN" w:bidi="ar"/>
              </w:rPr>
              <w:t xml:space="preserve">机械CAD实训室（1）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交换机机柜</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尺寸≥600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（宽）*600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（深）*1000㎜（高）；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兼容ETSI标准；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表面处理</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方孔条、安装横梁：热镀锌板；其余：脱脂、硅烷化处理、静电喷塑。</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教师多媒体智能台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1.尺寸规格：讲台长1100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×宽700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×高1050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，适配23.8寸以上显示器。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2.材质工艺：优质冷轧钢板（≥1.2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）静电喷塑，E1级耐磨台面（≥25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），边角圆弧防撞，无毛刺，连续焊接，打磨平整，无虚焊，承重≥100kg。</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3.功能结构：预留设备仓，可安装电脑主机、功放等，有防尘散热设计。</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教师椅</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座高可调节，气压升降，最大座高≥530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，人体工学设计，网布椅背、高密度海绵坐垫、钢制脚架，承重≥100kg。</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学生电脑桌</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规格：约1600*700*750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主体钢架用20*50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方管，弯管厚度1.2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，竖管厚度1.0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，机箱位采用20*20*1.0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方管，配焊铁皮网片。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钢架经激光切割、弯曲、二氧化碳焊接而成。铁皮网片：采用知名品牌0.60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冷轧板，经激光裁切剪板、冲压、折边而成。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桌面采用E1级环保型颗粒板贴面，25㎜厚，四面直边，桌面预留2个60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出线孔，方便设备连接（颜色待定）</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金属外表经酸洗除油、磷化镀膜、静电喷涂、高温固化处理而成。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整体结构采用可拆卸式，螺丝安装固定，组装方便快捷。</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实训凳</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尺寸：长360*宽240*高450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凳面 材质：优质多层实木/环保PP塑料（甲醛释放量≤0.05mg/m³，符合GB 18580-2017标准），表面处理：耐磨哑光漆/防滑纹理</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凳腿 材质：钢管/铝合金，壁厚≥1.2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，防锈处理工艺；结构：四脚支撑，底部带防滑垫。</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外观无毛刺、无裂纹、无色差。凳腿与凳面连接采用牢固，无晃动、无异响。</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综合布线及布置服务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设备数量结合实训室整体面积对设备合理布局、准确定位，在此基础上对设施、设备进行综合布线、安装调试直至设备能整体正常运行；确保美观、安全可靠、结构合理，并保证其强度、稳定性、可靠性，达到采购人要求；材料品种、规格、性能符合国家行业有关标准规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桥架或地面走线、设计布置合理，走线规范</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所有材料如桥架、线槽、电源接口电源线、网线、气管等材料必须符合国家质量标准，对易损部分采取特别保护措施；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根据实训室环境进行一定的文化元素布置。</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项</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i w:val="0"/>
                <w:color w:val="000000"/>
                <w:sz w:val="21"/>
                <w:szCs w:val="21"/>
                <w:highlight w:val="none"/>
                <w:u w:val="none"/>
                <w:lang w:val="en-US" w:eastAsia="zh-CN" w:bidi="ar"/>
              </w:rPr>
              <w:t xml:space="preserve">单片机实训室</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实训凳</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尺寸：约长360*宽240*高450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凳面 材质：优质多层实木/环保PP塑料（甲醛释放量≤0.05mg/m³，符合GB 18580-2017标准），表面处理：耐磨哑光漆/防滑纹理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凳腿 材质：钢管/铝合金，壁厚≥1.2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，防锈处理工艺；结构：四脚支撑，底部带防滑垫。</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外观无毛刺、无裂纹、无色差。凳腿与凳面连接采用牢固，无晃动、无异响。</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综合布线及布置服务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设备数量结合实训室整体面积对设备合理布局、准确定位，在此基础上对设施、设备进行综合布线、安装调试直至设备能整体正常运行；确保美观、安全可靠、结构合理，并保证其强度、稳定性、可靠性，达到采购人要求；材料品种、规格、性能符合国家行业有关标准规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桥架或地面走线、设计布置合理，走线规范</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所有材料如桥架、线槽、电源接口电源线、网线、气管等材料必须符合国家质量标准，对易损部分采取特别保护措施；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根据实训室环境进行一定的文化元素布置。</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项</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i w:val="0"/>
                <w:color w:val="000000"/>
                <w:sz w:val="21"/>
                <w:szCs w:val="21"/>
                <w:highlight w:val="none"/>
                <w:u w:val="none"/>
                <w:lang w:val="en-US" w:eastAsia="zh-CN" w:bidi="ar"/>
              </w:rPr>
              <w:t xml:space="preserve">数字化教学中心（1）</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教师多媒体智能台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1.尺寸规格：讲台长1100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×宽700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×高1050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，适配23.8寸以上显示器。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2.材质工艺：优质冷轧钢板（≥1.2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）静电喷塑，E1级耐磨台面（≥25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），边角圆弧防撞，无毛刺，连续焊接，打磨平整，无虚焊，承重≥100kg。</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3.功能结构：预留设备仓，可安装电脑主机、功放等，有防尘散热设计。</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教师椅</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座高可调节，气压升降，最大座高≥530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，人体工学设计，网布椅背、高密度海绵坐垫、钢制脚架，承重≥100kg。</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学生电脑桌</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规格：约1600*700*750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主体钢架用20*50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方管，弯管厚度1.2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，竖管厚度1.0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，机箱位采用20*20*1.0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方管，配焊铁皮网片。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钢架经激光切割、弯曲、二氧化碳焊接而成。铁皮网片：采用知名品牌0.60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冷轧板，经激光裁切剪板、冲压、折边而成。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桌面采用E1级环保型颗粒板贴面，25㎜厚，四面直边，桌面预留2个60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出线孔，方便设备连接（颜色待定）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金属外表经酸洗除油、磷化镀膜、静电喷涂、高温固化处理而成。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整体结构采用可拆卸式，螺丝安装固定，组装方便快捷。</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实训凳</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尺寸：约长360*宽240*高450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凳面 材质：优质多层实木/环保PP塑料（甲醛释放量≤0.05mg/m³，符合GB 18580-2017标准），表面处理：耐磨哑光漆/防滑纹理</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凳腿 材质：钢管/铝合金，壁厚≥1.2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，防锈处理工艺；结构：四脚支撑，底部带防滑垫。</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外观无毛刺、无裂纹、无色差。凳腿与凳面连接采用牢固，无晃动、无异响。</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综合布线及布置服务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设备数量结合实训室整体面积对设备合理布局、准确定位，在此基础上对设施、设备进行综合布线、安装调试直至设备能整体正常运行；确保美观、安全可靠、结构合理，并保证其强度、稳定性、可靠性，达到采购人要求；材料品种、规格、性能符合国家行业有关标准规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桥架或地面走线、设计布置合理，走线规范</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所有材料如桥架、线槽、电源接口电源线、网线、气管等材料必须符合国家质量标准，对易损部分采取特别保护措施；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根据实训室环境进行一定的文化元素布置。</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项</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i w:val="0"/>
                <w:color w:val="000000"/>
                <w:sz w:val="21"/>
                <w:szCs w:val="21"/>
                <w:highlight w:val="none"/>
                <w:u w:val="none"/>
                <w:lang w:val="en-US" w:eastAsia="zh-CN" w:bidi="ar"/>
              </w:rPr>
              <w:t xml:space="preserve">数字化教学中心（2）</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教师多媒体智能台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1.尺寸规格：讲台长约1100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×宽700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×高1050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，适配23.8寸以上显示器。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2.材质工艺：优质冷轧钢板（≥1.2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）静电喷塑，E1级耐磨台面（≥25</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），边角圆弧防撞，无毛刺，连续焊接，打磨平整，无虚焊，承重≥100kg。</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3.功能结构：预留设备仓，可安装电脑主机、功放等，有防尘散热设计。</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教师椅</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座高可调节，气压升降，最大座高≥530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，人体工学设计，网布椅背、高密度海绵坐垫、钢制脚架，承重≥100kg。</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学生电脑桌</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规格：约1600*700*750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主体钢架用20*50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方管，弯管厚度1.2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，竖管厚度1.0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，机箱位采用20*20*1.0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方管，配焊铁皮网片。</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钢架经激光切割、弯曲、二氧化碳焊接而成。铁皮网片：采用知名品牌0.60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冷轧板，经激光裁切剪板、冲压、折边而成。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桌面采用E1级环保型颗粒板贴面，25㎜厚，四面直边，桌面预留2个60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出线孔，方便设备连接（颜色待定）</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金属外表经酸洗除油、磷化镀膜、静电喷涂、高温固化处理而成。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整体结构采用可拆卸式，螺丝安装固定，组装方便快捷。</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张</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24</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实训凳</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尺寸：约长360*宽240*高450 </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凳面 材质：优质多层实木/环保PP塑料（甲醛释放量≤0.05mg/m³，符合GB 18580-2017标准），表面处理：耐磨哑光漆/防滑纹理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凳腿 材质：钢管/铝合金，壁厚≥1.2</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，防锈处理工艺；结构：四脚支撑，底部带防滑垫。</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外观无毛刺、无裂纹、无色差。凳腿与凳面连接采用牢固，无晃动、无异响。</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340"/>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综合布线及布置服务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设备数量结合实训室整体面积对设备合理布局、准确定位，在此基础上对设施、设备进行综合布线、安装调试直至设备能整体正常运行；确保美观、安全可靠、结构合理，并保证其强度、稳定性、可靠性，达到采购人要求；材料品种、规格、性能符合国家行业有关标准规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桥架或地面走线、设计布置合理，走线规范</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所有材料如桥架、线槽、电源接口电源线、网线、气管等材料必须符合国家质量标准，对易损部分采取特别保护措施；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根据实训室环境进行一定的文化元素布置。</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项</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340"/>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bCs/>
                <w:i w:val="0"/>
                <w:color w:val="000000"/>
                <w:sz w:val="21"/>
                <w:szCs w:val="21"/>
                <w:highlight w:val="none"/>
                <w:u w:val="none"/>
              </w:rPr>
              <w:t xml:space="preserve">纺织服装系-服装工艺实训</w:t>
            </w:r>
            <w:r>
              <w:rPr>
                <w:rFonts w:ascii="宋体" w:hAnsi="宋体" w:cs="宋体"/>
              </w:rPr>
            </w:r>
            <w:r/>
          </w:p>
        </w:tc>
      </w:tr>
      <w:tr>
        <w:trPr>
          <w:trHeight w:val="454"/>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i w:val="0"/>
                <w:color w:val="000000"/>
                <w:sz w:val="21"/>
                <w:szCs w:val="21"/>
                <w:highlight w:val="none"/>
                <w:u w:val="none"/>
                <w:lang w:val="en-US" w:eastAsia="zh-CN" w:bidi="ar"/>
              </w:rPr>
              <w:t xml:space="preserve">服装缝纫实训室</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综合布线服务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1.多功能储物架三层，尺寸≥150*60*80</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，乳白主架三层，数量：2个。</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高度可调，是否带滚轮，不带滚轮，框架材质：金属。</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2.美耐板面料裁剪整理案板。裁床案板尺寸≥1600*1200mm，板材厚度：25-30mm厚</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脚架用C型管焊接而成经粉未喷涂处理，脚架高度可调节</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每节长度为1.2米，数量2节。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注：含49台缝纫机强电、含吊瓶熨斗工位布线，强电，国标，含辅材，含人工费，交钥匙工程。不含主电缆。提供平面布置图，强电，弱电图纸。根据场地要求。含原设备数量：49台缝纫机保护性拆除，安装、保养，维修，含基础配件。</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辅料</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1.轻钢龙骨隔断墙11.26㎡，75型轻钢隔墙龙骨，双面单层9.5厚纸面石膏板；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2.刮腻子刷乳胶漆22.53㎡；</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3.玻璃高隔断16.90㎡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 隔断框85mm*40mm（壁厚1.2mm），横竖压条32mm（壁厚1.0mm），天地轨40mm（壁厚1.0mm）玻璃隔断双玻约5mm钢化玻璃，高度2400mm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钢化玻璃；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4.钢化玻璃门1樘</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10厚钢化玻璃，门尺寸</w:t>
            </w:r>
            <w:r>
              <w:rPr>
                <w:rFonts w:hint="eastAsia" w:ascii="宋体" w:hAnsi="宋体" w:eastAsia="宋体" w:cs="宋体"/>
                <w:i w:val="0"/>
                <w:color w:val="000000"/>
                <w:sz w:val="21"/>
                <w:szCs w:val="21"/>
                <w:highlight w:val="none"/>
                <w:u w:val="none"/>
                <w:lang w:val="en-US" w:eastAsia="zh-CN" w:bidi="ar"/>
              </w:rPr>
              <w:t xml:space="preserve">约</w:t>
            </w:r>
            <w:r>
              <w:rPr>
                <w:rFonts w:hint="eastAsia" w:ascii="宋体" w:hAnsi="宋体" w:eastAsia="宋体" w:cs="宋体"/>
                <w:i w:val="0"/>
                <w:color w:val="000000"/>
                <w:sz w:val="21"/>
                <w:szCs w:val="21"/>
                <w:highlight w:val="none"/>
                <w:u w:val="none"/>
                <w:lang w:val="en-US" w:eastAsia="zh-CN" w:bidi="ar"/>
              </w:rPr>
              <w:t xml:space="preserve">900*2000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454"/>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i w:val="0"/>
                <w:color w:val="000000"/>
                <w:sz w:val="21"/>
                <w:szCs w:val="21"/>
                <w:highlight w:val="none"/>
                <w:u w:val="none"/>
                <w:lang w:val="en-US" w:eastAsia="zh-CN" w:bidi="ar"/>
              </w:rPr>
              <w:t xml:space="preserve">服装工艺理实一体化实训室（1）</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服装工艺理实融合实训平台（学生端）</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一、基础参数：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服装工艺理实融合实训平台由缝制单元、操作系统单元、服装裁剪制板熨烫单元组成，是一个L形旋转式操作台。操作台板面：采用耐强酸碱的实木多层板，板面是防火板面：厚度≥3.7</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1.实训台尺寸（长*宽*高）：≥2100mm×1600mm×780mm，高度可调</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实训台为L型一体式结构。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2.实训台可以实现：服装理论在线考试，服装创意设计、款式拓展设计、服装立体造型、服装立裁制版，服装手工制版、纸样设计与制作、CAD板型制作、推板、裁剪配伍与样衣试制。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3.实训台可以实现单、双幅面辅衬料平铺裁剪的要求。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二、缝制单元：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1.缝纫单元配备电脑缝纫机一台，位于实训台中部，完成样衣试制。机器内嵌式液晶操作面板，一体型电控机构。一体型直驱伺服控制系统，自动剪线、自动夹线、自动抬压脚功能，双动刀剪线。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2.适用于衬衫、西服、裤子等中厚料服装的缝纫。</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缝纫机梭芯直径≥21mm，切线方式：双刀，机针数：单针，针杆行程≥31mm，顺缝针距/倒缝高度mm：5/5，最高转速≥5000rpm，手提压脚高度≥5.5mm，出厂膝提高度、自动抬压脚高≥9mm，膝提最高≥12mm，电机功率≥550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三、操作系统单元：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1.操作系统单元位于实训台一侧，桌面安装旋转升降显示屏支架臂，键盘托架可升降调节，不使用时可以隐藏在实训台下方。操作系统单元配备防尘机柜。操作系统要求win10及以上，CPU I5及以上，内存≥8G，硬盘≥500G，独立显卡≥4G，显示器≥23.8英寸。</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2.配备院校教学服装CAD制版软件V10.0+，1站点，可实现打版、放码、排料。</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2.1打版（DGS）系统的公式法和自由法制版设计在同一界面，可一键切换。并能存储无限量款式部件和版型素材库，可随时调取修改使用，实现结构线、纸样、数据之间的联动修改。含近三年国赛题库，可以自由查看其结构图、样板图、放码图。具有3D数据输出功能，实现2D CAD纸样数据与3D建模数据系统贯通。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2.2放码（DGS）界面：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多种放码方式：点放码、比例放码，肩斜放码，定型放码，辅助线放码，圆弧放码，方向键放码，规则放码，线放码，角度放码等，可随时显示每个点的放码量标注。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2.3双界面同时排料，提供自动排料、手动、人机交互，对条对格等多种排料方式，按国赛要求可输入选手工位号，并自动输出打印到指定位置。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配备硬盘保护及网络同传功能，支持数据差异拷贝，非增量拷贝、变量拷贝、进度同步等部署方式。根据网络状况可选择广播、组播、单播等方式。支持差异拷贝接收端网络环境检测，可检测接收端网卡连接速度，提前发现问题网点，排查处理影响差异拷贝的终端。支持批量修改用户登录名和IP地址。</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四、服装裁剪制板熨烫单元：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1.服装裁剪制板熨烫区尺寸≥1600*800mm，可移动软包烫板尺寸（长*宽）≥120</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*75</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配备1200W及以上蒸汽吊瓶熨斗1台，含吊瓶支架；配备烫凳，充分满足教学、实训和大赛中服装成品、半成品的制作、熨烫要求；配备转凳：材质：定型绵，皮革，电镀金属等；配备多功能储物柜，设计合理，使用方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符合或优于全国职业院校技能大赛（中职组）服装设计与工艺赛项技术要求。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符合或优于世界职业院校技能大赛（中职组）纺织服装赛道赛项技术要求。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符合或优于中华人民共和国职业技能大赛 （国赛精选）服装制版技术要求。</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立体裁剪用人台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一、技术参数：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约胸围：84</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，腰围：64</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，臀围：91</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，肩宽：38</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，前长：35</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，背长：38</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二、产品特点：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版型：符合中国女性人体版型特点；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材质：实心PU发泡，使用寿命长；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工艺：使用棉布、部位线清晰，做工精致；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底座：烤漆升降四插脚，实心铸铁支架，稳定性好，美观实用。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插针方式：直插、斜插</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人台尺寸误差控制在±1.5</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以内。</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智慧工具包</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工具包含：服装制作与工艺工具包/1个、梭皮/1个、梭芯/2个、针插/1个、立裁针/1包、标记带/2卷（一红一蓝）、手缝针/1包、机针/1包、白色消失划粉/2片、有色划粉/1片、双面胶/1卷、透明胶带/1卷、小文具刀/1把、一字螺丝刀1把、十字螺丝刀/1把、锥子/1个、镊子/1个、拆线器/1个、记号笔/1支、消失笔/1支、自动铅笔/1支、铅笔芯/1管、黑色签字笔/1支、橡皮/1个、划布轮（划线轮）/1个、打孔器/1个、剪口钳/1把、线剪/1把、纸剪/1把、大吉剪刀 </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11寸</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/1把、卷尺/1个、曲线尺/1把、袖笼曲线尺/1把、直尺/1把、20</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钢尺/1把、左、右单压脚/各1个、制版多功能比例三角尺、顶针/1个。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铸铁压布块</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1.重量：约1.6KG；尺寸：约长25</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，宽7</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高5.5</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厚1</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综合布线服务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一、技术参数：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含强电，弱电，国标，含辅材，含人工费，交钥匙工程。不含主电缆。提供平面布置图，强电，弱电图纸。根据场地要求，学校提供外网接入。含原设备数量：31台保护性拆除，含安装布线。                          1.多功能储物架三层尺寸≥1150*60*80</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，乳白主架三层，数量：2个。</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高度可调，是否带滚轮，不带滚轮，框架材质：金属。</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2.美耐板面料裁剪整理案板。裁床案板尺寸≥1600*1200mm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板材厚度：25--30mm厚</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脚架用C型管焊接而成经粉未喷涂处理，脚架高度可调节</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每节长度为1.2米，数量2节。</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辅料</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1.轻钢龙骨隔断墙11.26㎡，75型轻钢隔墙龙骨，双面单层9.5厚纸面石膏板；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2.刮腻子刷乳胶漆22.53㎡；</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3.玻璃高隔断16.90㎡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 隔断框85mm*40mm（壁厚1.2mm），横竖压条32mm（壁厚1.0mm），天地轨40mm（壁厚1.0mm）玻璃隔断双玻5mm钢化玻璃，高度2400mm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钢化玻璃；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4.钢化玻璃门1樘</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10厚钢化玻璃，门尺寸</w:t>
            </w:r>
            <w:r>
              <w:rPr>
                <w:rFonts w:hint="eastAsia" w:ascii="宋体" w:hAnsi="宋体" w:eastAsia="宋体" w:cs="宋体"/>
                <w:i w:val="0"/>
                <w:color w:val="000000"/>
                <w:sz w:val="21"/>
                <w:szCs w:val="21"/>
                <w:highlight w:val="none"/>
                <w:u w:val="none"/>
                <w:lang w:val="en-US" w:eastAsia="zh-CN" w:bidi="ar"/>
              </w:rPr>
              <w:t xml:space="preserve">约</w:t>
            </w:r>
            <w:r>
              <w:rPr>
                <w:rFonts w:hint="eastAsia" w:ascii="宋体" w:hAnsi="宋体" w:eastAsia="宋体" w:cs="宋体"/>
                <w:i w:val="0"/>
                <w:color w:val="000000"/>
                <w:sz w:val="21"/>
                <w:szCs w:val="21"/>
                <w:highlight w:val="none"/>
                <w:u w:val="none"/>
                <w:lang w:val="en-US" w:eastAsia="zh-CN" w:bidi="ar"/>
              </w:rPr>
              <w:t xml:space="preserve">900*2000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454"/>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i w:val="0"/>
                <w:color w:val="000000"/>
                <w:sz w:val="21"/>
                <w:szCs w:val="21"/>
                <w:highlight w:val="none"/>
                <w:u w:val="none"/>
                <w:lang w:val="en-US" w:eastAsia="zh-CN" w:bidi="ar"/>
              </w:rPr>
              <w:t xml:space="preserve">服装工艺理实一体化实训室（2）</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服装工艺理实融合实训平台</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教师端</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一、基础参数：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服装工艺理实融合实训平台由缝制单元、操作系统单元、服装裁剪制板熨烫单元组成，是一个一字旋转式操作台。操作台板面：采用耐强酸碱的实木多层板，板面是防火板面：厚度≥3.7</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1.实训台尺寸（长*宽*高）：≥2500mm×800mm×780mm，高度可调</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实训台为一字型一体式结构。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2.实训台可以实现：服装理论在线考试，服装创意设计、款式拓展设计、服装立体造型、服装立裁制版，服装手工制版、纸样设计与制作、CAD板型制作、推板、裁剪配伍与样衣试制。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3.实训台可以实现单、双幅面辅衬料平铺裁剪的要求。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二、缝制单元：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1.缝纫单元配备电脑缝纫机一台，位于实训台中部，完成样衣试制。机器内嵌式液晶操作面板，一体型电控机构。一体型直驱伺服控制系统，自动剪线、自动夹线、自动抬压脚功能，双动刀剪线。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2.适用于衬衫、西服、裤子等中厚料服装的缝纫。</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缝纫机梭芯直径≥21mm，切线方式：双刀，机针数：单针，针杆行程≥31mm，顺缝针距/倒缝高度mm：5/5，最高转速≥5000rpm，手提压脚高度≥5.5mm，出厂膝提高度、自动抬压脚高≥9mm，膝提最高≥12mm，电机功率≥550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三、操作系统单元：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1.操作系统单元位于实训台一侧，桌面安装旋转升降显示屏支架臂，键盘托架可升降调节，不使用时可以隐藏在实训台下方。操作系统单元配备防尘机柜。操作系统要求win10及以上，CPU I7，内存≥16G，固态硬盘≥500G，独立显卡≥4G，显示器≥23.8英寸。</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2.配备院校教学服装CAD制版软件V10.0+，1站点，可实现打版、放码、排料。</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2.1打版（DGS）系统的公式法和自由法制版设计在同一界面，可一键切换。并能存储无限量款式部件和版型素材库，可随时调取修改使用，实现结构线、纸样、数据之间的联动修改。含近三年国赛题库，可以自由查看其结构图、样板图、放码图。具有3D数据输出功能，实现2D CAD纸样数据与3D建模数据系统贯通。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2.2放码（DGS）界面：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多种放码方式：点放码、比例放码，肩斜放码，定型放码，辅助线放码，圆弧放码，方向键放码，规则放码，线放码，角度放码等，可随时显示每个点的放码量标注。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2.3双界面同时排料，提供自动排料、手动、人机交互，对条对格等多种排料方式，按国赛要求可输入选手工位号，并自动输出打印到指定位置。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四、配备实训服装理论在线考试，符合全国职业院校技能大赛要求。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1.安装环境要求：系统为B/S 架构，网页模式，访问工作站，学生端通过教师机ip地址访问。操作系统为win10专业版，安装vmware17；BIOS开启虚拟化功能。</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2.功能介绍</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系统包含管理端和考生端。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2.1系统功能模块分为：</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题库管理：新增题库，题库列表，新增试题；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考试管理：创建试卷，试卷管理；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用户管理：管理用户，管理部门。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题目类型：单选题、多选题、判断题。根据题库模板自行导入题库。题库中增加图片选项的题目类型。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2.2创建试卷，可以随机组卷，可跨题库组卷；难易程度：简单、中等、较难，自由选择数量和分值；答题结束后可以设置成绩隐藏或者显示</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可以自由设置开考时间和结束时间，生成试卷。</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2.3激活考试</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考试未激活前，可修改考试开始时间。考试时间结束后，不可激活考试。</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2.4考试登陆答题：选择学校、考试名称，输入身份证号、姓名、验证码登录。阅读考试说明，进入倒计时界面，倒计时结束后开始答题。提交试卷时有漏题提醒。</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2.5管理端查看成绩，信息要详细：考试时长，考试人数，考试详情。查阅考试详情：考生姓名、身份证号、考试开始时间、结束时间，得分。考试详情可导出成绩。</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2.6显示考生信息、开考时间，交卷时间，得分。点击试卷详情可以浏览考生答题详情。断电保护：断电、死机情况下重启电脑后可以进入登陆界面，系统自动保存内容，可继续答题，不会出现资源丢失。</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2.7题库列表：（1）包含2015年—2019年及2023年全国职业院校技能大赛理论题库，（每年各不少于300题）（2）包含最近三年全国职业院校学生服装制版与工艺技能大赛理论题库（每年不少于300题）。</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五、服装裁剪制板熨烫单元：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服装裁剪制板熨烫区尺寸≥1600*800mm，可移动软包烫板尺寸（长*宽）≥120</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*75</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配备1200W及以上蒸汽吊瓶熨斗1台，含吊瓶支架；配备烫凳，充分满足教学、实训和大赛中服装成品、半成品的制作、熨烫要求；配备转凳：材质：定型绵，皮革，电镀金属等；配备多功能储物柜，设计合理，使用方便。</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服装工艺理实融合实训平台（学生端）</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一、基础参数：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服装工艺理实融合实训平台由缝制单元、操作系统单元、服装裁剪制板熨烫单元组成，是一个L形旋转式操作台。操作台板面：采用耐强酸碱的实木多层板，板面是防火板面：厚度≥3.7</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1.实训台尺寸（长*宽*高）：≥2100mm×1600mm×780mm，高度可调</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实训台为L型一体式结构。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2.实训台可以实现：服装理论在线考试，服装创意设计、款式拓展设计、服装立体造型、服装立裁制版，服装手工制版、纸样设计与制作、CAD板型制作、推板、裁剪配伍与样衣试制。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3.实训台可以实现单、双幅面辅衬料平铺裁剪的要求。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二、缝制单元：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1.缝纫单元配备电脑缝纫机一台，位于实训台中部，完成样衣试制。机器内嵌式液晶操作面板，一体型电控机构。一体型直驱伺服控制系统，自动剪线、自动夹线、自动抬压脚功能，双动刀剪线。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2.适用于衬衫、西服、裤子等中厚料服装的缝纫。</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缝纫机梭芯直径≥21mm，切线方式：双刀，机针数：单针，针杆行程≥31mm，顺缝针距/倒缝高度mm：5/5，最高转速≥5000rpm，手提压脚高度≥5.5mm，出厂膝提高度、自动抬压脚高≥9mm，膝提最高≥12mm，电机功率≥550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三、操作系统单元：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1.操作系统单元位于实训台一侧，桌面安装旋转升降显示屏支架臂，键盘托架可升降调节，不使用时可以隐藏在实训台下方。操作系统单元配备防尘机柜。操作系统要求win10及以上，CPU I7，内存≥8G，固态硬盘≥500G，独立显卡≥4G，显示器≥23.8英寸。</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2.配备院校教学服装CAD制版软件V10.0+，1站点，可实现打版、放码、排料。</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2.1打版（DGS）系统的公式法和自由法制版设计在同一界面，可一键切换。并能存储无限量款式部件和版型素材库，可随时调取修改使用，实现结构线、纸样、数据之间的联动修改。含近三年国赛题库，可以自由查看其结构图、样板图、放码图。具有3D数据输出功能，实现2D CAD纸样数据与3D建模数据系统贯通。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2.2放码（DGS）界面：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多种放码方式：点放码、比例放码，肩斜放码，定型放码，辅助线放码，圆弧放码，方向键放码，规则放码，线放码，角度放码等，可随时显示每个点的放码量标注。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2.3双界面同时排料，提供自动排料、手动、人机交互，对条对格等多种排料方式，按国赛要求可输入选手工位号，并自动输出打印到指定位置。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配备硬盘保护及网络同传功能，支持数据差异拷贝，非增量拷贝、变量拷贝、进度同步等部署方式。根据网络状况可选择广播、组播、单播等方式。支持差异拷贝接收端网络环境检测，可检测接收端网卡连接速度，提前发现问题网点，排查处理影响差异拷贝的终端。支持批量修改用户登录名和IP地址。</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四、服装裁剪制板熨烫单元：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1.服装裁剪制板熨烫区尺寸≥1600*800mm，可移动软包烫板尺寸（长*宽）≥120</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*75</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配备1200W及以上蒸汽吊瓶熨斗1台，含吊瓶支架；配备烫凳，充分满足教学、实训和大赛中服装成品、半成品的制作、熨烫要求；配备转凳：材质：定型绵，皮革，电镀金属等；配备多功能储物柜，设计合理，使用方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符合或优于全国职业院校技能大赛（中职组）服装设计与工艺赛项技术要求。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符合或优于世界职业院校技能大赛（中职组）纺织服装赛道赛项技术要求。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符合或优于中华人民共和国职业技能大赛 （国赛精选）服装制版技术要求。</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立体裁剪用人台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一、技术参数：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约胸围：84</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，腰围：64</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，臀围：91</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，肩宽：38</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，前长：35</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，背长：38</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二、产品特点：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版型：符合中国女性人体版型特点；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材质：实心PU发泡，使用寿命长；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工艺：使用棉布、部位线清晰，做工精致；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底座：烤漆升降四插脚，实心铸铁支架，稳定性好，美观实用。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插针方式：直插、斜插</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人台尺寸误差控制在±1.5</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以内。</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49</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手绘板</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一、技术参数：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外形尺寸</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≥291×206×4~7毫米</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重量</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≥411克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笔感应区域（毫米）：263×148毫米</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压感级别</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8192</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压感笔技术：EMR 电磁感应技术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笔类型</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无源无线压感笔、具备可更换笔握按键及调整重量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笔倾斜角度</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±60度</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笔迹解析度：5080 lpi（线/英寸）或0.005毫米/点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最高跟笔读取率</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300 rps（次/秒）</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二、系统要求：Windows® 10 或更新版本（最新服务包/版本）、macOS 13 或更新版本</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USB</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连接 支持</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49</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主音箱</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一、技术参数：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8"室内扬声器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低音：8"铝合金振膜，橡胶折环，21.8oz磁钢，25mm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音圈。</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高音：25mm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铝合金音膜，磁液冷却，钕铁硼磁钢。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谐振频率：38Hz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频率响应：40Hz-20KHz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灵敏度：89dB/W/M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推荐功放功率：10-150Watts</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阻抗：8ohm</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功率放大器</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一、技术参数：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额定输出功率 60W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功 耗 120W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EM话筒250mv，EM辅助输入1.2V</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保护功能 温度，过流，过载，短路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额定电源 AC220V/50Hz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扩展输出 AUX扩展输出800mv</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平衡扩展输出800mv</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信噪比 线路&gt;70dB 话筒&gt;70dB</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总谐波失真 ＜0.5% （1KHz，正常工作条件）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净 重 8.5Kg</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机身尺寸（mm） 359.5*484*88mm</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7</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无线话筒</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一、麦克风规格</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频率范围 610-670MHz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可调信道数 240通道自适应调整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频率稳定性 ±10ppm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调制方式 FM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射频功率 10~30mW自适应调整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音频频响 40~18000Hz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失真度 ≤0.8%</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电池规格 2×1.5V AA Size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续用时间 5~10小时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二、接收机规格</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频率范围 610-670MHz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可调信道数 120+120自适应调整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振荡方式 锁相环（PLL）频率合成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频率稳定性 ±10ppm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接收方式 超外差二次变频</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接收灵敏度 -103dBm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音频频响 40~18000Hz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失真度 ≤1%</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配：手持话筒/耳挂各一个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8</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调音台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一、技术参数：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8通道输入（4路话筒+2路立体声）另带2路立体声的辅佐输入（AUX IN）及2路立体声（REC OUT）和1路单声（AUX SEND）返回输出，2路输出（R &amp; L）；</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迷你型设计，具有精美的外观及携带方便；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带耳机（PHONES）监控输出，并有专门的FADER来控制信号大小，使操作更加方便自带48V话筒供电，可以与各种类型话筒匹配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外置式电源和话筒噪音滤波器（80Hz），有效的抑制了话筒录音或处理过程中产生的噪音和失真</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MIC NOISE&lt;-129dBu</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 THD</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&lt;0.0068%</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9</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高清球机</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一、技术参数：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图像传感器：1/2.8" Progressive Scan </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OS</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有效像素：约320万像素</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最低照度彩色：0.02Lux @ </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F1.6，AGC ON</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；黑白：0.002Lux @</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F1.6，AGC ON</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白平衡：自动/手动/自动跟踪白平衡/室外/室内/日光灯白平衡/钠灯白平衡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增益控制：自动/手动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信噪比：≥55dB</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电子快门：50Hz</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1/1-1/30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000s；60Hz</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1/1-1/30</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000s</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日夜模式：自动ICR彩转黑</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数字变倍：16倍</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隐私遮蔽：最多24块多边形区域，同时最多有8块区域在同一个画面；支持多种颜色、马赛克可选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聚焦模式：自动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镜像功能：根据重力感应自动镜像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焦距：3.3-119mm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36倍光学</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变倍速度：大约2.7秒</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光学</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广角-望远</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水平视角：58.3-1.2度</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广角-望远</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近摄距：10-1500mm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广角-望远</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光圈数：F1.6-F3.5</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智慧工具包</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工具包含：服装制作与工艺工具包/1个、梭皮/1个、梭芯/2个、针插/1个、立裁针/1包、标记带/2卷（一红一蓝）、手缝针/1包、机针/1包、白色消失划粉/2片、有色划粉/1片、双面胶/1卷、透明胶带/1卷、小文具刀/1把、一字螺丝刀1把、十字螺丝刀/1把、锥子/1个、镊子/1个、拆线器/1个、记号笔/1支、消失笔/1支、自动铅笔/1支、铅笔芯/1管、黑色签字笔/1支、橡皮/1个、划布轮（划线轮）/1个、打孔器/1个、剪口钳/1把、线剪/1把、纸剪/1把、大吉剪刀 </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11寸</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/1把、卷尺/1个、曲线尺/1把、袖笼曲线尺/1把、直尺/1把、20</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钢尺/1把、左、右单压脚/各1个、制版多功能比例三角尺、顶针/1个。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49</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铸铁压布块</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1.重量：约1.6KG，尺寸：长25</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，宽7</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高5.5</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厚1</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98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综合布线服务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numPr>
                <w:ilvl w:val="0"/>
                <w:numId w:val="11"/>
              </w:numPr>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技术参数：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含强电，弱电，国标，含辅材，含人工费，交钥匙工程。不含主电缆。提供平面布置图，强电，弱电图纸。根据场地要求，学校提供外网接入。                                                 </w:t>
            </w:r>
            <w:r>
              <w:rPr>
                <w:rFonts w:ascii="宋体" w:hAnsi="宋体" w:cs="宋体"/>
              </w:rPr>
            </w:r>
            <w:r/>
          </w:p>
          <w:p>
            <w:pPr>
              <w:pStyle w:val="885"/>
              <w:numPr>
                <w:ilvl w:val="0"/>
                <w:numId w:val="0"/>
              </w:numPr>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1.多功能储物架三层尺寸≥150*60*80</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，乳白主架三层，数量：2个。</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高度可调，是否带滚轮，不带滚轮，框架材质：金属。</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2.美耐板面料裁剪整理案板。裁床案板尺寸≥1600*1200mm，板材厚度：25--30mm厚</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脚架用C型管焊接而成经粉未喷涂处理，脚架高度可调节 </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每节长度为1.2米，数量2节。</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辅料</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1.轻钢龙骨隔断墙12.06㎡，75型轻钢隔墙龙骨，双面单层9.5厚纸面石膏板；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2.刮腻子刷乳胶漆24.13㎡；</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3.玻璃高隔断18.1㎡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 隔断框85mm*40mm（壁厚1.2mm），横竖压条32mm（壁厚1.0mm），天地轨40mm（壁厚1.0mm）玻璃隔断双玻5mm钢化玻璃，高度2400mm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钢化玻璃；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4.钢化玻璃门1樘</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10厚钢化玻璃，门尺寸</w:t>
            </w:r>
            <w:r>
              <w:rPr>
                <w:rFonts w:hint="eastAsia" w:ascii="宋体" w:hAnsi="宋体" w:eastAsia="宋体" w:cs="宋体"/>
                <w:i w:val="0"/>
                <w:color w:val="000000"/>
                <w:sz w:val="21"/>
                <w:szCs w:val="21"/>
                <w:highlight w:val="none"/>
                <w:u w:val="none"/>
                <w:lang w:val="en-US" w:eastAsia="zh-CN" w:bidi="ar"/>
              </w:rPr>
              <w:t xml:space="preserve">约</w:t>
            </w:r>
            <w:r>
              <w:rPr>
                <w:rFonts w:hint="eastAsia" w:ascii="宋体" w:hAnsi="宋体" w:eastAsia="宋体" w:cs="宋体"/>
                <w:i w:val="0"/>
                <w:color w:val="000000"/>
                <w:sz w:val="21"/>
                <w:szCs w:val="21"/>
                <w:highlight w:val="none"/>
                <w:u w:val="none"/>
                <w:lang w:val="en-US" w:eastAsia="zh-CN" w:bidi="ar"/>
              </w:rPr>
              <w:t xml:space="preserve">900*2000</w:t>
            </w:r>
            <w:r>
              <w:rPr>
                <w:rFonts w:hint="eastAsia" w:ascii="宋体" w:hAnsi="宋体" w:eastAsia="宋体" w:cs="宋体"/>
                <w:i w:val="0"/>
                <w:color w:val="000000"/>
                <w:sz w:val="21"/>
                <w:szCs w:val="21"/>
                <w:highlight w:val="none"/>
                <w:u w:val="none"/>
                <w:lang w:val="en-US" w:eastAsia="zh-CN" w:bidi="ar"/>
              </w:rPr>
              <w:t xml:space="preserve">mm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454"/>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i w:val="0"/>
                <w:color w:val="000000"/>
                <w:sz w:val="21"/>
                <w:szCs w:val="21"/>
                <w:highlight w:val="none"/>
                <w:u w:val="none"/>
                <w:lang w:val="en-US" w:eastAsia="zh-CN" w:bidi="ar"/>
              </w:rPr>
              <w:t xml:space="preserve">服装制版实训室</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服装工艺理实融合实训平台（学生端）</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一、基础参数：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服装工艺理实融合实训平台由缝制单元、操作系统单元、服装裁剪制板熨烫单元组成，是一个一字操作台。操作台板面：采用耐强酸碱的实木多层板，板面是防火板面：厚度≥3.7</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1.实训台尺寸（长*宽*高）：≥2500mm×800mm×780mm，高度可调</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实训台为一字型一体式结构。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2.实训台可以实现：服装理论在线考试，服装创意设计、款式拓展设计、服装立体造型、服装立裁制版，服装手工制版、纸样设计与制作、CAD板型制作、推板、裁剪配伍与样衣试制。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3.实训台可以实现单、双幅面辅衬料平铺裁剪的要求。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二、缝制单元：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1.缝纫单元配备电脑缝纫机一台，位于实训台中部，完成样衣试制。机器内嵌式液晶操作面板，一体型电控机构。一体型直驱伺服控制系统，自动剪线、自动夹线、自动抬压脚功能，双动刀剪线。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适用于衬衫、西服、裤子等中厚料服装的缝纫。</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缝纫机梭芯直径≥21mm，切线方式：双刀，机针数：单针，针杆行程≥31mm，顺缝针距/倒缝高度mm：5/5，最高转速≥5000rpm，手提压脚高度≥5.5mm，出厂膝提高度、自动抬压脚高≥9mm，膝提最高≥12mm，电机功率≥550w.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三、操作系统单元：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1.操作系统单元位于实训台一侧，桌面安装旋转升降显示屏支架臂，键盘托架可升降调节，不使用时可以隐藏在实训台下方。操作系统单元配备防尘机柜。操作系统要求win10及以上，CPU I7，内存≥8G，硬盘≥500G，独立显卡≥4G，显示器≥23.8英寸。</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2.配备院校教学服装CAD制版软件V10.0+，1站点，可实现打版、放码、排料。</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2.1打版（DGS）系统的公式法和自由法制版设计在同一界面，可一键切换。并能存储无限量款式部件和版型素材库，可随时调取修改使用，实现结构线、纸样、数据之间的联动修改。含近三年国赛题库，可以自由查看其结构图、样板图、放码图。具有3D数据输出功能，实现2D CAD纸样数据与3D建模数据系统贯通。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2.2放码（DGS）界面：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多种放码方式：点放码、比例放码，肩斜放码，定型放码，辅助线放码，圆弧放码，方向键放码，规则放码，线放码，角度放码等，可随时显示每个点的放码量标注。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2.3双界面同时排料，提供自动排料、手动、人机交互，对条对格等多种排料方式，按国赛要求可输入选手工位号，并自动输出打印到指定位置。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四、服装裁剪制板熨烫单元：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1.服装裁剪制板熨烫区尺寸≥1600*800mm，可移动软包烫板尺寸（长*宽）≥120</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*75</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配备1200W及以上蒸汽吊瓶熨斗1台，含吊瓶支架；配备烫凳，充分满足教学、实训和大赛中服装成品、半成品的制作、熨烫要求；配备转凳：材质：定型绵，皮革，电镀金属等；配备多功能储物柜，设计合理，使用方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符合或优于全国职业院校技能大赛（中职组）服装设计与工艺赛项技术要求。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符合或优于世界职业院校技能大赛（中职组）纺织服装赛道赛项技术要求。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符合或优于中华人民共和国职业技能大赛 （国赛精选）服装制版技术要求。</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制版台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一、制版桌：</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1.钢木结构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2.桌面规格尺寸：240</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×120</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.高度：85</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3.桌面采用25mm±5mm厚板材。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4.铁艺框架，表面采用高温烤漆防锈处理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5.不可折叠</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一字型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6.主色系：多色，木纹色或纯色可选。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7.每张配套学生方凳3个。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立体裁剪用人台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一、技术参数：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约胸围：84</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，腰围：64</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，臀围：91</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，肩宽：38</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，前长：35</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，背长：38</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二、产品特点：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版型：符合中国女性人体版型特点；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材质：实心PU发泡，使用寿命长；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工艺：使用棉布、部位线清晰，做工精致；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底座：烤漆升降四插脚，实心铸铁支架，稳定性好，美观实用。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插针方式：直插、斜插</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人台尺寸误差控制在±1.5</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以内。</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49</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主音箱</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一、技术参数：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8"室内扬声器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低音：8"铝合金振膜，橡胶折环，21.8oz磁钢，25mm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音圈。</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高音：25mm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铝合金音膜，磁液冷却，钕铁硼磁钢。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谐振频率：38Hz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频率响应：40Hz-20KHz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灵敏度：89dB/W/M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推荐功放功率：10-150Watts</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阻抗：8ohm</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功率放大器</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一、技术参数：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额定输出功率 60W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功 耗 120W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EM话筒250mv，EM辅助输入1.2V</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保护功能 温度，过流，过载，短路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额定电源 AC220V/50Hz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扩展输出 AUX扩展输出800mv</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平衡扩展输出800mv</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信噪比 线路&gt;70dB 话筒&gt;70dB</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总谐波失真 ＜0.5% （1KHz，正常工作条件）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净 重 8.5Kg</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机身尺寸（mm） 359.5*484*88mm</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无线话筒</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一、麦克风规格</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频率范围 610-670MHz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可调信道数 240通道自适应调整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频率稳定性 ±10ppm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调制方式 FM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射频功率 10~30mW自适应调整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音频频响 40~18000Hz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失真度 ≤0.8%</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电池规格 2×1.5V AA Size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续用时间 5~10小时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二、接收机规格</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频率范围 610-670MHz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可调信道数 120+120自适应调整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振荡方式 锁相环（PLL）频率合成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频率稳定性 ±10ppm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接收方式 超外差二次变频</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接收灵敏度 -103dBm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音频频响 40~18000Hz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失真度 ≤1%</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配：手持话筒/耳挂各一个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7</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调音台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一、技术参数：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8通道输入（4路话筒+2路立体声）另带2路立体声的辅佐输入（AUX IN）及2路立体声（REC OUT）和1路单声（AUX SEND）返回输出，2路输出（R &amp; L）；</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迷你型设计，具有精美的外观及携带方便；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带耳机（PHONES）监控输出，并有专门的FADER来控制信号大小，使操作更加方便自带48V话筒供电，可以与各种类型话筒匹配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外置式电源和话筒噪音滤波器（80Hz），有效的抑制了话筒录音或处理过程中产生的噪音和失真</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MIC NOISE&lt;-129dBu</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 THD</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&lt;0.0068%</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8</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高清球机</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技术参数：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图像传感器：1/2.8" 高性能低照度</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OS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有效像素：≥320万像素</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图像分辨率：2560×1440，2304×1296，1920×1080，1280×720</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日夜模式：ICR滤光片切换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数字变倍：≥16倍</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焦距：F =4.1mm - 141mm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光圈数：F1.7~F3.6</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白平衡：自动/手动/自动跟踪白平衡/室外/室内/日光灯白平衡/钠灯白平衡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水平旋转范围：360°连续旋转</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垂直旋转范围：0°到90°</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云台速度：水平方向控制速度100°/秒，垂直方向控制速度60°/秒</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预置位</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255个预置位</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支持比例变倍功能</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 旋转速度可以根据镜头变倍倍数自动调整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支持守望功能</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 预置点/巡航扫描可在空闲状态停留指定时间后自动调用 </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9</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智慧工具包</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工具包含：服装制作与工艺工具包/1个、梭皮/1个、梭芯/2个、针插/1个、立裁针/1包、标记带/2卷（一红一蓝）、手缝针/1包、机针/1包、白色消失划粉/2片、有色划粉/1片、双面胶/1卷、透明胶带/1卷、小文具刀/1把、一字螺丝刀1把、十字螺丝刀/1把、锥子/1个、镊子/1个、拆线器/1个、记号笔/1支、消失笔/1支、自动铅笔/1支、铅笔芯/1管、黑色签字笔/1支、橡皮/1个、划布轮（划线轮）/1个、打孔器/1个、剪口钳/1把、线剪/1把、纸剪/1把、大吉剪刀 </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11寸</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/1把、卷尺/1个、曲线尺/1把、袖笼曲线尺/1把、直尺/1把、20</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钢尺/1把、左、右单压脚/各1个、制版多功能比例三角尺、顶针/1个。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49</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综合布线服务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一、技术参数：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1.含强电，国标，含辅材，含人工费，交钥匙工程。不含主电缆。提供平面布置图，强电图纸。根据场地要求.</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454"/>
        </w:trPr>
        <w:tc>
          <w:tcPr>
            <w:gridSpan w:val="6"/>
            <w:shd w:val="clear" w:color="auto" w:fill="ffffff"/>
            <w:tcMar>
              <w:left w:w="15" w:type="dxa"/>
              <w:top w:w="15" w:type="dxa"/>
              <w:right w:w="15" w:type="dxa"/>
            </w:tcMar>
            <w:tcW w:w="9928"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b/>
                <w:i w:val="0"/>
                <w:color w:val="000000"/>
                <w:sz w:val="21"/>
                <w:szCs w:val="21"/>
                <w:highlight w:val="none"/>
                <w:u w:val="none"/>
                <w:lang w:val="en-US" w:eastAsia="zh-CN" w:bidi="ar"/>
              </w:rPr>
              <w:t xml:space="preserve">服装立裁实训室</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服装工艺理实融合实训平台（学生端）</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一、基础参数：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服装工艺理实融合实训平台由缝制单元、操作系统单元、服装裁剪制板熨烫单元组成，是一个一字操作台。操作台板面：采用耐强酸碱的实木多层板，板面是防火板面：厚度≥3.7</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1.实训台尺寸（长*宽*高）：≥2500mm×800mm×780mm，高度可调</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实训台为一字型一体式结构。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2.实训台可以实现：服装理论在线考试，服装创意设计、款式拓展设计、服装立体造型、服装立裁制版，服装手工制版、纸样设计与制作、CAD板型制作、推板、裁剪配伍与样衣试制。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3.实训台可以实现单、双幅面辅衬料平铺裁剪的要求。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二、缝制单元：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1.缝纫单元配备电脑缝纫机一台，位于实训台中部，完成样衣试制。机器内嵌式液晶操作面板，一体型电控机构。一体型直驱伺服控制系统，自动剪线、自动夹线、自动抬压脚功能，双动刀剪线。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2.适用于衬衫、西服、裤子等中厚料服装的缝纫。</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缝纫机梭芯直径≥21mm，切线方式：双刀，机针数：单针，针杆行程≥31mm，顺缝针距/倒缝高度mm：5/5，最高转速≥5000rpm，手提压脚高度≥5.5mm，出厂膝提高度、自动抬压脚高≥9mm，膝提最高≥12mm，电机功率≥550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三、操作系统单元：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1.操作系统单元位于实训台一侧，桌面安装旋转升降显示屏支架臂，键盘托架可升降调节，不使用时可以隐藏在实训台下方。操作系统单元配备防尘机柜。操作系统要求win10及以上，CPU I7，内存≥8G，硬盘≥500G，独立显卡≥4G，显示器≥23.8英寸。</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2.配备院校教学服装CAD制版软件V10.0+，1站点，可实现打版、放码、排料。</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2.1打版（DGS）系统的公式法和自由法制版设计在同一界面，可一键切换。并能存储无限量款式部件和版型素材库，可随时调取修改使用，实现结构线、纸样、数据之间的联动修改。含近三年国赛题库，可以自由查看其结构图、样板图、放码图。具有3D数据输出功能，实现2D CAD纸样数据与3D建模数据系统贯通。</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2.2放码（DGS）界面：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多种放码方式：点放码、比例放码，肩斜放码，定型放码，辅助线放码，圆弧放码，方向键放码，规则放码，线放码，角度放码等，可随时显示每个点的放码量标注。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2.3双界面同时排料，提供自动排料、手动、人机交互，对条对格等多种排料方式，按国赛要求可输入选手工位号，并自动输出打印到指定位置。</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四、服装裁剪制板熨烫单元：</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1.服装裁剪制板熨烫区尺寸≥1600*800mm，可移动软包烫板尺寸（长*宽）≥120</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*75</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配备1200W及以上蒸汽吊瓶熨斗1台，含吊瓶支架；配备烫凳，充分满足教学、实训和大赛中服装成品、半成品的制作、熨烫要求；配备转凳：材质：定型绵，皮革，电镀金属等；配备多功能储物柜，设计合理，使用方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符合或优于全国职业院校技能大赛（中职组）服装设计与工艺赛项技术要求。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符合或优于世界职业院校技能大赛（中职组）纺织服装赛道赛项技术要求。</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符合或优于中华人民共和国职业技能大赛 （国赛精选）服装制版技术要求。</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立裁打版台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一、熨烫台：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1.钢木结构</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2.桌面规格尺寸：长×宽×高≥120</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×80</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×85</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3.桌面采用25-30mm±5mm厚实木多层板。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4.铁艺框架，表面采用高温烤漆防锈处理</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5.不可折叠</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一字型</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6.主色系：多色，木纹色或纯色可选。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7.含吊瓶熨斗支架，含吊瓶熨斗，含熨烫垫。尺寸：≥120*74</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8.每张配套学生方凳1个。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立体裁剪用人台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技术参数：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约胸围：84</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，腰围：64</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，臀围：91</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，肩宽：38</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，前长：35</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，背长：38</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产品特点：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版型：符合中国女性人体版型特点；</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材质：实心PU发泡，使用寿命长；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工艺：使用棉布、部位线清晰，做工精致；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底座：烤漆升降四插脚，实心铸铁支架，稳定性好，美观实用。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插针方式：直插、斜插</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人台尺寸误差控制在±1.5</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以内。</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49</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小人台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一、技术参数：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约胸围：42</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  腰围：32</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   臀围：45.5</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肩宽：19</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   前长：17.5</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   背长：19</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装饰头盖 ：实木。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材质、底座及支架：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实心PU发泡，木质底盘，可升降式支架。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插针方式：直插、斜插、可熨烫</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（1）适用于作为服装立裁教学模型、芭比娃娃立裁人台橱窗艺术品等。</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（2）特点：性价比高、不变形、耐摔。</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（3）人台尺寸误差控制在±1.5</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以内。</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49</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主音箱</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一、技术参数：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8"室内扬声器</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低音：8"铝合金振膜，橡胶折环，21.8oz磁钢，25mm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音圈。</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高音：25mm</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铝合金音膜，磁液冷却，钕铁硼磁钢。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谐振频率：38Hz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频率响应：40Hz-20KHz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灵敏度：89dB/W/M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推荐功放功率：10-150Watts</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阻抗：8ohm</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功率放大器</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一、技术参数：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额定输出功率 60W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功 耗 120W</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EM话筒250mv，EM辅助输入1.2V</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保护功能 温度，过流，过载，短路</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额定电源 AC220V/50Hz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扩展输出 AUX扩展输出800mv</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平衡扩展输出800mv</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信噪比 线路&gt;70dB 话筒&gt;70dB</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总谐波失真 ＜0.5% （1KHz，正常工作条件）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净 重 8.5Kg</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机身尺寸（mm） 359.5*484*88mm</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7</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无线话筒</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一、麦克风规格</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频率范围 610-670MHz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可调信道数 240通道自适应调整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频率稳定性 ±10ppm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调制方式 FM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射频功率 10~30mW自适应调整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音频频响 40~18000Hz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失真度 ≤0.8%</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电池规格 2×1.5V AA Size</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续用时间 5~10小时</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二、接收机规格</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频率范围 610-670MHz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可调信道数 120+120自适应调整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振荡方式 锁相环（PLL）频率合成</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频率稳定性 ±10ppm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接收方式 超外差二次变频</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接收灵敏度 -103dBm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音频频响 40~18000Hz</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失真度 ≤1%</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配：手持话筒/耳挂各一个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8</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调音台</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一、技术参数：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8 通道输入（4路话筒+2路立体声）另带2路立体声的辅佐输入（AUX IN）及2路立体声（REC OUT）和1路单声（AUX SEND）返回输出，2路输出（R &amp; L）；</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迷你型设计，具有精美的外观及携带方便；</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带耳机（PHONES）监控输出，并有专门的FADER来控制信号大小，使操作更加方便自带48V话筒供电，可以与各种类型话筒匹配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外置式电源和话筒噪音滤波器（80Hz），有效的抑制了话筒录音或处理过程中产生的噪音和失真</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MIC NOISE&lt;-129dBu</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 THD</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&lt;0.0068%</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9</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高清球机</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技术参数：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图像传感器：1/2.8" 高性能低照度</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OS </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有效像素：≥320万像素</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图像分辨率：2560×1440，2304×1296，1920×1080，1280×720</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日夜模式：ICR滤光片切换</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数字变倍：≥16倍</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焦距：F =4.1mm - 141mm</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光圈数：F1.7~F3.6</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白平衡：自动/手动/自动跟踪白平衡/室外/室内/日光灯白平衡/钠灯白平衡</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水平旋转范围：360°连续旋转</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垂直旋转范围：0°到90°</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云台速度：水平方向控制速度100°/秒，垂直方向控制速度60°/秒</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预置位</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255个预置位</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支持比例变倍功能</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旋转速度可以根据镜头变倍倍数自动调整</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支持守望功能</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 预置点/巡航扫描可在空闲状态停留指定时间后自动调用 </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台</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智慧工具包</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工具包含：服装制作与工艺工具包/1个、梭皮/1个、梭芯/2个、针插/1个、立裁针/1包、标记带/2卷（一红一蓝）、手缝针/1包、机针/1包、白色消失划粉/2片、有色划粉/1片、双面胶/1卷、透明胶带/1卷、小文具刀/1把、一字螺丝刀1把、十字螺丝刀/1把、锥子/1个、镊子/1个、拆线器/1个、记号笔/1支、消失笔/1支、自动铅笔/1支、铅笔芯/1管、黑色签字笔/1支、橡皮/1个、划布轮（划线轮）/1个、打孔器/1个、剪口钳/1把、线剪/1把、纸剪/1把、大吉剪刀 </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11寸</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/1把、卷尺/1个、曲线尺/1把、袖笼曲线尺/1把、直尺/1把、20</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钢尺/1把、左、右单压脚/各1个、制版多功能比例三角尺、顶针/1个。</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49</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11</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铸铁压布块</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1.重量：约1.6KG，尺寸：长25</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，宽7</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高5.5</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厚1</w:t>
            </w:r>
            <w:r>
              <w:rPr>
                <w:rFonts w:hint="eastAsia" w:ascii="宋体" w:hAnsi="宋体" w:eastAsia="宋体" w:cs="宋体"/>
                <w:i w:val="0"/>
                <w:color w:val="000000"/>
                <w:sz w:val="21"/>
                <w:szCs w:val="21"/>
                <w:highlight w:val="none"/>
                <w:u w:val="none"/>
                <w:lang w:val="en-US" w:eastAsia="zh-CN" w:bidi="ar"/>
              </w:rPr>
              <w:t xml:space="preserve">cm</w:t>
            </w:r>
            <w:r>
              <w:rPr>
                <w:rFonts w:hint="eastAsia" w:ascii="宋体" w:hAnsi="宋体" w:eastAsia="宋体" w:cs="宋体"/>
                <w:i w:val="0"/>
                <w:color w:val="000000"/>
                <w:sz w:val="21"/>
                <w:szCs w:val="21"/>
                <w:highlight w:val="none"/>
                <w:u w:val="none"/>
                <w:lang w:val="en-US" w:eastAsia="zh-CN" w:bidi="ar"/>
              </w:rPr>
              <w:t xml:space="preserve">。</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98</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主要采购标的</w:t>
            </w:r>
            <w:r>
              <w:rPr>
                <w:rFonts w:ascii="宋体" w:hAnsi="宋体" w:cs="宋体"/>
              </w:rPr>
            </w:r>
            <w:r/>
          </w:p>
        </w:tc>
      </w:tr>
      <w:tr>
        <w:trPr>
          <w:trHeight w:val="454"/>
        </w:trPr>
        <w:tc>
          <w:tcPr>
            <w:shd w:val="clear" w:color="auto" w:fill="ffffff"/>
            <w:tcMar>
              <w:left w:w="15" w:type="dxa"/>
              <w:top w:w="15" w:type="dxa"/>
              <w:right w:w="15" w:type="dxa"/>
            </w:tcMar>
            <w:tcW w:w="651"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12</w:t>
            </w:r>
            <w:r>
              <w:rPr>
                <w:rFonts w:ascii="宋体" w:hAnsi="宋体" w:cs="宋体"/>
              </w:rPr>
            </w:r>
            <w:r/>
          </w:p>
        </w:tc>
        <w:tc>
          <w:tcPr>
            <w:shd w:val="clear" w:color="auto" w:fill="ffffff"/>
            <w:tcMar>
              <w:left w:w="15" w:type="dxa"/>
              <w:top w:w="15" w:type="dxa"/>
              <w:right w:w="15" w:type="dxa"/>
            </w:tcMar>
            <w:tcW w:w="1417"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综合布线服务</w:t>
            </w:r>
            <w:r>
              <w:rPr>
                <w:rFonts w:ascii="宋体" w:hAnsi="宋体" w:cs="宋体"/>
              </w:rPr>
            </w:r>
            <w:r/>
          </w:p>
        </w:tc>
        <w:tc>
          <w:tcPr>
            <w:shd w:val="clear" w:color="auto" w:fill="ffffff"/>
            <w:tcMar>
              <w:left w:w="15" w:type="dxa"/>
              <w:top w:w="15" w:type="dxa"/>
              <w:right w:w="15" w:type="dxa"/>
            </w:tcMar>
            <w:tcW w:w="5811" w:type="dxa"/>
            <w:vAlign w:val="center"/>
            <w:textDirection w:val="lrTb"/>
            <w:noWrap w:val="false"/>
          </w:tcPr>
          <w:p>
            <w:pPr>
              <w:pStyle w:val="885"/>
              <w:jc w:val="left"/>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一、技术参数：</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1.含强电，国标，含辅材，含人工费，交钥匙工程。不含主电缆。提供平面布置图，强电图纸。根据场地要求.</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套</w:t>
            </w:r>
            <w:r>
              <w:rPr>
                <w:rFonts w:ascii="宋体" w:hAnsi="宋体" w:cs="宋体"/>
              </w:rPr>
            </w:r>
            <w:r/>
          </w:p>
        </w:tc>
        <w:tc>
          <w:tcPr>
            <w:shd w:val="clear" w:color="auto" w:fill="ffffff"/>
            <w:tcMar>
              <w:left w:w="15" w:type="dxa"/>
              <w:top w:w="15" w:type="dxa"/>
              <w:right w:w="15" w:type="dxa"/>
            </w:tcMar>
            <w:tcW w:w="709"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cs="宋体"/>
              </w:rPr>
            </w:r>
            <w:r/>
          </w:p>
        </w:tc>
        <w:tc>
          <w:tcPr>
            <w:shd w:val="clear" w:color="auto" w:fill="ffffff"/>
            <w:tcMar>
              <w:left w:w="15" w:type="dxa"/>
              <w:top w:w="15" w:type="dxa"/>
              <w:right w:w="15" w:type="dxa"/>
            </w:tcMar>
            <w:tcW w:w="632" w:type="dxa"/>
            <w:vAlign w:val="center"/>
            <w:textDirection w:val="lrTb"/>
            <w:noWrap w:val="false"/>
          </w:tcPr>
          <w:p>
            <w:pPr>
              <w:pStyle w:val="885"/>
              <w:jc w:val="center"/>
              <w:keepLines w:val="0"/>
              <w:keepNext w:val="0"/>
              <w:pageBreakBefore w:val="0"/>
              <w:spacing w:line="400" w:lineRule="exact"/>
              <w:widowControl/>
              <w:rPr>
                <w:rFonts w:hint="eastAsia" w:ascii="宋体" w:hAnsi="宋体" w:cs="宋体"/>
                <w:i w:val="0"/>
                <w:color w:val="000000"/>
                <w:sz w:val="21"/>
                <w:szCs w:val="21"/>
                <w:highlight w:val="none"/>
                <w:u w:val="none"/>
              </w:rPr>
              <w:outlineLvl w:val="9"/>
            </w:pPr>
            <w:r>
              <w:rPr>
                <w:rFonts w:hint="eastAsia" w:ascii="宋体" w:hAnsi="宋体" w:eastAsia="宋体" w:cs="宋体"/>
                <w:i w:val="0"/>
                <w:color w:val="000000"/>
                <w:sz w:val="21"/>
                <w:szCs w:val="21"/>
                <w:highlight w:val="none"/>
                <w:u w:val="none"/>
                <w:lang w:eastAsia="zh-CN"/>
              </w:rPr>
              <w:t xml:space="preserve">配件/辅料</w:t>
            </w:r>
            <w:r>
              <w:rPr>
                <w:rFonts w:ascii="宋体" w:hAnsi="宋体" w:cs="宋体"/>
              </w:rPr>
            </w:r>
            <w:r/>
          </w:p>
        </w:tc>
      </w:tr>
    </w:tbl>
    <w:p>
      <w:pPr>
        <w:pStyle w:val="885"/>
        <w:ind w:firstLine="422"/>
        <w:jc w:val="both"/>
        <w:keepLines w:val="0"/>
        <w:keepNext w:val="0"/>
        <w:pageBreakBefore w:val="0"/>
        <w:spacing w:line="42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注：（1）本采购包主要产品：基础会计理实一体化教学云平台</w:t>
      </w:r>
      <w:r>
        <w:rPr>
          <w:rFonts w:hint="eastAsia" w:ascii="宋体" w:hAnsi="宋体" w:eastAsia="宋体" w:cs="宋体"/>
          <w:b/>
          <w:bCs/>
          <w:color w:val="000000"/>
          <w:sz w:val="21"/>
          <w:szCs w:val="21"/>
          <w:highlight w:val="none"/>
          <w:lang w:val="en-US" w:eastAsia="zh-CN" w:bidi="ar-SA"/>
        </w:rPr>
        <w:t xml:space="preserve">（商务管理系-数智商务实训）</w:t>
      </w:r>
      <w:r>
        <w:rPr>
          <w:rFonts w:hint="eastAsia" w:ascii="宋体" w:hAnsi="宋体" w:eastAsia="宋体" w:cs="宋体"/>
          <w:b/>
          <w:bCs/>
          <w:color w:val="000000"/>
          <w:sz w:val="21"/>
          <w:szCs w:val="21"/>
          <w:highlight w:val="none"/>
          <w:lang w:val="en-US" w:eastAsia="zh-CN" w:bidi="ar-SA"/>
        </w:rPr>
        <w:t xml:space="preserve">、半自动打样实训机</w:t>
      </w:r>
      <w:r>
        <w:rPr>
          <w:rFonts w:hint="eastAsia" w:ascii="宋体" w:hAnsi="宋体" w:eastAsia="宋体" w:cs="宋体"/>
          <w:b/>
          <w:bCs/>
          <w:color w:val="000000"/>
          <w:sz w:val="21"/>
          <w:szCs w:val="21"/>
          <w:highlight w:val="none"/>
          <w:lang w:val="en-US" w:eastAsia="zh-CN" w:bidi="ar-SA"/>
        </w:rPr>
        <w:t xml:space="preserve">（纺织服装系-纺织综合实训）、</w:t>
      </w:r>
      <w:r>
        <w:rPr>
          <w:rFonts w:hint="eastAsia" w:ascii="宋体" w:hAnsi="宋体" w:eastAsia="宋体" w:cs="宋体"/>
          <w:b/>
          <w:bCs/>
          <w:color w:val="000000"/>
          <w:sz w:val="21"/>
          <w:szCs w:val="21"/>
          <w:highlight w:val="none"/>
          <w:lang w:val="en-US" w:eastAsia="zh-CN" w:bidi="ar-SA"/>
        </w:rPr>
        <w:t xml:space="preserve">服装工艺理实融合实训平台</w:t>
      </w: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eastAsia="宋体" w:cs="宋体"/>
          <w:b/>
          <w:bCs/>
          <w:color w:val="000000"/>
          <w:sz w:val="21"/>
          <w:szCs w:val="21"/>
          <w:highlight w:val="none"/>
          <w:lang w:val="en-US" w:eastAsia="zh-CN" w:bidi="ar-SA"/>
        </w:rPr>
        <w:t xml:space="preserve">教师端</w:t>
      </w:r>
      <w:r>
        <w:rPr>
          <w:rFonts w:hint="eastAsia" w:ascii="宋体" w:hAnsi="宋体" w:eastAsia="宋体" w:cs="宋体"/>
          <w:b/>
          <w:bCs/>
          <w:color w:val="000000"/>
          <w:sz w:val="21"/>
          <w:szCs w:val="21"/>
          <w:highlight w:val="none"/>
          <w:lang w:val="en-US" w:eastAsia="zh-CN" w:bidi="ar-SA"/>
        </w:rPr>
        <w:t xml:space="preserve">）（纺织服装系-服装工艺实训）</w:t>
      </w:r>
      <w:r>
        <w:rPr>
          <w:rFonts w:hint="eastAsia" w:ascii="宋体" w:hAnsi="宋体" w:eastAsia="宋体" w:cs="宋体"/>
          <w:b/>
          <w:bCs/>
          <w:color w:val="000000"/>
          <w:sz w:val="21"/>
          <w:szCs w:val="21"/>
          <w:highlight w:val="none"/>
          <w:lang w:val="en-US" w:eastAsia="zh-CN" w:bidi="ar-SA"/>
        </w:rPr>
        <w:t xml:space="preserve">。</w:t>
      </w:r>
      <w:r>
        <w:rPr>
          <w:rFonts w:ascii="宋体" w:hAnsi="宋体" w:cs="宋体"/>
        </w:rPr>
      </w:r>
      <w:r/>
    </w:p>
    <w:p>
      <w:pPr>
        <w:pStyle w:val="885"/>
        <w:ind w:firstLine="422"/>
        <w:jc w:val="both"/>
        <w:keepLines w:val="0"/>
        <w:keepNext w:val="0"/>
        <w:pageBreakBefore w:val="0"/>
        <w:spacing w:line="42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若本次采购包为单一产品，提供相同品牌产品且通过资格审查、符合性审查的不同投标人参加同一合同项下投标的，按一家投标人计算；对招标文件作实质响应的投标人不足三个的，将作废标处理。</w:t>
      </w:r>
      <w:r>
        <w:rPr>
          <w:rFonts w:ascii="宋体" w:hAnsi="宋体" w:cs="宋体"/>
        </w:rPr>
      </w:r>
      <w:r/>
    </w:p>
    <w:p>
      <w:pPr>
        <w:pStyle w:val="885"/>
        <w:ind w:firstLine="422"/>
        <w:jc w:val="both"/>
        <w:keepLines w:val="0"/>
        <w:keepNext w:val="0"/>
        <w:pageBreakBefore w:val="0"/>
        <w:spacing w:line="42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若本次采购包为非单一产品，提供相同品牌核心产品且通过资格审查、符合性审查的不同投标人参加同一合同项下投标的，按一家投标人计算；对招标文件作实质响应的投标人不足三个的，将作废标处理。</w:t>
      </w:r>
      <w:r>
        <w:rPr>
          <w:rFonts w:ascii="宋体" w:hAnsi="宋体" w:cs="宋体"/>
        </w:rPr>
      </w:r>
      <w:r/>
    </w:p>
    <w:p>
      <w:pPr>
        <w:pStyle w:val="885"/>
        <w:ind w:firstLine="422"/>
        <w:jc w:val="both"/>
        <w:keepLines w:val="0"/>
        <w:keepNext w:val="0"/>
        <w:pageBreakBefore w:val="0"/>
        <w:spacing w:line="42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（2）本采购包不接受进口产品。</w:t>
      </w:r>
      <w:r>
        <w:rPr>
          <w:rFonts w:ascii="宋体" w:hAnsi="宋体" w:cs="宋体"/>
        </w:rPr>
      </w:r>
      <w:r/>
    </w:p>
    <w:p>
      <w:pPr>
        <w:pStyle w:val="885"/>
        <w:ind w:firstLine="422"/>
        <w:jc w:val="both"/>
        <w:keepLines w:val="0"/>
        <w:keepNext w:val="0"/>
        <w:pageBreakBefore w:val="0"/>
        <w:spacing w:line="42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（3）上述所有技术参数中如有涉及的品牌仅为参考品牌，投标人可投其他品牌，但所投产品的技术参数应等于或高于参考品牌的要求。</w:t>
      </w:r>
      <w:r>
        <w:rPr>
          <w:rFonts w:ascii="宋体" w:hAnsi="宋体" w:cs="宋体"/>
        </w:rPr>
      </w:r>
      <w:r/>
    </w:p>
    <w:p>
      <w:pPr>
        <w:pStyle w:val="885"/>
        <w:ind w:firstLine="422"/>
        <w:keepLines w:val="0"/>
        <w:keepNext w:val="0"/>
        <w:pageBreakBefore w:val="0"/>
        <w:spacing w:line="420" w:lineRule="exact"/>
        <w:widowControl w:val="off"/>
        <w:tabs>
          <w:tab w:val="left" w:pos="540" w:leader="none"/>
        </w:tabs>
        <w:rPr>
          <w:rFonts w:hint="eastAsia" w:ascii="宋体" w:hAnsi="宋体" w:cs="宋体"/>
          <w:b/>
          <w:bCs/>
          <w:color w:val="000000"/>
          <w:sz w:val="21"/>
          <w:szCs w:val="21"/>
          <w:highlight w:val="none"/>
        </w:rPr>
        <w:outlineLvl w:val="9"/>
      </w:pPr>
      <w:r>
        <w:rPr>
          <w:rFonts w:ascii="宋体" w:hAnsi="宋体" w:cs="宋体"/>
        </w:rPr>
      </w:r>
      <w:bookmarkStart w:id="45" w:name="_Toc8722"/>
      <w:r>
        <w:rPr>
          <w:rFonts w:ascii="宋体" w:hAnsi="宋体" w:cs="宋体"/>
        </w:rPr>
      </w:r>
      <w:bookmarkStart w:id="46" w:name="_Toc8229"/>
      <w:r>
        <w:rPr>
          <w:rFonts w:ascii="宋体" w:hAnsi="宋体" w:cs="宋体"/>
        </w:rPr>
      </w:r>
      <w:bookmarkStart w:id="47" w:name="_Toc21768"/>
      <w:r>
        <w:rPr>
          <w:rFonts w:hint="eastAsia" w:ascii="宋体" w:hAnsi="宋体" w:eastAsia="宋体" w:cs="宋体"/>
          <w:b/>
          <w:bCs/>
          <w:color w:val="000000"/>
          <w:sz w:val="21"/>
          <w:szCs w:val="21"/>
          <w:highlight w:val="none"/>
        </w:rPr>
        <w:t xml:space="preserve">（三）标的物质量要求</w:t>
      </w:r>
      <w:r>
        <w:rPr>
          <w:rFonts w:hint="eastAsia" w:ascii="宋体" w:hAnsi="宋体" w:eastAsia="宋体" w:cs="宋体"/>
          <w:b/>
          <w:bCs/>
          <w:color w:val="000000"/>
          <w:sz w:val="21"/>
          <w:szCs w:val="21"/>
          <w:highlight w:val="none"/>
          <w:lang w:eastAsia="zh-CN"/>
        </w:rPr>
        <w:t xml:space="preserve">（适用于第一、二标段）</w:t>
      </w:r>
      <w:r>
        <w:rPr>
          <w:rFonts w:ascii="宋体" w:hAnsi="宋体" w:cs="宋体"/>
        </w:rPr>
      </w:r>
      <w:r/>
    </w:p>
    <w:p>
      <w:pPr>
        <w:pStyle w:val="885"/>
        <w:ind w:firstLine="420"/>
        <w:keepLines w:val="0"/>
        <w:keepNext w:val="0"/>
        <w:pageBreakBefore w:val="0"/>
        <w:spacing w:line="42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1.所有标的物应具备该类产品的功能要求，无瑕疵和缺陷，质量为合格全新产品，同时有明确的生产厂商或制造厂商，标的物的材料必须满足招标文件所规定的技术指标。</w:t>
      </w:r>
      <w:r>
        <w:rPr>
          <w:rFonts w:ascii="宋体" w:hAnsi="宋体" w:cs="宋体"/>
        </w:rPr>
      </w:r>
      <w:r/>
    </w:p>
    <w:p>
      <w:pPr>
        <w:pStyle w:val="885"/>
        <w:ind w:firstLine="420"/>
        <w:keepLines w:val="0"/>
        <w:keepNext w:val="0"/>
        <w:pageBreakBefore w:val="0"/>
        <w:spacing w:line="42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2.产品质量符合国家颁发的现行强制性设计、制造、安装规范、标准，满足采购单位的技术参数要求，并通过有关质量监督部门验收合格交付使用。</w:t>
      </w:r>
      <w:r>
        <w:rPr>
          <w:rFonts w:ascii="宋体" w:hAnsi="宋体" w:cs="宋体"/>
        </w:rPr>
      </w:r>
      <w:r/>
    </w:p>
    <w:p>
      <w:pPr>
        <w:pStyle w:val="885"/>
        <w:ind w:firstLine="420"/>
        <w:keepLines w:val="0"/>
        <w:keepNext w:val="0"/>
        <w:pageBreakBefore w:val="0"/>
        <w:spacing w:line="42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因</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单位责任导致标的物需更换修正的，由</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单位免费处理；因超出</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单位责任范围的疏忽、误操作等情况导致的，</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单位提供修理服务，额外费用由双方协商承担。</w:t>
      </w:r>
      <w:r>
        <w:rPr>
          <w:rFonts w:ascii="宋体" w:hAnsi="宋体" w:cs="宋体"/>
        </w:rPr>
      </w:r>
      <w:r/>
    </w:p>
    <w:p>
      <w:pPr>
        <w:pStyle w:val="885"/>
        <w:ind w:firstLine="422"/>
        <w:keepLines w:val="0"/>
        <w:keepNext w:val="0"/>
        <w:pageBreakBefore w:val="0"/>
        <w:spacing w:line="420" w:lineRule="exact"/>
        <w:widowControl w:val="off"/>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（四）项目质保和售后服务</w:t>
      </w:r>
      <w:r>
        <w:rPr>
          <w:rFonts w:hint="eastAsia" w:ascii="宋体" w:hAnsi="宋体" w:eastAsia="宋体" w:cs="宋体"/>
          <w:b/>
          <w:bCs/>
          <w:color w:val="000000"/>
          <w:sz w:val="21"/>
          <w:szCs w:val="21"/>
          <w:highlight w:val="none"/>
          <w:lang w:eastAsia="zh-CN"/>
        </w:rPr>
        <w:t xml:space="preserve">（适用于第一、二标段）</w:t>
      </w:r>
      <w:r>
        <w:rPr>
          <w:rFonts w:ascii="宋体" w:hAnsi="宋体" w:cs="宋体"/>
        </w:rPr>
      </w:r>
      <w:r/>
    </w:p>
    <w:p>
      <w:pPr>
        <w:pStyle w:val="885"/>
        <w:ind w:firstLine="420"/>
        <w:keepLines w:val="0"/>
        <w:keepNext w:val="0"/>
        <w:pageBreakBefore w:val="0"/>
        <w:spacing w:line="42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质保期：项目整体提供3年</w:t>
      </w:r>
      <w:r>
        <w:rPr>
          <w:rFonts w:hint="eastAsia" w:ascii="宋体" w:hAnsi="宋体" w:eastAsia="宋体" w:cs="宋体"/>
          <w:color w:val="000000"/>
          <w:sz w:val="21"/>
          <w:szCs w:val="21"/>
          <w:highlight w:val="none"/>
          <w:lang w:eastAsia="zh-CN"/>
        </w:rPr>
        <w:t xml:space="preserve">免费</w:t>
      </w:r>
      <w:r>
        <w:rPr>
          <w:rFonts w:hint="eastAsia" w:ascii="宋体" w:hAnsi="宋体" w:eastAsia="宋体" w:cs="宋体"/>
          <w:color w:val="000000"/>
          <w:sz w:val="21"/>
          <w:szCs w:val="21"/>
          <w:highlight w:val="none"/>
        </w:rPr>
        <w:t xml:space="preserve">质保服务（含平台内容更新、政策法规变动导致的功能调整等）。质保期结束前30日内，中标单位与</w:t>
      </w:r>
      <w:r>
        <w:rPr>
          <w:rFonts w:hint="eastAsia" w:ascii="宋体" w:hAnsi="宋体" w:eastAsia="宋体" w:cs="宋体"/>
          <w:color w:val="000000"/>
          <w:sz w:val="21"/>
          <w:szCs w:val="21"/>
          <w:highlight w:val="none"/>
          <w:lang w:eastAsia="zh-CN"/>
        </w:rPr>
        <w:t xml:space="preserve">采购单位</w:t>
      </w:r>
      <w:r>
        <w:rPr>
          <w:rFonts w:hint="eastAsia" w:ascii="宋体" w:hAnsi="宋体" w:eastAsia="宋体" w:cs="宋体"/>
          <w:color w:val="000000"/>
          <w:sz w:val="21"/>
          <w:szCs w:val="21"/>
          <w:highlight w:val="none"/>
        </w:rPr>
        <w:t xml:space="preserve">共同对产品进行全面检查，任何缺陷由中标单位负责免费处理，并书面告知缺陷原因、修理内容、完成时间等，经采购单位认可后存档。</w:t>
      </w:r>
      <w:r>
        <w:rPr>
          <w:rFonts w:ascii="宋体" w:hAnsi="宋体" w:cs="宋体"/>
        </w:rPr>
      </w:r>
      <w:r/>
    </w:p>
    <w:p>
      <w:pPr>
        <w:pStyle w:val="885"/>
        <w:ind w:firstLine="420"/>
        <w:keepLines w:val="0"/>
        <w:keepNext w:val="0"/>
        <w:pageBreakBefore w:val="0"/>
        <w:spacing w:line="42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质保期内免费提供设备维修维护服务，涵盖非人为因素导致的修理、更换费用；质保期过后，双方另行商谈后续维护方式及费用，中标单位需优先提供优惠维护方案。</w:t>
      </w:r>
      <w:r>
        <w:rPr>
          <w:rFonts w:ascii="宋体" w:hAnsi="宋体" w:cs="宋体"/>
        </w:rPr>
      </w:r>
      <w:r/>
    </w:p>
    <w:p>
      <w:pPr>
        <w:pStyle w:val="885"/>
        <w:ind w:firstLine="420"/>
        <w:keepLines w:val="0"/>
        <w:keepNext w:val="0"/>
        <w:pageBreakBefore w:val="0"/>
        <w:spacing w:line="42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缺陷保修：标的物交付后，若缺陷多次反复出现，中标单位须在7日内提交分析报告及解决方案，必要时进行产品调换，质保期从纠正之日起重新计算。</w:t>
      </w:r>
      <w:r>
        <w:rPr>
          <w:rFonts w:ascii="宋体" w:hAnsi="宋体" w:cs="宋体"/>
        </w:rPr>
      </w:r>
      <w:r/>
    </w:p>
    <w:p>
      <w:pPr>
        <w:pStyle w:val="885"/>
        <w:ind w:firstLine="420"/>
        <w:keepLines w:val="0"/>
        <w:keepNext w:val="0"/>
        <w:pageBreakBefore w:val="0"/>
        <w:spacing w:line="42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供应商提供7×24小时电话支持服务，解答系统使用、维护中的问题；电话服务无法解决的，须在24 小时内上门服务（偏远地区可协商延长，但最长不超过48小时）。</w:t>
      </w:r>
      <w:r>
        <w:rPr>
          <w:rFonts w:ascii="宋体" w:hAnsi="宋体" w:cs="宋体"/>
        </w:rPr>
      </w:r>
      <w:r/>
    </w:p>
    <w:p>
      <w:pPr>
        <w:pStyle w:val="885"/>
        <w:ind w:firstLine="420"/>
        <w:keepLines w:val="0"/>
        <w:keepNext w:val="0"/>
        <w:pageBreakBefore w:val="0"/>
        <w:spacing w:line="42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培训要求：项目验收合格后15日内，组织1次专项操作培训，确保使用人员熟练掌握产品各项功能；结合学校教学需求，中标单位每年需面向相关人员提供2次系统操作与维护培训（含新功能培训），并提供培训资料及考核方案，保障人员持续具备规范操作及基础维护能力。</w:t>
      </w:r>
      <w:r>
        <w:rPr>
          <w:rFonts w:ascii="宋体" w:hAnsi="宋体" w:cs="宋体"/>
        </w:rPr>
      </w:r>
      <w:r/>
    </w:p>
    <w:p>
      <w:pPr>
        <w:pStyle w:val="885"/>
        <w:ind w:firstLine="422"/>
        <w:keepLines w:val="0"/>
        <w:keepNext w:val="0"/>
        <w:pageBreakBefore w:val="0"/>
        <w:spacing w:line="42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eastAsia="宋体" w:cs="宋体"/>
          <w:b/>
          <w:bCs/>
          <w:color w:val="000000"/>
          <w:sz w:val="21"/>
          <w:szCs w:val="21"/>
          <w:highlight w:val="none"/>
        </w:rPr>
        <w:t xml:space="preserve">（五）安装调试及验收要求</w:t>
      </w:r>
      <w:r>
        <w:rPr>
          <w:rFonts w:hint="eastAsia" w:ascii="宋体" w:hAnsi="宋体" w:eastAsia="宋体" w:cs="宋体"/>
          <w:b/>
          <w:bCs/>
          <w:color w:val="000000"/>
          <w:sz w:val="21"/>
          <w:szCs w:val="21"/>
          <w:highlight w:val="none"/>
          <w:lang w:eastAsia="zh-CN"/>
        </w:rPr>
        <w:t xml:space="preserve">（适用于第一、二标段）</w:t>
      </w:r>
      <w:r>
        <w:rPr>
          <w:rFonts w:ascii="宋体" w:hAnsi="宋体" w:cs="宋体"/>
        </w:rPr>
      </w:r>
      <w:r/>
    </w:p>
    <w:p>
      <w:pPr>
        <w:pStyle w:val="885"/>
        <w:ind w:firstLine="420"/>
        <w:keepLines w:val="0"/>
        <w:keepNext w:val="0"/>
        <w:pageBreakBefore w:val="0"/>
        <w:spacing w:line="42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1.中标单位应派有经验的技术人员到现场进行安装、调试。</w:t>
      </w:r>
      <w:r>
        <w:rPr>
          <w:rFonts w:ascii="宋体" w:hAnsi="宋体" w:cs="宋体"/>
        </w:rPr>
      </w:r>
      <w:r/>
    </w:p>
    <w:p>
      <w:pPr>
        <w:pStyle w:val="885"/>
        <w:ind w:firstLine="420"/>
        <w:keepLines w:val="0"/>
        <w:keepNext w:val="0"/>
        <w:pageBreakBefore w:val="0"/>
        <w:spacing w:line="42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2.中标单位应免费提供培训服务，培训内容包括产品性能、技术特点、日常运维操作、维护技巧等，保证采购单位能够正确操作和维护设备。</w:t>
      </w:r>
      <w:r>
        <w:rPr>
          <w:rFonts w:ascii="宋体" w:hAnsi="宋体" w:cs="宋体"/>
        </w:rPr>
      </w:r>
      <w:r/>
    </w:p>
    <w:p>
      <w:pPr>
        <w:pStyle w:val="885"/>
        <w:ind w:firstLine="420"/>
        <w:keepLines w:val="0"/>
        <w:keepNext w:val="0"/>
        <w:pageBreakBefore w:val="0"/>
        <w:spacing w:line="42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3.中标单位应在合同规定的交货期内提供所有产品，并在采购单位指定的地点进行产品交付。交付的产品应包括全部配件、相关资料以及装箱单等。</w:t>
      </w:r>
      <w:r>
        <w:rPr>
          <w:rFonts w:ascii="宋体" w:hAnsi="宋体" w:cs="宋体"/>
        </w:rPr>
      </w:r>
      <w:r/>
    </w:p>
    <w:p>
      <w:pPr>
        <w:pStyle w:val="885"/>
        <w:ind w:firstLine="420"/>
        <w:keepLines w:val="0"/>
        <w:keepNext w:val="0"/>
        <w:pageBreakBefore w:val="0"/>
        <w:spacing w:line="42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4.安装过程中，中标单位需采取措施保护现场及周边相关财务、物品、设施等，因中标单位的不规范操作、误操作等原因造成相关设施的损坏、设备的停用等后果均由中标单位承担，由中标单位原样修复并自行承担相关费用。</w:t>
      </w:r>
      <w:r>
        <w:rPr>
          <w:rFonts w:ascii="宋体" w:hAnsi="宋体" w:cs="宋体"/>
        </w:rPr>
      </w:r>
      <w:r/>
    </w:p>
    <w:p>
      <w:pPr>
        <w:pStyle w:val="885"/>
        <w:ind w:firstLine="420"/>
        <w:keepLines w:val="0"/>
        <w:keepNext w:val="0"/>
        <w:pageBreakBefore w:val="0"/>
        <w:spacing w:line="42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5.中标单位所供货物经过双方检验认可后，签署验收报告，产品保修期自验收合格之日起算，由中标单位提供产品保修文件。</w:t>
      </w:r>
      <w:r>
        <w:rPr>
          <w:rFonts w:ascii="宋体" w:hAnsi="宋体" w:cs="宋体"/>
        </w:rPr>
      </w:r>
      <w:r/>
    </w:p>
    <w:p>
      <w:pPr>
        <w:pStyle w:val="885"/>
        <w:ind w:firstLine="420"/>
        <w:keepLines w:val="0"/>
        <w:keepNext w:val="0"/>
        <w:pageBreakBefore w:val="0"/>
        <w:spacing w:line="42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6.安装结束并经采购单位同意，可申请验收。</w:t>
      </w:r>
      <w:bookmarkStart w:id="48" w:name="OLE_LINK2"/>
      <w:r>
        <w:rPr>
          <w:rFonts w:hint="eastAsia" w:ascii="宋体" w:hAnsi="宋体" w:eastAsia="宋体" w:cs="宋体"/>
          <w:color w:val="000000"/>
          <w:sz w:val="21"/>
          <w:szCs w:val="21"/>
          <w:highlight w:val="none"/>
          <w:lang w:val="en-US" w:eastAsia="zh-CN"/>
        </w:rPr>
        <w:t xml:space="preserve">验收合格须满足以下条件：提供合同全部产品和相关资料；提交全部文档，如技术文档、实施文档、用户使用和操作手册等；安装调试和试运行期间出现的问题均已被解决；采购单位出具的可正常运转的验收文件。</w:t>
      </w:r>
      <w:bookmarkEnd w:id="48"/>
      <w:r>
        <w:rPr>
          <w:rFonts w:ascii="宋体" w:hAnsi="宋体" w:cs="宋体"/>
        </w:rPr>
      </w:r>
      <w:r/>
    </w:p>
    <w:p>
      <w:pPr>
        <w:pStyle w:val="885"/>
        <w:ind w:firstLine="422"/>
        <w:keepLines w:val="0"/>
        <w:keepNext w:val="0"/>
        <w:pageBreakBefore w:val="0"/>
        <w:spacing w:line="420" w:lineRule="exact"/>
        <w:widowControl w:val="off"/>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（五）其他要求</w:t>
      </w:r>
      <w:r>
        <w:rPr>
          <w:rFonts w:hint="eastAsia" w:ascii="宋体" w:hAnsi="宋体" w:eastAsia="宋体" w:cs="宋体"/>
          <w:b/>
          <w:bCs/>
          <w:color w:val="000000"/>
          <w:sz w:val="21"/>
          <w:szCs w:val="21"/>
          <w:highlight w:val="none"/>
          <w:lang w:eastAsia="zh-CN"/>
        </w:rPr>
        <w:t xml:space="preserve">（适用于第一、二标段）</w:t>
      </w:r>
      <w:r>
        <w:rPr>
          <w:rFonts w:ascii="宋体" w:hAnsi="宋体" w:cs="宋体"/>
        </w:rPr>
      </w:r>
      <w:r/>
    </w:p>
    <w:p>
      <w:pPr>
        <w:pStyle w:val="885"/>
        <w:ind w:firstLine="420"/>
        <w:keepLines w:val="0"/>
        <w:keepNext w:val="0"/>
        <w:pageBreakBefore w:val="0"/>
        <w:spacing w:line="42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投标单位可对项目现场进行踏勘，费用自行承担；报价时需充分考虑现场实际情况，采购单位不负担因现场情况考虑不周产生的额外费用。</w:t>
      </w:r>
      <w:r>
        <w:rPr>
          <w:rFonts w:ascii="宋体" w:hAnsi="宋体" w:cs="宋体"/>
        </w:rPr>
      </w:r>
      <w:r/>
    </w:p>
    <w:p>
      <w:pPr>
        <w:pStyle w:val="885"/>
        <w:ind w:firstLine="420"/>
        <w:keepLines w:val="0"/>
        <w:keepNext w:val="0"/>
        <w:pageBreakBefore w:val="0"/>
        <w:spacing w:line="42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投标单位针对本项目组建专项团队，人员配置需与项目内容和要求相适应，包含供货、安装、调试、售后服务、质保服务、人员培训等专业技术人员，列出详细安排计划（含人员姓名、经验、职责分工）。</w:t>
      </w:r>
      <w:r>
        <w:rPr>
          <w:rFonts w:ascii="宋体" w:hAnsi="宋体" w:cs="宋体"/>
        </w:rPr>
      </w:r>
      <w:r/>
    </w:p>
    <w:p>
      <w:pPr>
        <w:pStyle w:val="885"/>
        <w:ind w:firstLine="420"/>
        <w:keepLines w:val="0"/>
        <w:keepNext w:val="0"/>
        <w:pageBreakBefore w:val="0"/>
        <w:spacing w:line="42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安装队伍加强管理，遵守现场规章制度，注重安全，发生的一切伤亡事故由中标单位负全责；安装期间不得影响采购单位正常工作和秩序，服从采购单位管理；标的物进场需经采购单位验货确认后再安装；安装及调试期间的退换损失费用由中标单位承担。</w:t>
      </w:r>
      <w:r>
        <w:rPr>
          <w:rFonts w:ascii="宋体" w:hAnsi="宋体" w:cs="宋体"/>
        </w:rPr>
      </w:r>
      <w:r/>
    </w:p>
    <w:p>
      <w:pPr>
        <w:pStyle w:val="885"/>
        <w:ind w:firstLine="420"/>
        <w:keepLines w:val="0"/>
        <w:keepNext w:val="0"/>
        <w:pageBreakBefore w:val="0"/>
        <w:spacing w:line="42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4.中标单位保证所提供材料涉及到的知识产权和所提供的软件、技术资料是合法取得，并享有完整的知识产权，不会因为采购单位的使用而被责令停止使用、追偿或要求赔偿损失，如出现此情况，一切经济和法律责任均由中标单位承担。中标单位提供的所有材料必须为合格产品，质量符合相关标准和要求（若采购</w:t>
      </w:r>
      <w:r>
        <w:rPr>
          <w:rFonts w:hint="eastAsia" w:ascii="宋体" w:hAnsi="宋体" w:eastAsia="宋体" w:cs="宋体"/>
          <w:color w:val="000000"/>
          <w:sz w:val="21"/>
          <w:szCs w:val="21"/>
          <w:highlight w:val="none"/>
          <w:lang w:val="en-US" w:eastAsia="zh-CN"/>
        </w:rPr>
        <w:t xml:space="preserve">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所有材料必须符合实际需求，满足采购技术要求部分所规定的全部功能。如材料出现质量问题或系假冒伪劣产品，中标单位负责包退、包换。</w:t>
      </w:r>
      <w:r>
        <w:rPr>
          <w:rFonts w:ascii="宋体" w:hAnsi="宋体" w:cs="宋体"/>
        </w:rPr>
      </w:r>
      <w:r/>
    </w:p>
    <w:p>
      <w:pPr>
        <w:pStyle w:val="885"/>
        <w:ind w:firstLine="420"/>
        <w:keepLines w:val="0"/>
        <w:keepNext w:val="0"/>
        <w:pageBreakBefore w:val="0"/>
        <w:spacing w:line="42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采购单位对中标单位提交的货物依据招标文件上的技术要求和有关质量标准进行验收。中标单位应向采购单位提供详细的验收标准、验收手册。当双方对产品质量有争议时，可委托双方一致认可的第三方检测机构进行检测，费用由责任方承担。</w:t>
      </w:r>
      <w:r>
        <w:rPr>
          <w:rFonts w:ascii="宋体" w:hAnsi="宋体" w:cs="宋体"/>
        </w:rPr>
      </w:r>
      <w:r/>
    </w:p>
    <w:p>
      <w:pPr>
        <w:pStyle w:val="885"/>
        <w:numPr>
          <w:ilvl w:val="0"/>
          <w:numId w:val="5"/>
        </w:numPr>
        <w:keepLines w:val="0"/>
        <w:keepNext w:val="0"/>
        <w:pageBreakBefore w:val="0"/>
        <w:spacing w:line="420" w:lineRule="exact"/>
        <w:widowControl w:val="off"/>
        <w:tabs>
          <w:tab w:val="left" w:pos="360" w:leader="none"/>
          <w:tab w:val="left" w:pos="540" w:leader="none"/>
        </w:tabs>
        <w:rPr>
          <w:rFonts w:hint="eastAsia" w:ascii="宋体" w:hAnsi="宋体" w:cs="宋体"/>
          <w:b/>
          <w:color w:val="000000"/>
          <w:sz w:val="21"/>
          <w:szCs w:val="21"/>
          <w:highlight w:val="none"/>
        </w:rPr>
        <w:outlineLvl w:val="9"/>
      </w:pPr>
      <w:r>
        <w:rPr>
          <w:rFonts w:ascii="宋体" w:hAnsi="宋体" w:cs="宋体"/>
        </w:rPr>
      </w:r>
      <w:bookmarkEnd w:id="45"/>
      <w:r>
        <w:rPr>
          <w:rFonts w:ascii="宋体" w:hAnsi="宋体" w:cs="宋体"/>
        </w:rPr>
      </w:r>
      <w:bookmarkEnd w:id="46"/>
      <w:r>
        <w:rPr>
          <w:rFonts w:ascii="宋体" w:hAnsi="宋体" w:cs="宋体"/>
        </w:rPr>
      </w:r>
      <w:bookmarkEnd w:id="47"/>
      <w:r>
        <w:rPr>
          <w:rFonts w:ascii="宋体" w:hAnsi="宋体" w:cs="宋体"/>
        </w:rPr>
      </w:r>
      <w:bookmarkStart w:id="49" w:name="_Toc414602016"/>
      <w:r>
        <w:rPr>
          <w:rFonts w:hint="eastAsia" w:ascii="宋体" w:hAnsi="宋体" w:eastAsia="宋体" w:cs="宋体"/>
          <w:b/>
          <w:color w:val="000000"/>
          <w:sz w:val="21"/>
          <w:szCs w:val="21"/>
          <w:highlight w:val="none"/>
        </w:rPr>
        <w:t xml:space="preserve">综合说明及其它要求</w:t>
      </w:r>
      <w:r>
        <w:rPr>
          <w:rFonts w:ascii="宋体" w:hAnsi="宋体" w:cs="宋体"/>
        </w:rPr>
      </w:r>
      <w:r/>
    </w:p>
    <w:p>
      <w:pPr>
        <w:pStyle w:val="941"/>
        <w:ind w:firstLine="420"/>
        <w:keepLines w:val="0"/>
        <w:keepNext w:val="0"/>
        <w:pageBreakBefore w:val="0"/>
        <w:spacing w:line="42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本次招标不接受进口产品。</w:t>
      </w:r>
      <w:r>
        <w:rPr>
          <w:rFonts w:ascii="宋体" w:hAnsi="宋体" w:cs="宋体"/>
        </w:rPr>
      </w:r>
      <w:r/>
    </w:p>
    <w:p>
      <w:pPr>
        <w:pStyle w:val="941"/>
        <w:ind w:firstLine="420"/>
        <w:keepLines w:val="0"/>
        <w:keepNext w:val="0"/>
        <w:pageBreakBefore w:val="0"/>
        <w:spacing w:line="42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投标单位对招标文件及采购清单中提出的全部技术规格与要求，若存在不响应条款，须在文件中逐条列出具体条款及偏离说明，未列出的视同完全响应。</w:t>
      </w:r>
      <w:r>
        <w:rPr>
          <w:rFonts w:ascii="宋体" w:hAnsi="宋体" w:cs="宋体"/>
        </w:rPr>
      </w:r>
      <w:r/>
    </w:p>
    <w:p>
      <w:pPr>
        <w:pStyle w:val="941"/>
        <w:ind w:firstLine="420"/>
        <w:keepLines w:val="0"/>
        <w:keepNext w:val="0"/>
        <w:pageBreakBefore w:val="0"/>
        <w:spacing w:line="42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投标总报价一次报定，报价包含但不限于人工、材料、机械费、设备生产制造、运输仓储、安装调试、系统对接、设备迁移（若涉及）、技术培训、税费、售后服务、质保期内所有费用及供应商企业利润、税金、政策性文件规定、合同包含的所有风险与责任等产生的一切费用。</w:t>
      </w:r>
      <w:r>
        <w:rPr>
          <w:rFonts w:ascii="宋体" w:hAnsi="宋体" w:cs="宋体"/>
        </w:rPr>
      </w:r>
      <w:r/>
    </w:p>
    <w:p>
      <w:pPr>
        <w:pStyle w:val="941"/>
        <w:ind w:firstLine="420"/>
        <w:keepLines w:val="0"/>
        <w:keepNext w:val="0"/>
        <w:pageBreakBefore w:val="0"/>
        <w:spacing w:line="42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交付期限：</w:t>
      </w:r>
      <w:r>
        <w:rPr>
          <w:rFonts w:hint="eastAsia" w:ascii="宋体" w:hAnsi="宋体" w:eastAsia="宋体" w:cs="宋体"/>
          <w:color w:val="000000"/>
          <w:sz w:val="21"/>
          <w:szCs w:val="21"/>
          <w:highlight w:val="none"/>
        </w:rPr>
        <w:t xml:space="preserve">自合同签订生效之日起45日历天内，完成全部实训设备的供货、安装、调试工作，具体实施进度服从采购人统一安排。</w:t>
      </w:r>
      <w:r>
        <w:rPr>
          <w:rFonts w:ascii="宋体" w:hAnsi="宋体" w:cs="宋体"/>
        </w:rPr>
      </w:r>
      <w:r/>
    </w:p>
    <w:p>
      <w:pPr>
        <w:pStyle w:val="941"/>
        <w:ind w:firstLine="420"/>
        <w:keepLines w:val="0"/>
        <w:keepNext w:val="0"/>
        <w:pageBreakBefore w:val="0"/>
        <w:spacing w:line="42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交付地点：采购单位指定</w:t>
      </w:r>
      <w:r>
        <w:rPr>
          <w:rFonts w:hint="eastAsia" w:ascii="宋体" w:hAnsi="宋体" w:eastAsia="宋体" w:cs="宋体"/>
          <w:color w:val="000000"/>
          <w:sz w:val="21"/>
          <w:szCs w:val="21"/>
          <w:highlight w:val="none"/>
          <w:lang w:eastAsia="zh-CN"/>
        </w:rPr>
        <w:t xml:space="preserve">地点</w:t>
      </w:r>
      <w:r>
        <w:rPr>
          <w:rFonts w:hint="eastAsia" w:ascii="宋体" w:hAnsi="宋体" w:eastAsia="宋体" w:cs="宋体"/>
          <w:color w:val="000000"/>
          <w:sz w:val="21"/>
          <w:szCs w:val="21"/>
          <w:highlight w:val="none"/>
        </w:rPr>
        <w:t xml:space="preserve">。</w:t>
      </w:r>
      <w:r>
        <w:rPr>
          <w:rFonts w:ascii="宋体" w:hAnsi="宋体" w:cs="宋体"/>
        </w:rPr>
      </w:r>
      <w:r/>
    </w:p>
    <w:p>
      <w:pPr>
        <w:pStyle w:val="941"/>
        <w:ind w:firstLine="420"/>
        <w:keepLines w:val="0"/>
        <w:keepNext w:val="0"/>
        <w:pageBreakBefore w:val="0"/>
        <w:spacing w:line="42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付款步骤：合同签订生效后，甲方向乙方支付合同价款的30%；全部货物到达指定现场并验收合格后，甲方向乙方付至合同价款的60%；所有设备安装调试完毕且整体验收合格后，甲方向乙方付至合同价款的80%；项目审计结束后，甲方向乙方付至结算审定价的90%；审计结束满一年后，经甲方确认无质量及服务问题，甲方向乙方付至结算审定价的95%；免费质保期满且确认无质量缺陷后，甲方向乙方一次性付清结算审定价剩余5%款项。</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可根据项目实际推进情况，调整付款比例和付款时间节点，调整前需提前书面告知</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w:t>
      </w:r>
      <w:r>
        <w:rPr>
          <w:rFonts w:ascii="宋体" w:hAnsi="宋体" w:cs="宋体"/>
        </w:rPr>
      </w:r>
      <w:r/>
    </w:p>
    <w:p>
      <w:pPr>
        <w:pStyle w:val="941"/>
        <w:ind w:firstLine="420"/>
        <w:keepLines w:val="0"/>
        <w:keepNext w:val="0"/>
        <w:pageBreakBefore w:val="0"/>
        <w:spacing w:line="420" w:lineRule="exact"/>
        <w:widowControl w:val="off"/>
        <w:rPr>
          <w:rFonts w:ascii="宋体" w:hAnsi="宋体" w:cs="宋体"/>
          <w:color w:val="000000"/>
          <w:sz w:val="21"/>
          <w:szCs w:val="21"/>
          <w:highlight w:val="none"/>
        </w:rPr>
        <w:outlineLvl w:val="9"/>
      </w:pP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履约保证金：</w:t>
      </w:r>
      <w:r>
        <w:rPr>
          <w:rFonts w:hint="eastAsia" w:ascii="宋体" w:hAnsi="宋体" w:eastAsia="宋体" w:cs="宋体"/>
          <w:color w:val="000000"/>
          <w:sz w:val="21"/>
          <w:szCs w:val="21"/>
          <w:highlight w:val="none"/>
          <w:lang w:val="en-US" w:eastAsia="zh-CN"/>
        </w:rPr>
        <w:t xml:space="preserve">履约保证金的金额为合同金额的10%。</w:t>
      </w:r>
      <w:r>
        <w:rPr>
          <w:rFonts w:hint="eastAsia" w:ascii="宋体" w:hAnsi="宋体" w:eastAsia="宋体" w:cs="宋体"/>
          <w:color w:val="000000"/>
          <w:sz w:val="21"/>
          <w:szCs w:val="21"/>
          <w:highlight w:val="none"/>
        </w:rPr>
        <w:t xml:space="preserve">中标单位</w:t>
      </w:r>
      <w:r>
        <w:rPr>
          <w:rFonts w:hint="eastAsia" w:ascii="宋体" w:hAnsi="宋体" w:eastAsia="宋体" w:cs="宋体"/>
          <w:color w:val="000000"/>
          <w:sz w:val="21"/>
          <w:szCs w:val="21"/>
          <w:highlight w:val="none"/>
          <w:lang w:val="en-US" w:eastAsia="zh-CN"/>
        </w:rPr>
        <w:t xml:space="preserve">需在合同签订后10天内向采购单位提供履约保证金，如逾期提供履约保证金的，逾期每天支付合同金额的万分之0.5的违约金，采购单位有权从未付款中直接扣除，最高不超过20万元，采购单位保留取消其中标资格的权利。如因采购单位原因造成的逾期，不予支付违约金。</w:t>
      </w:r>
      <w:r>
        <w:rPr>
          <w:rFonts w:ascii="宋体" w:hAnsi="宋体" w:cs="宋体"/>
        </w:rPr>
      </w:r>
      <w:r/>
    </w:p>
    <w:p>
      <w:pPr>
        <w:pStyle w:val="941"/>
        <w:ind w:firstLine="420"/>
        <w:keepLines w:val="0"/>
        <w:keepNext w:val="0"/>
        <w:pageBreakBefore w:val="0"/>
        <w:spacing w:line="42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ascii="宋体" w:hAnsi="宋体" w:cs="宋体"/>
        </w:rPr>
      </w:r>
      <w:r/>
    </w:p>
    <w:p>
      <w:pPr>
        <w:pStyle w:val="941"/>
        <w:ind w:firstLine="420"/>
        <w:keepLines w:val="0"/>
        <w:keepNext w:val="0"/>
        <w:pageBreakBefore w:val="0"/>
        <w:spacing w:line="42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履约保证金返还：竣工验收合格并经采购单位确认后无息返还。</w:t>
      </w:r>
      <w:r>
        <w:rPr>
          <w:rFonts w:ascii="宋体" w:hAnsi="宋体" w:cs="宋体"/>
        </w:rPr>
      </w:r>
      <w:r/>
    </w:p>
    <w:p>
      <w:pPr>
        <w:pStyle w:val="941"/>
        <w:ind w:firstLine="420"/>
        <w:keepLines w:val="0"/>
        <w:keepNext w:val="0"/>
        <w:pageBreakBefore w:val="0"/>
        <w:spacing w:line="42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凡涉及招标文件的补充说明及修改，均以</w:t>
      </w:r>
      <w:r>
        <w:rPr>
          <w:rFonts w:hint="eastAsia" w:ascii="宋体" w:hAnsi="宋体" w:eastAsia="宋体" w:cs="宋体"/>
          <w:color w:val="000000"/>
          <w:sz w:val="21"/>
          <w:szCs w:val="21"/>
          <w:highlight w:val="none"/>
          <w:lang w:eastAsia="zh-CN"/>
        </w:rPr>
        <w:t xml:space="preserve">招标代理机构</w:t>
      </w:r>
      <w:r>
        <w:rPr>
          <w:rFonts w:hint="eastAsia" w:ascii="宋体" w:hAnsi="宋体" w:eastAsia="宋体" w:cs="宋体"/>
          <w:color w:val="000000"/>
          <w:sz w:val="21"/>
          <w:szCs w:val="21"/>
          <w:highlight w:val="none"/>
        </w:rPr>
        <w:t xml:space="preserve">发布的正式通知为准，补充说明及修改内容与招标文件具有同等法律效力。</w:t>
      </w:r>
      <w:r>
        <w:rPr>
          <w:rFonts w:ascii="宋体" w:hAnsi="宋体" w:cs="宋体"/>
        </w:rPr>
      </w:r>
      <w:r/>
    </w:p>
    <w:p>
      <w:pPr>
        <w:pStyle w:val="885"/>
        <w:numPr>
          <w:ilvl w:val="0"/>
          <w:numId w:val="5"/>
        </w:numPr>
        <w:keepLines w:val="0"/>
        <w:keepNext w:val="0"/>
        <w:pageBreakBefore w:val="0"/>
        <w:spacing w:line="420" w:lineRule="exact"/>
        <w:widowControl w:val="off"/>
        <w:tabs>
          <w:tab w:val="left" w:pos="360" w:leader="none"/>
          <w:tab w:val="left" w:pos="540" w:leader="none"/>
        </w:tabs>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政府采购政策</w:t>
      </w:r>
      <w:r>
        <w:rPr>
          <w:rFonts w:ascii="宋体" w:hAnsi="宋体" w:cs="宋体"/>
        </w:rPr>
      </w:r>
      <w:r/>
    </w:p>
    <w:p>
      <w:pPr>
        <w:pStyle w:val="885"/>
        <w:ind w:firstLine="420"/>
        <w:keepLines w:val="0"/>
        <w:keepNext w:val="0"/>
        <w:pageBreakBefore w:val="0"/>
        <w:spacing w:line="420" w:lineRule="exact"/>
        <w:widowControl w:val="off"/>
        <w:tabs>
          <w:tab w:val="left" w:pos="567" w:leader="none"/>
        </w:tabs>
        <w:rPr>
          <w:rFonts w:hint="eastAsia" w:ascii="宋体" w:hAnsi="宋体" w:cs="宋体"/>
          <w:color w:val="000000"/>
          <w:sz w:val="21"/>
          <w:highlight w:val="none"/>
        </w:rPr>
        <w:outlineLvl w:val="9"/>
      </w:pPr>
      <w:r>
        <w:rPr>
          <w:rFonts w:hint="eastAsia" w:ascii="宋体" w:hAnsi="宋体" w:eastAsia="宋体" w:cs="宋体"/>
          <w:color w:val="000000"/>
          <w:sz w:val="21"/>
          <w:highlight w:val="none"/>
        </w:rPr>
        <w:t xml:space="preserve">1.小、微企业</w:t>
      </w:r>
      <w:r>
        <w:rPr>
          <w:rFonts w:hint="eastAsia" w:ascii="宋体" w:hAnsi="宋体" w:eastAsia="宋体" w:cs="宋体"/>
          <w:b/>
          <w:color w:val="000000"/>
          <w:sz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ascii="宋体" w:hAnsi="宋体" w:cs="宋体"/>
        </w:rPr>
      </w:r>
      <w:r/>
    </w:p>
    <w:p>
      <w:pPr>
        <w:pStyle w:val="885"/>
        <w:ind w:firstLine="420"/>
        <w:keepLines w:val="0"/>
        <w:keepNext w:val="0"/>
        <w:pageBreakBefore w:val="0"/>
        <w:spacing w:line="420" w:lineRule="exact"/>
        <w:widowControl w:val="off"/>
        <w:tabs>
          <w:tab w:val="left" w:pos="567" w:leader="none"/>
        </w:tabs>
        <w:rPr>
          <w:rFonts w:hint="eastAsia" w:ascii="宋体" w:hAnsi="宋体" w:cs="宋体"/>
          <w:color w:val="000000"/>
          <w:sz w:val="21"/>
          <w:highlight w:val="none"/>
        </w:rPr>
        <w:outlineLvl w:val="9"/>
      </w:pPr>
      <w:r>
        <w:rPr>
          <w:rFonts w:hint="eastAsia" w:ascii="宋体" w:hAnsi="宋体" w:eastAsia="宋体" w:cs="宋体"/>
          <w:color w:val="000000"/>
          <w:sz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000000"/>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rPr>
      </w:r>
      <w:r/>
    </w:p>
    <w:p>
      <w:pPr>
        <w:pStyle w:val="885"/>
        <w:ind w:firstLine="420"/>
        <w:keepLines w:val="0"/>
        <w:keepNext w:val="0"/>
        <w:pageBreakBefore w:val="0"/>
        <w:spacing w:line="42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rFonts w:ascii="宋体" w:hAnsi="宋体" w:cs="宋体"/>
        </w:rPr>
      </w:r>
      <w:r/>
    </w:p>
    <w:p>
      <w:pPr>
        <w:pStyle w:val="885"/>
        <w:ind w:firstLine="422"/>
        <w:keepLines w:val="0"/>
        <w:keepNext w:val="0"/>
        <w:pageBreakBefore w:val="0"/>
        <w:spacing w:line="420" w:lineRule="exact"/>
        <w:widowControl w:val="off"/>
        <w:tabs>
          <w:tab w:val="left" w:pos="567" w:leader="none"/>
        </w:tabs>
        <w:rPr>
          <w:rFonts w:hint="eastAsia" w:ascii="宋体" w:hAnsi="宋体" w:cs="宋体"/>
          <w:color w:val="000000"/>
          <w:sz w:val="21"/>
          <w:highlight w:val="none"/>
        </w:rPr>
        <w:outlineLvl w:val="9"/>
      </w:pPr>
      <w:r>
        <w:rPr>
          <w:rFonts w:hint="eastAsia" w:ascii="宋体" w:hAnsi="宋体" w:eastAsia="宋体" w:cs="宋体"/>
          <w:b/>
          <w:color w:val="000000"/>
          <w:sz w:val="21"/>
          <w:szCs w:val="21"/>
          <w:highlight w:val="none"/>
        </w:rPr>
        <w:t xml:space="preserve">其中，供应商提供的货物既有中小企业制造货物，也有大型企业制造货物的，不享受中小企业扶持政策。</w:t>
      </w:r>
      <w:r>
        <w:rPr>
          <w:rFonts w:ascii="宋体" w:hAnsi="宋体" w:cs="宋体"/>
        </w:rPr>
      </w:r>
      <w:r/>
    </w:p>
    <w:p>
      <w:pPr>
        <w:pStyle w:val="885"/>
        <w:ind w:firstLine="420"/>
        <w:keepLines w:val="0"/>
        <w:keepNext w:val="0"/>
        <w:pageBreakBefore w:val="0"/>
        <w:spacing w:line="420" w:lineRule="exact"/>
        <w:widowControl w:val="off"/>
        <w:tabs>
          <w:tab w:val="left" w:pos="420" w:leader="none"/>
          <w:tab w:val="left" w:pos="1260" w:leader="none"/>
          <w:tab w:val="left" w:pos="1440" w:leader="none"/>
        </w:tabs>
        <w:rPr>
          <w:rFonts w:hint="eastAsia" w:ascii="宋体" w:hAnsi="宋体" w:cs="宋体"/>
          <w:b/>
          <w:color w:val="000000"/>
          <w:sz w:val="21"/>
          <w:highlight w:val="none"/>
        </w:rPr>
        <w:outlineLvl w:val="9"/>
      </w:pPr>
      <w:r>
        <w:rPr>
          <w:rFonts w:hint="eastAsia" w:ascii="宋体" w:hAnsi="宋体" w:eastAsia="宋体" w:cs="宋体"/>
          <w:color w:val="000000"/>
          <w:sz w:val="21"/>
          <w:highlight w:val="none"/>
        </w:rPr>
        <w:t xml:space="preserve">供应商根据《政府采购促进中小企业发展管理办法》（财库〔2020〕46号）及《中小企业划型标准规定》（工信部联企业〔2011〕300号），</w:t>
      </w:r>
      <w:r>
        <w:rPr>
          <w:rFonts w:hint="eastAsia" w:ascii="宋体" w:hAnsi="宋体" w:eastAsia="宋体" w:cs="宋体"/>
          <w:b/>
          <w:color w:val="000000"/>
          <w:sz w:val="21"/>
          <w:szCs w:val="21"/>
          <w:highlight w:val="none"/>
        </w:rPr>
        <w:t xml:space="preserve">明确标的承接企业所属企业类型</w:t>
      </w:r>
      <w:r>
        <w:rPr>
          <w:rFonts w:hint="eastAsia" w:ascii="宋体" w:hAnsi="宋体" w:eastAsia="宋体" w:cs="宋体"/>
          <w:b/>
          <w:color w:val="000000"/>
          <w:sz w:val="21"/>
          <w:highlight w:val="none"/>
        </w:rPr>
        <w:t xml:space="preserve">。</w:t>
      </w:r>
      <w:r>
        <w:rPr>
          <w:rFonts w:ascii="宋体" w:hAnsi="宋体" w:cs="宋体"/>
        </w:rPr>
      </w:r>
      <w:r/>
    </w:p>
    <w:p>
      <w:pPr>
        <w:pStyle w:val="885"/>
        <w:ind w:firstLine="420"/>
        <w:keepLines w:val="0"/>
        <w:keepNext w:val="0"/>
        <w:pageBreakBefore w:val="0"/>
        <w:spacing w:line="420" w:lineRule="exact"/>
        <w:widowControl w:val="off"/>
        <w:tabs>
          <w:tab w:val="left" w:pos="567" w:leader="none"/>
        </w:tabs>
        <w:rPr>
          <w:rFonts w:hint="eastAsia" w:ascii="宋体" w:hAnsi="宋体" w:cs="宋体"/>
          <w:color w:val="000000"/>
          <w:sz w:val="21"/>
          <w:highlight w:val="none"/>
        </w:rPr>
        <w:outlineLvl w:val="9"/>
      </w:pPr>
      <w:r>
        <w:rPr>
          <w:rFonts w:hint="eastAsia" w:ascii="宋体" w:hAnsi="宋体" w:eastAsia="宋体" w:cs="宋体"/>
          <w:color w:val="000000"/>
          <w:sz w:val="21"/>
          <w:highlight w:val="none"/>
        </w:rPr>
        <w:t xml:space="preserve">2.残疾人福利性单位</w:t>
      </w:r>
      <w:r>
        <w:rPr>
          <w:rFonts w:hint="eastAsia" w:ascii="宋体" w:hAnsi="宋体" w:eastAsia="宋体" w:cs="宋体"/>
          <w:b/>
          <w:color w:val="000000"/>
          <w:sz w:val="21"/>
          <w:szCs w:val="21"/>
          <w:highlight w:val="none"/>
        </w:rPr>
        <w:t xml:space="preserve">（若为专门面向中小企业采购的项目或者采购包，不再执行价格评审优惠的扶持政策）</w:t>
      </w:r>
      <w:r>
        <w:rPr>
          <w:rFonts w:ascii="宋体" w:hAnsi="宋体" w:cs="宋体"/>
        </w:rPr>
      </w:r>
      <w:r/>
    </w:p>
    <w:p>
      <w:pPr>
        <w:pStyle w:val="885"/>
        <w:ind w:firstLine="420"/>
        <w:keepLines w:val="0"/>
        <w:keepNext w:val="0"/>
        <w:pageBreakBefore w:val="0"/>
        <w:spacing w:line="420" w:lineRule="exact"/>
        <w:widowControl w:val="off"/>
        <w:tabs>
          <w:tab w:val="left" w:pos="567" w:leader="none"/>
        </w:tabs>
        <w:rPr>
          <w:rFonts w:hint="eastAsia" w:ascii="宋体" w:hAnsi="宋体" w:cs="宋体"/>
          <w:color w:val="000000"/>
          <w:sz w:val="21"/>
          <w:highlight w:val="none"/>
        </w:rPr>
        <w:outlineLvl w:val="9"/>
      </w:pPr>
      <w:r>
        <w:rPr>
          <w:rFonts w:hint="eastAsia" w:ascii="宋体" w:hAnsi="宋体" w:eastAsia="宋体" w:cs="宋体"/>
          <w:color w:val="000000"/>
          <w:sz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s="宋体"/>
        </w:rPr>
      </w:r>
      <w:r/>
    </w:p>
    <w:p>
      <w:pPr>
        <w:pStyle w:val="885"/>
        <w:ind w:firstLine="420"/>
        <w:keepLines w:val="0"/>
        <w:keepNext w:val="0"/>
        <w:pageBreakBefore w:val="0"/>
        <w:spacing w:line="420" w:lineRule="exact"/>
        <w:widowControl w:val="off"/>
        <w:tabs>
          <w:tab w:val="left" w:pos="567" w:leader="none"/>
        </w:tabs>
        <w:rPr>
          <w:rFonts w:hint="eastAsia" w:ascii="宋体" w:hAnsi="宋体" w:cs="宋体"/>
          <w:color w:val="000000"/>
          <w:sz w:val="21"/>
          <w:highlight w:val="none"/>
        </w:rPr>
        <w:outlineLvl w:val="9"/>
      </w:pPr>
      <w:r>
        <w:rPr>
          <w:rFonts w:hint="eastAsia" w:ascii="宋体" w:hAnsi="宋体" w:eastAsia="宋体" w:cs="宋体"/>
          <w:color w:val="000000"/>
          <w:sz w:val="21"/>
          <w:highlight w:val="none"/>
        </w:rPr>
        <w:t xml:space="preserve">3.监狱企业</w:t>
      </w:r>
      <w:r>
        <w:rPr>
          <w:rFonts w:hint="eastAsia" w:ascii="宋体" w:hAnsi="宋体" w:eastAsia="宋体" w:cs="宋体"/>
          <w:b/>
          <w:color w:val="000000"/>
          <w:sz w:val="21"/>
          <w:szCs w:val="21"/>
          <w:highlight w:val="none"/>
        </w:rPr>
        <w:t xml:space="preserve">（若为专门面向中小企业采购的项目或者采购包，不再执行价格评审优惠的扶持政策）</w:t>
      </w:r>
      <w:r>
        <w:rPr>
          <w:rFonts w:ascii="宋体" w:hAnsi="宋体" w:cs="宋体"/>
        </w:rPr>
      </w:r>
      <w:r/>
    </w:p>
    <w:p>
      <w:pPr>
        <w:pStyle w:val="885"/>
        <w:ind w:firstLine="420"/>
        <w:keepLines w:val="0"/>
        <w:keepNext w:val="0"/>
        <w:pageBreakBefore w:val="0"/>
        <w:spacing w:line="420" w:lineRule="exact"/>
        <w:widowControl w:val="off"/>
        <w:tabs>
          <w:tab w:val="left" w:pos="567" w:leader="none"/>
        </w:tabs>
        <w:rPr>
          <w:rFonts w:hint="eastAsia" w:ascii="宋体" w:hAnsi="宋体" w:cs="宋体"/>
          <w:color w:val="000000"/>
          <w:sz w:val="21"/>
          <w:highlight w:val="none"/>
        </w:rPr>
        <w:outlineLvl w:val="9"/>
      </w:pPr>
      <w:r>
        <w:rPr>
          <w:rFonts w:hint="eastAsia" w:ascii="宋体" w:hAnsi="宋体" w:eastAsia="宋体" w:cs="宋体"/>
          <w:color w:val="000000"/>
          <w:sz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ascii="宋体" w:hAnsi="宋体" w:cs="宋体"/>
        </w:rPr>
      </w:r>
      <w:r/>
    </w:p>
    <w:p>
      <w:pPr>
        <w:pStyle w:val="885"/>
        <w:ind w:firstLine="420"/>
        <w:keepLines w:val="0"/>
        <w:keepNext w:val="0"/>
        <w:pageBreakBefore w:val="0"/>
        <w:spacing w:line="420" w:lineRule="exact"/>
        <w:widowControl w:val="off"/>
        <w:tabs>
          <w:tab w:val="left" w:pos="567" w:leader="none"/>
        </w:tabs>
        <w:rPr>
          <w:rFonts w:hint="eastAsia" w:ascii="宋体" w:hAnsi="宋体" w:cs="宋体"/>
          <w:color w:val="000000"/>
          <w:sz w:val="21"/>
          <w:highlight w:val="none"/>
        </w:rPr>
        <w:outlineLvl w:val="9"/>
      </w:pPr>
      <w:r>
        <w:rPr>
          <w:rFonts w:hint="eastAsia" w:ascii="宋体" w:hAnsi="宋体" w:eastAsia="宋体" w:cs="宋体"/>
          <w:color w:val="000000"/>
          <w:sz w:val="21"/>
          <w:highlight w:val="none"/>
          <w:lang w:val="en-US" w:eastAsia="zh-CN"/>
        </w:rPr>
        <w:t xml:space="preserve">4.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ascii="宋体" w:hAnsi="宋体" w:cs="宋体"/>
        </w:rPr>
      </w:r>
      <w:r/>
    </w:p>
    <w:p>
      <w:pPr>
        <w:pStyle w:val="885"/>
        <w:ind w:firstLine="420"/>
        <w:keepLines w:val="0"/>
        <w:keepNext w:val="0"/>
        <w:pageBreakBefore w:val="0"/>
        <w:spacing w:line="420" w:lineRule="exact"/>
        <w:widowControl w:val="off"/>
        <w:tabs>
          <w:tab w:val="left" w:pos="567" w:leader="none"/>
        </w:tabs>
        <w:rPr>
          <w:rFonts w:hint="eastAsia" w:ascii="宋体" w:hAnsi="宋体" w:cs="宋体"/>
          <w:color w:val="000000"/>
          <w:sz w:val="21"/>
          <w:highlight w:val="none"/>
        </w:rPr>
        <w:outlineLvl w:val="9"/>
      </w:pP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对本国产品的支持政策</w:t>
      </w:r>
      <w:r>
        <w:rPr>
          <w:rFonts w:ascii="宋体" w:hAnsi="宋体" w:cs="宋体"/>
        </w:rPr>
      </w:r>
      <w:r/>
    </w:p>
    <w:p>
      <w:pPr>
        <w:pStyle w:val="885"/>
        <w:ind w:firstLine="420"/>
        <w:keepLines w:val="0"/>
        <w:keepNext w:val="0"/>
        <w:pageBreakBefore w:val="0"/>
        <w:spacing w:line="420" w:lineRule="exact"/>
        <w:widowControl w:val="off"/>
        <w:tabs>
          <w:tab w:val="left" w:pos="567" w:leader="none"/>
        </w:tabs>
        <w:rPr>
          <w:rFonts w:hint="eastAsia" w:ascii="宋体" w:hAnsi="宋体" w:cs="宋体"/>
          <w:color w:val="000000"/>
          <w:sz w:val="21"/>
          <w:highlight w:val="none"/>
        </w:rPr>
        <w:outlineLvl w:val="9"/>
      </w:pPr>
      <w:r>
        <w:rPr>
          <w:rFonts w:hint="eastAsia" w:ascii="宋体" w:hAnsi="宋体" w:eastAsia="宋体" w:cs="宋体"/>
          <w:color w:val="000000"/>
          <w:sz w:val="21"/>
          <w:highlight w:val="none"/>
          <w:lang w:eastAsia="zh-CN"/>
        </w:rPr>
        <w:t xml:space="preserve">根据《国务院办公厅关于在</w:t>
      </w:r>
      <w:r>
        <w:rPr>
          <w:rFonts w:hint="eastAsia" w:ascii="宋体" w:hAnsi="宋体" w:eastAsia="宋体" w:cs="宋体"/>
          <w:color w:val="000000"/>
          <w:sz w:val="21"/>
          <w:highlight w:val="none"/>
          <w:lang w:eastAsia="zh-CN"/>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cs="宋体"/>
        </w:rPr>
      </w:r>
      <w:r/>
    </w:p>
    <w:p>
      <w:pPr>
        <w:pStyle w:val="885"/>
        <w:ind w:firstLine="422"/>
        <w:keepLines w:val="0"/>
        <w:keepNext w:val="0"/>
        <w:pageBreakBefore w:val="0"/>
        <w:spacing w:line="420" w:lineRule="exact"/>
        <w:widowControl w:val="off"/>
        <w:tabs>
          <w:tab w:val="left" w:pos="567" w:leader="none"/>
        </w:tabs>
        <w:rPr>
          <w:rFonts w:hint="eastAsia" w:ascii="宋体" w:hAnsi="宋体" w:cs="宋体"/>
          <w:b/>
          <w:bCs/>
          <w:color w:val="000000"/>
          <w:sz w:val="21"/>
          <w:highlight w:val="none"/>
        </w:rPr>
        <w:outlineLvl w:val="9"/>
      </w:pPr>
      <w:r>
        <w:rPr>
          <w:rFonts w:hint="eastAsia" w:ascii="宋体" w:hAnsi="宋体" w:eastAsia="宋体" w:cs="宋体"/>
          <w:b/>
          <w:bCs/>
          <w:color w:val="000000"/>
          <w:sz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rPr>
      </w:r>
      <w:r/>
    </w:p>
    <w:p>
      <w:pPr>
        <w:pStyle w:val="885"/>
        <w:ind w:firstLine="420"/>
        <w:keepLines w:val="0"/>
        <w:keepNext w:val="0"/>
        <w:pageBreakBefore w:val="0"/>
        <w:spacing w:line="420" w:lineRule="exact"/>
        <w:widowControl w:val="off"/>
        <w:tabs>
          <w:tab w:val="left" w:pos="567" w:leader="none"/>
        </w:tabs>
        <w:rPr>
          <w:rFonts w:hint="eastAsia" w:ascii="宋体" w:hAnsi="宋体" w:cs="宋体"/>
          <w:color w:val="000000"/>
          <w:highlight w:val="none"/>
        </w:rPr>
        <w:outlineLvl w:val="9"/>
      </w:pPr>
      <w:r>
        <w:rPr>
          <w:rFonts w:hint="eastAsia" w:ascii="宋体" w:hAnsi="宋体" w:eastAsia="宋体" w:cs="宋体"/>
          <w:color w:val="000000"/>
          <w:sz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rPr>
      </w:r>
      <w:r/>
    </w:p>
    <w:p>
      <w:pPr>
        <w:pStyle w:val="885"/>
        <w:ind w:firstLine="420"/>
        <w:keepLines w:val="0"/>
        <w:keepNext w:val="0"/>
        <w:pageBreakBefore w:val="0"/>
        <w:spacing w:line="420" w:lineRule="exact"/>
        <w:widowControl w:val="off"/>
        <w:tabs>
          <w:tab w:val="left" w:pos="567" w:leader="none"/>
        </w:tabs>
        <w:rPr>
          <w:rFonts w:hint="eastAsia" w:ascii="宋体" w:hAnsi="宋体" w:cs="宋体"/>
          <w:color w:val="000000"/>
          <w:sz w:val="21"/>
          <w:highlight w:val="none"/>
        </w:rPr>
        <w:outlineLvl w:val="9"/>
      </w:pPr>
      <w:r>
        <w:rPr>
          <w:rFonts w:hint="eastAsia" w:ascii="宋体" w:hAnsi="宋体" w:eastAsia="宋体" w:cs="宋体"/>
          <w:color w:val="000000"/>
          <w:sz w:val="21"/>
          <w:highlight w:val="none"/>
        </w:rPr>
        <w:t xml:space="preserve">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rPr>
          <w:rFonts w:ascii="宋体" w:hAnsi="宋体" w:cs="宋体"/>
        </w:rPr>
      </w:r>
      <w:r/>
    </w:p>
    <w:p>
      <w:pPr>
        <w:pStyle w:val="885"/>
        <w:contextualSpacing w:val="0"/>
        <w:ind w:firstLine="420"/>
        <w:jc w:val="both"/>
        <w:keepLines w:val="0"/>
        <w:keepNext w:val="0"/>
        <w:pageBreakBefore w:val="0"/>
        <w:spacing w:before="0" w:after="0" w:line="368" w:lineRule="exact"/>
        <w:widowControl w:val="off"/>
        <w:tabs>
          <w:tab w:val="left" w:pos="567" w:leader="none"/>
        </w:tabs>
        <w:rPr>
          <w:rFonts w:hint="eastAsia" w:ascii="宋体" w:hAnsi="宋体" w:cs="宋体"/>
          <w:color w:val="000000"/>
          <w:sz w:val="21"/>
          <w:highlight w:val="none"/>
        </w:rPr>
        <w:outlineLvl w:val="9"/>
        <w:suppressLineNumbers w:val="0"/>
      </w:pPr>
      <w:r>
        <w:rPr>
          <w:rFonts w:hint="eastAsia" w:ascii="宋体" w:hAnsi="宋体" w:cs="宋体"/>
          <w:color w:val="000000"/>
          <w:sz w:val="21"/>
          <w:highlight w:val="none"/>
          <w:lang w:val="en-US" w:eastAsia="zh-CN"/>
        </w:rPr>
        <w:t xml:space="preserve">6.</w:t>
      </w:r>
      <w:r>
        <w:rPr>
          <w:rFonts w:hint="eastAsia" w:ascii="宋体" w:hAnsi="宋体" w:eastAsia="宋体" w:cs="宋体"/>
          <w:color w:val="000000"/>
          <w:sz w:val="21"/>
          <w:highlight w:val="none"/>
        </w:rPr>
        <w:t xml:space="preserve">绿色采购</w:t>
      </w:r>
      <w:r>
        <w:rPr>
          <w:rFonts w:ascii="宋体" w:hAnsi="宋体" w:cs="宋体"/>
        </w:rPr>
      </w:r>
      <w:r/>
    </w:p>
    <w:p>
      <w:pPr>
        <w:pStyle w:val="885"/>
        <w:contextualSpacing w:val="0"/>
        <w:ind w:firstLine="420"/>
        <w:jc w:val="both"/>
        <w:keepLines w:val="0"/>
        <w:keepNext w:val="0"/>
        <w:pageBreakBefore w:val="0"/>
        <w:spacing w:before="0" w:after="0" w:line="368" w:lineRule="exact"/>
        <w:widowControl w:val="off"/>
        <w:tabs>
          <w:tab w:val="left" w:pos="567" w:leader="none"/>
        </w:tabs>
        <w:rPr>
          <w:rFonts w:hint="eastAsia" w:ascii="宋体" w:hAnsi="宋体" w:cs="宋体"/>
          <w:color w:val="000000"/>
          <w:sz w:val="21"/>
          <w:highlight w:val="none"/>
        </w:rPr>
        <w:outlineLvl w:val="9"/>
        <w:suppressLineNumbers w:val="0"/>
      </w:pPr>
      <w:r>
        <w:rPr>
          <w:rFonts w:hint="eastAsia" w:ascii="宋体" w:hAnsi="宋体" w:eastAsia="宋体" w:cs="宋体"/>
          <w:bCs/>
          <w:color w:val="000000"/>
          <w:sz w:val="21"/>
          <w:highlight w:val="none"/>
        </w:rPr>
        <w:t xml:space="preserve">（1）根</w:t>
      </w:r>
      <w:r>
        <w:rPr>
          <w:rFonts w:hint="eastAsia" w:ascii="宋体" w:hAnsi="宋体" w:eastAsia="宋体" w:cs="宋体"/>
          <w:color w:val="000000"/>
          <w:sz w:val="21"/>
          <w:highlight w:val="none"/>
        </w:rPr>
        <w:t xml:space="preserve">据《关于调整优化节能产品、环境标志产品政府采购执行机制的通知》（财库〔2019〕9号）等相关文件的规定，</w:t>
      </w:r>
      <w:r>
        <w:rPr>
          <w:rFonts w:hint="eastAsia" w:ascii="宋体" w:hAnsi="宋体" w:eastAsia="宋体" w:cs="宋体"/>
          <w:b/>
          <w:color w:val="000000"/>
          <w:sz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t>
      </w:r>
      <w:r>
        <w:rPr>
          <w:rFonts w:hint="eastAsia" w:ascii="宋体" w:hAnsi="宋体" w:eastAsia="宋体" w:cs="宋体"/>
          <w:b/>
          <w:color w:val="000000"/>
          <w:sz w:val="21"/>
          <w:highlight w:val="none"/>
          <w:lang w:eastAsia="zh-CN"/>
        </w:rPr>
        <w:t xml:space="preserve">：//</w:t>
      </w:r>
      <w:r>
        <w:rPr>
          <w:rFonts w:hint="eastAsia" w:ascii="宋体" w:hAnsi="宋体" w:eastAsia="宋体" w:cs="宋体"/>
          <w:b/>
          <w:color w:val="000000"/>
          <w:sz w:val="21"/>
          <w:highlight w:val="none"/>
        </w:rPr>
        <w:t xml:space="preserve">www.ccgp.gov.cn）查询</w:t>
      </w:r>
      <w:r>
        <w:rPr>
          <w:rFonts w:hint="eastAsia" w:ascii="宋体" w:hAnsi="宋体" w:eastAsia="宋体" w:cs="宋体"/>
          <w:b/>
          <w:color w:val="000000"/>
          <w:sz w:val="21"/>
          <w:highlight w:val="none"/>
          <w:lang w:eastAsia="zh-CN"/>
        </w:rPr>
        <w:t xml:space="preserve">，</w:t>
      </w:r>
      <w:r>
        <w:rPr>
          <w:rFonts w:hint="eastAsia" w:ascii="宋体" w:hAnsi="宋体" w:eastAsia="宋体" w:cs="宋体"/>
          <w:b/>
          <w:color w:val="000000"/>
          <w:sz w:val="21"/>
          <w:highlight w:val="none"/>
        </w:rPr>
        <w:t xml:space="preserve">并在投标文件中提供由国家确定的认证机构出具的、处于有效期之内的节能产品认证证书复印件，否则视为未实质性响应。</w:t>
      </w:r>
      <w:r>
        <w:rPr>
          <w:rFonts w:ascii="宋体" w:hAnsi="宋体" w:cs="宋体"/>
        </w:rPr>
      </w:r>
      <w:r/>
    </w:p>
    <w:p>
      <w:pPr>
        <w:pStyle w:val="885"/>
        <w:contextualSpacing w:val="0"/>
        <w:ind w:firstLine="420"/>
        <w:jc w:val="both"/>
        <w:keepLines w:val="0"/>
        <w:keepNext w:val="0"/>
        <w:pageBreakBefore w:val="0"/>
        <w:spacing w:before="0" w:after="0" w:line="368" w:lineRule="exact"/>
        <w:widowControl w:val="off"/>
        <w:tabs>
          <w:tab w:val="left" w:pos="567" w:leader="none"/>
        </w:tabs>
        <w:rPr>
          <w:rFonts w:hint="eastAsia" w:ascii="宋体" w:hAnsi="宋体" w:cs="宋体"/>
          <w:color w:val="000000"/>
          <w:sz w:val="21"/>
          <w:highlight w:val="none"/>
        </w:rPr>
        <w:outlineLvl w:val="9"/>
        <w:suppressLineNumbers w:val="0"/>
      </w:pPr>
      <w:r>
        <w:rPr>
          <w:rFonts w:hint="eastAsia" w:ascii="宋体" w:hAnsi="宋体" w:eastAsia="宋体" w:cs="宋体"/>
          <w:color w:val="000000"/>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rPr>
      </w:r>
      <w:r/>
    </w:p>
    <w:p>
      <w:pPr>
        <w:pStyle w:val="885"/>
        <w:contextualSpacing w:val="0"/>
        <w:ind w:firstLine="420"/>
        <w:jc w:val="both"/>
        <w:keepLines w:val="0"/>
        <w:keepNext w:val="0"/>
        <w:pageBreakBefore w:val="0"/>
        <w:spacing w:before="0" w:after="0" w:line="368" w:lineRule="exact"/>
        <w:widowControl w:val="off"/>
        <w:tabs>
          <w:tab w:val="left" w:pos="567" w:leader="none"/>
        </w:tabs>
        <w:rPr>
          <w:rFonts w:hint="eastAsia" w:ascii="宋体" w:hAnsi="宋体" w:cs="宋体"/>
          <w:color w:val="000000"/>
          <w:sz w:val="21"/>
          <w:highlight w:val="none"/>
        </w:rPr>
        <w:outlineLvl w:val="9"/>
        <w:suppressLineNumbers w:val="0"/>
      </w:pPr>
      <w:r>
        <w:rPr>
          <w:rFonts w:hint="eastAsia" w:ascii="宋体" w:hAnsi="宋体" w:eastAsia="宋体" w:cs="宋体"/>
          <w:color w:val="000000"/>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cs="宋体"/>
        </w:rPr>
      </w:r>
      <w:r/>
    </w:p>
    <w:p>
      <w:pPr>
        <w:pStyle w:val="941"/>
        <w:ind w:firstLine="0"/>
        <w:jc w:val="center"/>
        <w:spacing w:before="166" w:after="166" w:line="440" w:lineRule="exact"/>
        <w:rPr>
          <w:rFonts w:ascii="宋体" w:hAnsi="宋体" w:cs="宋体"/>
          <w:b/>
          <w:bCs/>
          <w:color w:val="000000"/>
          <w:sz w:val="44"/>
          <w:szCs w:val="44"/>
          <w:highlight w:val="none"/>
        </w:rPr>
      </w:pPr>
      <w:r>
        <w:rPr>
          <w:rFonts w:ascii="宋体" w:hAnsi="宋体" w:cs="宋体"/>
          <w:color w:val="000000"/>
          <w:sz w:val="21"/>
          <w:szCs w:val="21"/>
          <w:highlight w:val="none"/>
        </w:rPr>
        <w:br w:type="page" w:clear="all"/>
      </w:r>
      <w:r>
        <w:rPr>
          <w:rFonts w:ascii="宋体" w:hAnsi="宋体" w:eastAsia="宋体" w:cs="宋体"/>
          <w:b/>
          <w:bCs/>
          <w:color w:val="000000"/>
          <w:sz w:val="44"/>
          <w:szCs w:val="44"/>
          <w:highlight w:val="none"/>
        </w:rPr>
        <w:t xml:space="preserve">第五章 合同的主要条款</w:t>
      </w:r>
      <w:bookmarkEnd w:id="49"/>
      <w:r>
        <w:rPr>
          <w:rFonts w:ascii="宋体" w:hAnsi="宋体" w:cs="宋体"/>
        </w:rPr>
      </w:r>
      <w:r/>
    </w:p>
    <w:p>
      <w:pPr>
        <w:pStyle w:val="941"/>
        <w:ind w:firstLine="0"/>
        <w:jc w:val="center"/>
        <w:spacing w:before="166" w:after="166" w:line="440" w:lineRule="exact"/>
        <w:rPr>
          <w:rFonts w:ascii="宋体" w:hAnsi="宋体" w:cs="宋体"/>
          <w:b/>
          <w:bCs/>
          <w:color w:val="000000"/>
          <w:sz w:val="28"/>
          <w:szCs w:val="28"/>
          <w:highlight w:val="none"/>
        </w:rPr>
      </w:pPr>
      <w:r>
        <w:rPr>
          <w:rFonts w:hint="eastAsia" w:ascii="宋体" w:hAnsi="宋体" w:eastAsia="宋体" w:cs="宋体"/>
          <w:b/>
          <w:bCs/>
          <w:color w:val="000000"/>
          <w:sz w:val="28"/>
          <w:szCs w:val="28"/>
          <w:highlight w:val="none"/>
          <w:lang w:eastAsia="zh-CN"/>
        </w:rPr>
        <w:t xml:space="preserve">（适用于第一、二标段）</w:t>
      </w:r>
      <w:r>
        <w:rPr>
          <w:rFonts w:ascii="宋体" w:hAnsi="宋体" w:cs="宋体"/>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85"/>
              <w:contextualSpacing w:val="0"/>
              <w:jc w:val="left"/>
              <w:keepLines w:val="0"/>
              <w:keepNext w:val="0"/>
              <w:pageBreakBefore w:val="0"/>
              <w:spacing w:before="0" w:after="0" w:line="402" w:lineRule="exact"/>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甲方（采购人）：</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85"/>
              <w:contextualSpacing w:val="0"/>
              <w:jc w:val="left"/>
              <w:keepLines w:val="0"/>
              <w:keepNext w:val="0"/>
              <w:pageBreakBefore w:val="0"/>
              <w:spacing w:before="0" w:after="0" w:line="402" w:lineRule="exact"/>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单位地址：</w:t>
            </w:r>
            <w:r>
              <w:rPr>
                <w:rFonts w:ascii="宋体" w:hAnsi="宋体" w:cs="宋体"/>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85"/>
              <w:contextualSpacing w:val="0"/>
              <w:jc w:val="left"/>
              <w:keepLines w:val="0"/>
              <w:keepNext w:val="0"/>
              <w:pageBreakBefore w:val="0"/>
              <w:spacing w:before="0" w:after="0" w:line="402" w:lineRule="exact"/>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乙方（供应商）：</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85"/>
              <w:contextualSpacing w:val="0"/>
              <w:jc w:val="left"/>
              <w:keepLines w:val="0"/>
              <w:keepNext w:val="0"/>
              <w:pageBreakBefore w:val="0"/>
              <w:spacing w:before="0" w:after="0" w:line="402" w:lineRule="exact"/>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单位地址：</w:t>
            </w:r>
            <w:r>
              <w:rPr>
                <w:rFonts w:ascii="宋体" w:hAnsi="宋体" w:cs="宋体"/>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85"/>
              <w:contextualSpacing w:val="0"/>
              <w:jc w:val="left"/>
              <w:keepLines w:val="0"/>
              <w:keepNext w:val="0"/>
              <w:pageBreakBefore w:val="0"/>
              <w:spacing w:before="0" w:after="0" w:line="402" w:lineRule="exact"/>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签订日期：</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85"/>
              <w:contextualSpacing w:val="0"/>
              <w:jc w:val="left"/>
              <w:keepLines w:val="0"/>
              <w:keepNext w:val="0"/>
              <w:pageBreakBefore w:val="0"/>
              <w:spacing w:before="0" w:after="0" w:line="402" w:lineRule="exact"/>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签订地点：</w:t>
            </w:r>
            <w:r>
              <w:rPr>
                <w:rFonts w:ascii="宋体" w:hAnsi="宋体" w:cs="宋体"/>
              </w:rPr>
            </w:r>
            <w:r/>
          </w:p>
        </w:tc>
      </w:tr>
    </w:tbl>
    <w:p>
      <w:pPr>
        <w:pStyle w:val="885"/>
        <w:contextualSpacing w:val="0"/>
        <w:ind w:firstLine="420"/>
        <w:jc w:val="left"/>
        <w:keepLines w:val="0"/>
        <w:keepNext w:val="0"/>
        <w:pageBreakBefore w:val="0"/>
        <w:spacing w:before="0" w:after="0" w:line="402" w:lineRule="exact"/>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依据甲方委托</w:t>
      </w:r>
      <w:r>
        <w:rPr>
          <w:rFonts w:hint="eastAsia" w:ascii="宋体" w:hAnsi="宋体" w:eastAsia="宋体" w:cs="宋体"/>
          <w:color w:val="000000"/>
          <w:sz w:val="21"/>
          <w:szCs w:val="21"/>
          <w:highlight w:val="none"/>
          <w:u w:val="single"/>
        </w:rPr>
        <w:t xml:space="preserve">苏州欣禾诚工程咨询服务有限公司</w:t>
      </w:r>
      <w:r>
        <w:rPr>
          <w:rFonts w:hint="eastAsia" w:ascii="宋体" w:hAnsi="宋体" w:eastAsia="宋体" w:cs="宋体"/>
          <w:color w:val="000000"/>
          <w:sz w:val="21"/>
          <w:szCs w:val="21"/>
          <w:highlight w:val="none"/>
        </w:rPr>
        <w:t xml:space="preserve">进行本项目即</w:t>
      </w:r>
      <w:r>
        <w:rPr>
          <w:rFonts w:hint="eastAsia" w:ascii="宋体" w:hAnsi="宋体" w:eastAsia="宋体" w:cs="宋体"/>
          <w:color w:val="000000"/>
          <w:sz w:val="21"/>
          <w:szCs w:val="21"/>
          <w:highlight w:val="none"/>
          <w:u w:val="single"/>
          <w:lang w:eastAsia="zh-CN"/>
        </w:rPr>
        <w:t xml:space="preserve">异地新建实训室设施设备采购项目</w:t>
      </w:r>
      <w:r>
        <w:rPr>
          <w:rFonts w:hint="eastAsia" w:ascii="宋体" w:hAnsi="宋体" w:eastAsia="宋体" w:cs="宋体"/>
          <w:color w:val="000000"/>
          <w:sz w:val="21"/>
          <w:szCs w:val="21"/>
          <w:highlight w:val="none"/>
          <w:u w:val="single"/>
        </w:rPr>
        <w:t xml:space="preserve">（招标编号：</w:t>
      </w:r>
      <w:r>
        <w:rPr>
          <w:rFonts w:hint="eastAsia" w:ascii="宋体" w:hAnsi="宋体" w:cs="宋体"/>
          <w:color w:val="000000"/>
          <w:sz w:val="21"/>
          <w:szCs w:val="21"/>
          <w:highlight w:val="none"/>
          <w:u w:val="single"/>
          <w:lang w:eastAsia="zh-CN"/>
        </w:rPr>
        <w:t xml:space="preserve">JSZC-320509-SXHC-G2026-0010</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政府采购的招标结果，确定乙方为本次</w:t>
      </w:r>
      <w:r>
        <w:rPr>
          <w:rFonts w:hint="eastAsia" w:ascii="宋体" w:hAnsi="宋体" w:eastAsia="宋体" w:cs="宋体"/>
          <w:color w:val="000000"/>
          <w:sz w:val="21"/>
          <w:szCs w:val="21"/>
          <w:highlight w:val="none"/>
          <w:lang w:eastAsia="zh-CN"/>
        </w:rPr>
        <w:t xml:space="preserve">第</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标段的</w:t>
      </w:r>
      <w:r>
        <w:rPr>
          <w:rFonts w:hint="eastAsia" w:ascii="宋体" w:hAnsi="宋体" w:eastAsia="宋体" w:cs="宋体"/>
          <w:color w:val="000000"/>
          <w:sz w:val="21"/>
          <w:szCs w:val="21"/>
          <w:highlight w:val="none"/>
        </w:rPr>
        <w:t xml:space="preserve">中标供应商，现依照招标文件、乙方的投标文件及相关文件的内容，签订本合同书。</w:t>
      </w:r>
      <w:r>
        <w:rPr>
          <w:rFonts w:ascii="宋体" w:hAnsi="宋体" w:cs="宋体"/>
        </w:rPr>
      </w:r>
      <w:r/>
    </w:p>
    <w:p>
      <w:pPr>
        <w:pStyle w:val="885"/>
        <w:numPr>
          <w:ilvl w:val="0"/>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合同标的物和合同价格</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1775"/>
        <w:gridCol w:w="2495"/>
        <w:gridCol w:w="1184"/>
        <w:gridCol w:w="1184"/>
        <w:gridCol w:w="1184"/>
        <w:gridCol w:w="1186"/>
      </w:tblGrid>
      <w:tr>
        <w:trPr>
          <w:trHeight w:val="340"/>
        </w:trPr>
        <w:tc>
          <w:tcPr>
            <w:tcW w:w="1092" w:type="dxa"/>
            <w:vAlign w:val="center"/>
            <w:textDirection w:val="lrTb"/>
            <w:noWrap w:val="false"/>
          </w:tcPr>
          <w:p>
            <w:pPr>
              <w:pStyle w:val="885"/>
              <w:contextualSpacing w:val="0"/>
              <w:jc w:val="left"/>
              <w:keepLines w:val="0"/>
              <w:keepNext w:val="0"/>
              <w:pageBreakBefore w:val="0"/>
              <w:spacing w:before="0" w:after="0" w:line="402" w:lineRule="exact"/>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序号</w:t>
            </w:r>
            <w:r>
              <w:rPr>
                <w:rFonts w:ascii="宋体" w:hAnsi="宋体" w:cs="宋体"/>
              </w:rPr>
            </w:r>
            <w:r/>
          </w:p>
        </w:tc>
        <w:tc>
          <w:tcPr>
            <w:tcW w:w="1775" w:type="dxa"/>
            <w:vAlign w:val="center"/>
            <w:textDirection w:val="lrTb"/>
            <w:noWrap w:val="false"/>
          </w:tcPr>
          <w:p>
            <w:pPr>
              <w:pStyle w:val="885"/>
              <w:contextualSpacing w:val="0"/>
              <w:jc w:val="left"/>
              <w:keepLines w:val="0"/>
              <w:keepNext w:val="0"/>
              <w:pageBreakBefore w:val="0"/>
              <w:spacing w:before="0" w:after="0" w:line="402" w:lineRule="exact"/>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货物名称</w:t>
            </w:r>
            <w:r>
              <w:rPr>
                <w:rFonts w:ascii="宋体" w:hAnsi="宋体" w:cs="宋体"/>
              </w:rPr>
            </w:r>
            <w:r/>
          </w:p>
        </w:tc>
        <w:tc>
          <w:tcPr>
            <w:tcW w:w="2495" w:type="dxa"/>
            <w:vAlign w:val="center"/>
            <w:textDirection w:val="lrTb"/>
            <w:noWrap w:val="false"/>
          </w:tcPr>
          <w:p>
            <w:pPr>
              <w:pStyle w:val="885"/>
              <w:contextualSpacing w:val="0"/>
              <w:jc w:val="left"/>
              <w:keepLines w:val="0"/>
              <w:keepNext w:val="0"/>
              <w:pageBreakBefore w:val="0"/>
              <w:spacing w:before="0" w:after="0" w:line="402" w:lineRule="exact"/>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品牌、规格、型号</w:t>
            </w:r>
            <w:r>
              <w:rPr>
                <w:rFonts w:ascii="宋体" w:hAnsi="宋体" w:cs="宋体"/>
              </w:rPr>
            </w:r>
            <w:r/>
          </w:p>
        </w:tc>
        <w:tc>
          <w:tcPr>
            <w:tcW w:w="1184" w:type="dxa"/>
            <w:vAlign w:val="center"/>
            <w:textDirection w:val="lrTb"/>
            <w:noWrap w:val="false"/>
          </w:tcPr>
          <w:p>
            <w:pPr>
              <w:pStyle w:val="885"/>
              <w:contextualSpacing w:val="0"/>
              <w:jc w:val="left"/>
              <w:keepLines w:val="0"/>
              <w:keepNext w:val="0"/>
              <w:pageBreakBefore w:val="0"/>
              <w:spacing w:before="0" w:after="0" w:line="402" w:lineRule="exact"/>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单位</w:t>
            </w:r>
            <w:r>
              <w:rPr>
                <w:rFonts w:ascii="宋体" w:hAnsi="宋体" w:cs="宋体"/>
              </w:rPr>
            </w:r>
            <w:r/>
          </w:p>
        </w:tc>
        <w:tc>
          <w:tcPr>
            <w:tcW w:w="1184" w:type="dxa"/>
            <w:vAlign w:val="center"/>
            <w:textDirection w:val="lrTb"/>
            <w:noWrap w:val="false"/>
          </w:tcPr>
          <w:p>
            <w:pPr>
              <w:pStyle w:val="885"/>
              <w:contextualSpacing w:val="0"/>
              <w:jc w:val="left"/>
              <w:keepLines w:val="0"/>
              <w:keepNext w:val="0"/>
              <w:pageBreakBefore w:val="0"/>
              <w:spacing w:before="0" w:after="0" w:line="402" w:lineRule="exact"/>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数量</w:t>
            </w:r>
            <w:r>
              <w:rPr>
                <w:rFonts w:ascii="宋体" w:hAnsi="宋体" w:cs="宋体"/>
              </w:rPr>
            </w:r>
            <w:r/>
          </w:p>
        </w:tc>
        <w:tc>
          <w:tcPr>
            <w:tcW w:w="1184" w:type="dxa"/>
            <w:vAlign w:val="center"/>
            <w:textDirection w:val="lrTb"/>
            <w:noWrap w:val="false"/>
          </w:tcPr>
          <w:p>
            <w:pPr>
              <w:pStyle w:val="885"/>
              <w:contextualSpacing w:val="0"/>
              <w:jc w:val="left"/>
              <w:keepLines w:val="0"/>
              <w:keepNext w:val="0"/>
              <w:pageBreakBefore w:val="0"/>
              <w:spacing w:before="0" w:after="0" w:line="402" w:lineRule="exact"/>
              <w:widowControl/>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单价</w:t>
            </w:r>
            <w:r>
              <w:rPr>
                <w:rFonts w:ascii="宋体" w:hAnsi="宋体" w:cs="宋体"/>
              </w:rPr>
            </w:r>
            <w:r/>
          </w:p>
        </w:tc>
        <w:tc>
          <w:tcPr>
            <w:tcW w:w="1186" w:type="dxa"/>
            <w:vAlign w:val="center"/>
            <w:textDirection w:val="lrTb"/>
            <w:noWrap w:val="false"/>
          </w:tcPr>
          <w:p>
            <w:pPr>
              <w:pStyle w:val="885"/>
              <w:contextualSpacing w:val="0"/>
              <w:jc w:val="left"/>
              <w:keepLines w:val="0"/>
              <w:keepNext w:val="0"/>
              <w:pageBreakBefore w:val="0"/>
              <w:spacing w:before="0" w:after="0" w:line="402" w:lineRule="exact"/>
              <w:widowControl/>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合价</w:t>
            </w:r>
            <w:r>
              <w:rPr>
                <w:rFonts w:ascii="宋体" w:hAnsi="宋体" w:cs="宋体"/>
              </w:rPr>
            </w:r>
            <w:r/>
          </w:p>
        </w:tc>
      </w:tr>
      <w:tr>
        <w:trPr>
          <w:trHeight w:val="340"/>
        </w:trPr>
        <w:tc>
          <w:tcPr>
            <w:tcW w:w="1092" w:type="dxa"/>
            <w:vAlign w:val="center"/>
            <w:textDirection w:val="lrTb"/>
            <w:noWrap w:val="false"/>
          </w:tcPr>
          <w:p>
            <w:pPr>
              <w:pStyle w:val="885"/>
              <w:contextualSpacing w:val="0"/>
              <w:jc w:val="left"/>
              <w:keepLines w:val="0"/>
              <w:keepNext w:val="0"/>
              <w:pageBreakBefore w:val="0"/>
              <w:spacing w:before="0" w:after="0" w:line="402" w:lineRule="exact"/>
              <w:rPr>
                <w:rFonts w:hint="eastAsia"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1</w:t>
            </w:r>
            <w:r>
              <w:rPr>
                <w:rFonts w:ascii="宋体" w:hAnsi="宋体" w:cs="宋体"/>
              </w:rPr>
            </w:r>
            <w:r/>
          </w:p>
        </w:tc>
        <w:tc>
          <w:tcPr>
            <w:tcW w:w="1775" w:type="dxa"/>
            <w:vAlign w:val="center"/>
            <w:textDirection w:val="lrTb"/>
            <w:noWrap w:val="false"/>
          </w:tcPr>
          <w:p>
            <w:pPr>
              <w:pStyle w:val="885"/>
              <w:contextualSpacing w:val="0"/>
              <w:jc w:val="left"/>
              <w:keepLines w:val="0"/>
              <w:keepNext w:val="0"/>
              <w:pageBreakBefore w:val="0"/>
              <w:spacing w:before="0" w:after="0" w:line="402" w:lineRule="exact"/>
              <w:rPr>
                <w:rFonts w:hint="eastAsia" w:ascii="宋体" w:hAnsi="宋体" w:cs="宋体"/>
                <w:color w:val="000000"/>
                <w:sz w:val="21"/>
                <w:szCs w:val="21"/>
                <w:highlight w:val="none"/>
              </w:rPr>
              <w:suppressLineNumbers w:val="0"/>
            </w:pPr>
            <w:r>
              <w:rPr>
                <w:rFonts w:hint="eastAsia" w:ascii="宋体" w:hAnsi="宋体" w:cs="宋体"/>
                <w:color w:val="000000"/>
                <w:sz w:val="21"/>
                <w:szCs w:val="21"/>
                <w:highlight w:val="none"/>
              </w:rPr>
            </w:r>
            <w:r>
              <w:rPr>
                <w:rFonts w:ascii="宋体" w:hAnsi="宋体" w:cs="宋体"/>
              </w:rPr>
            </w:r>
            <w:r/>
          </w:p>
        </w:tc>
        <w:tc>
          <w:tcPr>
            <w:tcW w:w="2495" w:type="dxa"/>
            <w:vAlign w:val="center"/>
            <w:textDirection w:val="lrTb"/>
            <w:noWrap w:val="false"/>
          </w:tcPr>
          <w:p>
            <w:pPr>
              <w:pStyle w:val="885"/>
              <w:contextualSpacing w:val="0"/>
              <w:jc w:val="left"/>
              <w:keepLines w:val="0"/>
              <w:keepNext w:val="0"/>
              <w:pageBreakBefore w:val="0"/>
              <w:spacing w:before="0" w:after="0" w:line="402" w:lineRule="exact"/>
              <w:rPr>
                <w:rFonts w:hint="eastAsia" w:ascii="宋体" w:hAnsi="宋体" w:cs="宋体"/>
                <w:color w:val="000000"/>
                <w:sz w:val="21"/>
                <w:szCs w:val="21"/>
                <w:highlight w:val="none"/>
              </w:rPr>
              <w:suppressLineNumbers w:val="0"/>
            </w:pPr>
            <w:r>
              <w:rPr>
                <w:rFonts w:hint="eastAsia" w:ascii="宋体" w:hAnsi="宋体" w:cs="宋体"/>
                <w:color w:val="000000"/>
                <w:sz w:val="21"/>
                <w:szCs w:val="21"/>
                <w:highlight w:val="none"/>
              </w:rPr>
            </w:r>
            <w:r>
              <w:rPr>
                <w:rFonts w:ascii="宋体" w:hAnsi="宋体" w:cs="宋体"/>
              </w:rPr>
            </w:r>
            <w:r/>
          </w:p>
        </w:tc>
        <w:tc>
          <w:tcPr>
            <w:tcW w:w="1184" w:type="dxa"/>
            <w:vAlign w:val="center"/>
            <w:textDirection w:val="lrTb"/>
            <w:noWrap w:val="false"/>
          </w:tcPr>
          <w:p>
            <w:pPr>
              <w:pStyle w:val="885"/>
              <w:contextualSpacing w:val="0"/>
              <w:jc w:val="left"/>
              <w:keepLines w:val="0"/>
              <w:keepNext w:val="0"/>
              <w:pageBreakBefore w:val="0"/>
              <w:spacing w:before="0" w:after="0" w:line="402" w:lineRule="exact"/>
              <w:rPr>
                <w:rFonts w:hint="eastAsia" w:ascii="宋体" w:hAnsi="宋体" w:cs="宋体"/>
                <w:color w:val="000000"/>
                <w:sz w:val="21"/>
                <w:szCs w:val="21"/>
                <w:highlight w:val="none"/>
              </w:rPr>
              <w:suppressLineNumbers w:val="0"/>
            </w:pPr>
            <w:r>
              <w:rPr>
                <w:rFonts w:hint="eastAsia" w:ascii="宋体" w:hAnsi="宋体" w:cs="宋体"/>
                <w:color w:val="000000"/>
                <w:sz w:val="21"/>
                <w:szCs w:val="21"/>
                <w:highlight w:val="none"/>
              </w:rPr>
            </w:r>
            <w:r>
              <w:rPr>
                <w:rFonts w:ascii="宋体" w:hAnsi="宋体" w:cs="宋体"/>
              </w:rPr>
            </w:r>
            <w:r/>
          </w:p>
        </w:tc>
        <w:tc>
          <w:tcPr>
            <w:tcW w:w="1184" w:type="dxa"/>
            <w:vAlign w:val="center"/>
            <w:textDirection w:val="lrTb"/>
            <w:noWrap w:val="false"/>
          </w:tcPr>
          <w:p>
            <w:pPr>
              <w:pStyle w:val="885"/>
              <w:contextualSpacing w:val="0"/>
              <w:jc w:val="left"/>
              <w:keepLines w:val="0"/>
              <w:keepNext w:val="0"/>
              <w:pageBreakBefore w:val="0"/>
              <w:spacing w:before="0" w:after="0" w:line="402" w:lineRule="exact"/>
              <w:rPr>
                <w:rFonts w:hint="eastAsia" w:ascii="宋体" w:hAnsi="宋体" w:cs="宋体"/>
                <w:color w:val="000000"/>
                <w:sz w:val="21"/>
                <w:szCs w:val="21"/>
                <w:highlight w:val="none"/>
              </w:rPr>
              <w:suppressLineNumbers w:val="0"/>
            </w:pPr>
            <w:r>
              <w:rPr>
                <w:rFonts w:hint="eastAsia" w:ascii="宋体" w:hAnsi="宋体" w:cs="宋体"/>
                <w:color w:val="000000"/>
                <w:sz w:val="21"/>
                <w:szCs w:val="21"/>
                <w:highlight w:val="none"/>
              </w:rPr>
            </w:r>
            <w:r>
              <w:rPr>
                <w:rFonts w:ascii="宋体" w:hAnsi="宋体" w:cs="宋体"/>
              </w:rPr>
            </w:r>
            <w:r/>
          </w:p>
        </w:tc>
        <w:tc>
          <w:tcPr>
            <w:tcW w:w="1184" w:type="dxa"/>
            <w:vAlign w:val="center"/>
            <w:textDirection w:val="lrTb"/>
            <w:noWrap w:val="false"/>
          </w:tcPr>
          <w:p>
            <w:pPr>
              <w:pStyle w:val="885"/>
              <w:contextualSpacing w:val="0"/>
              <w:jc w:val="left"/>
              <w:keepLines w:val="0"/>
              <w:keepNext w:val="0"/>
              <w:pageBreakBefore w:val="0"/>
              <w:spacing w:before="0" w:after="0" w:line="402" w:lineRule="exact"/>
              <w:widowControl/>
              <w:rPr>
                <w:rFonts w:hint="eastAsia" w:ascii="宋体" w:hAnsi="宋体" w:cs="宋体"/>
                <w:color w:val="000000"/>
                <w:sz w:val="21"/>
                <w:szCs w:val="21"/>
                <w:highlight w:val="none"/>
              </w:rPr>
              <w:suppressLineNumbers w:val="0"/>
            </w:pPr>
            <w:r>
              <w:rPr>
                <w:rFonts w:hint="eastAsia" w:ascii="宋体" w:hAnsi="宋体" w:cs="宋体"/>
                <w:color w:val="000000"/>
                <w:sz w:val="21"/>
                <w:szCs w:val="21"/>
                <w:highlight w:val="none"/>
              </w:rPr>
            </w:r>
            <w:r>
              <w:rPr>
                <w:rFonts w:ascii="宋体" w:hAnsi="宋体" w:cs="宋体"/>
              </w:rPr>
            </w:r>
            <w:r/>
          </w:p>
        </w:tc>
        <w:tc>
          <w:tcPr>
            <w:tcW w:w="1186" w:type="dxa"/>
            <w:vAlign w:val="center"/>
            <w:textDirection w:val="lrTb"/>
            <w:noWrap w:val="false"/>
          </w:tcPr>
          <w:p>
            <w:pPr>
              <w:pStyle w:val="885"/>
              <w:contextualSpacing w:val="0"/>
              <w:jc w:val="left"/>
              <w:keepLines w:val="0"/>
              <w:keepNext w:val="0"/>
              <w:pageBreakBefore w:val="0"/>
              <w:spacing w:before="0" w:after="0" w:line="402" w:lineRule="exact"/>
              <w:widowControl/>
              <w:rPr>
                <w:rFonts w:hint="eastAsia" w:ascii="宋体" w:hAnsi="宋体" w:cs="宋体"/>
                <w:color w:val="000000"/>
                <w:sz w:val="21"/>
                <w:szCs w:val="21"/>
                <w:highlight w:val="none"/>
              </w:rPr>
              <w:suppressLineNumbers w:val="0"/>
            </w:pPr>
            <w:r>
              <w:rPr>
                <w:rFonts w:hint="eastAsia" w:ascii="宋体" w:hAnsi="宋体" w:cs="宋体"/>
                <w:color w:val="000000"/>
                <w:sz w:val="21"/>
                <w:szCs w:val="21"/>
                <w:highlight w:val="none"/>
              </w:rPr>
            </w:r>
            <w:r>
              <w:rPr>
                <w:rFonts w:ascii="宋体" w:hAnsi="宋体" w:cs="宋体"/>
              </w:rPr>
            </w:r>
            <w:r/>
          </w:p>
        </w:tc>
      </w:tr>
      <w:tr>
        <w:trPr>
          <w:trHeight w:val="340"/>
        </w:trPr>
        <w:tc>
          <w:tcPr>
            <w:tcW w:w="1092" w:type="dxa"/>
            <w:vAlign w:val="center"/>
            <w:textDirection w:val="lrTb"/>
            <w:noWrap w:val="false"/>
          </w:tcPr>
          <w:p>
            <w:pPr>
              <w:pStyle w:val="885"/>
              <w:contextualSpacing w:val="0"/>
              <w:jc w:val="left"/>
              <w:keepLines w:val="0"/>
              <w:keepNext w:val="0"/>
              <w:pageBreakBefore w:val="0"/>
              <w:spacing w:before="0" w:after="0" w:line="402" w:lineRule="exact"/>
              <w:rPr>
                <w:rFonts w:hint="eastAsia"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2</w:t>
            </w:r>
            <w:r>
              <w:rPr>
                <w:rFonts w:ascii="宋体" w:hAnsi="宋体" w:cs="宋体"/>
              </w:rPr>
            </w:r>
            <w:r/>
          </w:p>
        </w:tc>
        <w:tc>
          <w:tcPr>
            <w:tcW w:w="1775" w:type="dxa"/>
            <w:vAlign w:val="center"/>
            <w:textDirection w:val="lrTb"/>
            <w:noWrap w:val="false"/>
          </w:tcPr>
          <w:p>
            <w:pPr>
              <w:pStyle w:val="885"/>
              <w:contextualSpacing w:val="0"/>
              <w:jc w:val="left"/>
              <w:keepLines w:val="0"/>
              <w:keepNext w:val="0"/>
              <w:pageBreakBefore w:val="0"/>
              <w:spacing w:before="0" w:after="0" w:line="402" w:lineRule="exact"/>
              <w:rPr>
                <w:rFonts w:hint="eastAsia" w:ascii="宋体" w:hAnsi="宋体" w:cs="宋体"/>
                <w:color w:val="000000"/>
                <w:sz w:val="21"/>
                <w:szCs w:val="21"/>
                <w:highlight w:val="none"/>
              </w:rPr>
              <w:suppressLineNumbers w:val="0"/>
            </w:pPr>
            <w:r>
              <w:rPr>
                <w:rFonts w:hint="eastAsia" w:ascii="宋体" w:hAnsi="宋体" w:cs="宋体"/>
                <w:color w:val="000000"/>
                <w:sz w:val="21"/>
                <w:szCs w:val="21"/>
                <w:highlight w:val="none"/>
              </w:rPr>
            </w:r>
            <w:r>
              <w:rPr>
                <w:rFonts w:ascii="宋体" w:hAnsi="宋体" w:cs="宋体"/>
              </w:rPr>
            </w:r>
            <w:r/>
          </w:p>
        </w:tc>
        <w:tc>
          <w:tcPr>
            <w:tcW w:w="2495" w:type="dxa"/>
            <w:vAlign w:val="center"/>
            <w:textDirection w:val="lrTb"/>
            <w:noWrap w:val="false"/>
          </w:tcPr>
          <w:p>
            <w:pPr>
              <w:pStyle w:val="885"/>
              <w:contextualSpacing w:val="0"/>
              <w:jc w:val="left"/>
              <w:keepLines w:val="0"/>
              <w:keepNext w:val="0"/>
              <w:pageBreakBefore w:val="0"/>
              <w:spacing w:before="0" w:after="0" w:line="402" w:lineRule="exact"/>
              <w:rPr>
                <w:rFonts w:hint="eastAsia" w:ascii="宋体" w:hAnsi="宋体" w:cs="宋体"/>
                <w:color w:val="000000"/>
                <w:sz w:val="21"/>
                <w:szCs w:val="21"/>
                <w:highlight w:val="none"/>
              </w:rPr>
              <w:suppressLineNumbers w:val="0"/>
            </w:pPr>
            <w:r>
              <w:rPr>
                <w:rFonts w:hint="eastAsia" w:ascii="宋体" w:hAnsi="宋体" w:cs="宋体"/>
                <w:color w:val="000000"/>
                <w:sz w:val="21"/>
                <w:szCs w:val="21"/>
                <w:highlight w:val="none"/>
              </w:rPr>
            </w:r>
            <w:r>
              <w:rPr>
                <w:rFonts w:ascii="宋体" w:hAnsi="宋体" w:cs="宋体"/>
              </w:rPr>
            </w:r>
            <w:r/>
          </w:p>
        </w:tc>
        <w:tc>
          <w:tcPr>
            <w:tcW w:w="1184" w:type="dxa"/>
            <w:vAlign w:val="center"/>
            <w:textDirection w:val="lrTb"/>
            <w:noWrap w:val="false"/>
          </w:tcPr>
          <w:p>
            <w:pPr>
              <w:pStyle w:val="885"/>
              <w:contextualSpacing w:val="0"/>
              <w:jc w:val="left"/>
              <w:keepLines w:val="0"/>
              <w:keepNext w:val="0"/>
              <w:pageBreakBefore w:val="0"/>
              <w:spacing w:before="0" w:after="0" w:line="402" w:lineRule="exact"/>
              <w:rPr>
                <w:rFonts w:hint="eastAsia" w:ascii="宋体" w:hAnsi="宋体" w:cs="宋体"/>
                <w:color w:val="000000"/>
                <w:sz w:val="21"/>
                <w:szCs w:val="21"/>
                <w:highlight w:val="none"/>
              </w:rPr>
              <w:suppressLineNumbers w:val="0"/>
            </w:pPr>
            <w:r>
              <w:rPr>
                <w:rFonts w:hint="eastAsia" w:ascii="宋体" w:hAnsi="宋体" w:cs="宋体"/>
                <w:color w:val="000000"/>
                <w:sz w:val="21"/>
                <w:szCs w:val="21"/>
                <w:highlight w:val="none"/>
              </w:rPr>
            </w:r>
            <w:r>
              <w:rPr>
                <w:rFonts w:ascii="宋体" w:hAnsi="宋体" w:cs="宋体"/>
              </w:rPr>
            </w:r>
            <w:r/>
          </w:p>
        </w:tc>
        <w:tc>
          <w:tcPr>
            <w:tcW w:w="1184" w:type="dxa"/>
            <w:vAlign w:val="center"/>
            <w:textDirection w:val="lrTb"/>
            <w:noWrap w:val="false"/>
          </w:tcPr>
          <w:p>
            <w:pPr>
              <w:pStyle w:val="885"/>
              <w:contextualSpacing w:val="0"/>
              <w:jc w:val="left"/>
              <w:keepLines w:val="0"/>
              <w:keepNext w:val="0"/>
              <w:pageBreakBefore w:val="0"/>
              <w:spacing w:before="0" w:after="0" w:line="402" w:lineRule="exact"/>
              <w:rPr>
                <w:rFonts w:hint="eastAsia" w:ascii="宋体" w:hAnsi="宋体" w:cs="宋体"/>
                <w:color w:val="000000"/>
                <w:sz w:val="21"/>
                <w:szCs w:val="21"/>
                <w:highlight w:val="none"/>
              </w:rPr>
              <w:suppressLineNumbers w:val="0"/>
            </w:pPr>
            <w:r>
              <w:rPr>
                <w:rFonts w:hint="eastAsia" w:ascii="宋体" w:hAnsi="宋体" w:cs="宋体"/>
                <w:color w:val="000000"/>
                <w:sz w:val="21"/>
                <w:szCs w:val="21"/>
                <w:highlight w:val="none"/>
              </w:rPr>
            </w:r>
            <w:r>
              <w:rPr>
                <w:rFonts w:ascii="宋体" w:hAnsi="宋体" w:cs="宋体"/>
              </w:rPr>
            </w:r>
            <w:r/>
          </w:p>
        </w:tc>
        <w:tc>
          <w:tcPr>
            <w:tcW w:w="1184" w:type="dxa"/>
            <w:vAlign w:val="center"/>
            <w:textDirection w:val="lrTb"/>
            <w:noWrap w:val="false"/>
          </w:tcPr>
          <w:p>
            <w:pPr>
              <w:pStyle w:val="885"/>
              <w:contextualSpacing w:val="0"/>
              <w:jc w:val="left"/>
              <w:keepLines w:val="0"/>
              <w:keepNext w:val="0"/>
              <w:pageBreakBefore w:val="0"/>
              <w:spacing w:before="0" w:after="0" w:line="402" w:lineRule="exact"/>
              <w:widowControl/>
              <w:rPr>
                <w:rFonts w:hint="eastAsia" w:ascii="宋体" w:hAnsi="宋体" w:cs="宋体"/>
                <w:color w:val="000000"/>
                <w:sz w:val="21"/>
                <w:szCs w:val="21"/>
                <w:highlight w:val="none"/>
              </w:rPr>
              <w:suppressLineNumbers w:val="0"/>
            </w:pPr>
            <w:r>
              <w:rPr>
                <w:rFonts w:hint="eastAsia" w:ascii="宋体" w:hAnsi="宋体" w:cs="宋体"/>
                <w:color w:val="000000"/>
                <w:sz w:val="21"/>
                <w:szCs w:val="21"/>
                <w:highlight w:val="none"/>
              </w:rPr>
            </w:r>
            <w:r>
              <w:rPr>
                <w:rFonts w:ascii="宋体" w:hAnsi="宋体" w:cs="宋体"/>
              </w:rPr>
            </w:r>
            <w:r/>
          </w:p>
        </w:tc>
        <w:tc>
          <w:tcPr>
            <w:tcW w:w="1186" w:type="dxa"/>
            <w:vAlign w:val="center"/>
            <w:textDirection w:val="lrTb"/>
            <w:noWrap w:val="false"/>
          </w:tcPr>
          <w:p>
            <w:pPr>
              <w:pStyle w:val="885"/>
              <w:contextualSpacing w:val="0"/>
              <w:jc w:val="left"/>
              <w:keepLines w:val="0"/>
              <w:keepNext w:val="0"/>
              <w:pageBreakBefore w:val="0"/>
              <w:spacing w:before="0" w:after="0" w:line="402" w:lineRule="exact"/>
              <w:widowControl/>
              <w:rPr>
                <w:rFonts w:hint="eastAsia" w:ascii="宋体" w:hAnsi="宋体" w:cs="宋体"/>
                <w:color w:val="000000"/>
                <w:sz w:val="21"/>
                <w:szCs w:val="21"/>
                <w:highlight w:val="none"/>
              </w:rPr>
              <w:suppressLineNumbers w:val="0"/>
            </w:pPr>
            <w:r>
              <w:rPr>
                <w:rFonts w:hint="eastAsia" w:ascii="宋体" w:hAnsi="宋体" w:cs="宋体"/>
                <w:color w:val="000000"/>
                <w:sz w:val="21"/>
                <w:szCs w:val="21"/>
                <w:highlight w:val="none"/>
              </w:rPr>
            </w:r>
            <w:r>
              <w:rPr>
                <w:rFonts w:ascii="宋体" w:hAnsi="宋体" w:cs="宋体"/>
              </w:rPr>
            </w:r>
            <w:r/>
          </w:p>
        </w:tc>
      </w:tr>
      <w:tr>
        <w:trPr>
          <w:trHeight w:val="340"/>
        </w:trPr>
        <w:tc>
          <w:tcPr>
            <w:tcW w:w="1092" w:type="dxa"/>
            <w:vAlign w:val="center"/>
            <w:textDirection w:val="lrTb"/>
            <w:noWrap w:val="false"/>
          </w:tcPr>
          <w:p>
            <w:pPr>
              <w:pStyle w:val="885"/>
              <w:contextualSpacing w:val="0"/>
              <w:jc w:val="left"/>
              <w:keepLines w:val="0"/>
              <w:keepNext w:val="0"/>
              <w:pageBreakBefore w:val="0"/>
              <w:spacing w:before="0" w:after="0" w:line="402" w:lineRule="exact"/>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w:t>
            </w:r>
            <w:r>
              <w:rPr>
                <w:rFonts w:ascii="宋体" w:hAnsi="宋体" w:cs="宋体"/>
              </w:rPr>
            </w:r>
            <w:r/>
          </w:p>
        </w:tc>
        <w:tc>
          <w:tcPr>
            <w:tcW w:w="1775" w:type="dxa"/>
            <w:vAlign w:val="center"/>
            <w:textDirection w:val="lrTb"/>
            <w:noWrap w:val="false"/>
          </w:tcPr>
          <w:p>
            <w:pPr>
              <w:pStyle w:val="885"/>
              <w:contextualSpacing w:val="0"/>
              <w:jc w:val="left"/>
              <w:keepLines w:val="0"/>
              <w:keepNext w:val="0"/>
              <w:pageBreakBefore w:val="0"/>
              <w:spacing w:before="0" w:after="0" w:line="402" w:lineRule="exact"/>
              <w:rPr>
                <w:rFonts w:hint="eastAsia" w:ascii="宋体" w:hAnsi="宋体" w:cs="宋体"/>
                <w:color w:val="000000"/>
                <w:sz w:val="21"/>
                <w:szCs w:val="21"/>
                <w:highlight w:val="none"/>
              </w:rPr>
              <w:suppressLineNumbers w:val="0"/>
            </w:pPr>
            <w:r>
              <w:rPr>
                <w:rFonts w:hint="eastAsia" w:ascii="宋体" w:hAnsi="宋体" w:cs="宋体"/>
                <w:color w:val="000000"/>
                <w:sz w:val="21"/>
                <w:szCs w:val="21"/>
                <w:highlight w:val="none"/>
              </w:rPr>
            </w:r>
            <w:r>
              <w:rPr>
                <w:rFonts w:ascii="宋体" w:hAnsi="宋体" w:cs="宋体"/>
              </w:rPr>
            </w:r>
            <w:r/>
          </w:p>
        </w:tc>
        <w:tc>
          <w:tcPr>
            <w:tcW w:w="2495" w:type="dxa"/>
            <w:vAlign w:val="center"/>
            <w:textDirection w:val="lrTb"/>
            <w:noWrap w:val="false"/>
          </w:tcPr>
          <w:p>
            <w:pPr>
              <w:pStyle w:val="885"/>
              <w:contextualSpacing w:val="0"/>
              <w:jc w:val="left"/>
              <w:keepLines w:val="0"/>
              <w:keepNext w:val="0"/>
              <w:pageBreakBefore w:val="0"/>
              <w:spacing w:before="0" w:after="0" w:line="402" w:lineRule="exact"/>
              <w:rPr>
                <w:rFonts w:hint="eastAsia" w:ascii="宋体" w:hAnsi="宋体" w:cs="宋体"/>
                <w:color w:val="000000"/>
                <w:sz w:val="21"/>
                <w:szCs w:val="21"/>
                <w:highlight w:val="none"/>
              </w:rPr>
              <w:suppressLineNumbers w:val="0"/>
            </w:pPr>
            <w:r>
              <w:rPr>
                <w:rFonts w:hint="eastAsia" w:ascii="宋体" w:hAnsi="宋体" w:cs="宋体"/>
                <w:color w:val="000000"/>
                <w:sz w:val="21"/>
                <w:szCs w:val="21"/>
                <w:highlight w:val="none"/>
              </w:rPr>
            </w:r>
            <w:r>
              <w:rPr>
                <w:rFonts w:ascii="宋体" w:hAnsi="宋体" w:cs="宋体"/>
              </w:rPr>
            </w:r>
            <w:r/>
          </w:p>
        </w:tc>
        <w:tc>
          <w:tcPr>
            <w:tcW w:w="1184" w:type="dxa"/>
            <w:vAlign w:val="center"/>
            <w:textDirection w:val="lrTb"/>
            <w:noWrap w:val="false"/>
          </w:tcPr>
          <w:p>
            <w:pPr>
              <w:pStyle w:val="885"/>
              <w:contextualSpacing w:val="0"/>
              <w:jc w:val="left"/>
              <w:keepLines w:val="0"/>
              <w:keepNext w:val="0"/>
              <w:pageBreakBefore w:val="0"/>
              <w:spacing w:before="0" w:after="0" w:line="402" w:lineRule="exact"/>
              <w:rPr>
                <w:rFonts w:hint="eastAsia" w:ascii="宋体" w:hAnsi="宋体" w:cs="宋体"/>
                <w:color w:val="000000"/>
                <w:sz w:val="21"/>
                <w:szCs w:val="21"/>
                <w:highlight w:val="none"/>
              </w:rPr>
              <w:suppressLineNumbers w:val="0"/>
            </w:pPr>
            <w:r>
              <w:rPr>
                <w:rFonts w:hint="eastAsia" w:ascii="宋体" w:hAnsi="宋体" w:cs="宋体"/>
                <w:color w:val="000000"/>
                <w:sz w:val="21"/>
                <w:szCs w:val="21"/>
                <w:highlight w:val="none"/>
              </w:rPr>
            </w:r>
            <w:r>
              <w:rPr>
                <w:rFonts w:ascii="宋体" w:hAnsi="宋体" w:cs="宋体"/>
              </w:rPr>
            </w:r>
            <w:r/>
          </w:p>
        </w:tc>
        <w:tc>
          <w:tcPr>
            <w:tcW w:w="1184" w:type="dxa"/>
            <w:vAlign w:val="center"/>
            <w:textDirection w:val="lrTb"/>
            <w:noWrap w:val="false"/>
          </w:tcPr>
          <w:p>
            <w:pPr>
              <w:pStyle w:val="885"/>
              <w:contextualSpacing w:val="0"/>
              <w:jc w:val="left"/>
              <w:keepLines w:val="0"/>
              <w:keepNext w:val="0"/>
              <w:pageBreakBefore w:val="0"/>
              <w:spacing w:before="0" w:after="0" w:line="402" w:lineRule="exact"/>
              <w:rPr>
                <w:rFonts w:hint="eastAsia" w:ascii="宋体" w:hAnsi="宋体" w:cs="宋体"/>
                <w:color w:val="000000"/>
                <w:sz w:val="21"/>
                <w:szCs w:val="21"/>
                <w:highlight w:val="none"/>
              </w:rPr>
              <w:suppressLineNumbers w:val="0"/>
            </w:pPr>
            <w:r>
              <w:rPr>
                <w:rFonts w:hint="eastAsia" w:ascii="宋体" w:hAnsi="宋体" w:cs="宋体"/>
                <w:color w:val="000000"/>
                <w:sz w:val="21"/>
                <w:szCs w:val="21"/>
                <w:highlight w:val="none"/>
              </w:rPr>
            </w:r>
            <w:r>
              <w:rPr>
                <w:rFonts w:ascii="宋体" w:hAnsi="宋体" w:cs="宋体"/>
              </w:rPr>
            </w:r>
            <w:r/>
          </w:p>
        </w:tc>
        <w:tc>
          <w:tcPr>
            <w:tcW w:w="1184" w:type="dxa"/>
            <w:vAlign w:val="center"/>
            <w:textDirection w:val="lrTb"/>
            <w:noWrap w:val="false"/>
          </w:tcPr>
          <w:p>
            <w:pPr>
              <w:pStyle w:val="885"/>
              <w:contextualSpacing w:val="0"/>
              <w:jc w:val="left"/>
              <w:keepLines w:val="0"/>
              <w:keepNext w:val="0"/>
              <w:pageBreakBefore w:val="0"/>
              <w:spacing w:before="0" w:after="0" w:line="402" w:lineRule="exact"/>
              <w:widowControl/>
              <w:rPr>
                <w:rFonts w:hint="eastAsia" w:ascii="宋体" w:hAnsi="宋体" w:cs="宋体"/>
                <w:color w:val="000000"/>
                <w:sz w:val="21"/>
                <w:szCs w:val="21"/>
                <w:highlight w:val="none"/>
              </w:rPr>
              <w:suppressLineNumbers w:val="0"/>
            </w:pPr>
            <w:r>
              <w:rPr>
                <w:rFonts w:hint="eastAsia" w:ascii="宋体" w:hAnsi="宋体" w:cs="宋体"/>
                <w:color w:val="000000"/>
                <w:sz w:val="21"/>
                <w:szCs w:val="21"/>
                <w:highlight w:val="none"/>
              </w:rPr>
            </w:r>
            <w:r>
              <w:rPr>
                <w:rFonts w:ascii="宋体" w:hAnsi="宋体" w:cs="宋体"/>
              </w:rPr>
            </w:r>
            <w:r/>
          </w:p>
        </w:tc>
        <w:tc>
          <w:tcPr>
            <w:tcW w:w="1186" w:type="dxa"/>
            <w:vAlign w:val="center"/>
            <w:textDirection w:val="lrTb"/>
            <w:noWrap w:val="false"/>
          </w:tcPr>
          <w:p>
            <w:pPr>
              <w:pStyle w:val="885"/>
              <w:contextualSpacing w:val="0"/>
              <w:jc w:val="left"/>
              <w:keepLines w:val="0"/>
              <w:keepNext w:val="0"/>
              <w:pageBreakBefore w:val="0"/>
              <w:spacing w:before="0" w:after="0" w:line="402" w:lineRule="exact"/>
              <w:widowControl/>
              <w:rPr>
                <w:rFonts w:hint="eastAsia" w:ascii="宋体" w:hAnsi="宋体" w:cs="宋体"/>
                <w:color w:val="000000"/>
                <w:sz w:val="21"/>
                <w:szCs w:val="21"/>
                <w:highlight w:val="none"/>
              </w:rPr>
              <w:suppressLineNumbers w:val="0"/>
            </w:pPr>
            <w:r>
              <w:rPr>
                <w:rFonts w:hint="eastAsia" w:ascii="宋体" w:hAnsi="宋体" w:cs="宋体"/>
                <w:color w:val="000000"/>
                <w:sz w:val="21"/>
                <w:szCs w:val="21"/>
                <w:highlight w:val="none"/>
              </w:rPr>
            </w:r>
            <w:r>
              <w:rPr>
                <w:rFonts w:ascii="宋体" w:hAnsi="宋体" w:cs="宋体"/>
              </w:rPr>
            </w:r>
            <w:r/>
          </w:p>
        </w:tc>
      </w:tr>
      <w:tr>
        <w:trPr>
          <w:trHeight w:val="340"/>
        </w:trPr>
        <w:tc>
          <w:tcPr>
            <w:gridSpan w:val="7"/>
            <w:tcW w:w="10100" w:type="dxa"/>
            <w:vAlign w:val="center"/>
            <w:textDirection w:val="lrTb"/>
            <w:noWrap w:val="false"/>
          </w:tcPr>
          <w:p>
            <w:pPr>
              <w:pStyle w:val="885"/>
              <w:contextualSpacing w:val="0"/>
              <w:jc w:val="left"/>
              <w:keepLines w:val="0"/>
              <w:keepNext w:val="0"/>
              <w:pageBreakBefore w:val="0"/>
              <w:spacing w:before="0" w:after="0" w:line="402" w:lineRule="exact"/>
              <w:widowControl/>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合同价格（大写）人民币</w:t>
            </w: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圆整；               （小写）¥</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.00</w:t>
            </w:r>
            <w:r>
              <w:rPr>
                <w:rFonts w:ascii="宋体" w:hAnsi="宋体" w:cs="宋体"/>
              </w:rPr>
            </w:r>
            <w:r/>
          </w:p>
        </w:tc>
      </w:tr>
    </w:tbl>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本合同价格</w:t>
      </w:r>
      <w:r>
        <w:rPr>
          <w:rFonts w:hint="eastAsia" w:ascii="宋体" w:hAnsi="宋体" w:eastAsia="宋体" w:cs="宋体"/>
          <w:color w:val="000000"/>
          <w:sz w:val="21"/>
          <w:szCs w:val="21"/>
          <w:highlight w:val="none"/>
        </w:rPr>
        <w:t xml:space="preserve">包含但不限于人工、材料、机械费、设备生产制造、运输仓储、安装调试、系统对接、设备迁移（若涉及）、技术培训、税费、售后服务、质保期内所有费用及供应商企业利润、税金、政策性文件规定、合同包含的所有风险与责任等产生的一切费用。</w:t>
      </w:r>
      <w:r>
        <w:rPr>
          <w:rFonts w:hint="eastAsia" w:ascii="宋体" w:hAnsi="宋体" w:eastAsia="宋体" w:cs="宋体"/>
          <w:color w:val="000000"/>
          <w:sz w:val="21"/>
          <w:szCs w:val="21"/>
          <w:highlight w:val="none"/>
        </w:rPr>
        <w:t xml:space="preserve">甲方不再另行支付费用。</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根据现行税法对甲方征收的与本合同有关的一切税费均由甲方承担；根据现行税法对乙方征收的与本合同有关的一切税费均由乙方承担。</w:t>
      </w:r>
      <w:r>
        <w:rPr>
          <w:rFonts w:ascii="宋体" w:hAnsi="宋体" w:cs="宋体"/>
        </w:rPr>
      </w:r>
      <w:r/>
    </w:p>
    <w:p>
      <w:pPr>
        <w:pStyle w:val="885"/>
        <w:numPr>
          <w:ilvl w:val="0"/>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交付时间：</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交付期限：自合同签订生效之日起45日历天内，完成全部实训设备的供货、安装、调试工作，具体实施进度服从</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统一安排。</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交付地点：甲方指定地点。乙方交货至甲方指定地点，所发生的运输等费用及货物的损坏造成的损失由乙方承担。</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标的物的所有权自标的物交付时转移。</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ascii="宋体" w:hAnsi="宋体" w:cs="宋体"/>
        </w:rPr>
      </w:r>
      <w:r/>
    </w:p>
    <w:p>
      <w:pPr>
        <w:pStyle w:val="885"/>
        <w:numPr>
          <w:ilvl w:val="0"/>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技术规范</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所提供货物的生产、制造、安装等各项技术标准，应当符合国家（强制性）标准、各项规范要求；国家没有相应标准、规范的，可使用行业标准、规定；非标设备按约定的技术要求和规范。</w:t>
      </w:r>
      <w:r>
        <w:rPr>
          <w:rFonts w:ascii="宋体" w:hAnsi="宋体" w:cs="宋体"/>
        </w:rPr>
      </w:r>
      <w:r/>
    </w:p>
    <w:p>
      <w:pPr>
        <w:pStyle w:val="885"/>
        <w:numPr>
          <w:ilvl w:val="0"/>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质量要求</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所提供货物是全新的、未使用过的、原包装未拆封的商品，完全符合采购设备规定的质量、规格和性能的要求，产品配置必须原厂出厂时全部自带，所有设备外包装箱不得自行拆封，包装箱上所有标签等不得涂改或撕毁，除有特殊要求外，其余均为标准配置，否则甲方有权拒绝验收。</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乙方保证所提供材料涉及到的知识产权和所提供的软件、技术资料是合法取得，并享有完整的知识产权，不会因为甲方的使用而被责令停止使用、追偿或要求赔偿损失，如出现此情况，一切经济和法律责任均由乙方承担。乙方提供的所有材料必须为合格产品，质量符合相关标准和要求（若</w:t>
      </w:r>
      <w:r>
        <w:rPr>
          <w:rFonts w:hint="eastAsia" w:ascii="宋体" w:hAnsi="宋体" w:eastAsia="宋体" w:cs="宋体"/>
          <w:color w:val="000000"/>
          <w:sz w:val="21"/>
          <w:szCs w:val="21"/>
          <w:highlight w:val="none"/>
        </w:rPr>
        <w:t xml:space="preserve">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所有材料必须符合实际需求，满足采购技术要求部分所规定的全部功能。如材料出现质量问题或系假冒伪劣产品，乙方负责包退、包换。</w:t>
      </w:r>
      <w:r>
        <w:rPr>
          <w:rFonts w:ascii="宋体" w:hAnsi="宋体" w:cs="宋体"/>
        </w:rPr>
      </w:r>
      <w:r/>
    </w:p>
    <w:p>
      <w:pPr>
        <w:pStyle w:val="885"/>
        <w:numPr>
          <w:ilvl w:val="0"/>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验收</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验收标准：乙方提供的货物必须符合我国最新颁布的与之相关的技术规范与标准，同时必须满足招标文件中所列规格、具体配置、技术条件及功能要求和乙方承诺的</w:t>
      </w:r>
      <w:r>
        <w:rPr>
          <w:rFonts w:hint="eastAsia" w:ascii="宋体" w:hAnsi="宋体" w:eastAsia="宋体" w:cs="宋体"/>
          <w:color w:val="000000"/>
          <w:sz w:val="21"/>
          <w:szCs w:val="21"/>
          <w:highlight w:val="none"/>
          <w:lang w:eastAsia="zh-CN"/>
        </w:rPr>
        <w:t xml:space="preserve">其他指标</w:t>
      </w:r>
      <w:r>
        <w:rPr>
          <w:rFonts w:hint="eastAsia" w:ascii="宋体" w:hAnsi="宋体" w:eastAsia="宋体" w:cs="宋体"/>
          <w:color w:val="000000"/>
          <w:sz w:val="21"/>
          <w:szCs w:val="21"/>
          <w:highlight w:val="none"/>
        </w:rPr>
        <w:t xml:space="preserve">。</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根据甲方检验的结果或当地技监部门的检验结果，或者在质量保证期内，如果标的物的数量、质量或规格与合同不符或证实标的物是具有缺陷的，包括潜在缺陷或使用不符合要求的材料等，甲方应尽快以书面形式通知乙方并提出索赔。</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在交货时必须原包装现场拆封验收，由甲方以及乙方共同对标的物的质量、规格、性能、数量、外观、随机备件备品、装箱单、随机资料、包装等进行详细而全面的检验，并出具一份检验合格证明，合格检验证明作为甲方验收的依据，但不能作为有关标的物质量、规格、数量或性能的最终检验结果。</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甲方根据合同规定的内容和验收标准进行验收，验收合格须满足以下条件：提供合同全部产品和相关资料；提交全部文档，如技术文档、实施文档、用户使用和操作手册等；安装调试和试运行期间出现的问题均已被解决；甲方出具的可正常运转的验收文件。</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验收期限为货到安装调试完成后7个工作日内。特殊情况需延长的，双方应特别约定。</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验收结果经双方确认后，双方代表须按规定的验收项目对照本合同填好验收结果并签名盖章。如双方对验收结果有分歧，则以第三方法定检测资格检测机构的检验结果为准，检验费由有过失的一方支付。</w:t>
      </w:r>
      <w:r>
        <w:rPr>
          <w:rFonts w:ascii="宋体" w:hAnsi="宋体" w:cs="宋体"/>
        </w:rPr>
      </w:r>
      <w:r/>
    </w:p>
    <w:p>
      <w:pPr>
        <w:pStyle w:val="885"/>
        <w:numPr>
          <w:ilvl w:val="0"/>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合同价格支付</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付款步骤：合同签订生效后，甲方向乙方支付合同价款的30%；全部货物到达指定现场并验收合格后，甲方向乙方付至合同价款的60%；所有设备安装调试完毕且整体验收合格后，甲方向乙方付至合同价款的80%；项目审计结束后，甲方向乙方付至结算审定价的90%；审计结束满一年后，经甲方确认无质量及服务问题，甲方向乙方付至结算审定价的95%；免费质保期满且确认无质量缺陷后，甲方向乙方一次性付清结算审定价剩余5%款项。甲方可根据项目实际推进情况，调整付款比例和付款时间节点，调整前需提前书面告知乙方。</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乙方提请甲方付款前，应提供以下资料：</w:t>
      </w:r>
      <w:r>
        <w:rPr>
          <w:rFonts w:ascii="宋体" w:hAnsi="宋体" w:cs="宋体"/>
        </w:rPr>
      </w:r>
      <w:r/>
    </w:p>
    <w:p>
      <w:pPr>
        <w:pStyle w:val="885"/>
        <w:numPr>
          <w:ilvl w:val="3"/>
          <w:numId w:val="13"/>
        </w:numPr>
        <w:contextualSpacing w:val="0"/>
        <w:ind w:left="1080" w:right="-153" w:hanging="540"/>
        <w:jc w:val="left"/>
        <w:keepLines w:val="0"/>
        <w:keepNext w:val="0"/>
        <w:pageBreakBefore w:val="0"/>
        <w:spacing w:before="0" w:after="0" w:line="402" w:lineRule="exact"/>
        <w:tabs>
          <w:tab w:val="left" w:pos="108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合法有效且符合甲方要求的发票。</w:t>
      </w:r>
      <w:r>
        <w:rPr>
          <w:rFonts w:ascii="宋体" w:hAnsi="宋体" w:cs="宋体"/>
        </w:rPr>
      </w:r>
      <w:r/>
    </w:p>
    <w:p>
      <w:pPr>
        <w:pStyle w:val="885"/>
        <w:numPr>
          <w:ilvl w:val="3"/>
          <w:numId w:val="13"/>
        </w:numPr>
        <w:contextualSpacing w:val="0"/>
        <w:ind w:left="1080" w:right="-153" w:hanging="540"/>
        <w:jc w:val="left"/>
        <w:keepLines w:val="0"/>
        <w:keepNext w:val="0"/>
        <w:pageBreakBefore w:val="0"/>
        <w:spacing w:before="0" w:after="0" w:line="402" w:lineRule="exact"/>
        <w:tabs>
          <w:tab w:val="left" w:pos="108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随标的物附带的所有有关资料（如质量保证书等）。</w:t>
      </w:r>
      <w:r>
        <w:rPr>
          <w:rFonts w:ascii="宋体" w:hAnsi="宋体" w:cs="宋体"/>
        </w:rPr>
      </w:r>
      <w:r/>
    </w:p>
    <w:p>
      <w:pPr>
        <w:pStyle w:val="885"/>
        <w:numPr>
          <w:ilvl w:val="3"/>
          <w:numId w:val="13"/>
        </w:numPr>
        <w:contextualSpacing w:val="0"/>
        <w:ind w:left="1080" w:right="-153" w:hanging="540"/>
        <w:jc w:val="left"/>
        <w:keepLines w:val="0"/>
        <w:keepNext w:val="0"/>
        <w:pageBreakBefore w:val="0"/>
        <w:spacing w:before="0" w:after="0" w:line="402" w:lineRule="exact"/>
        <w:tabs>
          <w:tab w:val="left" w:pos="108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由甲乙双方签章的《采购合同履行验收报告》。</w:t>
      </w:r>
      <w:r>
        <w:rPr>
          <w:rFonts w:ascii="宋体" w:hAnsi="宋体" w:cs="宋体"/>
        </w:rPr>
      </w:r>
      <w:r/>
    </w:p>
    <w:p>
      <w:pPr>
        <w:pStyle w:val="885"/>
        <w:contextualSpacing w:val="0"/>
        <w:ind w:firstLine="577"/>
        <w:jc w:val="left"/>
        <w:keepLines w:val="0"/>
        <w:keepNext w:val="0"/>
        <w:pageBreakBefore w:val="0"/>
        <w:spacing w:before="0" w:after="0" w:line="402" w:lineRule="exact"/>
        <w:rPr>
          <w:rFonts w:hint="eastAsia" w:ascii="宋体" w:hAnsi="宋体" w:cs="宋体"/>
          <w:color w:val="000000"/>
          <w:highlight w:val="none"/>
        </w:rPr>
        <w:suppressLineNumbers w:val="0"/>
      </w:pPr>
      <w:r>
        <w:rPr>
          <w:rFonts w:ascii="宋体" w:hAnsi="宋体" w:eastAsia="宋体" w:cs="宋体"/>
          <w:color w:val="000000"/>
          <w:sz w:val="21"/>
          <w:szCs w:val="21"/>
          <w:highlight w:val="none"/>
        </w:rPr>
        <w:t xml:space="preserve">若乙方未按要求提供上述资料的，甲方有权迟延付款，且不承担逾期付款的违约责任。</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支付方式：</w:t>
      </w:r>
      <w:r>
        <w:rPr>
          <w:rFonts w:hint="eastAsia" w:ascii="宋体" w:hAnsi="宋体" w:eastAsia="宋体" w:cs="宋体"/>
          <w:color w:val="000000"/>
          <w:sz w:val="21"/>
          <w:szCs w:val="21"/>
          <w:highlight w:val="none"/>
          <w:lang w:val="zh-CN"/>
        </w:rPr>
        <w:t xml:space="preserve">银行转账、银行汇票或转账支票</w:t>
      </w:r>
      <w:r>
        <w:rPr>
          <w:rFonts w:hint="eastAsia" w:ascii="宋体" w:hAnsi="宋体" w:eastAsia="宋体" w:cs="宋体"/>
          <w:color w:val="000000"/>
          <w:sz w:val="21"/>
          <w:szCs w:val="21"/>
          <w:highlight w:val="none"/>
        </w:rPr>
        <w:t xml:space="preserve">。</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履约保证金：履约保证金的金额为合同金额的10%。乙方需在合同签订后10天内向甲方提供履约保证金，如逾期提供履约保证金的，逾期每天支付合同金额的万分之0.5的违约金，甲方有权从未付款中直接扣除，最高不超过20万元，甲方保留取消其中标资格的权利。如因甲方原因造成的逾期，不予支付违约金。</w:t>
      </w:r>
      <w:r>
        <w:rPr>
          <w:rFonts w:ascii="宋体" w:hAnsi="宋体" w:cs="宋体"/>
        </w:rPr>
      </w:r>
      <w:r/>
    </w:p>
    <w:p>
      <w:pPr>
        <w:pStyle w:val="885"/>
        <w:numPr>
          <w:ilvl w:val="0"/>
          <w:numId w:val="0"/>
        </w:numPr>
        <w:contextualSpacing w:val="0"/>
        <w:ind w:left="540" w:firstLine="0"/>
        <w:jc w:val="left"/>
        <w:keepLines w:val="0"/>
        <w:keepNext w:val="0"/>
        <w:pageBreakBefore w:val="0"/>
        <w:spacing w:before="0" w:after="0" w:line="402" w:lineRule="exact"/>
        <w:widowControl w:val="off"/>
        <w:tabs>
          <w:tab w:val="left" w:pos="540" w:leader="none"/>
        </w:tabs>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ascii="宋体" w:hAnsi="宋体" w:cs="宋体"/>
        </w:rPr>
      </w:r>
      <w:r/>
    </w:p>
    <w:p>
      <w:pPr>
        <w:pStyle w:val="885"/>
        <w:numPr>
          <w:ilvl w:val="0"/>
          <w:numId w:val="0"/>
        </w:numPr>
        <w:contextualSpacing w:val="0"/>
        <w:ind w:left="540" w:firstLine="0"/>
        <w:jc w:val="left"/>
        <w:keepLines w:val="0"/>
        <w:keepNext w:val="0"/>
        <w:pageBreakBefore w:val="0"/>
        <w:spacing w:before="0" w:after="0" w:line="402" w:lineRule="exact"/>
        <w:widowControl w:val="off"/>
        <w:tabs>
          <w:tab w:val="left" w:pos="540" w:leader="none"/>
        </w:tabs>
        <w:rPr>
          <w:rFonts w:hint="eastAsia" w:ascii="宋体" w:hAnsi="宋体" w:cs="宋体"/>
          <w:color w:val="000000"/>
          <w:highlight w:val="none"/>
        </w:rPr>
        <w:outlineLvl w:val="9"/>
        <w:suppressLineNumbers w:val="0"/>
      </w:pPr>
      <w:r>
        <w:rPr>
          <w:rFonts w:hint="eastAsia" w:ascii="宋体" w:hAnsi="宋体" w:eastAsia="宋体" w:cs="宋体"/>
          <w:color w:val="000000"/>
          <w:sz w:val="21"/>
          <w:szCs w:val="21"/>
          <w:highlight w:val="none"/>
          <w:lang w:val="en-US" w:eastAsia="zh-CN"/>
        </w:rPr>
        <w:t xml:space="preserve">履约保证金返还：竣工验收合格并经采购单位确认后无息返还。</w:t>
      </w:r>
      <w:r>
        <w:rPr>
          <w:rFonts w:ascii="宋体" w:hAnsi="宋体" w:cs="宋体"/>
        </w:rPr>
      </w:r>
      <w:r/>
    </w:p>
    <w:p>
      <w:pPr>
        <w:pStyle w:val="885"/>
        <w:numPr>
          <w:ilvl w:val="0"/>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对标的物货物提出异议的时间和办法</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甲方在验收过程中，应当于双方约定的检验期间内将标的物的数量或质量不符合约定的情况及处理方式以书面方式通知乙方。</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如果甲方在验收期满后既不出具验收合格证明又未提出书面异议的视为乙方所交标的物符合合同规定。</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乙方应在收到甲方书面异议后七天内负责解决问题，否则将视为默认甲方提出的异议和处理意见。</w:t>
      </w:r>
      <w:r>
        <w:rPr>
          <w:rFonts w:ascii="宋体" w:hAnsi="宋体" w:cs="宋体"/>
        </w:rPr>
      </w:r>
      <w:r/>
    </w:p>
    <w:p>
      <w:pPr>
        <w:pStyle w:val="885"/>
        <w:numPr>
          <w:ilvl w:val="0"/>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双方责任与义务</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甲方责任与义务</w:t>
      </w:r>
      <w:r>
        <w:rPr>
          <w:rFonts w:ascii="宋体" w:hAnsi="宋体" w:cs="宋体"/>
        </w:rPr>
      </w:r>
      <w:r/>
    </w:p>
    <w:p>
      <w:pPr>
        <w:pStyle w:val="885"/>
        <w:numPr>
          <w:ilvl w:val="0"/>
          <w:numId w:val="14"/>
        </w:numPr>
        <w:contextualSpacing w:val="0"/>
        <w:ind w:left="1080" w:right="-153" w:hanging="540"/>
        <w:jc w:val="left"/>
        <w:keepLines w:val="0"/>
        <w:keepNext w:val="0"/>
        <w:pageBreakBefore w:val="0"/>
        <w:spacing w:before="0" w:after="0" w:line="402" w:lineRule="exact"/>
        <w:tabs>
          <w:tab w:val="left" w:pos="1080" w:leader="none"/>
          <w:tab w:val="left" w:pos="2579"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提供设备安装、调试所需的必要场地及基础条件（如电源、网络接口等）。</w:t>
      </w:r>
      <w:r>
        <w:rPr>
          <w:rFonts w:ascii="宋体" w:hAnsi="宋体" w:cs="宋体"/>
        </w:rPr>
      </w:r>
      <w:r/>
    </w:p>
    <w:p>
      <w:pPr>
        <w:pStyle w:val="885"/>
        <w:numPr>
          <w:ilvl w:val="0"/>
          <w:numId w:val="14"/>
        </w:numPr>
        <w:contextualSpacing w:val="0"/>
        <w:ind w:left="1080" w:right="-153" w:hanging="540"/>
        <w:jc w:val="left"/>
        <w:keepLines w:val="0"/>
        <w:keepNext w:val="0"/>
        <w:pageBreakBefore w:val="0"/>
        <w:spacing w:before="0" w:after="0" w:line="402" w:lineRule="exact"/>
        <w:tabs>
          <w:tab w:val="left" w:pos="1080" w:leader="none"/>
          <w:tab w:val="left" w:pos="2579"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按合同约定及时支付合同价款，配合乙方完成货物验收、安装调试及验收工作。</w:t>
      </w:r>
      <w:r>
        <w:rPr>
          <w:rFonts w:ascii="宋体" w:hAnsi="宋体" w:cs="宋体"/>
        </w:rPr>
      </w:r>
      <w:r/>
    </w:p>
    <w:p>
      <w:pPr>
        <w:pStyle w:val="885"/>
        <w:numPr>
          <w:ilvl w:val="0"/>
          <w:numId w:val="14"/>
        </w:numPr>
        <w:contextualSpacing w:val="0"/>
        <w:ind w:left="1080" w:right="-153" w:hanging="540"/>
        <w:jc w:val="left"/>
        <w:keepLines w:val="0"/>
        <w:keepNext w:val="0"/>
        <w:pageBreakBefore w:val="0"/>
        <w:spacing w:before="0" w:after="0" w:line="402" w:lineRule="exact"/>
        <w:tabs>
          <w:tab w:val="left" w:pos="1080" w:leader="none"/>
          <w:tab w:val="left" w:pos="2579"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遵守现场管理规定，协助乙方协调实训场地内相关事宜。</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乙方责任与义务</w:t>
      </w:r>
      <w:r>
        <w:rPr>
          <w:rFonts w:ascii="宋体" w:hAnsi="宋体" w:cs="宋体"/>
        </w:rPr>
      </w:r>
      <w:r/>
    </w:p>
    <w:p>
      <w:pPr>
        <w:pStyle w:val="885"/>
        <w:numPr>
          <w:ilvl w:val="0"/>
          <w:numId w:val="15"/>
        </w:numPr>
        <w:contextualSpacing w:val="0"/>
        <w:ind w:left="1080" w:right="-153" w:hanging="540"/>
        <w:jc w:val="left"/>
        <w:keepLines w:val="0"/>
        <w:keepNext w:val="0"/>
        <w:pageBreakBefore w:val="0"/>
        <w:spacing w:before="0" w:after="0" w:line="402" w:lineRule="exact"/>
        <w:tabs>
          <w:tab w:val="left" w:pos="1080" w:leader="none"/>
          <w:tab w:val="left" w:pos="2579"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组建专项项目团队，配备供货、安装、调试、售后服务、培训等专业技术人员，明确人员职责分工并书面告知甲方。</w:t>
      </w:r>
      <w:r>
        <w:rPr>
          <w:rFonts w:ascii="宋体" w:hAnsi="宋体" w:cs="宋体"/>
        </w:rPr>
      </w:r>
      <w:r/>
    </w:p>
    <w:p>
      <w:pPr>
        <w:pStyle w:val="885"/>
        <w:numPr>
          <w:ilvl w:val="0"/>
          <w:numId w:val="15"/>
        </w:numPr>
        <w:contextualSpacing w:val="0"/>
        <w:ind w:left="1080" w:right="-153" w:hanging="540"/>
        <w:jc w:val="left"/>
        <w:keepLines w:val="0"/>
        <w:keepNext w:val="0"/>
        <w:pageBreakBefore w:val="0"/>
        <w:spacing w:before="0" w:after="0" w:line="402" w:lineRule="exact"/>
        <w:tabs>
          <w:tab w:val="left" w:pos="1080" w:leader="none"/>
          <w:tab w:val="left" w:pos="2579"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严格按招标文件技术要求及投标承诺供应货物，确保产品知识产权合法，无侵权纠纷；若因知识产权问题引发法律责任，由乙方全部承担。</w:t>
      </w:r>
      <w:r>
        <w:rPr>
          <w:rFonts w:ascii="宋体" w:hAnsi="宋体" w:cs="宋体"/>
        </w:rPr>
      </w:r>
      <w:r/>
    </w:p>
    <w:p>
      <w:pPr>
        <w:pStyle w:val="885"/>
        <w:numPr>
          <w:ilvl w:val="0"/>
          <w:numId w:val="15"/>
        </w:numPr>
        <w:contextualSpacing w:val="0"/>
        <w:ind w:left="1080" w:right="-153" w:hanging="540"/>
        <w:jc w:val="left"/>
        <w:keepLines w:val="0"/>
        <w:keepNext w:val="0"/>
        <w:pageBreakBefore w:val="0"/>
        <w:spacing w:before="0" w:after="0" w:line="402" w:lineRule="exact"/>
        <w:tabs>
          <w:tab w:val="left" w:pos="1080" w:leader="none"/>
          <w:tab w:val="left" w:pos="2579"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安装过程中采取有效措施保护现场及周边财物、设施，因不规范操作、误操作造成的损坏，由乙方原样修复并承担全部费用。</w:t>
      </w:r>
      <w:r>
        <w:rPr>
          <w:rFonts w:ascii="宋体" w:hAnsi="宋体" w:cs="宋体"/>
        </w:rPr>
      </w:r>
      <w:r/>
    </w:p>
    <w:p>
      <w:pPr>
        <w:pStyle w:val="885"/>
        <w:numPr>
          <w:ilvl w:val="0"/>
          <w:numId w:val="15"/>
        </w:numPr>
        <w:contextualSpacing w:val="0"/>
        <w:ind w:left="1080" w:right="-153" w:hanging="540"/>
        <w:jc w:val="left"/>
        <w:keepLines w:val="0"/>
        <w:keepNext w:val="0"/>
        <w:pageBreakBefore w:val="0"/>
        <w:spacing w:before="0" w:after="0" w:line="402" w:lineRule="exact"/>
        <w:tabs>
          <w:tab w:val="left" w:pos="1080" w:leader="none"/>
          <w:tab w:val="left" w:pos="2579"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安装队伍遵守甲方现场规章制度，注重安全，发生的一切伤亡事故由乙方负全责；安装期间不得影响甲方正常教学秩序。</w:t>
      </w:r>
      <w:r>
        <w:rPr>
          <w:rFonts w:ascii="宋体" w:hAnsi="宋体" w:cs="宋体"/>
        </w:rPr>
      </w:r>
      <w:r/>
    </w:p>
    <w:p>
      <w:pPr>
        <w:pStyle w:val="885"/>
        <w:numPr>
          <w:ilvl w:val="0"/>
          <w:numId w:val="15"/>
        </w:numPr>
        <w:contextualSpacing w:val="0"/>
        <w:ind w:left="1080" w:right="-153" w:hanging="540"/>
        <w:jc w:val="left"/>
        <w:keepLines w:val="0"/>
        <w:keepNext w:val="0"/>
        <w:pageBreakBefore w:val="0"/>
        <w:spacing w:before="0" w:after="0" w:line="402" w:lineRule="exact"/>
        <w:tabs>
          <w:tab w:val="left" w:pos="1080" w:leader="none"/>
          <w:tab w:val="left" w:pos="2579"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质保期结束前30日内，配合甲方对产品进行全面检查，对发现的缺陷免费处理，并书面告知缺陷原因、修理内容及完成时间，经甲方认可后存档。</w:t>
      </w:r>
      <w:r>
        <w:rPr>
          <w:rFonts w:ascii="宋体" w:hAnsi="宋体" w:cs="宋体"/>
        </w:rPr>
      </w:r>
      <w:r/>
    </w:p>
    <w:p>
      <w:pPr>
        <w:pStyle w:val="885"/>
        <w:numPr>
          <w:ilvl w:val="0"/>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售后服务</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除</w:t>
      </w:r>
      <w:r>
        <w:rPr>
          <w:rFonts w:hint="eastAsia" w:ascii="宋体" w:hAnsi="宋体" w:eastAsia="宋体" w:cs="宋体"/>
          <w:color w:val="000000"/>
          <w:sz w:val="21"/>
          <w:szCs w:val="21"/>
          <w:highlight w:val="none"/>
        </w:rPr>
        <w:t xml:space="preserve">特别约定外，合同条款成交的物的质量保证期均自标的物通过最终验收之日起计算，且质量保证期为乙方承诺期限，乙方承诺对本项目提供</w:t>
      </w: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年的免费质保。</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质保期内，乙方免费提供设备维修维护、零部件更换、技术支持等服务，所有相关费用（含人工、配件、运输等）由乙方承担；非人为因素导致的设备故障，乙方须在规定时间内修复或更换。</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乙方提供7×24小时电话支持服务，解答甲方在系统使用、维护中的问题；电话服务无法解决的，须在24小时内上门服务（偏远地区可协商延长，但最长不超过48小时）。</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若质保期内设备缺陷多次反复出现，乙方须在7日内提交分析报告及解决方案，必要时进行产品调换，质保期从纠正之日起重新计算。</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培训要求：</w:t>
      </w:r>
      <w:r>
        <w:rPr>
          <w:rFonts w:hint="eastAsia" w:ascii="宋体" w:hAnsi="宋体" w:eastAsia="宋体" w:cs="宋体"/>
          <w:color w:val="000000"/>
          <w:sz w:val="21"/>
          <w:szCs w:val="21"/>
          <w:highlight w:val="none"/>
        </w:rPr>
        <w:t xml:space="preserve">制定培训方案，项目实施期间或者完成后，为建设方提供必需的操作使用培训，确保建设方相关工作人员掌握日常使用技能。</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其它按乙方</w:t>
      </w:r>
      <w:r>
        <w:rPr>
          <w:rFonts w:hint="eastAsia" w:ascii="宋体" w:hAnsi="宋体" w:eastAsia="宋体" w:cs="宋体"/>
          <w:color w:val="000000"/>
          <w:sz w:val="21"/>
          <w:szCs w:val="21"/>
          <w:highlight w:val="none"/>
        </w:rPr>
        <w:t xml:space="preserve">投标文件及相关承诺中等同或优于招标文件的要求执行。</w:t>
      </w:r>
      <w:r>
        <w:rPr>
          <w:rFonts w:ascii="宋体" w:hAnsi="宋体" w:cs="宋体"/>
        </w:rPr>
      </w:r>
      <w:r/>
    </w:p>
    <w:p>
      <w:pPr>
        <w:pStyle w:val="885"/>
        <w:numPr>
          <w:ilvl w:val="0"/>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违约责任</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乙</w:t>
      </w:r>
      <w:r>
        <w:rPr>
          <w:rFonts w:hint="eastAsia" w:ascii="宋体" w:hAnsi="宋体" w:eastAsia="宋体" w:cs="宋体"/>
          <w:color w:val="000000"/>
          <w:sz w:val="21"/>
          <w:szCs w:val="21"/>
          <w:highlight w:val="none"/>
        </w:rPr>
        <w:t xml:space="preserve">方逾期交付货物的，应与甲方和政府采购管理部门协商，甲方仍需求的，</w:t>
      </w:r>
      <w:r>
        <w:rPr>
          <w:rFonts w:hint="eastAsia" w:ascii="宋体" w:hAnsi="宋体" w:eastAsia="宋体" w:cs="宋体"/>
          <w:color w:val="000000"/>
          <w:sz w:val="21"/>
          <w:szCs w:val="21"/>
          <w:highlight w:val="none"/>
        </w:rPr>
        <w:t xml:space="preserve">乙</w:t>
      </w:r>
      <w:r>
        <w:rPr>
          <w:rFonts w:hint="eastAsia" w:ascii="宋体" w:hAnsi="宋体" w:eastAsia="宋体" w:cs="宋体"/>
          <w:color w:val="000000"/>
          <w:sz w:val="21"/>
          <w:szCs w:val="21"/>
          <w:highlight w:val="none"/>
        </w:rPr>
        <w:t xml:space="preserve">方</w:t>
      </w:r>
      <w:r>
        <w:rPr>
          <w:rFonts w:hint="eastAsia" w:ascii="宋体" w:hAnsi="宋体" w:eastAsia="宋体" w:cs="宋体"/>
          <w:color w:val="000000"/>
          <w:sz w:val="21"/>
          <w:szCs w:val="21"/>
          <w:highlight w:val="none"/>
        </w:rPr>
        <w:t xml:space="preserve">每逾期一日按合同总价的 0.</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‰向甲方支付违约金</w:t>
      </w:r>
      <w:r>
        <w:rPr>
          <w:rFonts w:hint="eastAsia" w:ascii="宋体" w:hAnsi="宋体" w:eastAsia="宋体" w:cs="宋体"/>
          <w:color w:val="000000"/>
          <w:sz w:val="21"/>
          <w:szCs w:val="21"/>
          <w:highlight w:val="none"/>
          <w:lang w:eastAsia="zh-CN"/>
        </w:rPr>
        <w:t xml:space="preserve">，同时承担甲方因此遭致的损失费用。</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乙方交付的货物不符合质量标准或技术要求的，须在15日内免费更换或整改，逾期未完成的，按合同总价的10%支付违约金；若无法更换或整改至合格标准，甲方有权解除合同，乙方承担全部损失。</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乙方未按约定提供售后服务或培训的，每次按合同总价的3%支付违约金；因售后服务不及时导致甲方损失的，乙方须予以赔偿。</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甲方逾期支付合同价款的，每逾期一日按应付未付款项的 0.</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‰向乙方支付违约金。</w:t>
      </w:r>
      <w:r>
        <w:rPr>
          <w:rFonts w:ascii="宋体" w:hAnsi="宋体" w:cs="宋体"/>
        </w:rPr>
      </w:r>
      <w:r/>
    </w:p>
    <w:p>
      <w:pPr>
        <w:pStyle w:val="885"/>
        <w:numPr>
          <w:ilvl w:val="0"/>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不可抗力</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因不可抗力不能履行合同的，根据不可抗力的影响，部分或者全部免除责任。但合同一方延迟履行后发生不可抗力的，不能免除责任。</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合同一方因不可抗力不能履行合同的，应当及时通知对方，以减轻可能给对方造成的损失，并应当在合理期限内提供证明。因未及时通知造成对方损失的，由未及时通知的一方承担责任。</w:t>
      </w:r>
      <w:r>
        <w:rPr>
          <w:rFonts w:ascii="宋体" w:hAnsi="宋体" w:cs="宋体"/>
        </w:rPr>
      </w:r>
      <w:r/>
    </w:p>
    <w:p>
      <w:pPr>
        <w:pStyle w:val="885"/>
        <w:numPr>
          <w:ilvl w:val="0"/>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索赔</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甲方有权根据当地产品质量检验机构或其他有权部门出具的检验证书向乙方提出索赔。</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在本合同规定的检验期限和质量保证期内，如果乙方对甲方提出的索赔或差异有责任，则乙方应按甲方同意的下列一种或多种方式解决索赔事宜：</w:t>
      </w:r>
      <w:r>
        <w:rPr>
          <w:rFonts w:ascii="宋体" w:hAnsi="宋体" w:cs="宋体"/>
        </w:rPr>
      </w:r>
      <w:r/>
    </w:p>
    <w:p>
      <w:pPr>
        <w:pStyle w:val="885"/>
        <w:numPr>
          <w:ilvl w:val="0"/>
          <w:numId w:val="16"/>
        </w:numPr>
        <w:contextualSpacing w:val="0"/>
        <w:ind w:left="1080" w:right="-153" w:hanging="540"/>
        <w:jc w:val="left"/>
        <w:keepLines w:val="0"/>
        <w:keepNext w:val="0"/>
        <w:pageBreakBefore w:val="0"/>
        <w:spacing w:before="0" w:after="0" w:line="402" w:lineRule="exact"/>
        <w:tabs>
          <w:tab w:val="left" w:pos="108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乙方同意退货，并按合同规定的货币将货款退还给甲方，并且承担由此发生的一切损失和费用，包括利息、银行手续费、运费、保险费、检验费、仓储费、装卸费以及为保护退回标的物所需的其他必要费用。</w:t>
      </w:r>
      <w:r>
        <w:rPr>
          <w:rFonts w:ascii="宋体" w:hAnsi="宋体" w:cs="宋体"/>
        </w:rPr>
      </w:r>
      <w:r/>
    </w:p>
    <w:p>
      <w:pPr>
        <w:pStyle w:val="885"/>
        <w:numPr>
          <w:ilvl w:val="0"/>
          <w:numId w:val="16"/>
        </w:numPr>
        <w:contextualSpacing w:val="0"/>
        <w:ind w:left="1080" w:right="-153" w:hanging="540"/>
        <w:jc w:val="left"/>
        <w:keepLines w:val="0"/>
        <w:keepNext w:val="0"/>
        <w:pageBreakBefore w:val="0"/>
        <w:spacing w:before="0" w:after="0" w:line="402" w:lineRule="exact"/>
        <w:tabs>
          <w:tab w:val="left" w:pos="108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根据标的物的低劣程度、损坏程度以及甲方遭受损失的数额，经双方协商确定降低的物的价格。</w:t>
      </w:r>
      <w:r>
        <w:rPr>
          <w:rFonts w:ascii="宋体" w:hAnsi="宋体" w:cs="宋体"/>
        </w:rPr>
      </w:r>
      <w:r/>
    </w:p>
    <w:p>
      <w:pPr>
        <w:pStyle w:val="885"/>
        <w:numPr>
          <w:ilvl w:val="0"/>
          <w:numId w:val="16"/>
        </w:numPr>
        <w:contextualSpacing w:val="0"/>
        <w:ind w:left="1080" w:right="-153" w:hanging="540"/>
        <w:jc w:val="left"/>
        <w:keepLines w:val="0"/>
        <w:keepNext w:val="0"/>
        <w:pageBreakBefore w:val="0"/>
        <w:spacing w:before="0" w:after="0" w:line="402" w:lineRule="exact"/>
        <w:tabs>
          <w:tab w:val="left" w:pos="108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质量保证金中扣回索赔金额，如果这些金额不足以补偿索赔金额，甲方有权向乙方提出对不足部分的补偿。 </w:t>
      </w:r>
      <w:r>
        <w:rPr>
          <w:rFonts w:ascii="宋体" w:hAnsi="宋体" w:cs="宋体"/>
        </w:rPr>
      </w:r>
      <w:r/>
    </w:p>
    <w:p>
      <w:pPr>
        <w:pStyle w:val="885"/>
        <w:numPr>
          <w:ilvl w:val="0"/>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合同转让和修改</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政府采购合同的部分和全部都不得转让。</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甲方和乙方都不得擅自变更本合同，但合同继续履行将损害国家和社会公共利益的除外。在合同履行中，甲方可以增加原成交货物的数量，但增加的总金额不得超过原合同采购金额的10%。</w:t>
      </w:r>
      <w:r>
        <w:rPr>
          <w:rFonts w:ascii="宋体" w:hAnsi="宋体" w:cs="宋体"/>
        </w:rPr>
      </w:r>
      <w:r/>
    </w:p>
    <w:p>
      <w:pPr>
        <w:pStyle w:val="885"/>
        <w:numPr>
          <w:ilvl w:val="0"/>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合同的解除</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有下列情形之一，合同一方可以解除合同：</w:t>
      </w:r>
      <w:r>
        <w:rPr>
          <w:rFonts w:ascii="宋体" w:hAnsi="宋体" w:cs="宋体"/>
        </w:rPr>
      </w:r>
      <w:r/>
    </w:p>
    <w:p>
      <w:pPr>
        <w:pStyle w:val="885"/>
        <w:numPr>
          <w:ilvl w:val="0"/>
          <w:numId w:val="17"/>
        </w:numPr>
        <w:contextualSpacing w:val="0"/>
        <w:ind w:left="1080" w:right="-153" w:hanging="540"/>
        <w:jc w:val="left"/>
        <w:keepLines w:val="0"/>
        <w:keepNext w:val="0"/>
        <w:pageBreakBefore w:val="0"/>
        <w:spacing w:before="0" w:after="0" w:line="402" w:lineRule="exact"/>
        <w:tabs>
          <w:tab w:val="left" w:pos="108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因不可抗力致使不能实现合同目的，未受不可抗力影响的一方有权解除合同；</w:t>
      </w:r>
      <w:r>
        <w:rPr>
          <w:rFonts w:ascii="宋体" w:hAnsi="宋体" w:cs="宋体"/>
        </w:rPr>
      </w:r>
      <w:r/>
    </w:p>
    <w:p>
      <w:pPr>
        <w:pStyle w:val="885"/>
        <w:numPr>
          <w:ilvl w:val="0"/>
          <w:numId w:val="17"/>
        </w:numPr>
        <w:contextualSpacing w:val="0"/>
        <w:ind w:left="1080" w:right="-153" w:hanging="540"/>
        <w:jc w:val="left"/>
        <w:keepLines w:val="0"/>
        <w:keepNext w:val="0"/>
        <w:pageBreakBefore w:val="0"/>
        <w:spacing w:before="0" w:after="0" w:line="402" w:lineRule="exact"/>
        <w:tabs>
          <w:tab w:val="left" w:pos="108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因合同一方违约导致合同不能履行，另一方有权解除合同。</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有权解除合同的一方，应当在违约事实或不可抗力发生之后三十天内书面通知对方以主张解除合同，合同在书面通知到达对方时解除。</w:t>
      </w:r>
      <w:r>
        <w:rPr>
          <w:rFonts w:ascii="宋体" w:hAnsi="宋体" w:cs="宋体"/>
        </w:rPr>
      </w:r>
      <w:r/>
    </w:p>
    <w:p>
      <w:pPr>
        <w:pStyle w:val="885"/>
        <w:numPr>
          <w:ilvl w:val="0"/>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争议解决办法</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因本合同或与本合同有关的一切事项发生争议，由双方友好协商解决。协商不成的，任何一方均可向甲方所在地的人民法院起诉。双方一致同意以本合同所列地址及其他常用通讯地址为双方沟通函件、法律文书的送达地址，信件交邮后若因非发件人过错原因造成的无法送达，则以文书退回之日视为送达之日。</w:t>
      </w:r>
      <w:r>
        <w:rPr>
          <w:rFonts w:ascii="宋体" w:hAnsi="宋体" w:cs="宋体"/>
        </w:rPr>
      </w:r>
      <w:r/>
    </w:p>
    <w:p>
      <w:pPr>
        <w:pStyle w:val="885"/>
        <w:numPr>
          <w:ilvl w:val="0"/>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合同生效及其他</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合同经招标代理机构加盖骑缝章，甲、乙双方法定代表人或其委托代理人签字并加盖公章（或合同章）、骑缝章后生效，生效合同签订之日起2个工作日内进行网上系统备案。</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下列文件为本合同不可分割部分，以下内容有冲突的，以有利于甲方、标准高的为准：</w:t>
      </w:r>
      <w:r>
        <w:rPr>
          <w:rFonts w:ascii="宋体" w:hAnsi="宋体" w:cs="宋体"/>
        </w:rPr>
      </w:r>
      <w:r/>
    </w:p>
    <w:p>
      <w:pPr>
        <w:pStyle w:val="885"/>
        <w:numPr>
          <w:ilvl w:val="0"/>
          <w:numId w:val="18"/>
        </w:numPr>
        <w:contextualSpacing w:val="0"/>
        <w:ind w:left="1080" w:right="-153" w:hanging="540"/>
        <w:jc w:val="left"/>
        <w:keepLines w:val="0"/>
        <w:keepNext w:val="0"/>
        <w:pageBreakBefore w:val="0"/>
        <w:spacing w:before="0" w:after="0" w:line="402" w:lineRule="exact"/>
        <w:tabs>
          <w:tab w:val="left" w:pos="108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中标通知书；</w:t>
      </w:r>
      <w:r>
        <w:rPr>
          <w:rFonts w:ascii="宋体" w:hAnsi="宋体" w:cs="宋体"/>
        </w:rPr>
      </w:r>
      <w:r/>
    </w:p>
    <w:p>
      <w:pPr>
        <w:pStyle w:val="885"/>
        <w:numPr>
          <w:ilvl w:val="0"/>
          <w:numId w:val="18"/>
        </w:numPr>
        <w:contextualSpacing w:val="0"/>
        <w:ind w:left="1080" w:right="-153" w:hanging="540"/>
        <w:jc w:val="left"/>
        <w:keepLines w:val="0"/>
        <w:keepNext w:val="0"/>
        <w:pageBreakBefore w:val="0"/>
        <w:spacing w:before="0" w:after="0" w:line="402" w:lineRule="exact"/>
        <w:tabs>
          <w:tab w:val="left" w:pos="108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乙方的投标文件；</w:t>
      </w:r>
      <w:r>
        <w:rPr>
          <w:rFonts w:ascii="宋体" w:hAnsi="宋体" w:cs="宋体"/>
        </w:rPr>
      </w:r>
      <w:r/>
    </w:p>
    <w:p>
      <w:pPr>
        <w:pStyle w:val="885"/>
        <w:numPr>
          <w:ilvl w:val="0"/>
          <w:numId w:val="18"/>
        </w:numPr>
        <w:contextualSpacing w:val="0"/>
        <w:ind w:left="1080" w:right="-153" w:hanging="540"/>
        <w:jc w:val="left"/>
        <w:keepLines w:val="0"/>
        <w:keepNext w:val="0"/>
        <w:pageBreakBefore w:val="0"/>
        <w:spacing w:before="0" w:after="0" w:line="402" w:lineRule="exact"/>
        <w:tabs>
          <w:tab w:val="left" w:pos="108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招标文件；</w:t>
      </w:r>
      <w:r>
        <w:rPr>
          <w:rFonts w:ascii="宋体" w:hAnsi="宋体" w:cs="宋体"/>
        </w:rPr>
      </w:r>
      <w:r/>
    </w:p>
    <w:p>
      <w:pPr>
        <w:pStyle w:val="885"/>
        <w:numPr>
          <w:ilvl w:val="0"/>
          <w:numId w:val="18"/>
        </w:numPr>
        <w:contextualSpacing w:val="0"/>
        <w:ind w:left="1080" w:right="-153" w:hanging="540"/>
        <w:jc w:val="left"/>
        <w:keepLines w:val="0"/>
        <w:keepNext w:val="0"/>
        <w:pageBreakBefore w:val="0"/>
        <w:spacing w:before="0" w:after="0" w:line="402" w:lineRule="exact"/>
        <w:tabs>
          <w:tab w:val="left" w:pos="108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乙方在招投标过程中所作的其他承诺、声明、书面澄清等；</w:t>
      </w:r>
      <w:r>
        <w:rPr>
          <w:rFonts w:ascii="宋体" w:hAnsi="宋体" w:cs="宋体"/>
        </w:rPr>
      </w:r>
      <w:r/>
    </w:p>
    <w:p>
      <w:pPr>
        <w:pStyle w:val="885"/>
        <w:numPr>
          <w:ilvl w:val="0"/>
          <w:numId w:val="18"/>
        </w:numPr>
        <w:contextualSpacing w:val="0"/>
        <w:ind w:left="1080" w:right="-153" w:hanging="540"/>
        <w:jc w:val="left"/>
        <w:keepLines w:val="0"/>
        <w:keepNext w:val="0"/>
        <w:pageBreakBefore w:val="0"/>
        <w:spacing w:before="0" w:after="0" w:line="402" w:lineRule="exact"/>
        <w:tabs>
          <w:tab w:val="left" w:pos="108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合同附件。</w:t>
      </w:r>
      <w:r>
        <w:rPr>
          <w:rFonts w:ascii="宋体" w:hAnsi="宋体" w:cs="宋体"/>
        </w:rPr>
      </w:r>
      <w:r/>
    </w:p>
    <w:p>
      <w:pPr>
        <w:pStyle w:val="885"/>
        <w:numPr>
          <w:ilvl w:val="1"/>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合同在执行过程中出现的未尽事宜，双方在不违背本合同和采购文件的原则下协商解决，协商结果以书面形式盖章记录在案，作为本合同的附件，与本合同具有同等效力，经双方签字并加盖公章后生效；补充协议之间如存在冲突的，应以最新签订的为准。</w:t>
      </w:r>
      <w:r>
        <w:rPr>
          <w:rFonts w:ascii="宋体" w:hAnsi="宋体" w:cs="宋体"/>
        </w:rPr>
      </w:r>
      <w:r/>
    </w:p>
    <w:p>
      <w:pPr>
        <w:pStyle w:val="885"/>
        <w:numPr>
          <w:ilvl w:val="0"/>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未尽事宜</w:t>
      </w:r>
      <w:r>
        <w:rPr>
          <w:rFonts w:ascii="宋体" w:hAnsi="宋体" w:cs="宋体"/>
        </w:rPr>
      </w:r>
      <w:r/>
    </w:p>
    <w:p>
      <w:pPr>
        <w:pStyle w:val="885"/>
        <w:contextualSpacing w:val="0"/>
        <w:ind w:firstLine="539"/>
        <w:jc w:val="left"/>
        <w:keepLines w:val="0"/>
        <w:keepNext w:val="0"/>
        <w:pageBreakBefore w:val="0"/>
        <w:spacing w:before="0" w:after="0" w:line="402" w:lineRule="exact"/>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未尽事宜应按照《中华人民共和国民法典》、《中华人民共和国政府采购法》等相关法律法规之规定解释。</w:t>
      </w:r>
      <w:r>
        <w:rPr>
          <w:rFonts w:ascii="宋体" w:hAnsi="宋体" w:cs="宋体"/>
        </w:rPr>
      </w:r>
      <w:r/>
    </w:p>
    <w:p>
      <w:pPr>
        <w:pStyle w:val="885"/>
        <w:numPr>
          <w:ilvl w:val="0"/>
          <w:numId w:val="12"/>
        </w:numPr>
        <w:contextualSpacing w:val="0"/>
        <w:ind w:left="540" w:hanging="540"/>
        <w:jc w:val="left"/>
        <w:keepLines w:val="0"/>
        <w:keepNext w:val="0"/>
        <w:pageBreakBefore w:val="0"/>
        <w:spacing w:before="0" w:after="0" w:line="402" w:lineRule="exact"/>
        <w:tabs>
          <w:tab w:val="left" w:pos="540" w:leader="none"/>
        </w:tabs>
        <w:rPr>
          <w:rFonts w:hint="eastAsia" w:ascii="宋体" w:hAnsi="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附则</w:t>
      </w:r>
      <w:r>
        <w:rPr>
          <w:rFonts w:ascii="宋体" w:hAnsi="宋体" w:cs="宋体"/>
        </w:rPr>
      </w:r>
      <w:r/>
    </w:p>
    <w:p>
      <w:pPr>
        <w:pStyle w:val="885"/>
        <w:contextualSpacing w:val="0"/>
        <w:ind w:firstLine="539"/>
        <w:jc w:val="left"/>
        <w:keepLines w:val="0"/>
        <w:keepNext w:val="0"/>
        <w:pageBreakBefore w:val="0"/>
        <w:spacing w:before="0" w:after="0" w:line="402" w:lineRule="exact"/>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本合同一式</w:t>
      </w: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份，甲、乙双方各执</w:t>
      </w: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份，采购代理机构</w:t>
      </w:r>
      <w:r>
        <w:rPr>
          <w:rFonts w:hint="eastAsia" w:ascii="宋体" w:hAnsi="宋体" w:eastAsia="宋体" w:cs="宋体"/>
          <w:color w:val="000000"/>
          <w:sz w:val="21"/>
          <w:szCs w:val="21"/>
          <w:highlight w:val="none"/>
          <w:lang w:eastAsia="zh-CN"/>
        </w:rPr>
        <w:t xml:space="preserve">贰</w:t>
      </w:r>
      <w:r>
        <w:rPr>
          <w:rFonts w:hint="eastAsia" w:ascii="宋体" w:hAnsi="宋体" w:eastAsia="宋体" w:cs="宋体"/>
          <w:color w:val="000000"/>
          <w:sz w:val="21"/>
          <w:szCs w:val="21"/>
          <w:highlight w:val="none"/>
        </w:rPr>
        <w:t xml:space="preserve">份。</w:t>
      </w:r>
      <w:r>
        <w:rPr>
          <w:rFonts w:ascii="宋体" w:hAnsi="宋体" w:cs="宋体"/>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308"/>
        <w:gridCol w:w="4308"/>
      </w:tblGrid>
      <w:tr>
        <w:trPr>
          <w:trHeight w:val="444"/>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85"/>
              <w:contextualSpacing w:val="0"/>
              <w:ind w:firstLine="420"/>
              <w:jc w:val="left"/>
              <w:keepLines w:val="0"/>
              <w:keepNext w:val="0"/>
              <w:pageBreakBefore w:val="0"/>
              <w:spacing w:before="0" w:after="0" w:line="402" w:lineRule="exact"/>
              <w:widowControl w:val="off"/>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rPr>
              <w:t xml:space="preserve">甲方（盖章）：</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85"/>
              <w:contextualSpacing w:val="0"/>
              <w:ind w:firstLine="420"/>
              <w:jc w:val="left"/>
              <w:keepLines w:val="0"/>
              <w:keepNext w:val="0"/>
              <w:pageBreakBefore w:val="0"/>
              <w:spacing w:before="0" w:after="0" w:line="402" w:lineRule="exact"/>
              <w:widowControl w:val="off"/>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rPr>
              <w:t xml:space="preserve">乙方（盖章）：</w:t>
            </w:r>
            <w:r>
              <w:rPr>
                <w:rFonts w:ascii="宋体" w:hAnsi="宋体" w:cs="宋体"/>
              </w:rPr>
            </w:r>
            <w:r/>
          </w:p>
        </w:tc>
      </w:tr>
      <w:tr>
        <w:trPr>
          <w:trHeight w:val="430"/>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85"/>
              <w:contextualSpacing w:val="0"/>
              <w:ind w:firstLine="420"/>
              <w:jc w:val="left"/>
              <w:keepLines w:val="0"/>
              <w:keepNext w:val="0"/>
              <w:pageBreakBefore w:val="0"/>
              <w:spacing w:before="0" w:after="0" w:line="402" w:lineRule="exact"/>
              <w:widowControl w:val="off"/>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rPr>
              <w:t xml:space="preserve">法定（授权）代表人（签字）：</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85"/>
              <w:contextualSpacing w:val="0"/>
              <w:ind w:firstLine="420"/>
              <w:jc w:val="left"/>
              <w:keepLines w:val="0"/>
              <w:keepNext w:val="0"/>
              <w:pageBreakBefore w:val="0"/>
              <w:spacing w:before="0" w:after="0" w:line="402" w:lineRule="exact"/>
              <w:widowControl w:val="off"/>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rPr>
              <w:t xml:space="preserve">法定（授权）代表人（签字）：</w:t>
            </w:r>
            <w:r>
              <w:rPr>
                <w:rFonts w:ascii="宋体" w:hAnsi="宋体" w:cs="宋体"/>
              </w:rPr>
            </w:r>
            <w:r/>
          </w:p>
        </w:tc>
      </w:tr>
      <w:tr>
        <w:trPr>
          <w:trHeight w:val="430"/>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85"/>
              <w:contextualSpacing w:val="0"/>
              <w:ind w:firstLine="420"/>
              <w:jc w:val="left"/>
              <w:keepLines w:val="0"/>
              <w:keepNext w:val="0"/>
              <w:pageBreakBefore w:val="0"/>
              <w:spacing w:before="0" w:after="0" w:line="402" w:lineRule="exact"/>
              <w:widowControl w:val="off"/>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rPr>
              <w:t xml:space="preserve">电话：</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85"/>
              <w:contextualSpacing w:val="0"/>
              <w:ind w:firstLine="420"/>
              <w:jc w:val="left"/>
              <w:keepLines w:val="0"/>
              <w:keepNext w:val="0"/>
              <w:pageBreakBefore w:val="0"/>
              <w:spacing w:before="0" w:after="0" w:line="402" w:lineRule="exact"/>
              <w:widowControl w:val="off"/>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rPr>
              <w:t xml:space="preserve">电话：</w:t>
            </w:r>
            <w:r>
              <w:rPr>
                <w:rFonts w:ascii="宋体" w:hAnsi="宋体" w:cs="宋体"/>
              </w:rPr>
            </w:r>
            <w:r/>
          </w:p>
        </w:tc>
      </w:tr>
      <w:tr>
        <w:trPr>
          <w:trHeight w:val="430"/>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85"/>
              <w:contextualSpacing w:val="0"/>
              <w:ind w:firstLine="420"/>
              <w:jc w:val="left"/>
              <w:keepLines w:val="0"/>
              <w:keepNext w:val="0"/>
              <w:pageBreakBefore w:val="0"/>
              <w:spacing w:before="0" w:after="0" w:line="402" w:lineRule="exact"/>
              <w:widowControl w:val="off"/>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rPr>
              <w:t xml:space="preserve">日期：</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85"/>
              <w:contextualSpacing w:val="0"/>
              <w:ind w:firstLine="420"/>
              <w:jc w:val="left"/>
              <w:keepLines w:val="0"/>
              <w:keepNext w:val="0"/>
              <w:pageBreakBefore w:val="0"/>
              <w:spacing w:before="0" w:after="0" w:line="402" w:lineRule="exact"/>
              <w:widowControl w:val="off"/>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rPr>
              <w:t xml:space="preserve">开户银行：</w:t>
            </w:r>
            <w:r>
              <w:rPr>
                <w:rFonts w:ascii="宋体" w:hAnsi="宋体" w:cs="宋体"/>
              </w:rPr>
            </w:r>
            <w:r/>
          </w:p>
        </w:tc>
      </w:tr>
      <w:tr>
        <w:trPr>
          <w:trHeight w:val="79"/>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85"/>
              <w:contextualSpacing w:val="0"/>
              <w:ind w:firstLine="420"/>
              <w:jc w:val="left"/>
              <w:keepLines w:val="0"/>
              <w:keepNext w:val="0"/>
              <w:pageBreakBefore w:val="0"/>
              <w:spacing w:before="0" w:after="0" w:line="402" w:lineRule="exact"/>
              <w:widowControl w:val="off"/>
              <w:rPr>
                <w:rFonts w:hint="eastAsia" w:ascii="宋体" w:hAnsi="宋体" w:cs="宋体"/>
                <w:color w:val="000000"/>
                <w:sz w:val="21"/>
                <w:szCs w:val="21"/>
                <w:highlight w:val="none"/>
              </w:rPr>
              <w:outlineLvl w:val="9"/>
              <w:suppressLineNumbers w:val="0"/>
            </w:pPr>
            <w:r>
              <w:rPr>
                <w:rFonts w:hint="eastAsia" w:ascii="宋体" w:hAnsi="宋体" w:cs="宋体"/>
                <w:color w:val="000000"/>
                <w:sz w:val="21"/>
                <w:szCs w:val="21"/>
                <w:highlight w:val="none"/>
              </w:rPr>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85"/>
              <w:contextualSpacing w:val="0"/>
              <w:ind w:firstLine="420"/>
              <w:jc w:val="left"/>
              <w:keepLines w:val="0"/>
              <w:keepNext w:val="0"/>
              <w:pageBreakBefore w:val="0"/>
              <w:spacing w:before="0" w:after="0" w:line="402" w:lineRule="exact"/>
              <w:widowControl w:val="off"/>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rPr>
              <w:t xml:space="preserve">账号：</w:t>
            </w:r>
            <w:r>
              <w:rPr>
                <w:rFonts w:ascii="宋体" w:hAnsi="宋体" w:cs="宋体"/>
              </w:rPr>
            </w:r>
            <w:r/>
          </w:p>
        </w:tc>
      </w:tr>
      <w:tr>
        <w:trPr>
          <w:trHeight w:val="79"/>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85"/>
              <w:contextualSpacing w:val="0"/>
              <w:ind w:firstLine="420"/>
              <w:jc w:val="left"/>
              <w:keepLines w:val="0"/>
              <w:keepNext w:val="0"/>
              <w:pageBreakBefore w:val="0"/>
              <w:spacing w:before="0" w:after="0" w:line="402" w:lineRule="exact"/>
              <w:widowControl w:val="off"/>
              <w:rPr>
                <w:rFonts w:hint="eastAsia" w:ascii="宋体" w:hAnsi="宋体" w:cs="宋体"/>
                <w:color w:val="000000"/>
                <w:sz w:val="21"/>
                <w:szCs w:val="21"/>
                <w:highlight w:val="none"/>
              </w:rPr>
              <w:outlineLvl w:val="9"/>
              <w:suppressLineNumbers w:val="0"/>
            </w:pPr>
            <w:r>
              <w:rPr>
                <w:rFonts w:hint="eastAsia" w:ascii="宋体" w:hAnsi="宋体" w:cs="宋体"/>
                <w:color w:val="000000"/>
                <w:sz w:val="21"/>
                <w:szCs w:val="21"/>
                <w:highlight w:val="none"/>
              </w:rPr>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85"/>
              <w:contextualSpacing w:val="0"/>
              <w:ind w:firstLine="420"/>
              <w:jc w:val="left"/>
              <w:keepLines w:val="0"/>
              <w:keepNext w:val="0"/>
              <w:pageBreakBefore w:val="0"/>
              <w:spacing w:before="0" w:after="0" w:line="402" w:lineRule="exact"/>
              <w:widowControl w:val="off"/>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rPr>
              <w:t xml:space="preserve">日期：</w:t>
            </w:r>
            <w:r>
              <w:rPr>
                <w:rFonts w:ascii="宋体" w:hAnsi="宋体" w:cs="宋体"/>
              </w:rPr>
            </w:r>
            <w:r/>
          </w:p>
        </w:tc>
      </w:tr>
    </w:tbl>
    <w:p>
      <w:pPr>
        <w:pStyle w:val="885"/>
        <w:jc w:val="center"/>
        <w:spacing w:before="166" w:line="440" w:lineRule="exact"/>
        <w:rPr>
          <w:rFonts w:ascii="宋体" w:hAnsi="宋体" w:cs="宋体"/>
          <w:b/>
          <w:bCs/>
          <w:color w:val="000000"/>
          <w:sz w:val="44"/>
          <w:szCs w:val="44"/>
          <w:highlight w:val="none"/>
        </w:rPr>
      </w:pPr>
      <w:r>
        <w:rPr>
          <w:rFonts w:ascii="宋体" w:hAnsi="宋体" w:cs="宋体"/>
          <w:b/>
          <w:bCs/>
          <w:color w:val="000000"/>
          <w:highlight w:val="none"/>
        </w:rPr>
        <w:br w:type="page" w:clear="all"/>
      </w:r>
      <w:bookmarkStart w:id="50" w:name="_Toc414602017"/>
      <w:r>
        <w:rPr>
          <w:rFonts w:hint="eastAsia" w:ascii="宋体" w:hAnsi="宋体" w:eastAsia="宋体" w:cs="宋体"/>
          <w:b/>
          <w:bCs/>
          <w:color w:val="000000"/>
          <w:sz w:val="44"/>
          <w:szCs w:val="44"/>
          <w:highlight w:val="none"/>
        </w:rPr>
        <w:t xml:space="preserve">第六章</w:t>
      </w:r>
      <w:r>
        <w:rPr>
          <w:rFonts w:ascii="宋体" w:hAnsi="宋体" w:cs="宋体"/>
          <w:b/>
          <w:bCs/>
          <w:color w:val="000000"/>
          <w:sz w:val="44"/>
          <w:szCs w:val="44"/>
          <w:highlight w:val="none"/>
        </w:rPr>
        <w:t xml:space="preserve"> </w:t>
      </w:r>
      <w:bookmarkStart w:id="51" w:name="评标方法及评分要点"/>
      <w:r>
        <w:rPr>
          <w:rFonts w:hint="eastAsia" w:ascii="宋体" w:hAnsi="宋体" w:eastAsia="宋体" w:cs="宋体"/>
          <w:b/>
          <w:bCs/>
          <w:color w:val="000000"/>
          <w:sz w:val="44"/>
          <w:szCs w:val="44"/>
          <w:highlight w:val="none"/>
        </w:rPr>
        <w:t xml:space="preserve">评标方法及评分要点</w:t>
      </w:r>
      <w:bookmarkEnd w:id="50"/>
      <w:r>
        <w:rPr>
          <w:rFonts w:ascii="宋体" w:hAnsi="宋体" w:cs="宋体"/>
        </w:rPr>
      </w:r>
      <w:bookmarkEnd w:id="51"/>
      <w:r>
        <w:rPr>
          <w:rFonts w:ascii="宋体" w:hAnsi="宋体" w:cs="宋体"/>
        </w:rPr>
      </w:r>
      <w:r/>
    </w:p>
    <w:p>
      <w:pPr>
        <w:pStyle w:val="885"/>
        <w:keepLines w:val="0"/>
        <w:keepNext w:val="0"/>
        <w:pageBreakBefore w:val="0"/>
        <w:spacing w:line="440" w:lineRule="exact"/>
        <w:widowControl w:val="off"/>
        <w:rPr>
          <w:rFonts w:hint="eastAsia" w:ascii="宋体" w:hAnsi="宋体" w:cs="宋体"/>
          <w:b/>
          <w:bCs/>
          <w:color w:val="000000"/>
          <w:sz w:val="21"/>
          <w:szCs w:val="21"/>
          <w:highlight w:val="none"/>
        </w:rPr>
        <w:outlineLvl w:val="9"/>
      </w:pPr>
      <w:r>
        <w:rPr>
          <w:rFonts w:ascii="宋体" w:hAnsi="宋体" w:cs="宋体"/>
          <w:b/>
          <w:bCs/>
          <w:color w:val="000000"/>
          <w:sz w:val="21"/>
          <w:szCs w:val="21"/>
          <w:highlight w:val="none"/>
        </w:rPr>
        <w:t xml:space="preserve">   </w:t>
      </w:r>
      <w:r>
        <w:rPr>
          <w:rFonts w:hint="eastAsia" w:ascii="宋体" w:hAnsi="宋体" w:cs="宋体"/>
          <w:b/>
          <w:bCs/>
          <w:color w:val="000000"/>
          <w:sz w:val="21"/>
          <w:szCs w:val="21"/>
          <w:highlight w:val="none"/>
        </w:rPr>
        <w:t xml:space="preserve">                                   </w:t>
      </w:r>
      <w:r>
        <w:rPr>
          <w:rFonts w:hint="eastAsia" w:ascii="宋体" w:hAnsi="宋体" w:eastAsia="宋体" w:cs="宋体"/>
          <w:b/>
          <w:bCs/>
          <w:color w:val="000000"/>
          <w:sz w:val="21"/>
          <w:szCs w:val="21"/>
          <w:highlight w:val="none"/>
        </w:rPr>
        <w:t xml:space="preserve">  一、评标办法</w:t>
      </w:r>
      <w:r>
        <w:rPr>
          <w:rFonts w:ascii="宋体" w:hAnsi="宋体" w:cs="宋体"/>
        </w:rPr>
      </w:r>
      <w:r/>
    </w:p>
    <w:p>
      <w:pPr>
        <w:pStyle w:val="885"/>
        <w:numPr>
          <w:ilvl w:val="0"/>
          <w:numId w:val="19"/>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本次招标评标采用为综合评分法，即在满足招标文件实质性要求前提下，按照招标文件中规定的评分标准和各项因素进行综合评审后，以评标总得分最高的投标人作为中标候选人。</w:t>
      </w:r>
      <w:r>
        <w:rPr>
          <w:rFonts w:ascii="宋体" w:hAnsi="宋体" w:cs="宋体"/>
        </w:rPr>
      </w:r>
      <w:r/>
    </w:p>
    <w:p>
      <w:pPr>
        <w:pStyle w:val="885"/>
        <w:numPr>
          <w:ilvl w:val="0"/>
          <w:numId w:val="19"/>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评标委员会各成员独立对每个进入打分程序的有效投标人的投标报价、技术文件及资格证明文件三部分内容按百分制打分（计算结果均四舍五入保留两位小数），资格证明文件包括财务状况、信誉、业绩、服务、对招标文件的响应程度。</w:t>
      </w:r>
      <w:r>
        <w:rPr>
          <w:rFonts w:ascii="宋体" w:hAnsi="宋体" w:cs="宋体"/>
        </w:rPr>
      </w:r>
      <w:r/>
    </w:p>
    <w:p>
      <w:pPr>
        <w:pStyle w:val="885"/>
        <w:numPr>
          <w:ilvl w:val="0"/>
          <w:numId w:val="19"/>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如出现评标总得分最高的投标人有两个或两个以上的，以实际投标报价较低者优先作为中标候选人，如果实际投标报价也相同的，则由招标采购单位以抽签方式确定中标候选人。</w:t>
      </w:r>
      <w:r>
        <w:rPr>
          <w:rFonts w:ascii="宋体" w:hAnsi="宋体" w:cs="宋体"/>
        </w:rPr>
      </w:r>
      <w:r/>
    </w:p>
    <w:p>
      <w:pPr>
        <w:pStyle w:val="885"/>
        <w:numPr>
          <w:ilvl w:val="0"/>
          <w:numId w:val="19"/>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b/>
          <w:bCs/>
          <w:color w:val="000000"/>
          <w:sz w:val="21"/>
          <w:szCs w:val="21"/>
          <w:highlight w:val="none"/>
        </w:rPr>
        <w:t xml:space="preserve">非单一产品采购项目，多家投标人提供的核心产品品牌相同的，按照此规定处理。</w:t>
      </w:r>
      <w:r>
        <w:rPr>
          <w:rFonts w:ascii="宋体" w:hAnsi="宋体" w:cs="宋体"/>
        </w:rPr>
      </w:r>
      <w:r/>
    </w:p>
    <w:p>
      <w:pPr>
        <w:pStyle w:val="885"/>
        <w:jc w:val="center"/>
        <w:keepLines w:val="0"/>
        <w:keepNext w:val="0"/>
        <w:pageBreakBefore w:val="0"/>
        <w:spacing w:line="44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二、</w:t>
      </w:r>
      <w:r>
        <w:rPr>
          <w:rFonts w:hint="eastAsia" w:ascii="宋体" w:hAnsi="宋体" w:eastAsia="宋体" w:cs="宋体"/>
          <w:b/>
          <w:bCs/>
          <w:color w:val="000000"/>
          <w:sz w:val="21"/>
          <w:szCs w:val="21"/>
          <w:highlight w:val="none"/>
        </w:rPr>
        <w:t xml:space="preserve">综合</w:t>
      </w:r>
      <w:r>
        <w:rPr>
          <w:rFonts w:hint="eastAsia" w:ascii="宋体" w:hAnsi="宋体" w:eastAsia="宋体" w:cs="宋体"/>
          <w:b/>
          <w:bCs/>
          <w:color w:val="000000"/>
          <w:sz w:val="21"/>
          <w:szCs w:val="21"/>
          <w:highlight w:val="none"/>
        </w:rPr>
        <w:t xml:space="preserve">评分标准</w:t>
      </w:r>
      <w:r>
        <w:rPr>
          <w:rFonts w:ascii="宋体" w:hAnsi="宋体" w:cs="宋体"/>
        </w:rPr>
      </w:r>
      <w:r/>
    </w:p>
    <w:p>
      <w:pPr>
        <w:pStyle w:val="885"/>
        <w:numPr>
          <w:ilvl w:val="0"/>
          <w:numId w:val="20"/>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本次招标的评标方法采用综合评估方法，并以评分方法进行评估，总分值为100分，评审因素及各比重如下：价格分值占总分值的比重为30%（权重），技术与质量及其它占70%（权重）。</w:t>
      </w:r>
      <w:r>
        <w:rPr>
          <w:rFonts w:ascii="宋体" w:hAnsi="宋体" w:cs="宋体"/>
        </w:rPr>
      </w:r>
      <w:r/>
    </w:p>
    <w:p>
      <w:pPr>
        <w:pStyle w:val="885"/>
        <w:jc w:val="center"/>
        <w:keepLines w:val="0"/>
        <w:keepNext w:val="0"/>
        <w:pageBreakBefore w:val="0"/>
        <w:spacing w:line="440" w:lineRule="exact"/>
        <w:widowControl w:val="off"/>
        <w:rPr>
          <w:rFonts w:hint="eastAsia" w:ascii="宋体" w:hAnsi="宋体" w:cs="宋体"/>
          <w:b/>
          <w:bCs/>
          <w:color w:val="000000"/>
          <w:sz w:val="24"/>
          <w:szCs w:val="24"/>
          <w:highlight w:val="none"/>
        </w:rPr>
        <w:outlineLvl w:val="9"/>
      </w:pPr>
      <w:r>
        <w:rPr>
          <w:rFonts w:hint="eastAsia" w:ascii="宋体" w:hAnsi="宋体" w:eastAsia="宋体" w:cs="宋体"/>
          <w:b/>
          <w:bCs/>
          <w:color w:val="000000"/>
          <w:sz w:val="24"/>
          <w:szCs w:val="24"/>
          <w:highlight w:val="none"/>
          <w:lang w:eastAsia="zh-CN"/>
        </w:rPr>
        <w:t xml:space="preserve">第一标段</w:t>
      </w:r>
      <w:r>
        <w:rPr>
          <w:rFonts w:ascii="宋体" w:hAnsi="宋体" w:cs="宋体"/>
        </w:rPr>
      </w:r>
      <w:r/>
    </w:p>
    <w:p>
      <w:pPr>
        <w:pStyle w:val="885"/>
        <w:keepLines w:val="0"/>
        <w:keepNext w:val="0"/>
        <w:pageBreakBefore w:val="0"/>
        <w:spacing w:line="44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（一）报价得分（30分）</w:t>
      </w:r>
      <w:r>
        <w:rPr>
          <w:rFonts w:ascii="宋体" w:hAnsi="宋体" w:cs="宋体"/>
        </w:rPr>
      </w:r>
      <w:r/>
    </w:p>
    <w:p>
      <w:pPr>
        <w:pStyle w:val="885"/>
        <w:numPr>
          <w:ilvl w:val="0"/>
          <w:numId w:val="21"/>
        </w:numPr>
        <w:ind w:left="420" w:hanging="420"/>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投标报价低于或等于采购预算价格（或最高限价）的，为有效投标报价。超采购预算（或最高限价）的投标报价为无效投标报价。无效投标报价的投标文件不进行评审，也不得标。</w:t>
      </w:r>
      <w:r>
        <w:rPr>
          <w:rFonts w:ascii="宋体" w:hAnsi="宋体" w:cs="宋体"/>
        </w:rPr>
      </w:r>
      <w:r/>
    </w:p>
    <w:p>
      <w:pPr>
        <w:pStyle w:val="885"/>
        <w:numPr>
          <w:ilvl w:val="0"/>
          <w:numId w:val="21"/>
        </w:numPr>
        <w:ind w:left="420" w:hanging="420"/>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价格得分计算方法：根据各投标人通过符合性审查的有效投标报价中的最低价作为评标基准价（</w:t>
      </w:r>
      <w:r>
        <w:rPr>
          <w:rFonts w:hint="eastAsia" w:ascii="宋体" w:hAnsi="宋体" w:eastAsia="宋体" w:cs="宋体"/>
          <w:color w:val="000000"/>
          <w:sz w:val="21"/>
          <w:szCs w:val="21"/>
          <w:highlight w:val="none"/>
          <w:lang w:val="en-US" w:eastAsia="zh-CN"/>
        </w:rPr>
        <w:t xml:space="preserve">若投标单位符合相关扶持政策，其投标报价给予20%的扣除</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扣除后的价格用于参与评审</w:t>
      </w:r>
      <w:r>
        <w:rPr>
          <w:rFonts w:hint="eastAsia" w:ascii="宋体" w:hAnsi="宋体" w:eastAsia="宋体" w:cs="宋体"/>
          <w:color w:val="000000"/>
          <w:sz w:val="21"/>
          <w:szCs w:val="21"/>
          <w:highlight w:val="none"/>
        </w:rPr>
        <w:t xml:space="preserve">，如扣除后的价格为最低价的，则作为评标基准价，中标金额则以实际报价为准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。其他投标单位的价格分按照下列公式计算（计算结果四舍五入保留两位小数）：</w:t>
      </w:r>
      <w:r>
        <w:rPr>
          <w:rFonts w:ascii="宋体" w:hAnsi="宋体" w:cs="宋体"/>
        </w:rPr>
      </w:r>
      <w:r/>
    </w:p>
    <w:p>
      <w:pPr>
        <w:pStyle w:val="885"/>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投标报价得分=（评标基准价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投标报价）×价格权值×100，小数点后保留两位。</w:t>
      </w:r>
      <w:r>
        <w:rPr>
          <w:rFonts w:ascii="宋体" w:hAnsi="宋体" w:cs="宋体"/>
        </w:rPr>
      </w:r>
      <w:r/>
    </w:p>
    <w:p>
      <w:pPr>
        <w:pStyle w:val="885"/>
        <w:numPr>
          <w:ilvl w:val="0"/>
          <w:numId w:val="21"/>
        </w:numPr>
        <w:ind w:left="420" w:hanging="420"/>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针对中小型企业、残疾人福利企业和监狱企业的评审：</w:t>
      </w:r>
      <w:r>
        <w:rPr>
          <w:rFonts w:ascii="宋体" w:hAnsi="宋体" w:cs="宋体"/>
        </w:rPr>
      </w:r>
      <w:r/>
    </w:p>
    <w:p>
      <w:pPr>
        <w:pStyle w:val="885"/>
        <w:numPr>
          <w:ilvl w:val="0"/>
          <w:numId w:val="0"/>
        </w:numPr>
        <w:ind w:left="418"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w:t>
      </w:r>
      <w:r>
        <w:rPr>
          <w:rFonts w:hint="eastAsia" w:ascii="宋体" w:hAnsi="宋体" w:eastAsia="宋体" w:cs="宋体"/>
          <w:color w:val="000000"/>
          <w:sz w:val="21"/>
          <w:szCs w:val="21"/>
          <w:highlight w:val="none"/>
        </w:rPr>
        <w:t xml:space="preserve">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标基准价，中标金额则以实际投标报价为准。残疾人福利性单位属于小型、微型企业的，不重复享受政策。供应商提供的货物既有中小企业制造货物，也有大型企业制造货物的，不享受中小企业扶持政策。</w:t>
      </w:r>
      <w:r>
        <w:rPr>
          <w:rFonts w:ascii="宋体" w:hAnsi="宋体" w:cs="宋体"/>
        </w:rPr>
      </w:r>
      <w:r/>
    </w:p>
    <w:p>
      <w:pPr>
        <w:pStyle w:val="885"/>
        <w:numPr>
          <w:ilvl w:val="0"/>
          <w:numId w:val="0"/>
        </w:numPr>
        <w:ind w:left="418"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ascii="宋体" w:hAnsi="宋体" w:cs="宋体"/>
        </w:rPr>
      </w:r>
      <w:r/>
    </w:p>
    <w:p>
      <w:pPr>
        <w:pStyle w:val="885"/>
        <w:numPr>
          <w:ilvl w:val="0"/>
          <w:numId w:val="21"/>
        </w:numPr>
        <w:ind w:left="420" w:hanging="420"/>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本项目对采购本国产品给予政策支持：</w:t>
      </w:r>
      <w:r>
        <w:rPr>
          <w:rFonts w:ascii="宋体" w:hAnsi="宋体" w:cs="宋体"/>
        </w:rPr>
      </w:r>
      <w:r/>
    </w:p>
    <w:p>
      <w:pPr>
        <w:pStyle w:val="885"/>
        <w:numPr>
          <w:ilvl w:val="0"/>
          <w:numId w:val="0"/>
        </w:numPr>
        <w:ind w:left="418"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政府采购活动中既有本国产品又有非本国产品参与竞争的，依法对本国产品给予价格评审优惠，对本国产品的报价给予20%的价格扣除，用扣除后的价格参与评审。</w:t>
      </w:r>
      <w:r>
        <w:rPr>
          <w:rFonts w:ascii="宋体" w:hAnsi="宋体" w:cs="宋体"/>
        </w:rPr>
      </w:r>
      <w:r/>
    </w:p>
    <w:p>
      <w:pPr>
        <w:pStyle w:val="885"/>
        <w:numPr>
          <w:ilvl w:val="0"/>
          <w:numId w:val="0"/>
        </w:numPr>
        <w:ind w:left="418"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公开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rPr>
      </w:r>
      <w:r/>
    </w:p>
    <w:p>
      <w:pPr>
        <w:pStyle w:val="885"/>
        <w:numPr>
          <w:ilvl w:val="0"/>
          <w:numId w:val="0"/>
        </w:numPr>
        <w:ind w:left="418"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供应商需按照招标文件的要求提供《关于符合本国产品标准的声明函》（以下简称《声明函》），如不提供将不享受本国产品价格评审优惠。</w:t>
      </w:r>
      <w:r>
        <w:rPr>
          <w:rFonts w:ascii="宋体" w:hAnsi="宋体" w:cs="宋体"/>
        </w:rPr>
      </w:r>
      <w:r/>
    </w:p>
    <w:p>
      <w:pPr>
        <w:pStyle w:val="885"/>
        <w:numPr>
          <w:ilvl w:val="0"/>
          <w:numId w:val="0"/>
        </w:numPr>
        <w:ind w:left="418"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宋体"/>
        </w:rPr>
      </w:r>
      <w:r/>
    </w:p>
    <w:p>
      <w:pPr>
        <w:pStyle w:val="885"/>
        <w:numPr>
          <w:ilvl w:val="0"/>
          <w:numId w:val="0"/>
        </w:numPr>
        <w:ind w:left="418"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宋体"/>
        </w:rPr>
      </w:r>
      <w:r/>
    </w:p>
    <w:p>
      <w:pPr>
        <w:pStyle w:val="885"/>
        <w:numPr>
          <w:ilvl w:val="0"/>
          <w:numId w:val="0"/>
        </w:numPr>
        <w:ind w:left="418"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注：①填报“中小企业声明函”需严格按“工信部联企业〔2011〕300号通知中的《中小企业划型标准规定》进行。</w:t>
      </w:r>
      <w:r>
        <w:rPr>
          <w:rFonts w:ascii="宋体" w:hAnsi="宋体" w:cs="宋体"/>
        </w:rPr>
      </w:r>
      <w:r/>
    </w:p>
    <w:p>
      <w:pPr>
        <w:pStyle w:val="885"/>
        <w:numPr>
          <w:ilvl w:val="0"/>
          <w:numId w:val="0"/>
        </w:numPr>
        <w:ind w:left="418"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②若供应商提供的声明函或认定证明为虚假材料，按“政府采购法”相关规定处理并报请政府监管部门给予行政处罚。</w:t>
      </w:r>
      <w:r>
        <w:rPr>
          <w:rFonts w:ascii="宋体" w:hAnsi="宋体" w:cs="宋体"/>
        </w:rPr>
      </w:r>
      <w:r/>
    </w:p>
    <w:p>
      <w:pPr>
        <w:pStyle w:val="885"/>
        <w:ind w:left="0" w:right="0"/>
        <w:jc w:val="both"/>
        <w:keepLines w:val="0"/>
        <w:keepNext w:val="0"/>
        <w:pageBreakBefore w:val="0"/>
        <w:spacing w:before="0" w:beforeAutospacing="0" w:after="0" w:afterAutospacing="0" w:line="440" w:lineRule="exact"/>
        <w:widowControl w:val="off"/>
        <w:rPr>
          <w:rFonts w:hint="eastAsia" w:ascii="宋体" w:hAnsi="宋体" w:cs="宋体"/>
          <w:b/>
          <w:bCs w:val="0"/>
          <w:color w:val="000000"/>
          <w:sz w:val="21"/>
          <w:szCs w:val="21"/>
          <w:highlight w:val="none"/>
        </w:rPr>
        <w:outlineLvl w:val="9"/>
        <w:suppressLineNumbers w:val="0"/>
      </w:pPr>
      <w:r>
        <w:rPr>
          <w:rFonts w:hint="eastAsia" w:ascii="宋体" w:hAnsi="宋体" w:eastAsia="宋体" w:cs="宋体"/>
          <w:b/>
          <w:bCs w:val="0"/>
          <w:color w:val="000000"/>
          <w:sz w:val="21"/>
          <w:szCs w:val="21"/>
          <w:highlight w:val="none"/>
          <w:lang w:val="en-US" w:eastAsia="zh-CN" w:bidi="ar"/>
        </w:rPr>
        <w:t xml:space="preserve">（二）投标产品的技术与质量（</w:t>
      </w:r>
      <w:r>
        <w:rPr>
          <w:rFonts w:hint="eastAsia" w:ascii="宋体" w:hAnsi="宋体" w:eastAsia="宋体" w:cs="宋体"/>
          <w:b/>
          <w:bCs w:val="0"/>
          <w:color w:val="000000"/>
          <w:sz w:val="21"/>
          <w:szCs w:val="21"/>
          <w:highlight w:val="none"/>
          <w:lang w:val="en-US" w:eastAsia="zh-CN" w:bidi="ar"/>
        </w:rPr>
        <w:t xml:space="preserve">8</w:t>
      </w:r>
      <w:r>
        <w:rPr>
          <w:rFonts w:hint="eastAsia" w:ascii="宋体" w:hAnsi="宋体" w:eastAsia="宋体" w:cs="宋体"/>
          <w:b/>
          <w:bCs w:val="0"/>
          <w:color w:val="000000"/>
          <w:sz w:val="21"/>
          <w:szCs w:val="21"/>
          <w:highlight w:val="none"/>
          <w:lang w:val="en-US" w:eastAsia="zh-CN" w:bidi="ar"/>
        </w:rPr>
        <w:t xml:space="preserve">分）</w:t>
      </w:r>
      <w:r>
        <w:rPr>
          <w:rFonts w:ascii="宋体" w:hAnsi="宋体" w:cs="宋体"/>
        </w:rPr>
      </w:r>
      <w:r/>
    </w:p>
    <w:p>
      <w:pPr>
        <w:pStyle w:val="885"/>
        <w:ind w:left="0" w:right="0" w:firstLine="422"/>
        <w:jc w:val="both"/>
        <w:keepLines w:val="0"/>
        <w:keepNext w:val="0"/>
        <w:pageBreakBefore w:val="0"/>
        <w:spacing w:before="0" w:beforeAutospacing="0" w:after="0" w:afterAutospacing="0" w:line="440" w:lineRule="exact"/>
        <w:widowControl w:val="off"/>
        <w:rPr>
          <w:rFonts w:hint="eastAsia" w:ascii="宋体" w:hAnsi="宋体" w:cs="宋体"/>
          <w:b/>
          <w:bCs w:val="0"/>
          <w:color w:val="000000"/>
          <w:sz w:val="21"/>
          <w:szCs w:val="21"/>
          <w:highlight w:val="none"/>
        </w:rPr>
        <w:outlineLvl w:val="9"/>
        <w:suppressLineNumbers w:val="0"/>
      </w:pPr>
      <w:r>
        <w:rPr>
          <w:rFonts w:hint="eastAsia" w:ascii="宋体" w:hAnsi="宋体" w:eastAsia="宋体" w:cs="宋体"/>
          <w:b/>
          <w:bCs w:val="0"/>
          <w:color w:val="000000"/>
          <w:sz w:val="21"/>
          <w:szCs w:val="21"/>
          <w:highlight w:val="none"/>
          <w:lang w:val="en-US" w:eastAsia="zh-CN" w:bidi="ar"/>
        </w:rPr>
        <w:t xml:space="preserve">1.投标产品技术质量（包括产品技术参数、产品性能等）情况比较（</w:t>
      </w:r>
      <w:r>
        <w:rPr>
          <w:rFonts w:hint="eastAsia" w:ascii="宋体" w:hAnsi="宋体" w:eastAsia="宋体" w:cs="宋体"/>
          <w:b/>
          <w:bCs w:val="0"/>
          <w:color w:val="000000"/>
          <w:sz w:val="21"/>
          <w:szCs w:val="21"/>
          <w:highlight w:val="none"/>
          <w:lang w:val="en-US" w:eastAsia="zh-CN" w:bidi="ar"/>
        </w:rPr>
        <w:t xml:space="preserve">8</w:t>
      </w:r>
      <w:r>
        <w:rPr>
          <w:rFonts w:hint="eastAsia" w:ascii="宋体" w:hAnsi="宋体" w:eastAsia="宋体" w:cs="宋体"/>
          <w:b/>
          <w:bCs w:val="0"/>
          <w:color w:val="000000"/>
          <w:sz w:val="21"/>
          <w:szCs w:val="21"/>
          <w:highlight w:val="none"/>
          <w:lang w:val="en-US" w:eastAsia="zh-CN" w:bidi="ar"/>
        </w:rPr>
        <w:t xml:space="preserve">分）  </w:t>
      </w:r>
      <w:r>
        <w:rPr>
          <w:rFonts w:ascii="宋体" w:hAnsi="宋体" w:cs="宋体"/>
        </w:rPr>
      </w:r>
      <w:r/>
    </w:p>
    <w:p>
      <w:pPr>
        <w:pStyle w:val="885"/>
        <w:ind w:left="0" w:right="0" w:firstLine="420"/>
        <w:jc w:val="both"/>
        <w:keepLines w:val="0"/>
        <w:keepNext w:val="0"/>
        <w:pageBreakBefore w:val="0"/>
        <w:spacing w:before="0" w:beforeAutospacing="0" w:after="0" w:afterAutospacing="0" w:line="440" w:lineRule="exact"/>
        <w:widowControl w:val="off"/>
        <w:rPr>
          <w:rFonts w:hint="eastAsia" w:ascii="宋体" w:hAnsi="宋体" w:cs="宋体"/>
          <w:bCs/>
          <w:color w:val="000000"/>
          <w:sz w:val="21"/>
          <w:szCs w:val="21"/>
          <w:highlight w:val="none"/>
        </w:rPr>
        <w:outlineLvl w:val="9"/>
        <w:suppressLineNumbers w:val="0"/>
      </w:pPr>
      <w:r>
        <w:rPr>
          <w:rFonts w:ascii="宋体" w:hAnsi="宋体" w:eastAsia="宋体" w:cs="宋体"/>
          <w:bCs/>
          <w:color w:val="000000"/>
          <w:sz w:val="21"/>
          <w:szCs w:val="21"/>
          <w:highlight w:val="none"/>
          <w:lang w:val="en-US" w:eastAsia="zh-CN" w:bidi="ar"/>
        </w:rPr>
        <w:t xml:space="preserve">投标单位须详尽、真实提供投标产品的技术参数表、技术响应对照表，以及设备详细技术特性说明。评委将根据投标设备主要技术参数及功能的符合性进行评分，所投设备技术参数及功能满足或高于招标文件要求的得</w:t>
      </w:r>
      <w:r>
        <w:rPr>
          <w:rFonts w:hint="eastAsia" w:ascii="宋体" w:hAnsi="宋体" w:eastAsia="宋体" w:cs="宋体"/>
          <w:bCs/>
          <w:color w:val="000000"/>
          <w:sz w:val="21"/>
          <w:szCs w:val="21"/>
          <w:highlight w:val="none"/>
          <w:lang w:val="en-US" w:eastAsia="zh-CN" w:bidi="ar"/>
        </w:rPr>
        <w:t xml:space="preserve">8</w:t>
      </w:r>
      <w:r>
        <w:rPr>
          <w:rFonts w:ascii="宋体" w:hAnsi="宋体" w:eastAsia="宋体" w:cs="宋体"/>
          <w:bCs/>
          <w:color w:val="000000"/>
          <w:sz w:val="21"/>
          <w:szCs w:val="21"/>
          <w:highlight w:val="none"/>
          <w:lang w:val="en-US" w:eastAsia="zh-CN" w:bidi="ar"/>
        </w:rPr>
        <w:t xml:space="preserve">分；带“▲”标注的参数为重点参数，重点参数负偏离的，每一项扣</w:t>
      </w:r>
      <w:r>
        <w:rPr>
          <w:rFonts w:hint="eastAsia" w:ascii="宋体" w:hAnsi="宋体" w:eastAsia="宋体" w:cs="宋体"/>
          <w:bCs/>
          <w:color w:val="000000"/>
          <w:sz w:val="21"/>
          <w:szCs w:val="21"/>
          <w:highlight w:val="none"/>
          <w:lang w:val="en-US" w:eastAsia="zh-CN" w:bidi="ar"/>
        </w:rPr>
        <w:t xml:space="preserve">2</w:t>
      </w:r>
      <w:r>
        <w:rPr>
          <w:rFonts w:ascii="宋体" w:hAnsi="宋体" w:eastAsia="宋体" w:cs="宋体"/>
          <w:bCs/>
          <w:color w:val="000000"/>
          <w:sz w:val="21"/>
          <w:szCs w:val="21"/>
          <w:highlight w:val="none"/>
          <w:lang w:val="en-US" w:eastAsia="zh-CN" w:bidi="ar"/>
        </w:rPr>
        <w:t xml:space="preserve">分；其余参数负偏离的，每一项扣</w:t>
      </w:r>
      <w:r>
        <w:rPr>
          <w:rFonts w:hint="eastAsia" w:ascii="宋体" w:hAnsi="宋体" w:eastAsia="宋体" w:cs="宋体"/>
          <w:bCs/>
          <w:color w:val="000000"/>
          <w:sz w:val="21"/>
          <w:szCs w:val="21"/>
          <w:highlight w:val="none"/>
          <w:lang w:val="en-US" w:eastAsia="zh-CN" w:bidi="ar"/>
        </w:rPr>
        <w:t xml:space="preserve">1</w:t>
      </w:r>
      <w:r>
        <w:rPr>
          <w:rFonts w:ascii="宋体" w:hAnsi="宋体" w:eastAsia="宋体" w:cs="宋体"/>
          <w:bCs/>
          <w:color w:val="000000"/>
          <w:sz w:val="21"/>
          <w:szCs w:val="21"/>
          <w:highlight w:val="none"/>
          <w:lang w:val="en-US" w:eastAsia="zh-CN" w:bidi="ar"/>
        </w:rPr>
        <w:t xml:space="preserve">分，直至本项分数扣完为止</w:t>
      </w:r>
      <w:r>
        <w:rPr>
          <w:rFonts w:hint="eastAsia" w:ascii="宋体" w:hAnsi="宋体" w:eastAsia="宋体" w:cs="宋体"/>
          <w:bCs/>
          <w:color w:val="000000"/>
          <w:sz w:val="21"/>
          <w:szCs w:val="21"/>
          <w:highlight w:val="none"/>
          <w:lang w:val="en-US" w:eastAsia="zh-CN" w:bidi="ar"/>
        </w:rPr>
        <w:t xml:space="preserve">。（</w:t>
      </w:r>
      <w:r>
        <w:rPr>
          <w:rFonts w:ascii="宋体" w:hAnsi="宋体" w:eastAsia="宋体" w:cs="宋体"/>
          <w:bCs/>
          <w:color w:val="000000"/>
          <w:sz w:val="21"/>
          <w:szCs w:val="21"/>
          <w:highlight w:val="none"/>
          <w:lang w:val="en-US" w:eastAsia="zh-CN" w:bidi="ar"/>
        </w:rPr>
        <w:t xml:space="preserve">带“▲”标注的参数，投标文件中须</w:t>
      </w:r>
      <w:r>
        <w:rPr>
          <w:rFonts w:hint="eastAsia" w:ascii="宋体" w:hAnsi="宋体" w:eastAsia="宋体" w:cs="宋体"/>
          <w:bCs/>
          <w:color w:val="000000"/>
          <w:sz w:val="21"/>
          <w:szCs w:val="21"/>
          <w:highlight w:val="none"/>
          <w:lang w:val="en-US" w:eastAsia="zh-CN" w:bidi="ar"/>
        </w:rPr>
        <w:t xml:space="preserve">提供</w:t>
      </w:r>
      <w:r>
        <w:rPr>
          <w:rFonts w:ascii="宋体" w:hAnsi="宋体" w:eastAsia="宋体" w:cs="宋体"/>
          <w:bCs/>
          <w:color w:val="000000"/>
          <w:sz w:val="21"/>
          <w:szCs w:val="21"/>
          <w:highlight w:val="none"/>
          <w:lang w:val="en-US" w:eastAsia="zh-CN" w:bidi="ar"/>
        </w:rPr>
        <w:t xml:space="preserve">具有检测资质的检测机构出具的带CMA或CNAS标识的有效检测报告复印件</w:t>
      </w:r>
      <w:r>
        <w:rPr>
          <w:rFonts w:hint="eastAsia" w:ascii="宋体" w:hAnsi="宋体" w:eastAsia="宋体" w:cs="宋体"/>
          <w:bCs/>
          <w:color w:val="000000"/>
          <w:sz w:val="21"/>
          <w:szCs w:val="21"/>
          <w:highlight w:val="none"/>
          <w:lang w:val="en-US" w:eastAsia="zh-CN" w:bidi="ar"/>
        </w:rPr>
        <w:t xml:space="preserve">并</w:t>
      </w:r>
      <w:r>
        <w:rPr>
          <w:rFonts w:ascii="宋体" w:hAnsi="宋体" w:eastAsia="宋体" w:cs="宋体"/>
          <w:bCs/>
          <w:color w:val="000000"/>
          <w:sz w:val="21"/>
          <w:szCs w:val="21"/>
          <w:highlight w:val="none"/>
          <w:lang w:val="en-US" w:eastAsia="zh-CN" w:bidi="ar"/>
        </w:rPr>
        <w:t xml:space="preserve">加盖投标单位公章，未提供该证明材料的，视为参数负偏离，不得分。</w:t>
      </w:r>
      <w:r>
        <w:rPr>
          <w:rFonts w:hint="eastAsia" w:ascii="宋体" w:hAnsi="宋体" w:eastAsia="宋体" w:cs="宋体"/>
          <w:bCs/>
          <w:color w:val="000000"/>
          <w:sz w:val="21"/>
          <w:szCs w:val="21"/>
          <w:highlight w:val="none"/>
          <w:lang w:val="en-US" w:eastAsia="zh-CN" w:bidi="ar"/>
        </w:rPr>
        <w:t xml:space="preserve">）</w:t>
      </w:r>
      <w:r>
        <w:rPr>
          <w:rFonts w:ascii="宋体" w:hAnsi="宋体" w:cs="宋体"/>
        </w:rPr>
      </w:r>
      <w:r/>
    </w:p>
    <w:p>
      <w:pPr>
        <w:pStyle w:val="885"/>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val="zh-CN"/>
        </w:rPr>
        <w:t xml:space="preserve">（三）项目实施方案（</w:t>
      </w:r>
      <w:r>
        <w:rPr>
          <w:rFonts w:hint="eastAsia" w:ascii="宋体" w:hAnsi="宋体" w:eastAsia="宋体" w:cs="宋体"/>
          <w:b/>
          <w:color w:val="000000"/>
          <w:sz w:val="21"/>
          <w:szCs w:val="21"/>
          <w:highlight w:val="none"/>
          <w:lang w:val="en-US" w:eastAsia="zh-CN"/>
        </w:rPr>
        <w:t xml:space="preserve">44</w:t>
      </w:r>
      <w:r>
        <w:rPr>
          <w:rFonts w:hint="eastAsia" w:ascii="宋体" w:hAnsi="宋体" w:eastAsia="宋体" w:cs="宋体"/>
          <w:b/>
          <w:color w:val="000000"/>
          <w:sz w:val="21"/>
          <w:szCs w:val="21"/>
          <w:highlight w:val="none"/>
          <w:lang w:val="zh-CN"/>
        </w:rPr>
        <w:t xml:space="preserve">分）</w:t>
      </w:r>
      <w:r>
        <w:rPr>
          <w:rFonts w:ascii="宋体" w:hAnsi="宋体" w:cs="宋体"/>
        </w:rPr>
      </w:r>
      <w:r/>
    </w:p>
    <w:p>
      <w:pPr>
        <w:pStyle w:val="885"/>
        <w:ind w:firstLine="422"/>
        <w:keepLines w:val="0"/>
        <w:keepNext w:val="0"/>
        <w:pageBreakBefore w:val="0"/>
        <w:spacing w:line="440" w:lineRule="exact"/>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cs="宋体"/>
          <w:b/>
          <w:bCs w:val="0"/>
          <w:color w:val="000000"/>
          <w:sz w:val="21"/>
          <w:szCs w:val="21"/>
          <w:highlight w:val="none"/>
          <w:lang w:val="zh-CN" w:eastAsia="zh-CN"/>
        </w:rPr>
        <w:t xml:space="preserve">项目实训系统理解与方案阐述（</w:t>
      </w:r>
      <w:r>
        <w:rPr>
          <w:rFonts w:hint="eastAsia" w:ascii="宋体" w:hAnsi="宋体" w:eastAsia="宋体" w:cs="宋体"/>
          <w:b/>
          <w:bCs w:val="0"/>
          <w:color w:val="000000"/>
          <w:sz w:val="21"/>
          <w:szCs w:val="21"/>
          <w:highlight w:val="none"/>
          <w:lang w:val="en-US" w:eastAsia="zh-CN"/>
        </w:rPr>
        <w:t xml:space="preserve">20</w:t>
      </w:r>
      <w:r>
        <w:rPr>
          <w:rFonts w:hint="eastAsia" w:ascii="宋体" w:hAnsi="宋体" w:eastAsia="宋体" w:cs="宋体"/>
          <w:b/>
          <w:bCs w:val="0"/>
          <w:color w:val="000000"/>
          <w:sz w:val="21"/>
          <w:szCs w:val="21"/>
          <w:highlight w:val="none"/>
          <w:lang w:val="zh-CN" w:eastAsia="zh-CN"/>
        </w:rPr>
        <w:t xml:space="preserve">分）</w:t>
      </w:r>
      <w:r>
        <w:rPr>
          <w:rFonts w:ascii="宋体" w:hAnsi="宋体" w:cs="宋体"/>
        </w:rPr>
      </w:r>
      <w:r/>
    </w:p>
    <w:p>
      <w:pPr>
        <w:pStyle w:val="885"/>
        <w:ind w:firstLine="420"/>
        <w:keepLines w:val="0"/>
        <w:keepNext w:val="0"/>
        <w:pageBreakBefore w:val="0"/>
        <w:spacing w:line="440" w:lineRule="exact"/>
        <w:widowControl w:val="off"/>
        <w:rPr>
          <w:rFonts w:hint="eastAsia" w:ascii="宋体" w:hAnsi="宋体" w:cs="宋体"/>
          <w:b/>
          <w:bCs w:val="0"/>
          <w:color w:val="000000"/>
          <w:sz w:val="21"/>
          <w:szCs w:val="21"/>
          <w:highlight w:val="none"/>
        </w:rPr>
        <w:outlineLvl w:val="9"/>
      </w:pPr>
      <w:r>
        <w:rPr>
          <w:rFonts w:hint="eastAsia" w:ascii="宋体" w:hAnsi="宋体" w:eastAsia="宋体" w:cs="宋体"/>
          <w:b w:val="0"/>
          <w:bCs/>
          <w:color w:val="000000"/>
          <w:sz w:val="21"/>
          <w:szCs w:val="21"/>
          <w:highlight w:val="none"/>
          <w:lang w:val="zh-CN" w:eastAsia="zh-CN"/>
        </w:rPr>
        <w:t xml:space="preserve">投标单位需结合采购需求及项目现场实际情况，对网络综合实训、数媒技术实训、快递产业实训、智慧物流实训共4个实训室系统的整体方案进行全面阐述。</w:t>
      </w:r>
      <w:r>
        <w:rPr>
          <w:rFonts w:hint="eastAsia" w:ascii="宋体" w:hAnsi="宋体" w:eastAsia="宋体" w:cs="宋体"/>
          <w:b w:val="0"/>
          <w:bCs/>
          <w:color w:val="000000"/>
          <w:sz w:val="21"/>
          <w:szCs w:val="21"/>
          <w:highlight w:val="none"/>
          <w:lang w:val="en-US" w:eastAsia="zh-CN"/>
        </w:rPr>
        <w:t xml:space="preserve">方案阐述准确无误，深度契合项目实际教学实训需求与现场场地条件，对各实训系统的功能定位、设备配置逻辑、系统对接方式、教学场景适配等细节描述详实，可直接指导项目实施的得20分；方案整体阐述准确，核心内容匹配采购要求及现场实际情况，明确各实训系统配置思路与功能实现路径，仅局部设备布局、精细化教学辅助适配等细节不完善，不影响整体实施及核心实训使用</w:t>
      </w:r>
      <w:r>
        <w:rPr>
          <w:rFonts w:hint="eastAsia" w:ascii="宋体" w:hAnsi="宋体" w:eastAsia="宋体" w:cs="宋体"/>
          <w:b w:val="0"/>
          <w:bCs/>
          <w:color w:val="000000"/>
          <w:sz w:val="21"/>
          <w:szCs w:val="21"/>
          <w:highlight w:val="none"/>
          <w:lang w:val="en-US" w:eastAsia="zh-CN"/>
        </w:rPr>
        <w:t xml:space="preserve">的得16分；方案基本合规、响应核心采购需求，能够说明系统组成与基础功能，但未结合现场条件做针对性优化，系统对接、场景适配、布局规划等细节存在缺失，方案精细化与落地指导性一般的得12分；对采购需求理解浅显，仅简单罗列实训系统组成、基础参数与常规功能，未结合项目现场及专属教学需求开展针对性设计，内容片面、通用性强、项目适配性与可操作性弱，仅满足基础响应要求的得8分；方案内容存在明显偏差，未有效响应核心采购需求，实训功能、系统配置、教学适配等内容阐述模糊混乱、核心内容大量缺失，无法支撑项目实施与实训使用的得4分；</w:t>
      </w:r>
      <w:r>
        <w:rPr>
          <w:rFonts w:hint="eastAsia" w:ascii="宋体" w:hAnsi="宋体" w:eastAsia="宋体" w:cs="宋体"/>
          <w:b w:val="0"/>
          <w:bCs/>
          <w:color w:val="000000"/>
          <w:sz w:val="21"/>
          <w:szCs w:val="21"/>
          <w:highlight w:val="none"/>
          <w:lang w:val="zh-CN" w:eastAsia="zh-CN"/>
        </w:rPr>
        <w:t xml:space="preserve">未作出任何说明的不得分</w:t>
      </w:r>
      <w:r>
        <w:rPr>
          <w:rFonts w:hint="eastAsia" w:ascii="宋体" w:hAnsi="宋体" w:eastAsia="宋体" w:cs="宋体"/>
          <w:b w:val="0"/>
          <w:bCs/>
          <w:color w:val="000000"/>
          <w:sz w:val="21"/>
          <w:szCs w:val="21"/>
          <w:highlight w:val="none"/>
          <w:lang w:val="en-US" w:eastAsia="zh-CN"/>
        </w:rPr>
        <w:t xml:space="preserve">。</w:t>
      </w:r>
      <w:r>
        <w:rPr>
          <w:rFonts w:ascii="宋体" w:hAnsi="宋体" w:cs="宋体"/>
        </w:rPr>
      </w:r>
      <w:r/>
    </w:p>
    <w:p>
      <w:pPr>
        <w:pStyle w:val="885"/>
        <w:ind w:firstLine="422"/>
        <w:keepLines w:val="0"/>
        <w:keepNext w:val="0"/>
        <w:pageBreakBefore w:val="0"/>
        <w:spacing w:line="440" w:lineRule="exact"/>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2.</w:t>
      </w:r>
      <w:r>
        <w:rPr>
          <w:rFonts w:hint="eastAsia" w:ascii="宋体" w:hAnsi="宋体" w:eastAsia="宋体" w:cs="宋体"/>
          <w:b/>
          <w:bCs w:val="0"/>
          <w:color w:val="000000"/>
          <w:sz w:val="21"/>
          <w:szCs w:val="21"/>
          <w:highlight w:val="none"/>
          <w:lang w:val="zh-CN" w:eastAsia="zh-CN"/>
        </w:rPr>
        <w:t xml:space="preserve">售后服务方案（1</w:t>
      </w:r>
      <w:r>
        <w:rPr>
          <w:rFonts w:hint="eastAsia" w:ascii="宋体" w:hAnsi="宋体" w:eastAsia="宋体" w:cs="宋体"/>
          <w:b/>
          <w:bCs w:val="0"/>
          <w:color w:val="000000"/>
          <w:sz w:val="21"/>
          <w:szCs w:val="21"/>
          <w:highlight w:val="none"/>
          <w:lang w:val="en-US" w:eastAsia="zh-CN"/>
        </w:rPr>
        <w:t xml:space="preserve">2</w:t>
      </w:r>
      <w:r>
        <w:rPr>
          <w:rFonts w:hint="eastAsia" w:ascii="宋体" w:hAnsi="宋体" w:eastAsia="宋体" w:cs="宋体"/>
          <w:b/>
          <w:bCs w:val="0"/>
          <w:color w:val="000000"/>
          <w:sz w:val="21"/>
          <w:szCs w:val="21"/>
          <w:highlight w:val="none"/>
          <w:lang w:val="zh-CN" w:eastAsia="zh-CN"/>
        </w:rPr>
        <w:t xml:space="preserve">分）</w:t>
      </w:r>
      <w:r>
        <w:rPr>
          <w:rFonts w:ascii="宋体" w:hAnsi="宋体" w:cs="宋体"/>
        </w:rPr>
      </w:r>
      <w:r/>
    </w:p>
    <w:p>
      <w:pPr>
        <w:pStyle w:val="885"/>
        <w:ind w:firstLine="420"/>
        <w:keepLines w:val="0"/>
        <w:keepNext w:val="0"/>
        <w:pageBreakBefore w:val="0"/>
        <w:spacing w:line="440" w:lineRule="exact"/>
        <w:widowControl w:val="off"/>
        <w:rPr>
          <w:rFonts w:hint="eastAsia" w:ascii="宋体" w:hAnsi="宋体" w:cs="宋体"/>
          <w:b/>
          <w:bCs w:val="0"/>
          <w:color w:val="000000"/>
          <w:sz w:val="21"/>
          <w:szCs w:val="21"/>
          <w:highlight w:val="none"/>
        </w:rPr>
        <w:outlineLvl w:val="9"/>
      </w:pPr>
      <w:r>
        <w:rPr>
          <w:rFonts w:hint="eastAsia" w:ascii="宋体" w:hAnsi="宋体" w:eastAsia="宋体" w:cs="宋体"/>
          <w:b w:val="0"/>
          <w:bCs/>
          <w:color w:val="000000"/>
          <w:sz w:val="21"/>
          <w:szCs w:val="21"/>
          <w:highlight w:val="none"/>
          <w:lang w:val="en-US" w:eastAsia="zh-CN"/>
        </w:rPr>
        <w:t xml:space="preserve">根据投标单位提供的售后服务响应时间、服务方式、应急情况处置流程、备品备件保障方案等核心内容的完整性与可行性进行综合评比，售后服务承诺内容完整全面，响应及时高效，服务方式灵活便捷，应急故障处置流程规范、可操作性强，备品备件储备充足，明确供应渠道、更换时限及保障措施，能充分覆盖项目全生命周期运维需求</w:t>
      </w:r>
      <w:r>
        <w:rPr>
          <w:rFonts w:hint="eastAsia" w:ascii="宋体" w:hAnsi="宋体" w:eastAsia="宋体" w:cs="宋体"/>
          <w:b w:val="0"/>
          <w:bCs/>
          <w:color w:val="000000"/>
          <w:sz w:val="21"/>
          <w:szCs w:val="21"/>
          <w:highlight w:val="none"/>
          <w:lang w:val="en-US" w:eastAsia="zh-CN"/>
        </w:rPr>
        <w:t xml:space="preserve">的</w:t>
      </w:r>
      <w:r>
        <w:rPr>
          <w:rFonts w:hint="eastAsia" w:ascii="宋体" w:hAnsi="宋体" w:eastAsia="宋体" w:cs="宋体"/>
          <w:b w:val="0"/>
          <w:bCs/>
          <w:color w:val="000000"/>
          <w:sz w:val="21"/>
          <w:szCs w:val="21"/>
          <w:highlight w:val="none"/>
          <w:lang w:val="en-US" w:eastAsia="zh-CN"/>
        </w:rPr>
        <w:t xml:space="preserve">得12分；售后服务承诺内容较全面，响应时间、服务方式符合要求，应急处置流程合理，具备完善的备品备件保障方案，可满足项目日常运维需求，仅个别细节（如特殊故障应对、备品备件更换效率）略有欠缺</w:t>
      </w:r>
      <w:r>
        <w:rPr>
          <w:rFonts w:hint="eastAsia" w:ascii="宋体" w:hAnsi="宋体" w:eastAsia="宋体" w:cs="宋体"/>
          <w:b w:val="0"/>
          <w:bCs/>
          <w:color w:val="000000"/>
          <w:sz w:val="21"/>
          <w:szCs w:val="21"/>
          <w:highlight w:val="none"/>
          <w:lang w:val="en-US" w:eastAsia="zh-CN"/>
        </w:rPr>
        <w:t xml:space="preserve">的</w:t>
      </w:r>
      <w:r>
        <w:rPr>
          <w:rFonts w:hint="eastAsia" w:ascii="宋体" w:hAnsi="宋体" w:eastAsia="宋体" w:cs="宋体"/>
          <w:b w:val="0"/>
          <w:bCs/>
          <w:color w:val="000000"/>
          <w:sz w:val="21"/>
          <w:szCs w:val="21"/>
          <w:highlight w:val="none"/>
          <w:lang w:val="en-US" w:eastAsia="zh-CN"/>
        </w:rPr>
        <w:t xml:space="preserve">得9分；售后服务承诺内容基本完整，应急处置措施基本可行，具备基础备品备件保障方案，可满足项目常规运维需求，部分核心细节（如响应时限、供应渠道）未明确</w:t>
      </w:r>
      <w:r>
        <w:rPr>
          <w:rFonts w:hint="eastAsia" w:ascii="宋体" w:hAnsi="宋体" w:eastAsia="宋体" w:cs="宋体"/>
          <w:b w:val="0"/>
          <w:bCs/>
          <w:color w:val="000000"/>
          <w:sz w:val="21"/>
          <w:szCs w:val="21"/>
          <w:highlight w:val="none"/>
          <w:lang w:val="en-US" w:eastAsia="zh-CN"/>
        </w:rPr>
        <w:t xml:space="preserve">的</w:t>
      </w:r>
      <w:r>
        <w:rPr>
          <w:rFonts w:hint="eastAsia" w:ascii="宋体" w:hAnsi="宋体" w:eastAsia="宋体" w:cs="宋体"/>
          <w:b w:val="0"/>
          <w:bCs/>
          <w:color w:val="000000"/>
          <w:sz w:val="21"/>
          <w:szCs w:val="21"/>
          <w:highlight w:val="none"/>
          <w:lang w:val="en-US" w:eastAsia="zh-CN"/>
        </w:rPr>
        <w:t xml:space="preserve">得6分；售后服务内容存在明显欠缺，应急情况响应机制不健全，备品备件方案模糊，保障措施合理性差，难以有效支撑项目日常运维</w:t>
      </w:r>
      <w:r>
        <w:rPr>
          <w:rFonts w:hint="eastAsia" w:ascii="宋体" w:hAnsi="宋体" w:eastAsia="宋体" w:cs="宋体"/>
          <w:b w:val="0"/>
          <w:bCs/>
          <w:color w:val="000000"/>
          <w:sz w:val="21"/>
          <w:szCs w:val="21"/>
          <w:highlight w:val="none"/>
          <w:lang w:val="en-US" w:eastAsia="zh-CN"/>
        </w:rPr>
        <w:t xml:space="preserve">的</w:t>
      </w:r>
      <w:r>
        <w:rPr>
          <w:rFonts w:hint="eastAsia" w:ascii="宋体" w:hAnsi="宋体" w:eastAsia="宋体" w:cs="宋体"/>
          <w:b w:val="0"/>
          <w:bCs/>
          <w:color w:val="000000"/>
          <w:sz w:val="21"/>
          <w:szCs w:val="21"/>
          <w:highlight w:val="none"/>
          <w:lang w:val="en-US" w:eastAsia="zh-CN"/>
        </w:rPr>
        <w:t xml:space="preserve">得3分；</w:t>
      </w:r>
      <w:r>
        <w:rPr>
          <w:rFonts w:hint="eastAsia" w:ascii="宋体" w:hAnsi="宋体" w:eastAsia="宋体" w:cs="宋体"/>
          <w:b w:val="0"/>
          <w:bCs/>
          <w:color w:val="000000"/>
          <w:sz w:val="21"/>
          <w:szCs w:val="21"/>
          <w:highlight w:val="none"/>
          <w:lang w:val="zh-CN" w:eastAsia="zh-CN"/>
        </w:rPr>
        <w:t xml:space="preserve">未作出任何说明的不得分。</w:t>
      </w:r>
      <w:r>
        <w:rPr>
          <w:rFonts w:ascii="宋体" w:hAnsi="宋体" w:cs="宋体"/>
        </w:rPr>
      </w:r>
      <w:r/>
    </w:p>
    <w:p>
      <w:pPr>
        <w:pStyle w:val="885"/>
        <w:ind w:firstLine="422"/>
        <w:keepLines w:val="0"/>
        <w:keepNext w:val="0"/>
        <w:pageBreakBefore w:val="0"/>
        <w:spacing w:line="440" w:lineRule="exact"/>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3.</w:t>
      </w:r>
      <w:r>
        <w:rPr>
          <w:rFonts w:hint="eastAsia" w:ascii="宋体" w:hAnsi="宋体" w:eastAsia="宋体" w:cs="宋体"/>
          <w:b/>
          <w:bCs w:val="0"/>
          <w:color w:val="000000"/>
          <w:sz w:val="21"/>
          <w:szCs w:val="21"/>
          <w:highlight w:val="none"/>
          <w:lang w:val="zh-CN" w:eastAsia="zh-CN"/>
        </w:rPr>
        <w:t xml:space="preserve">培训方案（1</w:t>
      </w:r>
      <w:r>
        <w:rPr>
          <w:rFonts w:hint="eastAsia" w:ascii="宋体" w:hAnsi="宋体" w:eastAsia="宋体" w:cs="宋体"/>
          <w:b/>
          <w:bCs w:val="0"/>
          <w:color w:val="000000"/>
          <w:sz w:val="21"/>
          <w:szCs w:val="21"/>
          <w:highlight w:val="none"/>
          <w:lang w:val="en-US" w:eastAsia="zh-CN"/>
        </w:rPr>
        <w:t xml:space="preserve">2</w:t>
      </w:r>
      <w:r>
        <w:rPr>
          <w:rFonts w:hint="eastAsia" w:ascii="宋体" w:hAnsi="宋体" w:eastAsia="宋体" w:cs="宋体"/>
          <w:b/>
          <w:bCs w:val="0"/>
          <w:color w:val="000000"/>
          <w:sz w:val="21"/>
          <w:szCs w:val="21"/>
          <w:highlight w:val="none"/>
          <w:lang w:val="zh-CN" w:eastAsia="zh-CN"/>
        </w:rPr>
        <w:t xml:space="preserve">分）</w:t>
      </w:r>
      <w:r>
        <w:rPr>
          <w:rFonts w:ascii="宋体" w:hAnsi="宋体" w:cs="宋体"/>
        </w:rPr>
      </w:r>
      <w:r/>
    </w:p>
    <w:p>
      <w:pPr>
        <w:pStyle w:val="885"/>
        <w:ind w:firstLine="420"/>
        <w:keepLines w:val="0"/>
        <w:keepNext w:val="0"/>
        <w:pageBreakBefore w:val="0"/>
        <w:spacing w:line="440" w:lineRule="exact"/>
        <w:widowControl w:val="off"/>
        <w:rPr>
          <w:rFonts w:hint="eastAsia" w:ascii="宋体" w:hAnsi="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lang w:val="zh-CN" w:eastAsia="zh-CN"/>
        </w:rPr>
        <w:t xml:space="preserve">根据投标单位提供的培训计划、培训内容、培训时间安排的科学性、全面性与适配性，结合学校教学需求及实训设备操作实际进行综合评比，培训计划科学</w:t>
      </w:r>
      <w:r>
        <w:rPr>
          <w:rFonts w:hint="eastAsia" w:ascii="宋体" w:hAnsi="宋体" w:eastAsia="宋体" w:cs="宋体"/>
          <w:b w:val="0"/>
          <w:bCs/>
          <w:color w:val="000000"/>
          <w:sz w:val="21"/>
          <w:szCs w:val="21"/>
          <w:highlight w:val="none"/>
          <w:lang w:val="zh-CN" w:eastAsia="zh-CN"/>
        </w:rPr>
        <w:t xml:space="preserve">合理，培训内容丰富详实，培训时间充足且适配学校教学节奏，配备完整培训资料及考核方案，能有效确保培训效果的得12分；培训计划合理可行，培训内容覆盖核心要点，培训时间满足基础培训需求，可保障采购人人员掌握核心操作技能，仅培训模块划分不够细致、针对性略有不足的得9分；培训计划基本合理，培训内容基本覆盖核心需求，培训时间基本满足日常培训要求，培训模块划分较简单，针对性一般的得6分；培训内容简略，仅提及基础操作培训，未明确培训模块与具体知识点，培训时间安排不合理，难以保障基本培训效果的得3分；未作出任何说明的不得分。</w:t>
      </w:r>
      <w:r>
        <w:rPr>
          <w:rFonts w:ascii="宋体" w:hAnsi="宋体" w:cs="宋体"/>
        </w:rPr>
      </w:r>
      <w:r/>
    </w:p>
    <w:p>
      <w:pPr>
        <w:pStyle w:val="885"/>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val="zh-CN"/>
        </w:rPr>
        <w:t xml:space="preserve">（四）</w:t>
      </w:r>
      <w:r>
        <w:rPr>
          <w:rFonts w:hint="eastAsia" w:ascii="宋体" w:hAnsi="宋体" w:eastAsia="宋体" w:cs="宋体"/>
          <w:b/>
          <w:bCs/>
          <w:color w:val="000000"/>
          <w:sz w:val="21"/>
          <w:szCs w:val="21"/>
          <w:highlight w:val="none"/>
        </w:rPr>
        <w:t xml:space="preserve">针对本项目</w:t>
      </w:r>
      <w:r>
        <w:rPr>
          <w:rFonts w:hint="eastAsia" w:ascii="宋体" w:hAnsi="宋体" w:eastAsia="宋体" w:cs="宋体"/>
          <w:b/>
          <w:bCs/>
          <w:color w:val="000000"/>
          <w:sz w:val="21"/>
          <w:szCs w:val="21"/>
          <w:highlight w:val="none"/>
          <w:lang w:eastAsia="zh-CN"/>
        </w:rPr>
        <w:t xml:space="preserve">系统</w:t>
      </w:r>
      <w:r>
        <w:rPr>
          <w:rFonts w:hint="eastAsia" w:ascii="宋体" w:hAnsi="宋体" w:eastAsia="宋体" w:cs="宋体"/>
          <w:b/>
          <w:bCs/>
          <w:color w:val="000000"/>
          <w:sz w:val="21"/>
          <w:szCs w:val="21"/>
          <w:highlight w:val="none"/>
        </w:rPr>
        <w:t xml:space="preserve">功能性演示（</w:t>
      </w:r>
      <w:r>
        <w:rPr>
          <w:rFonts w:hint="eastAsia" w:ascii="宋体" w:hAnsi="宋体" w:eastAsia="宋体" w:cs="宋体"/>
          <w:b/>
          <w:bCs/>
          <w:color w:val="000000"/>
          <w:sz w:val="21"/>
          <w:szCs w:val="21"/>
          <w:highlight w:val="none"/>
          <w:lang w:val="en-US" w:eastAsia="zh-CN"/>
        </w:rPr>
        <w:t xml:space="preserve">10</w:t>
      </w:r>
      <w:r>
        <w:rPr>
          <w:rFonts w:hint="eastAsia" w:ascii="宋体" w:hAnsi="宋体" w:eastAsia="宋体" w:cs="宋体"/>
          <w:b/>
          <w:bCs/>
          <w:color w:val="000000"/>
          <w:sz w:val="21"/>
          <w:szCs w:val="21"/>
          <w:highlight w:val="none"/>
        </w:rPr>
        <w:t xml:space="preserve">分）（投标单位需按照招标文件要求进行功能演示，演示时间不得超过15分钟，须按系统要求上传演示文件；单个视频附件压缩包大小不超过50</w:t>
      </w:r>
      <w:r>
        <w:rPr>
          <w:rFonts w:hint="eastAsia" w:ascii="宋体" w:hAnsi="宋体" w:eastAsia="宋体" w:cs="宋体"/>
          <w:b/>
          <w:bCs/>
          <w:color w:val="000000"/>
          <w:sz w:val="21"/>
          <w:szCs w:val="21"/>
          <w:highlight w:val="none"/>
          <w:lang w:eastAsia="zh-CN"/>
        </w:rPr>
        <w:t xml:space="preserve">m</w:t>
      </w:r>
      <w:r>
        <w:rPr>
          <w:rFonts w:hint="eastAsia" w:ascii="宋体" w:hAnsi="宋体" w:eastAsia="宋体" w:cs="宋体"/>
          <w:b/>
          <w:bCs/>
          <w:color w:val="000000"/>
          <w:sz w:val="21"/>
          <w:szCs w:val="21"/>
          <w:highlight w:val="none"/>
        </w:rPr>
        <w:t xml:space="preserve">，整体附件压缩包不超过300</w:t>
      </w:r>
      <w:r>
        <w:rPr>
          <w:rFonts w:hint="eastAsia" w:ascii="宋体" w:hAnsi="宋体" w:eastAsia="宋体" w:cs="宋体"/>
          <w:b/>
          <w:bCs/>
          <w:color w:val="000000"/>
          <w:sz w:val="21"/>
          <w:szCs w:val="21"/>
          <w:highlight w:val="none"/>
          <w:lang w:eastAsia="zh-CN"/>
        </w:rPr>
        <w:t xml:space="preserve">m</w:t>
      </w:r>
      <w:r>
        <w:rPr>
          <w:rFonts w:hint="eastAsia" w:ascii="宋体" w:hAnsi="宋体" w:eastAsia="宋体" w:cs="宋体"/>
          <w:b/>
          <w:bCs/>
          <w:color w:val="000000"/>
          <w:sz w:val="21"/>
          <w:szCs w:val="21"/>
          <w:highlight w:val="none"/>
        </w:rPr>
        <w:t xml:space="preserve">，视频文件格式建议采用</w:t>
      </w:r>
      <w:r>
        <w:rPr>
          <w:rFonts w:hint="eastAsia" w:ascii="宋体" w:hAnsi="宋体" w:eastAsia="宋体" w:cs="宋体"/>
          <w:b/>
          <w:bCs/>
          <w:color w:val="000000"/>
          <w:sz w:val="21"/>
          <w:szCs w:val="21"/>
          <w:highlight w:val="none"/>
          <w:lang w:eastAsia="zh-CN"/>
        </w:rPr>
        <w:t xml:space="preserve">m</w:t>
      </w:r>
      <w:r>
        <w:rPr>
          <w:rFonts w:hint="eastAsia" w:ascii="宋体" w:hAnsi="宋体" w:eastAsia="宋体" w:cs="宋体"/>
          <w:b/>
          <w:bCs/>
          <w:color w:val="000000"/>
          <w:sz w:val="21"/>
          <w:szCs w:val="21"/>
          <w:highlight w:val="none"/>
        </w:rPr>
        <w:t xml:space="preserve">P4、</w:t>
      </w:r>
      <w:r>
        <w:rPr>
          <w:rFonts w:hint="eastAsia" w:ascii="宋体" w:hAnsi="宋体" w:eastAsia="宋体" w:cs="宋体"/>
          <w:b/>
          <w:bCs/>
          <w:color w:val="000000"/>
          <w:sz w:val="21"/>
          <w:szCs w:val="21"/>
          <w:highlight w:val="none"/>
          <w:lang w:eastAsia="zh-CN"/>
        </w:rPr>
        <w:t xml:space="preserve">m</w:t>
      </w:r>
      <w:r>
        <w:rPr>
          <w:rFonts w:hint="eastAsia" w:ascii="宋体" w:hAnsi="宋体" w:eastAsia="宋体" w:cs="宋体"/>
          <w:b/>
          <w:bCs/>
          <w:color w:val="000000"/>
          <w:sz w:val="21"/>
          <w:szCs w:val="21"/>
          <w:highlight w:val="none"/>
        </w:rPr>
        <w:t xml:space="preserve">KV、</w:t>
      </w:r>
      <w:r>
        <w:rPr>
          <w:rFonts w:hint="eastAsia" w:ascii="宋体" w:hAnsi="宋体" w:eastAsia="宋体" w:cs="宋体"/>
          <w:b/>
          <w:bCs/>
          <w:color w:val="000000"/>
          <w:sz w:val="21"/>
          <w:szCs w:val="21"/>
          <w:highlight w:val="none"/>
          <w:lang w:eastAsia="zh-CN"/>
        </w:rPr>
        <w:t xml:space="preserve">m</w:t>
      </w:r>
      <w:r>
        <w:rPr>
          <w:rFonts w:hint="eastAsia" w:ascii="宋体" w:hAnsi="宋体" w:eastAsia="宋体" w:cs="宋体"/>
          <w:b/>
          <w:bCs/>
          <w:color w:val="000000"/>
          <w:sz w:val="21"/>
          <w:szCs w:val="21"/>
          <w:highlight w:val="none"/>
        </w:rPr>
        <w:t xml:space="preserve">OV、AVI格式。演示内容需确保真实，且将作为项目履约验收的重要参考依据；若因投标单位上传文件本身损坏等自身原因导致演示资料无法正常读取，将视为无效演示，该项不得分，相关责任由投标单位自行承担。）</w:t>
      </w:r>
      <w:r>
        <w:rPr>
          <w:rFonts w:ascii="宋体" w:hAnsi="宋体" w:cs="宋体"/>
        </w:rPr>
      </w:r>
      <w:r/>
    </w:p>
    <w:p>
      <w:pPr>
        <w:pStyle w:val="885"/>
        <w:ind w:firstLine="422"/>
        <w:keepLines w:val="0"/>
        <w:keepNext w:val="0"/>
        <w:pageBreakBefore w:val="0"/>
        <w:spacing w:line="440" w:lineRule="exact"/>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1.信息传媒系-网络综合实训-智能网络教学实训平台（2分）</w:t>
      </w:r>
      <w:r>
        <w:rPr>
          <w:rFonts w:ascii="宋体" w:hAnsi="宋体" w:cs="宋体"/>
        </w:rPr>
      </w:r>
      <w:r/>
    </w:p>
    <w:p>
      <w:pPr>
        <w:pStyle w:val="885"/>
        <w:ind w:firstLine="420"/>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支持考试一键督促功能，在考试截止时间前，支持教师对未提交试卷的学生进行督促，学生会接收到相应的消息提醒。</w:t>
      </w:r>
      <w:r>
        <w:rPr>
          <w:rFonts w:ascii="宋体" w:hAnsi="宋体" w:cs="宋体"/>
        </w:rPr>
      </w:r>
      <w:r/>
    </w:p>
    <w:p>
      <w:pPr>
        <w:pStyle w:val="885"/>
        <w:ind w:firstLine="422"/>
        <w:keepLines w:val="0"/>
        <w:keepNext w:val="0"/>
        <w:pageBreakBefore w:val="0"/>
        <w:spacing w:line="440" w:lineRule="exact"/>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2.信息传媒系-网络综合实训-智能网络教学实训平台（2分）</w:t>
      </w:r>
      <w:r>
        <w:rPr>
          <w:rFonts w:ascii="宋体" w:hAnsi="宋体" w:cs="宋体"/>
        </w:rPr>
      </w:r>
      <w:r/>
    </w:p>
    <w:p>
      <w:pPr>
        <w:pStyle w:val="885"/>
        <w:ind w:firstLine="420"/>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机架实验的设备控制台（命令行界面）支持弹窗显示，可以同时多台设备的控制台（命令行界面）于同一个弹窗界面内，弹窗界面可以进行不同设备控制台（命令行界面）的切换。</w:t>
      </w:r>
      <w:r>
        <w:rPr>
          <w:rFonts w:ascii="宋体" w:hAnsi="宋体" w:cs="宋体"/>
        </w:rPr>
      </w:r>
      <w:r/>
    </w:p>
    <w:p>
      <w:pPr>
        <w:pStyle w:val="885"/>
        <w:ind w:firstLine="422"/>
        <w:keepLines w:val="0"/>
        <w:keepNext w:val="0"/>
        <w:pageBreakBefore w:val="0"/>
        <w:spacing w:line="440" w:lineRule="exact"/>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3.商务管理系-快递产业实训-大数据供应链实践软件平台（2分）</w:t>
      </w:r>
      <w:r>
        <w:rPr>
          <w:rFonts w:ascii="宋体" w:hAnsi="宋体" w:cs="宋体"/>
        </w:rPr>
      </w:r>
      <w:r/>
    </w:p>
    <w:p>
      <w:pPr>
        <w:pStyle w:val="885"/>
        <w:ind w:firstLine="420"/>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任务开发管理，支持ETL任务，Hive任务，ZIP任务，Shell任务，Python任务，工作流任务类型，同时任务类型支持按照分钟、小时、天、周、月、临时接口/上游触发等多种时间周期设置调度策略；提供在线代码编辑器、在线代码版本管理和在线测试功能进行代码逻辑验证。</w:t>
      </w:r>
      <w:r>
        <w:rPr>
          <w:rFonts w:ascii="宋体" w:hAnsi="宋体" w:cs="宋体"/>
        </w:rPr>
      </w:r>
      <w:r/>
    </w:p>
    <w:p>
      <w:pPr>
        <w:pStyle w:val="885"/>
        <w:ind w:firstLine="422"/>
        <w:keepLines w:val="0"/>
        <w:keepNext w:val="0"/>
        <w:pageBreakBefore w:val="0"/>
        <w:spacing w:line="440" w:lineRule="exact"/>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4.商务管理系-快递产业实训-大数据供应链实践软件平台（2分）</w:t>
      </w:r>
      <w:r>
        <w:rPr>
          <w:rFonts w:ascii="宋体" w:hAnsi="宋体" w:cs="宋体"/>
        </w:rPr>
      </w:r>
      <w:r/>
    </w:p>
    <w:p>
      <w:pPr>
        <w:pStyle w:val="885"/>
        <w:ind w:firstLine="420"/>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可视化及自助分析，提供拖拽即可得的大数据自助可视化分析能力，面向业务和数据分析师的敏捷高效的商业智能分析和报表制作工具，支持多维度数据分析需求进行报表开发，支持多种图表样式近，包括表格、柱状图、折线图、散点图、地图、热力图、饼图各种各样的图表样式，满足不同的分析需求，服务不同的业务场景。</w:t>
      </w:r>
      <w:r>
        <w:rPr>
          <w:rFonts w:ascii="宋体" w:hAnsi="宋体" w:cs="宋体"/>
        </w:rPr>
      </w:r>
      <w:r/>
    </w:p>
    <w:p>
      <w:pPr>
        <w:pStyle w:val="885"/>
        <w:ind w:firstLine="422"/>
        <w:keepLines w:val="0"/>
        <w:keepNext w:val="0"/>
        <w:pageBreakBefore w:val="0"/>
        <w:spacing w:line="440" w:lineRule="exact"/>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5</w:t>
      </w:r>
      <w:r>
        <w:rPr>
          <w:rFonts w:hint="eastAsia" w:ascii="宋体" w:hAnsi="宋体" w:eastAsia="宋体" w:cs="宋体"/>
          <w:b/>
          <w:bCs w:val="0"/>
          <w:color w:val="000000"/>
          <w:sz w:val="21"/>
          <w:szCs w:val="21"/>
          <w:highlight w:val="none"/>
          <w:lang w:val="en-US" w:eastAsia="zh-CN"/>
        </w:rPr>
        <w:t xml:space="preserve">.商务管理系-智慧物流实训-智慧生产物流管控实训软件（2分）</w:t>
      </w:r>
      <w:r>
        <w:rPr>
          <w:rFonts w:ascii="宋体" w:hAnsi="宋体" w:cs="宋体"/>
        </w:rPr>
      </w:r>
      <w:r/>
    </w:p>
    <w:p>
      <w:pPr>
        <w:pStyle w:val="885"/>
        <w:ind w:firstLine="420"/>
        <w:keepLines w:val="0"/>
        <w:keepNext w:val="0"/>
        <w:pageBreakBefore w:val="0"/>
        <w:spacing w:line="440" w:lineRule="exact"/>
        <w:widowControl w:val="off"/>
        <w:rPr>
          <w:rFonts w:hint="eastAsia" w:ascii="宋体" w:hAnsi="宋体" w:cs="宋体"/>
          <w:color w:val="000000"/>
          <w:highlight w:val="none"/>
        </w:rPr>
        <w:outlineLvl w:val="9"/>
      </w:pPr>
      <w:r>
        <w:rPr>
          <w:rFonts w:hint="eastAsia" w:ascii="宋体" w:hAnsi="宋体" w:eastAsia="宋体" w:cs="宋体"/>
          <w:b w:val="0"/>
          <w:bCs/>
          <w:color w:val="000000"/>
          <w:sz w:val="21"/>
          <w:szCs w:val="21"/>
          <w:highlight w:val="none"/>
          <w:lang w:val="en-US" w:eastAsia="zh-CN"/>
        </w:rPr>
        <w:t xml:space="preserve">用户可通过产线看板对产线生产情况进行监控，看板显示生产工单目标产量、已生产量、待生产量、生产进度及工位原料库存、产品库存。根据工位的库存数据不同，显示补料及缺料状态，并显示物料在途库存。当系统自动生成生产领料单或补料计划时，系统将在看板发布作业通知消息，提示用户进行后续作业操作。</w:t>
      </w:r>
      <w:r>
        <w:rPr>
          <w:rFonts w:ascii="宋体" w:hAnsi="宋体" w:cs="宋体"/>
        </w:rPr>
      </w:r>
      <w:r/>
    </w:p>
    <w:p>
      <w:pPr>
        <w:pStyle w:val="885"/>
        <w:ind w:firstLine="422"/>
        <w:keepLines w:val="0"/>
        <w:keepNext w:val="0"/>
        <w:pageBreakBefore w:val="0"/>
        <w:spacing w:line="440" w:lineRule="exact"/>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注：上述</w:t>
      </w: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cs="宋体"/>
          <w:b/>
          <w:bCs w:val="0"/>
          <w:color w:val="000000"/>
          <w:sz w:val="21"/>
          <w:szCs w:val="21"/>
          <w:highlight w:val="none"/>
          <w:lang w:val="en-US" w:eastAsia="zh-CN"/>
        </w:rPr>
        <w:t xml:space="preserve">-</w:t>
      </w:r>
      <w:r>
        <w:rPr>
          <w:rFonts w:hint="eastAsia" w:ascii="宋体" w:hAnsi="宋体" w:eastAsia="宋体" w:cs="宋体"/>
          <w:b/>
          <w:bCs w:val="0"/>
          <w:color w:val="000000"/>
          <w:sz w:val="21"/>
          <w:szCs w:val="21"/>
          <w:highlight w:val="none"/>
          <w:lang w:val="en-US" w:eastAsia="zh-CN"/>
        </w:rPr>
        <w:t xml:space="preserve">5</w:t>
      </w:r>
      <w:r>
        <w:rPr>
          <w:rFonts w:hint="eastAsia" w:ascii="宋体" w:hAnsi="宋体" w:eastAsia="宋体" w:cs="宋体"/>
          <w:b/>
          <w:bCs w:val="0"/>
          <w:color w:val="000000"/>
          <w:sz w:val="21"/>
          <w:szCs w:val="21"/>
          <w:highlight w:val="none"/>
          <w:lang w:val="en-US" w:eastAsia="zh-CN"/>
        </w:rPr>
        <w:t xml:space="preserve">项，演示内容齐全、操作流畅、界面清晰、实现功能要求的，每实现一项得</w:t>
      </w:r>
      <w:r>
        <w:rPr>
          <w:rFonts w:hint="eastAsia" w:ascii="宋体" w:hAnsi="宋体" w:eastAsia="宋体" w:cs="宋体"/>
          <w:b/>
          <w:bCs w:val="0"/>
          <w:color w:val="000000"/>
          <w:sz w:val="21"/>
          <w:szCs w:val="21"/>
          <w:highlight w:val="none"/>
          <w:lang w:val="en-US" w:eastAsia="zh-CN"/>
        </w:rPr>
        <w:t xml:space="preserve">2</w:t>
      </w:r>
      <w:r>
        <w:rPr>
          <w:rFonts w:hint="eastAsia" w:ascii="宋体" w:hAnsi="宋体" w:eastAsia="宋体" w:cs="宋体"/>
          <w:b/>
          <w:bCs w:val="0"/>
          <w:color w:val="000000"/>
          <w:sz w:val="21"/>
          <w:szCs w:val="21"/>
          <w:highlight w:val="none"/>
          <w:lang w:val="en-US" w:eastAsia="zh-CN"/>
        </w:rPr>
        <w:t xml:space="preserve">分，未提供的不得分。</w:t>
      </w:r>
      <w:r>
        <w:rPr>
          <w:rFonts w:ascii="宋体" w:hAnsi="宋体" w:cs="宋体"/>
        </w:rPr>
      </w:r>
      <w:r/>
    </w:p>
    <w:p>
      <w:pPr>
        <w:pStyle w:val="885"/>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val="zh-CN"/>
        </w:rPr>
        <w:t xml:space="preserve">（五）</w:t>
      </w:r>
      <w:r>
        <w:rPr>
          <w:rFonts w:hint="eastAsia" w:ascii="宋体" w:hAnsi="宋体" w:eastAsia="宋体" w:cs="宋体"/>
          <w:b/>
          <w:color w:val="000000"/>
          <w:sz w:val="21"/>
          <w:szCs w:val="21"/>
          <w:highlight w:val="none"/>
        </w:rPr>
        <w:t xml:space="preserve">投标单位综合实力</w:t>
      </w:r>
      <w:r>
        <w:rPr>
          <w:rFonts w:hint="eastAsia" w:ascii="宋体" w:hAnsi="宋体" w:eastAsia="宋体" w:cs="宋体"/>
          <w:b/>
          <w:color w:val="000000"/>
          <w:sz w:val="21"/>
          <w:szCs w:val="21"/>
          <w:highlight w:val="none"/>
          <w:lang w:val="zh-CN"/>
        </w:rPr>
        <w:t xml:space="preserve">（</w:t>
      </w:r>
      <w:r>
        <w:rPr>
          <w:rFonts w:hint="eastAsia" w:ascii="宋体" w:hAnsi="宋体" w:eastAsia="宋体" w:cs="宋体"/>
          <w:b/>
          <w:color w:val="000000"/>
          <w:sz w:val="21"/>
          <w:szCs w:val="21"/>
          <w:highlight w:val="none"/>
          <w:lang w:val="en-US" w:eastAsia="zh-CN"/>
        </w:rPr>
        <w:t xml:space="preserve">8</w:t>
      </w:r>
      <w:r>
        <w:rPr>
          <w:rFonts w:hint="eastAsia" w:ascii="宋体" w:hAnsi="宋体" w:eastAsia="宋体" w:cs="宋体"/>
          <w:b/>
          <w:color w:val="000000"/>
          <w:sz w:val="21"/>
          <w:szCs w:val="21"/>
          <w:highlight w:val="none"/>
          <w:lang w:val="zh-CN"/>
        </w:rPr>
        <w:t xml:space="preserve">分）</w:t>
      </w:r>
      <w:r>
        <w:rPr>
          <w:rFonts w:ascii="宋体" w:hAnsi="宋体" w:cs="宋体"/>
        </w:rPr>
      </w:r>
      <w:r/>
    </w:p>
    <w:p>
      <w:pPr>
        <w:pStyle w:val="885"/>
        <w:ind w:firstLine="422"/>
        <w:keepLines w:val="0"/>
        <w:keepNext w:val="0"/>
        <w:pageBreakBefore w:val="0"/>
        <w:spacing w:line="440" w:lineRule="exact"/>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1.项目负责人（3分）</w:t>
      </w:r>
      <w:r>
        <w:rPr>
          <w:rFonts w:ascii="宋体" w:hAnsi="宋体" w:cs="宋体"/>
        </w:rPr>
      </w:r>
      <w:r/>
    </w:p>
    <w:p>
      <w:pPr>
        <w:pStyle w:val="885"/>
        <w:ind w:firstLine="420"/>
        <w:keepLines w:val="0"/>
        <w:keepNext w:val="0"/>
        <w:pageBreakBefore w:val="0"/>
        <w:spacing w:line="440" w:lineRule="exact"/>
        <w:widowControl w:val="off"/>
        <w:rPr>
          <w:rFonts w:hint="eastAsia" w:ascii="宋体" w:hAnsi="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lang w:val="en-US" w:eastAsia="zh-CN"/>
        </w:rPr>
        <w:t xml:space="preserve">项目负责人具备信息系统项目管理师证书的得1分；具备ITSS信息技术应用创新服务工程师证书的得1分；具备信息安全工程师的得1分；本项最高得3分。</w:t>
      </w:r>
      <w:r>
        <w:rPr>
          <w:rFonts w:ascii="宋体" w:hAnsi="宋体" w:cs="宋体"/>
        </w:rPr>
      </w:r>
      <w:r/>
    </w:p>
    <w:p>
      <w:pPr>
        <w:pStyle w:val="885"/>
        <w:ind w:firstLine="422"/>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rPr>
        <w:t xml:space="preserve">2.</w:t>
      </w:r>
      <w:r>
        <w:rPr>
          <w:rFonts w:hint="eastAsia" w:ascii="宋体" w:hAnsi="宋体" w:eastAsia="宋体" w:cs="宋体"/>
          <w:b/>
          <w:color w:val="000000"/>
          <w:sz w:val="21"/>
          <w:szCs w:val="21"/>
          <w:highlight w:val="none"/>
        </w:rPr>
        <w:t xml:space="preserve">项目组成员</w:t>
      </w:r>
      <w:r>
        <w:rPr>
          <w:rFonts w:hint="eastAsia" w:ascii="宋体" w:hAnsi="宋体" w:eastAsia="宋体" w:cs="宋体"/>
          <w:b/>
          <w:color w:val="000000"/>
          <w:sz w:val="21"/>
          <w:szCs w:val="21"/>
          <w:highlight w:val="none"/>
          <w:lang w:eastAsia="zh-CN"/>
        </w:rPr>
        <w:t xml:space="preserve">（除项目负责人外）</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2</w:t>
      </w:r>
      <w:r>
        <w:rPr>
          <w:rFonts w:hint="eastAsia" w:ascii="宋体" w:hAnsi="宋体" w:eastAsia="宋体" w:cs="宋体"/>
          <w:b/>
          <w:color w:val="000000"/>
          <w:sz w:val="21"/>
          <w:szCs w:val="21"/>
          <w:highlight w:val="none"/>
        </w:rPr>
        <w:t xml:space="preserve">分）</w:t>
      </w:r>
      <w:r>
        <w:rPr>
          <w:rFonts w:ascii="宋体" w:hAnsi="宋体" w:cs="宋体"/>
        </w:rPr>
      </w:r>
      <w:r/>
    </w:p>
    <w:p>
      <w:pPr>
        <w:pStyle w:val="885"/>
        <w:ind w:firstLine="420"/>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（1）项目组成员（除项目负责人外）中具备系统集成项目管理工程师证书的得1分</w:t>
      </w:r>
      <w:r>
        <w:rPr>
          <w:rFonts w:hint="eastAsia" w:ascii="宋体" w:hAnsi="宋体" w:eastAsia="宋体" w:cs="宋体"/>
          <w:bCs/>
          <w:color w:val="000000"/>
          <w:sz w:val="21"/>
          <w:szCs w:val="21"/>
          <w:highlight w:val="none"/>
          <w:lang w:val="en-US" w:eastAsia="zh-CN"/>
        </w:rPr>
        <w:t xml:space="preserve">；</w:t>
      </w:r>
      <w:r>
        <w:rPr>
          <w:rFonts w:ascii="宋体" w:hAnsi="宋体" w:cs="宋体"/>
        </w:rPr>
      </w:r>
      <w:r/>
    </w:p>
    <w:p>
      <w:pPr>
        <w:pStyle w:val="885"/>
        <w:ind w:firstLine="420"/>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（2）项目组成员（除项目负责人外）中具备数据安全工程师（高级）证书的得1分</w:t>
      </w:r>
      <w:r>
        <w:rPr>
          <w:rFonts w:hint="eastAsia" w:ascii="宋体" w:hAnsi="宋体" w:eastAsia="宋体" w:cs="宋体"/>
          <w:bCs/>
          <w:color w:val="000000"/>
          <w:sz w:val="21"/>
          <w:szCs w:val="21"/>
          <w:highlight w:val="none"/>
          <w:lang w:val="en-US" w:eastAsia="zh-CN"/>
        </w:rPr>
        <w:t xml:space="preserve">。</w:t>
      </w:r>
      <w:r>
        <w:rPr>
          <w:rFonts w:ascii="宋体" w:hAnsi="宋体" w:cs="宋体"/>
        </w:rPr>
      </w:r>
      <w:r/>
    </w:p>
    <w:p>
      <w:pPr>
        <w:pStyle w:val="885"/>
        <w:ind w:firstLine="422"/>
        <w:jc w:val="left"/>
        <w:keepLines w:val="0"/>
        <w:keepNext w:val="0"/>
        <w:pageBreakBefore w:val="0"/>
        <w:spacing w:line="44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注：</w:t>
      </w:r>
      <w:r>
        <w:rPr>
          <w:rFonts w:hint="eastAsia" w:ascii="宋体" w:hAnsi="宋体" w:eastAsia="宋体" w:cs="宋体"/>
          <w:b/>
          <w:bCs/>
          <w:color w:val="000000"/>
          <w:sz w:val="21"/>
          <w:szCs w:val="21"/>
          <w:highlight w:val="none"/>
          <w:lang w:bidi="ar"/>
        </w:rPr>
        <w:t xml:space="preserve">上述</w:t>
      </w:r>
      <w:r>
        <w:rPr>
          <w:rFonts w:hint="eastAsia" w:ascii="宋体" w:hAnsi="宋体" w:eastAsia="宋体" w:cs="宋体"/>
          <w:b/>
          <w:bCs/>
          <w:color w:val="000000"/>
          <w:sz w:val="21"/>
          <w:szCs w:val="21"/>
          <w:highlight w:val="none"/>
          <w:lang w:val="en-US" w:eastAsia="zh-CN"/>
        </w:rPr>
        <w:t xml:space="preserve">1-2</w:t>
      </w:r>
      <w:r>
        <w:rPr>
          <w:rFonts w:hint="eastAsia" w:ascii="宋体" w:hAnsi="宋体" w:eastAsia="宋体" w:cs="宋体"/>
          <w:b/>
          <w:bCs/>
          <w:color w:val="000000"/>
          <w:sz w:val="21"/>
          <w:szCs w:val="21"/>
          <w:highlight w:val="none"/>
        </w:rPr>
        <w:t xml:space="preserve">项，投标文件中提供相应人员证书复印件及由社保部门出具的投标单位为其缴纳的近六个月社保证明材料复印件并加盖投标单位公章，缺失、不符或未提供的均不得分。</w:t>
      </w:r>
      <w:r>
        <w:rPr>
          <w:rFonts w:ascii="宋体" w:hAnsi="宋体" w:cs="宋体"/>
        </w:rPr>
      </w:r>
      <w:r/>
    </w:p>
    <w:p>
      <w:pPr>
        <w:pStyle w:val="885"/>
        <w:ind w:firstLine="422"/>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rPr>
        <w:t xml:space="preserve">3.体系</w:t>
      </w:r>
      <w:r>
        <w:rPr>
          <w:rFonts w:hint="eastAsia" w:ascii="宋体" w:hAnsi="宋体" w:eastAsia="宋体" w:cs="宋体"/>
          <w:b/>
          <w:color w:val="000000"/>
          <w:sz w:val="21"/>
          <w:szCs w:val="21"/>
          <w:highlight w:val="none"/>
        </w:rPr>
        <w:t xml:space="preserve">认证证书（</w:t>
      </w: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分）</w:t>
      </w:r>
      <w:r>
        <w:rPr>
          <w:rFonts w:ascii="宋体" w:hAnsi="宋体" w:cs="宋体"/>
        </w:rPr>
      </w:r>
      <w:r/>
    </w:p>
    <w:p>
      <w:pPr>
        <w:pStyle w:val="885"/>
        <w:ind w:firstLine="420"/>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（1）投标单位具有有效的质量管理体系认证证书的得1分；</w:t>
      </w:r>
      <w:r>
        <w:rPr>
          <w:rFonts w:ascii="宋体" w:hAnsi="宋体" w:cs="宋体"/>
        </w:rPr>
      </w:r>
      <w:r/>
    </w:p>
    <w:p>
      <w:pPr>
        <w:pStyle w:val="885"/>
        <w:ind w:firstLine="420"/>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（2）投标单位具有有效的环境管理体系认证证书的得1分；</w:t>
      </w:r>
      <w:r>
        <w:rPr>
          <w:rFonts w:ascii="宋体" w:hAnsi="宋体" w:cs="宋体"/>
        </w:rPr>
      </w:r>
      <w:r/>
    </w:p>
    <w:p>
      <w:pPr>
        <w:pStyle w:val="885"/>
        <w:ind w:firstLine="420"/>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（3）投标单位具有有效的信息技术服务管理体系认证证书的得1分。</w:t>
      </w:r>
      <w:r>
        <w:rPr>
          <w:rFonts w:ascii="宋体" w:hAnsi="宋体" w:cs="宋体"/>
        </w:rPr>
      </w:r>
      <w:r/>
    </w:p>
    <w:p>
      <w:pPr>
        <w:pStyle w:val="885"/>
        <w:ind w:firstLine="422"/>
        <w:jc w:val="left"/>
        <w:keepLines w:val="0"/>
        <w:keepNext w:val="0"/>
        <w:pageBreakBefore w:val="0"/>
        <w:spacing w:line="44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注：</w:t>
      </w:r>
      <w:r>
        <w:rPr>
          <w:rFonts w:hint="eastAsia" w:ascii="宋体" w:hAnsi="宋体" w:eastAsia="宋体" w:cs="宋体"/>
          <w:b/>
          <w:bCs/>
          <w:color w:val="000000"/>
          <w:sz w:val="21"/>
          <w:szCs w:val="21"/>
          <w:highlight w:val="none"/>
          <w:lang w:bidi="ar"/>
        </w:rPr>
        <w:t xml:space="preserve">上述</w:t>
      </w: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）项，投标文件中提供有效的证书复印件并加盖投标单位公章，缺失、不符或未提供的均不得分。</w:t>
      </w:r>
      <w:r>
        <w:rPr>
          <w:rFonts w:ascii="宋体" w:hAnsi="宋体" w:cs="宋体"/>
        </w:rPr>
      </w:r>
      <w:r/>
    </w:p>
    <w:p>
      <w:pPr>
        <w:pStyle w:val="897"/>
        <w:rPr>
          <w:rFonts w:hint="eastAsia" w:ascii="宋体" w:hAnsi="宋体" w:cs="宋体"/>
          <w:color w:val="000000"/>
        </w:rPr>
      </w:pPr>
      <w:r>
        <w:rPr>
          <w:rFonts w:hint="eastAsia" w:ascii="宋体" w:hAnsi="宋体" w:cs="宋体"/>
          <w:color w:val="000000"/>
        </w:rPr>
      </w:r>
      <w:r>
        <w:rPr>
          <w:rFonts w:ascii="宋体" w:hAnsi="宋体" w:cs="宋体"/>
        </w:rPr>
      </w:r>
      <w:r/>
    </w:p>
    <w:p>
      <w:pPr>
        <w:pStyle w:val="885"/>
        <w:jc w:val="center"/>
        <w:keepLines w:val="0"/>
        <w:keepNext w:val="0"/>
        <w:pageBreakBefore w:val="0"/>
        <w:spacing w:line="440" w:lineRule="exact"/>
        <w:widowControl w:val="off"/>
        <w:rPr>
          <w:rFonts w:hint="eastAsia" w:ascii="宋体" w:hAnsi="宋体" w:cs="宋体"/>
          <w:b/>
          <w:bCs/>
          <w:color w:val="000000"/>
          <w:sz w:val="24"/>
          <w:szCs w:val="24"/>
          <w:highlight w:val="none"/>
        </w:rPr>
        <w:outlineLvl w:val="9"/>
      </w:pPr>
      <w:r>
        <w:rPr>
          <w:rFonts w:hint="eastAsia" w:ascii="宋体" w:hAnsi="宋体" w:eastAsia="宋体" w:cs="宋体"/>
          <w:b/>
          <w:bCs/>
          <w:color w:val="000000"/>
          <w:sz w:val="24"/>
          <w:szCs w:val="24"/>
          <w:highlight w:val="none"/>
          <w:lang w:eastAsia="zh-CN"/>
        </w:rPr>
        <w:t xml:space="preserve">第</w:t>
      </w: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lang w:eastAsia="zh-CN"/>
        </w:rPr>
        <w:t xml:space="preserve">标段</w:t>
      </w:r>
      <w:r>
        <w:rPr>
          <w:rFonts w:ascii="宋体" w:hAnsi="宋体" w:cs="宋体"/>
        </w:rPr>
      </w:r>
      <w:r/>
    </w:p>
    <w:p>
      <w:pPr>
        <w:pStyle w:val="885"/>
        <w:keepLines w:val="0"/>
        <w:keepNext w:val="0"/>
        <w:pageBreakBefore w:val="0"/>
        <w:spacing w:line="44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（一）报价得分（30分）</w:t>
      </w:r>
      <w:r>
        <w:rPr>
          <w:rFonts w:ascii="宋体" w:hAnsi="宋体" w:cs="宋体"/>
        </w:rPr>
      </w:r>
      <w:r/>
    </w:p>
    <w:p>
      <w:pPr>
        <w:pStyle w:val="885"/>
        <w:numPr>
          <w:ilvl w:val="0"/>
          <w:numId w:val="22"/>
        </w:numPr>
        <w:ind w:left="420" w:hanging="420"/>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投标报价低于或等于采购预算价格（或最高限价）的，为有效投标报价。超采购预算（或最高限价）的投标报价为无效投标报价。无效投标报价的投标文件不进行评审，也不得标。</w:t>
      </w:r>
      <w:r>
        <w:rPr>
          <w:rFonts w:ascii="宋体" w:hAnsi="宋体" w:cs="宋体"/>
        </w:rPr>
      </w:r>
      <w:r/>
    </w:p>
    <w:p>
      <w:pPr>
        <w:pStyle w:val="885"/>
        <w:numPr>
          <w:ilvl w:val="0"/>
          <w:numId w:val="22"/>
        </w:numPr>
        <w:ind w:left="420" w:hanging="420"/>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价格得分计算方法：根据各投标人通过符合性审查的有效投标报价中的最低价作为评标基准价。其他投标单位的价格分按照下列公式计算（计算结果四舍五入保留两位小数）：</w:t>
      </w:r>
      <w:r>
        <w:rPr>
          <w:rFonts w:ascii="宋体" w:hAnsi="宋体" w:cs="宋体"/>
        </w:rPr>
      </w:r>
      <w:r/>
    </w:p>
    <w:p>
      <w:pPr>
        <w:pStyle w:val="885"/>
        <w:numPr>
          <w:ilvl w:val="0"/>
          <w:numId w:val="0"/>
        </w:numPr>
        <w:ind w:left="418"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投标报价得分=（评标基准价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投标报价）×价格权值×100，小数点后保留两位。</w:t>
      </w:r>
      <w:r>
        <w:rPr>
          <w:rFonts w:ascii="宋体" w:hAnsi="宋体" w:cs="宋体"/>
        </w:rPr>
      </w:r>
      <w:r/>
    </w:p>
    <w:p>
      <w:pPr>
        <w:pStyle w:val="885"/>
        <w:ind w:left="0" w:right="0"/>
        <w:jc w:val="both"/>
        <w:keepLines w:val="0"/>
        <w:keepNext w:val="0"/>
        <w:pageBreakBefore w:val="0"/>
        <w:spacing w:before="0" w:beforeAutospacing="0" w:after="0" w:afterAutospacing="0" w:line="440" w:lineRule="exact"/>
        <w:widowControl w:val="off"/>
        <w:rPr>
          <w:rFonts w:hint="eastAsia" w:ascii="宋体" w:hAnsi="宋体" w:cs="宋体"/>
          <w:b/>
          <w:bCs w:val="0"/>
          <w:color w:val="000000"/>
          <w:sz w:val="21"/>
          <w:szCs w:val="21"/>
          <w:highlight w:val="none"/>
        </w:rPr>
        <w:outlineLvl w:val="9"/>
        <w:suppressLineNumbers w:val="0"/>
      </w:pPr>
      <w:r>
        <w:rPr>
          <w:rFonts w:hint="eastAsia" w:ascii="宋体" w:hAnsi="宋体" w:eastAsia="宋体" w:cs="宋体"/>
          <w:b/>
          <w:bCs w:val="0"/>
          <w:color w:val="000000"/>
          <w:sz w:val="21"/>
          <w:szCs w:val="21"/>
          <w:highlight w:val="none"/>
          <w:lang w:val="en-US" w:eastAsia="zh-CN" w:bidi="ar"/>
        </w:rPr>
        <w:t xml:space="preserve">（二）投标产品的技术与质量（</w:t>
      </w:r>
      <w:r>
        <w:rPr>
          <w:rFonts w:hint="eastAsia" w:ascii="宋体" w:hAnsi="宋体" w:eastAsia="宋体" w:cs="宋体"/>
          <w:b/>
          <w:bCs w:val="0"/>
          <w:color w:val="000000"/>
          <w:sz w:val="21"/>
          <w:szCs w:val="21"/>
          <w:highlight w:val="none"/>
          <w:lang w:val="en-US" w:eastAsia="zh-CN" w:bidi="ar"/>
        </w:rPr>
        <w:t xml:space="preserve">18</w:t>
      </w:r>
      <w:r>
        <w:rPr>
          <w:rFonts w:hint="eastAsia" w:ascii="宋体" w:hAnsi="宋体" w:eastAsia="宋体" w:cs="宋体"/>
          <w:b/>
          <w:bCs w:val="0"/>
          <w:color w:val="000000"/>
          <w:sz w:val="21"/>
          <w:szCs w:val="21"/>
          <w:highlight w:val="none"/>
          <w:lang w:val="en-US" w:eastAsia="zh-CN" w:bidi="ar"/>
        </w:rPr>
        <w:t xml:space="preserve">分）</w:t>
      </w:r>
      <w:r>
        <w:rPr>
          <w:rFonts w:ascii="宋体" w:hAnsi="宋体" w:cs="宋体"/>
        </w:rPr>
      </w:r>
      <w:r/>
    </w:p>
    <w:p>
      <w:pPr>
        <w:pStyle w:val="885"/>
        <w:ind w:left="0" w:right="0" w:firstLine="422"/>
        <w:jc w:val="both"/>
        <w:keepLines w:val="0"/>
        <w:keepNext w:val="0"/>
        <w:pageBreakBefore w:val="0"/>
        <w:spacing w:before="0" w:beforeAutospacing="0" w:after="0" w:afterAutospacing="0" w:line="440" w:lineRule="exact"/>
        <w:widowControl w:val="off"/>
        <w:rPr>
          <w:rFonts w:hint="eastAsia" w:ascii="宋体" w:hAnsi="宋体" w:cs="宋体"/>
          <w:b/>
          <w:bCs w:val="0"/>
          <w:color w:val="000000"/>
          <w:sz w:val="21"/>
          <w:szCs w:val="21"/>
          <w:highlight w:val="none"/>
        </w:rPr>
        <w:outlineLvl w:val="9"/>
        <w:suppressLineNumbers w:val="0"/>
      </w:pPr>
      <w:r>
        <w:rPr>
          <w:rFonts w:hint="eastAsia" w:ascii="宋体" w:hAnsi="宋体" w:eastAsia="宋体" w:cs="宋体"/>
          <w:b/>
          <w:bCs w:val="0"/>
          <w:color w:val="000000"/>
          <w:sz w:val="21"/>
          <w:szCs w:val="21"/>
          <w:highlight w:val="none"/>
          <w:lang w:val="en-US" w:eastAsia="zh-CN" w:bidi="ar"/>
        </w:rPr>
        <w:t xml:space="preserve">1.投标产品技术质量（包括产品技术参数、产品性能等）情况比较（</w:t>
      </w:r>
      <w:r>
        <w:rPr>
          <w:rFonts w:hint="eastAsia" w:ascii="宋体" w:hAnsi="宋体" w:eastAsia="宋体" w:cs="宋体"/>
          <w:b/>
          <w:bCs w:val="0"/>
          <w:color w:val="000000"/>
          <w:sz w:val="21"/>
          <w:szCs w:val="21"/>
          <w:highlight w:val="none"/>
          <w:lang w:val="en-US" w:eastAsia="zh-CN" w:bidi="ar"/>
        </w:rPr>
        <w:t xml:space="preserve">18</w:t>
      </w:r>
      <w:r>
        <w:rPr>
          <w:rFonts w:hint="eastAsia" w:ascii="宋体" w:hAnsi="宋体" w:eastAsia="宋体" w:cs="宋体"/>
          <w:b/>
          <w:bCs w:val="0"/>
          <w:color w:val="000000"/>
          <w:sz w:val="21"/>
          <w:szCs w:val="21"/>
          <w:highlight w:val="none"/>
          <w:lang w:val="en-US" w:eastAsia="zh-CN" w:bidi="ar"/>
        </w:rPr>
        <w:t xml:space="preserve">分）  </w:t>
      </w:r>
      <w:r>
        <w:rPr>
          <w:rFonts w:ascii="宋体" w:hAnsi="宋体" w:cs="宋体"/>
        </w:rPr>
      </w:r>
      <w:r/>
    </w:p>
    <w:p>
      <w:pPr>
        <w:pStyle w:val="885"/>
        <w:ind w:left="0" w:right="0" w:firstLine="420"/>
        <w:jc w:val="both"/>
        <w:keepLines w:val="0"/>
        <w:keepNext w:val="0"/>
        <w:pageBreakBefore w:val="0"/>
        <w:spacing w:before="0" w:beforeAutospacing="0" w:after="0" w:afterAutospacing="0" w:line="440" w:lineRule="exact"/>
        <w:widowControl w:val="off"/>
        <w:rPr>
          <w:rFonts w:ascii="宋体" w:hAnsi="宋体" w:cs="宋体"/>
          <w:bCs/>
          <w:color w:val="000000"/>
          <w:sz w:val="21"/>
          <w:szCs w:val="21"/>
          <w:highlight w:val="none"/>
        </w:rPr>
        <w:outlineLvl w:val="9"/>
        <w:suppressLineNumbers w:val="0"/>
      </w:pPr>
      <w:r>
        <w:rPr>
          <w:rFonts w:ascii="宋体" w:hAnsi="宋体" w:eastAsia="宋体" w:cs="宋体"/>
          <w:bCs/>
          <w:color w:val="000000"/>
          <w:sz w:val="21"/>
          <w:szCs w:val="21"/>
          <w:highlight w:val="none"/>
          <w:lang w:val="en-US" w:eastAsia="zh-CN" w:bidi="ar"/>
        </w:rPr>
        <w:t xml:space="preserve">投标单位须详尽、真实提供投标产品的技术参数表、技术响应对照表，以及设备详细技术特性说明。评委将根据投标设备主要技术参数及功能的符合性进行评分，所投设备技术参数及功能满足或高于招标文件要求的得18分；带“▲”标注的参数为重点参数，重点参数负偏离的，每一项扣2分；其余参数负偏离的，每一项扣1分，直至本项分数扣完为止。（带“▲”标注的参数，投标文件中须提供具有检测资质的检测机构出具的带CMA或CNAS标识的有效检测报告复印件并加盖投标单位公章，未提供该证明材料的，视为参数负偏离，不得分。）</w:t>
      </w:r>
      <w:r>
        <w:rPr>
          <w:rFonts w:ascii="宋体" w:hAnsi="宋体" w:cs="宋体"/>
        </w:rPr>
      </w:r>
      <w:r/>
    </w:p>
    <w:p>
      <w:pPr>
        <w:pStyle w:val="885"/>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ascii="宋体" w:hAnsi="宋体" w:cs="宋体"/>
        </w:rPr>
      </w:r>
      <w:bookmarkStart w:id="52" w:name="_Toc45883335"/>
      <w:r>
        <w:rPr>
          <w:rFonts w:ascii="宋体" w:hAnsi="宋体" w:cs="宋体"/>
        </w:rPr>
      </w:r>
      <w:bookmarkStart w:id="53" w:name="_Toc45368395"/>
      <w:r>
        <w:rPr>
          <w:rFonts w:ascii="宋体" w:hAnsi="宋体" w:cs="宋体"/>
        </w:rPr>
      </w:r>
      <w:bookmarkStart w:id="54" w:name="_Toc45895197"/>
      <w:r>
        <w:rPr>
          <w:rFonts w:hint="eastAsia" w:ascii="宋体" w:hAnsi="宋体" w:eastAsia="宋体" w:cs="宋体"/>
          <w:b/>
          <w:color w:val="000000"/>
          <w:sz w:val="21"/>
          <w:szCs w:val="21"/>
          <w:highlight w:val="none"/>
          <w:lang w:val="zh-CN"/>
        </w:rPr>
        <w:t xml:space="preserve">（三）项目实施方案（</w:t>
      </w:r>
      <w:r>
        <w:rPr>
          <w:rFonts w:hint="eastAsia" w:ascii="宋体" w:hAnsi="宋体" w:eastAsia="宋体" w:cs="宋体"/>
          <w:b/>
          <w:color w:val="000000"/>
          <w:sz w:val="21"/>
          <w:szCs w:val="21"/>
          <w:highlight w:val="none"/>
          <w:lang w:val="en-US" w:eastAsia="zh-CN"/>
        </w:rPr>
        <w:t xml:space="preserve">40</w:t>
      </w:r>
      <w:r>
        <w:rPr>
          <w:rFonts w:hint="eastAsia" w:ascii="宋体" w:hAnsi="宋体" w:eastAsia="宋体" w:cs="宋体"/>
          <w:b/>
          <w:color w:val="000000"/>
          <w:sz w:val="21"/>
          <w:szCs w:val="21"/>
          <w:highlight w:val="none"/>
          <w:lang w:val="zh-CN"/>
        </w:rPr>
        <w:t xml:space="preserve">分）</w:t>
      </w:r>
      <w:r>
        <w:rPr>
          <w:rFonts w:ascii="宋体" w:hAnsi="宋体" w:cs="宋体"/>
        </w:rPr>
      </w:r>
      <w:r/>
    </w:p>
    <w:p>
      <w:pPr>
        <w:pStyle w:val="885"/>
        <w:ind w:firstLine="422"/>
        <w:keepLines w:val="0"/>
        <w:keepNext w:val="0"/>
        <w:pageBreakBefore w:val="0"/>
        <w:spacing w:line="440" w:lineRule="exact"/>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cs="宋体"/>
          <w:b/>
          <w:bCs w:val="0"/>
          <w:color w:val="000000"/>
          <w:sz w:val="21"/>
          <w:szCs w:val="21"/>
          <w:highlight w:val="none"/>
          <w:lang w:val="zh-CN" w:eastAsia="zh-CN"/>
        </w:rPr>
        <w:t xml:space="preserve">项目实训系统理解与方案阐述（</w:t>
      </w:r>
      <w:r>
        <w:rPr>
          <w:rFonts w:hint="eastAsia" w:ascii="宋体" w:hAnsi="宋体" w:eastAsia="宋体" w:cs="宋体"/>
          <w:b/>
          <w:bCs w:val="0"/>
          <w:color w:val="000000"/>
          <w:sz w:val="21"/>
          <w:szCs w:val="21"/>
          <w:highlight w:val="none"/>
          <w:lang w:val="en-US" w:eastAsia="zh-CN"/>
        </w:rPr>
        <w:t xml:space="preserve">20</w:t>
      </w:r>
      <w:r>
        <w:rPr>
          <w:rFonts w:hint="eastAsia" w:ascii="宋体" w:hAnsi="宋体" w:eastAsia="宋体" w:cs="宋体"/>
          <w:b/>
          <w:bCs w:val="0"/>
          <w:color w:val="000000"/>
          <w:sz w:val="21"/>
          <w:szCs w:val="21"/>
          <w:highlight w:val="none"/>
          <w:lang w:val="zh-CN" w:eastAsia="zh-CN"/>
        </w:rPr>
        <w:t xml:space="preserve">分）</w:t>
      </w:r>
      <w:r>
        <w:rPr>
          <w:rFonts w:ascii="宋体" w:hAnsi="宋体" w:cs="宋体"/>
        </w:rPr>
      </w:r>
      <w:r/>
    </w:p>
    <w:p>
      <w:pPr>
        <w:pStyle w:val="885"/>
        <w:ind w:firstLine="420"/>
        <w:keepLines w:val="0"/>
        <w:keepNext w:val="0"/>
        <w:pageBreakBefore w:val="0"/>
        <w:spacing w:line="440" w:lineRule="exact"/>
        <w:widowControl w:val="off"/>
        <w:rPr>
          <w:rFonts w:hint="eastAsia" w:ascii="宋体" w:hAnsi="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lang w:val="zh-CN" w:eastAsia="zh-CN"/>
        </w:rPr>
        <w:t xml:space="preserve">投标单位需结合采购需求及项目现场实际情况，对电商产业实训、数智商务实训、焊接技术实训、纺织综合实训、服装工艺实训共</w:t>
      </w:r>
      <w:r>
        <w:rPr>
          <w:rFonts w:hint="eastAsia" w:ascii="宋体" w:hAnsi="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lang w:val="zh-CN" w:eastAsia="zh-CN"/>
        </w:rPr>
        <w:t xml:space="preserve">个实训室系统的整体方案进行全面阐述。</w:t>
      </w:r>
      <w:r>
        <w:rPr>
          <w:rFonts w:hint="eastAsia" w:ascii="宋体" w:hAnsi="宋体" w:eastAsia="宋体" w:cs="宋体"/>
          <w:b w:val="0"/>
          <w:bCs/>
          <w:color w:val="000000"/>
          <w:sz w:val="21"/>
          <w:szCs w:val="21"/>
          <w:highlight w:val="none"/>
          <w:lang w:val="en-US" w:eastAsia="zh-CN"/>
        </w:rPr>
        <w:t xml:space="preserve">方案阐述准确无误，深度契合项目实际教学实训需求与现场场地条件，对各实训系统的功能定位、设备配置逻辑、系统对接方式、教学场景适配等细节描述详实，可直接指导项目实施的得20分；方案整体阐述准确，核心内容匹配采购要求及现场实际情况，明确各实训系统配置思路与功能实现路径，仅局部设备布局、精细化教学辅助适配等细节不完善，不影响整体实施及核心实训使用</w:t>
      </w:r>
      <w:r>
        <w:rPr>
          <w:rFonts w:hint="eastAsia" w:ascii="宋体" w:hAnsi="宋体" w:eastAsia="宋体" w:cs="宋体"/>
          <w:b w:val="0"/>
          <w:bCs/>
          <w:color w:val="000000"/>
          <w:sz w:val="21"/>
          <w:szCs w:val="21"/>
          <w:highlight w:val="none"/>
          <w:lang w:val="en-US" w:eastAsia="zh-CN"/>
        </w:rPr>
        <w:t xml:space="preserve">的得16分；方案基本合规、响应核心采购需求，能够说明系统组成与基础功能，但未结合现场条件做针对性优化，系统对接、场景适配、布局规划等细节存在缺失，方案精细化与落地指导性一般的得12分；对采购需求理解浅显，仅简单罗列实训系统组成、基础参数与常规功能，未结合项目现场及专属教学需求开展针对性设计，内容片面、通用性强、项目适配性与可操作性弱，仅满足基础响应要求的得8分；方案内容存在明显偏差，未有效响应核心采购需求，实训功能、系统配置、教学适配等内容阐述模糊混乱、核心内容大量缺失，无法支撑项目实施与实训使用的得4分；</w:t>
      </w:r>
      <w:r>
        <w:rPr>
          <w:rFonts w:hint="eastAsia" w:ascii="宋体" w:hAnsi="宋体" w:eastAsia="宋体" w:cs="宋体"/>
          <w:b w:val="0"/>
          <w:bCs/>
          <w:color w:val="000000"/>
          <w:sz w:val="21"/>
          <w:szCs w:val="21"/>
          <w:highlight w:val="none"/>
          <w:lang w:val="zh-CN" w:eastAsia="zh-CN"/>
        </w:rPr>
        <w:t xml:space="preserve">未作出任何说明的不得分</w:t>
      </w:r>
      <w:r>
        <w:rPr>
          <w:rFonts w:hint="eastAsia" w:ascii="宋体" w:hAnsi="宋体" w:eastAsia="宋体" w:cs="宋体"/>
          <w:b w:val="0"/>
          <w:bCs/>
          <w:color w:val="000000"/>
          <w:sz w:val="21"/>
          <w:szCs w:val="21"/>
          <w:highlight w:val="none"/>
          <w:lang w:val="en-US" w:eastAsia="zh-CN"/>
        </w:rPr>
        <w:t xml:space="preserve">。</w:t>
      </w:r>
      <w:r>
        <w:rPr>
          <w:rFonts w:ascii="宋体" w:hAnsi="宋体" w:cs="宋体"/>
        </w:rPr>
      </w:r>
      <w:r/>
    </w:p>
    <w:p>
      <w:pPr>
        <w:pStyle w:val="885"/>
        <w:ind w:firstLine="422"/>
        <w:keepLines w:val="0"/>
        <w:keepNext w:val="0"/>
        <w:pageBreakBefore w:val="0"/>
        <w:spacing w:line="440" w:lineRule="exact"/>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2.</w:t>
      </w:r>
      <w:r>
        <w:rPr>
          <w:rFonts w:hint="eastAsia" w:ascii="宋体" w:hAnsi="宋体" w:eastAsia="宋体" w:cs="宋体"/>
          <w:b/>
          <w:bCs w:val="0"/>
          <w:color w:val="000000"/>
          <w:sz w:val="21"/>
          <w:szCs w:val="21"/>
          <w:highlight w:val="none"/>
          <w:lang w:val="zh-CN" w:eastAsia="zh-CN"/>
        </w:rPr>
        <w:t xml:space="preserve">售后服务方案（1</w:t>
      </w:r>
      <w:r>
        <w:rPr>
          <w:rFonts w:hint="eastAsia" w:ascii="宋体" w:hAnsi="宋体" w:eastAsia="宋体" w:cs="宋体"/>
          <w:b/>
          <w:bCs w:val="0"/>
          <w:color w:val="000000"/>
          <w:sz w:val="21"/>
          <w:szCs w:val="21"/>
          <w:highlight w:val="none"/>
          <w:lang w:val="en-US" w:eastAsia="zh-CN"/>
        </w:rPr>
        <w:t xml:space="preserve">0</w:t>
      </w:r>
      <w:r>
        <w:rPr>
          <w:rFonts w:hint="eastAsia" w:ascii="宋体" w:hAnsi="宋体" w:eastAsia="宋体" w:cs="宋体"/>
          <w:b/>
          <w:bCs w:val="0"/>
          <w:color w:val="000000"/>
          <w:sz w:val="21"/>
          <w:szCs w:val="21"/>
          <w:highlight w:val="none"/>
          <w:lang w:val="zh-CN" w:eastAsia="zh-CN"/>
        </w:rPr>
        <w:t xml:space="preserve">分）</w:t>
      </w:r>
      <w:r>
        <w:rPr>
          <w:rFonts w:ascii="宋体" w:hAnsi="宋体" w:cs="宋体"/>
        </w:rPr>
      </w:r>
      <w:r/>
    </w:p>
    <w:p>
      <w:pPr>
        <w:pStyle w:val="885"/>
        <w:ind w:firstLine="420"/>
        <w:keepLines w:val="0"/>
        <w:keepNext w:val="0"/>
        <w:pageBreakBefore w:val="0"/>
        <w:spacing w:line="440" w:lineRule="exact"/>
        <w:widowControl w:val="off"/>
        <w:rPr>
          <w:rFonts w:hint="eastAsia" w:ascii="宋体" w:hAnsi="宋体" w:cs="宋体"/>
          <w:b/>
          <w:bCs w:val="0"/>
          <w:color w:val="000000"/>
          <w:sz w:val="21"/>
          <w:szCs w:val="21"/>
          <w:highlight w:val="none"/>
        </w:rPr>
        <w:outlineLvl w:val="9"/>
      </w:pPr>
      <w:r>
        <w:rPr>
          <w:rFonts w:hint="eastAsia" w:ascii="宋体" w:hAnsi="宋体" w:eastAsia="宋体" w:cs="宋体"/>
          <w:b w:val="0"/>
          <w:bCs/>
          <w:color w:val="000000"/>
          <w:sz w:val="21"/>
          <w:szCs w:val="21"/>
          <w:highlight w:val="none"/>
          <w:lang w:val="en-US" w:eastAsia="zh-CN"/>
        </w:rPr>
        <w:t xml:space="preserve">根据投标单位提供的售后服务响应时间、服务方式、应急情况处置流程、备品备件保障方案等核心内容的完整性与可行性进行综合评比，售后服务承诺内容完整全面，响应及时高效，服务方式灵活便捷，应急故障处置流程规范、可操作性强，备品备件储备充足，明确供应渠道、更换时限及保障措施，能充分覆盖项目全生命周期运维需求</w:t>
      </w:r>
      <w:r>
        <w:rPr>
          <w:rFonts w:hint="eastAsia" w:ascii="宋体" w:hAnsi="宋体" w:eastAsia="宋体" w:cs="宋体"/>
          <w:b w:val="0"/>
          <w:bCs/>
          <w:color w:val="000000"/>
          <w:sz w:val="21"/>
          <w:szCs w:val="21"/>
          <w:highlight w:val="none"/>
          <w:lang w:val="en-US" w:eastAsia="zh-CN"/>
        </w:rPr>
        <w:t xml:space="preserve">的</w:t>
      </w:r>
      <w:r>
        <w:rPr>
          <w:rFonts w:hint="eastAsia" w:ascii="宋体" w:hAnsi="宋体" w:eastAsia="宋体" w:cs="宋体"/>
          <w:b w:val="0"/>
          <w:bCs/>
          <w:color w:val="000000"/>
          <w:sz w:val="21"/>
          <w:szCs w:val="21"/>
          <w:highlight w:val="none"/>
          <w:lang w:val="en-US" w:eastAsia="zh-CN"/>
        </w:rPr>
        <w:t xml:space="preserve">得1</w:t>
      </w:r>
      <w:r>
        <w:rPr>
          <w:rFonts w:hint="eastAsia" w:ascii="宋体" w:hAnsi="宋体" w:eastAsia="宋体" w:cs="宋体"/>
          <w:b w:val="0"/>
          <w:bCs/>
          <w:color w:val="000000"/>
          <w:sz w:val="21"/>
          <w:szCs w:val="21"/>
          <w:highlight w:val="none"/>
          <w:lang w:val="en-US" w:eastAsia="zh-CN"/>
        </w:rPr>
        <w:t xml:space="preserve">0</w:t>
      </w:r>
      <w:r>
        <w:rPr>
          <w:rFonts w:hint="eastAsia" w:ascii="宋体" w:hAnsi="宋体" w:eastAsia="宋体" w:cs="宋体"/>
          <w:b w:val="0"/>
          <w:bCs/>
          <w:color w:val="000000"/>
          <w:sz w:val="21"/>
          <w:szCs w:val="21"/>
          <w:highlight w:val="none"/>
          <w:lang w:val="en-US" w:eastAsia="zh-CN"/>
        </w:rPr>
        <w:t xml:space="preserve">分；售后服务承诺内容较全面，响应时间、服务方式符合要求，应急处置流程合理，具备完善的备品备件保障方案，可满足项目日常运维需求，仅个别细节（如特殊故障应对、备品备件更换效率）略有欠缺</w:t>
      </w:r>
      <w:r>
        <w:rPr>
          <w:rFonts w:hint="eastAsia" w:ascii="宋体" w:hAnsi="宋体" w:eastAsia="宋体" w:cs="宋体"/>
          <w:b w:val="0"/>
          <w:bCs/>
          <w:color w:val="000000"/>
          <w:sz w:val="21"/>
          <w:szCs w:val="21"/>
          <w:highlight w:val="none"/>
          <w:lang w:val="en-US" w:eastAsia="zh-CN"/>
        </w:rPr>
        <w:t xml:space="preserve">的</w:t>
      </w:r>
      <w:r>
        <w:rPr>
          <w:rFonts w:hint="eastAsia" w:ascii="宋体" w:hAnsi="宋体" w:eastAsia="宋体" w:cs="宋体"/>
          <w:b w:val="0"/>
          <w:bCs/>
          <w:color w:val="000000"/>
          <w:sz w:val="21"/>
          <w:szCs w:val="21"/>
          <w:highlight w:val="none"/>
          <w:lang w:val="en-US" w:eastAsia="zh-CN"/>
        </w:rPr>
        <w:t xml:space="preserve">得</w:t>
      </w:r>
      <w:r>
        <w:rPr>
          <w:rFonts w:hint="eastAsia" w:ascii="宋体" w:hAnsi="宋体" w:eastAsia="宋体" w:cs="宋体"/>
          <w:b w:val="0"/>
          <w:bCs/>
          <w:color w:val="000000"/>
          <w:sz w:val="21"/>
          <w:szCs w:val="21"/>
          <w:highlight w:val="none"/>
          <w:lang w:val="en-US" w:eastAsia="zh-CN"/>
        </w:rPr>
        <w:t xml:space="preserve">7</w:t>
      </w:r>
      <w:r>
        <w:rPr>
          <w:rFonts w:hint="eastAsia" w:ascii="宋体" w:hAnsi="宋体" w:eastAsia="宋体" w:cs="宋体"/>
          <w:b w:val="0"/>
          <w:bCs/>
          <w:color w:val="000000"/>
          <w:sz w:val="21"/>
          <w:szCs w:val="21"/>
          <w:highlight w:val="none"/>
          <w:lang w:val="en-US" w:eastAsia="zh-CN"/>
        </w:rPr>
        <w:t xml:space="preserve">分；售后服务承诺内容基本完整，应急处置措施基本可行，具备基础备品备件保障方案，可满足项目常规运维需求，部分核心细节（如响应时限、供应渠道）未明确</w:t>
      </w:r>
      <w:r>
        <w:rPr>
          <w:rFonts w:hint="eastAsia" w:ascii="宋体" w:hAnsi="宋体" w:eastAsia="宋体" w:cs="宋体"/>
          <w:b w:val="0"/>
          <w:bCs/>
          <w:color w:val="000000"/>
          <w:sz w:val="21"/>
          <w:szCs w:val="21"/>
          <w:highlight w:val="none"/>
          <w:lang w:val="en-US" w:eastAsia="zh-CN"/>
        </w:rPr>
        <w:t xml:space="preserve">的</w:t>
      </w:r>
      <w:r>
        <w:rPr>
          <w:rFonts w:hint="eastAsia" w:ascii="宋体" w:hAnsi="宋体" w:eastAsia="宋体" w:cs="宋体"/>
          <w:b w:val="0"/>
          <w:bCs/>
          <w:color w:val="000000"/>
          <w:sz w:val="21"/>
          <w:szCs w:val="21"/>
          <w:highlight w:val="none"/>
          <w:lang w:val="en-US" w:eastAsia="zh-CN"/>
        </w:rPr>
        <w:t xml:space="preserve">得</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lang w:val="en-US" w:eastAsia="zh-CN"/>
        </w:rPr>
        <w:t xml:space="preserve">分；售后服务内容存在明显欠缺，应急情况响应机制不健全，备品备件方案模糊，保障措施合理性差，难以有效支撑项目日常运维</w:t>
      </w:r>
      <w:r>
        <w:rPr>
          <w:rFonts w:hint="eastAsia" w:ascii="宋体" w:hAnsi="宋体" w:eastAsia="宋体" w:cs="宋体"/>
          <w:b w:val="0"/>
          <w:bCs/>
          <w:color w:val="000000"/>
          <w:sz w:val="21"/>
          <w:szCs w:val="21"/>
          <w:highlight w:val="none"/>
          <w:lang w:val="en-US" w:eastAsia="zh-CN"/>
        </w:rPr>
        <w:t xml:space="preserve">的</w:t>
      </w:r>
      <w:r>
        <w:rPr>
          <w:rFonts w:hint="eastAsia" w:ascii="宋体" w:hAnsi="宋体" w:eastAsia="宋体" w:cs="宋体"/>
          <w:b w:val="0"/>
          <w:bCs/>
          <w:color w:val="000000"/>
          <w:sz w:val="21"/>
          <w:szCs w:val="21"/>
          <w:highlight w:val="none"/>
          <w:lang w:val="en-US" w:eastAsia="zh-CN"/>
        </w:rPr>
        <w:t xml:space="preserve">得</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lang w:val="en-US" w:eastAsia="zh-CN"/>
        </w:rPr>
        <w:t xml:space="preserve">分；</w:t>
      </w:r>
      <w:r>
        <w:rPr>
          <w:rFonts w:hint="eastAsia" w:ascii="宋体" w:hAnsi="宋体" w:eastAsia="宋体" w:cs="宋体"/>
          <w:b w:val="0"/>
          <w:bCs/>
          <w:color w:val="000000"/>
          <w:sz w:val="21"/>
          <w:szCs w:val="21"/>
          <w:highlight w:val="none"/>
          <w:lang w:val="zh-CN" w:eastAsia="zh-CN"/>
        </w:rPr>
        <w:t xml:space="preserve">未作出任何说明的不得分。</w:t>
      </w:r>
      <w:r>
        <w:rPr>
          <w:rFonts w:ascii="宋体" w:hAnsi="宋体" w:cs="宋体"/>
        </w:rPr>
      </w:r>
      <w:r/>
    </w:p>
    <w:p>
      <w:pPr>
        <w:pStyle w:val="885"/>
        <w:ind w:firstLine="422"/>
        <w:keepLines w:val="0"/>
        <w:keepNext w:val="0"/>
        <w:pageBreakBefore w:val="0"/>
        <w:spacing w:line="440" w:lineRule="exact"/>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3.</w:t>
      </w:r>
      <w:r>
        <w:rPr>
          <w:rFonts w:hint="eastAsia" w:ascii="宋体" w:hAnsi="宋体" w:eastAsia="宋体" w:cs="宋体"/>
          <w:b/>
          <w:bCs w:val="0"/>
          <w:color w:val="000000"/>
          <w:sz w:val="21"/>
          <w:szCs w:val="21"/>
          <w:highlight w:val="none"/>
          <w:lang w:val="zh-CN" w:eastAsia="zh-CN"/>
        </w:rPr>
        <w:t xml:space="preserve">培训方案（</w:t>
      </w:r>
      <w:r>
        <w:rPr>
          <w:rFonts w:hint="eastAsia" w:ascii="宋体" w:hAnsi="宋体" w:eastAsia="宋体" w:cs="宋体"/>
          <w:b/>
          <w:bCs w:val="0"/>
          <w:color w:val="000000"/>
          <w:sz w:val="21"/>
          <w:szCs w:val="21"/>
          <w:highlight w:val="none"/>
          <w:lang w:val="en-US" w:eastAsia="zh-CN"/>
        </w:rPr>
        <w:t xml:space="preserve">10</w:t>
      </w:r>
      <w:r>
        <w:rPr>
          <w:rFonts w:hint="eastAsia" w:ascii="宋体" w:hAnsi="宋体" w:eastAsia="宋体" w:cs="宋体"/>
          <w:b/>
          <w:bCs w:val="0"/>
          <w:color w:val="000000"/>
          <w:sz w:val="21"/>
          <w:szCs w:val="21"/>
          <w:highlight w:val="none"/>
          <w:lang w:val="zh-CN" w:eastAsia="zh-CN"/>
        </w:rPr>
        <w:t xml:space="preserve">分）</w:t>
      </w:r>
      <w:r>
        <w:rPr>
          <w:rFonts w:ascii="宋体" w:hAnsi="宋体" w:cs="宋体"/>
        </w:rPr>
      </w:r>
      <w:r/>
    </w:p>
    <w:p>
      <w:pPr>
        <w:pStyle w:val="885"/>
        <w:ind w:firstLine="420"/>
        <w:keepLines w:val="0"/>
        <w:keepNext w:val="0"/>
        <w:pageBreakBefore w:val="0"/>
        <w:spacing w:line="440" w:lineRule="exact"/>
        <w:widowControl w:val="off"/>
        <w:rPr>
          <w:rFonts w:hint="eastAsia" w:ascii="宋体" w:hAnsi="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lang w:val="zh-CN" w:eastAsia="zh-CN"/>
        </w:rPr>
        <w:t xml:space="preserve">根据投标单位提供的培训计划、培训内容、培训时间安排的科学性、全面性与适配性，结合学校教学需求及实训设备操作实际进行综合评比，培训计划科学合理，培训内容丰富详实，培训时间充足且适配学校教学节奏，配备完整培训资料及考核方案，能有效确保培训效果的得</w:t>
      </w:r>
      <w:r>
        <w:rPr>
          <w:rFonts w:hint="eastAsia" w:ascii="宋体" w:hAnsi="宋体" w:eastAsia="宋体" w:cs="宋体"/>
          <w:b w:val="0"/>
          <w:bCs/>
          <w:color w:val="000000"/>
          <w:sz w:val="21"/>
          <w:szCs w:val="21"/>
          <w:highlight w:val="none"/>
          <w:lang w:val="en-US" w:eastAsia="zh-CN"/>
        </w:rPr>
        <w:t xml:space="preserve">10</w:t>
      </w:r>
      <w:r>
        <w:rPr>
          <w:rFonts w:hint="eastAsia" w:ascii="宋体" w:hAnsi="宋体" w:eastAsia="宋体" w:cs="宋体"/>
          <w:b w:val="0"/>
          <w:bCs/>
          <w:color w:val="000000"/>
          <w:sz w:val="21"/>
          <w:szCs w:val="21"/>
          <w:highlight w:val="none"/>
          <w:lang w:val="zh-CN" w:eastAsia="zh-CN"/>
        </w:rPr>
        <w:t xml:space="preserve">分；培训计划合理可行，培训内容覆盖核心要点，培训时间满足基础培训需求，可保障采购人人员掌握核心操作技能，仅培训模块划分不够细致、针对性略有不足的得</w:t>
      </w:r>
      <w:r>
        <w:rPr>
          <w:rFonts w:hint="eastAsia" w:ascii="宋体" w:hAnsi="宋体" w:eastAsia="宋体" w:cs="宋体"/>
          <w:b w:val="0"/>
          <w:bCs/>
          <w:color w:val="000000"/>
          <w:sz w:val="21"/>
          <w:szCs w:val="21"/>
          <w:highlight w:val="none"/>
          <w:lang w:val="en-US" w:eastAsia="zh-CN"/>
        </w:rPr>
        <w:t xml:space="preserve">7</w:t>
      </w:r>
      <w:r>
        <w:rPr>
          <w:rFonts w:hint="eastAsia" w:ascii="宋体" w:hAnsi="宋体" w:eastAsia="宋体" w:cs="宋体"/>
          <w:b w:val="0"/>
          <w:bCs/>
          <w:color w:val="000000"/>
          <w:sz w:val="21"/>
          <w:szCs w:val="21"/>
          <w:highlight w:val="none"/>
          <w:lang w:val="zh-CN" w:eastAsia="zh-CN"/>
        </w:rPr>
        <w:t xml:space="preserve">分；培训计划基本合理，培训内容基本覆盖核心需求，培训时间基本满足日常培训要求，培训模块划分较简单，针对性一般的得</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lang w:val="zh-CN" w:eastAsia="zh-CN"/>
        </w:rPr>
        <w:t xml:space="preserve">分；培训内容简略，仅提及基础操作培训，未明确培训模块与具体知识点，培训时间安排不合理，难以保障基本培训效果的得</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lang w:val="zh-CN" w:eastAsia="zh-CN"/>
        </w:rPr>
        <w:t xml:space="preserve">分；未作出任何说明的不得分。</w:t>
      </w:r>
      <w:r>
        <w:rPr>
          <w:rFonts w:ascii="宋体" w:hAnsi="宋体" w:cs="宋体"/>
        </w:rPr>
      </w:r>
      <w:r/>
    </w:p>
    <w:p>
      <w:pPr>
        <w:pStyle w:val="885"/>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val="zh-CN"/>
        </w:rPr>
        <w:t xml:space="preserve">（四）</w:t>
      </w:r>
      <w:r>
        <w:rPr>
          <w:rFonts w:hint="eastAsia" w:ascii="宋体" w:hAnsi="宋体" w:eastAsia="宋体" w:cs="宋体"/>
          <w:b/>
          <w:bCs/>
          <w:color w:val="000000"/>
          <w:sz w:val="21"/>
          <w:szCs w:val="21"/>
          <w:highlight w:val="none"/>
        </w:rPr>
        <w:t xml:space="preserve">针对本项目</w:t>
      </w:r>
      <w:r>
        <w:rPr>
          <w:rFonts w:hint="eastAsia" w:ascii="宋体" w:hAnsi="宋体" w:eastAsia="宋体" w:cs="宋体"/>
          <w:b/>
          <w:bCs/>
          <w:color w:val="000000"/>
          <w:sz w:val="21"/>
          <w:szCs w:val="21"/>
          <w:highlight w:val="none"/>
          <w:lang w:eastAsia="zh-CN"/>
        </w:rPr>
        <w:t xml:space="preserve">系统</w:t>
      </w:r>
      <w:r>
        <w:rPr>
          <w:rFonts w:hint="eastAsia" w:ascii="宋体" w:hAnsi="宋体" w:eastAsia="宋体" w:cs="宋体"/>
          <w:b/>
          <w:bCs/>
          <w:color w:val="000000"/>
          <w:sz w:val="21"/>
          <w:szCs w:val="21"/>
          <w:highlight w:val="none"/>
        </w:rPr>
        <w:t xml:space="preserve">功能性演示（</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分）（投标单位需按照招标文件要求进行功能演示，演示时间不得超过15分钟，须按系统要求上传演示文件；单个视频附件压缩包大小不超过50</w:t>
      </w:r>
      <w:r>
        <w:rPr>
          <w:rFonts w:hint="eastAsia" w:ascii="宋体" w:hAnsi="宋体" w:eastAsia="宋体" w:cs="宋体"/>
          <w:b/>
          <w:bCs/>
          <w:color w:val="000000"/>
          <w:sz w:val="21"/>
          <w:szCs w:val="21"/>
          <w:highlight w:val="none"/>
          <w:lang w:eastAsia="zh-CN"/>
        </w:rPr>
        <w:t xml:space="preserve">m</w:t>
      </w:r>
      <w:r>
        <w:rPr>
          <w:rFonts w:hint="eastAsia" w:ascii="宋体" w:hAnsi="宋体" w:eastAsia="宋体" w:cs="宋体"/>
          <w:b/>
          <w:bCs/>
          <w:color w:val="000000"/>
          <w:sz w:val="21"/>
          <w:szCs w:val="21"/>
          <w:highlight w:val="none"/>
        </w:rPr>
        <w:t xml:space="preserve">，整体附件压缩包不超过300</w:t>
      </w:r>
      <w:r>
        <w:rPr>
          <w:rFonts w:hint="eastAsia" w:ascii="宋体" w:hAnsi="宋体" w:eastAsia="宋体" w:cs="宋体"/>
          <w:b/>
          <w:bCs/>
          <w:color w:val="000000"/>
          <w:sz w:val="21"/>
          <w:szCs w:val="21"/>
          <w:highlight w:val="none"/>
          <w:lang w:eastAsia="zh-CN"/>
        </w:rPr>
        <w:t xml:space="preserve">m</w:t>
      </w:r>
      <w:r>
        <w:rPr>
          <w:rFonts w:hint="eastAsia" w:ascii="宋体" w:hAnsi="宋体" w:eastAsia="宋体" w:cs="宋体"/>
          <w:b/>
          <w:bCs/>
          <w:color w:val="000000"/>
          <w:sz w:val="21"/>
          <w:szCs w:val="21"/>
          <w:highlight w:val="none"/>
        </w:rPr>
        <w:t xml:space="preserve">，视频文件格式建议采用</w:t>
      </w:r>
      <w:r>
        <w:rPr>
          <w:rFonts w:hint="eastAsia" w:ascii="宋体" w:hAnsi="宋体" w:eastAsia="宋体" w:cs="宋体"/>
          <w:b/>
          <w:bCs/>
          <w:color w:val="000000"/>
          <w:sz w:val="21"/>
          <w:szCs w:val="21"/>
          <w:highlight w:val="none"/>
          <w:lang w:eastAsia="zh-CN"/>
        </w:rPr>
        <w:t xml:space="preserve">m</w:t>
      </w:r>
      <w:r>
        <w:rPr>
          <w:rFonts w:hint="eastAsia" w:ascii="宋体" w:hAnsi="宋体" w:eastAsia="宋体" w:cs="宋体"/>
          <w:b/>
          <w:bCs/>
          <w:color w:val="000000"/>
          <w:sz w:val="21"/>
          <w:szCs w:val="21"/>
          <w:highlight w:val="none"/>
        </w:rPr>
        <w:t xml:space="preserve">P4、</w:t>
      </w:r>
      <w:r>
        <w:rPr>
          <w:rFonts w:hint="eastAsia" w:ascii="宋体" w:hAnsi="宋体" w:eastAsia="宋体" w:cs="宋体"/>
          <w:b/>
          <w:bCs/>
          <w:color w:val="000000"/>
          <w:sz w:val="21"/>
          <w:szCs w:val="21"/>
          <w:highlight w:val="none"/>
          <w:lang w:eastAsia="zh-CN"/>
        </w:rPr>
        <w:t xml:space="preserve">m</w:t>
      </w:r>
      <w:r>
        <w:rPr>
          <w:rFonts w:hint="eastAsia" w:ascii="宋体" w:hAnsi="宋体" w:eastAsia="宋体" w:cs="宋体"/>
          <w:b/>
          <w:bCs/>
          <w:color w:val="000000"/>
          <w:sz w:val="21"/>
          <w:szCs w:val="21"/>
          <w:highlight w:val="none"/>
        </w:rPr>
        <w:t xml:space="preserve">KV、</w:t>
      </w:r>
      <w:r>
        <w:rPr>
          <w:rFonts w:hint="eastAsia" w:ascii="宋体" w:hAnsi="宋体" w:eastAsia="宋体" w:cs="宋体"/>
          <w:b/>
          <w:bCs/>
          <w:color w:val="000000"/>
          <w:sz w:val="21"/>
          <w:szCs w:val="21"/>
          <w:highlight w:val="none"/>
          <w:lang w:eastAsia="zh-CN"/>
        </w:rPr>
        <w:t xml:space="preserve">m</w:t>
      </w:r>
      <w:r>
        <w:rPr>
          <w:rFonts w:hint="eastAsia" w:ascii="宋体" w:hAnsi="宋体" w:eastAsia="宋体" w:cs="宋体"/>
          <w:b/>
          <w:bCs/>
          <w:color w:val="000000"/>
          <w:sz w:val="21"/>
          <w:szCs w:val="21"/>
          <w:highlight w:val="none"/>
        </w:rPr>
        <w:t xml:space="preserve">OV、AVI格式。演示内容需确保真实，且将作为项目履约验收的重要参考依据；若因投标单位上传文件本身损坏等自身原因导致演示资料无法正常读取，将视为无效演示，该项不得分，相关责任由投标单位自行承担。）</w:t>
      </w:r>
      <w:r>
        <w:rPr>
          <w:rFonts w:ascii="宋体" w:hAnsi="宋体" w:cs="宋体"/>
        </w:rPr>
      </w:r>
      <w:r/>
    </w:p>
    <w:p>
      <w:pPr>
        <w:pStyle w:val="885"/>
        <w:ind w:firstLine="422"/>
        <w:keepLines w:val="0"/>
        <w:keepNext w:val="0"/>
        <w:pageBreakBefore w:val="0"/>
        <w:spacing w:line="440" w:lineRule="exact"/>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1.商务管理系-数智商务实训-企业财务会计理实一体化教学云平台（2分）</w:t>
      </w:r>
      <w:r>
        <w:rPr>
          <w:rFonts w:ascii="宋体" w:hAnsi="宋体" w:cs="宋体"/>
        </w:rPr>
      </w:r>
      <w:r/>
    </w:p>
    <w:p>
      <w:pPr>
        <w:pStyle w:val="885"/>
        <w:ind w:firstLine="420"/>
        <w:keepLines w:val="0"/>
        <w:keepNext w:val="0"/>
        <w:pageBreakBefore w:val="0"/>
        <w:spacing w:line="440" w:lineRule="exact"/>
        <w:widowControl w:val="off"/>
        <w:rPr>
          <w:rFonts w:hint="eastAsia" w:ascii="宋体" w:hAnsi="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lang w:val="en-US" w:eastAsia="zh-CN"/>
        </w:rPr>
        <w:t xml:space="preserve">财会信息化智能制题模块能够快速智能生成分岗位和不分岗位的实习账套，分岗位的实习账套包含出纳、会计、财务经理三个角色，同时支持一键生成三种题型。教师出一笔业务时只要选择一个经济业务模板然后对要考核的知识点进行简单设置后，系统能够一键生成包含手工帐（根据设置的内容能够自动生成背景单据和记账凭证）、理论分录题、电算化三种题型，并且能够展示该业务做题时的业务流程以及每个流程是由出纳、会计或财务经理哪个角色完成。</w:t>
      </w:r>
      <w:r>
        <w:rPr>
          <w:rFonts w:ascii="宋体" w:hAnsi="宋体" w:cs="宋体"/>
        </w:rPr>
      </w:r>
      <w:r/>
    </w:p>
    <w:p>
      <w:pPr>
        <w:pStyle w:val="885"/>
        <w:ind w:firstLine="422"/>
        <w:keepLines w:val="0"/>
        <w:keepNext w:val="0"/>
        <w:pageBreakBefore w:val="0"/>
        <w:spacing w:line="440" w:lineRule="exact"/>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2.商务管理系-数智商务实训-管理会计理实一体化教学云平台（2分）</w:t>
      </w:r>
      <w:r>
        <w:rPr>
          <w:rFonts w:ascii="宋体" w:hAnsi="宋体" w:cs="宋体"/>
        </w:rPr>
      </w:r>
      <w:r/>
    </w:p>
    <w:p>
      <w:pPr>
        <w:pStyle w:val="885"/>
        <w:ind w:firstLine="420"/>
        <w:keepLines w:val="0"/>
        <w:keepNext w:val="0"/>
        <w:pageBreakBefore w:val="0"/>
        <w:spacing w:line="440" w:lineRule="exact"/>
        <w:widowControl w:val="off"/>
        <w:rPr>
          <w:rFonts w:hint="eastAsia" w:ascii="宋体" w:hAnsi="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lang w:val="en-US" w:eastAsia="zh-CN"/>
        </w:rPr>
        <w:t xml:space="preserve">业财融合实战模块基于联盟链开发，学生在企业经营之前需要进行联盟链创建，具体包含内容如下：联盟链创建过程支持学生在线编辑区块链配置文件configtx.yaml及命令行、企业通道创建等；经营之前学生需要进行各个业务channel通道安装，同时支持教师设置是否允许学生进行共识规则设置，若允许，学生需要选择该业务后续经营时共识发起方是谁，同时需要选择共识确认方有哪些角色；明确各节点需要参与共识的具体细项；设置各细项业务依据的判断条件以及是否允许发起特殊共识。</w:t>
      </w:r>
      <w:r>
        <w:rPr>
          <w:rFonts w:ascii="宋体" w:hAnsi="宋体" w:cs="宋体"/>
        </w:rPr>
      </w:r>
      <w:r/>
    </w:p>
    <w:p>
      <w:pPr>
        <w:pStyle w:val="885"/>
        <w:ind w:firstLine="422"/>
        <w:keepLines w:val="0"/>
        <w:keepNext w:val="0"/>
        <w:pageBreakBefore w:val="0"/>
        <w:spacing w:line="440" w:lineRule="exact"/>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3</w:t>
      </w:r>
      <w:r>
        <w:rPr>
          <w:rFonts w:hint="eastAsia" w:ascii="宋体" w:hAnsi="宋体" w:eastAsia="宋体" w:cs="宋体"/>
          <w:b/>
          <w:bCs w:val="0"/>
          <w:color w:val="000000"/>
          <w:sz w:val="21"/>
          <w:szCs w:val="21"/>
          <w:highlight w:val="none"/>
          <w:lang w:val="en-US" w:eastAsia="zh-CN"/>
        </w:rPr>
        <w:t xml:space="preserve">.纺织服装系-服装工艺实训-服装工艺理实融合实训平台(教师端)（2分）</w:t>
      </w:r>
      <w:r>
        <w:rPr>
          <w:rFonts w:ascii="宋体" w:hAnsi="宋体" w:cs="宋体"/>
        </w:rPr>
      </w:r>
      <w:r/>
    </w:p>
    <w:p>
      <w:pPr>
        <w:pStyle w:val="885"/>
        <w:ind w:firstLine="420"/>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创建试卷，可以随机组卷，可跨题库组卷；难易程度：简单、中等、较难，自由选择数量和分值；答题结束后可以设置成绩隐藏或者显示,可以自由设置开考时间和结束时间，生成试卷。</w:t>
      </w:r>
      <w:r>
        <w:rPr>
          <w:rFonts w:ascii="宋体" w:hAnsi="宋体" w:cs="宋体"/>
        </w:rPr>
      </w:r>
      <w:r/>
    </w:p>
    <w:p>
      <w:pPr>
        <w:pStyle w:val="885"/>
        <w:ind w:firstLine="422"/>
        <w:keepLines w:val="0"/>
        <w:keepNext w:val="0"/>
        <w:pageBreakBefore w:val="0"/>
        <w:spacing w:line="440" w:lineRule="exact"/>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注：上述</w:t>
      </w: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cs="宋体"/>
          <w:b/>
          <w:bCs w:val="0"/>
          <w:color w:val="000000"/>
          <w:sz w:val="21"/>
          <w:szCs w:val="21"/>
          <w:highlight w:val="none"/>
          <w:lang w:val="en-US" w:eastAsia="zh-CN"/>
        </w:rPr>
        <w:t xml:space="preserve">-</w:t>
      </w:r>
      <w:r>
        <w:rPr>
          <w:rFonts w:hint="eastAsia" w:ascii="宋体" w:hAnsi="宋体" w:eastAsia="宋体" w:cs="宋体"/>
          <w:b/>
          <w:bCs w:val="0"/>
          <w:color w:val="000000"/>
          <w:sz w:val="21"/>
          <w:szCs w:val="21"/>
          <w:highlight w:val="none"/>
          <w:lang w:val="en-US" w:eastAsia="zh-CN"/>
        </w:rPr>
        <w:t xml:space="preserve">3</w:t>
      </w:r>
      <w:r>
        <w:rPr>
          <w:rFonts w:hint="eastAsia" w:ascii="宋体" w:hAnsi="宋体" w:eastAsia="宋体" w:cs="宋体"/>
          <w:b/>
          <w:bCs w:val="0"/>
          <w:color w:val="000000"/>
          <w:sz w:val="21"/>
          <w:szCs w:val="21"/>
          <w:highlight w:val="none"/>
          <w:lang w:val="en-US" w:eastAsia="zh-CN"/>
        </w:rPr>
        <w:t xml:space="preserve">项，演示内容齐全、操作流畅、界面清晰、实现功能要求的，每实现一项得</w:t>
      </w:r>
      <w:r>
        <w:rPr>
          <w:rFonts w:hint="eastAsia" w:ascii="宋体" w:hAnsi="宋体" w:eastAsia="宋体" w:cs="宋体"/>
          <w:b/>
          <w:bCs w:val="0"/>
          <w:color w:val="000000"/>
          <w:sz w:val="21"/>
          <w:szCs w:val="21"/>
          <w:highlight w:val="none"/>
          <w:lang w:val="en-US" w:eastAsia="zh-CN"/>
        </w:rPr>
        <w:t xml:space="preserve">2</w:t>
      </w:r>
      <w:r>
        <w:rPr>
          <w:rFonts w:hint="eastAsia" w:ascii="宋体" w:hAnsi="宋体" w:eastAsia="宋体" w:cs="宋体"/>
          <w:b/>
          <w:bCs w:val="0"/>
          <w:color w:val="000000"/>
          <w:sz w:val="21"/>
          <w:szCs w:val="21"/>
          <w:highlight w:val="none"/>
          <w:lang w:val="en-US" w:eastAsia="zh-CN"/>
        </w:rPr>
        <w:t xml:space="preserve">分，未提供的不得分。</w:t>
      </w:r>
      <w:r>
        <w:rPr>
          <w:rFonts w:ascii="宋体" w:hAnsi="宋体" w:cs="宋体"/>
        </w:rPr>
      </w:r>
      <w:r/>
    </w:p>
    <w:p>
      <w:pPr>
        <w:pStyle w:val="885"/>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val="zh-CN"/>
        </w:rPr>
        <w:t xml:space="preserve">（五）</w:t>
      </w:r>
      <w:r>
        <w:rPr>
          <w:rFonts w:hint="eastAsia" w:ascii="宋体" w:hAnsi="宋体" w:eastAsia="宋体" w:cs="宋体"/>
          <w:b/>
          <w:color w:val="000000"/>
          <w:sz w:val="21"/>
          <w:szCs w:val="21"/>
          <w:highlight w:val="none"/>
        </w:rPr>
        <w:t xml:space="preserve">投标单位综合实力</w:t>
      </w:r>
      <w:r>
        <w:rPr>
          <w:rFonts w:hint="eastAsia" w:ascii="宋体" w:hAnsi="宋体" w:eastAsia="宋体" w:cs="宋体"/>
          <w:b/>
          <w:color w:val="000000"/>
          <w:sz w:val="21"/>
          <w:szCs w:val="21"/>
          <w:highlight w:val="none"/>
          <w:lang w:val="zh-CN"/>
        </w:rPr>
        <w:t xml:space="preserve">（</w:t>
      </w:r>
      <w:r>
        <w:rPr>
          <w:rFonts w:hint="eastAsia" w:ascii="宋体" w:hAnsi="宋体" w:eastAsia="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lang w:val="zh-CN"/>
        </w:rPr>
        <w:t xml:space="preserve">分）</w:t>
      </w:r>
      <w:r>
        <w:rPr>
          <w:rFonts w:ascii="宋体" w:hAnsi="宋体" w:cs="宋体"/>
        </w:rPr>
      </w:r>
      <w:r/>
    </w:p>
    <w:p>
      <w:pPr>
        <w:pStyle w:val="885"/>
        <w:ind w:firstLine="422"/>
        <w:keepLines w:val="0"/>
        <w:keepNext w:val="0"/>
        <w:pageBreakBefore w:val="0"/>
        <w:spacing w:line="440" w:lineRule="exact"/>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1.项目负责人（3分）</w:t>
      </w:r>
      <w:r>
        <w:rPr>
          <w:rFonts w:ascii="宋体" w:hAnsi="宋体" w:cs="宋体"/>
        </w:rPr>
      </w:r>
      <w:r/>
    </w:p>
    <w:p>
      <w:pPr>
        <w:pStyle w:val="885"/>
        <w:ind w:firstLine="420"/>
        <w:keepLines w:val="0"/>
        <w:keepNext w:val="0"/>
        <w:pageBreakBefore w:val="0"/>
        <w:spacing w:line="440" w:lineRule="exact"/>
        <w:widowControl w:val="off"/>
        <w:rPr>
          <w:rFonts w:hint="eastAsia" w:ascii="宋体" w:hAnsi="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lang w:val="en-US" w:eastAsia="zh-CN"/>
        </w:rPr>
        <w:t xml:space="preserve">项目负责人具备信息系统项目管理师证书的得1分；具备ITSS信息技术应用创新服务工程师证书的得1分；具备信息安全工程师的得1分；本项最高得3分。</w:t>
      </w:r>
      <w:r>
        <w:rPr>
          <w:rFonts w:ascii="宋体" w:hAnsi="宋体" w:cs="宋体"/>
        </w:rPr>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注：投标文件中提供对应人员证书复印件及由社保部门出具的投标单位为其缴纳的近六个月社保证明材料复印件并加盖投标单位公章，缺失、不符或未提供的均不得分。</w:t>
      </w:r>
      <w:r>
        <w:rPr>
          <w:rFonts w:ascii="SimSun" w:hAnsi="SimSun" w:eastAsia="SimSun" w:cs="SimSun"/>
          <w:sz w:val="24"/>
        </w:rPr>
      </w:r>
      <w:r/>
    </w:p>
    <w:p>
      <w:pPr>
        <w:pStyle w:val="8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color w:val="000000"/>
          <w:sz w:val="21"/>
          <w:szCs w:val="21"/>
          <w:highlight w:val="none"/>
          <w:lang w:val="en-US" w:eastAsia="zh-CN"/>
        </w:rPr>
        <w:t xml:space="preserve">2</w:t>
      </w:r>
      <w:r>
        <w:rPr>
          <w:rFonts w:hint="eastAsia" w:ascii="宋体" w:hAnsi="宋体" w:eastAsia="宋体" w:cs="宋体"/>
          <w:b/>
          <w:color w:val="000000"/>
          <w:sz w:val="21"/>
          <w:szCs w:val="21"/>
          <w:highlight w:val="none"/>
          <w:lang w:val="en-US" w:eastAsia="zh-CN"/>
        </w:rPr>
        <w:t xml:space="preserve">.体系</w:t>
      </w:r>
      <w:r>
        <w:rPr>
          <w:rFonts w:hint="eastAsia" w:ascii="宋体" w:hAnsi="宋体" w:eastAsia="宋体" w:cs="宋体"/>
          <w:b/>
          <w:color w:val="000000"/>
          <w:sz w:val="21"/>
          <w:szCs w:val="21"/>
          <w:highlight w:val="none"/>
        </w:rPr>
        <w:t xml:space="preserve">认证证书（</w:t>
      </w: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分）</w:t>
      </w:r>
      <w:r>
        <w:rPr>
          <w:rFonts w:ascii="宋体" w:hAnsi="宋体" w:cs="宋体"/>
        </w:rPr>
      </w:r>
      <w:r/>
    </w:p>
    <w:p>
      <w:pPr>
        <w:pStyle w:val="885"/>
        <w:ind w:firstLine="420"/>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（1）投标单位具有有效的质量管理体系认证证书的得1分；</w:t>
      </w:r>
      <w:r>
        <w:rPr>
          <w:rFonts w:ascii="宋体" w:hAnsi="宋体" w:cs="宋体"/>
        </w:rPr>
      </w:r>
      <w:r/>
    </w:p>
    <w:p>
      <w:pPr>
        <w:pStyle w:val="885"/>
        <w:ind w:firstLine="420"/>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（2）投标单位具有有效的环境管理体系认证证书的得1分；</w:t>
      </w:r>
      <w:r>
        <w:rPr>
          <w:rFonts w:ascii="宋体" w:hAnsi="宋体" w:cs="宋体"/>
        </w:rPr>
      </w:r>
      <w:r/>
    </w:p>
    <w:p>
      <w:pPr>
        <w:pStyle w:val="885"/>
        <w:ind w:firstLine="420"/>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（3）投标单位具有有效的信息技术服务管理体系认证证书的得1分。</w:t>
      </w:r>
      <w:r>
        <w:rPr>
          <w:rFonts w:ascii="宋体" w:hAnsi="宋体" w:cs="宋体"/>
        </w:rPr>
      </w:r>
      <w:r/>
    </w:p>
    <w:p>
      <w:pPr>
        <w:pStyle w:val="885"/>
        <w:ind w:firstLine="422"/>
        <w:jc w:val="left"/>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
          <w:bCs/>
          <w:color w:val="000000"/>
          <w:sz w:val="21"/>
          <w:szCs w:val="21"/>
          <w:highlight w:val="none"/>
        </w:rPr>
        <w:t xml:space="preserve">注：</w:t>
      </w:r>
      <w:r>
        <w:rPr>
          <w:rFonts w:hint="eastAsia" w:ascii="宋体" w:hAnsi="宋体" w:eastAsia="宋体" w:cs="宋体"/>
          <w:b/>
          <w:bCs/>
          <w:color w:val="000000"/>
          <w:sz w:val="21"/>
          <w:szCs w:val="21"/>
          <w:highlight w:val="none"/>
          <w:lang w:bidi="ar"/>
        </w:rPr>
        <w:t xml:space="preserve">上述</w:t>
      </w: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）项，投标文件中提供有效的证书复印件并加盖投标单位公章，缺失、不符或未提供的均不得分。</w:t>
      </w:r>
      <w:bookmarkEnd w:id="52"/>
      <w:r>
        <w:rPr>
          <w:rFonts w:ascii="宋体" w:hAnsi="宋体" w:cs="宋体"/>
        </w:rPr>
      </w:r>
      <w:bookmarkEnd w:id="53"/>
      <w:r>
        <w:rPr>
          <w:rFonts w:ascii="宋体" w:hAnsi="宋体" w:cs="宋体"/>
        </w:rPr>
      </w:r>
      <w:bookmarkEnd w:id="54"/>
      <w:r>
        <w:rPr>
          <w:rFonts w:ascii="宋体" w:hAnsi="宋体" w:cs="宋体"/>
        </w:rPr>
      </w:r>
      <w:r/>
    </w:p>
    <w:p>
      <w:pPr>
        <w:pStyle w:val="897"/>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rPr>
      </w:r>
      <w:r>
        <w:rPr>
          <w:rFonts w:ascii="宋体" w:hAnsi="宋体" w:cs="宋体"/>
        </w:rPr>
      </w:r>
      <w:r/>
    </w:p>
    <w:p>
      <w:pPr>
        <w:pStyle w:val="885"/>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rPr>
      </w:r>
      <w:r>
        <w:rPr>
          <w:rFonts w:ascii="宋体" w:hAnsi="宋体" w:cs="宋体"/>
        </w:rPr>
      </w:r>
      <w:r/>
    </w:p>
    <w:p>
      <w:pPr>
        <w:pStyle w:val="897"/>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rPr>
      </w:r>
      <w:r>
        <w:rPr>
          <w:rFonts w:ascii="宋体" w:hAnsi="宋体" w:cs="宋体"/>
        </w:rPr>
      </w:r>
      <w:r/>
    </w:p>
    <w:p>
      <w:pPr>
        <w:pStyle w:val="885"/>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rPr>
      </w:r>
      <w:r>
        <w:rPr>
          <w:rFonts w:ascii="宋体" w:hAnsi="宋体" w:cs="宋体"/>
        </w:rPr>
      </w:r>
      <w:r/>
    </w:p>
    <w:p>
      <w:pPr>
        <w:pStyle w:val="897"/>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ind w:firstLine="422"/>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注：1</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报价超过采购预算（或最高限价）的将不进入综合评审程序，也不得标。</w:t>
      </w:r>
      <w:r>
        <w:rPr>
          <w:rFonts w:ascii="宋体" w:hAnsi="宋体" w:cs="宋体"/>
        </w:rPr>
      </w:r>
      <w:r/>
    </w:p>
    <w:p>
      <w:pPr>
        <w:pStyle w:val="885"/>
        <w:ind w:firstLine="422"/>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2</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付款步骤、服务期限如有负偏离的不得中标。</w:t>
      </w:r>
      <w:r>
        <w:rPr>
          <w:rFonts w:ascii="宋体" w:hAnsi="宋体" w:cs="宋体"/>
        </w:rPr>
      </w:r>
      <w:r/>
    </w:p>
    <w:p>
      <w:pPr>
        <w:pStyle w:val="885"/>
        <w:ind w:firstLine="422"/>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3</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针对评分标准中评分的每一条，投标人均应提供相关资料并作出相应说明供评委评判，不提供相关资料的视为不具备该项得分的条件。</w:t>
      </w:r>
      <w:r>
        <w:rPr>
          <w:rFonts w:ascii="宋体" w:hAnsi="宋体" w:cs="宋体"/>
        </w:rPr>
      </w:r>
      <w:r/>
    </w:p>
    <w:p>
      <w:pPr>
        <w:pStyle w:val="885"/>
        <w:ind w:firstLine="422"/>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val="zh-CN"/>
        </w:rPr>
        <w:t xml:space="preserve">4</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lang w:val="zh-CN"/>
        </w:rPr>
        <w:t xml:space="preserve">招标文件中要求的复印件可以用扫描件代替；招标文件中要求加盖投标单位公章的，可用电子签章代替。</w:t>
      </w:r>
      <w:r>
        <w:rPr>
          <w:rFonts w:ascii="宋体" w:hAnsi="宋体" w:cs="宋体"/>
        </w:rPr>
      </w:r>
      <w:r/>
    </w:p>
    <w:p>
      <w:pPr>
        <w:pStyle w:val="885"/>
        <w:ind w:firstLine="422"/>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5</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lang w:val="zh-CN"/>
        </w:rPr>
        <w:t xml:space="preserve">可以通过互联网或者相关信息系统查询的信息，各投标单位可以在投标文件中提供相关证明材料，也可以在投标文件中列明查询路径。</w:t>
      </w:r>
      <w:r>
        <w:rPr>
          <w:rFonts w:ascii="宋体" w:hAnsi="宋体" w:cs="宋体"/>
        </w:rPr>
      </w:r>
      <w:r/>
    </w:p>
    <w:p>
      <w:pPr>
        <w:pStyle w:val="897"/>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lang w:val="zh-CN"/>
        </w:rPr>
      </w:r>
      <w:r>
        <w:rPr>
          <w:rFonts w:ascii="宋体" w:hAnsi="宋体" w:cs="宋体"/>
        </w:rPr>
      </w:r>
      <w:r/>
    </w:p>
    <w:p>
      <w:pPr>
        <w:pStyle w:val="885"/>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lang w:val="zh-CN"/>
        </w:rPr>
      </w:r>
      <w:r>
        <w:rPr>
          <w:rFonts w:ascii="宋体" w:hAnsi="宋体" w:cs="宋体"/>
        </w:rPr>
      </w:r>
      <w:r/>
    </w:p>
    <w:p>
      <w:pPr>
        <w:pStyle w:val="897"/>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lang w:val="zh-CN"/>
        </w:rPr>
      </w:r>
      <w:r>
        <w:rPr>
          <w:rFonts w:ascii="宋体" w:hAnsi="宋体" w:cs="宋体"/>
        </w:rPr>
      </w:r>
      <w:r/>
    </w:p>
    <w:p>
      <w:pPr>
        <w:pStyle w:val="885"/>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lang w:val="zh-CN"/>
        </w:rPr>
      </w:r>
      <w:r>
        <w:rPr>
          <w:rFonts w:ascii="宋体" w:hAnsi="宋体" w:cs="宋体"/>
        </w:rPr>
      </w:r>
      <w:r/>
    </w:p>
    <w:p>
      <w:pPr>
        <w:pStyle w:val="897"/>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lang w:val="zh-CN"/>
        </w:rPr>
      </w:r>
      <w:r>
        <w:rPr>
          <w:rFonts w:ascii="宋体" w:hAnsi="宋体" w:cs="宋体"/>
        </w:rPr>
      </w:r>
      <w:r/>
    </w:p>
    <w:p>
      <w:pPr>
        <w:pStyle w:val="88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85"/>
        <w:jc w:val="right"/>
        <w:keepLines w:val="0"/>
        <w:keepNext w:val="0"/>
        <w:pageBreakBefore w:val="0"/>
        <w:spacing w:line="420" w:lineRule="exact"/>
        <w:widowControl w:val="off"/>
        <w:rPr>
          <w:rFonts w:hint="eastAsia" w:ascii="宋体" w:hAnsi="宋体" w:cs="宋体"/>
          <w:b/>
          <w:color w:val="000000"/>
          <w:sz w:val="21"/>
          <w:szCs w:val="21"/>
          <w:highlight w:val="none"/>
        </w:rPr>
        <w:outlineLvl w:val="9"/>
      </w:pPr>
      <w:r>
        <w:rPr>
          <w:rFonts w:hint="eastAsia" w:ascii="宋体" w:hAnsi="宋体" w:cs="宋体"/>
          <w:b/>
          <w:color w:val="000000"/>
          <w:sz w:val="21"/>
          <w:szCs w:val="21"/>
          <w:highlight w:val="none"/>
        </w:rPr>
      </w:r>
      <w:r>
        <w:rPr>
          <w:rFonts w:ascii="宋体" w:hAnsi="宋体" w:cs="宋体"/>
        </w:rPr>
      </w:r>
      <w:r/>
    </w:p>
    <w:p>
      <w:pPr>
        <w:pStyle w:val="885"/>
        <w:jc w:val="right"/>
        <w:keepLines w:val="0"/>
        <w:keepNext w:val="0"/>
        <w:pageBreakBefore w:val="0"/>
        <w:spacing w:line="42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（全文完）                                                             </w:t>
      </w:r>
      <w:r>
        <w:rPr>
          <w:rFonts w:ascii="宋体" w:hAnsi="宋体" w:cs="宋体"/>
        </w:rPr>
      </w:r>
      <w:r/>
    </w:p>
    <w:sectPr>
      <w:headerReference w:type="default" r:id="rId9"/>
      <w:footerReference w:type="default" r:id="rId10"/>
      <w:footnotePr/>
      <w:endnotePr/>
      <w:type w:val="nextPage"/>
      <w:pgSz w:w="11906" w:h="16838" w:orient="portrait"/>
      <w:pgMar w:top="851" w:right="924" w:bottom="680" w:left="1080" w:header="567"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华文新魏">
    <w:panose1 w:val="02010800040101010101"/>
  </w:font>
  <w:font w:name="Symbol">
    <w:panose1 w:val="05050102010706020507"/>
  </w:font>
  <w:font w:name="Wingdings">
    <w:panose1 w:val="05000000000000000000"/>
  </w:font>
  <w:font w:name="方正黑体简体">
    <w:panose1 w:val="020B0503020202020204"/>
  </w:font>
  <w:font w:name="Tahoma">
    <w:panose1 w:val="020B0604030504040204"/>
  </w:font>
  <w:font w:name="等线">
    <w:panose1 w:val="02010600030101010101"/>
  </w:font>
  <w:font w:name="等线 Light">
    <w:panose1 w:val="02010600030101010101"/>
  </w:font>
  <w:font w:name="Trebuchet MS">
    <w:panose1 w:val="020B0603020202020204"/>
  </w:font>
  <w:font w:name="Courier New">
    <w:panose1 w:val="02070309020205020404"/>
  </w:font>
  <w:font w:name="Heiti SC Light">
    <w:panose1 w:val="020B0503020202020204"/>
  </w:font>
  <w:font w:name="楷体_GB2312">
    <w:panose1 w:val="02010609060101010101"/>
  </w:font>
  <w:font w:name="Cambria">
    <w:panose1 w:val="02040503050406030204"/>
  </w:font>
  <w:font w:name="Verdana">
    <w:panose1 w:val="020B0604030504040204"/>
  </w:font>
  <w:font w:name="Century Gothic">
    <w:panose1 w:val="020B050202020202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5"/>
        <w:rFonts w:hint="eastAsia" w:ascii="宋体" w:hAnsi="宋体" w:eastAsia="宋体" w:cs="宋体"/>
      </w:rPr>
      <w:framePr w:wrap="around" w:vAnchor="text" w:hAnchor="page" w:x="5879" w:y="1"/>
    </w:pPr>
    <w:r>
      <w:rPr>
        <w:rFonts w:hint="eastAsia" w:ascii="宋体" w:hAnsi="宋体" w:eastAsia="宋体" w:cs="宋体"/>
      </w:rPr>
      <w:fldChar w:fldCharType="begin"/>
    </w:r>
    <w:r>
      <w:rPr>
        <w:rStyle w:val="955"/>
        <w:rFonts w:hint="eastAsia" w:ascii="宋体" w:hAnsi="宋体" w:eastAsia="宋体" w:cs="宋体"/>
      </w:rPr>
      <w:instrText xml:space="preserve">PAGE  </w:instrText>
    </w:r>
    <w:r>
      <w:rPr>
        <w:rFonts w:hint="eastAsia" w:ascii="宋体" w:hAnsi="宋体" w:eastAsia="宋体" w:cs="宋体"/>
      </w:rPr>
      <w:fldChar w:fldCharType="separate"/>
    </w:r>
    <w:r>
      <w:rPr>
        <w:rStyle w:val="955"/>
        <w:rFonts w:hint="eastAsia" w:ascii="宋体" w:hAnsi="宋体" w:eastAsia="宋体" w:cs="宋体"/>
      </w:rPr>
      <w:t xml:space="preserve">73</w:t>
    </w:r>
    <w:r>
      <w:rPr>
        <w:rFonts w:hint="eastAsia" w:ascii="宋体" w:hAnsi="宋体" w:eastAsia="宋体" w:cs="宋体"/>
      </w:rPr>
      <w:fldChar w:fldCharType="end"/>
    </w:r>
    <w:r>
      <w:rPr>
        <w:rStyle w:val="955"/>
        <w:rFonts w:hint="eastAsia" w:ascii="宋体" w:hAnsi="宋体" w:eastAsia="宋体" w:cs="宋体"/>
      </w:rPr>
    </w:r>
    <w:r/>
  </w:p>
  <w:p>
    <w:pPr>
      <w:pStyle w:val="9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both"/>
      <w:tabs>
        <w:tab w:val="center" w:pos="4153" w:leader="none"/>
        <w:tab w:val="right" w:pos="8640" w:leader="none"/>
      </w:tabs>
      <w:rPr>
        <w:rFonts w:hint="eastAsia" w:eastAsia="宋体"/>
        <w:lang w:eastAsia="zh-CN"/>
      </w:rPr>
    </w:pPr>
    <w:r>
      <w:rPr>
        <w:rFonts w:hint="eastAsia" w:ascii="宋体" w:hAnsi="宋体" w:cs="宋体"/>
      </w:rPr>
      <w:t xml:space="preserve">苏州欣禾诚工程咨询服务有限公司                                                     </w:t>
    </w:r>
    <w:r>
      <w:rPr>
        <w:rFonts w:hint="eastAsia" w:ascii="宋体" w:hAnsi="宋体" w:cs="宋体"/>
        <w:color w:val="000000"/>
        <w:lang w:eastAsia="zh-CN"/>
      </w:rPr>
      <w:t xml:space="preserve">JSZC-320509-SXHC-G2026-0010</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5"/>
        <w:ind w:left="420" w:hanging="420"/>
        <w:tabs>
          <w:tab w:val="num" w:pos="420" w:leader="none"/>
        </w:tabs>
      </w:pPr>
      <w:rPr>
        <w:rFonts w:hint="eastAsia"/>
      </w:rPr>
    </w:lvl>
    <w:lvl w:ilvl="1">
      <w:start w:val="1"/>
      <w:numFmt w:val="lowerLetter"/>
      <w:isLgl w:val="false"/>
      <w:suff w:val="tab"/>
      <w:lvlText w:val="%2)"/>
      <w:lvlJc w:val="left"/>
      <w:pPr>
        <w:pStyle w:val="885"/>
        <w:ind w:left="840" w:hanging="420"/>
        <w:tabs>
          <w:tab w:val="num" w:pos="840" w:leader="none"/>
        </w:tabs>
      </w:pPr>
    </w:lvl>
    <w:lvl w:ilvl="2">
      <w:start w:val="1"/>
      <w:numFmt w:val="lowerRoman"/>
      <w:isLgl w:val="false"/>
      <w:suff w:val="tab"/>
      <w:lvlText w:val="%3."/>
      <w:lvlJc w:val="right"/>
      <w:pPr>
        <w:pStyle w:val="885"/>
        <w:ind w:left="1260" w:hanging="420"/>
        <w:tabs>
          <w:tab w:val="num" w:pos="1260" w:leader="none"/>
        </w:tabs>
      </w:pPr>
    </w:lvl>
    <w:lvl w:ilvl="3">
      <w:start w:val="1"/>
      <w:numFmt w:val="decimal"/>
      <w:isLgl w:val="false"/>
      <w:suff w:val="tab"/>
      <w:lvlText w:val="%4."/>
      <w:lvlJc w:val="left"/>
      <w:pPr>
        <w:pStyle w:val="885"/>
        <w:ind w:left="1680" w:hanging="420"/>
        <w:tabs>
          <w:tab w:val="num" w:pos="1680" w:leader="none"/>
        </w:tabs>
      </w:pPr>
    </w:lvl>
    <w:lvl w:ilvl="4">
      <w:start w:val="1"/>
      <w:numFmt w:val="lowerLetter"/>
      <w:isLgl w:val="false"/>
      <w:suff w:val="tab"/>
      <w:lvlText w:val="%5)"/>
      <w:lvlJc w:val="left"/>
      <w:pPr>
        <w:pStyle w:val="885"/>
        <w:ind w:left="2100" w:hanging="420"/>
        <w:tabs>
          <w:tab w:val="num" w:pos="2100" w:leader="none"/>
        </w:tabs>
      </w:pPr>
    </w:lvl>
    <w:lvl w:ilvl="5">
      <w:start w:val="1"/>
      <w:numFmt w:val="lowerRoman"/>
      <w:isLgl w:val="false"/>
      <w:suff w:val="tab"/>
      <w:lvlText w:val="%6."/>
      <w:lvlJc w:val="right"/>
      <w:pPr>
        <w:pStyle w:val="885"/>
        <w:ind w:left="2520" w:hanging="420"/>
        <w:tabs>
          <w:tab w:val="num" w:pos="2520" w:leader="none"/>
        </w:tabs>
      </w:pPr>
    </w:lvl>
    <w:lvl w:ilvl="6">
      <w:start w:val="1"/>
      <w:numFmt w:val="decimal"/>
      <w:isLgl w:val="false"/>
      <w:suff w:val="tab"/>
      <w:lvlText w:val="%7."/>
      <w:lvlJc w:val="left"/>
      <w:pPr>
        <w:pStyle w:val="885"/>
        <w:ind w:left="2940" w:hanging="420"/>
        <w:tabs>
          <w:tab w:val="num" w:pos="2940" w:leader="none"/>
        </w:tabs>
      </w:pPr>
    </w:lvl>
    <w:lvl w:ilvl="7">
      <w:start w:val="1"/>
      <w:numFmt w:val="lowerLetter"/>
      <w:isLgl w:val="false"/>
      <w:suff w:val="tab"/>
      <w:lvlText w:val="%8)"/>
      <w:lvlJc w:val="left"/>
      <w:pPr>
        <w:pStyle w:val="885"/>
        <w:ind w:left="3360" w:hanging="420"/>
        <w:tabs>
          <w:tab w:val="num" w:pos="3360" w:leader="none"/>
        </w:tabs>
      </w:pPr>
    </w:lvl>
    <w:lvl w:ilvl="8">
      <w:start w:val="1"/>
      <w:numFmt w:val="lowerRoman"/>
      <w:isLgl w:val="false"/>
      <w:suff w:val="tab"/>
      <w:lvlText w:val="%9."/>
      <w:lvlJc w:val="right"/>
      <w:pPr>
        <w:pStyle w:val="885"/>
        <w:ind w:left="3780" w:hanging="420"/>
        <w:tabs>
          <w:tab w:val="num" w:pos="3780" w:leader="none"/>
        </w:tabs>
      </w:pPr>
    </w:lvl>
  </w:abstractNum>
  <w:abstractNum w:abstractNumId="1">
    <w:multiLevelType w:val="hybridMultilevel"/>
    <w:lvl w:ilvl="0">
      <w:start w:val="2"/>
      <w:numFmt w:val="chineseCounting"/>
      <w:isLgl w:val="false"/>
      <w:suff w:val="nothing"/>
      <w:lvlText w:val="（%1）"/>
      <w:lvlJc w:val="left"/>
      <w:pPr>
        <w:pStyle w:val="8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8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8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85"/>
        <w:ind w:left="420" w:hanging="420"/>
        <w:tabs>
          <w:tab w:val="num" w:pos="420" w:leader="none"/>
        </w:tabs>
      </w:pPr>
      <w:rPr>
        <w:rFonts w:hint="eastAsia"/>
      </w:rPr>
    </w:lvl>
    <w:lvl w:ilvl="1">
      <w:start w:val="1"/>
      <w:numFmt w:val="lowerLetter"/>
      <w:isLgl w:val="false"/>
      <w:suff w:val="tab"/>
      <w:lvlText w:val="%2)"/>
      <w:lvlJc w:val="left"/>
      <w:pPr>
        <w:pStyle w:val="885"/>
        <w:ind w:left="840" w:hanging="420"/>
        <w:tabs>
          <w:tab w:val="num" w:pos="840" w:leader="none"/>
        </w:tabs>
      </w:pPr>
    </w:lvl>
    <w:lvl w:ilvl="2">
      <w:start w:val="1"/>
      <w:numFmt w:val="lowerRoman"/>
      <w:isLgl w:val="false"/>
      <w:suff w:val="tab"/>
      <w:lvlText w:val="%3."/>
      <w:lvlJc w:val="right"/>
      <w:pPr>
        <w:pStyle w:val="885"/>
        <w:ind w:left="1260" w:hanging="420"/>
        <w:tabs>
          <w:tab w:val="num" w:pos="1260" w:leader="none"/>
        </w:tabs>
      </w:pPr>
    </w:lvl>
    <w:lvl w:ilvl="3">
      <w:start w:val="1"/>
      <w:numFmt w:val="decimal"/>
      <w:isLgl w:val="false"/>
      <w:suff w:val="tab"/>
      <w:lvlText w:val="%4."/>
      <w:lvlJc w:val="left"/>
      <w:pPr>
        <w:pStyle w:val="885"/>
        <w:ind w:left="1680" w:hanging="420"/>
        <w:tabs>
          <w:tab w:val="num" w:pos="1680" w:leader="none"/>
        </w:tabs>
      </w:pPr>
    </w:lvl>
    <w:lvl w:ilvl="4">
      <w:start w:val="1"/>
      <w:numFmt w:val="lowerLetter"/>
      <w:isLgl w:val="false"/>
      <w:suff w:val="tab"/>
      <w:lvlText w:val="%5)"/>
      <w:lvlJc w:val="left"/>
      <w:pPr>
        <w:pStyle w:val="885"/>
        <w:ind w:left="2100" w:hanging="420"/>
        <w:tabs>
          <w:tab w:val="num" w:pos="2100" w:leader="none"/>
        </w:tabs>
      </w:pPr>
    </w:lvl>
    <w:lvl w:ilvl="5">
      <w:start w:val="1"/>
      <w:numFmt w:val="lowerRoman"/>
      <w:isLgl w:val="false"/>
      <w:suff w:val="tab"/>
      <w:lvlText w:val="%6."/>
      <w:lvlJc w:val="right"/>
      <w:pPr>
        <w:pStyle w:val="885"/>
        <w:ind w:left="2520" w:hanging="420"/>
        <w:tabs>
          <w:tab w:val="num" w:pos="2520" w:leader="none"/>
        </w:tabs>
      </w:pPr>
    </w:lvl>
    <w:lvl w:ilvl="6">
      <w:start w:val="1"/>
      <w:numFmt w:val="decimal"/>
      <w:isLgl w:val="false"/>
      <w:suff w:val="tab"/>
      <w:lvlText w:val="%7."/>
      <w:lvlJc w:val="left"/>
      <w:pPr>
        <w:pStyle w:val="885"/>
        <w:ind w:left="2940" w:hanging="420"/>
        <w:tabs>
          <w:tab w:val="num" w:pos="2940" w:leader="none"/>
        </w:tabs>
      </w:pPr>
    </w:lvl>
    <w:lvl w:ilvl="7">
      <w:start w:val="1"/>
      <w:numFmt w:val="lowerLetter"/>
      <w:isLgl w:val="false"/>
      <w:suff w:val="tab"/>
      <w:lvlText w:val="%8)"/>
      <w:lvlJc w:val="left"/>
      <w:pPr>
        <w:pStyle w:val="885"/>
        <w:ind w:left="3360" w:hanging="420"/>
        <w:tabs>
          <w:tab w:val="num" w:pos="3360" w:leader="none"/>
        </w:tabs>
      </w:pPr>
    </w:lvl>
    <w:lvl w:ilvl="8">
      <w:start w:val="1"/>
      <w:numFmt w:val="lowerRoman"/>
      <w:isLgl w:val="false"/>
      <w:suff w:val="tab"/>
      <w:lvlText w:val="%9."/>
      <w:lvlJc w:val="right"/>
      <w:pPr>
        <w:pStyle w:val="885"/>
        <w:ind w:left="3780" w:hanging="420"/>
        <w:tabs>
          <w:tab w:val="num" w:pos="3780" w:leader="none"/>
        </w:tabs>
      </w:pPr>
    </w:lvl>
  </w:abstractNum>
  <w:abstractNum w:abstractNumId="5">
    <w:multiLevelType w:val="hybridMultilevel"/>
    <w:lvl w:ilvl="0">
      <w:start w:val="1"/>
      <w:numFmt w:val="decimal"/>
      <w:isLgl w:val="false"/>
      <w:suff w:val="tab"/>
      <w:lvlText w:val="%1."/>
      <w:lvlJc w:val="left"/>
      <w:pPr>
        <w:pStyle w:val="885"/>
        <w:ind w:left="420" w:hanging="420"/>
        <w:tabs>
          <w:tab w:val="num" w:pos="420" w:leader="none"/>
        </w:tabs>
      </w:pPr>
      <w:rPr>
        <w:rFonts w:hint="eastAsia"/>
      </w:rPr>
    </w:lvl>
    <w:lvl w:ilvl="1">
      <w:start w:val="1"/>
      <w:numFmt w:val="lowerLetter"/>
      <w:isLgl w:val="false"/>
      <w:suff w:val="tab"/>
      <w:lvlText w:val="%2)"/>
      <w:lvlJc w:val="left"/>
      <w:pPr>
        <w:pStyle w:val="885"/>
        <w:ind w:left="840" w:hanging="420"/>
        <w:tabs>
          <w:tab w:val="num" w:pos="840" w:leader="none"/>
        </w:tabs>
      </w:pPr>
    </w:lvl>
    <w:lvl w:ilvl="2">
      <w:start w:val="1"/>
      <w:numFmt w:val="lowerRoman"/>
      <w:isLgl w:val="false"/>
      <w:suff w:val="tab"/>
      <w:lvlText w:val="%3."/>
      <w:lvlJc w:val="right"/>
      <w:pPr>
        <w:pStyle w:val="885"/>
        <w:ind w:left="1260" w:hanging="420"/>
        <w:tabs>
          <w:tab w:val="num" w:pos="1260" w:leader="none"/>
        </w:tabs>
      </w:pPr>
    </w:lvl>
    <w:lvl w:ilvl="3">
      <w:start w:val="1"/>
      <w:numFmt w:val="decimal"/>
      <w:isLgl w:val="false"/>
      <w:suff w:val="tab"/>
      <w:lvlText w:val="%4."/>
      <w:lvlJc w:val="left"/>
      <w:pPr>
        <w:pStyle w:val="885"/>
        <w:ind w:left="1680" w:hanging="420"/>
        <w:tabs>
          <w:tab w:val="num" w:pos="1680" w:leader="none"/>
        </w:tabs>
      </w:pPr>
    </w:lvl>
    <w:lvl w:ilvl="4">
      <w:start w:val="1"/>
      <w:numFmt w:val="lowerLetter"/>
      <w:isLgl w:val="false"/>
      <w:suff w:val="tab"/>
      <w:lvlText w:val="%5)"/>
      <w:lvlJc w:val="left"/>
      <w:pPr>
        <w:pStyle w:val="885"/>
        <w:ind w:left="2100" w:hanging="420"/>
        <w:tabs>
          <w:tab w:val="num" w:pos="2100" w:leader="none"/>
        </w:tabs>
      </w:pPr>
    </w:lvl>
    <w:lvl w:ilvl="5">
      <w:start w:val="1"/>
      <w:numFmt w:val="lowerRoman"/>
      <w:isLgl w:val="false"/>
      <w:suff w:val="tab"/>
      <w:lvlText w:val="%6."/>
      <w:lvlJc w:val="right"/>
      <w:pPr>
        <w:pStyle w:val="885"/>
        <w:ind w:left="2520" w:hanging="420"/>
        <w:tabs>
          <w:tab w:val="num" w:pos="2520" w:leader="none"/>
        </w:tabs>
      </w:pPr>
    </w:lvl>
    <w:lvl w:ilvl="6">
      <w:start w:val="1"/>
      <w:numFmt w:val="decimal"/>
      <w:isLgl w:val="false"/>
      <w:suff w:val="tab"/>
      <w:lvlText w:val="%7."/>
      <w:lvlJc w:val="left"/>
      <w:pPr>
        <w:pStyle w:val="885"/>
        <w:ind w:left="2940" w:hanging="420"/>
        <w:tabs>
          <w:tab w:val="num" w:pos="2940" w:leader="none"/>
        </w:tabs>
      </w:pPr>
    </w:lvl>
    <w:lvl w:ilvl="7">
      <w:start w:val="1"/>
      <w:numFmt w:val="lowerLetter"/>
      <w:isLgl w:val="false"/>
      <w:suff w:val="tab"/>
      <w:lvlText w:val="%8)"/>
      <w:lvlJc w:val="left"/>
      <w:pPr>
        <w:pStyle w:val="885"/>
        <w:ind w:left="3360" w:hanging="420"/>
        <w:tabs>
          <w:tab w:val="num" w:pos="3360" w:leader="none"/>
        </w:tabs>
      </w:pPr>
    </w:lvl>
    <w:lvl w:ilvl="8">
      <w:start w:val="1"/>
      <w:numFmt w:val="lowerRoman"/>
      <w:isLgl w:val="false"/>
      <w:suff w:val="tab"/>
      <w:lvlText w:val="%9."/>
      <w:lvlJc w:val="right"/>
      <w:pPr>
        <w:pStyle w:val="885"/>
        <w:ind w:left="3780" w:hanging="420"/>
        <w:tabs>
          <w:tab w:val="num" w:pos="3780" w:leader="none"/>
        </w:tabs>
      </w:pPr>
    </w:lvl>
  </w:abstractNum>
  <w:abstractNum w:abstractNumId="6">
    <w:multiLevelType w:val="hybridMultilevel"/>
    <w:lvl w:ilvl="0">
      <w:start w:val="1"/>
      <w:numFmt w:val="japaneseCounting"/>
      <w:isLgl w:val="false"/>
      <w:suff w:val="tab"/>
      <w:lvlText w:val="%1、"/>
      <w:lvlJc w:val="left"/>
      <w:pPr>
        <w:pStyle w:val="885"/>
        <w:ind w:left="600" w:hanging="420"/>
        <w:tabs>
          <w:tab w:val="num" w:pos="600" w:leader="none"/>
        </w:tabs>
      </w:pPr>
      <w:rPr>
        <w:rFonts w:hint="eastAsia"/>
      </w:rPr>
    </w:lvl>
    <w:lvl w:ilvl="1">
      <w:start w:val="1"/>
      <w:numFmt w:val="decimal"/>
      <w:isLgl w:val="false"/>
      <w:suff w:val="tab"/>
      <w:lvlText w:val="%2．"/>
      <w:lvlJc w:val="left"/>
      <w:pPr>
        <w:pStyle w:val="885"/>
        <w:ind w:left="780" w:hanging="360"/>
        <w:tabs>
          <w:tab w:val="num" w:pos="780" w:leader="none"/>
        </w:tabs>
      </w:pPr>
      <w:rPr>
        <w:rFonts w:hint="eastAsia"/>
      </w:rPr>
    </w:lvl>
    <w:lvl w:ilvl="2">
      <w:start w:val="1"/>
      <w:numFmt w:val="decimal"/>
      <w:isLgl w:val="false"/>
      <w:suff w:val="tab"/>
      <w:lvlText w:val="%3、"/>
      <w:lvlJc w:val="left"/>
      <w:pPr>
        <w:pStyle w:val="885"/>
        <w:ind w:left="1200" w:hanging="360"/>
        <w:tabs>
          <w:tab w:val="num" w:pos="1200" w:leader="none"/>
        </w:tabs>
      </w:pPr>
    </w:lvl>
    <w:lvl w:ilvl="3">
      <w:start w:val="1"/>
      <w:numFmt w:val="decimal"/>
      <w:isLgl w:val="false"/>
      <w:suff w:val="tab"/>
      <w:lvlText w:val="%4."/>
      <w:lvlJc w:val="left"/>
      <w:pPr>
        <w:pStyle w:val="885"/>
        <w:ind w:left="1680" w:hanging="420"/>
        <w:tabs>
          <w:tab w:val="num" w:pos="1680" w:leader="none"/>
        </w:tabs>
      </w:pPr>
    </w:lvl>
    <w:lvl w:ilvl="4">
      <w:start w:val="1"/>
      <w:numFmt w:val="lowerLetter"/>
      <w:isLgl w:val="false"/>
      <w:suff w:val="tab"/>
      <w:lvlText w:val="%5)"/>
      <w:lvlJc w:val="left"/>
      <w:pPr>
        <w:pStyle w:val="885"/>
        <w:ind w:left="2100" w:hanging="420"/>
        <w:tabs>
          <w:tab w:val="num" w:pos="2100" w:leader="none"/>
        </w:tabs>
      </w:pPr>
    </w:lvl>
    <w:lvl w:ilvl="5">
      <w:start w:val="1"/>
      <w:numFmt w:val="lowerRoman"/>
      <w:isLgl w:val="false"/>
      <w:suff w:val="tab"/>
      <w:lvlText w:val="%6."/>
      <w:lvlJc w:val="right"/>
      <w:pPr>
        <w:pStyle w:val="885"/>
        <w:ind w:left="2520" w:hanging="420"/>
        <w:tabs>
          <w:tab w:val="num" w:pos="2520" w:leader="none"/>
        </w:tabs>
      </w:pPr>
    </w:lvl>
    <w:lvl w:ilvl="6">
      <w:start w:val="1"/>
      <w:numFmt w:val="decimal"/>
      <w:isLgl w:val="false"/>
      <w:suff w:val="tab"/>
      <w:lvlText w:val="%7."/>
      <w:lvlJc w:val="left"/>
      <w:pPr>
        <w:pStyle w:val="885"/>
        <w:ind w:left="2940" w:hanging="420"/>
        <w:tabs>
          <w:tab w:val="num" w:pos="2940" w:leader="none"/>
        </w:tabs>
      </w:pPr>
    </w:lvl>
    <w:lvl w:ilvl="7">
      <w:start w:val="1"/>
      <w:numFmt w:val="lowerLetter"/>
      <w:isLgl w:val="false"/>
      <w:suff w:val="tab"/>
      <w:lvlText w:val="%8)"/>
      <w:lvlJc w:val="left"/>
      <w:pPr>
        <w:pStyle w:val="885"/>
        <w:ind w:left="3360" w:hanging="420"/>
        <w:tabs>
          <w:tab w:val="num" w:pos="3360" w:leader="none"/>
        </w:tabs>
      </w:pPr>
    </w:lvl>
    <w:lvl w:ilvl="8">
      <w:start w:val="1"/>
      <w:numFmt w:val="lowerRoman"/>
      <w:isLgl w:val="false"/>
      <w:suff w:val="tab"/>
      <w:lvlText w:val="%9."/>
      <w:lvlJc w:val="right"/>
      <w:pPr>
        <w:pStyle w:val="885"/>
        <w:ind w:left="3780" w:hanging="420"/>
        <w:tabs>
          <w:tab w:val="num" w:pos="3780" w:leader="none"/>
        </w:tabs>
      </w:pPr>
    </w:lvl>
  </w:abstractNum>
  <w:abstractNum w:abstractNumId="7">
    <w:multiLevelType w:val="hybridMultilevel"/>
    <w:lvl w:ilvl="0">
      <w:start w:val="1"/>
      <w:numFmt w:val="decimal"/>
      <w:pStyle w:val="1069"/>
      <w:isLgl w:val="false"/>
      <w:suff w:val="tab"/>
      <w:lvlText w:val="%1)"/>
      <w:lvlJc w:val="left"/>
      <w:pPr>
        <w:pStyle w:val="885"/>
        <w:ind w:left="420" w:hanging="420"/>
        <w:tabs>
          <w:tab w:val="num" w:pos="420" w:leader="none"/>
        </w:tabs>
      </w:pPr>
    </w:lvl>
    <w:lvl w:ilvl="1">
      <w:start w:val="1"/>
      <w:numFmt w:val="lowerLetter"/>
      <w:isLgl w:val="false"/>
      <w:suff w:val="tab"/>
      <w:lvlText w:val="%2)"/>
      <w:lvlJc w:val="left"/>
      <w:pPr>
        <w:pStyle w:val="885"/>
        <w:ind w:left="840" w:hanging="420"/>
        <w:tabs>
          <w:tab w:val="num" w:pos="840" w:leader="none"/>
        </w:tabs>
      </w:pPr>
    </w:lvl>
    <w:lvl w:ilvl="2">
      <w:start w:val="1"/>
      <w:numFmt w:val="lowerRoman"/>
      <w:isLgl w:val="false"/>
      <w:suff w:val="tab"/>
      <w:lvlText w:val="%3."/>
      <w:lvlJc w:val="right"/>
      <w:pPr>
        <w:pStyle w:val="885"/>
        <w:ind w:left="1260" w:hanging="420"/>
        <w:tabs>
          <w:tab w:val="num" w:pos="1260" w:leader="none"/>
        </w:tabs>
      </w:pPr>
    </w:lvl>
    <w:lvl w:ilvl="3">
      <w:start w:val="1"/>
      <w:numFmt w:val="decimal"/>
      <w:isLgl w:val="false"/>
      <w:suff w:val="tab"/>
      <w:lvlText w:val="%4."/>
      <w:lvlJc w:val="left"/>
      <w:pPr>
        <w:pStyle w:val="885"/>
        <w:ind w:left="1680" w:hanging="420"/>
        <w:tabs>
          <w:tab w:val="num" w:pos="1680" w:leader="none"/>
        </w:tabs>
      </w:pPr>
    </w:lvl>
    <w:lvl w:ilvl="4">
      <w:start w:val="1"/>
      <w:numFmt w:val="lowerLetter"/>
      <w:isLgl w:val="false"/>
      <w:suff w:val="tab"/>
      <w:lvlText w:val="%5)"/>
      <w:lvlJc w:val="left"/>
      <w:pPr>
        <w:pStyle w:val="885"/>
        <w:ind w:left="2100" w:hanging="420"/>
        <w:tabs>
          <w:tab w:val="num" w:pos="2100" w:leader="none"/>
        </w:tabs>
      </w:pPr>
    </w:lvl>
    <w:lvl w:ilvl="5">
      <w:start w:val="1"/>
      <w:numFmt w:val="lowerRoman"/>
      <w:isLgl w:val="false"/>
      <w:suff w:val="tab"/>
      <w:lvlText w:val="%6."/>
      <w:lvlJc w:val="right"/>
      <w:pPr>
        <w:pStyle w:val="885"/>
        <w:ind w:left="2520" w:hanging="420"/>
        <w:tabs>
          <w:tab w:val="num" w:pos="2520" w:leader="none"/>
        </w:tabs>
      </w:pPr>
    </w:lvl>
    <w:lvl w:ilvl="6">
      <w:start w:val="1"/>
      <w:numFmt w:val="decimal"/>
      <w:isLgl w:val="false"/>
      <w:suff w:val="tab"/>
      <w:lvlText w:val="%7."/>
      <w:lvlJc w:val="left"/>
      <w:pPr>
        <w:pStyle w:val="885"/>
        <w:ind w:left="2940" w:hanging="420"/>
        <w:tabs>
          <w:tab w:val="num" w:pos="2940" w:leader="none"/>
        </w:tabs>
      </w:pPr>
    </w:lvl>
    <w:lvl w:ilvl="7">
      <w:start w:val="1"/>
      <w:numFmt w:val="lowerLetter"/>
      <w:isLgl w:val="false"/>
      <w:suff w:val="tab"/>
      <w:lvlText w:val="%8)"/>
      <w:lvlJc w:val="left"/>
      <w:pPr>
        <w:pStyle w:val="885"/>
        <w:ind w:left="3360" w:hanging="420"/>
        <w:tabs>
          <w:tab w:val="num" w:pos="3360" w:leader="none"/>
        </w:tabs>
      </w:pPr>
    </w:lvl>
    <w:lvl w:ilvl="8">
      <w:start w:val="1"/>
      <w:numFmt w:val="lowerRoman"/>
      <w:isLgl w:val="false"/>
      <w:suff w:val="tab"/>
      <w:lvlText w:val="%9."/>
      <w:lvlJc w:val="right"/>
      <w:pPr>
        <w:pStyle w:val="885"/>
        <w:ind w:left="3780" w:hanging="420"/>
        <w:tabs>
          <w:tab w:val="num" w:pos="3780" w:leader="none"/>
        </w:tabs>
      </w:pPr>
    </w:lvl>
  </w:abstractNum>
  <w:abstractNum w:abstractNumId="8">
    <w:multiLevelType w:val="hybridMultilevel"/>
    <w:lvl w:ilvl="0">
      <w:start w:val="1"/>
      <w:numFmt w:val="japaneseCounting"/>
      <w:isLgl w:val="false"/>
      <w:suff w:val="tab"/>
      <w:lvlText w:val="%1、"/>
      <w:lvlJc w:val="left"/>
      <w:pPr>
        <w:pStyle w:val="885"/>
        <w:ind w:left="420" w:hanging="420"/>
        <w:tabs>
          <w:tab w:val="num" w:pos="420" w:leader="none"/>
        </w:tabs>
      </w:pPr>
      <w:rPr>
        <w:rFonts w:hint="eastAsia"/>
        <w:b/>
      </w:rPr>
    </w:lvl>
    <w:lvl w:ilvl="1">
      <w:start w:val="1"/>
      <w:numFmt w:val="bullet"/>
      <w:isLgl w:val="false"/>
      <w:suff w:val="tab"/>
      <w:lvlText w:val=""/>
      <w:lvlJc w:val="left"/>
      <w:pPr>
        <w:pStyle w:val="885"/>
        <w:ind w:left="840" w:hanging="420"/>
        <w:tabs>
          <w:tab w:val="num" w:pos="840" w:leader="none"/>
        </w:tabs>
      </w:pPr>
      <w:rPr>
        <w:rFonts w:ascii="Wingdings" w:hAnsi="Wingdings" w:cs="Wingdings"/>
      </w:rPr>
    </w:lvl>
    <w:lvl w:ilvl="2">
      <w:start w:val="1"/>
      <w:numFmt w:val="lowerRoman"/>
      <w:isLgl w:val="false"/>
      <w:suff w:val="tab"/>
      <w:lvlText w:val="%3."/>
      <w:lvlJc w:val="right"/>
      <w:pPr>
        <w:pStyle w:val="885"/>
        <w:ind w:left="1260" w:hanging="420"/>
        <w:tabs>
          <w:tab w:val="num" w:pos="1260" w:leader="none"/>
        </w:tabs>
      </w:pPr>
    </w:lvl>
    <w:lvl w:ilvl="3">
      <w:start w:val="1"/>
      <w:numFmt w:val="decimal"/>
      <w:isLgl w:val="false"/>
      <w:suff w:val="tab"/>
      <w:lvlText w:val="%4."/>
      <w:lvlJc w:val="left"/>
      <w:pPr>
        <w:pStyle w:val="885"/>
        <w:ind w:left="1680" w:hanging="420"/>
        <w:tabs>
          <w:tab w:val="num" w:pos="1680" w:leader="none"/>
        </w:tabs>
      </w:pPr>
    </w:lvl>
    <w:lvl w:ilvl="4">
      <w:start w:val="1"/>
      <w:numFmt w:val="lowerLetter"/>
      <w:isLgl w:val="false"/>
      <w:suff w:val="tab"/>
      <w:lvlText w:val="%5)"/>
      <w:lvlJc w:val="left"/>
      <w:pPr>
        <w:pStyle w:val="885"/>
        <w:ind w:left="2100" w:hanging="420"/>
        <w:tabs>
          <w:tab w:val="num" w:pos="2100" w:leader="none"/>
        </w:tabs>
      </w:pPr>
    </w:lvl>
    <w:lvl w:ilvl="5">
      <w:start w:val="1"/>
      <w:numFmt w:val="lowerRoman"/>
      <w:isLgl w:val="false"/>
      <w:suff w:val="tab"/>
      <w:lvlText w:val="%6."/>
      <w:lvlJc w:val="right"/>
      <w:pPr>
        <w:pStyle w:val="885"/>
        <w:ind w:left="2520" w:hanging="420"/>
        <w:tabs>
          <w:tab w:val="num" w:pos="2520" w:leader="none"/>
        </w:tabs>
      </w:pPr>
    </w:lvl>
    <w:lvl w:ilvl="6">
      <w:start w:val="1"/>
      <w:numFmt w:val="decimal"/>
      <w:isLgl w:val="false"/>
      <w:suff w:val="tab"/>
      <w:lvlText w:val="%7."/>
      <w:lvlJc w:val="left"/>
      <w:pPr>
        <w:pStyle w:val="885"/>
        <w:ind w:left="2940" w:hanging="420"/>
        <w:tabs>
          <w:tab w:val="num" w:pos="2940" w:leader="none"/>
        </w:tabs>
      </w:pPr>
    </w:lvl>
    <w:lvl w:ilvl="7">
      <w:start w:val="1"/>
      <w:numFmt w:val="lowerLetter"/>
      <w:isLgl w:val="false"/>
      <w:suff w:val="tab"/>
      <w:lvlText w:val="%8)"/>
      <w:lvlJc w:val="left"/>
      <w:pPr>
        <w:pStyle w:val="885"/>
        <w:ind w:left="3360" w:hanging="420"/>
        <w:tabs>
          <w:tab w:val="num" w:pos="3360" w:leader="none"/>
        </w:tabs>
      </w:pPr>
    </w:lvl>
    <w:lvl w:ilvl="8">
      <w:start w:val="1"/>
      <w:numFmt w:val="lowerRoman"/>
      <w:isLgl w:val="false"/>
      <w:suff w:val="tab"/>
      <w:lvlText w:val="%9."/>
      <w:lvlJc w:val="right"/>
      <w:pPr>
        <w:pStyle w:val="885"/>
        <w:ind w:left="3780" w:hanging="420"/>
        <w:tabs>
          <w:tab w:val="num" w:pos="3780" w:leader="none"/>
        </w:tabs>
      </w:pPr>
    </w:lvl>
  </w:abstractNum>
  <w:abstractNum w:abstractNumId="9">
    <w:multiLevelType w:val="hybridMultilevel"/>
    <w:lvl w:ilvl="0">
      <w:start w:val="1"/>
      <w:numFmt w:val="decimal"/>
      <w:isLgl w:val="false"/>
      <w:suff w:val="tab"/>
      <w:lvlText w:val="%1."/>
      <w:lvlJc w:val="left"/>
      <w:pPr>
        <w:pStyle w:val="885"/>
        <w:ind w:left="420" w:hanging="420"/>
        <w:tabs>
          <w:tab w:val="num" w:pos="420" w:leader="none"/>
        </w:tabs>
      </w:pPr>
      <w:rPr>
        <w:rFonts w:hint="eastAsia"/>
      </w:rPr>
    </w:lvl>
    <w:lvl w:ilvl="1">
      <w:start w:val="1"/>
      <w:numFmt w:val="lowerLetter"/>
      <w:isLgl w:val="false"/>
      <w:suff w:val="tab"/>
      <w:lvlText w:val="%2)"/>
      <w:lvlJc w:val="left"/>
      <w:pPr>
        <w:pStyle w:val="885"/>
        <w:ind w:left="840" w:hanging="420"/>
        <w:tabs>
          <w:tab w:val="num" w:pos="840" w:leader="none"/>
        </w:tabs>
      </w:pPr>
    </w:lvl>
    <w:lvl w:ilvl="2">
      <w:start w:val="1"/>
      <w:numFmt w:val="lowerRoman"/>
      <w:isLgl w:val="false"/>
      <w:suff w:val="tab"/>
      <w:lvlText w:val="%3."/>
      <w:lvlJc w:val="right"/>
      <w:pPr>
        <w:pStyle w:val="885"/>
        <w:ind w:left="1260" w:hanging="420"/>
        <w:tabs>
          <w:tab w:val="num" w:pos="1260" w:leader="none"/>
        </w:tabs>
      </w:pPr>
    </w:lvl>
    <w:lvl w:ilvl="3">
      <w:start w:val="1"/>
      <w:numFmt w:val="decimal"/>
      <w:isLgl w:val="false"/>
      <w:suff w:val="tab"/>
      <w:lvlText w:val="%4."/>
      <w:lvlJc w:val="left"/>
      <w:pPr>
        <w:pStyle w:val="885"/>
        <w:ind w:left="1680" w:hanging="420"/>
        <w:tabs>
          <w:tab w:val="num" w:pos="1680" w:leader="none"/>
        </w:tabs>
      </w:pPr>
    </w:lvl>
    <w:lvl w:ilvl="4">
      <w:start w:val="1"/>
      <w:numFmt w:val="lowerLetter"/>
      <w:isLgl w:val="false"/>
      <w:suff w:val="tab"/>
      <w:lvlText w:val="%5)"/>
      <w:lvlJc w:val="left"/>
      <w:pPr>
        <w:pStyle w:val="885"/>
        <w:ind w:left="2100" w:hanging="420"/>
        <w:tabs>
          <w:tab w:val="num" w:pos="2100" w:leader="none"/>
        </w:tabs>
      </w:pPr>
    </w:lvl>
    <w:lvl w:ilvl="5">
      <w:start w:val="1"/>
      <w:numFmt w:val="lowerRoman"/>
      <w:isLgl w:val="false"/>
      <w:suff w:val="tab"/>
      <w:lvlText w:val="%6."/>
      <w:lvlJc w:val="right"/>
      <w:pPr>
        <w:pStyle w:val="885"/>
        <w:ind w:left="2520" w:hanging="420"/>
        <w:tabs>
          <w:tab w:val="num" w:pos="2520" w:leader="none"/>
        </w:tabs>
      </w:pPr>
    </w:lvl>
    <w:lvl w:ilvl="6">
      <w:start w:val="1"/>
      <w:numFmt w:val="decimal"/>
      <w:isLgl w:val="false"/>
      <w:suff w:val="tab"/>
      <w:lvlText w:val="%7."/>
      <w:lvlJc w:val="left"/>
      <w:pPr>
        <w:pStyle w:val="885"/>
        <w:ind w:left="2940" w:hanging="420"/>
        <w:tabs>
          <w:tab w:val="num" w:pos="2940" w:leader="none"/>
        </w:tabs>
      </w:pPr>
    </w:lvl>
    <w:lvl w:ilvl="7">
      <w:start w:val="1"/>
      <w:numFmt w:val="lowerLetter"/>
      <w:isLgl w:val="false"/>
      <w:suff w:val="tab"/>
      <w:lvlText w:val="%8)"/>
      <w:lvlJc w:val="left"/>
      <w:pPr>
        <w:pStyle w:val="885"/>
        <w:ind w:left="3360" w:hanging="420"/>
        <w:tabs>
          <w:tab w:val="num" w:pos="3360" w:leader="none"/>
        </w:tabs>
      </w:pPr>
    </w:lvl>
    <w:lvl w:ilvl="8">
      <w:start w:val="1"/>
      <w:numFmt w:val="lowerRoman"/>
      <w:isLgl w:val="false"/>
      <w:suff w:val="tab"/>
      <w:lvlText w:val="%9."/>
      <w:lvlJc w:val="right"/>
      <w:pPr>
        <w:pStyle w:val="885"/>
        <w:ind w:left="3780" w:hanging="420"/>
        <w:tabs>
          <w:tab w:val="num" w:pos="3780" w:leader="none"/>
        </w:tabs>
      </w:pPr>
    </w:lvl>
  </w:abstractNum>
  <w:abstractNum w:abstractNumId="10">
    <w:multiLevelType w:val="hybridMultilevel"/>
    <w:lvl w:ilvl="0">
      <w:start w:val="1"/>
      <w:numFmt w:val="decimal"/>
      <w:isLgl w:val="false"/>
      <w:suff w:val="tab"/>
      <w:lvlText w:val="%1."/>
      <w:lvlJc w:val="left"/>
      <w:pPr>
        <w:pStyle w:val="885"/>
        <w:ind w:left="425" w:hanging="425"/>
        <w:tabs>
          <w:tab w:val="num" w:pos="425" w:leader="none"/>
        </w:tabs>
      </w:pPr>
    </w:lvl>
    <w:lvl w:ilvl="1">
      <w:start w:val="1"/>
      <w:numFmt w:val="decimal"/>
      <w:isLgl w:val="false"/>
      <w:suff w:val="tab"/>
      <w:lvlText w:val="%1.%2."/>
      <w:lvlJc w:val="left"/>
      <w:pPr>
        <w:pStyle w:val="885"/>
        <w:ind w:left="567" w:hanging="567"/>
        <w:tabs>
          <w:tab w:val="num" w:pos="567" w:leader="none"/>
        </w:tabs>
      </w:pPr>
    </w:lvl>
    <w:lvl w:ilvl="2">
      <w:start w:val="1"/>
      <w:numFmt w:val="decimal"/>
      <w:isLgl w:val="false"/>
      <w:suff w:val="tab"/>
      <w:lvlText w:val="%1.%2.%3."/>
      <w:lvlJc w:val="left"/>
      <w:pPr>
        <w:pStyle w:val="885"/>
        <w:ind w:left="1069" w:hanging="709"/>
        <w:tabs>
          <w:tab w:val="num" w:pos="1069" w:leader="none"/>
        </w:tabs>
      </w:pPr>
    </w:lvl>
    <w:lvl w:ilvl="3">
      <w:start w:val="1"/>
      <w:numFmt w:val="decimal"/>
      <w:isLgl w:val="false"/>
      <w:suff w:val="tab"/>
      <w:lvlText w:val="%1.%2.%3.%4."/>
      <w:lvlJc w:val="left"/>
      <w:pPr>
        <w:pStyle w:val="885"/>
        <w:ind w:left="851" w:hanging="851"/>
        <w:tabs>
          <w:tab w:val="num" w:pos="851" w:leader="none"/>
        </w:tabs>
      </w:pPr>
    </w:lvl>
    <w:lvl w:ilvl="4">
      <w:start w:val="1"/>
      <w:numFmt w:val="decimal"/>
      <w:isLgl w:val="false"/>
      <w:suff w:val="tab"/>
      <w:lvlText w:val="%1.%2.%3.%4.%5."/>
      <w:lvlJc w:val="left"/>
      <w:pPr>
        <w:pStyle w:val="885"/>
        <w:ind w:left="992" w:hanging="992"/>
        <w:tabs>
          <w:tab w:val="num" w:pos="992" w:leader="none"/>
        </w:tabs>
      </w:pPr>
    </w:lvl>
    <w:lvl w:ilvl="5">
      <w:start w:val="1"/>
      <w:numFmt w:val="decimal"/>
      <w:isLgl w:val="false"/>
      <w:suff w:val="tab"/>
      <w:lvlText w:val="%1.%2.%3.%4.%5.%6."/>
      <w:lvlJc w:val="left"/>
      <w:pPr>
        <w:pStyle w:val="885"/>
        <w:ind w:left="1134" w:hanging="1134"/>
        <w:tabs>
          <w:tab w:val="num" w:pos="1134" w:leader="none"/>
        </w:tabs>
      </w:pPr>
    </w:lvl>
    <w:lvl w:ilvl="6">
      <w:start w:val="1"/>
      <w:numFmt w:val="decimal"/>
      <w:isLgl w:val="false"/>
      <w:suff w:val="tab"/>
      <w:lvlText w:val="%1.%2.%3.%4.%5.%6.%7."/>
      <w:lvlJc w:val="left"/>
      <w:pPr>
        <w:pStyle w:val="885"/>
        <w:ind w:left="1276" w:hanging="1276"/>
        <w:tabs>
          <w:tab w:val="num" w:pos="1276" w:leader="none"/>
        </w:tabs>
      </w:pPr>
    </w:lvl>
    <w:lvl w:ilvl="7">
      <w:start w:val="1"/>
      <w:numFmt w:val="decimal"/>
      <w:isLgl w:val="false"/>
      <w:suff w:val="tab"/>
      <w:lvlText w:val="%1.%2.%3.%4.%5.%6.%7.%8."/>
      <w:lvlJc w:val="left"/>
      <w:pPr>
        <w:pStyle w:val="885"/>
        <w:ind w:left="1418" w:hanging="1418"/>
        <w:tabs>
          <w:tab w:val="num" w:pos="1418" w:leader="none"/>
        </w:tabs>
      </w:pPr>
    </w:lvl>
    <w:lvl w:ilvl="8">
      <w:start w:val="1"/>
      <w:numFmt w:val="decimal"/>
      <w:isLgl w:val="false"/>
      <w:suff w:val="tab"/>
      <w:lvlText w:val="%1.%2.%3.%4.%5.%6.%7.%8.%9."/>
      <w:lvlJc w:val="left"/>
      <w:pPr>
        <w:pStyle w:val="885"/>
        <w:ind w:left="1559" w:hanging="1559"/>
        <w:tabs>
          <w:tab w:val="num" w:pos="1559" w:leader="none"/>
        </w:tabs>
      </w:pPr>
    </w:lvl>
  </w:abstractNum>
  <w:abstractNum w:abstractNumId="11">
    <w:multiLevelType w:val="hybridMultilevel"/>
    <w:lvl w:ilvl="0">
      <w:start w:val="1"/>
      <w:numFmt w:val="decimal"/>
      <w:isLgl w:val="false"/>
      <w:suff w:val="tab"/>
      <w:lvlText w:val="%1."/>
      <w:lvlJc w:val="left"/>
      <w:pPr>
        <w:pStyle w:val="885"/>
        <w:ind w:left="425" w:hanging="425"/>
        <w:tabs>
          <w:tab w:val="num" w:pos="425" w:leader="none"/>
        </w:tabs>
      </w:pPr>
      <w:rPr>
        <w:rFonts w:hint="eastAsia" w:ascii="宋体" w:hAnsi="宋体" w:eastAsia="宋体"/>
      </w:rPr>
    </w:lvl>
    <w:lvl w:ilvl="1">
      <w:start w:val="1"/>
      <w:numFmt w:val="decimal"/>
      <w:isLgl w:val="false"/>
      <w:suff w:val="tab"/>
      <w:lvlText w:val="%1.%2"/>
      <w:lvlJc w:val="left"/>
      <w:pPr>
        <w:pStyle w:val="885"/>
        <w:ind w:left="567" w:hanging="567"/>
        <w:tabs>
          <w:tab w:val="num" w:pos="567" w:leader="none"/>
        </w:tabs>
      </w:pPr>
      <w:rPr>
        <w:rFonts w:hint="eastAsia" w:ascii="宋体" w:hAnsi="宋体" w:eastAsia="宋体"/>
        <w:b w:val="0"/>
      </w:rPr>
    </w:lvl>
    <w:lvl w:ilvl="2">
      <w:start w:val="1"/>
      <w:numFmt w:val="decimal"/>
      <w:isLgl w:val="false"/>
      <w:suff w:val="tab"/>
      <w:lvlText w:val="%1.%2.%3."/>
      <w:lvlJc w:val="left"/>
      <w:pPr>
        <w:pStyle w:val="885"/>
        <w:ind w:left="709" w:hanging="709"/>
        <w:tabs>
          <w:tab w:val="num" w:pos="709" w:leader="none"/>
        </w:tabs>
      </w:pPr>
      <w:rPr>
        <w:rFonts w:hint="eastAsia"/>
      </w:rPr>
    </w:lvl>
    <w:lvl w:ilvl="3">
      <w:start w:val="1"/>
      <w:numFmt w:val="decimal"/>
      <w:isLgl w:val="false"/>
      <w:suff w:val="tab"/>
      <w:lvlText w:val="%1.%2.%3.%4."/>
      <w:lvlJc w:val="left"/>
      <w:pPr>
        <w:pStyle w:val="885"/>
        <w:ind w:left="851" w:hanging="851"/>
        <w:tabs>
          <w:tab w:val="num" w:pos="851" w:leader="none"/>
        </w:tabs>
      </w:pPr>
      <w:rPr>
        <w:rFonts w:hint="eastAsia"/>
      </w:rPr>
    </w:lvl>
    <w:lvl w:ilvl="4">
      <w:start w:val="1"/>
      <w:numFmt w:val="decimal"/>
      <w:isLgl w:val="false"/>
      <w:suff w:val="tab"/>
      <w:lvlText w:val="%1.%2.%3.%4.%5."/>
      <w:lvlJc w:val="left"/>
      <w:pPr>
        <w:pStyle w:val="885"/>
        <w:ind w:left="992" w:hanging="992"/>
        <w:tabs>
          <w:tab w:val="num" w:pos="992" w:leader="none"/>
        </w:tabs>
      </w:pPr>
      <w:rPr>
        <w:rFonts w:hint="eastAsia"/>
      </w:rPr>
    </w:lvl>
    <w:lvl w:ilvl="5">
      <w:start w:val="1"/>
      <w:numFmt w:val="decimal"/>
      <w:isLgl w:val="false"/>
      <w:suff w:val="tab"/>
      <w:lvlText w:val="%1.%2.%3.%4.%5.%6."/>
      <w:lvlJc w:val="left"/>
      <w:pPr>
        <w:pStyle w:val="885"/>
        <w:ind w:left="1134" w:hanging="1134"/>
        <w:tabs>
          <w:tab w:val="num" w:pos="1134" w:leader="none"/>
        </w:tabs>
      </w:pPr>
      <w:rPr>
        <w:rFonts w:hint="eastAsia"/>
      </w:rPr>
    </w:lvl>
    <w:lvl w:ilvl="6">
      <w:start w:val="1"/>
      <w:numFmt w:val="decimal"/>
      <w:isLgl w:val="false"/>
      <w:suff w:val="tab"/>
      <w:lvlText w:val="%1.%2.%3.%4.%5.%6.%7."/>
      <w:lvlJc w:val="left"/>
      <w:pPr>
        <w:pStyle w:val="885"/>
        <w:ind w:left="1276" w:hanging="1276"/>
        <w:tabs>
          <w:tab w:val="num" w:pos="1276" w:leader="none"/>
        </w:tabs>
      </w:pPr>
      <w:rPr>
        <w:rFonts w:hint="eastAsia"/>
      </w:rPr>
    </w:lvl>
    <w:lvl w:ilvl="7">
      <w:start w:val="1"/>
      <w:numFmt w:val="decimal"/>
      <w:isLgl w:val="false"/>
      <w:suff w:val="tab"/>
      <w:lvlText w:val="%1.%2.%3.%4.%5.%6.%7.%8."/>
      <w:lvlJc w:val="left"/>
      <w:pPr>
        <w:pStyle w:val="885"/>
        <w:ind w:left="1418" w:hanging="1418"/>
        <w:tabs>
          <w:tab w:val="num" w:pos="1418" w:leader="none"/>
        </w:tabs>
      </w:pPr>
      <w:rPr>
        <w:rFonts w:hint="eastAsia"/>
      </w:rPr>
    </w:lvl>
    <w:lvl w:ilvl="8">
      <w:start w:val="1"/>
      <w:numFmt w:val="decimal"/>
      <w:isLgl w:val="false"/>
      <w:suff w:val="tab"/>
      <w:lvlText w:val="%1.%2.%3.%4.%5.%6.%7.%8.%9."/>
      <w:lvlJc w:val="left"/>
      <w:pPr>
        <w:pStyle w:val="885"/>
        <w:ind w:left="1559" w:hanging="1559"/>
        <w:tabs>
          <w:tab w:val="num" w:pos="1559" w:leader="none"/>
        </w:tabs>
      </w:pPr>
      <w:rPr>
        <w:rFonts w:hint="eastAsia"/>
      </w:rPr>
    </w:lvl>
  </w:abstractNum>
  <w:abstractNum w:abstractNumId="12">
    <w:multiLevelType w:val="hybridMultilevel"/>
    <w:lvl w:ilvl="0">
      <w:start w:val="1"/>
      <w:numFmt w:val="decimal"/>
      <w:isLgl w:val="false"/>
      <w:suff w:val="tab"/>
      <w:lvlText w:val="（%1）"/>
      <w:lvlJc w:val="left"/>
      <w:pPr>
        <w:pStyle w:val="885"/>
        <w:ind w:left="2579" w:hanging="420"/>
        <w:tabs>
          <w:tab w:val="num" w:pos="2579" w:leader="none"/>
        </w:tabs>
      </w:pPr>
      <w:rPr>
        <w:rFonts w:hint="eastAsia"/>
      </w:rPr>
    </w:lvl>
    <w:lvl w:ilvl="1">
      <w:start w:val="1"/>
      <w:numFmt w:val="lowerLetter"/>
      <w:isLgl w:val="false"/>
      <w:suff w:val="tab"/>
      <w:lvlText w:val="%2)"/>
      <w:lvlJc w:val="left"/>
      <w:pPr>
        <w:pStyle w:val="885"/>
        <w:ind w:left="2579" w:hanging="420"/>
        <w:tabs>
          <w:tab w:val="num" w:pos="2579" w:leader="none"/>
        </w:tabs>
      </w:pPr>
    </w:lvl>
    <w:lvl w:ilvl="2">
      <w:start w:val="1"/>
      <w:numFmt w:val="lowerRoman"/>
      <w:isLgl w:val="false"/>
      <w:suff w:val="tab"/>
      <w:lvlText w:val="%3."/>
      <w:lvlJc w:val="right"/>
      <w:pPr>
        <w:pStyle w:val="885"/>
        <w:ind w:left="2999" w:hanging="420"/>
        <w:tabs>
          <w:tab w:val="num" w:pos="2999" w:leader="none"/>
        </w:tabs>
      </w:pPr>
    </w:lvl>
    <w:lvl w:ilvl="3">
      <w:start w:val="1"/>
      <w:numFmt w:val="decimal"/>
      <w:isLgl w:val="false"/>
      <w:suff w:val="tab"/>
      <w:lvlText w:val="%4."/>
      <w:lvlJc w:val="left"/>
      <w:pPr>
        <w:pStyle w:val="885"/>
        <w:ind w:left="3419" w:hanging="420"/>
        <w:tabs>
          <w:tab w:val="num" w:pos="3419" w:leader="none"/>
        </w:tabs>
      </w:pPr>
    </w:lvl>
    <w:lvl w:ilvl="4">
      <w:start w:val="1"/>
      <w:numFmt w:val="lowerLetter"/>
      <w:isLgl w:val="false"/>
      <w:suff w:val="tab"/>
      <w:lvlText w:val="%5)"/>
      <w:lvlJc w:val="left"/>
      <w:pPr>
        <w:pStyle w:val="885"/>
        <w:ind w:left="3839" w:hanging="420"/>
        <w:tabs>
          <w:tab w:val="num" w:pos="3839" w:leader="none"/>
        </w:tabs>
      </w:pPr>
    </w:lvl>
    <w:lvl w:ilvl="5">
      <w:start w:val="1"/>
      <w:numFmt w:val="lowerRoman"/>
      <w:isLgl w:val="false"/>
      <w:suff w:val="tab"/>
      <w:lvlText w:val="%6."/>
      <w:lvlJc w:val="right"/>
      <w:pPr>
        <w:pStyle w:val="885"/>
        <w:ind w:left="4259" w:hanging="420"/>
        <w:tabs>
          <w:tab w:val="num" w:pos="4259" w:leader="none"/>
        </w:tabs>
      </w:pPr>
    </w:lvl>
    <w:lvl w:ilvl="6">
      <w:start w:val="1"/>
      <w:numFmt w:val="decimal"/>
      <w:isLgl w:val="false"/>
      <w:suff w:val="tab"/>
      <w:lvlText w:val="%7."/>
      <w:lvlJc w:val="left"/>
      <w:pPr>
        <w:pStyle w:val="885"/>
        <w:ind w:left="4679" w:hanging="420"/>
        <w:tabs>
          <w:tab w:val="num" w:pos="4679" w:leader="none"/>
        </w:tabs>
      </w:pPr>
    </w:lvl>
    <w:lvl w:ilvl="7">
      <w:start w:val="1"/>
      <w:numFmt w:val="lowerLetter"/>
      <w:isLgl w:val="false"/>
      <w:suff w:val="tab"/>
      <w:lvlText w:val="%8)"/>
      <w:lvlJc w:val="left"/>
      <w:pPr>
        <w:pStyle w:val="885"/>
        <w:ind w:left="5099" w:hanging="420"/>
        <w:tabs>
          <w:tab w:val="num" w:pos="5099" w:leader="none"/>
        </w:tabs>
      </w:pPr>
    </w:lvl>
    <w:lvl w:ilvl="8">
      <w:start w:val="1"/>
      <w:numFmt w:val="lowerRoman"/>
      <w:isLgl w:val="false"/>
      <w:suff w:val="tab"/>
      <w:lvlText w:val="%9."/>
      <w:lvlJc w:val="right"/>
      <w:pPr>
        <w:pStyle w:val="885"/>
        <w:ind w:left="5519" w:hanging="420"/>
        <w:tabs>
          <w:tab w:val="num" w:pos="5519" w:leader="none"/>
        </w:tabs>
      </w:pPr>
    </w:lvl>
  </w:abstractNum>
  <w:abstractNum w:abstractNumId="13">
    <w:multiLevelType w:val="hybridMultilevel"/>
    <w:lvl w:ilvl="0">
      <w:start w:val="1"/>
      <w:numFmt w:val="decimal"/>
      <w:isLgl w:val="false"/>
      <w:suff w:val="tab"/>
      <w:lvlText w:val="（%1）"/>
      <w:lvlJc w:val="left"/>
      <w:pPr>
        <w:pStyle w:val="885"/>
        <w:ind w:left="2579" w:hanging="420"/>
        <w:tabs>
          <w:tab w:val="num" w:pos="2579" w:leader="none"/>
        </w:tabs>
      </w:pPr>
      <w:rPr>
        <w:rFonts w:hint="eastAsia"/>
      </w:rPr>
    </w:lvl>
    <w:lvl w:ilvl="1">
      <w:start w:val="1"/>
      <w:numFmt w:val="lowerLetter"/>
      <w:isLgl w:val="false"/>
      <w:suff w:val="tab"/>
      <w:lvlText w:val="%2)"/>
      <w:lvlJc w:val="left"/>
      <w:pPr>
        <w:pStyle w:val="885"/>
        <w:ind w:left="2579" w:hanging="420"/>
        <w:tabs>
          <w:tab w:val="num" w:pos="2579" w:leader="none"/>
        </w:tabs>
      </w:pPr>
    </w:lvl>
    <w:lvl w:ilvl="2">
      <w:start w:val="1"/>
      <w:numFmt w:val="lowerRoman"/>
      <w:isLgl w:val="false"/>
      <w:suff w:val="tab"/>
      <w:lvlText w:val="%3."/>
      <w:lvlJc w:val="right"/>
      <w:pPr>
        <w:pStyle w:val="885"/>
        <w:ind w:left="2999" w:hanging="420"/>
        <w:tabs>
          <w:tab w:val="num" w:pos="2999" w:leader="none"/>
        </w:tabs>
      </w:pPr>
    </w:lvl>
    <w:lvl w:ilvl="3">
      <w:start w:val="1"/>
      <w:numFmt w:val="decimal"/>
      <w:isLgl w:val="false"/>
      <w:suff w:val="tab"/>
      <w:lvlText w:val="%4."/>
      <w:lvlJc w:val="left"/>
      <w:pPr>
        <w:pStyle w:val="885"/>
        <w:ind w:left="3419" w:hanging="420"/>
        <w:tabs>
          <w:tab w:val="num" w:pos="3419" w:leader="none"/>
        </w:tabs>
      </w:pPr>
    </w:lvl>
    <w:lvl w:ilvl="4">
      <w:start w:val="1"/>
      <w:numFmt w:val="lowerLetter"/>
      <w:isLgl w:val="false"/>
      <w:suff w:val="tab"/>
      <w:lvlText w:val="%5)"/>
      <w:lvlJc w:val="left"/>
      <w:pPr>
        <w:pStyle w:val="885"/>
        <w:ind w:left="3839" w:hanging="420"/>
        <w:tabs>
          <w:tab w:val="num" w:pos="3839" w:leader="none"/>
        </w:tabs>
      </w:pPr>
    </w:lvl>
    <w:lvl w:ilvl="5">
      <w:start w:val="1"/>
      <w:numFmt w:val="lowerRoman"/>
      <w:isLgl w:val="false"/>
      <w:suff w:val="tab"/>
      <w:lvlText w:val="%6."/>
      <w:lvlJc w:val="right"/>
      <w:pPr>
        <w:pStyle w:val="885"/>
        <w:ind w:left="4259" w:hanging="420"/>
        <w:tabs>
          <w:tab w:val="num" w:pos="4259" w:leader="none"/>
        </w:tabs>
      </w:pPr>
    </w:lvl>
    <w:lvl w:ilvl="6">
      <w:start w:val="1"/>
      <w:numFmt w:val="decimal"/>
      <w:isLgl w:val="false"/>
      <w:suff w:val="tab"/>
      <w:lvlText w:val="%7."/>
      <w:lvlJc w:val="left"/>
      <w:pPr>
        <w:pStyle w:val="885"/>
        <w:ind w:left="4679" w:hanging="420"/>
        <w:tabs>
          <w:tab w:val="num" w:pos="4679" w:leader="none"/>
        </w:tabs>
      </w:pPr>
    </w:lvl>
    <w:lvl w:ilvl="7">
      <w:start w:val="1"/>
      <w:numFmt w:val="lowerLetter"/>
      <w:isLgl w:val="false"/>
      <w:suff w:val="tab"/>
      <w:lvlText w:val="%8)"/>
      <w:lvlJc w:val="left"/>
      <w:pPr>
        <w:pStyle w:val="885"/>
        <w:ind w:left="5099" w:hanging="420"/>
        <w:tabs>
          <w:tab w:val="num" w:pos="5099" w:leader="none"/>
        </w:tabs>
      </w:pPr>
    </w:lvl>
    <w:lvl w:ilvl="8">
      <w:start w:val="1"/>
      <w:numFmt w:val="lowerRoman"/>
      <w:isLgl w:val="false"/>
      <w:suff w:val="tab"/>
      <w:lvlText w:val="%9."/>
      <w:lvlJc w:val="right"/>
      <w:pPr>
        <w:pStyle w:val="885"/>
        <w:ind w:left="5519" w:hanging="420"/>
        <w:tabs>
          <w:tab w:val="num" w:pos="5519" w:leader="none"/>
        </w:tabs>
      </w:pPr>
    </w:lvl>
  </w:abstractNum>
  <w:abstractNum w:abstractNumId="14">
    <w:multiLevelType w:val="hybridMultilevel"/>
    <w:lvl w:ilvl="0">
      <w:start w:val="1"/>
      <w:numFmt w:val="decimal"/>
      <w:isLgl w:val="false"/>
      <w:suff w:val="tab"/>
      <w:lvlText w:val="（%1）"/>
      <w:lvlJc w:val="left"/>
      <w:pPr>
        <w:pStyle w:val="885"/>
        <w:ind w:left="2579" w:hanging="420"/>
        <w:tabs>
          <w:tab w:val="num" w:pos="2579" w:leader="none"/>
        </w:tabs>
      </w:pPr>
      <w:rPr>
        <w:rFonts w:hint="eastAsia"/>
      </w:rPr>
    </w:lvl>
    <w:lvl w:ilvl="1">
      <w:start w:val="1"/>
      <w:numFmt w:val="lowerLetter"/>
      <w:isLgl w:val="false"/>
      <w:suff w:val="tab"/>
      <w:lvlText w:val="%2)"/>
      <w:lvlJc w:val="left"/>
      <w:pPr>
        <w:pStyle w:val="885"/>
        <w:ind w:left="2579" w:hanging="420"/>
        <w:tabs>
          <w:tab w:val="num" w:pos="2579" w:leader="none"/>
        </w:tabs>
      </w:pPr>
    </w:lvl>
    <w:lvl w:ilvl="2">
      <w:start w:val="1"/>
      <w:numFmt w:val="lowerRoman"/>
      <w:isLgl w:val="false"/>
      <w:suff w:val="tab"/>
      <w:lvlText w:val="%3."/>
      <w:lvlJc w:val="right"/>
      <w:pPr>
        <w:pStyle w:val="885"/>
        <w:ind w:left="2999" w:hanging="420"/>
        <w:tabs>
          <w:tab w:val="num" w:pos="2999" w:leader="none"/>
        </w:tabs>
      </w:pPr>
    </w:lvl>
    <w:lvl w:ilvl="3">
      <w:start w:val="1"/>
      <w:numFmt w:val="decimal"/>
      <w:isLgl w:val="false"/>
      <w:suff w:val="tab"/>
      <w:lvlText w:val="%4."/>
      <w:lvlJc w:val="left"/>
      <w:pPr>
        <w:pStyle w:val="885"/>
        <w:ind w:left="3419" w:hanging="420"/>
        <w:tabs>
          <w:tab w:val="num" w:pos="3419" w:leader="none"/>
        </w:tabs>
      </w:pPr>
    </w:lvl>
    <w:lvl w:ilvl="4">
      <w:start w:val="1"/>
      <w:numFmt w:val="lowerLetter"/>
      <w:isLgl w:val="false"/>
      <w:suff w:val="tab"/>
      <w:lvlText w:val="%5)"/>
      <w:lvlJc w:val="left"/>
      <w:pPr>
        <w:pStyle w:val="885"/>
        <w:ind w:left="3839" w:hanging="420"/>
        <w:tabs>
          <w:tab w:val="num" w:pos="3839" w:leader="none"/>
        </w:tabs>
      </w:pPr>
    </w:lvl>
    <w:lvl w:ilvl="5">
      <w:start w:val="1"/>
      <w:numFmt w:val="lowerRoman"/>
      <w:isLgl w:val="false"/>
      <w:suff w:val="tab"/>
      <w:lvlText w:val="%6."/>
      <w:lvlJc w:val="right"/>
      <w:pPr>
        <w:pStyle w:val="885"/>
        <w:ind w:left="4259" w:hanging="420"/>
        <w:tabs>
          <w:tab w:val="num" w:pos="4259" w:leader="none"/>
        </w:tabs>
      </w:pPr>
    </w:lvl>
    <w:lvl w:ilvl="6">
      <w:start w:val="1"/>
      <w:numFmt w:val="decimal"/>
      <w:isLgl w:val="false"/>
      <w:suff w:val="tab"/>
      <w:lvlText w:val="%7."/>
      <w:lvlJc w:val="left"/>
      <w:pPr>
        <w:pStyle w:val="885"/>
        <w:ind w:left="4679" w:hanging="420"/>
        <w:tabs>
          <w:tab w:val="num" w:pos="4679" w:leader="none"/>
        </w:tabs>
      </w:pPr>
    </w:lvl>
    <w:lvl w:ilvl="7">
      <w:start w:val="1"/>
      <w:numFmt w:val="lowerLetter"/>
      <w:isLgl w:val="false"/>
      <w:suff w:val="tab"/>
      <w:lvlText w:val="%8)"/>
      <w:lvlJc w:val="left"/>
      <w:pPr>
        <w:pStyle w:val="885"/>
        <w:ind w:left="5099" w:hanging="420"/>
        <w:tabs>
          <w:tab w:val="num" w:pos="5099" w:leader="none"/>
        </w:tabs>
      </w:pPr>
    </w:lvl>
    <w:lvl w:ilvl="8">
      <w:start w:val="1"/>
      <w:numFmt w:val="lowerRoman"/>
      <w:isLgl w:val="false"/>
      <w:suff w:val="tab"/>
      <w:lvlText w:val="%9."/>
      <w:lvlJc w:val="right"/>
      <w:pPr>
        <w:pStyle w:val="885"/>
        <w:ind w:left="5519" w:hanging="420"/>
        <w:tabs>
          <w:tab w:val="num" w:pos="5519" w:leader="none"/>
        </w:tabs>
      </w:pPr>
    </w:lvl>
  </w:abstractNum>
  <w:abstractNum w:abstractNumId="15">
    <w:multiLevelType w:val="hybridMultilevel"/>
    <w:lvl w:ilvl="0">
      <w:start w:val="3"/>
      <w:numFmt w:val="chineseCounting"/>
      <w:isLgl w:val="false"/>
      <w:suff w:val="nothing"/>
      <w:lvlText w:val="%1、"/>
      <w:lvlJc w:val="left"/>
      <w:pPr>
        <w:pStyle w:val="8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885"/>
        <w:ind w:left="2579" w:hanging="420"/>
        <w:tabs>
          <w:tab w:val="num" w:pos="2579" w:leader="none"/>
        </w:tabs>
      </w:pPr>
      <w:rPr>
        <w:rFonts w:hint="eastAsia" w:ascii="宋体" w:hAnsi="宋体" w:eastAsia="宋体"/>
      </w:rPr>
    </w:lvl>
    <w:lvl w:ilvl="1">
      <w:start w:val="1"/>
      <w:numFmt w:val="lowerLetter"/>
      <w:isLgl w:val="false"/>
      <w:suff w:val="tab"/>
      <w:lvlText w:val="%2)"/>
      <w:lvlJc w:val="left"/>
      <w:pPr>
        <w:pStyle w:val="885"/>
        <w:ind w:left="2579" w:hanging="420"/>
        <w:tabs>
          <w:tab w:val="num" w:pos="2579" w:leader="none"/>
        </w:tabs>
      </w:pPr>
    </w:lvl>
    <w:lvl w:ilvl="2">
      <w:start w:val="1"/>
      <w:numFmt w:val="lowerRoman"/>
      <w:isLgl w:val="false"/>
      <w:suff w:val="tab"/>
      <w:lvlText w:val="%3."/>
      <w:lvlJc w:val="right"/>
      <w:pPr>
        <w:pStyle w:val="885"/>
        <w:ind w:left="2999" w:hanging="420"/>
        <w:tabs>
          <w:tab w:val="num" w:pos="2999" w:leader="none"/>
        </w:tabs>
      </w:pPr>
    </w:lvl>
    <w:lvl w:ilvl="3">
      <w:start w:val="1"/>
      <w:numFmt w:val="decimal"/>
      <w:isLgl w:val="false"/>
      <w:suff w:val="tab"/>
      <w:lvlText w:val="%4."/>
      <w:lvlJc w:val="left"/>
      <w:pPr>
        <w:pStyle w:val="885"/>
        <w:ind w:left="3419" w:hanging="420"/>
        <w:tabs>
          <w:tab w:val="num" w:pos="3419" w:leader="none"/>
        </w:tabs>
      </w:pPr>
    </w:lvl>
    <w:lvl w:ilvl="4">
      <w:start w:val="1"/>
      <w:numFmt w:val="lowerLetter"/>
      <w:isLgl w:val="false"/>
      <w:suff w:val="tab"/>
      <w:lvlText w:val="%5)"/>
      <w:lvlJc w:val="left"/>
      <w:pPr>
        <w:pStyle w:val="885"/>
        <w:ind w:left="3839" w:hanging="420"/>
        <w:tabs>
          <w:tab w:val="num" w:pos="3839" w:leader="none"/>
        </w:tabs>
      </w:pPr>
    </w:lvl>
    <w:lvl w:ilvl="5">
      <w:start w:val="1"/>
      <w:numFmt w:val="lowerRoman"/>
      <w:isLgl w:val="false"/>
      <w:suff w:val="tab"/>
      <w:lvlText w:val="%6."/>
      <w:lvlJc w:val="right"/>
      <w:pPr>
        <w:pStyle w:val="885"/>
        <w:ind w:left="4259" w:hanging="420"/>
        <w:tabs>
          <w:tab w:val="num" w:pos="4259" w:leader="none"/>
        </w:tabs>
      </w:pPr>
    </w:lvl>
    <w:lvl w:ilvl="6">
      <w:start w:val="1"/>
      <w:numFmt w:val="decimal"/>
      <w:isLgl w:val="false"/>
      <w:suff w:val="tab"/>
      <w:lvlText w:val="%7."/>
      <w:lvlJc w:val="left"/>
      <w:pPr>
        <w:pStyle w:val="885"/>
        <w:ind w:left="4679" w:hanging="420"/>
        <w:tabs>
          <w:tab w:val="num" w:pos="4679" w:leader="none"/>
        </w:tabs>
      </w:pPr>
    </w:lvl>
    <w:lvl w:ilvl="7">
      <w:start w:val="1"/>
      <w:numFmt w:val="lowerLetter"/>
      <w:isLgl w:val="false"/>
      <w:suff w:val="tab"/>
      <w:lvlText w:val="%8)"/>
      <w:lvlJc w:val="left"/>
      <w:pPr>
        <w:pStyle w:val="885"/>
        <w:ind w:left="5099" w:hanging="420"/>
        <w:tabs>
          <w:tab w:val="num" w:pos="5099" w:leader="none"/>
        </w:tabs>
      </w:pPr>
    </w:lvl>
    <w:lvl w:ilvl="8">
      <w:start w:val="1"/>
      <w:numFmt w:val="lowerRoman"/>
      <w:isLgl w:val="false"/>
      <w:suff w:val="tab"/>
      <w:lvlText w:val="%9."/>
      <w:lvlJc w:val="right"/>
      <w:pPr>
        <w:pStyle w:val="885"/>
        <w:ind w:left="5519" w:hanging="420"/>
        <w:tabs>
          <w:tab w:val="num" w:pos="5519" w:leader="none"/>
        </w:tabs>
      </w:pPr>
    </w:lvl>
  </w:abstractNum>
  <w:abstractNum w:abstractNumId="17">
    <w:multiLevelType w:val="hybridMultilevel"/>
    <w:lvl w:ilvl="0">
      <w:start w:val="1"/>
      <w:numFmt w:val="decimal"/>
      <w:isLgl w:val="false"/>
      <w:suff w:val="tab"/>
      <w:lvlText w:val="（%1）"/>
      <w:lvlJc w:val="left"/>
      <w:pPr>
        <w:pStyle w:val="885"/>
        <w:ind w:left="1739" w:hanging="420"/>
        <w:tabs>
          <w:tab w:val="num" w:pos="1739" w:leader="none"/>
        </w:tabs>
      </w:pPr>
      <w:rPr>
        <w:rFonts w:hint="eastAsia"/>
      </w:rPr>
    </w:lvl>
    <w:lvl w:ilvl="1">
      <w:start w:val="1"/>
      <w:numFmt w:val="lowerLetter"/>
      <w:isLgl w:val="false"/>
      <w:suff w:val="tab"/>
      <w:lvlText w:val="%2)"/>
      <w:lvlJc w:val="left"/>
      <w:pPr>
        <w:pStyle w:val="885"/>
        <w:ind w:left="1739" w:hanging="420"/>
        <w:tabs>
          <w:tab w:val="num" w:pos="1739" w:leader="none"/>
        </w:tabs>
      </w:pPr>
    </w:lvl>
    <w:lvl w:ilvl="2">
      <w:start w:val="1"/>
      <w:numFmt w:val="lowerRoman"/>
      <w:isLgl w:val="false"/>
      <w:suff w:val="tab"/>
      <w:lvlText w:val="%3."/>
      <w:lvlJc w:val="right"/>
      <w:pPr>
        <w:pStyle w:val="885"/>
        <w:ind w:left="2159" w:hanging="420"/>
        <w:tabs>
          <w:tab w:val="num" w:pos="2159" w:leader="none"/>
        </w:tabs>
      </w:pPr>
    </w:lvl>
    <w:lvl w:ilvl="3">
      <w:start w:val="1"/>
      <w:numFmt w:val="decimal"/>
      <w:isLgl w:val="false"/>
      <w:suff w:val="tab"/>
      <w:lvlText w:val="（%4）"/>
      <w:lvlJc w:val="left"/>
      <w:pPr>
        <w:pStyle w:val="885"/>
        <w:ind w:left="2579" w:hanging="420"/>
        <w:tabs>
          <w:tab w:val="num" w:pos="2579" w:leader="none"/>
        </w:tabs>
      </w:pPr>
      <w:rPr>
        <w:rFonts w:hint="eastAsia"/>
      </w:rPr>
    </w:lvl>
    <w:lvl w:ilvl="4">
      <w:start w:val="1"/>
      <w:numFmt w:val="lowerLetter"/>
      <w:isLgl w:val="false"/>
      <w:suff w:val="tab"/>
      <w:lvlText w:val="%5)"/>
      <w:lvlJc w:val="left"/>
      <w:pPr>
        <w:pStyle w:val="885"/>
        <w:ind w:left="2999" w:hanging="420"/>
        <w:tabs>
          <w:tab w:val="num" w:pos="2999" w:leader="none"/>
        </w:tabs>
      </w:pPr>
    </w:lvl>
    <w:lvl w:ilvl="5">
      <w:start w:val="1"/>
      <w:numFmt w:val="lowerRoman"/>
      <w:isLgl w:val="false"/>
      <w:suff w:val="tab"/>
      <w:lvlText w:val="%6."/>
      <w:lvlJc w:val="right"/>
      <w:pPr>
        <w:pStyle w:val="885"/>
        <w:ind w:left="3419" w:hanging="420"/>
        <w:tabs>
          <w:tab w:val="num" w:pos="3419" w:leader="none"/>
        </w:tabs>
      </w:pPr>
    </w:lvl>
    <w:lvl w:ilvl="6">
      <w:start w:val="1"/>
      <w:numFmt w:val="decimal"/>
      <w:isLgl w:val="false"/>
      <w:suff w:val="tab"/>
      <w:lvlText w:val="%7."/>
      <w:lvlJc w:val="left"/>
      <w:pPr>
        <w:pStyle w:val="885"/>
        <w:ind w:left="3839" w:hanging="420"/>
        <w:tabs>
          <w:tab w:val="num" w:pos="3839" w:leader="none"/>
        </w:tabs>
      </w:pPr>
    </w:lvl>
    <w:lvl w:ilvl="7">
      <w:start w:val="1"/>
      <w:numFmt w:val="lowerLetter"/>
      <w:isLgl w:val="false"/>
      <w:suff w:val="tab"/>
      <w:lvlText w:val="%8)"/>
      <w:lvlJc w:val="left"/>
      <w:pPr>
        <w:pStyle w:val="885"/>
        <w:ind w:left="4259" w:hanging="420"/>
        <w:tabs>
          <w:tab w:val="num" w:pos="4259" w:leader="none"/>
        </w:tabs>
      </w:pPr>
    </w:lvl>
    <w:lvl w:ilvl="8">
      <w:start w:val="1"/>
      <w:numFmt w:val="lowerRoman"/>
      <w:isLgl w:val="false"/>
      <w:suff w:val="tab"/>
      <w:lvlText w:val="%9."/>
      <w:lvlJc w:val="right"/>
      <w:pPr>
        <w:pStyle w:val="885"/>
        <w:ind w:left="4679" w:hanging="420"/>
        <w:tabs>
          <w:tab w:val="num" w:pos="4679" w:leader="none"/>
        </w:tabs>
      </w:pPr>
    </w:lvl>
  </w:abstractNum>
  <w:abstractNum w:abstractNumId="18">
    <w:multiLevelType w:val="hybridMultilevel"/>
    <w:lvl w:ilvl="0">
      <w:start w:val="1"/>
      <w:numFmt w:val="decimal"/>
      <w:isLgl w:val="false"/>
      <w:suff w:val="tab"/>
      <w:lvlText w:val="（%1）"/>
      <w:lvlJc w:val="left"/>
      <w:pPr>
        <w:pStyle w:val="885"/>
        <w:ind w:left="2579" w:hanging="420"/>
        <w:tabs>
          <w:tab w:val="num" w:pos="2579" w:leader="none"/>
        </w:tabs>
      </w:pPr>
      <w:rPr>
        <w:rFonts w:hint="eastAsia"/>
      </w:rPr>
    </w:lvl>
    <w:lvl w:ilvl="1">
      <w:start w:val="1"/>
      <w:numFmt w:val="lowerLetter"/>
      <w:isLgl w:val="false"/>
      <w:suff w:val="tab"/>
      <w:lvlText w:val="%2)"/>
      <w:lvlJc w:val="left"/>
      <w:pPr>
        <w:pStyle w:val="885"/>
        <w:ind w:left="2579" w:hanging="420"/>
        <w:tabs>
          <w:tab w:val="num" w:pos="2579" w:leader="none"/>
        </w:tabs>
      </w:pPr>
    </w:lvl>
    <w:lvl w:ilvl="2">
      <w:start w:val="1"/>
      <w:numFmt w:val="lowerRoman"/>
      <w:isLgl w:val="false"/>
      <w:suff w:val="tab"/>
      <w:lvlText w:val="%3."/>
      <w:lvlJc w:val="right"/>
      <w:pPr>
        <w:pStyle w:val="885"/>
        <w:ind w:left="2999" w:hanging="420"/>
        <w:tabs>
          <w:tab w:val="num" w:pos="2999" w:leader="none"/>
        </w:tabs>
      </w:pPr>
    </w:lvl>
    <w:lvl w:ilvl="3">
      <w:start w:val="1"/>
      <w:numFmt w:val="decimal"/>
      <w:isLgl w:val="false"/>
      <w:suff w:val="tab"/>
      <w:lvlText w:val="%4."/>
      <w:lvlJc w:val="left"/>
      <w:pPr>
        <w:pStyle w:val="885"/>
        <w:ind w:left="3419" w:hanging="420"/>
        <w:tabs>
          <w:tab w:val="num" w:pos="3419" w:leader="none"/>
        </w:tabs>
      </w:pPr>
    </w:lvl>
    <w:lvl w:ilvl="4">
      <w:start w:val="1"/>
      <w:numFmt w:val="lowerLetter"/>
      <w:isLgl w:val="false"/>
      <w:suff w:val="tab"/>
      <w:lvlText w:val="%5)"/>
      <w:lvlJc w:val="left"/>
      <w:pPr>
        <w:pStyle w:val="885"/>
        <w:ind w:left="3839" w:hanging="420"/>
        <w:tabs>
          <w:tab w:val="num" w:pos="3839" w:leader="none"/>
        </w:tabs>
      </w:pPr>
    </w:lvl>
    <w:lvl w:ilvl="5">
      <w:start w:val="1"/>
      <w:numFmt w:val="lowerRoman"/>
      <w:isLgl w:val="false"/>
      <w:suff w:val="tab"/>
      <w:lvlText w:val="%6."/>
      <w:lvlJc w:val="right"/>
      <w:pPr>
        <w:pStyle w:val="885"/>
        <w:ind w:left="4259" w:hanging="420"/>
        <w:tabs>
          <w:tab w:val="num" w:pos="4259" w:leader="none"/>
        </w:tabs>
      </w:pPr>
    </w:lvl>
    <w:lvl w:ilvl="6">
      <w:start w:val="1"/>
      <w:numFmt w:val="decimal"/>
      <w:isLgl w:val="false"/>
      <w:suff w:val="tab"/>
      <w:lvlText w:val="%7."/>
      <w:lvlJc w:val="left"/>
      <w:pPr>
        <w:pStyle w:val="885"/>
        <w:ind w:left="4679" w:hanging="420"/>
        <w:tabs>
          <w:tab w:val="num" w:pos="4679" w:leader="none"/>
        </w:tabs>
      </w:pPr>
    </w:lvl>
    <w:lvl w:ilvl="7">
      <w:start w:val="1"/>
      <w:numFmt w:val="lowerLetter"/>
      <w:isLgl w:val="false"/>
      <w:suff w:val="tab"/>
      <w:lvlText w:val="%8)"/>
      <w:lvlJc w:val="left"/>
      <w:pPr>
        <w:pStyle w:val="885"/>
        <w:ind w:left="5099" w:hanging="420"/>
        <w:tabs>
          <w:tab w:val="num" w:pos="5099" w:leader="none"/>
        </w:tabs>
      </w:pPr>
    </w:lvl>
    <w:lvl w:ilvl="8">
      <w:start w:val="1"/>
      <w:numFmt w:val="lowerRoman"/>
      <w:isLgl w:val="false"/>
      <w:suff w:val="tab"/>
      <w:lvlText w:val="%9."/>
      <w:lvlJc w:val="right"/>
      <w:pPr>
        <w:pStyle w:val="885"/>
        <w:ind w:left="5519" w:hanging="420"/>
        <w:tabs>
          <w:tab w:val="num" w:pos="5519" w:leader="none"/>
        </w:tabs>
      </w:pPr>
    </w:lvl>
  </w:abstractNum>
  <w:abstractNum w:abstractNumId="19">
    <w:multiLevelType w:val="hybridMultilevel"/>
    <w:lvl w:ilvl="0">
      <w:start w:val="1"/>
      <w:numFmt w:val="chineseCounting"/>
      <w:isLgl w:val="false"/>
      <w:suff w:val="nothing"/>
      <w:lvlText w:val="%1、"/>
      <w:lvlJc w:val="left"/>
      <w:pPr>
        <w:pStyle w:val="8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nothing"/>
      <w:lvlText w:val="%1、"/>
      <w:lvlJc w:val="left"/>
      <w:pPr>
        <w:pStyle w:val="8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0"/>
  </w:num>
  <w:num w:numId="5">
    <w:abstractNumId w:val="8"/>
  </w:num>
  <w:num w:numId="6">
    <w:abstractNumId w:val="1"/>
  </w:num>
  <w:num w:numId="7">
    <w:abstractNumId w:val="15"/>
  </w:num>
  <w:num w:numId="8">
    <w:abstractNumId w:val="3"/>
  </w:num>
  <w:num w:numId="9">
    <w:abstractNumId w:val="19"/>
  </w:num>
  <w:num w:numId="10">
    <w:abstractNumId w:val="2"/>
  </w:num>
  <w:num w:numId="11">
    <w:abstractNumId w:val="20"/>
  </w:num>
  <w:num w:numId="12">
    <w:abstractNumId w:val="11"/>
  </w:num>
  <w:num w:numId="13">
    <w:abstractNumId w:val="17"/>
  </w:num>
  <w:num w:numId="14">
    <w:abstractNumId w:val="18"/>
  </w:num>
  <w:num w:numId="15">
    <w:abstractNumId w:val="12"/>
  </w:num>
  <w:num w:numId="16">
    <w:abstractNumId w:val="16"/>
  </w:num>
  <w:num w:numId="17">
    <w:abstractNumId w:val="14"/>
  </w:num>
  <w:num w:numId="18">
    <w:abstractNumId w:val="13"/>
  </w:num>
  <w:num w:numId="19">
    <w:abstractNumId w:val="4"/>
  </w:num>
  <w:num w:numId="20">
    <w:abstractNumId w:val="9"/>
  </w:num>
  <w:num w:numId="21">
    <w:abstractNumId w:val="5"/>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name w:val="Heading 1"/>
    <w:basedOn w:val="885"/>
    <w:next w:val="885"/>
    <w:link w:val="709"/>
    <w:uiPriority w:val="9"/>
    <w:qFormat/>
    <w:pPr>
      <w:keepLines/>
      <w:keepNext/>
      <w:spacing w:before="480" w:after="200"/>
      <w:outlineLvl w:val="0"/>
    </w:pPr>
    <w:rPr>
      <w:rFonts w:ascii="Arial" w:hAnsi="Arial" w:eastAsia="Arial" w:cs="Arial"/>
      <w:sz w:val="40"/>
      <w:szCs w:val="40"/>
    </w:rPr>
  </w:style>
  <w:style w:type="character" w:styleId="709">
    <w:name w:val="Heading 1 Char"/>
    <w:link w:val="708"/>
    <w:uiPriority w:val="9"/>
    <w:rPr>
      <w:rFonts w:ascii="Arial" w:hAnsi="Arial" w:eastAsia="Arial" w:cs="Arial"/>
      <w:sz w:val="40"/>
      <w:szCs w:val="40"/>
    </w:rPr>
  </w:style>
  <w:style w:type="paragraph" w:styleId="710">
    <w:name w:val="Heading 2"/>
    <w:basedOn w:val="885"/>
    <w:next w:val="885"/>
    <w:link w:val="711"/>
    <w:uiPriority w:val="9"/>
    <w:unhideWhenUsed/>
    <w:qFormat/>
    <w:pPr>
      <w:keepLines/>
      <w:keepNext/>
      <w:spacing w:before="360" w:after="200"/>
      <w:outlineLvl w:val="1"/>
    </w:pPr>
    <w:rPr>
      <w:rFonts w:ascii="Arial" w:hAnsi="Arial" w:eastAsia="Arial" w:cs="Arial"/>
      <w:sz w:val="34"/>
    </w:rPr>
  </w:style>
  <w:style w:type="character" w:styleId="711">
    <w:name w:val="Heading 2 Char"/>
    <w:link w:val="710"/>
    <w:uiPriority w:val="9"/>
    <w:rPr>
      <w:rFonts w:ascii="Arial" w:hAnsi="Arial" w:eastAsia="Arial" w:cs="Arial"/>
      <w:sz w:val="34"/>
    </w:rPr>
  </w:style>
  <w:style w:type="paragraph" w:styleId="712">
    <w:name w:val="Heading 3"/>
    <w:basedOn w:val="885"/>
    <w:next w:val="885"/>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link w:val="712"/>
    <w:uiPriority w:val="9"/>
    <w:rPr>
      <w:rFonts w:ascii="Arial" w:hAnsi="Arial" w:eastAsia="Arial" w:cs="Arial"/>
      <w:sz w:val="30"/>
      <w:szCs w:val="30"/>
    </w:rPr>
  </w:style>
  <w:style w:type="paragraph" w:styleId="714">
    <w:name w:val="Heading 4"/>
    <w:basedOn w:val="885"/>
    <w:next w:val="885"/>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link w:val="714"/>
    <w:uiPriority w:val="9"/>
    <w:rPr>
      <w:rFonts w:ascii="Arial" w:hAnsi="Arial" w:eastAsia="Arial" w:cs="Arial"/>
      <w:b/>
      <w:bCs/>
      <w:sz w:val="26"/>
      <w:szCs w:val="26"/>
    </w:rPr>
  </w:style>
  <w:style w:type="paragraph" w:styleId="716">
    <w:name w:val="Heading 5"/>
    <w:basedOn w:val="885"/>
    <w:next w:val="885"/>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link w:val="716"/>
    <w:uiPriority w:val="9"/>
    <w:rPr>
      <w:rFonts w:ascii="Arial" w:hAnsi="Arial" w:eastAsia="Arial" w:cs="Arial"/>
      <w:b/>
      <w:bCs/>
      <w:sz w:val="24"/>
      <w:szCs w:val="24"/>
    </w:rPr>
  </w:style>
  <w:style w:type="paragraph" w:styleId="718">
    <w:name w:val="Heading 6"/>
    <w:basedOn w:val="885"/>
    <w:next w:val="885"/>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link w:val="718"/>
    <w:uiPriority w:val="9"/>
    <w:rPr>
      <w:rFonts w:ascii="Arial" w:hAnsi="Arial" w:eastAsia="Arial" w:cs="Arial"/>
      <w:b/>
      <w:bCs/>
      <w:sz w:val="22"/>
      <w:szCs w:val="22"/>
    </w:rPr>
  </w:style>
  <w:style w:type="paragraph" w:styleId="720">
    <w:name w:val="Heading 7"/>
    <w:basedOn w:val="885"/>
    <w:next w:val="885"/>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link w:val="720"/>
    <w:uiPriority w:val="9"/>
    <w:rPr>
      <w:rFonts w:ascii="Arial" w:hAnsi="Arial" w:eastAsia="Arial" w:cs="Arial"/>
      <w:b/>
      <w:bCs/>
      <w:i/>
      <w:iCs/>
      <w:sz w:val="22"/>
      <w:szCs w:val="22"/>
    </w:rPr>
  </w:style>
  <w:style w:type="paragraph" w:styleId="722">
    <w:name w:val="Heading 8"/>
    <w:basedOn w:val="885"/>
    <w:next w:val="885"/>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link w:val="722"/>
    <w:uiPriority w:val="9"/>
    <w:rPr>
      <w:rFonts w:ascii="Arial" w:hAnsi="Arial" w:eastAsia="Arial" w:cs="Arial"/>
      <w:i/>
      <w:iCs/>
      <w:sz w:val="22"/>
      <w:szCs w:val="22"/>
    </w:rPr>
  </w:style>
  <w:style w:type="paragraph" w:styleId="724">
    <w:name w:val="Heading 9"/>
    <w:basedOn w:val="885"/>
    <w:next w:val="885"/>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link w:val="724"/>
    <w:uiPriority w:val="9"/>
    <w:rPr>
      <w:rFonts w:ascii="Arial" w:hAnsi="Arial" w:eastAsia="Arial" w:cs="Arial"/>
      <w:i/>
      <w:iCs/>
      <w:sz w:val="21"/>
      <w:szCs w:val="21"/>
    </w:rPr>
  </w:style>
  <w:style w:type="paragraph" w:styleId="726">
    <w:name w:val="No Spacing"/>
    <w:uiPriority w:val="1"/>
    <w:qFormat/>
    <w:pPr>
      <w:spacing w:before="0" w:after="0" w:line="240" w:lineRule="auto"/>
    </w:pPr>
  </w:style>
  <w:style w:type="paragraph" w:styleId="727">
    <w:name w:val="Title"/>
    <w:basedOn w:val="885"/>
    <w:next w:val="885"/>
    <w:link w:val="728"/>
    <w:uiPriority w:val="10"/>
    <w:qFormat/>
    <w:pPr>
      <w:contextualSpacing/>
      <w:spacing w:before="300" w:after="200"/>
    </w:pPr>
    <w:rPr>
      <w:sz w:val="48"/>
      <w:szCs w:val="48"/>
    </w:rPr>
  </w:style>
  <w:style w:type="character" w:styleId="728">
    <w:name w:val="Title Char"/>
    <w:link w:val="727"/>
    <w:uiPriority w:val="10"/>
    <w:rPr>
      <w:sz w:val="48"/>
      <w:szCs w:val="48"/>
    </w:rPr>
  </w:style>
  <w:style w:type="paragraph" w:styleId="729">
    <w:name w:val="Subtitle"/>
    <w:basedOn w:val="885"/>
    <w:next w:val="885"/>
    <w:link w:val="730"/>
    <w:uiPriority w:val="11"/>
    <w:qFormat/>
    <w:pPr>
      <w:spacing w:before="200" w:after="200"/>
    </w:pPr>
    <w:rPr>
      <w:sz w:val="24"/>
      <w:szCs w:val="24"/>
    </w:rPr>
  </w:style>
  <w:style w:type="character" w:styleId="730">
    <w:name w:val="Subtitle Char"/>
    <w:link w:val="729"/>
    <w:uiPriority w:val="11"/>
    <w:rPr>
      <w:sz w:val="24"/>
      <w:szCs w:val="24"/>
    </w:rPr>
  </w:style>
  <w:style w:type="paragraph" w:styleId="731">
    <w:name w:val="Quote"/>
    <w:basedOn w:val="885"/>
    <w:next w:val="885"/>
    <w:link w:val="732"/>
    <w:uiPriority w:val="29"/>
    <w:qFormat/>
    <w:pPr>
      <w:ind w:left="720" w:right="720"/>
    </w:pPr>
    <w:rPr>
      <w:i/>
    </w:rPr>
  </w:style>
  <w:style w:type="character" w:styleId="732">
    <w:name w:val="Quote Char"/>
    <w:link w:val="731"/>
    <w:uiPriority w:val="29"/>
    <w:rPr>
      <w:i/>
    </w:rPr>
  </w:style>
  <w:style w:type="paragraph" w:styleId="733">
    <w:name w:val="Intense Quote"/>
    <w:basedOn w:val="885"/>
    <w:next w:val="885"/>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paragraph" w:styleId="735">
    <w:name w:val="Header"/>
    <w:basedOn w:val="885"/>
    <w:link w:val="736"/>
    <w:uiPriority w:val="99"/>
    <w:unhideWhenUsed/>
    <w:pPr>
      <w:spacing w:after="0" w:line="240" w:lineRule="auto"/>
      <w:tabs>
        <w:tab w:val="center" w:pos="7143" w:leader="none"/>
        <w:tab w:val="right" w:pos="14287" w:leader="none"/>
      </w:tabs>
    </w:pPr>
  </w:style>
  <w:style w:type="character" w:styleId="736">
    <w:name w:val="Header Char"/>
    <w:link w:val="735"/>
    <w:uiPriority w:val="99"/>
  </w:style>
  <w:style w:type="paragraph" w:styleId="737">
    <w:name w:val="Footer"/>
    <w:basedOn w:val="885"/>
    <w:link w:val="740"/>
    <w:uiPriority w:val="99"/>
    <w:unhideWhenUsed/>
    <w:pPr>
      <w:spacing w:after="0" w:line="240" w:lineRule="auto"/>
      <w:tabs>
        <w:tab w:val="center" w:pos="7143" w:leader="none"/>
        <w:tab w:val="right" w:pos="14287" w:leader="none"/>
      </w:tabs>
    </w:pPr>
  </w:style>
  <w:style w:type="character" w:styleId="738">
    <w:name w:val="Footer Char"/>
    <w:link w:val="737"/>
    <w:uiPriority w:val="99"/>
  </w:style>
  <w:style w:type="paragraph" w:styleId="739">
    <w:name w:val="Caption"/>
    <w:basedOn w:val="885"/>
    <w:next w:val="885"/>
    <w:uiPriority w:val="35"/>
    <w:semiHidden/>
    <w:unhideWhenUsed/>
    <w:qFormat/>
    <w:pPr>
      <w:spacing w:line="276" w:lineRule="auto"/>
    </w:pPr>
    <w:rPr>
      <w:b/>
      <w:bCs/>
      <w:color w:val="4f81bd" w:themeColor="accent1"/>
      <w:sz w:val="18"/>
      <w:szCs w:val="18"/>
    </w:rPr>
  </w:style>
  <w:style w:type="character" w:styleId="740">
    <w:name w:val="Caption Char"/>
    <w:basedOn w:val="739"/>
    <w:link w:val="737"/>
    <w:uiPriority w:val="99"/>
  </w:style>
  <w:style w:type="table" w:styleId="7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7">
    <w:name w:val="Hyperlink"/>
    <w:uiPriority w:val="99"/>
    <w:unhideWhenUsed/>
    <w:rPr>
      <w:color w:val="0000ff" w:themeColor="hyperlink"/>
      <w:u w:val="single"/>
    </w:rPr>
  </w:style>
  <w:style w:type="paragraph" w:styleId="868">
    <w:name w:val="footnote text"/>
    <w:basedOn w:val="885"/>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uiPriority w:val="99"/>
    <w:unhideWhenUsed/>
    <w:rPr>
      <w:vertAlign w:val="superscript"/>
    </w:rPr>
  </w:style>
  <w:style w:type="paragraph" w:styleId="871">
    <w:name w:val="endnote text"/>
    <w:basedOn w:val="885"/>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uiPriority w:val="99"/>
    <w:semiHidden/>
    <w:unhideWhenUsed/>
    <w:rPr>
      <w:vertAlign w:val="superscript"/>
    </w:rPr>
  </w:style>
  <w:style w:type="paragraph" w:styleId="874">
    <w:name w:val="toc 1"/>
    <w:basedOn w:val="885"/>
    <w:next w:val="885"/>
    <w:uiPriority w:val="39"/>
    <w:unhideWhenUsed/>
    <w:pPr>
      <w:ind w:left="0" w:right="0" w:firstLine="0"/>
      <w:spacing w:after="57"/>
    </w:pPr>
  </w:style>
  <w:style w:type="paragraph" w:styleId="875">
    <w:name w:val="toc 2"/>
    <w:basedOn w:val="885"/>
    <w:next w:val="885"/>
    <w:uiPriority w:val="39"/>
    <w:unhideWhenUsed/>
    <w:pPr>
      <w:ind w:left="283" w:right="0" w:firstLine="0"/>
      <w:spacing w:after="57"/>
    </w:pPr>
  </w:style>
  <w:style w:type="paragraph" w:styleId="876">
    <w:name w:val="toc 3"/>
    <w:basedOn w:val="885"/>
    <w:next w:val="885"/>
    <w:uiPriority w:val="39"/>
    <w:unhideWhenUsed/>
    <w:pPr>
      <w:ind w:left="567" w:right="0" w:firstLine="0"/>
      <w:spacing w:after="57"/>
    </w:pPr>
  </w:style>
  <w:style w:type="paragraph" w:styleId="877">
    <w:name w:val="toc 4"/>
    <w:basedOn w:val="885"/>
    <w:next w:val="885"/>
    <w:uiPriority w:val="39"/>
    <w:unhideWhenUsed/>
    <w:pPr>
      <w:ind w:left="850" w:right="0" w:firstLine="0"/>
      <w:spacing w:after="57"/>
    </w:pPr>
  </w:style>
  <w:style w:type="paragraph" w:styleId="878">
    <w:name w:val="toc 5"/>
    <w:basedOn w:val="885"/>
    <w:next w:val="885"/>
    <w:uiPriority w:val="39"/>
    <w:unhideWhenUsed/>
    <w:pPr>
      <w:ind w:left="1134" w:right="0" w:firstLine="0"/>
      <w:spacing w:after="57"/>
    </w:pPr>
  </w:style>
  <w:style w:type="paragraph" w:styleId="879">
    <w:name w:val="toc 6"/>
    <w:basedOn w:val="885"/>
    <w:next w:val="885"/>
    <w:uiPriority w:val="39"/>
    <w:unhideWhenUsed/>
    <w:pPr>
      <w:ind w:left="1417" w:right="0" w:firstLine="0"/>
      <w:spacing w:after="57"/>
    </w:pPr>
  </w:style>
  <w:style w:type="paragraph" w:styleId="880">
    <w:name w:val="toc 7"/>
    <w:basedOn w:val="885"/>
    <w:next w:val="885"/>
    <w:uiPriority w:val="39"/>
    <w:unhideWhenUsed/>
    <w:pPr>
      <w:ind w:left="1701" w:right="0" w:firstLine="0"/>
      <w:spacing w:after="57"/>
    </w:pPr>
  </w:style>
  <w:style w:type="paragraph" w:styleId="881">
    <w:name w:val="toc 8"/>
    <w:basedOn w:val="885"/>
    <w:next w:val="885"/>
    <w:uiPriority w:val="39"/>
    <w:unhideWhenUsed/>
    <w:pPr>
      <w:ind w:left="1984" w:right="0" w:firstLine="0"/>
      <w:spacing w:after="57"/>
    </w:pPr>
  </w:style>
  <w:style w:type="paragraph" w:styleId="882">
    <w:name w:val="toc 9"/>
    <w:basedOn w:val="885"/>
    <w:next w:val="885"/>
    <w:uiPriority w:val="39"/>
    <w:unhideWhenUsed/>
    <w:pPr>
      <w:ind w:left="2268" w:right="0" w:firstLine="0"/>
      <w:spacing w:after="57"/>
    </w:p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next w:val="897"/>
    <w:link w:val="885"/>
    <w:qFormat/>
    <w:pPr>
      <w:jc w:val="both"/>
      <w:widowControl w:val="off"/>
    </w:pPr>
    <w:rPr>
      <w:rFonts w:ascii="宋体" w:hAnsi="宋体" w:cs="宋体"/>
      <w:sz w:val="24"/>
      <w:szCs w:val="24"/>
      <w:lang w:val="en-US" w:eastAsia="zh-CN" w:bidi="ar-SA"/>
    </w:rPr>
  </w:style>
  <w:style w:type="paragraph" w:styleId="886">
    <w:name w:val="标题 1"/>
    <w:basedOn w:val="885"/>
    <w:next w:val="885"/>
    <w:link w:val="899"/>
    <w:qFormat/>
    <w:pPr>
      <w:ind w:left="432" w:hanging="432"/>
      <w:keepLines/>
      <w:keepNext/>
      <w:spacing w:before="340" w:after="330" w:line="578" w:lineRule="auto"/>
      <w:tabs>
        <w:tab w:val="left" w:pos="432" w:leader="none"/>
      </w:tabs>
      <w:outlineLvl w:val="0"/>
    </w:pPr>
    <w:rPr>
      <w:rFonts w:ascii="Calibri" w:hAnsi="Calibri" w:cs="Times New Roman"/>
      <w:b/>
      <w:bCs/>
      <w:sz w:val="44"/>
      <w:szCs w:val="44"/>
    </w:rPr>
  </w:style>
  <w:style w:type="paragraph" w:styleId="887">
    <w:name w:val="标题 2"/>
    <w:basedOn w:val="885"/>
    <w:next w:val="885"/>
    <w:link w:val="900"/>
    <w:qFormat/>
    <w:pPr>
      <w:ind w:left="576" w:hanging="576"/>
      <w:keepLines/>
      <w:keepNext/>
      <w:spacing w:before="260" w:after="260" w:line="416" w:lineRule="auto"/>
      <w:tabs>
        <w:tab w:val="left" w:pos="576" w:leader="none"/>
      </w:tabs>
      <w:outlineLvl w:val="1"/>
    </w:pPr>
    <w:rPr>
      <w:rFonts w:ascii="Arial" w:hAnsi="Arial" w:eastAsia="黑体" w:cs="Times New Roman"/>
      <w:b/>
      <w:bCs/>
      <w:sz w:val="32"/>
      <w:szCs w:val="32"/>
    </w:rPr>
  </w:style>
  <w:style w:type="paragraph" w:styleId="888">
    <w:name w:val="标题 3"/>
    <w:basedOn w:val="885"/>
    <w:next w:val="885"/>
    <w:link w:val="901"/>
    <w:qFormat/>
    <w:pPr>
      <w:ind w:left="720" w:hanging="720"/>
      <w:keepLines/>
      <w:keepNext/>
      <w:spacing w:before="260" w:after="260" w:line="416" w:lineRule="auto"/>
      <w:tabs>
        <w:tab w:val="left" w:pos="1080" w:leader="none"/>
      </w:tabs>
      <w:outlineLvl w:val="2"/>
    </w:pPr>
    <w:rPr>
      <w:rFonts w:ascii="Calibri" w:hAnsi="Calibri" w:cs="Times New Roman"/>
      <w:b/>
      <w:bCs/>
      <w:sz w:val="32"/>
      <w:szCs w:val="32"/>
    </w:rPr>
  </w:style>
  <w:style w:type="paragraph" w:styleId="889">
    <w:name w:val="标题 4"/>
    <w:basedOn w:val="885"/>
    <w:next w:val="903"/>
    <w:link w:val="902"/>
    <w:qFormat/>
    <w:pPr>
      <w:ind w:left="864" w:hanging="864"/>
      <w:keepLines/>
      <w:keepNext/>
      <w:spacing w:before="280" w:after="290" w:line="376" w:lineRule="auto"/>
      <w:tabs>
        <w:tab w:val="left" w:pos="1440" w:leader="none"/>
      </w:tabs>
      <w:outlineLvl w:val="3"/>
    </w:pPr>
    <w:rPr>
      <w:rFonts w:ascii="Cambria" w:hAnsi="Cambria" w:cs="Times New Roman"/>
      <w:b/>
      <w:bCs/>
      <w:sz w:val="28"/>
      <w:szCs w:val="28"/>
    </w:rPr>
  </w:style>
  <w:style w:type="paragraph" w:styleId="890">
    <w:name w:val="标题 5"/>
    <w:basedOn w:val="885"/>
    <w:next w:val="903"/>
    <w:link w:val="905"/>
    <w:qFormat/>
    <w:pPr>
      <w:ind w:left="1008" w:hanging="1008"/>
      <w:keepLines/>
      <w:keepNext/>
      <w:spacing w:before="280" w:after="290" w:line="376" w:lineRule="auto"/>
      <w:tabs>
        <w:tab w:val="left" w:pos="1800" w:leader="none"/>
      </w:tabs>
      <w:outlineLvl w:val="4"/>
    </w:pPr>
    <w:rPr>
      <w:rFonts w:cs="Times New Roman"/>
      <w:b/>
      <w:bCs/>
      <w:sz w:val="28"/>
      <w:szCs w:val="28"/>
    </w:rPr>
  </w:style>
  <w:style w:type="paragraph" w:styleId="891">
    <w:name w:val="标题 6"/>
    <w:basedOn w:val="885"/>
    <w:next w:val="903"/>
    <w:link w:val="906"/>
    <w:qFormat/>
    <w:pPr>
      <w:ind w:left="1152" w:hanging="1152"/>
      <w:keepLines/>
      <w:keepNext/>
      <w:spacing w:before="240" w:after="64" w:line="320" w:lineRule="auto"/>
      <w:tabs>
        <w:tab w:val="left" w:pos="1152" w:leader="none"/>
      </w:tabs>
      <w:outlineLvl w:val="5"/>
    </w:pPr>
    <w:rPr>
      <w:rFonts w:ascii="Cambria" w:hAnsi="Cambria" w:cs="Times New Roman"/>
      <w:b/>
      <w:bCs/>
    </w:rPr>
  </w:style>
  <w:style w:type="paragraph" w:styleId="892">
    <w:name w:val="标题 7"/>
    <w:basedOn w:val="885"/>
    <w:next w:val="903"/>
    <w:link w:val="907"/>
    <w:qFormat/>
    <w:pPr>
      <w:ind w:left="1296" w:hanging="1296"/>
      <w:keepLines/>
      <w:keepNext/>
      <w:spacing w:before="240" w:after="64" w:line="320" w:lineRule="auto"/>
      <w:tabs>
        <w:tab w:val="left" w:pos="1296" w:leader="none"/>
      </w:tabs>
      <w:outlineLvl w:val="6"/>
    </w:pPr>
    <w:rPr>
      <w:rFonts w:cs="Times New Roman"/>
      <w:b/>
      <w:bCs/>
    </w:rPr>
  </w:style>
  <w:style w:type="paragraph" w:styleId="893">
    <w:name w:val="标题 8"/>
    <w:basedOn w:val="885"/>
    <w:next w:val="903"/>
    <w:link w:val="908"/>
    <w:qFormat/>
    <w:pPr>
      <w:ind w:left="1440" w:hanging="1440"/>
      <w:keepLines/>
      <w:keepNext/>
      <w:spacing w:before="240" w:after="64" w:line="320" w:lineRule="auto"/>
      <w:tabs>
        <w:tab w:val="left" w:pos="1440" w:leader="none"/>
      </w:tabs>
      <w:outlineLvl w:val="7"/>
    </w:pPr>
    <w:rPr>
      <w:rFonts w:ascii="Cambria" w:hAnsi="Cambria" w:cs="Times New Roman"/>
    </w:rPr>
  </w:style>
  <w:style w:type="paragraph" w:styleId="894">
    <w:name w:val="标题 9"/>
    <w:basedOn w:val="885"/>
    <w:next w:val="903"/>
    <w:link w:val="909"/>
    <w:qFormat/>
    <w:pPr>
      <w:ind w:left="1584" w:hanging="1584"/>
      <w:keepLines/>
      <w:keepNext/>
      <w:spacing w:before="240" w:after="64" w:line="320" w:lineRule="auto"/>
      <w:tabs>
        <w:tab w:val="left" w:pos="1584" w:leader="none"/>
      </w:tabs>
      <w:outlineLvl w:val="8"/>
    </w:pPr>
    <w:rPr>
      <w:rFonts w:ascii="Cambria" w:hAnsi="Cambria" w:cs="Times New Roman"/>
      <w:sz w:val="20"/>
      <w:szCs w:val="21"/>
    </w:rPr>
  </w:style>
  <w:style w:type="character" w:styleId="895">
    <w:name w:val="默认段落字体"/>
    <w:next w:val="895"/>
    <w:link w:val="885"/>
    <w:rPr>
      <w:rFonts w:ascii="Calibri" w:hAnsi="Calibri" w:eastAsia="宋体" w:cs="Times New Roman"/>
    </w:rPr>
  </w:style>
  <w:style w:type="table" w:styleId="896">
    <w:name w:val="普通表格"/>
    <w:next w:val="896"/>
    <w:link w:val="885"/>
    <w:rPr>
      <w:rFonts w:ascii="Calibri" w:hAnsi="Calibri" w:eastAsia="宋体" w:cs="Times New Roman"/>
    </w:rPr>
    <w:tblPr/>
  </w:style>
  <w:style w:type="paragraph" w:styleId="897">
    <w:name w:val="正文文本缩进"/>
    <w:basedOn w:val="885"/>
    <w:next w:val="885"/>
    <w:link w:val="898"/>
    <w:pPr>
      <w:ind w:firstLine="420"/>
      <w:spacing w:line="360" w:lineRule="exact"/>
    </w:pPr>
    <w:rPr>
      <w:rFonts w:cs="Times New Roman"/>
    </w:rPr>
  </w:style>
  <w:style w:type="character" w:styleId="898">
    <w:name w:val="正文文本缩进 字符"/>
    <w:next w:val="898"/>
    <w:link w:val="897"/>
    <w:rPr>
      <w:rFonts w:ascii="宋体" w:hAnsi="宋体" w:eastAsia="宋体" w:cs="宋体"/>
      <w:sz w:val="24"/>
      <w:szCs w:val="24"/>
    </w:rPr>
  </w:style>
  <w:style w:type="character" w:styleId="899">
    <w:name w:val="标题 1 字符"/>
    <w:next w:val="899"/>
    <w:link w:val="886"/>
    <w:rPr>
      <w:rFonts w:ascii="Calibri" w:hAnsi="Calibri" w:eastAsia="宋体" w:cs="Times New Roman"/>
      <w:b/>
      <w:bCs/>
      <w:sz w:val="44"/>
      <w:szCs w:val="44"/>
    </w:rPr>
  </w:style>
  <w:style w:type="character" w:styleId="900">
    <w:name w:val="标题 2 字符"/>
    <w:next w:val="900"/>
    <w:link w:val="887"/>
    <w:rPr>
      <w:rFonts w:ascii="Arial" w:hAnsi="Arial" w:eastAsia="黑体" w:cs="Arial"/>
      <w:b/>
      <w:bCs/>
      <w:sz w:val="32"/>
      <w:szCs w:val="32"/>
    </w:rPr>
  </w:style>
  <w:style w:type="character" w:styleId="901">
    <w:name w:val="标题 3 字符"/>
    <w:next w:val="901"/>
    <w:link w:val="888"/>
    <w:rPr>
      <w:rFonts w:ascii="Calibri" w:hAnsi="Calibri" w:eastAsia="宋体" w:cs="Times New Roman"/>
      <w:b/>
      <w:bCs/>
      <w:sz w:val="32"/>
      <w:szCs w:val="32"/>
    </w:rPr>
  </w:style>
  <w:style w:type="character" w:styleId="902">
    <w:name w:val="标题 4 字符1"/>
    <w:next w:val="902"/>
    <w:link w:val="889"/>
    <w:rPr>
      <w:rFonts w:ascii="Cambria" w:hAnsi="Cambria" w:eastAsia="宋体" w:cs="Times New Roman"/>
      <w:b/>
      <w:bCs/>
      <w:sz w:val="28"/>
      <w:szCs w:val="28"/>
    </w:rPr>
  </w:style>
  <w:style w:type="paragraph" w:styleId="903">
    <w:name w:val="正文缩进"/>
    <w:basedOn w:val="885"/>
    <w:next w:val="885"/>
    <w:link w:val="904"/>
    <w:qFormat/>
    <w:pPr>
      <w:ind w:firstLine="420"/>
      <w:jc w:val="left"/>
    </w:pPr>
    <w:rPr>
      <w:rFonts w:ascii="Calibri" w:hAnsi="Calibri" w:eastAsia="楷体_GB2312" w:cs="Times New Roman"/>
    </w:rPr>
  </w:style>
  <w:style w:type="character" w:styleId="904">
    <w:name w:val="正文缩进 字符"/>
    <w:next w:val="904"/>
    <w:link w:val="903"/>
    <w:qFormat/>
    <w:rPr>
      <w:rFonts w:ascii="Calibri" w:hAnsi="Calibri" w:eastAsia="楷体_GB2312" w:cs="Times New Roman"/>
      <w:sz w:val="24"/>
      <w:szCs w:val="24"/>
      <w:lang w:val="en-US" w:eastAsia="zh-CN"/>
    </w:rPr>
  </w:style>
  <w:style w:type="character" w:styleId="905">
    <w:name w:val="标题 5 字符"/>
    <w:next w:val="905"/>
    <w:link w:val="890"/>
    <w:rPr>
      <w:rFonts w:ascii="宋体" w:hAnsi="宋体" w:eastAsia="宋体" w:cs="宋体"/>
      <w:b/>
      <w:bCs/>
      <w:sz w:val="28"/>
      <w:szCs w:val="28"/>
    </w:rPr>
  </w:style>
  <w:style w:type="character" w:styleId="906">
    <w:name w:val="标题 6 字符"/>
    <w:next w:val="906"/>
    <w:link w:val="891"/>
    <w:rPr>
      <w:rFonts w:ascii="Cambria" w:hAnsi="Cambria" w:eastAsia="宋体" w:cs="Times New Roman"/>
      <w:b/>
      <w:bCs/>
      <w:sz w:val="24"/>
      <w:szCs w:val="24"/>
    </w:rPr>
  </w:style>
  <w:style w:type="character" w:styleId="907">
    <w:name w:val="标题 7 字符"/>
    <w:next w:val="907"/>
    <w:link w:val="892"/>
    <w:rPr>
      <w:rFonts w:ascii="宋体" w:hAnsi="宋体" w:eastAsia="宋体" w:cs="宋体"/>
      <w:b/>
      <w:bCs/>
      <w:sz w:val="24"/>
      <w:szCs w:val="24"/>
    </w:rPr>
  </w:style>
  <w:style w:type="character" w:styleId="908">
    <w:name w:val="标题 8 字符"/>
    <w:next w:val="908"/>
    <w:link w:val="893"/>
    <w:rPr>
      <w:rFonts w:ascii="Cambria" w:hAnsi="Cambria" w:eastAsia="宋体" w:cs="Times New Roman"/>
      <w:sz w:val="24"/>
      <w:szCs w:val="24"/>
    </w:rPr>
  </w:style>
  <w:style w:type="character" w:styleId="909">
    <w:name w:val="标题 9 字符"/>
    <w:next w:val="909"/>
    <w:link w:val="894"/>
    <w:rPr>
      <w:rFonts w:ascii="Cambria" w:hAnsi="Cambria" w:eastAsia="宋体" w:cs="Times New Roman"/>
      <w:szCs w:val="21"/>
    </w:rPr>
  </w:style>
  <w:style w:type="paragraph" w:styleId="910">
    <w:name w:val="目录 7"/>
    <w:basedOn w:val="886"/>
    <w:next w:val="885"/>
    <w:link w:val="885"/>
    <w:qFormat/>
    <w:pPr>
      <w:ind w:left="1640" w:firstLine="3784"/>
      <w:spacing w:before="0" w:after="0" w:line="360" w:lineRule="auto"/>
      <w:tabs>
        <w:tab w:val="left" w:pos="432" w:leader="none"/>
      </w:tabs>
    </w:pPr>
    <w:rPr>
      <w:rFonts w:ascii="Times New Roman" w:hAnsi="Times New Roman" w:cs="Times New Roman"/>
    </w:rPr>
  </w:style>
  <w:style w:type="paragraph" w:styleId="911">
    <w:name w:val="列表项目符号 4"/>
    <w:basedOn w:val="885"/>
    <w:next w:val="911"/>
    <w:link w:val="885"/>
    <w:pPr>
      <w:ind w:left="1620" w:hanging="360"/>
      <w:tabs>
        <w:tab w:val="left" w:pos="1620" w:leader="none"/>
      </w:tabs>
    </w:pPr>
    <w:rPr>
      <w:rFonts w:ascii="Times New Roman" w:hAnsi="Times New Roman" w:eastAsia="宋体" w:cs="Times New Roman"/>
      <w:sz w:val="21"/>
    </w:rPr>
  </w:style>
  <w:style w:type="paragraph" w:styleId="912">
    <w:name w:val="文档结构图"/>
    <w:basedOn w:val="885"/>
    <w:next w:val="912"/>
    <w:link w:val="913"/>
    <w:pPr>
      <w:jc w:val="left"/>
      <w:shd w:val="clear" w:color="auto" w:fill="000080"/>
      <w:widowControl/>
    </w:pPr>
    <w:rPr>
      <w:rFonts w:ascii="Calibri" w:hAnsi="Calibri" w:cs="Times New Roman"/>
    </w:rPr>
  </w:style>
  <w:style w:type="character" w:styleId="913">
    <w:name w:val="文档结构图 字符"/>
    <w:next w:val="913"/>
    <w:link w:val="912"/>
    <w:rPr>
      <w:rFonts w:ascii="Calibri" w:hAnsi="Calibri" w:eastAsia="宋体" w:cs="Times New Roman"/>
      <w:sz w:val="24"/>
      <w:szCs w:val="24"/>
      <w:shd w:val="clear" w:color="auto" w:fill="000080"/>
    </w:rPr>
  </w:style>
  <w:style w:type="paragraph" w:styleId="914">
    <w:name w:val="批注文字"/>
    <w:basedOn w:val="885"/>
    <w:next w:val="914"/>
    <w:link w:val="915"/>
    <w:uiPriority w:val="99"/>
    <w:pPr>
      <w:jc w:val="left"/>
    </w:pPr>
    <w:rPr>
      <w:rFonts w:cs="Times New Roman"/>
    </w:rPr>
  </w:style>
  <w:style w:type="character" w:styleId="915">
    <w:name w:val="批注文字 字符1"/>
    <w:next w:val="915"/>
    <w:link w:val="914"/>
    <w:uiPriority w:val="99"/>
    <w:rPr>
      <w:rFonts w:ascii="宋体" w:hAnsi="宋体" w:eastAsia="宋体" w:cs="宋体"/>
      <w:sz w:val="24"/>
      <w:szCs w:val="24"/>
    </w:rPr>
  </w:style>
  <w:style w:type="paragraph" w:styleId="916">
    <w:name w:val="正文文本 3"/>
    <w:basedOn w:val="885"/>
    <w:next w:val="916"/>
    <w:link w:val="917"/>
    <w:pPr>
      <w:spacing w:line="500" w:lineRule="exact"/>
    </w:pPr>
    <w:rPr>
      <w:rFonts w:cs="Times New Roman"/>
      <w:sz w:val="16"/>
      <w:szCs w:val="16"/>
    </w:rPr>
  </w:style>
  <w:style w:type="character" w:styleId="917">
    <w:name w:val="正文文本 3 字符"/>
    <w:next w:val="917"/>
    <w:link w:val="916"/>
    <w:rPr>
      <w:rFonts w:ascii="宋体" w:hAnsi="宋体" w:eastAsia="宋体" w:cs="宋体"/>
      <w:sz w:val="16"/>
      <w:szCs w:val="16"/>
    </w:rPr>
  </w:style>
  <w:style w:type="paragraph" w:styleId="918">
    <w:name w:val="正文文本"/>
    <w:basedOn w:val="885"/>
    <w:next w:val="885"/>
    <w:link w:val="919"/>
    <w:rPr>
      <w:rFonts w:cs="Times New Roman"/>
    </w:rPr>
  </w:style>
  <w:style w:type="character" w:styleId="919">
    <w:name w:val="正文文本 字符"/>
    <w:next w:val="919"/>
    <w:link w:val="918"/>
    <w:rPr>
      <w:rFonts w:ascii="宋体" w:hAnsi="宋体" w:eastAsia="宋体" w:cs="宋体"/>
      <w:sz w:val="24"/>
      <w:szCs w:val="24"/>
    </w:rPr>
  </w:style>
  <w:style w:type="paragraph" w:styleId="920">
    <w:name w:val="列表 2"/>
    <w:basedOn w:val="886"/>
    <w:next w:val="910"/>
    <w:link w:val="885"/>
    <w:pPr>
      <w:contextualSpacing/>
      <w:ind w:left="100" w:hanging="200"/>
      <w:tabs>
        <w:tab w:val="left" w:pos="432" w:leader="none"/>
      </w:tabs>
    </w:pPr>
    <w:rPr>
      <w:rFonts w:ascii="Times New Roman" w:hAnsi="Times New Roman" w:eastAsia="宋体" w:cs="Times New Roman"/>
      <w:sz w:val="21"/>
    </w:rPr>
  </w:style>
  <w:style w:type="paragraph" w:styleId="921">
    <w:name w:val="文本块"/>
    <w:basedOn w:val="885"/>
    <w:next w:val="885"/>
    <w:link w:val="885"/>
    <w:pPr>
      <w:ind w:left="630" w:right="-609" w:firstLine="420"/>
      <w:spacing w:line="360" w:lineRule="auto"/>
    </w:pPr>
    <w:rPr>
      <w:rFonts w:hint="eastAsia" w:ascii="仿宋_GB2312" w:hAnsi="Times New Roman" w:eastAsia="仿宋_GB2312" w:cs="Times New Roman"/>
      <w:sz w:val="21"/>
      <w:szCs w:val="20"/>
    </w:rPr>
  </w:style>
  <w:style w:type="paragraph" w:styleId="922">
    <w:name w:val="纯文本"/>
    <w:basedOn w:val="885"/>
    <w:next w:val="922"/>
    <w:link w:val="923"/>
    <w:pPr>
      <w:jc w:val="left"/>
      <w:widowControl/>
    </w:pPr>
    <w:rPr>
      <w:rFonts w:hAnsi="Courier New" w:cs="Times New Roman"/>
      <w:sz w:val="21"/>
      <w:szCs w:val="21"/>
    </w:rPr>
  </w:style>
  <w:style w:type="character" w:styleId="923">
    <w:name w:val="纯文本 字符1"/>
    <w:next w:val="923"/>
    <w:link w:val="922"/>
    <w:rPr>
      <w:rFonts w:ascii="宋体" w:hAnsi="Courier New" w:eastAsia="宋体" w:cs="宋体"/>
      <w:sz w:val="21"/>
      <w:szCs w:val="21"/>
    </w:rPr>
  </w:style>
  <w:style w:type="paragraph" w:styleId="924">
    <w:name w:val="日期"/>
    <w:basedOn w:val="885"/>
    <w:next w:val="885"/>
    <w:link w:val="925"/>
    <w:rPr>
      <w:rFonts w:eastAsia="楷体_GB2312" w:cs="Times New Roman"/>
    </w:rPr>
  </w:style>
  <w:style w:type="character" w:styleId="925">
    <w:name w:val="日期 字符"/>
    <w:next w:val="925"/>
    <w:link w:val="924"/>
    <w:rPr>
      <w:rFonts w:ascii="宋体" w:hAnsi="宋体" w:eastAsia="楷体_GB2312" w:cs="宋体"/>
      <w:sz w:val="24"/>
      <w:szCs w:val="24"/>
    </w:rPr>
  </w:style>
  <w:style w:type="paragraph" w:styleId="926">
    <w:name w:val="正文文本缩进 2"/>
    <w:basedOn w:val="885"/>
    <w:next w:val="926"/>
    <w:link w:val="927"/>
    <w:pPr>
      <w:ind w:left="1" w:firstLine="480"/>
      <w:spacing w:line="400" w:lineRule="exact"/>
      <w:tabs>
        <w:tab w:val="left" w:pos="360" w:leader="none"/>
      </w:tabs>
    </w:pPr>
    <w:rPr>
      <w:rFonts w:cs="Times New Roman"/>
    </w:rPr>
  </w:style>
  <w:style w:type="character" w:styleId="927">
    <w:name w:val="正文文本缩进 2 字符"/>
    <w:next w:val="927"/>
    <w:link w:val="926"/>
    <w:rPr>
      <w:rFonts w:ascii="宋体" w:hAnsi="宋体" w:eastAsia="宋体" w:cs="宋体"/>
      <w:sz w:val="24"/>
      <w:szCs w:val="24"/>
    </w:rPr>
  </w:style>
  <w:style w:type="paragraph" w:styleId="928">
    <w:name w:val="批注框文本"/>
    <w:basedOn w:val="885"/>
    <w:next w:val="928"/>
    <w:link w:val="929"/>
    <w:rPr>
      <w:rFonts w:cs="Times New Roman"/>
      <w:sz w:val="16"/>
      <w:szCs w:val="16"/>
    </w:rPr>
  </w:style>
  <w:style w:type="character" w:styleId="929">
    <w:name w:val="批注框文本 字符"/>
    <w:next w:val="929"/>
    <w:link w:val="928"/>
    <w:rPr>
      <w:rFonts w:ascii="宋体" w:hAnsi="宋体" w:eastAsia="宋体" w:cs="宋体"/>
      <w:sz w:val="16"/>
      <w:szCs w:val="0"/>
    </w:rPr>
  </w:style>
  <w:style w:type="paragraph" w:styleId="930">
    <w:name w:val="页脚"/>
    <w:basedOn w:val="885"/>
    <w:next w:val="930"/>
    <w:link w:val="931"/>
    <w:pPr>
      <w:jc w:val="left"/>
      <w:tabs>
        <w:tab w:val="center" w:pos="4153" w:leader="none"/>
        <w:tab w:val="right" w:pos="8306" w:leader="none"/>
      </w:tabs>
    </w:pPr>
    <w:rPr>
      <w:rFonts w:ascii="Calibri" w:hAnsi="Calibri" w:cs="Times New Roman"/>
      <w:sz w:val="18"/>
      <w:szCs w:val="18"/>
    </w:rPr>
  </w:style>
  <w:style w:type="character" w:styleId="931">
    <w:name w:val="页脚 字符"/>
    <w:next w:val="931"/>
    <w:link w:val="930"/>
    <w:rPr>
      <w:rFonts w:ascii="Calibri" w:hAnsi="Calibri" w:eastAsia="宋体" w:cs="Times New Roman"/>
      <w:sz w:val="18"/>
      <w:szCs w:val="18"/>
    </w:rPr>
  </w:style>
  <w:style w:type="paragraph" w:styleId="932">
    <w:name w:val="寄信人地址"/>
    <w:basedOn w:val="885"/>
    <w:next w:val="932"/>
    <w:link w:val="885"/>
    <w:qFormat/>
    <w:pPr>
      <w:jc w:val="both"/>
      <w:widowControl w:val="off"/>
    </w:pPr>
    <w:rPr>
      <w:rFonts w:ascii="Arial" w:hAnsi="Arial" w:eastAsia="宋体" w:cs="Times New Roman"/>
      <w:sz w:val="21"/>
      <w:szCs w:val="24"/>
      <w:lang w:val="en-US" w:eastAsia="zh-CN" w:bidi="ar-SA"/>
    </w:rPr>
  </w:style>
  <w:style w:type="paragraph" w:styleId="933">
    <w:name w:val="页眉"/>
    <w:basedOn w:val="885"/>
    <w:next w:val="933"/>
    <w:link w:val="934"/>
    <w:pPr>
      <w:jc w:val="center"/>
      <w:tabs>
        <w:tab w:val="center" w:pos="4153" w:leader="none"/>
        <w:tab w:val="right" w:pos="8306" w:leader="none"/>
      </w:tabs>
      <w:pBdr>
        <w:bottom w:val="single" w:color="000000" w:sz="6" w:space="1"/>
      </w:pBdr>
    </w:pPr>
    <w:rPr>
      <w:rFonts w:ascii="Calibri" w:hAnsi="Calibri" w:cs="Times New Roman"/>
      <w:sz w:val="18"/>
      <w:szCs w:val="18"/>
    </w:rPr>
  </w:style>
  <w:style w:type="character" w:styleId="934">
    <w:name w:val="页眉 字符"/>
    <w:next w:val="934"/>
    <w:link w:val="933"/>
    <w:rPr>
      <w:rFonts w:ascii="Calibri" w:hAnsi="Calibri" w:eastAsia="宋体" w:cs="Times New Roman"/>
      <w:sz w:val="18"/>
      <w:szCs w:val="18"/>
    </w:rPr>
  </w:style>
  <w:style w:type="paragraph" w:styleId="935">
    <w:name w:val="目录 1"/>
    <w:basedOn w:val="885"/>
    <w:next w:val="885"/>
    <w:link w:val="885"/>
    <w:pPr>
      <w:jc w:val="left"/>
    </w:pPr>
    <w:rPr>
      <w:rFonts w:ascii="Times New Roman" w:hAnsi="Times New Roman" w:eastAsia="楷体_GB2312" w:cs="Times New Roman"/>
    </w:rPr>
  </w:style>
  <w:style w:type="paragraph" w:styleId="936">
    <w:name w:val="副标题"/>
    <w:basedOn w:val="885"/>
    <w:next w:val="885"/>
    <w:link w:val="937"/>
    <w:qFormat/>
    <w:pPr>
      <w:jc w:val="center"/>
      <w:spacing w:before="240" w:after="60" w:line="312" w:lineRule="auto"/>
      <w:outlineLvl w:val="1"/>
    </w:pPr>
    <w:rPr>
      <w:rFonts w:ascii="Cambria" w:hAnsi="Cambria" w:cs="Times New Roman"/>
      <w:b/>
      <w:bCs/>
      <w:sz w:val="32"/>
      <w:szCs w:val="32"/>
    </w:rPr>
  </w:style>
  <w:style w:type="character" w:styleId="937">
    <w:name w:val="副标题 字符"/>
    <w:next w:val="937"/>
    <w:link w:val="936"/>
    <w:rPr>
      <w:rFonts w:ascii="Cambria" w:hAnsi="Cambria" w:eastAsia="宋体" w:cs="Times New Roman"/>
      <w:b/>
      <w:bCs/>
      <w:sz w:val="32"/>
      <w:szCs w:val="32"/>
    </w:rPr>
  </w:style>
  <w:style w:type="paragraph" w:styleId="938">
    <w:name w:val="列表"/>
    <w:next w:val="885"/>
    <w:link w:val="885"/>
    <w:qFormat/>
    <w:pPr>
      <w:ind w:left="200" w:hanging="200"/>
    </w:pPr>
    <w:rPr>
      <w:rFonts w:ascii="等线" w:hAnsi="等线" w:cs="宋体"/>
      <w:szCs w:val="21"/>
      <w:lang w:val="en-US" w:eastAsia="zh-CN" w:bidi="ar-SA"/>
    </w:rPr>
  </w:style>
  <w:style w:type="paragraph" w:styleId="939">
    <w:name w:val="脚注文本"/>
    <w:basedOn w:val="885"/>
    <w:next w:val="921"/>
    <w:link w:val="940"/>
    <w:pPr>
      <w:jc w:val="left"/>
    </w:pPr>
    <w:rPr>
      <w:rFonts w:ascii="Calibri" w:hAnsi="Calibri" w:cs="Times New Roman"/>
      <w:sz w:val="18"/>
      <w:szCs w:val="18"/>
    </w:rPr>
  </w:style>
  <w:style w:type="character" w:styleId="940">
    <w:name w:val="脚注文本 字符"/>
    <w:next w:val="940"/>
    <w:link w:val="939"/>
    <w:rPr>
      <w:rFonts w:ascii="Calibri" w:hAnsi="Calibri" w:eastAsia="宋体" w:cs="Times New Roman"/>
      <w:sz w:val="18"/>
      <w:szCs w:val="18"/>
    </w:rPr>
  </w:style>
  <w:style w:type="paragraph" w:styleId="941">
    <w:name w:val="正文文本缩进 3"/>
    <w:basedOn w:val="885"/>
    <w:next w:val="941"/>
    <w:link w:val="942"/>
    <w:pPr>
      <w:ind w:firstLine="480"/>
      <w:spacing w:line="400" w:lineRule="exact"/>
    </w:pPr>
    <w:rPr>
      <w:rFonts w:hint="eastAsia" w:cs="Times New Roman"/>
      <w:sz w:val="16"/>
      <w:szCs w:val="16"/>
    </w:rPr>
  </w:style>
  <w:style w:type="character" w:styleId="942">
    <w:name w:val="正文文本缩进 3 字符"/>
    <w:next w:val="942"/>
    <w:link w:val="941"/>
    <w:rPr>
      <w:rFonts w:hint="eastAsia" w:ascii="宋体" w:hAnsi="宋体" w:eastAsia="宋体" w:cs="Times New Roman"/>
      <w:sz w:val="16"/>
      <w:szCs w:val="16"/>
    </w:rPr>
  </w:style>
  <w:style w:type="paragraph" w:styleId="943">
    <w:name w:val="正文文本 2"/>
    <w:basedOn w:val="885"/>
    <w:next w:val="943"/>
    <w:link w:val="944"/>
    <w:pPr>
      <w:spacing w:after="120" w:line="480" w:lineRule="auto"/>
    </w:pPr>
    <w:rPr>
      <w:rFonts w:cs="Times New Roman"/>
    </w:rPr>
  </w:style>
  <w:style w:type="character" w:styleId="944">
    <w:name w:val="正文文本 2 字符"/>
    <w:next w:val="944"/>
    <w:link w:val="943"/>
    <w:rPr>
      <w:rFonts w:ascii="宋体" w:hAnsi="宋体" w:eastAsia="宋体" w:cs="宋体"/>
      <w:sz w:val="24"/>
      <w:szCs w:val="24"/>
    </w:rPr>
  </w:style>
  <w:style w:type="paragraph" w:styleId="945">
    <w:name w:val="普通(网站)"/>
    <w:basedOn w:val="885"/>
    <w:next w:val="920"/>
    <w:link w:val="885"/>
    <w:uiPriority w:val="99"/>
    <w:qFormat/>
    <w:pPr>
      <w:ind w:left="15" w:right="15"/>
      <w:jc w:val="left"/>
      <w:spacing w:before="60" w:after="60" w:line="312" w:lineRule="auto"/>
      <w:widowControl/>
    </w:pPr>
    <w:rPr>
      <w:rFonts w:ascii="Arial Unicode MS" w:hAnsi="Arial Unicode MS" w:eastAsia="宋体" w:cs="Arial Unicode MS"/>
    </w:rPr>
  </w:style>
  <w:style w:type="paragraph" w:styleId="946">
    <w:name w:val="标题"/>
    <w:basedOn w:val="885"/>
    <w:next w:val="885"/>
    <w:link w:val="947"/>
    <w:qFormat/>
    <w:pPr>
      <w:jc w:val="center"/>
      <w:spacing w:before="240" w:after="60"/>
      <w:outlineLvl w:val="0"/>
    </w:pPr>
    <w:rPr>
      <w:rFonts w:ascii="Cambria" w:hAnsi="Cambria" w:cs="Times New Roman"/>
      <w:b/>
      <w:bCs/>
      <w:sz w:val="32"/>
      <w:szCs w:val="32"/>
    </w:rPr>
  </w:style>
  <w:style w:type="character" w:styleId="947">
    <w:name w:val="标题 字符"/>
    <w:next w:val="947"/>
    <w:link w:val="946"/>
    <w:rPr>
      <w:rFonts w:ascii="Cambria" w:hAnsi="Cambria" w:eastAsia="宋体" w:cs="Times New Roman"/>
      <w:b/>
      <w:bCs/>
      <w:sz w:val="32"/>
      <w:szCs w:val="32"/>
    </w:rPr>
  </w:style>
  <w:style w:type="paragraph" w:styleId="948">
    <w:name w:val="批注主题"/>
    <w:basedOn w:val="914"/>
    <w:next w:val="914"/>
    <w:link w:val="949"/>
    <w:pPr>
      <w:widowControl/>
    </w:pPr>
    <w:rPr>
      <w:rFonts w:ascii="Calibri" w:hAnsi="Calibri"/>
      <w:b/>
      <w:bCs/>
    </w:rPr>
  </w:style>
  <w:style w:type="character" w:styleId="949">
    <w:name w:val="批注主题 字符"/>
    <w:next w:val="949"/>
    <w:link w:val="948"/>
    <w:rPr>
      <w:rFonts w:ascii="Calibri" w:hAnsi="Calibri" w:eastAsia="宋体" w:cs="Times New Roman"/>
      <w:b/>
      <w:bCs/>
      <w:sz w:val="24"/>
      <w:szCs w:val="24"/>
    </w:rPr>
  </w:style>
  <w:style w:type="paragraph" w:styleId="950">
    <w:name w:val="正文首行缩进"/>
    <w:basedOn w:val="918"/>
    <w:next w:val="950"/>
    <w:link w:val="951"/>
    <w:pPr>
      <w:ind w:firstLine="420"/>
      <w:spacing w:after="120"/>
    </w:pPr>
  </w:style>
  <w:style w:type="character" w:styleId="951">
    <w:name w:val="正文文本首行缩进 字符"/>
    <w:next w:val="951"/>
    <w:link w:val="950"/>
    <w:rPr>
      <w:rFonts w:ascii="宋体" w:hAnsi="宋体" w:eastAsia="宋体" w:cs="宋体"/>
      <w:sz w:val="24"/>
      <w:szCs w:val="24"/>
    </w:rPr>
  </w:style>
  <w:style w:type="paragraph" w:styleId="952">
    <w:name w:val="正文首行缩进 2"/>
    <w:basedOn w:val="897"/>
    <w:next w:val="938"/>
    <w:link w:val="885"/>
    <w:pPr>
      <w:ind w:left="420" w:firstLine="420"/>
      <w:spacing w:after="120" w:line="240" w:lineRule="auto"/>
    </w:pPr>
    <w:rPr>
      <w:sz w:val="21"/>
      <w:szCs w:val="24"/>
    </w:rPr>
  </w:style>
  <w:style w:type="table" w:styleId="953">
    <w:name w:val="网格型"/>
    <w:basedOn w:val="896"/>
    <w:next w:val="953"/>
    <w:link w:val="885"/>
    <w:pPr>
      <w:jc w:val="both"/>
      <w:widowControl w:val="off"/>
    </w:pPr>
    <w:rPr>
      <w:rFonts w:ascii="Calibri" w:hAnsi="Calibri" w:eastAsia="宋体" w:cs="Times New Roman"/>
    </w:rPr>
    <w:tblPr/>
  </w:style>
  <w:style w:type="character" w:styleId="954">
    <w:name w:val="要点"/>
    <w:next w:val="954"/>
    <w:link w:val="885"/>
    <w:qFormat/>
    <w:rPr>
      <w:rFonts w:ascii="Calibri" w:hAnsi="Calibri" w:eastAsia="宋体" w:cs="Times New Roman"/>
      <w:b/>
      <w:bCs/>
    </w:rPr>
  </w:style>
  <w:style w:type="character" w:styleId="955">
    <w:name w:val="页码"/>
    <w:next w:val="955"/>
    <w:link w:val="885"/>
    <w:rPr>
      <w:rFonts w:ascii="Calibri" w:hAnsi="Calibri" w:eastAsia="宋体" w:cs="Times New Roman"/>
    </w:rPr>
  </w:style>
  <w:style w:type="character" w:styleId="956">
    <w:name w:val="已访问的超链接"/>
    <w:next w:val="956"/>
    <w:link w:val="885"/>
    <w:rPr>
      <w:rFonts w:ascii="Calibri" w:hAnsi="Calibri" w:eastAsia="宋体" w:cs="Times New Roman"/>
      <w:color w:val="800080"/>
      <w:u w:val="none"/>
    </w:rPr>
  </w:style>
  <w:style w:type="character" w:styleId="957">
    <w:name w:val="强调"/>
    <w:next w:val="957"/>
    <w:link w:val="885"/>
    <w:uiPriority w:val="20"/>
    <w:qFormat/>
    <w:rPr>
      <w:rFonts w:ascii="Calibri" w:hAnsi="Calibri" w:eastAsia="宋体" w:cs="Times New Roman"/>
      <w:i w:val="0"/>
    </w:rPr>
  </w:style>
  <w:style w:type="character" w:styleId="958">
    <w:name w:val="超链接"/>
    <w:next w:val="958"/>
    <w:link w:val="885"/>
    <w:rPr>
      <w:rFonts w:ascii="Calibri" w:hAnsi="Calibri" w:eastAsia="宋体" w:cs="Times New Roman"/>
      <w:color w:val="333333"/>
      <w:u w:val="none"/>
    </w:rPr>
  </w:style>
  <w:style w:type="character" w:styleId="959">
    <w:name w:val="批注引用"/>
    <w:next w:val="959"/>
    <w:link w:val="885"/>
    <w:uiPriority w:val="99"/>
    <w:rPr>
      <w:rFonts w:ascii="Calibri" w:hAnsi="Calibri" w:eastAsia="宋体" w:cs="Times New Roman"/>
      <w:sz w:val="21"/>
      <w:szCs w:val="21"/>
    </w:rPr>
  </w:style>
  <w:style w:type="character" w:styleId="960">
    <w:name w:val="HTML 引文"/>
    <w:next w:val="960"/>
    <w:link w:val="885"/>
    <w:rPr>
      <w:rFonts w:ascii="Calibri" w:hAnsi="Calibri" w:eastAsia="宋体" w:cs="Times New Roman"/>
      <w:i w:val="0"/>
      <w:color w:val="008000"/>
      <w:szCs w:val="20"/>
    </w:rPr>
  </w:style>
  <w:style w:type="character" w:styleId="961">
    <w:name w:val="c-price"/>
    <w:next w:val="961"/>
    <w:link w:val="885"/>
    <w:rPr>
      <w:rFonts w:ascii="Arial" w:hAnsi="Arial" w:eastAsia="宋体" w:cs="Arial"/>
      <w:color w:val="000000"/>
      <w:sz w:val="19"/>
      <w:szCs w:val="19"/>
    </w:rPr>
  </w:style>
  <w:style w:type="character" w:styleId="962">
    <w:name w:val="font51"/>
    <w:next w:val="962"/>
    <w:link w:val="885"/>
    <w:rPr>
      <w:rFonts w:hint="eastAsia" w:ascii="宋体" w:hAnsi="宋体" w:eastAsia="宋体" w:cs="宋体"/>
      <w:i w:val="0"/>
      <w:color w:val="000000"/>
      <w:sz w:val="20"/>
      <w:szCs w:val="20"/>
      <w:u w:val="none"/>
      <w:vertAlign w:val="superscript"/>
    </w:rPr>
  </w:style>
  <w:style w:type="character" w:styleId="963">
    <w:name w:val="Table Text Char1"/>
    <w:next w:val="963"/>
    <w:link w:val="964"/>
    <w:rPr>
      <w:rFonts w:ascii="Arial" w:hAnsi="Arial" w:cs="Arial"/>
      <w:sz w:val="18"/>
      <w:szCs w:val="18"/>
      <w:lang w:val="en-US" w:eastAsia="zh-CN" w:bidi="ar-SA"/>
    </w:rPr>
  </w:style>
  <w:style w:type="paragraph" w:styleId="964">
    <w:name w:val="Table Text"/>
    <w:next w:val="964"/>
    <w:link w:val="963"/>
    <w:pPr>
      <w:spacing w:before="80" w:after="80"/>
    </w:pPr>
    <w:rPr>
      <w:rFonts w:ascii="Arial" w:hAnsi="Arial" w:cs="Arial"/>
      <w:sz w:val="18"/>
      <w:szCs w:val="18"/>
      <w:lang w:val="en-US" w:eastAsia="zh-CN" w:bidi="ar-SA"/>
    </w:rPr>
  </w:style>
  <w:style w:type="character" w:styleId="965">
    <w:name w:val="标题 Char1"/>
    <w:next w:val="965"/>
    <w:link w:val="885"/>
    <w:rPr>
      <w:rFonts w:ascii="Cambria" w:hAnsi="Cambria" w:eastAsia="宋体" w:cs="Times New Roman"/>
      <w:b/>
      <w:bCs/>
      <w:sz w:val="32"/>
      <w:szCs w:val="32"/>
    </w:rPr>
  </w:style>
  <w:style w:type="character" w:styleId="966">
    <w:name w:val="表格 Char Char"/>
    <w:next w:val="966"/>
    <w:link w:val="967"/>
    <w:rPr>
      <w:rFonts w:ascii="宋体" w:hAnsi="宋体" w:eastAsia="宋体" w:cs="Times New Roman"/>
    </w:rPr>
  </w:style>
  <w:style w:type="paragraph" w:styleId="967">
    <w:name w:val="表格"/>
    <w:basedOn w:val="885"/>
    <w:next w:val="967"/>
    <w:link w:val="966"/>
    <w:rPr>
      <w:rFonts w:cs="Times New Roman"/>
      <w:sz w:val="20"/>
      <w:szCs w:val="20"/>
    </w:rPr>
  </w:style>
  <w:style w:type="character" w:styleId="968">
    <w:name w:val="Item List Char"/>
    <w:next w:val="968"/>
    <w:link w:val="969"/>
    <w:rPr>
      <w:rFonts w:ascii="Calibri" w:hAnsi="Calibri" w:eastAsia="宋体" w:cs="Times New Roman"/>
      <w:sz w:val="21"/>
      <w:szCs w:val="24"/>
    </w:rPr>
  </w:style>
  <w:style w:type="paragraph" w:styleId="969">
    <w:name w:val="Item List"/>
    <w:basedOn w:val="885"/>
    <w:next w:val="969"/>
    <w:link w:val="968"/>
    <w:pPr>
      <w:ind w:left="1701" w:hanging="567"/>
      <w:jc w:val="left"/>
      <w:spacing w:after="50"/>
      <w:tabs>
        <w:tab w:val="left" w:pos="420" w:leader="none"/>
        <w:tab w:val="left" w:pos="1701" w:leader="none"/>
      </w:tabs>
    </w:pPr>
    <w:rPr>
      <w:rFonts w:ascii="Calibri" w:hAnsi="Calibri" w:cs="Times New Roman"/>
      <w:sz w:val="21"/>
    </w:rPr>
  </w:style>
  <w:style w:type="character" w:styleId="970">
    <w:name w:val="symbol2"/>
    <w:next w:val="970"/>
    <w:link w:val="885"/>
    <w:rPr>
      <w:rFonts w:ascii="微软雅黑" w:hAnsi="微软雅黑" w:eastAsia="微软雅黑" w:cs="微软雅黑"/>
      <w:color w:val="000000"/>
    </w:rPr>
  </w:style>
  <w:style w:type="character" w:styleId="971">
    <w:name w:val="font141"/>
    <w:basedOn w:val="895"/>
    <w:next w:val="971"/>
    <w:link w:val="885"/>
    <w:rPr>
      <w:rFonts w:hint="eastAsia" w:ascii="宋体" w:hAnsi="宋体" w:eastAsia="宋体" w:cs="宋体"/>
      <w:i w:val="0"/>
      <w:color w:val="0d0d0d"/>
      <w:sz w:val="20"/>
      <w:szCs w:val="20"/>
      <w:u w:val="none"/>
    </w:rPr>
  </w:style>
  <w:style w:type="character" w:styleId="972">
    <w:name w:val="font91"/>
    <w:next w:val="972"/>
    <w:link w:val="885"/>
    <w:rPr>
      <w:rFonts w:hint="eastAsia" w:ascii="宋体" w:hAnsi="宋体" w:eastAsia="宋体" w:cs="宋体"/>
      <w:color w:val="000000"/>
      <w:sz w:val="18"/>
      <w:szCs w:val="18"/>
      <w:u w:val="none"/>
    </w:rPr>
  </w:style>
  <w:style w:type="character" w:styleId="973">
    <w:name w:val="DT T-Body Char"/>
    <w:next w:val="973"/>
    <w:link w:val="974"/>
    <w:rPr>
      <w:rFonts w:ascii="Trebuchet MS" w:hAnsi="Trebuchet MS"/>
      <w:sz w:val="22"/>
      <w:szCs w:val="22"/>
      <w:lang w:val="en-GB" w:eastAsia="en-US" w:bidi="ar-SA"/>
    </w:rPr>
  </w:style>
  <w:style w:type="paragraph" w:styleId="974">
    <w:name w:val="DT T-Body"/>
    <w:next w:val="974"/>
    <w:link w:val="973"/>
    <w:pPr>
      <w:spacing w:before="60" w:after="60" w:line="300" w:lineRule="auto"/>
    </w:pPr>
    <w:rPr>
      <w:rFonts w:ascii="Trebuchet MS" w:hAnsi="Trebuchet MS"/>
      <w:sz w:val="22"/>
      <w:szCs w:val="22"/>
      <w:lang w:val="en-GB" w:eastAsia="en-US" w:bidi="ar-SA"/>
    </w:rPr>
  </w:style>
  <w:style w:type="character" w:styleId="975">
    <w:name w:val="正文文本缩进 3 Char"/>
    <w:next w:val="975"/>
    <w:link w:val="885"/>
    <w:rPr>
      <w:rFonts w:ascii="Calibri" w:hAnsi="Calibri" w:eastAsia="宋体" w:cs="Times New Roman"/>
      <w:sz w:val="24"/>
      <w:szCs w:val="24"/>
    </w:rPr>
  </w:style>
  <w:style w:type="character" w:styleId="976">
    <w:name w:val="symbol"/>
    <w:next w:val="976"/>
    <w:link w:val="885"/>
    <w:rPr>
      <w:rFonts w:ascii="微软雅黑" w:hAnsi="微软雅黑" w:eastAsia="微软雅黑" w:cs="微软雅黑"/>
      <w:color w:val="000000"/>
    </w:rPr>
  </w:style>
  <w:style w:type="character" w:styleId="977">
    <w:name w:val="默认段落字体12"/>
    <w:next w:val="977"/>
    <w:link w:val="885"/>
    <w:uiPriority w:val="1"/>
    <w:unhideWhenUsed/>
    <w:qFormat/>
  </w:style>
  <w:style w:type="character" w:styleId="978">
    <w:name w:val="脚注文本 Char1"/>
    <w:next w:val="978"/>
    <w:link w:val="885"/>
    <w:rPr>
      <w:rFonts w:ascii="Calibri" w:hAnsi="Calibri" w:eastAsia="宋体" w:cs="Times New Roman"/>
      <w:sz w:val="18"/>
      <w:szCs w:val="18"/>
    </w:rPr>
  </w:style>
  <w:style w:type="character" w:styleId="979">
    <w:name w:val="para1"/>
    <w:next w:val="979"/>
    <w:link w:val="885"/>
    <w:rPr>
      <w:rFonts w:ascii="Arial" w:hAnsi="Arial" w:eastAsia="宋体" w:cs="Arial"/>
      <w:sz w:val="18"/>
      <w:szCs w:val="18"/>
    </w:rPr>
  </w:style>
  <w:style w:type="character" w:styleId="980">
    <w:name w:val="font41"/>
    <w:next w:val="980"/>
    <w:link w:val="885"/>
    <w:rPr>
      <w:rFonts w:hint="eastAsia" w:ascii="微软雅黑" w:hAnsi="微软雅黑" w:eastAsia="微软雅黑" w:cs="微软雅黑"/>
      <w:i w:val="0"/>
      <w:color w:val="000000"/>
      <w:sz w:val="18"/>
      <w:szCs w:val="18"/>
      <w:u w:val="none"/>
    </w:rPr>
  </w:style>
  <w:style w:type="character" w:styleId="981">
    <w:name w:val="样式7 Char"/>
    <w:next w:val="981"/>
    <w:link w:val="982"/>
    <w:rPr>
      <w:rFonts w:ascii="Cambria" w:hAnsi="Cambria" w:eastAsia="宋体" w:cs="Times New Roman"/>
      <w:b/>
      <w:bCs/>
      <w:sz w:val="28"/>
      <w:szCs w:val="28"/>
    </w:rPr>
  </w:style>
  <w:style w:type="paragraph" w:styleId="982">
    <w:name w:val="样式7"/>
    <w:basedOn w:val="889"/>
    <w:next w:val="982"/>
    <w:link w:val="981"/>
    <w:pPr>
      <w:numPr>
        <w:ilvl w:val="3"/>
        <w:numId w:val="0"/>
      </w:numPr>
      <w:ind w:left="3558" w:hanging="864"/>
      <w:tabs>
        <w:tab w:val="clear" w:pos="1440" w:leader="none"/>
      </w:tabs>
    </w:pPr>
  </w:style>
  <w:style w:type="character" w:styleId="983">
    <w:name w:val="font81"/>
    <w:basedOn w:val="895"/>
    <w:next w:val="983"/>
    <w:link w:val="885"/>
    <w:rPr>
      <w:rFonts w:ascii="Wingdings 2" w:hAnsi="Wingdings 2" w:eastAsia="Wingdings 2" w:cs="Wingdings 2"/>
      <w:i w:val="0"/>
      <w:color w:val="000000"/>
      <w:sz w:val="20"/>
      <w:szCs w:val="20"/>
      <w:u w:val="none"/>
    </w:rPr>
  </w:style>
  <w:style w:type="character" w:styleId="984">
    <w:name w:val="symbol3"/>
    <w:next w:val="984"/>
    <w:link w:val="885"/>
    <w:rPr>
      <w:rFonts w:ascii="Calibri" w:hAnsi="Calibri" w:eastAsia="宋体" w:cs="Times New Roman"/>
      <w:color w:val="000000"/>
    </w:rPr>
  </w:style>
  <w:style w:type="character" w:styleId="985">
    <w:name w:val="Char Char3"/>
    <w:next w:val="985"/>
    <w:link w:val="885"/>
    <w:rPr>
      <w:rFonts w:ascii="Calibri" w:hAnsi="Calibri" w:eastAsia="宋体" w:cs="Times New Roman"/>
      <w:sz w:val="24"/>
      <w:szCs w:val="24"/>
      <w:lang w:val="en-US" w:eastAsia="zh-CN" w:bidi="ar-SA"/>
    </w:rPr>
  </w:style>
  <w:style w:type="character" w:styleId="986">
    <w:name w:val="badepic3"/>
    <w:next w:val="986"/>
    <w:link w:val="885"/>
    <w:rPr>
      <w:rFonts w:ascii="Calibri" w:hAnsi="Calibri" w:eastAsia="宋体" w:cs="Times New Roman"/>
    </w:rPr>
  </w:style>
  <w:style w:type="character" w:styleId="987">
    <w:name w:val="批注主题 Char1"/>
    <w:next w:val="987"/>
    <w:link w:val="885"/>
    <w:rPr>
      <w:rFonts w:ascii="宋体" w:hAnsi="宋体" w:eastAsia="宋体" w:cs="宋体"/>
      <w:b/>
      <w:bCs/>
      <w:sz w:val="24"/>
      <w:szCs w:val="24"/>
    </w:rPr>
  </w:style>
  <w:style w:type="character" w:styleId="988">
    <w:name w:val="副标题 Char1"/>
    <w:next w:val="988"/>
    <w:link w:val="885"/>
    <w:rPr>
      <w:rFonts w:ascii="Cambria" w:hAnsi="Cambria" w:eastAsia="宋体" w:cs="Times New Roman"/>
      <w:b/>
      <w:bCs/>
      <w:sz w:val="32"/>
      <w:szCs w:val="32"/>
    </w:rPr>
  </w:style>
  <w:style w:type="character" w:styleId="989">
    <w:name w:val="s-price"/>
    <w:next w:val="989"/>
    <w:link w:val="885"/>
    <w:rPr>
      <w:rFonts w:ascii="Calibri" w:hAnsi="Calibri" w:eastAsia="宋体" w:cs="Times New Roman"/>
      <w:color w:val="000000"/>
    </w:rPr>
  </w:style>
  <w:style w:type="character" w:styleId="990">
    <w:name w:val="symbol1"/>
    <w:next w:val="990"/>
    <w:link w:val="885"/>
    <w:rPr>
      <w:rFonts w:ascii="Calibri" w:hAnsi="Calibri" w:eastAsia="宋体" w:cs="Times New Roman"/>
      <w:color w:val="000000"/>
    </w:rPr>
  </w:style>
  <w:style w:type="character" w:styleId="991">
    <w:name w:val="列表段落 字符"/>
    <w:next w:val="991"/>
    <w:link w:val="992"/>
    <w:rPr>
      <w:rFonts w:ascii="Calibri" w:hAnsi="Calibri" w:eastAsia="宋体" w:cs="Calibri"/>
      <w:sz w:val="22"/>
      <w:szCs w:val="22"/>
    </w:rPr>
  </w:style>
  <w:style w:type="paragraph" w:styleId="992">
    <w:name w:val="列表段落"/>
    <w:basedOn w:val="885"/>
    <w:next w:val="992"/>
    <w:link w:val="991"/>
    <w:qFormat/>
    <w:pPr>
      <w:ind w:firstLine="420"/>
    </w:pPr>
    <w:rPr>
      <w:rFonts w:ascii="Calibri" w:hAnsi="Calibri" w:cs="Times New Roman"/>
      <w:sz w:val="22"/>
      <w:szCs w:val="22"/>
    </w:rPr>
  </w:style>
  <w:style w:type="character" w:styleId="993">
    <w:name w:val="badepic5"/>
    <w:next w:val="993"/>
    <w:link w:val="885"/>
    <w:rPr>
      <w:rFonts w:ascii="Calibri" w:hAnsi="Calibri" w:eastAsia="宋体" w:cs="Times New Roman"/>
    </w:rPr>
  </w:style>
  <w:style w:type="character" w:styleId="994">
    <w:name w:val="badepic2"/>
    <w:next w:val="994"/>
    <w:link w:val="885"/>
    <w:rPr>
      <w:rFonts w:ascii="Calibri" w:hAnsi="Calibri" w:eastAsia="宋体" w:cs="Times New Roman"/>
    </w:rPr>
  </w:style>
  <w:style w:type="character" w:styleId="995">
    <w:name w:val="c-price1"/>
    <w:next w:val="995"/>
    <w:link w:val="885"/>
    <w:rPr>
      <w:rFonts w:ascii="Arial" w:hAnsi="Arial" w:eastAsia="宋体" w:cs="Arial"/>
      <w:color w:val="000000"/>
      <w:sz w:val="19"/>
      <w:szCs w:val="19"/>
    </w:rPr>
  </w:style>
  <w:style w:type="character" w:styleId="996">
    <w:name w:val="badepic1"/>
    <w:next w:val="996"/>
    <w:link w:val="885"/>
    <w:rPr>
      <w:rFonts w:ascii="Calibri" w:hAnsi="Calibri" w:eastAsia="宋体" w:cs="Times New Roman"/>
    </w:rPr>
  </w:style>
  <w:style w:type="character" w:styleId="997">
    <w:name w:val="font71"/>
    <w:next w:val="997"/>
    <w:link w:val="885"/>
    <w:qFormat/>
    <w:rPr>
      <w:rFonts w:hint="eastAsia" w:ascii="宋体" w:hAnsi="宋体" w:eastAsia="宋体" w:cs="宋体"/>
      <w:color w:val="000000"/>
      <w:sz w:val="22"/>
      <w:szCs w:val="22"/>
      <w:u w:val="none"/>
    </w:rPr>
  </w:style>
  <w:style w:type="character" w:styleId="998">
    <w:name w:val="lh151"/>
    <w:next w:val="998"/>
    <w:link w:val="885"/>
    <w:rPr>
      <w:rFonts w:ascii="Calibri" w:hAnsi="Calibri" w:eastAsia="宋体" w:cs="Times New Roman"/>
      <w:color w:val="000000"/>
    </w:rPr>
  </w:style>
  <w:style w:type="character" w:styleId="999">
    <w:name w:val="badepic4"/>
    <w:next w:val="999"/>
    <w:link w:val="885"/>
    <w:rPr>
      <w:rFonts w:ascii="Calibri" w:hAnsi="Calibri" w:eastAsia="宋体" w:cs="Times New Roman"/>
    </w:rPr>
  </w:style>
  <w:style w:type="character" w:styleId="1000">
    <w:name w:val="样式1 Char"/>
    <w:next w:val="1000"/>
    <w:link w:val="1001"/>
    <w:rPr>
      <w:sz w:val="21"/>
      <w:szCs w:val="21"/>
    </w:rPr>
  </w:style>
  <w:style w:type="paragraph" w:styleId="1001">
    <w:name w:val="样式1"/>
    <w:basedOn w:val="885"/>
    <w:next w:val="1001"/>
    <w:link w:val="1000"/>
    <w:qFormat/>
    <w:pPr>
      <w:ind w:left="709" w:hanging="709"/>
      <w:tabs>
        <w:tab w:val="left" w:pos="709" w:leader="none"/>
      </w:tabs>
    </w:pPr>
    <w:rPr>
      <w:rFonts w:ascii="Times New Roman" w:hAnsi="Times New Roman" w:cs="Times New Roman"/>
      <w:sz w:val="21"/>
      <w:szCs w:val="21"/>
    </w:rPr>
  </w:style>
  <w:style w:type="character" w:styleId="1002">
    <w:name w:val="badepic"/>
    <w:next w:val="1002"/>
    <w:link w:val="885"/>
    <w:rPr>
      <w:rFonts w:ascii="Calibri" w:hAnsi="Calibri" w:eastAsia="宋体" w:cs="Times New Roman"/>
    </w:rPr>
  </w:style>
  <w:style w:type="character" w:styleId="1003">
    <w:name w:val="Figure Char"/>
    <w:next w:val="1003"/>
    <w:link w:val="1004"/>
    <w:rPr>
      <w:rFonts w:ascii="Calibri" w:hAnsi="Calibri" w:eastAsia="宋体" w:cs="Times New Roman"/>
      <w:sz w:val="21"/>
      <w:szCs w:val="24"/>
    </w:rPr>
  </w:style>
  <w:style w:type="paragraph" w:styleId="1004">
    <w:name w:val="Figure"/>
    <w:basedOn w:val="885"/>
    <w:next w:val="885"/>
    <w:link w:val="1003"/>
    <w:pPr>
      <w:jc w:val="center"/>
      <w:keepLines/>
      <w:keepNext/>
    </w:pPr>
    <w:rPr>
      <w:rFonts w:ascii="Calibri" w:hAnsi="Calibri" w:cs="Times New Roman"/>
      <w:sz w:val="21"/>
    </w:rPr>
  </w:style>
  <w:style w:type="character" w:styleId="1005">
    <w:name w:val="+正文 Char3"/>
    <w:next w:val="1005"/>
    <w:link w:val="1006"/>
    <w:rPr>
      <w:rFonts w:ascii="宋体" w:hAnsi="宋体" w:eastAsia="宋体" w:cs="宋体"/>
      <w:sz w:val="24"/>
      <w:szCs w:val="24"/>
    </w:rPr>
  </w:style>
  <w:style w:type="paragraph" w:styleId="1006">
    <w:name w:val="+正文"/>
    <w:basedOn w:val="885"/>
    <w:next w:val="1006"/>
    <w:link w:val="1005"/>
    <w:pPr>
      <w:ind w:firstLine="200"/>
      <w:spacing w:line="360" w:lineRule="auto"/>
    </w:pPr>
    <w:rPr>
      <w:rFonts w:cs="Times New Roman"/>
    </w:rPr>
  </w:style>
  <w:style w:type="character" w:styleId="1007">
    <w:name w:val="列出段落 Char1"/>
    <w:next w:val="1007"/>
    <w:link w:val="885"/>
    <w:rPr>
      <w:rFonts w:ascii="Calibri" w:hAnsi="Calibri"/>
    </w:rPr>
  </w:style>
  <w:style w:type="character" w:styleId="1008">
    <w:name w:val="font21"/>
    <w:next w:val="1008"/>
    <w:link w:val="885"/>
    <w:rPr>
      <w:rFonts w:ascii="宋体" w:hAnsi="宋体" w:eastAsia="宋体" w:cs="宋体"/>
      <w:color w:val="000000"/>
      <w:sz w:val="22"/>
      <w:szCs w:val="22"/>
      <w:u w:val="none"/>
      <w:vertAlign w:val="superscript"/>
    </w:rPr>
  </w:style>
  <w:style w:type="character" w:styleId="1009">
    <w:name w:val="正文首行缩进两字 Char"/>
    <w:next w:val="1009"/>
    <w:link w:val="1010"/>
    <w:rPr>
      <w:sz w:val="24"/>
      <w:szCs w:val="24"/>
      <w:lang w:val="en-US" w:eastAsia="ar-SA" w:bidi="ar-SA"/>
    </w:rPr>
  </w:style>
  <w:style w:type="paragraph" w:styleId="1010">
    <w:name w:val="正文首行缩进两字"/>
    <w:next w:val="1010"/>
    <w:link w:val="1009"/>
    <w:pPr>
      <w:ind w:firstLine="480"/>
      <w:spacing w:after="163" w:line="300" w:lineRule="auto"/>
      <w:widowControl w:val="off"/>
    </w:pPr>
    <w:rPr>
      <w:sz w:val="24"/>
      <w:szCs w:val="24"/>
      <w:lang w:val="en-US" w:eastAsia="ar-SA" w:bidi="ar-SA"/>
    </w:rPr>
  </w:style>
  <w:style w:type="character" w:styleId="1011">
    <w:name w:val="p141"/>
    <w:next w:val="1011"/>
    <w:link w:val="885"/>
    <w:rPr>
      <w:rFonts w:ascii="Calibri" w:hAnsi="Calibri" w:eastAsia="宋体" w:cs="Times New Roman"/>
      <w:color w:val="000000"/>
      <w:sz w:val="28"/>
      <w:szCs w:val="28"/>
      <w:u w:val="none"/>
    </w:rPr>
  </w:style>
  <w:style w:type="character" w:styleId="1012">
    <w:name w:val="Char Char13"/>
    <w:next w:val="1012"/>
    <w:link w:val="885"/>
    <w:rPr>
      <w:rFonts w:ascii="Calibri" w:hAnsi="Calibri" w:eastAsia="楷体_GB2312" w:cs="Times New Roman"/>
      <w:sz w:val="24"/>
      <w:szCs w:val="24"/>
      <w:lang w:val="en-US" w:eastAsia="zh-CN"/>
    </w:rPr>
  </w:style>
  <w:style w:type="character" w:styleId="1013">
    <w:name w:val="图表中 居中加粗 Char"/>
    <w:next w:val="1013"/>
    <w:link w:val="1014"/>
    <w:rPr>
      <w:rFonts w:ascii="Calibri" w:hAnsi="Calibri" w:eastAsia="宋体" w:cs="宋体"/>
      <w:b/>
      <w:bCs/>
      <w:sz w:val="18"/>
      <w:szCs w:val="18"/>
    </w:rPr>
  </w:style>
  <w:style w:type="paragraph" w:styleId="1014">
    <w:name w:val="图表中 居中加粗"/>
    <w:basedOn w:val="885"/>
    <w:next w:val="1014"/>
    <w:link w:val="1013"/>
    <w:pPr>
      <w:jc w:val="center"/>
      <w:spacing w:line="360" w:lineRule="auto"/>
    </w:pPr>
    <w:rPr>
      <w:rFonts w:ascii="Calibri" w:hAnsi="Calibri" w:cs="Times New Roman"/>
      <w:b/>
      <w:bCs/>
      <w:sz w:val="18"/>
      <w:szCs w:val="18"/>
    </w:rPr>
  </w:style>
  <w:style w:type="character" w:styleId="1015">
    <w:name w:val="font101"/>
    <w:next w:val="1015"/>
    <w:link w:val="885"/>
    <w:qFormat/>
    <w:rPr>
      <w:rFonts w:ascii="Arial" w:hAnsi="Arial" w:eastAsia="宋体" w:cs="Arial"/>
      <w:color w:val="000000"/>
      <w:sz w:val="20"/>
      <w:szCs w:val="20"/>
      <w:u w:val="none"/>
    </w:rPr>
  </w:style>
  <w:style w:type="character" w:styleId="1016">
    <w:name w:val="Plain Text Char"/>
    <w:next w:val="1016"/>
    <w:link w:val="1017"/>
    <w:rPr>
      <w:rFonts w:ascii="宋体" w:hAnsi="Courier New" w:eastAsia="楷体_GB2312" w:cs="宋体"/>
      <w:sz w:val="28"/>
      <w:szCs w:val="28"/>
    </w:rPr>
  </w:style>
  <w:style w:type="paragraph" w:styleId="1017">
    <w:name w:val="纯文本1"/>
    <w:basedOn w:val="885"/>
    <w:next w:val="1017"/>
    <w:link w:val="1016"/>
    <w:qFormat/>
    <w:rPr>
      <w:rFonts w:hAnsi="Courier New" w:eastAsia="楷体_GB2312" w:cs="Times New Roman"/>
      <w:sz w:val="28"/>
      <w:szCs w:val="28"/>
    </w:rPr>
  </w:style>
  <w:style w:type="character" w:styleId="1018">
    <w:name w:val="批注文字 字符"/>
    <w:next w:val="1018"/>
    <w:link w:val="885"/>
    <w:rPr>
      <w:rFonts w:ascii="Calibri" w:hAnsi="Calibri" w:eastAsia="宋体" w:cs="Times New Roman"/>
      <w:sz w:val="24"/>
      <w:szCs w:val="24"/>
    </w:rPr>
  </w:style>
  <w:style w:type="character" w:styleId="1019">
    <w:name w:val="font01"/>
    <w:next w:val="1019"/>
    <w:link w:val="885"/>
    <w:rPr>
      <w:rFonts w:ascii="宋体" w:hAnsi="宋体" w:eastAsia="宋体" w:cs="宋体"/>
      <w:color w:val="000000"/>
      <w:sz w:val="20"/>
      <w:szCs w:val="20"/>
      <w:u w:val="none"/>
    </w:rPr>
  </w:style>
  <w:style w:type="character" w:styleId="1020">
    <w:name w:val="默认段落字体11"/>
    <w:next w:val="1020"/>
    <w:link w:val="885"/>
    <w:uiPriority w:val="1"/>
    <w:unhideWhenUsed/>
    <w:qFormat/>
    <w:rPr>
      <w:rFonts w:ascii="宋体" w:hAnsi="宋体" w:cs="宋体"/>
      <w:sz w:val="24"/>
      <w:szCs w:val="24"/>
      <w:lang w:val="en-US" w:eastAsia="zh-CN" w:bidi="ar-SA"/>
    </w:rPr>
  </w:style>
  <w:style w:type="character" w:styleId="1021">
    <w:name w:val="脚注文本 Char2"/>
    <w:next w:val="1021"/>
    <w:link w:val="885"/>
    <w:rPr>
      <w:rFonts w:ascii="宋体" w:hAnsi="宋体" w:eastAsia="宋体" w:cs="宋体"/>
      <w:sz w:val="18"/>
      <w:szCs w:val="18"/>
    </w:rPr>
  </w:style>
  <w:style w:type="character" w:styleId="1022">
    <w:name w:val="font31"/>
    <w:next w:val="1022"/>
    <w:link w:val="885"/>
    <w:rPr>
      <w:rFonts w:hint="eastAsia" w:ascii="宋体" w:hAnsi="宋体" w:eastAsia="宋体" w:cs="Times New Roman"/>
      <w:color w:val="000000"/>
      <w:sz w:val="20"/>
      <w:szCs w:val="20"/>
      <w:u w:val="none"/>
    </w:rPr>
  </w:style>
  <w:style w:type="character" w:styleId="1023">
    <w:name w:val=" Char Char3"/>
    <w:next w:val="1023"/>
    <w:link w:val="885"/>
    <w:rPr>
      <w:rFonts w:ascii="Calibri" w:hAnsi="Calibri" w:eastAsia="宋体" w:cs="Times New Roman"/>
      <w:sz w:val="24"/>
      <w:szCs w:val="24"/>
      <w:lang w:val="en-US" w:eastAsia="zh-CN" w:bidi="ar-SA"/>
    </w:rPr>
  </w:style>
  <w:style w:type="character" w:styleId="1024">
    <w:name w:val="文档结构图 Char1"/>
    <w:next w:val="1024"/>
    <w:link w:val="885"/>
    <w:rPr>
      <w:rFonts w:ascii="宋体" w:hAnsi="宋体" w:eastAsia="宋体" w:cs="宋体"/>
      <w:sz w:val="18"/>
      <w:szCs w:val="18"/>
    </w:rPr>
  </w:style>
  <w:style w:type="character" w:styleId="1025">
    <w:name w:val="font61"/>
    <w:next w:val="1025"/>
    <w:link w:val="885"/>
    <w:rPr>
      <w:rFonts w:ascii="Times New Roman" w:hAnsi="Times New Roman" w:eastAsia="宋体" w:cs="Times New Roman"/>
      <w:i w:val="0"/>
      <w:color w:val="000000"/>
      <w:sz w:val="20"/>
      <w:szCs w:val="20"/>
      <w:u w:val="none"/>
    </w:rPr>
  </w:style>
  <w:style w:type="character" w:styleId="1026">
    <w:name w:val="s-price1"/>
    <w:next w:val="1026"/>
    <w:link w:val="885"/>
    <w:rPr>
      <w:rFonts w:ascii="Calibri" w:hAnsi="Calibri" w:eastAsia="宋体" w:cs="Times New Roman"/>
      <w:color w:val="000000"/>
    </w:rPr>
  </w:style>
  <w:style w:type="character" w:styleId="1027">
    <w:name w:val="_正文段落 Char"/>
    <w:next w:val="1027"/>
    <w:link w:val="1028"/>
    <w:rPr>
      <w:rFonts w:ascii="宋体" w:hAnsi="Calibri" w:eastAsia="宋体" w:cs="宋体"/>
      <w:sz w:val="24"/>
      <w:szCs w:val="24"/>
    </w:rPr>
  </w:style>
  <w:style w:type="paragraph" w:styleId="1028">
    <w:name w:val="_正文段落"/>
    <w:basedOn w:val="885"/>
    <w:next w:val="1028"/>
    <w:link w:val="1027"/>
    <w:pPr>
      <w:ind w:firstLine="480"/>
      <w:spacing w:line="360" w:lineRule="auto"/>
    </w:pPr>
    <w:rPr>
      <w:rFonts w:hAnsi="Calibri" w:cs="Times New Roman"/>
    </w:rPr>
  </w:style>
  <w:style w:type="character" w:styleId="1029">
    <w:name w:val="NormalCharacter1"/>
    <w:next w:val="1029"/>
    <w:link w:val="885"/>
    <w:qFormat/>
  </w:style>
  <w:style w:type="character" w:styleId="1030">
    <w:name w:val="纯文本 字符"/>
    <w:next w:val="1030"/>
    <w:link w:val="885"/>
    <w:rPr>
      <w:rFonts w:ascii="宋体" w:hAnsi="Courier New" w:eastAsia="宋体" w:cs="宋体"/>
      <w:sz w:val="24"/>
      <w:szCs w:val="24"/>
    </w:rPr>
  </w:style>
  <w:style w:type="character" w:styleId="1031">
    <w:name w:val="font11"/>
    <w:next w:val="1031"/>
    <w:link w:val="885"/>
    <w:rPr>
      <w:rFonts w:ascii="Times New Roman" w:hAnsi="Times New Roman" w:eastAsia="宋体" w:cs="Times New Roman"/>
      <w:i w:val="0"/>
      <w:color w:val="000000"/>
      <w:sz w:val="20"/>
      <w:szCs w:val="20"/>
      <w:u w:val="none"/>
    </w:rPr>
  </w:style>
  <w:style w:type="character" w:styleId="1032">
    <w:name w:val="font112"/>
    <w:next w:val="1032"/>
    <w:link w:val="885"/>
    <w:qFormat/>
    <w:rPr>
      <w:rFonts w:ascii="微软雅黑" w:hAnsi="微软雅黑" w:eastAsia="微软雅黑" w:cs="微软雅黑"/>
      <w:color w:val="000000"/>
      <w:sz w:val="22"/>
      <w:szCs w:val="22"/>
      <w:u w:val="none"/>
    </w:rPr>
  </w:style>
  <w:style w:type="character" w:styleId="1033">
    <w:name w:val="标题 4 字符,GH-4 字符"/>
    <w:next w:val="1033"/>
    <w:link w:val="885"/>
    <w:uiPriority w:val="9"/>
    <w:rPr>
      <w:rFonts w:ascii="等线 Light" w:hAnsi="等线 Light" w:eastAsia="宋体" w:cs="Times New Roman"/>
      <w:b/>
      <w:iCs/>
      <w:color w:val="000000"/>
    </w:rPr>
  </w:style>
  <w:style w:type="character" w:styleId="1034">
    <w:name w:val="常规 Char"/>
    <w:next w:val="1034"/>
    <w:link w:val="1035"/>
    <w:rPr>
      <w:rFonts w:ascii="Calibri" w:hAnsi="Calibri" w:eastAsia="宋体" w:cs="Times New Roman"/>
      <w:sz w:val="21"/>
      <w:szCs w:val="21"/>
    </w:rPr>
  </w:style>
  <w:style w:type="paragraph" w:styleId="1035">
    <w:name w:val="常规"/>
    <w:basedOn w:val="885"/>
    <w:next w:val="1035"/>
    <w:link w:val="1034"/>
    <w:pPr>
      <w:ind w:left="1134"/>
      <w:spacing w:before="100" w:after="100"/>
    </w:pPr>
    <w:rPr>
      <w:rFonts w:ascii="Calibri" w:hAnsi="Calibri" w:cs="Times New Roman"/>
      <w:sz w:val="21"/>
      <w:szCs w:val="21"/>
    </w:rPr>
  </w:style>
  <w:style w:type="character" w:styleId="1036">
    <w:name w:val="默认段落字体1"/>
    <w:next w:val="1036"/>
    <w:link w:val="885"/>
    <w:uiPriority w:val="1"/>
    <w:unhideWhenUsed/>
    <w:qFormat/>
    <w:rPr>
      <w:rFonts w:ascii="Calibri" w:hAnsi="Calibri" w:eastAsia="宋体" w:cs="Times New Roman"/>
      <w:sz w:val="21"/>
      <w:szCs w:val="22"/>
      <w:lang w:val="en-US" w:eastAsia="zh-CN" w:bidi="ar-SA"/>
    </w:rPr>
  </w:style>
  <w:style w:type="paragraph" w:styleId="1037">
    <w:name w:val="H-TextFormat"/>
    <w:next w:val="1037"/>
    <w:link w:val="885"/>
    <w:rPr>
      <w:rFonts w:ascii="Arial" w:hAnsi="Arial"/>
      <w:sz w:val="22"/>
      <w:lang w:val="en-GB" w:eastAsia="en-US" w:bidi="ar-SA"/>
    </w:rPr>
  </w:style>
  <w:style w:type="paragraph" w:styleId="1038">
    <w:name w:val="Char Char Char Char Char Char Char Char Char1 Char1"/>
    <w:basedOn w:val="912"/>
    <w:next w:val="1038"/>
    <w:link w:val="885"/>
    <w:pPr>
      <w:jc w:val="both"/>
      <w:spacing w:line="360" w:lineRule="auto"/>
      <w:widowControl w:val="off"/>
    </w:pPr>
    <w:rPr>
      <w:rFonts w:ascii="Tahoma" w:hAnsi="Tahoma" w:eastAsia="宋体" w:cs="Times New Roman"/>
    </w:rPr>
  </w:style>
  <w:style w:type="paragraph" w:styleId="1039">
    <w:name w:val="列出段落2"/>
    <w:basedOn w:val="885"/>
    <w:next w:val="1039"/>
    <w:link w:val="885"/>
    <w:pPr>
      <w:ind w:firstLine="420"/>
    </w:pPr>
    <w:rPr>
      <w:rFonts w:ascii="Times New Roman" w:hAnsi="Times New Roman" w:eastAsia="宋体" w:cs="Times New Roman"/>
      <w:sz w:val="21"/>
      <w:szCs w:val="20"/>
    </w:rPr>
  </w:style>
  <w:style w:type="paragraph" w:styleId="1040">
    <w:name w:val="MyPoints"/>
    <w:basedOn w:val="885"/>
    <w:next w:val="1040"/>
    <w:link w:val="885"/>
    <w:pPr>
      <w:ind w:left="936" w:hanging="360"/>
      <w:jc w:val="left"/>
      <w:widowControl/>
    </w:pPr>
    <w:rPr>
      <w:rFonts w:ascii="Century Gothic" w:hAnsi="Century Gothic" w:eastAsia="宋体" w:cs="Times New Roman"/>
      <w:sz w:val="20"/>
      <w:szCs w:val="20"/>
      <w:lang w:val="en-GB" w:eastAsia="en-US"/>
    </w:rPr>
  </w:style>
  <w:style w:type="paragraph" w:styleId="1041">
    <w:name w:val="首行缩进"/>
    <w:basedOn w:val="885"/>
    <w:next w:val="1041"/>
    <w:link w:val="885"/>
    <w:pPr>
      <w:ind w:firstLine="480"/>
    </w:pPr>
    <w:rPr>
      <w:rFonts w:ascii="Times New Roman" w:hAnsi="Times New Roman" w:eastAsia="楷体_GB2312" w:cs="Times New Roman"/>
      <w:sz w:val="26"/>
      <w:szCs w:val="26"/>
    </w:rPr>
  </w:style>
  <w:style w:type="paragraph" w:styleId="1042">
    <w:name w:val="纯文本2"/>
    <w:basedOn w:val="885"/>
    <w:next w:val="1042"/>
    <w:link w:val="885"/>
    <w:qFormat/>
    <w:rPr>
      <w:rFonts w:ascii="Calibri" w:hAnsi="Courier New" w:eastAsia="楷体_GB2312" w:cs="Times New Roman"/>
      <w:sz w:val="28"/>
      <w:szCs w:val="28"/>
    </w:rPr>
  </w:style>
  <w:style w:type="paragraph" w:styleId="1043">
    <w:name w:val="纯文本3"/>
    <w:basedOn w:val="885"/>
    <w:next w:val="1043"/>
    <w:link w:val="885"/>
    <w:rPr>
      <w:rFonts w:hAnsi="Courier New" w:eastAsia="楷体_GB2312" w:cs="Times New Roman"/>
      <w:sz w:val="26"/>
      <w:szCs w:val="26"/>
    </w:rPr>
  </w:style>
  <w:style w:type="paragraph" w:styleId="1044">
    <w:name w:val="Char Char Char1 Char Char Char Char"/>
    <w:basedOn w:val="885"/>
    <w:next w:val="1044"/>
    <w:link w:val="885"/>
    <w:pPr>
      <w:jc w:val="left"/>
      <w:spacing w:after="160" w:line="240" w:lineRule="exact"/>
      <w:widowControl/>
    </w:pPr>
    <w:rPr>
      <w:rFonts w:ascii="Times New Roman" w:hAnsi="Times New Roman" w:eastAsia="宋体" w:cs="Times New Roman"/>
    </w:rPr>
  </w:style>
  <w:style w:type="paragraph" w:styleId="1045">
    <w:name w:val="正文1"/>
    <w:basedOn w:val="885"/>
    <w:next w:val="885"/>
    <w:link w:val="885"/>
    <w:qFormat/>
    <w:pPr>
      <w:ind w:left="420" w:firstLine="527"/>
      <w:spacing w:before="120" w:line="360" w:lineRule="auto"/>
    </w:pPr>
    <w:rPr>
      <w:rFonts w:ascii="宋体" w:hAnsi="宋体"/>
    </w:rPr>
  </w:style>
  <w:style w:type="paragraph" w:styleId="1046">
    <w:name w:val="Char2"/>
    <w:basedOn w:val="912"/>
    <w:next w:val="1046"/>
    <w:link w:val="885"/>
    <w:pPr>
      <w:jc w:val="both"/>
      <w:spacing w:line="360" w:lineRule="auto"/>
      <w:widowControl w:val="off"/>
    </w:pPr>
    <w:rPr>
      <w:rFonts w:ascii="Calibri" w:hAnsi="Calibri" w:eastAsia="宋体" w:cs="Times New Roman"/>
      <w:sz w:val="21"/>
    </w:rPr>
  </w:style>
  <w:style w:type="paragraph" w:styleId="1047">
    <w:name w:val="列出段落1"/>
    <w:basedOn w:val="885"/>
    <w:next w:val="1047"/>
    <w:link w:val="885"/>
    <w:pPr>
      <w:ind w:firstLine="420"/>
    </w:pPr>
    <w:rPr>
      <w:rFonts w:ascii="Calibri" w:hAnsi="Calibri" w:eastAsia="宋体" w:cs="Calibri"/>
      <w:sz w:val="21"/>
      <w:szCs w:val="21"/>
    </w:rPr>
  </w:style>
  <w:style w:type="paragraph" w:styleId="1048">
    <w:name w:val="Char Char Char Char Char Char Char Char Char1 Char"/>
    <w:basedOn w:val="912"/>
    <w:next w:val="1048"/>
    <w:link w:val="885"/>
    <w:pPr>
      <w:jc w:val="both"/>
      <w:spacing w:line="360" w:lineRule="auto"/>
      <w:widowControl w:val="off"/>
    </w:pPr>
    <w:rPr>
      <w:rFonts w:ascii="Tahoma" w:hAnsi="Tahoma" w:eastAsia="宋体" w:cs="Times New Roman"/>
    </w:rPr>
  </w:style>
  <w:style w:type="paragraph" w:styleId="1049">
    <w:name w:val="Default"/>
    <w:next w:val="1049"/>
    <w:link w:val="885"/>
    <w:pPr>
      <w:widowControl w:val="off"/>
    </w:pPr>
    <w:rPr>
      <w:rFonts w:ascii="Arial Unicode MS" w:eastAsia="Times New Roman" w:cs="Arial Unicode MS"/>
      <w:color w:val="000000"/>
      <w:sz w:val="24"/>
      <w:szCs w:val="24"/>
      <w:lang w:val="en-US" w:eastAsia="zh-CN" w:bidi="ar-SA"/>
    </w:rPr>
  </w:style>
  <w:style w:type="paragraph" w:styleId="1050">
    <w:name w:val="Plain Text"/>
    <w:basedOn w:val="885"/>
    <w:next w:val="1050"/>
    <w:link w:val="885"/>
    <w:rPr>
      <w:rFonts w:ascii="Calibri" w:hAnsi="Courier New" w:eastAsia="楷体_GB2312" w:cs="Times New Roman"/>
      <w:sz w:val="26"/>
      <w:szCs w:val="20"/>
    </w:rPr>
  </w:style>
  <w:style w:type="paragraph" w:styleId="1051">
    <w:name w:val="WPSOffice手动目录 1"/>
    <w:next w:val="1051"/>
    <w:link w:val="885"/>
    <w:rPr>
      <w:lang w:val="en-US" w:eastAsia="zh-CN" w:bidi="ar-SA"/>
    </w:rPr>
  </w:style>
  <w:style w:type="paragraph" w:styleId="1052">
    <w:name w:val="afont"/>
    <w:basedOn w:val="885"/>
    <w:next w:val="1052"/>
    <w:link w:val="885"/>
    <w:pPr>
      <w:jc w:val="left"/>
      <w:spacing w:before="100" w:after="100" w:line="285" w:lineRule="atLeast"/>
      <w:widowControl/>
    </w:pPr>
    <w:rPr>
      <w:rFonts w:ascii="Calibri" w:hAnsi="Calibri" w:eastAsia="宋体" w:cs="Times New Roman"/>
      <w:sz w:val="18"/>
      <w:szCs w:val="18"/>
    </w:rPr>
  </w:style>
  <w:style w:type="paragraph" w:styleId="1053">
    <w:name w:val="Normal_0_0_0"/>
    <w:next w:val="1053"/>
    <w:link w:val="885"/>
    <w:qFormat/>
    <w:rPr>
      <w:rFonts w:eastAsia="Times New Roman"/>
      <w:sz w:val="24"/>
      <w:szCs w:val="24"/>
      <w:lang w:val="en-US" w:eastAsia="zh-CN" w:bidi="ar-SA"/>
    </w:rPr>
  </w:style>
  <w:style w:type="paragraph" w:styleId="1054">
    <w:name w:val="_Style 3"/>
    <w:basedOn w:val="885"/>
    <w:next w:val="1054"/>
    <w:link w:val="885"/>
    <w:pPr>
      <w:ind w:left="795" w:hanging="360"/>
      <w:tabs>
        <w:tab w:val="left" w:pos="540" w:leader="none"/>
      </w:tabs>
    </w:pPr>
    <w:rPr>
      <w:rFonts w:ascii="Times New Roman" w:hAnsi="Times New Roman" w:eastAsia="宋体" w:cs="Times New Roman"/>
    </w:rPr>
  </w:style>
  <w:style w:type="paragraph" w:styleId="1055">
    <w:name w:val="Normal1"/>
    <w:next w:val="1055"/>
    <w:link w:val="885"/>
    <w:pPr>
      <w:jc w:val="both"/>
    </w:pPr>
    <w:rPr>
      <w:rFonts w:ascii="等线" w:hAnsi="等线" w:cs="宋体"/>
      <w:sz w:val="21"/>
      <w:szCs w:val="21"/>
      <w:lang w:val="en-US" w:eastAsia="zh-CN" w:bidi="ar-SA"/>
    </w:rPr>
  </w:style>
  <w:style w:type="paragraph" w:styleId="1056">
    <w:name w:val="列表1"/>
    <w:next w:val="885"/>
    <w:link w:val="885"/>
    <w:qFormat/>
    <w:pPr>
      <w:ind w:left="200" w:hanging="200"/>
      <w:jc w:val="left"/>
      <w:widowControl/>
    </w:pPr>
    <w:rPr>
      <w:rFonts w:ascii="等线" w:hAnsi="等线" w:eastAsia="宋体" w:cs="宋体"/>
      <w:sz w:val="20"/>
      <w:szCs w:val="21"/>
      <w:lang w:val="en-US" w:eastAsia="zh-CN" w:bidi="ar-SA"/>
    </w:rPr>
  </w:style>
  <w:style w:type="paragraph" w:styleId="1057">
    <w:name w:val="表格正文"/>
    <w:basedOn w:val="885"/>
    <w:next w:val="1057"/>
    <w:link w:val="885"/>
    <w:pPr>
      <w:jc w:val="left"/>
    </w:pPr>
    <w:rPr>
      <w:rFonts w:ascii="Calibri" w:hAnsi="Calibri" w:eastAsia="宋体" w:cs="Times New Roman"/>
      <w:color w:val="000000"/>
      <w:sz w:val="22"/>
      <w:szCs w:val="20"/>
    </w:rPr>
  </w:style>
  <w:style w:type="paragraph" w:styleId="1058">
    <w:name w:val="表项"/>
    <w:next w:val="885"/>
    <w:link w:val="885"/>
    <w:pPr>
      <w:jc w:val="center"/>
      <w:keepNext/>
      <w:spacing w:line="300" w:lineRule="auto"/>
    </w:pPr>
    <w:rPr>
      <w:rFonts w:ascii="Arial" w:hAnsi="Arial" w:eastAsia="黑体"/>
      <w:sz w:val="18"/>
      <w:lang w:val="en-US" w:eastAsia="zh-CN" w:bidi="ar-SA"/>
    </w:rPr>
  </w:style>
  <w:style w:type="paragraph" w:styleId="1059">
    <w:name w:val="Plain Text1"/>
    <w:basedOn w:val="885"/>
    <w:next w:val="1059"/>
    <w:link w:val="885"/>
    <w:pPr>
      <w:jc w:val="left"/>
      <w:widowControl/>
    </w:pPr>
    <w:rPr>
      <w:rFonts w:ascii="Calibri" w:hAnsi="Courier New" w:eastAsia="楷体_GB2312" w:cs="Times New Roman"/>
      <w:sz w:val="26"/>
    </w:rPr>
  </w:style>
  <w:style w:type="paragraph" w:styleId="1060">
    <w:name w:val="寄信人地址1"/>
    <w:basedOn w:val="885"/>
    <w:next w:val="1060"/>
    <w:link w:val="885"/>
    <w:qFormat/>
    <w:pPr>
      <w:jc w:val="both"/>
      <w:widowControl w:val="off"/>
    </w:pPr>
    <w:rPr>
      <w:rFonts w:ascii="Arial" w:hAnsi="Arial" w:eastAsia="宋体" w:cs="Times New Roman"/>
      <w:sz w:val="21"/>
      <w:szCs w:val="24"/>
      <w:lang w:val="en-US" w:eastAsia="zh-CN" w:bidi="ar-SA"/>
    </w:rPr>
  </w:style>
  <w:style w:type="paragraph" w:styleId="1061">
    <w:name w:val="表身（中）"/>
    <w:basedOn w:val="885"/>
    <w:next w:val="1061"/>
    <w:link w:val="885"/>
    <w:pPr>
      <w:jc w:val="center"/>
      <w:spacing w:line="300" w:lineRule="auto"/>
      <w:widowControl/>
    </w:pPr>
    <w:rPr>
      <w:rFonts w:ascii="Times New Roman" w:hAnsi="Times New Roman" w:eastAsia="宋体" w:cs="Times New Roman"/>
      <w:sz w:val="18"/>
      <w:szCs w:val="20"/>
    </w:rPr>
  </w:style>
  <w:style w:type="paragraph" w:styleId="1062">
    <w:name w:val="修订"/>
    <w:next w:val="1062"/>
    <w:link w:val="885"/>
    <w:rPr>
      <w:sz w:val="24"/>
      <w:szCs w:val="24"/>
      <w:lang w:val="en-US" w:eastAsia="zh-CN" w:bidi="ar-SA"/>
    </w:rPr>
  </w:style>
  <w:style w:type="paragraph" w:styleId="1063">
    <w:name w:val="6'"/>
    <w:basedOn w:val="885"/>
    <w:next w:val="1063"/>
    <w:link w:val="885"/>
    <w:pPr>
      <w:jc w:val="center"/>
      <w:spacing w:line="320" w:lineRule="exact"/>
    </w:pPr>
    <w:rPr>
      <w:rFonts w:ascii="Times New Roman" w:hAnsi="Times New Roman" w:eastAsia="仿宋_GB2312" w:cs="Times New Roman"/>
      <w:spacing w:val="20"/>
      <w:szCs w:val="20"/>
    </w:rPr>
  </w:style>
  <w:style w:type="paragraph" w:styleId="1064">
    <w:name w:val="Char Char Char"/>
    <w:basedOn w:val="885"/>
    <w:next w:val="1064"/>
    <w:link w:val="885"/>
    <w:pPr>
      <w:ind w:left="795" w:hanging="360"/>
      <w:tabs>
        <w:tab w:val="left" w:pos="795" w:leader="none"/>
      </w:tabs>
    </w:pPr>
    <w:rPr>
      <w:rFonts w:ascii="Times New Roman" w:hAnsi="Times New Roman" w:eastAsia="宋体" w:cs="Times New Roman"/>
    </w:rPr>
  </w:style>
  <w:style w:type="paragraph" w:styleId="1065">
    <w:name w:val="Char Char Char1"/>
    <w:basedOn w:val="885"/>
    <w:next w:val="1065"/>
    <w:link w:val="885"/>
    <w:pPr>
      <w:ind w:left="795" w:hanging="360"/>
      <w:tabs>
        <w:tab w:val="left" w:pos="795" w:leader="none"/>
        <w:tab w:val="left" w:pos="840" w:leader="none"/>
      </w:tabs>
    </w:pPr>
    <w:rPr>
      <w:rFonts w:ascii="Times New Roman" w:hAnsi="Times New Roman" w:eastAsia="宋体" w:cs="Times New Roman"/>
      <w:sz w:val="21"/>
      <w:szCs w:val="20"/>
    </w:rPr>
  </w:style>
  <w:style w:type="paragraph" w:styleId="1066">
    <w:name w:val="Char Char Char Char"/>
    <w:basedOn w:val="912"/>
    <w:next w:val="1066"/>
    <w:link w:val="885"/>
    <w:pPr>
      <w:jc w:val="both"/>
      <w:spacing w:line="360" w:lineRule="auto"/>
      <w:widowControl w:val="off"/>
    </w:pPr>
    <w:rPr>
      <w:rFonts w:ascii="Calibri" w:hAnsi="Calibri" w:eastAsia="宋体" w:cs="Times New Roman"/>
      <w:szCs w:val="20"/>
    </w:rPr>
  </w:style>
  <w:style w:type="paragraph" w:styleId="1067">
    <w:name w:val=" Char Char Char1 Char Char Char Char"/>
    <w:basedOn w:val="885"/>
    <w:next w:val="1067"/>
    <w:link w:val="885"/>
    <w:pPr>
      <w:jc w:val="left"/>
      <w:spacing w:after="160" w:line="240" w:lineRule="exact"/>
      <w:widowControl/>
    </w:pPr>
    <w:rPr>
      <w:rFonts w:ascii="Times New Roman" w:hAnsi="Times New Roman" w:eastAsia="宋体" w:cs="Times New Roman"/>
    </w:rPr>
  </w:style>
  <w:style w:type="paragraph" w:styleId="1068">
    <w:name w:val="正文缩进111"/>
    <w:basedOn w:val="885"/>
    <w:next w:val="885"/>
    <w:link w:val="885"/>
    <w:qFormat/>
    <w:pPr>
      <w:ind w:firstLine="420"/>
    </w:pPr>
    <w:rPr>
      <w:rFonts w:ascii="Calibri" w:hAnsi="Calibri"/>
      <w:sz w:val="24"/>
    </w:rPr>
  </w:style>
  <w:style w:type="paragraph" w:styleId="1069">
    <w:name w:val="列表内容"/>
    <w:basedOn w:val="885"/>
    <w:next w:val="885"/>
    <w:link w:val="885"/>
    <w:pPr>
      <w:numPr>
        <w:ilvl w:val="0"/>
        <w:numId w:val="1"/>
      </w:numPr>
      <w:jc w:val="left"/>
      <w:widowControl/>
      <w:tabs>
        <w:tab w:val="left" w:pos="420" w:leader="none"/>
        <w:tab w:val="left" w:pos="840" w:leader="none"/>
      </w:tabs>
    </w:pPr>
    <w:rPr>
      <w:rFonts w:ascii="Times New Roman" w:hAnsi="Times New Roman" w:eastAsia="宋体" w:cs="Times New Roman"/>
      <w:sz w:val="18"/>
    </w:rPr>
  </w:style>
  <w:style w:type="paragraph" w:styleId="1070">
    <w:name w:val="Normal_2_0"/>
    <w:next w:val="1070"/>
    <w:link w:val="885"/>
    <w:qFormat/>
    <w:rPr>
      <w:rFonts w:eastAsia="Times New Roman"/>
      <w:sz w:val="24"/>
      <w:szCs w:val="24"/>
      <w:lang w:val="en-US" w:eastAsia="zh-CN" w:bidi="ar-SA"/>
    </w:rPr>
  </w:style>
  <w:style w:type="paragraph" w:styleId="1071">
    <w:name w:val="p25"/>
    <w:basedOn w:val="885"/>
    <w:next w:val="1071"/>
    <w:link w:val="885"/>
    <w:pPr>
      <w:jc w:val="left"/>
      <w:widowControl/>
    </w:pPr>
    <w:rPr>
      <w:rFonts w:ascii="Calibri" w:hAnsi="Calibri" w:eastAsia="宋体" w:cs="Times New Roman"/>
      <w:sz w:val="26"/>
      <w:szCs w:val="26"/>
    </w:rPr>
  </w:style>
  <w:style w:type="paragraph" w:styleId="1072">
    <w:name w:val="正文 New"/>
    <w:next w:val="1072"/>
    <w:link w:val="885"/>
    <w:pPr>
      <w:jc w:val="both"/>
      <w:widowControl w:val="off"/>
    </w:pPr>
    <w:rPr>
      <w:sz w:val="21"/>
      <w:szCs w:val="24"/>
      <w:lang w:val="en-US" w:eastAsia="zh-CN" w:bidi="ar-SA"/>
    </w:rPr>
  </w:style>
  <w:style w:type="paragraph" w:styleId="1073">
    <w:name w:val="List Paragraph1"/>
    <w:basedOn w:val="885"/>
    <w:next w:val="1073"/>
    <w:link w:val="885"/>
    <w:qFormat/>
    <w:pPr>
      <w:ind w:firstLine="420"/>
    </w:pPr>
    <w:rPr>
      <w:rFonts w:ascii="Calibri" w:hAnsi="Calibri" w:cs="Times New Roman"/>
      <w:sz w:val="28"/>
      <w:szCs w:val="28"/>
    </w:rPr>
  </w:style>
  <w:style w:type="paragraph" w:styleId="1074">
    <w:name w:val=" Char1"/>
    <w:basedOn w:val="885"/>
    <w:next w:val="1074"/>
    <w:link w:val="885"/>
    <w:rPr>
      <w:rFonts w:ascii="Tahoma" w:hAnsi="Tahoma" w:eastAsia="宋体" w:cs="Times New Roman"/>
      <w:szCs w:val="20"/>
    </w:rPr>
  </w:style>
  <w:style w:type="paragraph" w:styleId="1075">
    <w:name w:val="Char Char1"/>
    <w:basedOn w:val="885"/>
    <w:next w:val="1075"/>
    <w:link w:val="885"/>
    <w:pPr>
      <w:jc w:val="left"/>
      <w:spacing w:after="160" w:line="240" w:lineRule="exact"/>
      <w:widowControl/>
    </w:pPr>
    <w:rPr>
      <w:rFonts w:ascii="Verdana" w:hAnsi="Verdana" w:eastAsia="宋体" w:cs="Verdana"/>
      <w:sz w:val="20"/>
      <w:szCs w:val="20"/>
      <w:lang w:eastAsia="en-US"/>
    </w:rPr>
  </w:style>
  <w:style w:type="paragraph" w:styleId="1076">
    <w:name w:val="正文 A"/>
    <w:next w:val="1076"/>
    <w:link w:val="885"/>
    <w:pPr>
      <w:jc w:val="both"/>
      <w:widowControl w:val="off"/>
    </w:pPr>
    <w:rPr>
      <w:rFonts w:eastAsia="Arial Unicode MS" w:cs="Arial Unicode MS"/>
      <w:color w:val="000000"/>
      <w:sz w:val="21"/>
      <w:szCs w:val="21"/>
      <w:lang w:val="en-US" w:eastAsia="zh-CN" w:bidi="ar-SA"/>
    </w:rPr>
  </w:style>
  <w:style w:type="paragraph" w:styleId="1077">
    <w:name w:val=" Char Char Char Char Char Char Char Char Char1 Char"/>
    <w:basedOn w:val="912"/>
    <w:next w:val="1077"/>
    <w:link w:val="885"/>
    <w:pPr>
      <w:jc w:val="both"/>
      <w:spacing w:line="360" w:lineRule="auto"/>
      <w:widowControl w:val="off"/>
    </w:pPr>
    <w:rPr>
      <w:rFonts w:ascii="Tahoma" w:hAnsi="Tahoma" w:eastAsia="宋体" w:cs="Times New Roman"/>
    </w:rPr>
  </w:style>
  <w:style w:type="paragraph" w:styleId="1078">
    <w:name w:val="正文 New New"/>
    <w:next w:val="1078"/>
    <w:link w:val="885"/>
    <w:pPr>
      <w:jc w:val="both"/>
      <w:widowControl w:val="off"/>
    </w:pPr>
    <w:rPr>
      <w:sz w:val="21"/>
      <w:szCs w:val="24"/>
      <w:lang w:val="en-US" w:eastAsia="zh-CN" w:bidi="ar-SA"/>
    </w:rPr>
  </w:style>
  <w:style w:type="paragraph" w:styleId="1079">
    <w:name w:val="_Style 12"/>
    <w:basedOn w:val="912"/>
    <w:next w:val="1079"/>
    <w:link w:val="885"/>
    <w:pPr>
      <w:spacing w:line="360" w:lineRule="auto"/>
    </w:pPr>
    <w:rPr>
      <w:rFonts w:ascii="Calibri" w:hAnsi="Calibri" w:eastAsia="宋体" w:cs="Times New Roman"/>
    </w:rPr>
  </w:style>
  <w:style w:type="paragraph" w:styleId="1080">
    <w:name w:val="正文段"/>
    <w:basedOn w:val="885"/>
    <w:next w:val="1080"/>
    <w:link w:val="885"/>
    <w:pPr>
      <w:ind w:firstLine="454"/>
      <w:spacing w:after="240" w:line="240" w:lineRule="atLeast"/>
      <w:widowControl/>
    </w:pPr>
    <w:rPr>
      <w:rFonts w:ascii="Calibri" w:hAnsi="Times New Roman" w:eastAsia="宋体" w:cs="Times New Roman"/>
    </w:rPr>
  </w:style>
  <w:style w:type="paragraph" w:styleId="1081">
    <w:name w:val="SANGFOR_6_正文"/>
    <w:basedOn w:val="885"/>
    <w:next w:val="1081"/>
    <w:link w:val="885"/>
    <w:qFormat/>
    <w:pPr>
      <w:spacing w:line="360" w:lineRule="auto"/>
    </w:pPr>
    <w:rPr>
      <w:rFonts w:ascii="Heiti SC Light" w:hAnsi="Times New Roman" w:eastAsia="Heiti SC Light" w:cs="Times New Roman"/>
      <w:sz w:val="22"/>
    </w:rPr>
  </w:style>
  <w:style w:type="paragraph" w:styleId="1082">
    <w:name w:val="纯文本11"/>
    <w:basedOn w:val="885"/>
    <w:next w:val="1082"/>
    <w:link w:val="885"/>
    <w:pPr>
      <w:jc w:val="left"/>
      <w:widowControl/>
    </w:pPr>
    <w:rPr>
      <w:rFonts w:ascii="Calibri" w:hAnsi="Courier New" w:eastAsia="宋体" w:cs="Times New Roman"/>
      <w:sz w:val="26"/>
      <w:szCs w:val="22"/>
    </w:rPr>
  </w:style>
  <w:style w:type="paragraph" w:styleId="1083">
    <w:name w:val="NormalParagraphStyle"/>
    <w:basedOn w:val="885"/>
    <w:next w:val="1083"/>
    <w:link w:val="885"/>
    <w:pPr>
      <w:spacing w:line="288" w:lineRule="auto"/>
    </w:pPr>
    <w:rPr>
      <w:rFonts w:ascii="Calibri" w:hAnsi="Times New Roman" w:eastAsia="宋体" w:cs="Times New Roman"/>
      <w:color w:val="000000"/>
      <w:lang w:val="zh-CN"/>
    </w:rPr>
  </w:style>
  <w:style w:type="paragraph" w:styleId="1084">
    <w:name w:val="杨昂超式样黑体主"/>
    <w:basedOn w:val="885"/>
    <w:next w:val="1084"/>
    <w:link w:val="885"/>
    <w:rPr>
      <w:rFonts w:ascii="方正黑体简体" w:hAnsi="Times New Roman" w:eastAsia="方正黑体简体" w:cs="方正黑体简体"/>
    </w:rPr>
  </w:style>
  <w:style w:type="paragraph" w:styleId="1085">
    <w:name w:val="Item Step"/>
    <w:basedOn w:val="885"/>
    <w:next w:val="1085"/>
    <w:link w:val="885"/>
    <w:pPr>
      <w:ind w:left="1554" w:hanging="420"/>
      <w:jc w:val="left"/>
      <w:spacing w:after="50"/>
      <w:widowControl/>
      <w:tabs>
        <w:tab w:val="left" w:pos="1134" w:leader="none"/>
      </w:tabs>
    </w:pPr>
    <w:rPr>
      <w:rFonts w:ascii="Times New Roman" w:hAnsi="Times New Roman" w:eastAsia="宋体" w:cs="Times New Roman"/>
      <w:sz w:val="21"/>
    </w:rPr>
  </w:style>
  <w:style w:type="paragraph" w:styleId="1086">
    <w:name w:val="表格标题"/>
    <w:basedOn w:val="885"/>
    <w:next w:val="1086"/>
    <w:link w:val="885"/>
    <w:pPr>
      <w:jc w:val="center"/>
    </w:pPr>
    <w:rPr>
      <w:rFonts w:ascii="Calibri" w:hAnsi="Calibri" w:eastAsia="宋体" w:cs="Times New Roman"/>
      <w:b/>
      <w:bCs/>
      <w:color w:val="000000"/>
      <w:sz w:val="22"/>
      <w:szCs w:val="20"/>
    </w:rPr>
  </w:style>
  <w:style w:type="paragraph" w:styleId="1087">
    <w:name w:val="正文首行缩进 21"/>
    <w:basedOn w:val="1088"/>
    <w:next w:val="1056"/>
    <w:link w:val="885"/>
    <w:qFormat/>
    <w:pPr>
      <w:ind w:left="420" w:firstLine="420"/>
      <w:spacing w:after="120" w:line="240" w:lineRule="auto"/>
    </w:pPr>
    <w:rPr>
      <w:sz w:val="21"/>
      <w:szCs w:val="24"/>
    </w:rPr>
  </w:style>
  <w:style w:type="paragraph" w:styleId="1088">
    <w:name w:val="正文文本缩进11"/>
    <w:basedOn w:val="885"/>
    <w:next w:val="1060"/>
    <w:link w:val="885"/>
    <w:qFormat/>
    <w:pPr>
      <w:ind w:firstLine="420"/>
      <w:spacing w:line="360" w:lineRule="exact"/>
    </w:pPr>
    <w:rPr>
      <w:rFonts w:cs="Times New Roman"/>
    </w:rPr>
  </w:style>
  <w:style w:type="paragraph" w:styleId="1089">
    <w:name w:val="Char"/>
    <w:basedOn w:val="885"/>
    <w:next w:val="1089"/>
    <w:link w:val="885"/>
    <w:rPr>
      <w:rFonts w:ascii="Times New Roman" w:hAnsi="Times New Roman" w:eastAsia="宋体" w:cs="Times New Roman"/>
      <w:sz w:val="21"/>
      <w:szCs w:val="21"/>
    </w:rPr>
  </w:style>
  <w:style w:type="paragraph" w:styleId="1090">
    <w:name w:val="正文文本缩进1"/>
    <w:basedOn w:val="885"/>
    <w:next w:val="1090"/>
    <w:link w:val="885"/>
    <w:qFormat/>
    <w:pPr>
      <w:ind w:firstLine="645"/>
    </w:pPr>
    <w:rPr>
      <w:rFonts w:ascii="楷体_GB2312" w:hAnsi="宋体" w:eastAsia="楷体_GB2312" w:cs="宋体"/>
      <w:sz w:val="32"/>
      <w:szCs w:val="32"/>
    </w:rPr>
  </w:style>
  <w:style w:type="paragraph" w:styleId="1091">
    <w:name w:val="普通(网站)1"/>
    <w:basedOn w:val="885"/>
    <w:next w:val="1091"/>
    <w:link w:val="885"/>
    <w:uiPriority w:val="99"/>
    <w:qFormat/>
    <w:pPr>
      <w:jc w:val="left"/>
      <w:spacing w:before="100" w:beforeAutospacing="1" w:after="100" w:afterAutospacing="1"/>
      <w:widowControl/>
    </w:pPr>
    <w:rPr>
      <w:rFonts w:ascii="宋体" w:hAnsi="宋体"/>
      <w:sz w:val="24"/>
    </w:rPr>
  </w:style>
  <w:style w:type="paragraph" w:styleId="1092">
    <w:name w:val="p15"/>
    <w:basedOn w:val="885"/>
    <w:next w:val="1092"/>
    <w:link w:val="885"/>
    <w:pPr>
      <w:ind w:firstLine="420"/>
      <w:widowControl/>
    </w:pPr>
    <w:rPr>
      <w:rFonts w:ascii="Calibri" w:hAnsi="Calibri" w:eastAsia="宋体" w:cs="Calibri"/>
    </w:rPr>
  </w:style>
  <w:style w:type="paragraph" w:styleId="1093">
    <w:name w:val="正文 New New New New New New New New New New New New New New New New New New New New New New New New New New New New New New New New New New New"/>
    <w:next w:val="1093"/>
    <w:link w:val="885"/>
    <w:pPr>
      <w:jc w:val="both"/>
      <w:widowControl w:val="off"/>
    </w:pPr>
    <w:rPr>
      <w:sz w:val="21"/>
      <w:szCs w:val="22"/>
      <w:lang w:val="en-US" w:eastAsia="zh-CN" w:bidi="ar-SA"/>
    </w:rPr>
  </w:style>
  <w:style w:type="paragraph" w:styleId="1094">
    <w:name w:val=" Char Char Char"/>
    <w:basedOn w:val="885"/>
    <w:next w:val="1094"/>
    <w:link w:val="885"/>
    <w:pPr>
      <w:ind w:left="795" w:hanging="360"/>
      <w:tabs>
        <w:tab w:val="left" w:pos="795" w:leader="none"/>
      </w:tabs>
    </w:pPr>
    <w:rPr>
      <w:rFonts w:ascii="Times New Roman" w:hAnsi="Times New Roman" w:eastAsia="宋体" w:cs="Times New Roman"/>
    </w:rPr>
  </w:style>
  <w:style w:type="paragraph" w:styleId="1095">
    <w:name w:val="1"/>
    <w:basedOn w:val="912"/>
    <w:next w:val="1095"/>
    <w:link w:val="885"/>
    <w:pPr>
      <w:spacing w:line="360" w:lineRule="auto"/>
    </w:pPr>
    <w:rPr>
      <w:rFonts w:ascii="Calibri" w:hAnsi="Calibri" w:eastAsia="宋体" w:cs="Times New Roman"/>
    </w:rPr>
  </w:style>
  <w:style w:type="paragraph" w:styleId="1096">
    <w:name w:val="a1"/>
    <w:basedOn w:val="885"/>
    <w:next w:val="1096"/>
    <w:link w:val="885"/>
    <w:pPr>
      <w:jc w:val="left"/>
      <w:spacing w:before="100" w:beforeAutospacing="1" w:after="100" w:afterAutospacing="1"/>
      <w:widowControl/>
    </w:pPr>
    <w:rPr>
      <w:rFonts w:ascii="Calibri" w:hAnsi="Calibri" w:eastAsia="宋体" w:cs="Times New Roman"/>
    </w:rPr>
  </w:style>
  <w:style w:type="paragraph" w:styleId="1097">
    <w:name w:val="表身（左）"/>
    <w:next w:val="1097"/>
    <w:link w:val="885"/>
    <w:pPr>
      <w:spacing w:line="300" w:lineRule="auto"/>
    </w:pPr>
    <w:rPr>
      <w:sz w:val="16"/>
      <w:lang w:val="en-US" w:eastAsia="zh-CN" w:bidi="ar-SA"/>
    </w:rPr>
  </w:style>
  <w:style w:type="paragraph" w:styleId="1098">
    <w:name w:val="编号1"/>
    <w:basedOn w:val="885"/>
    <w:next w:val="1098"/>
    <w:link w:val="885"/>
    <w:pPr>
      <w:ind w:left="360" w:right="210" w:hanging="360"/>
      <w:tabs>
        <w:tab w:val="left" w:pos="360" w:leader="none"/>
      </w:tabs>
    </w:pPr>
    <w:rPr>
      <w:rFonts w:ascii="Calibri" w:hAnsi="Calibri" w:eastAsia="宋体" w:cs="Times New Roman"/>
      <w:spacing w:val="10"/>
      <w:sz w:val="21"/>
      <w:szCs w:val="21"/>
    </w:rPr>
  </w:style>
  <w:style w:type="paragraph" w:styleId="1099">
    <w:name w:val="Char1"/>
    <w:basedOn w:val="885"/>
    <w:next w:val="1099"/>
    <w:link w:val="885"/>
    <w:rPr>
      <w:rFonts w:ascii="Tahoma" w:hAnsi="Tahoma" w:eastAsia="宋体" w:cs="Times New Roman"/>
      <w:szCs w:val="20"/>
    </w:rPr>
  </w:style>
  <w:style w:type="paragraph" w:styleId="1100">
    <w:name w:val=" Char"/>
    <w:basedOn w:val="912"/>
    <w:next w:val="1100"/>
    <w:link w:val="885"/>
    <w:pPr>
      <w:jc w:val="both"/>
      <w:spacing w:line="360" w:lineRule="auto"/>
      <w:widowControl w:val="off"/>
    </w:pPr>
    <w:rPr>
      <w:rFonts w:ascii="Calibri" w:hAnsi="Calibri" w:eastAsia="宋体" w:cs="Times New Roman"/>
      <w:sz w:val="21"/>
    </w:rPr>
  </w:style>
  <w:style w:type="paragraph" w:styleId="1101">
    <w:name w:val="p17"/>
    <w:basedOn w:val="885"/>
    <w:next w:val="1101"/>
    <w:link w:val="885"/>
    <w:pPr>
      <w:ind w:firstLine="420"/>
      <w:jc w:val="left"/>
      <w:widowControl/>
    </w:pPr>
    <w:rPr>
      <w:rFonts w:ascii="Calibri" w:hAnsi="Calibri" w:eastAsia="宋体" w:cs="Times New Roman"/>
    </w:rPr>
  </w:style>
  <w:style w:type="paragraph" w:styleId="1102">
    <w:name w:val="正文 New New New New New New New New New New New New New New New12"/>
    <w:next w:val="1102"/>
    <w:link w:val="885"/>
    <w:qFormat/>
    <w:pPr>
      <w:jc w:val="both"/>
      <w:widowControl w:val="off"/>
    </w:pPr>
    <w:rPr>
      <w:sz w:val="21"/>
      <w:szCs w:val="24"/>
      <w:lang w:val="en-US" w:eastAsia="zh-CN" w:bidi="ar-SA"/>
    </w:rPr>
  </w:style>
  <w:style w:type="paragraph" w:styleId="1103">
    <w:name w:val="p0"/>
    <w:basedOn w:val="885"/>
    <w:next w:val="1103"/>
    <w:link w:val="885"/>
    <w:pPr>
      <w:widowControl/>
    </w:pPr>
    <w:rPr>
      <w:rFonts w:ascii="Times New Roman" w:hAnsi="Times New Roman" w:eastAsia="宋体" w:cs="Times New Roman"/>
      <w:sz w:val="21"/>
      <w:szCs w:val="21"/>
    </w:rPr>
  </w:style>
  <w:style w:type="paragraph" w:styleId="1104">
    <w:name w:val="正文 New New New New"/>
    <w:next w:val="1104"/>
    <w:link w:val="885"/>
    <w:pPr>
      <w:jc w:val="both"/>
      <w:widowControl w:val="off"/>
    </w:pPr>
    <w:rPr>
      <w:lang w:val="en-US" w:eastAsia="zh-CN" w:bidi="ar-SA"/>
    </w:rPr>
  </w:style>
  <w:style w:type="paragraph" w:styleId="1105">
    <w:name w:val="CM37"/>
    <w:basedOn w:val="885"/>
    <w:next w:val="885"/>
    <w:link w:val="885"/>
    <w:pPr>
      <w:jc w:val="left"/>
      <w:spacing w:after="533"/>
    </w:pPr>
    <w:rPr>
      <w:rFonts w:ascii="Calibri" w:hAnsi="Times New Roman" w:eastAsia="宋体" w:cs="Times New Roman"/>
    </w:rPr>
  </w:style>
  <w:style w:type="paragraph" w:styleId="1106">
    <w:name w:val="段"/>
    <w:next w:val="885"/>
    <w:link w:val="885"/>
    <w:qFormat/>
    <w:pPr>
      <w:ind w:firstLine="200"/>
      <w:jc w:val="both"/>
      <w:spacing w:line="360" w:lineRule="auto"/>
    </w:pPr>
    <w:rPr>
      <w:rFonts w:ascii="宋体"/>
      <w:sz w:val="24"/>
      <w:szCs w:val="22"/>
      <w:lang w:val="en-US" w:eastAsia="zh-CN" w:bidi="ar-SA"/>
    </w:rPr>
  </w:style>
  <w:style w:type="paragraph" w:styleId="1107">
    <w:name w:val="纯文本6"/>
    <w:basedOn w:val="885"/>
    <w:next w:val="1107"/>
    <w:link w:val="885"/>
    <w:qFormat/>
    <w:rPr>
      <w:rFonts w:hAnsi="Courier New" w:eastAsia="楷体_GB2312"/>
      <w:sz w:val="26"/>
    </w:rPr>
  </w:style>
  <w:style w:type="paragraph" w:styleId="1108">
    <w:name w:val="Table Paragraph"/>
    <w:basedOn w:val="885"/>
    <w:next w:val="1108"/>
    <w:link w:val="885"/>
    <w:uiPriority w:val="1"/>
    <w:qFormat/>
    <w:pPr>
      <w:jc w:val="left"/>
    </w:pPr>
    <w:rPr>
      <w:rFonts w:ascii="Calibri" w:hAnsi="Calibri" w:cs="Times New Roman"/>
      <w:sz w:val="22"/>
      <w:szCs w:val="22"/>
      <w:lang w:eastAsia="en-US"/>
    </w:rPr>
  </w:style>
  <w:style w:type="paragraph" w:styleId="1109">
    <w:name w:val="a2"/>
    <w:basedOn w:val="885"/>
    <w:next w:val="1109"/>
    <w:link w:val="885"/>
    <w:pPr>
      <w:jc w:val="left"/>
      <w:spacing w:before="100" w:beforeAutospacing="1" w:after="100" w:afterAutospacing="1"/>
      <w:widowControl/>
    </w:pPr>
    <w:rPr>
      <w:rFonts w:ascii="Calibri" w:hAnsi="Calibri" w:eastAsia="宋体" w:cs="Times New Roman"/>
    </w:rPr>
  </w:style>
  <w:style w:type="paragraph" w:styleId="1110">
    <w:name w:val="样式 首行缩进:  1.48 厘米"/>
    <w:basedOn w:val="885"/>
    <w:next w:val="1110"/>
    <w:link w:val="885"/>
    <w:pPr>
      <w:ind w:firstLine="200"/>
      <w:spacing w:line="288" w:lineRule="auto"/>
    </w:pPr>
    <w:rPr>
      <w:rFonts w:ascii="Calibri" w:hAnsi="Times New Roman" w:eastAsia="宋体" w:cs="Times New Roman"/>
      <w:color w:val="000000"/>
      <w:sz w:val="21"/>
      <w:szCs w:val="20"/>
      <w:lang w:val="zh-CN"/>
    </w:rPr>
  </w:style>
  <w:style w:type="paragraph" w:styleId="1111">
    <w:name w:val="Char Char"/>
    <w:basedOn w:val="885"/>
    <w:next w:val="1111"/>
    <w:link w:val="885"/>
    <w:rPr>
      <w:rFonts w:ascii="Times New Roman" w:hAnsi="Times New Roman" w:eastAsia="宋体" w:cs="Times New Roman"/>
      <w:sz w:val="21"/>
      <w:szCs w:val="21"/>
    </w:rPr>
  </w:style>
  <w:style w:type="paragraph" w:styleId="1112">
    <w:name w:val="List Paragraph"/>
    <w:basedOn w:val="885"/>
    <w:next w:val="1112"/>
    <w:link w:val="885"/>
    <w:pPr>
      <w:ind w:firstLine="420"/>
    </w:pPr>
    <w:rPr>
      <w:rFonts w:ascii="Calibri" w:hAnsi="Calibri" w:eastAsia="宋体" w:cs="Times New Roman"/>
      <w:sz w:val="21"/>
      <w:szCs w:val="22"/>
    </w:rPr>
  </w:style>
  <w:style w:type="paragraph" w:styleId="1113">
    <w:name w:val="_Style 2"/>
    <w:basedOn w:val="885"/>
    <w:next w:val="1113"/>
    <w:link w:val="885"/>
    <w:pPr>
      <w:ind w:firstLine="420"/>
      <w:jc w:val="left"/>
      <w:widowControl/>
    </w:pPr>
    <w:rPr>
      <w:rFonts w:ascii="Calibri" w:hAnsi="Calibri" w:eastAsia="宋体" w:cs="Times New Roman"/>
      <w:sz w:val="34"/>
      <w:szCs w:val="20"/>
    </w:rPr>
  </w:style>
  <w:style w:type="table" w:styleId="1114">
    <w:name w:val="Table Normal"/>
    <w:next w:val="1114"/>
    <w:link w:val="885"/>
    <w:rPr>
      <w:lang w:val="en-US" w:eastAsia="zh-CN" w:bidi="ar-SA"/>
    </w:rPr>
    <w:tblPr/>
  </w:style>
  <w:style w:type="character" w:styleId="1115" w:default="1">
    <w:name w:val="Default Paragraph Font"/>
    <w:uiPriority w:val="1"/>
    <w:semiHidden/>
    <w:unhideWhenUsed/>
  </w:style>
  <w:style w:type="numbering" w:styleId="1116" w:default="1">
    <w:name w:val="No List"/>
    <w:uiPriority w:val="99"/>
    <w:semiHidden/>
    <w:unhideWhenUsed/>
  </w:style>
  <w:style w:type="table" w:styleId="11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f</dc:creator>
  <cp:lastModifiedBy>朱思薇</cp:lastModifiedBy>
  <cp:revision>4</cp:revision>
  <dcterms:created xsi:type="dcterms:W3CDTF">2021-10-31T17:06:00Z</dcterms:created>
  <dcterms:modified xsi:type="dcterms:W3CDTF">2026-05-25T06:07:37Z</dcterms:modified>
</cp:coreProperties>
</file>