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1840" w:hanging="18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前黄镇路灯维护项目（三年期）</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宋体" w:hAnsi="宋体"/>
          <w:bCs/>
          <w:sz w:val="36"/>
          <w:szCs w:val="36"/>
        </w:rPr>
        <w:t xml:space="preserve">JSZC-320412-CZMJ-G2026-0006</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常州市武进区前黄镇人民政府</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w:t>
      </w:r>
      <w:r>
        <w:rPr>
          <w:rFonts w:hint="eastAsia"/>
          <w:bCs/>
          <w:sz w:val="36"/>
          <w:szCs w:val="36"/>
        </w:rPr>
        <w:t xml:space="preserve">六</w:t>
      </w:r>
      <w:r>
        <w:rPr>
          <w:rFonts w:hint="eastAsia"/>
          <w:bCs/>
          <w:sz w:val="36"/>
          <w:szCs w:val="36"/>
        </w:rPr>
        <w:t xml:space="preserve">年</w:t>
      </w:r>
      <w:r>
        <w:rPr>
          <w:rFonts w:hint="eastAsia"/>
          <w:bCs/>
          <w:sz w:val="36"/>
          <w:szCs w:val="36"/>
        </w:rPr>
        <w:t xml:space="preserve">五</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139400505"/>
      <w:r/>
      <w:bookmarkStart w:id="1" w:name="_Toc99301418"/>
      <w:r/>
      <w:bookmarkStart w:id="2" w:name="_Toc140257871"/>
      <w:r/>
      <w:bookmarkStart w:id="3" w:name="_Toc163804578"/>
      <w:r/>
      <w:bookmarkStart w:id="4" w:name="_Toc139400573"/>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224"/>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224"/>
        <w:rPr>
          <w:rFonts w:hint="eastAsia" w:ascii="等线" w:hAnsi="等线" w:eastAsia="等线"/>
          <w:b w:val="0"/>
          <w:sz w:val="21"/>
          <w:szCs w:val="22"/>
        </w:rPr>
      </w:pPr>
      <w:r/>
      <w:hyperlink w:tooltip="#_Toc163804579" w:anchor="_Toc163804579" w:history="1">
        <w:r>
          <w:rPr>
            <w:rStyle w:val="1177"/>
          </w:rPr>
          <w:t xml:space="preserve">第一章   投标邀请</w:t>
        </w:r>
        <w:r>
          <w:tab/>
        </w:r>
        <w:r>
          <w:fldChar w:fldCharType="begin"/>
        </w:r>
        <w:r>
          <w:instrText xml:space="preserve"> PAGEREF _Toc163804579 \h </w:instrText>
        </w:r>
        <w:r/>
        <w:r>
          <w:fldChar w:fldCharType="separate"/>
        </w:r>
        <w:r>
          <w:rPr>
            <w:rFonts w:hint="eastAsia"/>
          </w:rPr>
          <w:t xml:space="preserve">3</w:t>
        </w:r>
        <w:r>
          <w:fldChar w:fldCharType="end"/>
        </w:r>
      </w:hyperlink>
      <w:r/>
      <w:r/>
    </w:p>
    <w:p>
      <w:pPr>
        <w:pStyle w:val="1224"/>
        <w:rPr>
          <w:rFonts w:hint="eastAsia" w:ascii="等线" w:hAnsi="等线" w:eastAsia="等线"/>
          <w:b w:val="0"/>
          <w:sz w:val="21"/>
          <w:szCs w:val="22"/>
        </w:rPr>
      </w:pPr>
      <w:r/>
      <w:hyperlink w:tooltip="#_Toc163804580" w:anchor="_Toc163804580" w:history="1">
        <w:r>
          <w:rPr>
            <w:rStyle w:val="1177"/>
          </w:rPr>
          <w:t xml:space="preserve">第二章   投标人须知</w:t>
        </w:r>
        <w:r>
          <w:tab/>
        </w:r>
        <w:r>
          <w:fldChar w:fldCharType="begin"/>
        </w:r>
        <w:r>
          <w:instrText xml:space="preserve"> PAGEREF _Toc163804580 \h </w:instrText>
        </w:r>
        <w:r/>
        <w:r>
          <w:fldChar w:fldCharType="separate"/>
        </w:r>
        <w:r>
          <w:rPr>
            <w:rFonts w:hint="eastAsia"/>
          </w:rPr>
          <w:t xml:space="preserve">7</w:t>
        </w:r>
        <w:r>
          <w:fldChar w:fldCharType="end"/>
        </w:r>
      </w:hyperlink>
      <w:r/>
      <w:r/>
    </w:p>
    <w:p>
      <w:pPr>
        <w:pStyle w:val="1224"/>
        <w:rPr>
          <w:rFonts w:hint="eastAsia" w:ascii="等线" w:hAnsi="等线" w:eastAsia="等线"/>
          <w:b w:val="0"/>
          <w:sz w:val="21"/>
          <w:szCs w:val="22"/>
        </w:rPr>
      </w:pPr>
      <w:r/>
      <w:hyperlink w:tooltip="#_Toc163804581" w:anchor="_Toc163804581" w:history="1">
        <w:r>
          <w:rPr>
            <w:rStyle w:val="1177"/>
          </w:rPr>
          <w:t xml:space="preserve">第三章   资格审查</w:t>
        </w:r>
        <w:r>
          <w:tab/>
        </w:r>
        <w:r>
          <w:fldChar w:fldCharType="begin"/>
        </w:r>
        <w:r>
          <w:instrText xml:space="preserve"> PAGEREF _Toc163804581 \h </w:instrText>
        </w:r>
        <w:r/>
        <w:r>
          <w:fldChar w:fldCharType="separate"/>
        </w:r>
        <w:r>
          <w:rPr>
            <w:rFonts w:hint="eastAsia"/>
          </w:rPr>
          <w:t xml:space="preserve">23</w:t>
        </w:r>
        <w:r>
          <w:fldChar w:fldCharType="end"/>
        </w:r>
      </w:hyperlink>
      <w:r/>
      <w:r/>
    </w:p>
    <w:p>
      <w:pPr>
        <w:pStyle w:val="1224"/>
        <w:rPr>
          <w:rFonts w:hint="eastAsia" w:ascii="等线" w:hAnsi="等线" w:eastAsia="等线"/>
          <w:b w:val="0"/>
          <w:sz w:val="21"/>
          <w:szCs w:val="22"/>
        </w:rPr>
      </w:pPr>
      <w:r/>
      <w:hyperlink w:tooltip="#_Toc163804582" w:anchor="_Toc163804582" w:history="1">
        <w:r>
          <w:rPr>
            <w:rStyle w:val="1177"/>
          </w:rPr>
          <w:t xml:space="preserve">第四章   评标程序、评标方法和评标标准</w:t>
        </w:r>
        <w:r>
          <w:tab/>
        </w:r>
        <w:r>
          <w:fldChar w:fldCharType="begin"/>
        </w:r>
        <w:r>
          <w:instrText xml:space="preserve"> PAGEREF _Toc163804582 \h </w:instrText>
        </w:r>
        <w:r/>
        <w:r>
          <w:fldChar w:fldCharType="separate"/>
        </w:r>
        <w:r>
          <w:rPr>
            <w:rFonts w:hint="eastAsia"/>
          </w:rPr>
          <w:t xml:space="preserve">25</w:t>
        </w:r>
        <w:r>
          <w:fldChar w:fldCharType="end"/>
        </w:r>
      </w:hyperlink>
      <w:r/>
      <w:r/>
    </w:p>
    <w:p>
      <w:pPr>
        <w:pStyle w:val="1224"/>
        <w:rPr>
          <w:rFonts w:hint="eastAsia" w:ascii="等线" w:hAnsi="等线" w:eastAsia="等线"/>
          <w:b w:val="0"/>
          <w:sz w:val="21"/>
          <w:szCs w:val="22"/>
        </w:rPr>
      </w:pPr>
      <w:r/>
      <w:hyperlink w:tooltip="#_Toc163804583" w:anchor="_Toc163804583" w:history="1">
        <w:r>
          <w:rPr>
            <w:rStyle w:val="1177"/>
          </w:rPr>
          <w:t xml:space="preserve">第五章   采购需求</w:t>
        </w:r>
        <w:r>
          <w:tab/>
        </w:r>
        <w:r>
          <w:fldChar w:fldCharType="begin"/>
        </w:r>
        <w:r>
          <w:instrText xml:space="preserve"> PAGEREF _Toc163804583 \h </w:instrText>
        </w:r>
        <w:r/>
        <w:r>
          <w:fldChar w:fldCharType="separate"/>
        </w:r>
        <w:r>
          <w:rPr>
            <w:rFonts w:hint="eastAsia"/>
          </w:rPr>
          <w:t xml:space="preserve">36</w:t>
        </w:r>
        <w:r>
          <w:fldChar w:fldCharType="end"/>
        </w:r>
      </w:hyperlink>
      <w:r/>
      <w:r/>
    </w:p>
    <w:p>
      <w:pPr>
        <w:pStyle w:val="1224"/>
        <w:rPr>
          <w:rFonts w:hint="eastAsia" w:ascii="等线" w:hAnsi="等线" w:eastAsia="等线"/>
          <w:b w:val="0"/>
          <w:sz w:val="21"/>
          <w:szCs w:val="22"/>
        </w:rPr>
      </w:pPr>
      <w:r/>
      <w:hyperlink w:tooltip="#_Toc163804584" w:anchor="_Toc163804584" w:history="1">
        <w:r>
          <w:rPr>
            <w:rStyle w:val="1177"/>
          </w:rPr>
          <w:t xml:space="preserve">第六章   拟签订的合同文本</w:t>
        </w:r>
        <w:r>
          <w:tab/>
        </w:r>
        <w:r>
          <w:fldChar w:fldCharType="begin"/>
        </w:r>
        <w:r>
          <w:instrText xml:space="preserve"> PAGEREF _Toc163804584 \h </w:instrText>
        </w:r>
        <w:r/>
        <w:r>
          <w:fldChar w:fldCharType="separate"/>
        </w:r>
        <w:r>
          <w:rPr>
            <w:rFonts w:hint="eastAsia"/>
          </w:rPr>
          <w:t xml:space="preserve">52</w:t>
        </w:r>
        <w:r>
          <w:fldChar w:fldCharType="end"/>
        </w:r>
      </w:hyperlink>
      <w:r/>
      <w:r/>
    </w:p>
    <w:p>
      <w:pPr>
        <w:pStyle w:val="1224"/>
        <w:rPr>
          <w:rFonts w:hint="eastAsia" w:ascii="等线" w:hAnsi="等线" w:eastAsia="等线"/>
          <w:b w:val="0"/>
          <w:sz w:val="21"/>
          <w:szCs w:val="22"/>
        </w:rPr>
      </w:pPr>
      <w:r/>
      <w:hyperlink w:tooltip="#_Toc163804585" w:anchor="_Toc163804585" w:history="1">
        <w:r>
          <w:rPr>
            <w:rStyle w:val="1177"/>
          </w:rPr>
          <w:t xml:space="preserve">第七章   投标文件的组成及提交须知</w:t>
        </w:r>
        <w:r>
          <w:tab/>
        </w:r>
        <w:r>
          <w:fldChar w:fldCharType="begin"/>
        </w:r>
        <w:r>
          <w:instrText xml:space="preserve"> PAGEREF _Toc163804585 \h </w:instrText>
        </w:r>
        <w:r/>
        <w:r>
          <w:fldChar w:fldCharType="separate"/>
        </w:r>
        <w:r>
          <w:rPr>
            <w:rFonts w:hint="eastAsia"/>
          </w:rPr>
          <w:t xml:space="preserve">58</w:t>
        </w:r>
        <w:r>
          <w:fldChar w:fldCharType="end"/>
        </w:r>
      </w:hyperlink>
      <w:r/>
      <w:r/>
    </w:p>
    <w:p>
      <w:pPr>
        <w:pStyle w:val="1224"/>
        <w:rPr>
          <w:rFonts w:hint="eastAsia" w:ascii="等线" w:hAnsi="等线" w:eastAsia="等线"/>
          <w:b w:val="0"/>
          <w:sz w:val="21"/>
          <w:szCs w:val="22"/>
        </w:rPr>
      </w:pPr>
      <w:r/>
      <w:hyperlink w:tooltip="#_Toc163804591" w:anchor="_Toc163804591" w:history="1">
        <w:r>
          <w:rPr>
            <w:rStyle w:val="1177"/>
          </w:rPr>
          <w:t xml:space="preserve">第八章   投标文件格式</w:t>
        </w:r>
        <w:r>
          <w:tab/>
        </w:r>
        <w:r>
          <w:fldChar w:fldCharType="begin"/>
        </w:r>
        <w:r>
          <w:instrText xml:space="preserve"> PAGEREF _Toc163804591 \h </w:instrText>
        </w:r>
        <w:r/>
        <w:r>
          <w:fldChar w:fldCharType="separate"/>
        </w:r>
        <w:r>
          <w:rPr>
            <w:rFonts w:hint="eastAsia"/>
          </w:rPr>
          <w:t xml:space="preserve">59</w:t>
        </w:r>
        <w:r>
          <w:fldChar w:fldCharType="end"/>
        </w:r>
      </w:hyperlink>
      <w:r/>
      <w:r/>
    </w:p>
    <w:p>
      <w:pPr>
        <w:pStyle w:val="1224"/>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5" w:name="_Toc163804579"/>
      <w:r/>
      <w:bookmarkStart w:id="6" w:name="_Toc140257872"/>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常州市武进区前黄镇人民政府</w:t>
      </w:r>
      <w:r>
        <w:rPr>
          <w:rFonts w:hint="eastAsia"/>
          <w:sz w:val="24"/>
        </w:rPr>
        <w:t xml:space="preserve">的</w:t>
      </w:r>
      <w:r>
        <w:rPr>
          <w:rFonts w:hint="eastAsia"/>
          <w:sz w:val="24"/>
        </w:rPr>
        <w:t xml:space="preserve">前黄镇路灯维护项目（三年期）</w:t>
      </w:r>
      <w:r>
        <w:rPr>
          <w:rFonts w:hint="eastAsia"/>
          <w:sz w:val="24"/>
        </w:rPr>
        <w:t xml:space="preserve">的潜在投标人应在“苏</w:t>
      </w:r>
      <w:r>
        <w:rPr>
          <w:rFonts w:hint="eastAsia"/>
          <w:sz w:val="24"/>
        </w:rPr>
        <w:t xml:space="preserve">采云</w:t>
      </w:r>
      <w:r>
        <w:rPr>
          <w:rFonts w:hint="eastAsia"/>
          <w:sz w:val="24"/>
        </w:rPr>
        <w:t xml:space="preserve">”政府采购一体化平台获取招标文件，并于</w:t>
      </w:r>
      <w:r>
        <w:rPr>
          <w:sz w:val="24"/>
        </w:rPr>
        <w:t xml:space="preserve">202</w:t>
      </w:r>
      <w:r>
        <w:rPr>
          <w:rFonts w:hint="eastAsia"/>
          <w:sz w:val="24"/>
        </w:rPr>
        <w:t xml:space="preserve">6</w:t>
      </w:r>
      <w:r>
        <w:rPr>
          <w:sz w:val="24"/>
        </w:rPr>
        <w:t xml:space="preserve">年</w:t>
      </w:r>
      <w:r>
        <w:rPr>
          <w:rFonts w:hint="eastAsia"/>
          <w:sz w:val="24"/>
        </w:rPr>
        <w:t xml:space="preserve">5</w:t>
      </w:r>
      <w:r>
        <w:rPr>
          <w:sz w:val="24"/>
        </w:rPr>
        <w:t xml:space="preserve">月</w:t>
      </w:r>
      <w:r>
        <w:rPr>
          <w:rFonts w:hint="eastAsia"/>
          <w:sz w:val="24"/>
        </w:rPr>
        <w:t xml:space="preserve">28</w:t>
      </w:r>
      <w:r>
        <w:rPr>
          <w:sz w:val="24"/>
        </w:rPr>
        <w:t xml:space="preserve">日</w:t>
      </w:r>
      <w:r>
        <w:rPr>
          <w:rFonts w:hint="eastAsia"/>
          <w:sz w:val="24"/>
        </w:rPr>
        <w:t xml:space="preserve">14</w:t>
      </w:r>
      <w:r>
        <w:rPr>
          <w:sz w:val="24"/>
        </w:rPr>
        <w:t xml:space="preserve">点</w:t>
      </w:r>
      <w:r>
        <w:rPr>
          <w:rFonts w:hint="eastAsia"/>
          <w:sz w:val="24"/>
        </w:rPr>
        <w:t xml:space="preserve">0</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1012"/>
        <w:jc w:val="left"/>
        <w:spacing w:before="0" w:line="360" w:lineRule="auto"/>
        <w:rPr>
          <w:rFonts w:ascii="Times New Roman" w:hAnsi="Times New Roman" w:eastAsia="宋体"/>
          <w:sz w:val="24"/>
          <w:szCs w:val="24"/>
        </w:rPr>
      </w:pPr>
      <w:r/>
      <w:bookmarkStart w:id="7" w:name="_Toc35393790"/>
      <w:r/>
      <w:bookmarkStart w:id="8" w:name="_Toc35393621"/>
      <w:r/>
      <w:bookmarkStart w:id="9" w:name="_Toc28359079"/>
      <w:r/>
      <w:bookmarkStart w:id="10" w:name="_Toc28359002"/>
      <w:r/>
      <w:bookmarkStart w:id="11" w:name="_Hlk24379207"/>
      <w:r>
        <w:rPr>
          <w:rFonts w:ascii="Times New Roman" w:hAnsi="Times New Roman" w:eastAsia="宋体"/>
          <w:sz w:val="24"/>
          <w:szCs w:val="24"/>
        </w:rPr>
        <w:t xml:space="preserve">一、项目基本情况</w:t>
      </w:r>
      <w:bookmarkEnd w:id="7"/>
      <w:r/>
      <w:bookmarkEnd w:id="8"/>
      <w:r/>
      <w:bookmarkEnd w:id="9"/>
      <w:r/>
      <w:bookmarkEnd w:id="10"/>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JSZC-320412-CZMJ-G2026-0006</w:t>
      </w:r>
      <w:r/>
    </w:p>
    <w:p>
      <w:pPr>
        <w:ind w:firstLine="480"/>
        <w:spacing w:line="360" w:lineRule="auto"/>
        <w:rPr>
          <w:sz w:val="24"/>
        </w:rPr>
      </w:pPr>
      <w:r>
        <w:rPr>
          <w:sz w:val="24"/>
        </w:rPr>
        <w:t xml:space="preserve">2.</w:t>
      </w:r>
      <w:r>
        <w:rPr>
          <w:sz w:val="24"/>
        </w:rPr>
        <w:t xml:space="preserve">项目名称：</w:t>
      </w:r>
      <w:r>
        <w:rPr>
          <w:rFonts w:hint="eastAsia"/>
          <w:sz w:val="24"/>
        </w:rPr>
        <w:t xml:space="preserve">前黄镇路灯维护项目（三年期）</w:t>
      </w:r>
      <w:bookmarkEnd w:id="11"/>
      <w:r/>
      <w:r/>
    </w:p>
    <w:p>
      <w:pPr>
        <w:ind w:firstLine="480"/>
        <w:spacing w:line="360" w:lineRule="auto"/>
        <w:rPr>
          <w:sz w:val="24"/>
        </w:rPr>
      </w:pPr>
      <w:r>
        <w:rPr>
          <w:sz w:val="24"/>
        </w:rPr>
        <w:t xml:space="preserve">3.</w:t>
      </w:r>
      <w:r>
        <w:rPr>
          <w:sz w:val="24"/>
        </w:rPr>
        <w:t xml:space="preserve">项目预算金额：</w:t>
      </w:r>
      <w:r>
        <w:rPr>
          <w:rFonts w:hint="eastAsia"/>
          <w:sz w:val="24"/>
        </w:rPr>
        <w:t xml:space="preserve">135</w:t>
      </w:r>
      <w:r>
        <w:rPr>
          <w:rFonts w:hint="eastAsia"/>
          <w:sz w:val="24"/>
        </w:rPr>
        <w:t xml:space="preserve">万元</w:t>
      </w:r>
      <w:r>
        <w:rPr>
          <w:rFonts w:hint="eastAsia"/>
          <w:sz w:val="24"/>
        </w:rPr>
        <w:t xml:space="preserve">（即</w:t>
      </w:r>
      <w:r>
        <w:rPr>
          <w:rFonts w:hint="eastAsia"/>
          <w:sz w:val="24"/>
        </w:rPr>
        <w:t xml:space="preserve">45</w:t>
      </w:r>
      <w:r>
        <w:rPr>
          <w:rFonts w:hint="eastAsia"/>
          <w:sz w:val="24"/>
        </w:rPr>
        <w:t xml:space="preserve">万元</w:t>
      </w:r>
      <w:r>
        <w:rPr>
          <w:rFonts w:hint="eastAsia"/>
          <w:sz w:val="24"/>
        </w:rPr>
        <w:t xml:space="preserve">/</w:t>
      </w:r>
      <w:r>
        <w:rPr>
          <w:rFonts w:hint="eastAsia"/>
          <w:sz w:val="24"/>
        </w:rPr>
        <w:t xml:space="preserve">年）。</w:t>
      </w:r>
      <w:r>
        <w:rPr>
          <w:sz w:val="24"/>
        </w:rPr>
        <w:t xml:space="preserve">项目最高限价：</w:t>
      </w:r>
      <w:r>
        <w:rPr>
          <w:rFonts w:hint="eastAsia"/>
          <w:sz w:val="24"/>
        </w:rPr>
        <w:t xml:space="preserve">本项目按优惠率报价，优惠率≥</w:t>
      </w:r>
      <w:r>
        <w:rPr>
          <w:rFonts w:hint="eastAsia"/>
          <w:sz w:val="24"/>
        </w:rPr>
        <w:t xml:space="preserve">10%</w:t>
      </w:r>
      <w:r>
        <w:rPr>
          <w:rFonts w:hint="eastAsia"/>
          <w:sz w:val="24"/>
        </w:rPr>
        <w:t xml:space="preserve">。</w:t>
      </w:r>
      <w:r/>
    </w:p>
    <w:p>
      <w:pPr>
        <w:ind w:firstLine="480"/>
        <w:spacing w:line="360" w:lineRule="auto"/>
        <w:rPr>
          <w:sz w:val="24"/>
        </w:rPr>
      </w:pPr>
      <w:r>
        <w:rPr>
          <w:sz w:val="24"/>
        </w:rPr>
        <w:t xml:space="preserve">4.</w:t>
      </w:r>
      <w:r>
        <w:rPr>
          <w:sz w:val="24"/>
        </w:rPr>
        <w:t xml:space="preserve">采购需求：</w:t>
      </w:r>
      <w:r/>
    </w:p>
    <w:tbl>
      <w:tblPr>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6"/>
        <w:gridCol w:w="2205"/>
        <w:gridCol w:w="1441"/>
        <w:gridCol w:w="1463"/>
        <w:gridCol w:w="926"/>
        <w:gridCol w:w="2538"/>
      </w:tblGrid>
      <w:tr>
        <w:trPr>
          <w:jc w:val="center"/>
          <w:trHeight w:val="1033"/>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rPr>
                <w:bCs/>
                <w:szCs w:val="21"/>
              </w:rPr>
            </w:pPr>
            <w:r>
              <w:rPr>
                <w:bCs/>
                <w:szCs w:val="21"/>
              </w:rPr>
              <w:t xml:space="preserve">包号</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rPr>
                <w:bCs/>
                <w:szCs w:val="21"/>
              </w:rPr>
            </w:pPr>
            <w:r>
              <w:rPr>
                <w:bCs/>
                <w:szCs w:val="21"/>
              </w:rPr>
              <w:t xml:space="preserve">采购</w:t>
            </w:r>
            <w:r>
              <w:rPr>
                <w:bCs/>
                <w:szCs w:val="21"/>
              </w:rPr>
              <w:t xml:space="preserve">包预算</w:t>
            </w:r>
            <w:r>
              <w:rPr>
                <w:bCs/>
                <w:szCs w:val="21"/>
              </w:rPr>
              <w:t xml:space="preserve">金额</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bCs/>
                <w:szCs w:val="21"/>
              </w:rPr>
            </w:pPr>
            <w:r>
              <w:rPr>
                <w:rFonts w:hint="eastAsia"/>
                <w:bCs/>
                <w:szCs w:val="21"/>
              </w:rPr>
              <w:t xml:space="preserve">最</w:t>
            </w:r>
            <w:r>
              <w:rPr>
                <w:rFonts w:hint="eastAsia"/>
                <w:bCs/>
                <w:szCs w:val="21"/>
              </w:rPr>
              <w:t xml:space="preserve">低优惠率</w:t>
            </w:r>
            <w:r/>
          </w:p>
          <w:p>
            <w:pPr>
              <w:jc w:val="center"/>
              <w:rPr>
                <w:bCs/>
                <w:szCs w:val="21"/>
              </w:rPr>
            </w:pPr>
            <w:r>
              <w:rPr>
                <w:rFonts w:hint="eastAsia"/>
                <w:bCs/>
                <w:szCs w:val="21"/>
              </w:rPr>
              <w:t xml:space="preserve">（</w:t>
            </w:r>
            <w:r>
              <w:rPr>
                <w:rFonts w:hint="eastAsia"/>
                <w:bCs/>
                <w:szCs w:val="21"/>
              </w:rPr>
              <w:t xml:space="preserve">%</w:t>
            </w:r>
            <w:r>
              <w:rPr>
                <w:rFonts w:hint="eastAsia"/>
                <w:bCs/>
                <w:szCs w:val="21"/>
              </w:rPr>
              <w:t xml:space="preserve">）</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center"/>
              <w:rPr>
                <w:szCs w:val="21"/>
              </w:rPr>
            </w:pPr>
            <w:r>
              <w:rPr>
                <w:szCs w:val="21"/>
              </w:rPr>
              <w:t xml:space="preserve">简要技术需求或服务要求</w:t>
            </w:r>
            <w:r/>
          </w:p>
        </w:tc>
      </w:tr>
      <w:tr>
        <w:trPr>
          <w:jc w:val="center"/>
          <w:trHeight w:val="1836"/>
        </w:trPr>
        <w:tc>
          <w:tcPr>
            <w:tcW w:w="400" w:type="pct"/>
            <w:vAlign w:val="center"/>
            <w:textDirection w:val="lrTb"/>
            <w:noWrap w:val="false"/>
          </w:tcPr>
          <w:p>
            <w:pPr>
              <w:jc w:val="center"/>
              <w:rPr>
                <w:bCs/>
                <w:szCs w:val="21"/>
              </w:rPr>
            </w:pPr>
            <w:r>
              <w:rPr>
                <w:bCs/>
                <w:szCs w:val="21"/>
              </w:rPr>
              <w:t xml:space="preserve">01</w:t>
            </w:r>
            <w:r/>
          </w:p>
        </w:tc>
        <w:tc>
          <w:tcPr>
            <w:tcW w:w="1183" w:type="pct"/>
            <w:vAlign w:val="center"/>
            <w:textDirection w:val="lrTb"/>
            <w:noWrap w:val="false"/>
          </w:tcPr>
          <w:p>
            <w:pPr>
              <w:jc w:val="center"/>
              <w:rPr>
                <w:bCs/>
                <w:szCs w:val="21"/>
              </w:rPr>
            </w:pPr>
            <w:r>
              <w:rPr>
                <w:rFonts w:hint="eastAsia"/>
                <w:bCs/>
                <w:szCs w:val="21"/>
              </w:rPr>
              <w:t xml:space="preserve">前黄镇路灯维护项目（三年期）</w:t>
            </w:r>
            <w:r/>
          </w:p>
        </w:tc>
        <w:tc>
          <w:tcPr>
            <w:tcW w:w="773" w:type="pct"/>
            <w:vAlign w:val="center"/>
            <w:textDirection w:val="lrTb"/>
            <w:noWrap w:val="false"/>
          </w:tcPr>
          <w:p>
            <w:pPr>
              <w:jc w:val="center"/>
              <w:rPr>
                <w:bCs/>
                <w:szCs w:val="21"/>
              </w:rPr>
            </w:pPr>
            <w:r>
              <w:rPr>
                <w:rFonts w:hint="eastAsia"/>
                <w:bCs/>
                <w:sz w:val="24"/>
              </w:rPr>
              <w:t xml:space="preserve">135</w:t>
            </w:r>
            <w:r/>
          </w:p>
        </w:tc>
        <w:tc>
          <w:tcPr>
            <w:tcW w:w="785" w:type="pct"/>
            <w:vAlign w:val="center"/>
            <w:textDirection w:val="lrTb"/>
            <w:noWrap w:val="false"/>
          </w:tcPr>
          <w:p>
            <w:pPr>
              <w:jc w:val="center"/>
              <w:rPr>
                <w:bCs/>
                <w:szCs w:val="21"/>
              </w:rPr>
            </w:pPr>
            <w:r>
              <w:rPr>
                <w:rFonts w:hint="eastAsia"/>
                <w:sz w:val="24"/>
              </w:rPr>
              <w:t xml:space="preserve">10</w:t>
            </w:r>
            <w:r/>
          </w:p>
        </w:tc>
        <w:tc>
          <w:tcPr>
            <w:tcW w:w="497" w:type="pct"/>
            <w:vAlign w:val="center"/>
            <w:textDirection w:val="lrTb"/>
            <w:noWrap w:val="false"/>
          </w:tcPr>
          <w:p>
            <w:pPr>
              <w:jc w:val="center"/>
              <w:rPr>
                <w:bCs/>
                <w:szCs w:val="21"/>
              </w:rPr>
            </w:pPr>
            <w:r>
              <w:rPr>
                <w:rFonts w:hint="eastAsia"/>
                <w:bCs/>
                <w:sz w:val="24"/>
              </w:rPr>
              <w:t xml:space="preserve">3</w:t>
            </w:r>
            <w:r>
              <w:rPr>
                <w:rFonts w:hint="eastAsia"/>
                <w:bCs/>
                <w:sz w:val="24"/>
              </w:rPr>
              <w:t xml:space="preserve">年</w:t>
            </w:r>
            <w:r/>
          </w:p>
        </w:tc>
        <w:tc>
          <w:tcPr>
            <w:tcW w:w="1363" w:type="pct"/>
            <w:vAlign w:val="center"/>
            <w:textDirection w:val="lrTb"/>
            <w:noWrap w:val="false"/>
          </w:tcPr>
          <w:p>
            <w:pPr>
              <w:jc w:val="left"/>
              <w:rPr>
                <w:bCs/>
                <w:szCs w:val="21"/>
              </w:rPr>
            </w:pPr>
            <w:r>
              <w:rPr>
                <w:rFonts w:hint="eastAsia"/>
                <w:bCs/>
                <w:szCs w:val="21"/>
              </w:rPr>
              <w:t xml:space="preserve">采购内容包括但不限于</w:t>
            </w:r>
            <w:r>
              <w:rPr>
                <w:bCs/>
                <w:szCs w:val="21"/>
              </w:rPr>
              <w:t xml:space="preserve">前黄镇路灯的道路照明设施日常巡查、维护、应急抢修及零星工程等</w:t>
            </w:r>
            <w:r/>
          </w:p>
        </w:tc>
      </w:tr>
    </w:tbl>
    <w:p>
      <w:pPr>
        <w:ind w:firstLine="480"/>
        <w:spacing w:line="360" w:lineRule="auto"/>
        <w:rPr>
          <w:sz w:val="24"/>
        </w:rPr>
      </w:pPr>
      <w:r>
        <w:rPr>
          <w:sz w:val="24"/>
        </w:rPr>
        <w:t xml:space="preserve">5</w:t>
      </w:r>
      <w:bookmarkStart w:id="12" w:name="_Hlk213664415"/>
      <w:r>
        <w:rPr>
          <w:sz w:val="24"/>
        </w:rPr>
        <w:t xml:space="preserve">.</w:t>
      </w:r>
      <w:r>
        <w:rPr>
          <w:sz w:val="24"/>
        </w:rPr>
        <w:t xml:space="preserve">合同履行期限</w:t>
      </w:r>
      <w:r>
        <w:rPr>
          <w:rFonts w:hint="eastAsia"/>
          <w:sz w:val="24"/>
        </w:rPr>
        <w:t xml:space="preserve">：</w:t>
      </w:r>
      <w:bookmarkStart w:id="13" w:name="_Hlk74249089"/>
      <w:r/>
      <w:bookmarkEnd w:id="12"/>
      <w:r>
        <w:rPr>
          <w:rFonts w:hint="eastAsia"/>
          <w:sz w:val="24"/>
        </w:rPr>
        <w:t xml:space="preserve">三年，合同一年一签，每年考核合格后续签下一年合同</w:t>
      </w:r>
      <w:r>
        <w:rPr>
          <w:rFonts w:hint="eastAsia"/>
          <w:sz w:val="24"/>
        </w:rPr>
        <w:t xml:space="preserve">。</w:t>
      </w:r>
      <w:bookmarkEnd w:id="13"/>
      <w:r/>
    </w:p>
    <w:p>
      <w:pPr>
        <w:ind w:firstLine="480"/>
        <w:spacing w:line="360" w:lineRule="auto"/>
        <w:rPr>
          <w:sz w:val="24"/>
        </w:rPr>
      </w:pPr>
      <w:r>
        <w:rPr>
          <w:sz w:val="24"/>
        </w:rPr>
        <w:t xml:space="preserve">6.</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1012"/>
        <w:jc w:val="left"/>
        <w:spacing w:before="0" w:line="360" w:lineRule="auto"/>
        <w:rPr>
          <w:rFonts w:ascii="Times New Roman" w:hAnsi="Times New Roman" w:eastAsia="宋体"/>
          <w:sz w:val="24"/>
          <w:szCs w:val="24"/>
        </w:rPr>
      </w:pPr>
      <w:r/>
      <w:bookmarkStart w:id="14" w:name="_Toc35393622"/>
      <w:r/>
      <w:bookmarkStart w:id="15" w:name="_Toc35393791"/>
      <w:r/>
      <w:bookmarkStart w:id="16" w:name="_Toc28359003"/>
      <w:r/>
      <w:bookmarkStart w:id="17" w:name="_Toc28359080"/>
      <w:r>
        <w:rPr>
          <w:rFonts w:ascii="Times New Roman" w:hAnsi="Times New Roman" w:eastAsia="宋体"/>
          <w:sz w:val="24"/>
          <w:szCs w:val="24"/>
        </w:rPr>
        <w:t xml:space="preserve">二、申请人的资格要求（须同时满足）</w:t>
      </w:r>
      <w:bookmarkEnd w:id="14"/>
      <w:r/>
      <w:bookmarkEnd w:id="15"/>
      <w:r/>
      <w:bookmarkEnd w:id="16"/>
      <w:r/>
      <w:bookmarkEnd w:id="17"/>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8" w:name="_Toc28359081"/>
      <w:r/>
      <w:bookmarkStart w:id="19"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w:t>
      </w:r>
      <w:r>
        <w:rPr>
          <w:sz w:val="24"/>
        </w:rPr>
        <w:t xml:space="preserve">不</w:t>
      </w:r>
      <w:r>
        <w:rPr>
          <w:sz w:val="24"/>
        </w:rPr>
        <w:t xml:space="preserve">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w:t>
      </w:r>
      <w:r>
        <w:rPr>
          <w:sz w:val="24"/>
        </w:rPr>
        <w:t xml:space="preserve">采购。即：提供的货物全部由符合政策要求的中小</w:t>
      </w:r>
      <w:r>
        <w:rPr>
          <w:sz w:val="24"/>
        </w:rPr>
        <w:t xml:space="preserve">/</w:t>
      </w:r>
      <w:r>
        <w:rPr>
          <w:sz w:val="24"/>
        </w:rPr>
        <w:t xml:space="preserve">小</w:t>
      </w:r>
      <w:r>
        <w:rPr>
          <w:sz w:val="24"/>
        </w:rPr>
        <w:t xml:space="preserve">微企业</w:t>
      </w:r>
      <w:r>
        <w:rPr>
          <w:sz w:val="24"/>
        </w:rPr>
        <w:t xml:space="preserve">制造、服务全部由符合政策要求的中小</w:t>
      </w:r>
      <w:r>
        <w:rPr>
          <w:sz w:val="24"/>
        </w:rPr>
        <w:t xml:space="preserve">/</w:t>
      </w:r>
      <w:r>
        <w:rPr>
          <w:sz w:val="24"/>
        </w:rPr>
        <w:t xml:space="preserve">小</w:t>
      </w:r>
      <w:r>
        <w:rPr>
          <w:sz w:val="24"/>
        </w:rPr>
        <w:t xml:space="preserve">微企业</w:t>
      </w:r>
      <w:r>
        <w:rPr>
          <w:sz w:val="24"/>
        </w:rPr>
        <w:t xml:space="preserve">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rPr>
      </w:pPr>
      <w:r>
        <w:rPr>
          <w:sz w:val="24"/>
        </w:rPr>
        <w:t xml:space="preserve">3.3</w:t>
      </w:r>
      <w:r>
        <w:rPr>
          <w:sz w:val="24"/>
        </w:rPr>
        <w:t xml:space="preserve">其他特定资格要求：</w:t>
      </w:r>
      <w:r>
        <w:rPr>
          <w:rFonts w:hint="eastAsia"/>
          <w:sz w:val="24"/>
        </w:rPr>
        <w:t xml:space="preserve">无。</w:t>
      </w:r>
      <w:r/>
    </w:p>
    <w:p>
      <w:pPr>
        <w:pStyle w:val="1012"/>
        <w:jc w:val="left"/>
        <w:spacing w:before="0" w:line="360" w:lineRule="auto"/>
        <w:widowControl/>
        <w:rPr>
          <w:rFonts w:ascii="Times New Roman" w:hAnsi="Times New Roman" w:eastAsia="宋体"/>
          <w:sz w:val="24"/>
          <w:szCs w:val="24"/>
        </w:rPr>
      </w:pPr>
      <w:r/>
      <w:bookmarkStart w:id="20" w:name="_Toc35393623"/>
      <w:r/>
      <w:bookmarkStart w:id="21" w:name="_Toc35393792"/>
      <w:r/>
      <w:bookmarkEnd w:id="18"/>
      <w:r/>
      <w:bookmarkEnd w:id="19"/>
      <w:r>
        <w:rPr>
          <w:rFonts w:ascii="Times New Roman" w:hAnsi="Times New Roman" w:eastAsia="宋体"/>
          <w:sz w:val="24"/>
          <w:szCs w:val="24"/>
        </w:rPr>
        <w:t xml:space="preserve">三、获取招标文件</w:t>
      </w:r>
      <w:bookmarkEnd w:id="20"/>
      <w:r/>
      <w:bookmarkEnd w:id="21"/>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5</w:t>
      </w:r>
      <w:r>
        <w:rPr>
          <w:sz w:val="24"/>
          <w:lang w:bidi="ar"/>
        </w:rPr>
        <w:t xml:space="preserve">月</w:t>
      </w:r>
      <w:r>
        <w:rPr>
          <w:rFonts w:hint="eastAsia"/>
          <w:sz w:val="24"/>
          <w:lang w:bidi="ar"/>
        </w:rPr>
        <w:t xml:space="preserve">13</w:t>
      </w:r>
      <w:r>
        <w:rPr>
          <w:sz w:val="24"/>
          <w:lang w:bidi="ar"/>
        </w:rPr>
        <w:t xml:space="preserve">日</w:t>
      </w:r>
      <w:r>
        <w:rPr>
          <w:rFonts w:hint="eastAsia"/>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w:t>
      </w:r>
      <w:r>
        <w:rPr>
          <w:rFonts w:hint="eastAsia" w:ascii="宋体" w:hAnsi="宋体" w:cs="宋体"/>
          <w:sz w:val="24"/>
        </w:rPr>
        <w:t xml:space="preserve">采云</w:t>
      </w:r>
      <w:r>
        <w:rPr>
          <w:rFonts w:hint="eastAsia" w:ascii="宋体" w:hAnsi="宋体" w:cs="宋体"/>
          <w:sz w:val="24"/>
        </w:rPr>
        <w:t xml:space="preserve">”政府采购一体化平台（http://jszfcg.jsczt.cn/jszc/login），下载本项目电子版采购文件。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1012"/>
        <w:jc w:val="left"/>
        <w:spacing w:before="0" w:line="360" w:lineRule="auto"/>
        <w:widowControl/>
        <w:rPr>
          <w:rFonts w:ascii="Times New Roman" w:hAnsi="Times New Roman" w:eastAsia="宋体"/>
          <w:sz w:val="24"/>
          <w:szCs w:val="24"/>
        </w:rPr>
      </w:pPr>
      <w:r/>
      <w:bookmarkStart w:id="22" w:name="_Toc28359005"/>
      <w:r/>
      <w:bookmarkStart w:id="23" w:name="_Toc35393793"/>
      <w:r/>
      <w:bookmarkStart w:id="24" w:name="_Toc28359082"/>
      <w:r/>
      <w:bookmarkStart w:id="25" w:name="_Toc35393624"/>
      <w:r>
        <w:rPr>
          <w:rFonts w:ascii="Times New Roman" w:hAnsi="Times New Roman" w:eastAsia="宋体"/>
          <w:sz w:val="24"/>
          <w:szCs w:val="24"/>
        </w:rPr>
        <w:t xml:space="preserve">四、</w:t>
      </w:r>
      <w:bookmarkEnd w:id="22"/>
      <w:r/>
      <w:bookmarkEnd w:id="23"/>
      <w:r/>
      <w:bookmarkEnd w:id="24"/>
      <w:r/>
      <w:bookmarkEnd w:id="25"/>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6</w:t>
      </w:r>
      <w:r>
        <w:rPr>
          <w:sz w:val="24"/>
        </w:rPr>
        <w:t xml:space="preserve">年</w:t>
      </w:r>
      <w:r>
        <w:rPr>
          <w:rFonts w:hint="eastAsia"/>
          <w:sz w:val="24"/>
        </w:rPr>
        <w:t xml:space="preserve">5</w:t>
      </w:r>
      <w:r>
        <w:rPr>
          <w:sz w:val="24"/>
        </w:rPr>
        <w:t xml:space="preserve">月</w:t>
      </w:r>
      <w:r>
        <w:rPr>
          <w:rFonts w:hint="eastAsia"/>
          <w:sz w:val="24"/>
        </w:rPr>
        <w:t xml:space="preserve">28</w:t>
      </w:r>
      <w:r>
        <w:rPr>
          <w:sz w:val="24"/>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w:t>
      </w:r>
      <w:r>
        <w:rPr>
          <w:rFonts w:ascii="宋体" w:hAnsi="宋体"/>
          <w:sz w:val="24"/>
        </w:rPr>
        <w:t xml:space="preserve">采云</w:t>
      </w:r>
      <w:r>
        <w:rPr>
          <w:rFonts w:ascii="宋体" w:hAnsi="宋体"/>
          <w:sz w:val="24"/>
        </w:rPr>
        <w:t xml:space="preserve">”政府采购一体化平台供应商端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1012"/>
        <w:jc w:val="left"/>
        <w:spacing w:before="0" w:line="360" w:lineRule="auto"/>
        <w:rPr>
          <w:rFonts w:ascii="Times New Roman" w:hAnsi="Times New Roman" w:eastAsia="宋体"/>
          <w:sz w:val="24"/>
          <w:szCs w:val="24"/>
        </w:rPr>
      </w:pPr>
      <w:r/>
      <w:bookmarkStart w:id="26" w:name="_Toc35393625"/>
      <w:r/>
      <w:bookmarkStart w:id="27" w:name="_Toc28359084"/>
      <w:r/>
      <w:bookmarkStart w:id="28" w:name="_Toc28359007"/>
      <w:r/>
      <w:bookmarkStart w:id="29" w:name="_Toc35393794"/>
      <w:r>
        <w:rPr>
          <w:rFonts w:hint="eastAsia" w:ascii="Times New Roman" w:hAnsi="Times New Roman" w:eastAsia="宋体"/>
          <w:sz w:val="24"/>
          <w:szCs w:val="24"/>
        </w:rPr>
        <w:t xml:space="preserve">五、公告</w:t>
      </w:r>
      <w:bookmarkEnd w:id="26"/>
      <w:r/>
      <w:bookmarkEnd w:id="27"/>
      <w:r/>
      <w:bookmarkEnd w:id="28"/>
      <w:r/>
      <w:bookmarkEnd w:id="29"/>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12"/>
        <w:jc w:val="left"/>
        <w:spacing w:before="0" w:line="360" w:lineRule="auto"/>
        <w:rPr>
          <w:rFonts w:ascii="Times New Roman" w:hAnsi="Times New Roman" w:eastAsia="宋体"/>
          <w:sz w:val="24"/>
          <w:szCs w:val="24"/>
        </w:rPr>
      </w:pPr>
      <w:r/>
      <w:bookmarkStart w:id="30" w:name="_Toc35393626"/>
      <w:r/>
      <w:bookmarkStart w:id="31" w:name="_Toc35393795"/>
      <w:r>
        <w:rPr>
          <w:rFonts w:hint="eastAsia" w:ascii="Times New Roman" w:hAnsi="Times New Roman" w:eastAsia="宋体"/>
          <w:sz w:val="24"/>
          <w:szCs w:val="24"/>
        </w:rPr>
        <w:t xml:space="preserve">六、其他补充</w:t>
      </w:r>
      <w:bookmarkEnd w:id="30"/>
      <w:r/>
      <w:bookmarkEnd w:id="31"/>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无</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三年，合同一年一签，每年考核合格后续签下一年合同</w:t>
      </w:r>
      <w:r>
        <w:rPr>
          <w:rFonts w:hint="eastAsia"/>
          <w:sz w:val="24"/>
        </w:rPr>
        <w:t xml:space="preserve">。</w:t>
      </w:r>
      <w:r>
        <w:rPr>
          <w:rFonts w:hint="eastAsia"/>
          <w:sz w:val="24"/>
        </w:rPr>
        <w:t xml:space="preserve">预算</w:t>
      </w:r>
      <w:r>
        <w:rPr>
          <w:sz w:val="24"/>
        </w:rPr>
        <w:t xml:space="preserve">金额为</w:t>
      </w:r>
      <w:r>
        <w:rPr>
          <w:rFonts w:hint="eastAsia"/>
          <w:sz w:val="24"/>
        </w:rPr>
        <w:t xml:space="preserve">135</w:t>
      </w:r>
      <w:r>
        <w:rPr>
          <w:sz w:val="24"/>
        </w:rPr>
        <w:t xml:space="preserve">万元、当年安排数为</w:t>
      </w:r>
      <w:r>
        <w:rPr>
          <w:rFonts w:hint="eastAsia"/>
          <w:sz w:val="24"/>
        </w:rPr>
        <w:t xml:space="preserve">45</w:t>
      </w:r>
      <w:r>
        <w:rPr>
          <w:sz w:val="24"/>
        </w:rPr>
        <w:t xml:space="preserve">万元。</w:t>
      </w:r>
      <w:r/>
    </w:p>
    <w:p>
      <w:pPr>
        <w:ind w:firstLine="480"/>
        <w:jc w:val="left"/>
        <w:spacing w:line="360" w:lineRule="auto"/>
        <w:widowControl/>
        <w:rPr>
          <w:sz w:val="24"/>
          <w:lang w:bidi="ar"/>
        </w:rPr>
      </w:pPr>
      <w:r/>
      <w:bookmarkStart w:id="32" w:name="_Toc35393627"/>
      <w:r/>
      <w:bookmarkStart w:id="33" w:name="_Toc28359085"/>
      <w:r/>
      <w:bookmarkStart w:id="34" w:name="_Toc28359008"/>
      <w:r/>
      <w:bookmarkStart w:id="35" w:name="_Toc35393796"/>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获取电子招标文件。未在规定期限内通过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w:t>
      </w:r>
      <w:r>
        <w:rPr>
          <w:rFonts w:hint="eastAsia"/>
          <w:bCs/>
          <w:sz w:val="24"/>
          <w:lang w:bidi="ar"/>
        </w:rPr>
        <w:t xml:space="preserve">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bidi="ar"/>
        </w:rPr>
      </w:pPr>
      <w:r>
        <w:rPr>
          <w:sz w:val="24"/>
          <w:lang w:bidi="ar"/>
        </w:rPr>
        <w:t xml:space="preserve">3</w:t>
      </w:r>
      <w:r>
        <w:rPr>
          <w:sz w:val="24"/>
          <w:lang w:val="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w:t>
      </w:r>
      <w:r>
        <w:rPr>
          <w:rFonts w:ascii="宋体" w:hAnsi="宋体"/>
          <w:sz w:val="24"/>
        </w:rPr>
        <w:t xml:space="preserve">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101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2"/>
      <w:r/>
      <w:bookmarkEnd w:id="33"/>
      <w:r/>
      <w:bookmarkEnd w:id="34"/>
      <w:r/>
      <w:bookmarkEnd w:id="35"/>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6" w:name="_Toc28359009"/>
      <w:r/>
      <w:bookmarkStart w:id="37" w:name="_Toc28359086"/>
      <w:r>
        <w:rPr>
          <w:sz w:val="24"/>
        </w:rPr>
        <w:t xml:space="preserve">名</w:t>
      </w:r>
      <w:r>
        <w:rPr>
          <w:sz w:val="24"/>
        </w:rPr>
        <w:t xml:space="preserve">    </w:t>
      </w:r>
      <w:r>
        <w:rPr>
          <w:sz w:val="24"/>
        </w:rPr>
        <w:t xml:space="preserve">称：</w:t>
      </w:r>
      <w:r>
        <w:rPr>
          <w:rFonts w:hint="eastAsia"/>
          <w:sz w:val="24"/>
        </w:rPr>
        <w:t xml:space="preserve">常州市武进区前黄镇人民政府</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w:t>
      </w:r>
      <w:r>
        <w:rPr>
          <w:rFonts w:hint="eastAsia"/>
          <w:sz w:val="24"/>
        </w:rPr>
        <w:t xml:space="preserve">前灵路</w:t>
      </w:r>
      <w:r>
        <w:rPr>
          <w:rFonts w:hint="eastAsia"/>
          <w:sz w:val="24"/>
        </w:rPr>
        <w:t xml:space="preserve">88</w:t>
      </w:r>
      <w:r>
        <w:rPr>
          <w:rFonts w:hint="eastAsia"/>
          <w:sz w:val="24"/>
        </w:rPr>
        <w:t xml:space="preserve">号</w:t>
      </w:r>
      <w:r/>
    </w:p>
    <w:p>
      <w:pPr>
        <w:ind w:left="1079" w:hanging="300"/>
        <w:jc w:val="left"/>
        <w:spacing w:line="360" w:lineRule="auto"/>
        <w:rPr>
          <w:sz w:val="24"/>
          <w:u w:val="single"/>
        </w:rPr>
      </w:pPr>
      <w:r>
        <w:rPr>
          <w:sz w:val="24"/>
        </w:rPr>
        <w:t xml:space="preserve">联系方式：</w:t>
      </w:r>
      <w:r>
        <w:rPr>
          <w:sz w:val="24"/>
        </w:rPr>
        <w:t xml:space="preserve">刁</w:t>
      </w:r>
      <w:r>
        <w:rPr>
          <w:rFonts w:hint="eastAsia"/>
          <w:sz w:val="24"/>
        </w:rPr>
        <w:t xml:space="preserve">先生</w:t>
      </w:r>
      <w:r>
        <w:rPr>
          <w:rFonts w:hint="eastAsia"/>
          <w:sz w:val="24"/>
        </w:rPr>
        <w:t xml:space="preserve"> </w:t>
      </w:r>
      <w:r>
        <w:rPr>
          <w:sz w:val="24"/>
        </w:rPr>
        <w:t xml:space="preserve"> </w:t>
      </w:r>
      <w:r>
        <w:rPr>
          <w:rFonts w:hint="eastAsia"/>
          <w:sz w:val="24"/>
        </w:rPr>
        <w:t xml:space="preserve">0519-86510616</w:t>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6"/>
      <w:r/>
      <w:bookmarkEnd w:id="37"/>
      <w:r/>
      <w:r/>
    </w:p>
    <w:p>
      <w:pPr>
        <w:ind w:left="1079" w:hanging="300"/>
        <w:jc w:val="left"/>
        <w:spacing w:line="360" w:lineRule="auto"/>
        <w:rPr>
          <w:sz w:val="24"/>
        </w:rPr>
      </w:pPr>
      <w:r/>
      <w:bookmarkStart w:id="38" w:name="_Toc28359010"/>
      <w:r/>
      <w:bookmarkStart w:id="39" w:name="_Toc28359087"/>
      <w:r>
        <w:rPr>
          <w:sz w:val="24"/>
        </w:rPr>
        <w:t xml:space="preserve">名</w:t>
      </w:r>
      <w:r>
        <w:rPr>
          <w:sz w:val="24"/>
        </w:rPr>
        <w:t xml:space="preserve">    </w:t>
      </w:r>
      <w:r>
        <w:rPr>
          <w:sz w:val="24"/>
        </w:rPr>
        <w:t xml:space="preserve">称：</w:t>
      </w:r>
      <w:r>
        <w:rPr>
          <w:rFonts w:hint="eastAsia"/>
          <w:sz w:val="24"/>
        </w:rPr>
        <w:t xml:space="preserve">常州明镜工程咨询有限公司</w:t>
      </w:r>
      <w:r/>
    </w:p>
    <w:p>
      <w:pPr>
        <w:ind w:left="1079" w:hanging="300"/>
        <w:jc w:val="left"/>
        <w:spacing w:line="360" w:lineRule="auto"/>
        <w:rPr>
          <w:sz w:val="24"/>
        </w:rPr>
      </w:pPr>
      <w:r>
        <w:rPr>
          <w:sz w:val="24"/>
        </w:rPr>
        <w:t xml:space="preserve">地</w:t>
      </w:r>
      <w:r>
        <w:rPr>
          <w:sz w:val="24"/>
        </w:rPr>
        <w:t xml:space="preserve">    </w:t>
      </w:r>
      <w:r>
        <w:rPr>
          <w:sz w:val="24"/>
        </w:rPr>
        <w:t xml:space="preserve">址：常州</w:t>
      </w:r>
      <w:r>
        <w:rPr>
          <w:sz w:val="24"/>
        </w:rPr>
        <w:t xml:space="preserve">科教城</w:t>
      </w:r>
      <w:r>
        <w:rPr>
          <w:sz w:val="24"/>
        </w:rPr>
        <w:t xml:space="preserve">青峰</w:t>
      </w:r>
      <w:r>
        <w:rPr>
          <w:sz w:val="24"/>
        </w:rPr>
        <w:t xml:space="preserve">创元大厦</w:t>
      </w:r>
      <w:r>
        <w:rPr>
          <w:sz w:val="24"/>
        </w:rPr>
        <w:t xml:space="preserve">8</w:t>
      </w:r>
      <w:r>
        <w:rPr>
          <w:sz w:val="24"/>
        </w:rPr>
        <w:t xml:space="preserve">楼</w:t>
      </w:r>
      <w:r/>
    </w:p>
    <w:p>
      <w:pPr>
        <w:ind w:left="1079" w:hanging="300"/>
        <w:jc w:val="left"/>
        <w:spacing w:line="360" w:lineRule="auto"/>
        <w:rPr>
          <w:sz w:val="24"/>
          <w:u w:val="single"/>
        </w:rPr>
      </w:pPr>
      <w:r>
        <w:rPr>
          <w:sz w:val="24"/>
        </w:rPr>
        <w:t xml:space="preserve">联系方式：</w:t>
      </w:r>
      <w:r>
        <w:rPr>
          <w:rFonts w:hint="eastAsia"/>
          <w:sz w:val="24"/>
        </w:rPr>
        <w:t xml:space="preserve">何奕韬</w:t>
      </w:r>
      <w:r>
        <w:rPr>
          <w:rFonts w:hint="eastAsia"/>
          <w:sz w:val="24"/>
        </w:rPr>
        <w:t xml:space="preserve">  </w:t>
      </w:r>
      <w:r>
        <w:rPr>
          <w:rFonts w:hint="eastAsia"/>
          <w:sz w:val="24"/>
        </w:rPr>
        <w:t xml:space="preserve">18951200368</w:t>
      </w:r>
      <w:r/>
    </w:p>
    <w:p>
      <w:pPr>
        <w:ind w:firstLine="723"/>
        <w:spacing w:line="360" w:lineRule="auto"/>
        <w:rPr>
          <w:b/>
          <w:sz w:val="24"/>
          <w:u w:val="single"/>
        </w:rPr>
      </w:pPr>
      <w:r>
        <w:rPr>
          <w:rFonts w:hint="eastAsia"/>
          <w:b/>
          <w:sz w:val="24"/>
        </w:rPr>
        <w:t xml:space="preserve">3</w:t>
      </w:r>
      <w:r>
        <w:rPr>
          <w:b/>
          <w:sz w:val="24"/>
        </w:rPr>
        <w:t xml:space="preserve">.</w:t>
      </w:r>
      <w:r>
        <w:rPr>
          <w:b/>
          <w:sz w:val="24"/>
        </w:rPr>
        <w:t xml:space="preserve">项目联系方式</w:t>
      </w:r>
      <w:bookmarkEnd w:id="38"/>
      <w:r/>
      <w:bookmarkEnd w:id="39"/>
      <w:r/>
      <w:r/>
    </w:p>
    <w:p>
      <w:pPr>
        <w:pStyle w:val="1212"/>
        <w:ind w:firstLine="720"/>
        <w:spacing w:line="360" w:lineRule="auto"/>
        <w:rPr>
          <w:rFonts w:hint="default" w:ascii="Times New Roman" w:hAnsi="Times New Roman"/>
          <w:sz w:val="24"/>
          <w:szCs w:val="24"/>
        </w:rPr>
      </w:pPr>
      <w:r>
        <w:rPr>
          <w:rFonts w:hint="default" w:ascii="Times New Roman" w:hAnsi="Times New Roman"/>
          <w:sz w:val="24"/>
          <w:szCs w:val="24"/>
        </w:rPr>
        <w:t xml:space="preserve">项目联系人：</w:t>
      </w:r>
      <w:r>
        <w:rPr>
          <w:rFonts w:ascii="Times New Roman" w:hAnsi="Times New Roman"/>
          <w:sz w:val="24"/>
          <w:szCs w:val="24"/>
        </w:rPr>
        <w:t xml:space="preserve">杜卫平</w:t>
      </w:r>
      <w:r/>
    </w:p>
    <w:p>
      <w:pPr>
        <w:pStyle w:val="1212"/>
        <w:ind w:firstLine="720"/>
        <w:spacing w:line="360" w:lineRule="auto"/>
        <w:rPr>
          <w:rFonts w:hint="default" w:ascii="Times New Roman" w:hAnsi="Times New Roman"/>
          <w:sz w:val="24"/>
          <w:szCs w:val="24"/>
        </w:rPr>
      </w:pPr>
      <w:r>
        <w:rPr>
          <w:rFonts w:hint="default" w:ascii="Times New Roman" w:hAnsi="Times New Roman"/>
          <w:sz w:val="24"/>
        </w:rPr>
        <w:t xml:space="preserve">电</w:t>
      </w:r>
      <w:r>
        <w:rPr>
          <w:rFonts w:hint="default" w:ascii="Times New Roman" w:hAnsi="Times New Roman"/>
          <w:sz w:val="24"/>
        </w:rPr>
        <w:t xml:space="preserve">      </w:t>
      </w:r>
      <w:r>
        <w:rPr>
          <w:rFonts w:hint="default" w:ascii="Times New Roman" w:hAnsi="Times New Roman"/>
          <w:sz w:val="24"/>
        </w:rPr>
        <w:t xml:space="preserve">话：</w:t>
      </w:r>
      <w:r>
        <w:rPr>
          <w:rFonts w:ascii="Times New Roman" w:hAnsi="Times New Roman"/>
          <w:sz w:val="24"/>
          <w:szCs w:val="24"/>
        </w:rPr>
        <w:t xml:space="preserve">13815071155</w:t>
      </w:r>
      <w:r/>
    </w:p>
    <w:p>
      <w:pPr>
        <w:pStyle w:val="1212"/>
        <w:ind w:firstLine="720"/>
        <w:spacing w:line="360" w:lineRule="auto"/>
        <w:rPr>
          <w:rFonts w:hint="default" w:ascii="Times New Roman" w:hAnsi="Times New Roman"/>
          <w:sz w:val="24"/>
        </w:rPr>
      </w:pPr>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r/>
    </w:p>
    <w:p>
      <w:pPr>
        <w:pStyle w:val="1212"/>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40" w:name="_Toc353873938"/>
      <w:r/>
      <w:bookmarkStart w:id="41" w:name="_Toc127151777"/>
      <w:r/>
      <w:bookmarkStart w:id="42" w:name="_Toc195842950"/>
      <w:r/>
      <w:bookmarkStart w:id="43" w:name="_Toc305158928"/>
      <w:r/>
      <w:bookmarkStart w:id="44" w:name="_Toc163804580"/>
      <w:r/>
      <w:bookmarkStart w:id="45" w:name="_Toc150774783"/>
      <w:r/>
      <w:bookmarkStart w:id="46" w:name="_Toc226965856"/>
      <w:r/>
      <w:bookmarkStart w:id="47" w:name="_Toc353825548"/>
      <w:r/>
      <w:bookmarkStart w:id="48" w:name="_Toc127161488"/>
      <w:r/>
      <w:bookmarkStart w:id="49" w:name="_Toc265228423"/>
      <w:r/>
      <w:bookmarkStart w:id="50" w:name="_Toc512937850"/>
      <w:r/>
      <w:bookmarkStart w:id="51" w:name="_Toc305158854"/>
      <w:r/>
      <w:bookmarkStart w:id="52" w:name="_Toc264969275"/>
      <w:r/>
      <w:bookmarkStart w:id="53" w:name="_Toc140257873"/>
      <w:r>
        <w:rPr>
          <w:b/>
          <w:sz w:val="36"/>
          <w:szCs w:val="36"/>
        </w:rPr>
        <w:t xml:space="preserve">第二章</w:t>
      </w:r>
      <w:r>
        <w:rPr>
          <w:b/>
          <w:sz w:val="36"/>
          <w:szCs w:val="36"/>
        </w:rPr>
        <w:t xml:space="preserve">   </w:t>
      </w:r>
      <w:r>
        <w:rPr>
          <w:b/>
          <w:sz w:val="36"/>
          <w:szCs w:val="36"/>
        </w:rPr>
        <w:t xml:space="preserve">投标人须知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pStyle w:val="1012"/>
        <w:spacing w:before="0" w:line="360" w:lineRule="auto"/>
        <w:tabs>
          <w:tab w:val="center" w:pos="4592" w:leader="none"/>
          <w:tab w:val="left" w:pos="7860" w:leader="none"/>
        </w:tabs>
        <w:rPr>
          <w:rFonts w:ascii="Times New Roman" w:hAnsi="Times New Roman" w:eastAsia="宋体"/>
          <w:sz w:val="28"/>
        </w:rPr>
      </w:pPr>
      <w:r/>
      <w:bookmarkStart w:id="54" w:name="_Toc164229214"/>
      <w:r/>
      <w:bookmarkStart w:id="55" w:name="_Toc151193617"/>
      <w:r/>
      <w:bookmarkStart w:id="56" w:name="_Toc150774619"/>
      <w:r/>
      <w:bookmarkStart w:id="57" w:name="_Toc195842884"/>
      <w:r/>
      <w:bookmarkStart w:id="58" w:name="_Toc151193907"/>
      <w:r/>
      <w:bookmarkStart w:id="59" w:name="_Toc127161433"/>
      <w:r/>
      <w:bookmarkStart w:id="60" w:name="_Toc142311021"/>
      <w:r/>
      <w:bookmarkStart w:id="61" w:name="_Toc150774724"/>
      <w:r/>
      <w:bookmarkStart w:id="62" w:name="_Toc151193689"/>
      <w:r/>
      <w:bookmarkStart w:id="63" w:name="_Toc127151519"/>
      <w:r/>
      <w:bookmarkStart w:id="64" w:name="_Toc226965792"/>
      <w:r/>
      <w:bookmarkStart w:id="65" w:name="_Toc151193761"/>
      <w:r/>
      <w:bookmarkStart w:id="66" w:name="_Toc164229360"/>
      <w:r/>
      <w:bookmarkStart w:id="67" w:name="_Toc226965709"/>
      <w:r/>
      <w:bookmarkStart w:id="68" w:name="_Toc151190146"/>
      <w:r/>
      <w:bookmarkStart w:id="69" w:name="_Toc164608788"/>
      <w:r/>
      <w:bookmarkStart w:id="70" w:name="_Toc150509270"/>
      <w:r/>
      <w:bookmarkStart w:id="71" w:name="_Toc164351613"/>
      <w:r/>
      <w:bookmarkStart w:id="72" w:name="_Toc149720812"/>
      <w:r/>
      <w:bookmarkStart w:id="73" w:name="_Toc164608633"/>
      <w:r/>
      <w:bookmarkStart w:id="74" w:name="_Toc226337215"/>
      <w:r/>
      <w:bookmarkStart w:id="75" w:name="_Toc151193833"/>
      <w:r/>
      <w:bookmarkStart w:id="76" w:name="_Toc520356144"/>
      <w:r/>
      <w:bookmarkStart w:id="77" w:name="_Toc127151720"/>
      <w:r/>
      <w:bookmarkStart w:id="78" w:name="_Toc150480757"/>
      <w:r/>
      <w:bookmarkStart w:id="79" w:name="_Toc226309763"/>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212"/>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212"/>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cantSplit/>
          <w:jc w:val="center"/>
          <w:trHeight w:val="20"/>
        </w:trPr>
        <w:tc>
          <w:tcPr>
            <w:tcW w:w="988" w:type="dxa"/>
            <w:vAlign w:val="center"/>
            <w:vMerge w:val="restart"/>
            <w:textDirection w:val="lrTb"/>
            <w:noWrap w:val="false"/>
          </w:tcPr>
          <w:p>
            <w:pPr>
              <w:pStyle w:val="1212"/>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212"/>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212"/>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vMerge w:val="continue"/>
            <w:textDirection w:val="lrTb"/>
            <w:noWrap w:val="false"/>
          </w:tcPr>
          <w:p>
            <w:pPr>
              <w:pStyle w:val="1212"/>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jc w:val="center"/>
          <w:trHeight w:val="1535"/>
        </w:trPr>
        <w:tc>
          <w:tcPr>
            <w:tcW w:w="988" w:type="dxa"/>
            <w:vAlign w:val="center"/>
            <w:textDirection w:val="lrTb"/>
            <w:noWrap w:val="false"/>
          </w:tcPr>
          <w:p>
            <w:pPr>
              <w:pStyle w:val="1212"/>
              <w:jc w:val="center"/>
              <w:rPr>
                <w:rFonts w:hint="default"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212"/>
              <w:jc w:val="center"/>
              <w:rPr>
                <w:rFonts w:hint="default" w:ascii="Times New Roman" w:hAnsi="Times New Roman"/>
                <w:sz w:val="24"/>
                <w:szCs w:val="24"/>
              </w:rPr>
            </w:pPr>
            <w:r>
              <w:rPr>
                <w:rFonts w:ascii="Times New Roman" w:hAnsi="Times New Roman"/>
                <w:sz w:val="24"/>
                <w:szCs w:val="24"/>
              </w:rPr>
              <w:t xml:space="preserve">4.2.6</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540"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708"/>
        </w:trPr>
        <w:tc>
          <w:tcPr>
            <w:tcW w:w="988" w:type="dxa"/>
            <w:vAlign w:val="center"/>
            <w:textDirection w:val="lrTb"/>
            <w:noWrap w:val="false"/>
          </w:tcPr>
          <w:p>
            <w:pPr>
              <w:pStyle w:val="1212"/>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608"/>
        </w:trPr>
        <w:tc>
          <w:tcPr>
            <w:tcW w:w="988" w:type="dxa"/>
            <w:vAlign w:val="center"/>
            <w:textDirection w:val="lrTb"/>
            <w:noWrap w:val="false"/>
          </w:tcPr>
          <w:p>
            <w:pPr>
              <w:pStyle w:val="1212"/>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574"/>
        </w:trPr>
        <w:tc>
          <w:tcPr>
            <w:tcW w:w="988" w:type="dxa"/>
            <w:vAlign w:val="center"/>
            <w:textDirection w:val="lrTb"/>
            <w:noWrap w:val="false"/>
          </w:tcPr>
          <w:p>
            <w:pPr>
              <w:pStyle w:val="1212"/>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212"/>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rFonts w:hint="eastAsia"/>
                <w:sz w:val="24"/>
                <w:u w:val="single"/>
              </w:rPr>
              <w:t xml:space="preserve">/</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535"/>
        </w:trPr>
        <w:tc>
          <w:tcPr>
            <w:tcW w:w="988" w:type="dxa"/>
            <w:vAlign w:val="center"/>
            <w:textDirection w:val="lrTb"/>
            <w:noWrap w:val="false"/>
          </w:tcPr>
          <w:p>
            <w:pPr>
              <w:pStyle w:val="1212"/>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w:t>
            </w:r>
            <w:r>
              <w:rPr>
                <w:rFonts w:hint="eastAsia"/>
                <w:sz w:val="24"/>
                <w:u w:val="single"/>
              </w:rPr>
              <w:t xml:space="preserve">6</w:t>
            </w:r>
            <w:r>
              <w:rPr>
                <w:rFonts w:hint="eastAsia"/>
                <w:sz w:val="24"/>
                <w:u w:val="single"/>
              </w:rPr>
              <w:t xml:space="preserve">年</w:t>
            </w:r>
            <w:r>
              <w:rPr>
                <w:rFonts w:hint="eastAsia"/>
                <w:sz w:val="24"/>
                <w:u w:val="single"/>
              </w:rPr>
              <w:t xml:space="preserve">5</w:t>
            </w:r>
            <w:r>
              <w:rPr>
                <w:rFonts w:hint="eastAsia"/>
                <w:sz w:val="24"/>
                <w:u w:val="single"/>
              </w:rPr>
              <w:t xml:space="preserve">月</w:t>
            </w:r>
            <w:r>
              <w:rPr>
                <w:rFonts w:hint="eastAsia"/>
                <w:sz w:val="24"/>
                <w:u w:val="single"/>
              </w:rPr>
              <w:t xml:space="preserve">14</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w:t>
            </w:r>
            <w:r>
              <w:rPr>
                <w:rFonts w:hint="eastAsia"/>
                <w:sz w:val="24"/>
                <w:u w:val="single"/>
              </w:rPr>
              <w:t xml:space="preserve">常州明镜工程咨询有限公司</w:t>
            </w:r>
            <w:r>
              <w:rPr>
                <w:rFonts w:hint="eastAsia"/>
                <w:sz w:val="24"/>
                <w:u w:val="single"/>
              </w:rPr>
              <w:t xml:space="preserve">。</w:t>
            </w:r>
            <w:r>
              <w:rPr>
                <w:sz w:val="24"/>
                <w:u w:val="single"/>
              </w:rPr>
              <w:t xml:space="preserve">邮箱：</w:t>
            </w:r>
            <w:hyperlink r:id="rId25" w:tooltip="mailto:394676860@qq.com" w:history="1">
              <w:r>
                <w:rPr>
                  <w:rFonts w:hint="eastAsia"/>
                  <w:u w:val="single"/>
                </w:rPr>
                <w:t xml:space="preserve">394676860@</w:t>
              </w:r>
              <w:r>
                <w:rPr>
                  <w:u w:val="single"/>
                </w:rPr>
                <w:t xml:space="preserve">qq.com</w:t>
              </w:r>
            </w:hyperlink>
            <w:r>
              <w:rPr>
                <w:rFonts w:hint="eastAsia"/>
                <w:sz w:val="24"/>
                <w:u w:val="single"/>
              </w:rPr>
              <w:t xml:space="preserve">。</w:t>
            </w:r>
            <w:r/>
          </w:p>
        </w:tc>
      </w:tr>
      <w:tr>
        <w:trPr>
          <w:jc w:val="center"/>
          <w:trHeight w:val="1535"/>
        </w:trPr>
        <w:tc>
          <w:tcPr>
            <w:tcW w:w="988" w:type="dxa"/>
            <w:vAlign w:val="center"/>
            <w:textDirection w:val="lrTb"/>
            <w:noWrap w:val="false"/>
          </w:tcPr>
          <w:p>
            <w:pPr>
              <w:pStyle w:val="1212"/>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常州明镜工程咨询有限公司总经理室</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w:t>
            </w:r>
            <w:r>
              <w:rPr>
                <w:sz w:val="24"/>
                <w:u w:val="single"/>
              </w:rPr>
              <w:t xml:space="preserve">科教城</w:t>
            </w:r>
            <w:r>
              <w:rPr>
                <w:sz w:val="24"/>
                <w:u w:val="single"/>
              </w:rPr>
              <w:t xml:space="preserve">青峰</w:t>
            </w:r>
            <w:r>
              <w:rPr>
                <w:sz w:val="24"/>
                <w:u w:val="single"/>
              </w:rPr>
              <w:t xml:space="preserve">创元大厦</w:t>
            </w:r>
            <w:r>
              <w:rPr>
                <w:sz w:val="24"/>
                <w:u w:val="single"/>
              </w:rPr>
              <w:t xml:space="preserve">8</w:t>
            </w:r>
            <w:r>
              <w:rPr>
                <w:sz w:val="24"/>
                <w:u w:val="single"/>
              </w:rPr>
              <w:t xml:space="preserve">楼</w:t>
            </w:r>
            <w:r>
              <w:rPr>
                <w:sz w:val="24"/>
              </w:rPr>
              <w:t xml:space="preserve">。</w:t>
            </w:r>
            <w:r/>
          </w:p>
        </w:tc>
      </w:tr>
      <w:tr>
        <w:trPr>
          <w:jc w:val="center"/>
          <w:trHeight w:val="1535"/>
        </w:trPr>
        <w:tc>
          <w:tcPr>
            <w:tcW w:w="988" w:type="dxa"/>
            <w:vAlign w:val="center"/>
            <w:textDirection w:val="lrTb"/>
            <w:noWrap w:val="false"/>
          </w:tcPr>
          <w:p>
            <w:pPr>
              <w:pStyle w:val="1212"/>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jc w:val="left"/>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w:t>
            </w:r>
            <w:r>
              <w:rPr>
                <w:rFonts w:hint="eastAsia"/>
                <w:sz w:val="24"/>
                <w:u w:val="single"/>
              </w:rPr>
              <w:t xml:space="preserve">（含）</w:t>
            </w:r>
            <w:r>
              <w:rPr>
                <w:rFonts w:hint="eastAsia"/>
                <w:sz w:val="24"/>
                <w:u w:val="single"/>
              </w:rPr>
              <w:t xml:space="preserve">以下</w:t>
            </w:r>
            <w:r>
              <w:rPr>
                <w:rFonts w:hint="eastAsia"/>
                <w:sz w:val="24"/>
                <w:u w:val="single"/>
              </w:rPr>
              <w:t xml:space="preserve">1.</w:t>
            </w:r>
            <w:r>
              <w:rPr>
                <w:rFonts w:hint="eastAsia"/>
                <w:sz w:val="24"/>
                <w:u w:val="single"/>
              </w:rPr>
              <w:t xml:space="preserve">05</w:t>
            </w:r>
            <w:r>
              <w:rPr>
                <w:rFonts w:hint="eastAsia"/>
                <w:sz w:val="24"/>
                <w:u w:val="single"/>
              </w:rPr>
              <w:t xml:space="preserve">%</w:t>
            </w:r>
            <w:r>
              <w:rPr>
                <w:rFonts w:hint="eastAsia"/>
                <w:sz w:val="24"/>
                <w:u w:val="single"/>
              </w:rPr>
              <w:t xml:space="preserve">，</w:t>
            </w:r>
            <w:r>
              <w:rPr>
                <w:rFonts w:hint="eastAsia"/>
                <w:sz w:val="24"/>
                <w:u w:val="single"/>
              </w:rPr>
              <w:t xml:space="preserve">100</w:t>
            </w:r>
            <w:r>
              <w:rPr>
                <w:rFonts w:hint="eastAsia"/>
                <w:sz w:val="24"/>
                <w:u w:val="single"/>
              </w:rPr>
              <w:t xml:space="preserve">万元―</w:t>
            </w:r>
            <w:r>
              <w:rPr>
                <w:rFonts w:hint="eastAsia"/>
                <w:sz w:val="24"/>
                <w:u w:val="single"/>
              </w:rPr>
              <w:t xml:space="preserve">500</w:t>
            </w:r>
            <w:r>
              <w:rPr>
                <w:rFonts w:hint="eastAsia"/>
                <w:sz w:val="24"/>
                <w:u w:val="single"/>
              </w:rPr>
              <w:t xml:space="preserve">万元</w:t>
            </w:r>
            <w:r>
              <w:rPr>
                <w:rFonts w:hint="eastAsia"/>
                <w:sz w:val="24"/>
                <w:u w:val="single"/>
              </w:rPr>
              <w:t xml:space="preserve">（含）</w:t>
            </w:r>
            <w:r>
              <w:rPr>
                <w:sz w:val="24"/>
                <w:u w:val="single"/>
              </w:rPr>
              <w:t xml:space="preserve">0.</w:t>
            </w:r>
            <w:r>
              <w:rPr>
                <w:rFonts w:hint="eastAsia"/>
                <w:sz w:val="24"/>
                <w:u w:val="single"/>
              </w:rPr>
              <w:t xml:space="preserve">56</w:t>
            </w:r>
            <w:r>
              <w:rPr>
                <w:rFonts w:hint="eastAsia"/>
                <w:sz w:val="24"/>
                <w:u w:val="single"/>
              </w:rPr>
              <w:t xml:space="preserve">%</w:t>
            </w:r>
            <w:r>
              <w:rPr>
                <w:rFonts w:hint="eastAsia"/>
                <w:sz w:val="24"/>
                <w:u w:val="single"/>
              </w:rPr>
              <w:t xml:space="preserve">，</w:t>
            </w:r>
            <w:r>
              <w:rPr>
                <w:rFonts w:hint="eastAsia"/>
                <w:sz w:val="24"/>
                <w:u w:val="single"/>
              </w:rPr>
              <w:t xml:space="preserve">以上略。如按上述方法计算的金额低于人民币</w:t>
            </w:r>
            <w:r>
              <w:rPr>
                <w:rFonts w:hint="eastAsia"/>
                <w:sz w:val="24"/>
                <w:u w:val="single"/>
              </w:rPr>
              <w:t xml:space="preserve">15</w:t>
            </w:r>
            <w:r>
              <w:rPr>
                <w:rFonts w:hint="eastAsia"/>
                <w:sz w:val="24"/>
                <w:u w:val="single"/>
              </w:rPr>
              <w:t xml:space="preserve">00</w:t>
            </w:r>
            <w:r>
              <w:rPr>
                <w:rFonts w:hint="eastAsia"/>
                <w:sz w:val="24"/>
                <w:u w:val="single"/>
              </w:rPr>
              <w:t xml:space="preserve">元整，则服务费按人民币</w:t>
            </w:r>
            <w:r>
              <w:rPr>
                <w:rFonts w:hint="eastAsia"/>
                <w:sz w:val="24"/>
                <w:u w:val="single"/>
              </w:rPr>
              <w:t xml:space="preserve">15</w:t>
            </w:r>
            <w:r>
              <w:rPr>
                <w:rFonts w:hint="eastAsia"/>
                <w:sz w:val="24"/>
                <w:u w:val="single"/>
              </w:rPr>
              <w:t xml:space="preserve">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领取中标通知书之前</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r/>
      <w:r/>
    </w:p>
    <w:p>
      <w:r/>
      <w:r/>
    </w:p>
    <w:p>
      <w:pPr>
        <w:sectPr>
          <w:headerReference w:type="first" r:id="rId12"/>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80" w:name="_Toc265228355"/>
      <w:r/>
      <w:bookmarkStart w:id="81" w:name="_Toc353873662"/>
      <w:r/>
      <w:bookmarkStart w:id="82" w:name="_Toc353825542"/>
      <w:r/>
      <w:bookmarkStart w:id="83" w:name="_Toc226337213"/>
      <w:r/>
      <w:bookmarkStart w:id="84" w:name="_Toc150774722"/>
      <w:r/>
      <w:bookmarkStart w:id="85" w:name="_Toc150480755"/>
      <w:r/>
      <w:bookmarkStart w:id="86" w:name="_Toc195842882"/>
      <w:r/>
      <w:bookmarkStart w:id="87" w:name="_Toc142311019"/>
      <w:r/>
      <w:bookmarkStart w:id="88" w:name="_Toc127151517"/>
      <w:r/>
      <w:bookmarkStart w:id="89" w:name="_Toc226965790"/>
      <w:r/>
      <w:bookmarkStart w:id="90" w:name="_Toc353873932"/>
      <w:r/>
      <w:bookmarkStart w:id="91" w:name="_Toc305158785"/>
      <w:r/>
      <w:bookmarkStart w:id="92" w:name="_Toc264969207"/>
      <w:r/>
      <w:bookmarkStart w:id="93" w:name="_Toc305158859"/>
      <w:r>
        <w:rPr>
          <w:b/>
          <w:sz w:val="28"/>
          <w:szCs w:val="28"/>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1012"/>
        <w:jc w:val="left"/>
        <w:spacing w:before="0" w:line="360" w:lineRule="auto"/>
        <w:tabs>
          <w:tab w:val="center" w:pos="4592" w:leader="none"/>
          <w:tab w:val="left" w:pos="7860" w:leader="none"/>
        </w:tabs>
        <w:rPr>
          <w:rFonts w:ascii="Times New Roman" w:hAnsi="Times New Roman" w:eastAsia="宋体"/>
          <w:sz w:val="28"/>
        </w:rPr>
      </w:pPr>
      <w:r/>
      <w:bookmarkStart w:id="94" w:name="_Toc127151518"/>
      <w:r/>
      <w:bookmarkStart w:id="95" w:name="_Toc520356143"/>
      <w:r>
        <w:rPr>
          <w:rFonts w:ascii="Times New Roman" w:hAnsi="Times New Roman" w:eastAsia="宋体"/>
          <w:sz w:val="28"/>
        </w:rPr>
        <w:tab/>
      </w:r>
      <w:bookmarkStart w:id="96" w:name="_Toc150774618"/>
      <w:r/>
      <w:bookmarkStart w:id="97" w:name="_Toc305158786"/>
      <w:r/>
      <w:bookmarkStart w:id="98" w:name="_Toc151193906"/>
      <w:r/>
      <w:bookmarkStart w:id="99" w:name="_Toc226309762"/>
      <w:r/>
      <w:bookmarkStart w:id="100" w:name="_Toc151193616"/>
      <w:r/>
      <w:bookmarkStart w:id="101" w:name="_Toc150509269"/>
      <w:r/>
      <w:bookmarkStart w:id="102" w:name="_Toc150480756"/>
      <w:r/>
      <w:bookmarkStart w:id="103" w:name="_Toc150774723"/>
      <w:r/>
      <w:bookmarkStart w:id="104" w:name="_Toc226337214"/>
      <w:r/>
      <w:bookmarkStart w:id="105" w:name="_Toc226965708"/>
      <w:r/>
      <w:bookmarkStart w:id="106" w:name="_Toc151193832"/>
      <w:r/>
      <w:bookmarkStart w:id="107" w:name="_Toc265228356"/>
      <w:r/>
      <w:bookmarkStart w:id="108" w:name="_Toc226965791"/>
      <w:r/>
      <w:bookmarkStart w:id="109" w:name="_Toc305158860"/>
      <w:r/>
      <w:bookmarkStart w:id="110" w:name="_Toc151193760"/>
      <w:r/>
      <w:bookmarkStart w:id="111" w:name="_Toc142311020"/>
      <w:r/>
      <w:bookmarkStart w:id="112" w:name="_Toc264969208"/>
      <w:r/>
      <w:bookmarkStart w:id="113" w:name="_Toc151190145"/>
      <w:r/>
      <w:bookmarkStart w:id="114" w:name="_Toc151193688"/>
      <w:r/>
      <w:bookmarkStart w:id="115"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6" w:name="_Toc264969209"/>
      <w:r/>
      <w:bookmarkStart w:id="117" w:name="_Toc305158861"/>
      <w:r/>
      <w:bookmarkStart w:id="118" w:name="_Toc305158787"/>
      <w:r/>
      <w:bookmarkStart w:id="119" w:name="_Toc265228357"/>
      <w:r>
        <w:rPr>
          <w:sz w:val="24"/>
        </w:rPr>
        <w:t xml:space="preserve">采购人、采购代理机构、投标人</w:t>
      </w:r>
      <w:bookmarkEnd w:id="116"/>
      <w:r/>
      <w:bookmarkEnd w:id="117"/>
      <w:r/>
      <w:bookmarkEnd w:id="118"/>
      <w:r/>
      <w:bookmarkEnd w:id="119"/>
      <w:r>
        <w:rPr>
          <w:rFonts w:hint="eastAsia"/>
          <w:sz w:val="24"/>
        </w:rPr>
        <w:t xml:space="preserve">、联合体</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20" w:name="_Toc164229361"/>
      <w:r/>
      <w:bookmarkStart w:id="121" w:name="_Toc226965793"/>
      <w:r/>
      <w:bookmarkStart w:id="122" w:name="_Toc151193690"/>
      <w:r/>
      <w:bookmarkStart w:id="123" w:name="_Toc151193834"/>
      <w:r/>
      <w:bookmarkStart w:id="124" w:name="_Toc127151520"/>
      <w:r/>
      <w:bookmarkStart w:id="125" w:name="_Toc150774620"/>
      <w:r/>
      <w:bookmarkStart w:id="126" w:name="_Toc164351614"/>
      <w:r/>
      <w:bookmarkStart w:id="127" w:name="_Toc151193618"/>
      <w:r/>
      <w:bookmarkStart w:id="128" w:name="_Toc151190147"/>
      <w:r/>
      <w:bookmarkStart w:id="129" w:name="_Toc305158862"/>
      <w:r/>
      <w:bookmarkStart w:id="130" w:name="_Toc195842885"/>
      <w:r/>
      <w:bookmarkStart w:id="131" w:name="_Toc151193908"/>
      <w:r/>
      <w:bookmarkStart w:id="132" w:name="_Toc164229215"/>
      <w:r/>
      <w:bookmarkStart w:id="133" w:name="_Toc265228358"/>
      <w:r/>
      <w:bookmarkStart w:id="134" w:name="_Toc127151721"/>
      <w:r/>
      <w:bookmarkStart w:id="135" w:name="_Toc150774725"/>
      <w:r/>
      <w:bookmarkStart w:id="136" w:name="_Toc264969210"/>
      <w:r/>
      <w:bookmarkStart w:id="137" w:name="_Toc164608634"/>
      <w:r/>
      <w:bookmarkStart w:id="138" w:name="_Toc150480758"/>
      <w:r/>
      <w:bookmarkStart w:id="139" w:name="_Toc164608789"/>
      <w:r/>
      <w:bookmarkStart w:id="140" w:name="_Toc151193762"/>
      <w:r/>
      <w:bookmarkStart w:id="141" w:name="_Toc150509271"/>
      <w:r/>
      <w:bookmarkStart w:id="142" w:name="_Toc149720813"/>
      <w:r/>
      <w:bookmarkStart w:id="143" w:name="_Toc226337216"/>
      <w:r/>
      <w:bookmarkStart w:id="144" w:name="_Toc226309764"/>
      <w:r/>
      <w:bookmarkStart w:id="145" w:name="_Toc305158788"/>
      <w:r/>
      <w:bookmarkStart w:id="146" w:name="_Toc226965710"/>
      <w:r/>
      <w:bookmarkStart w:id="147" w:name="_Toc127161434"/>
      <w:r/>
      <w:bookmarkStart w:id="148" w:name="_Toc142311022"/>
      <w:r>
        <w:rPr>
          <w:sz w:val="24"/>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sz w:val="24"/>
        </w:rPr>
        <w:t xml:space="preserve">、项目属性、科研仪器设备采购、核心产品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9" w:name="_Toc150480760"/>
      <w:r/>
      <w:bookmarkStart w:id="150" w:name="_Toc226309766"/>
      <w:r/>
      <w:bookmarkStart w:id="151" w:name="_Toc151190149"/>
      <w:r/>
      <w:bookmarkStart w:id="152" w:name="_Toc151193764"/>
      <w:r/>
      <w:bookmarkStart w:id="153" w:name="_Toc265228360"/>
      <w:r/>
      <w:bookmarkStart w:id="154" w:name="_Toc151193836"/>
      <w:r/>
      <w:bookmarkStart w:id="155" w:name="_Toc150774622"/>
      <w:r/>
      <w:bookmarkStart w:id="156" w:name="_Toc305158864"/>
      <w:r/>
      <w:bookmarkStart w:id="157" w:name="_Toc127151522"/>
      <w:r/>
      <w:bookmarkStart w:id="158" w:name="_Toc150774727"/>
      <w:r/>
      <w:bookmarkStart w:id="159" w:name="_Toc226337218"/>
      <w:r/>
      <w:bookmarkStart w:id="160" w:name="_Toc195842887"/>
      <w:r/>
      <w:bookmarkStart w:id="161" w:name="_Toc226965795"/>
      <w:r/>
      <w:bookmarkStart w:id="162" w:name="_Toc150509273"/>
      <w:r/>
      <w:bookmarkStart w:id="163" w:name="_Toc142311024"/>
      <w:r/>
      <w:bookmarkStart w:id="164" w:name="_Toc151193910"/>
      <w:r/>
      <w:bookmarkStart w:id="165" w:name="_Toc151193692"/>
      <w:r/>
      <w:bookmarkStart w:id="166" w:name="_Toc305158790"/>
      <w:r/>
      <w:bookmarkStart w:id="167" w:name="_Toc151193620"/>
      <w:r/>
      <w:bookmarkStart w:id="168" w:name="_Toc226965712"/>
      <w:r/>
      <w:bookmarkStart w:id="169" w:name="_Toc264969212"/>
      <w:r/>
      <w:bookmarkStart w:id="170" w:name="_Toc520356146"/>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w:t>
      </w:r>
      <w:r>
        <w:rPr>
          <w:sz w:val="24"/>
        </w:rPr>
        <w:t xml:space="preserve">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12"/>
        </w:numPr>
        <w:spacing w:line="360" w:lineRule="auto"/>
        <w:tabs>
          <w:tab w:val="left" w:pos="1980" w:leader="none"/>
        </w:tabs>
        <w:rPr>
          <w:sz w:val="24"/>
        </w:rPr>
      </w:pPr>
      <w:r>
        <w:rPr>
          <w:sz w:val="24"/>
        </w:rPr>
        <w:t xml:space="preserve">中小企业定义：</w:t>
      </w:r>
      <w:r/>
    </w:p>
    <w:p>
      <w:pPr>
        <w:pStyle w:val="169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0"/>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0"/>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 xml:space="preserve">2020</w:t>
      </w:r>
      <w:r>
        <w:rPr>
          <w:color w:val="000000"/>
          <w:sz w:val="24"/>
        </w:rPr>
        <w:t xml:space="preserve">〕</w:t>
      </w:r>
      <w:r>
        <w:rPr>
          <w:color w:val="000000"/>
          <w:sz w:val="24"/>
        </w:rPr>
        <w:t xml:space="preserve">46</w:t>
      </w:r>
      <w:r>
        <w:rPr>
          <w:color w:val="000000"/>
          <w:sz w:val="24"/>
        </w:rPr>
        <w:t xml:space="preserve">号）、《关于印发中小企业划型标准规定的通知》（工信部联企业〔</w:t>
      </w:r>
      <w:r>
        <w:rPr>
          <w:color w:val="000000"/>
          <w:sz w:val="24"/>
        </w:rPr>
        <w:t xml:space="preserve">2011</w:t>
      </w:r>
      <w:r>
        <w:rPr>
          <w:color w:val="000000"/>
          <w:sz w:val="24"/>
        </w:rPr>
        <w:t xml:space="preserve">〕</w:t>
      </w:r>
      <w:r>
        <w:rPr>
          <w:color w:val="000000"/>
          <w:sz w:val="24"/>
        </w:rPr>
        <w:t xml:space="preserve">300 </w:t>
      </w:r>
      <w:r>
        <w:rPr>
          <w:color w:val="000000"/>
          <w:sz w:val="24"/>
        </w:rPr>
        <w:t xml:space="preserve">号）、《国务院关于进一步促进中小企业发展的若干意见》（国发〔</w:t>
      </w:r>
      <w:r>
        <w:rPr>
          <w:color w:val="000000"/>
          <w:sz w:val="24"/>
        </w:rPr>
        <w:t xml:space="preserve">2009</w:t>
      </w:r>
      <w:r>
        <w:rPr>
          <w:color w:val="000000"/>
          <w:sz w:val="24"/>
        </w:rPr>
        <w:t xml:space="preserve">〕</w:t>
      </w:r>
      <w:r>
        <w:rPr>
          <w:color w:val="000000"/>
          <w:sz w:val="24"/>
        </w:rPr>
        <w:t xml:space="preserve">36 </w:t>
      </w:r>
      <w:r>
        <w:rPr>
          <w:color w:val="000000"/>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1</w:t>
      </w:r>
      <w:r>
        <w:rPr>
          <w:color w:val="000000"/>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2</w:t>
      </w:r>
      <w:r>
        <w:rPr>
          <w:color w:val="000000"/>
          <w:sz w:val="24"/>
        </w:rPr>
        <w:t xml:space="preserve">）在工程采购项目中，工程由中小企业承建，即工程施工单位为中小企业；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3</w:t>
      </w: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w:t>
      </w:r>
      <w:r>
        <w:rPr>
          <w:color w:val="000000"/>
          <w:sz w:val="24"/>
        </w:rPr>
        <w:t xml:space="preserve">式参加</w:t>
      </w:r>
      <w:r>
        <w:rPr>
          <w:color w:val="000000"/>
          <w:sz w:val="24"/>
        </w:rPr>
        <w:t xml:space="preserve">政府采购活动，联合体各方均为中小企业的，联合体视同中小企业。其中，联合体各方均为小</w:t>
      </w:r>
      <w:r>
        <w:rPr>
          <w:color w:val="000000"/>
          <w:sz w:val="24"/>
        </w:rPr>
        <w:t xml:space="preserve">微企业</w:t>
      </w:r>
      <w:r>
        <w:rPr>
          <w:color w:val="000000"/>
          <w:sz w:val="24"/>
        </w:rPr>
        <w:t xml:space="preserve">的，联合体视同小微企业。</w:t>
      </w:r>
      <w:r/>
    </w:p>
    <w:p>
      <w:pPr>
        <w:numPr>
          <w:ilvl w:val="2"/>
          <w:numId w:val="1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69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w:t>
      </w:r>
      <w:r>
        <w:rPr>
          <w:color w:val="000000"/>
          <w:sz w:val="24"/>
        </w:rPr>
        <w:t xml:space="preserve">25%</w:t>
      </w:r>
      <w:r>
        <w:rPr>
          <w:color w:val="000000"/>
          <w:sz w:val="24"/>
        </w:rPr>
        <w:t xml:space="preserve">（含</w:t>
      </w:r>
      <w:r>
        <w:rPr>
          <w:color w:val="000000"/>
          <w:sz w:val="24"/>
        </w:rPr>
        <w:t xml:space="preserve">25%</w:t>
      </w:r>
      <w:r>
        <w:rPr>
          <w:color w:val="000000"/>
          <w:sz w:val="24"/>
        </w:rPr>
        <w:t xml:space="preserve">），并且安置的残疾人人数不少于</w:t>
      </w:r>
      <w:r>
        <w:rPr>
          <w:color w:val="000000"/>
          <w:sz w:val="24"/>
        </w:rPr>
        <w:t xml:space="preserve">10 </w:t>
      </w:r>
      <w:r>
        <w:rPr>
          <w:color w:val="000000"/>
          <w:sz w:val="24"/>
        </w:rPr>
        <w:t xml:space="preserve">人（含</w:t>
      </w:r>
      <w:r>
        <w:rPr>
          <w:color w:val="000000"/>
          <w:sz w:val="24"/>
        </w:rPr>
        <w:t xml:space="preserve">10 </w:t>
      </w:r>
      <w:r>
        <w:rPr>
          <w:color w:val="000000"/>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w:t>
      </w:r>
      <w:r>
        <w:rPr>
          <w:sz w:val="24"/>
        </w:rPr>
        <w:t xml:space="preserve">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tabs>
          <w:tab w:val="left" w:pos="1980" w:leader="none"/>
        </w:tabs>
        <w:rPr>
          <w:sz w:val="24"/>
        </w:rPr>
      </w:pPr>
      <w:r>
        <w:rPr>
          <w:sz w:val="24"/>
        </w:rPr>
        <w:t xml:space="preserve">本项目是否专门面向中小企业预留采购份额见第一章《投标邀请》。</w:t>
      </w:r>
      <w:r/>
    </w:p>
    <w:p>
      <w:pPr>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12"/>
        </w:numPr>
        <w:spacing w:line="360" w:lineRule="auto"/>
        <w:tabs>
          <w:tab w:val="left" w:pos="1980" w:leader="none"/>
        </w:tabs>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w:t>
      </w:r>
      <w:r>
        <w:rPr>
          <w:sz w:val="24"/>
        </w:rPr>
        <w:t xml:space="preserve">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12"/>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w:t>
      </w:r>
      <w:r>
        <w:rPr>
          <w:sz w:val="24"/>
        </w:rPr>
        <w:t xml:space="preserve">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 </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w:t>
      </w:r>
      <w:r>
        <w:rPr>
          <w:rFonts w:hint="eastAsia" w:ascii="宋体" w:hAnsi="宋体"/>
          <w:sz w:val="24"/>
        </w:rPr>
        <w:t xml:space="preserve">全域推进工作</w:t>
      </w:r>
      <w:r>
        <w:rPr>
          <w:rFonts w:hint="eastAsia" w:ascii="宋体" w:hAnsi="宋体"/>
          <w:sz w:val="24"/>
        </w:rPr>
        <w:t xml:space="preserve">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w:t>
      </w:r>
      <w:r>
        <w:rPr>
          <w:rFonts w:hint="eastAsia" w:ascii="宋体" w:hAnsi="宋体"/>
          <w:sz w:val="24"/>
        </w:rPr>
        <w:t xml:space="preserve">应当提供符合国家和江苏省相关VOCs 含量限制标准的产品；属于推荐性标准的，应当在采购文件中载明低VOCs的优惠幅度、评审标准等，以体现优先采购。</w:t>
      </w:r>
      <w:r/>
    </w:p>
    <w:p>
      <w:pPr>
        <w:ind w:firstLine="120"/>
        <w:spacing w:line="480" w:lineRule="exact"/>
        <w:rPr>
          <w:sz w:val="24"/>
        </w:rPr>
      </w:pPr>
      <w:r>
        <w:rPr>
          <w:rFonts w:hint="eastAsia"/>
          <w:sz w:val="24"/>
        </w:rPr>
        <w:t xml:space="preserve">5.8     </w:t>
      </w:r>
      <w:r>
        <w:rPr>
          <w:rFonts w:hint="eastAsia"/>
          <w:sz w:val="24"/>
        </w:rPr>
        <w:t xml:space="preserve">政府采购中实施本国产品标准及相关政策</w:t>
      </w:r>
      <w:r/>
    </w:p>
    <w:p>
      <w:pPr>
        <w:ind w:left="1197"/>
        <w:spacing w:line="480" w:lineRule="exact"/>
        <w:rPr>
          <w:rFonts w:hint="eastAsia" w:ascii="宋体" w:hAnsi="宋体"/>
          <w:sz w:val="24"/>
        </w:rPr>
      </w:pPr>
      <w:r>
        <w:rPr>
          <w:rFonts w:hint="eastAsia" w:ascii="宋体" w:hAnsi="宋体"/>
          <w:sz w:val="24"/>
        </w:rPr>
        <w:t xml:space="preserve">5.8.1本项目对采购本国产品给予政策支持，具体内容见招标文件“第四章 评标程序、评标方法与评标标准”。</w:t>
      </w:r>
      <w:r/>
    </w:p>
    <w:p>
      <w:pPr>
        <w:ind w:left="1197"/>
        <w:spacing w:line="480" w:lineRule="exact"/>
        <w:rPr>
          <w:rFonts w:hint="eastAsia" w:ascii="宋体" w:hAnsi="宋体"/>
          <w:sz w:val="24"/>
        </w:rPr>
      </w:pPr>
      <w:r>
        <w:rPr>
          <w:rFonts w:hint="eastAsia" w:ascii="宋体" w:hAnsi="宋体"/>
          <w:sz w:val="24"/>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rFonts w:hint="eastAsia" w:ascii="宋体" w:hAnsi="宋体"/>
          <w:sz w:val="24"/>
        </w:rPr>
      </w:pPr>
      <w:r>
        <w:rPr>
          <w:rFonts w:hint="eastAsia" w:ascii="宋体" w:hAnsi="宋体"/>
          <w:sz w:val="24"/>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1" w:name="_1.8_计量单位"/>
      <w:r/>
      <w:bookmarkEnd w:id="171"/>
      <w:r/>
      <w:r/>
    </w:p>
    <w:p>
      <w:pPr>
        <w:pStyle w:val="1012"/>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
    </w:p>
    <w:p>
      <w:pPr>
        <w:numPr>
          <w:ilvl w:val="0"/>
          <w:numId w:val="12"/>
        </w:numPr>
        <w:ind w:left="357" w:hanging="357"/>
        <w:spacing w:line="360" w:lineRule="auto"/>
        <w:tabs>
          <w:tab w:val="left" w:pos="360" w:leader="none"/>
          <w:tab w:val="left" w:pos="900" w:leader="none"/>
        </w:tabs>
        <w:rPr>
          <w:sz w:val="24"/>
        </w:rPr>
        <w:outlineLvl w:val="1"/>
      </w:pPr>
      <w:r/>
      <w:bookmarkStart w:id="172" w:name="_Toc520356147"/>
      <w:r/>
      <w:bookmarkStart w:id="173" w:name="_Toc150509274"/>
      <w:r/>
      <w:bookmarkStart w:id="174" w:name="_Toc151193911"/>
      <w:r/>
      <w:bookmarkStart w:id="175" w:name="_Toc164351617"/>
      <w:r/>
      <w:bookmarkStart w:id="176" w:name="_Toc151193621"/>
      <w:r/>
      <w:bookmarkStart w:id="177" w:name="_Toc164229218"/>
      <w:r/>
      <w:bookmarkStart w:id="178" w:name="_Toc127151724"/>
      <w:r/>
      <w:bookmarkStart w:id="179" w:name="_Toc149720816"/>
      <w:r/>
      <w:bookmarkStart w:id="180" w:name="_Toc164608637"/>
      <w:r/>
      <w:bookmarkStart w:id="181" w:name="_Toc305158791"/>
      <w:r/>
      <w:bookmarkStart w:id="182" w:name="_Toc151193765"/>
      <w:r/>
      <w:bookmarkStart w:id="183" w:name="_Toc150480761"/>
      <w:r/>
      <w:bookmarkStart w:id="184" w:name="_Toc142311025"/>
      <w:r/>
      <w:bookmarkStart w:id="185" w:name="_Toc226309767"/>
      <w:r/>
      <w:bookmarkStart w:id="186" w:name="_Toc305158865"/>
      <w:r/>
      <w:bookmarkStart w:id="187" w:name="_Toc226337219"/>
      <w:r/>
      <w:bookmarkStart w:id="188" w:name="_Toc150774728"/>
      <w:r/>
      <w:bookmarkStart w:id="189" w:name="_Toc127151523"/>
      <w:r/>
      <w:bookmarkStart w:id="190" w:name="_Toc151193837"/>
      <w:r/>
      <w:bookmarkStart w:id="191" w:name="_Toc226965796"/>
      <w:r/>
      <w:bookmarkStart w:id="192" w:name="_Toc151190150"/>
      <w:r/>
      <w:bookmarkStart w:id="193" w:name="_Toc151193693"/>
      <w:r/>
      <w:bookmarkStart w:id="194" w:name="_Toc195842888"/>
      <w:r/>
      <w:bookmarkStart w:id="195" w:name="_Toc226965713"/>
      <w:r/>
      <w:bookmarkStart w:id="196" w:name="_Toc164608792"/>
      <w:r/>
      <w:bookmarkStart w:id="197" w:name="_Toc265228361"/>
      <w:r/>
      <w:bookmarkStart w:id="198" w:name="_Toc150774623"/>
      <w:r/>
      <w:bookmarkStart w:id="199" w:name="_Toc164229364"/>
      <w:r/>
      <w:bookmarkStart w:id="200" w:name="_Toc127161437"/>
      <w:r/>
      <w:bookmarkStart w:id="201" w:name="_Toc264969213"/>
      <w:r>
        <w:rPr>
          <w:sz w:val="24"/>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sz w:val="24"/>
        </w:rPr>
        <w:t xml:space="preserve">成</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w:t>
      </w:r>
      <w:r>
        <w:rPr>
          <w:sz w:val="24"/>
        </w:rPr>
        <w:t xml:space="preserve">的合同文本</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2" w:name="_Toc516367020"/>
      <w:r/>
      <w:bookmarkStart w:id="203" w:name="_Toc226337222"/>
      <w:r/>
      <w:bookmarkStart w:id="204" w:name="_Toc151193696"/>
      <w:r/>
      <w:bookmarkStart w:id="205" w:name="_Toc151193768"/>
      <w:r/>
      <w:bookmarkStart w:id="206" w:name="_Toc226309770"/>
      <w:r/>
      <w:bookmarkStart w:id="207" w:name="_Toc151190153"/>
      <w:r/>
      <w:bookmarkStart w:id="208" w:name="_Toc226965716"/>
      <w:r/>
      <w:bookmarkStart w:id="209" w:name="_Toc127151526"/>
      <w:r/>
      <w:bookmarkStart w:id="210" w:name="_Toc151193914"/>
      <w:r/>
      <w:bookmarkStart w:id="211" w:name="_Toc142311028"/>
      <w:r/>
      <w:bookmarkStart w:id="212" w:name="_Toc264969216"/>
      <w:r/>
      <w:bookmarkStart w:id="213" w:name="_Toc226965799"/>
      <w:r/>
      <w:bookmarkStart w:id="214" w:name="_Toc520356150"/>
      <w:r/>
      <w:bookmarkStart w:id="215" w:name="_Toc265228364"/>
      <w:r/>
      <w:bookmarkStart w:id="216" w:name="_Toc150480764"/>
      <w:r/>
      <w:bookmarkStart w:id="217" w:name="_Toc150509277"/>
      <w:r/>
      <w:bookmarkStart w:id="218" w:name="_Toc150774731"/>
      <w:r/>
      <w:bookmarkStart w:id="219" w:name="_Toc150774626"/>
      <w:r/>
      <w:bookmarkStart w:id="220" w:name="_Toc151193840"/>
      <w:r/>
      <w:bookmarkStart w:id="221" w:name="_Toc195842891"/>
      <w:r/>
      <w:bookmarkStart w:id="222" w:name="_Toc305158868"/>
      <w:r/>
      <w:bookmarkStart w:id="223" w:name="_Toc305158794"/>
      <w:r/>
      <w:bookmarkStart w:id="224" w:name="_Toc151193624"/>
      <w:r/>
      <w:r/>
    </w:p>
    <w:p>
      <w:pPr>
        <w:pStyle w:val="1012"/>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2"/>
      <w:r>
        <w:rPr>
          <w:rFonts w:ascii="Times New Roman" w:hAnsi="Times New Roman" w:eastAsia="宋体"/>
          <w:sz w:val="28"/>
        </w:rPr>
        <w:t xml:space="preserve">的编制</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numPr>
          <w:ilvl w:val="0"/>
          <w:numId w:val="12"/>
        </w:numPr>
        <w:ind w:left="357" w:hanging="357"/>
        <w:spacing w:line="360" w:lineRule="auto"/>
        <w:tabs>
          <w:tab w:val="left" w:pos="360" w:leader="none"/>
          <w:tab w:val="left" w:pos="900" w:leader="none"/>
        </w:tabs>
        <w:rPr>
          <w:sz w:val="24"/>
        </w:rPr>
        <w:outlineLvl w:val="1"/>
      </w:pPr>
      <w:r/>
      <w:bookmarkStart w:id="225" w:name="_Toc151193841"/>
      <w:r/>
      <w:bookmarkStart w:id="226" w:name="_Toc226309771"/>
      <w:r/>
      <w:bookmarkStart w:id="227" w:name="_Toc265228365"/>
      <w:r/>
      <w:bookmarkStart w:id="228" w:name="_Toc164608641"/>
      <w:r/>
      <w:bookmarkStart w:id="229" w:name="_Toc150480765"/>
      <w:r/>
      <w:bookmarkStart w:id="230" w:name="_Toc127161441"/>
      <w:r/>
      <w:bookmarkStart w:id="231" w:name="_Toc226965717"/>
      <w:r/>
      <w:bookmarkStart w:id="232" w:name="_Toc164229368"/>
      <w:r/>
      <w:bookmarkStart w:id="233" w:name="_Toc151193769"/>
      <w:r/>
      <w:bookmarkStart w:id="234" w:name="_Toc150774627"/>
      <w:r/>
      <w:bookmarkStart w:id="235" w:name="_Toc150774732"/>
      <w:r/>
      <w:bookmarkStart w:id="236" w:name="_Toc520356151"/>
      <w:r/>
      <w:bookmarkStart w:id="237" w:name="_Toc151193915"/>
      <w:r/>
      <w:bookmarkStart w:id="238" w:name="_Toc142311029"/>
      <w:r/>
      <w:bookmarkStart w:id="239" w:name="_Toc127151527"/>
      <w:r/>
      <w:bookmarkStart w:id="240" w:name="_Toc264969217"/>
      <w:r/>
      <w:bookmarkStart w:id="241" w:name="_Toc127151728"/>
      <w:r/>
      <w:bookmarkStart w:id="242" w:name="_Toc149720820"/>
      <w:r/>
      <w:bookmarkStart w:id="243" w:name="_Toc151193697"/>
      <w:r/>
      <w:bookmarkStart w:id="244" w:name="_Toc305158869"/>
      <w:r/>
      <w:bookmarkStart w:id="245" w:name="_Toc150509278"/>
      <w:r/>
      <w:bookmarkStart w:id="246" w:name="_Toc226965800"/>
      <w:r/>
      <w:bookmarkStart w:id="247" w:name="_Toc164229222"/>
      <w:r/>
      <w:bookmarkStart w:id="248" w:name="_Toc151193625"/>
      <w:r/>
      <w:bookmarkStart w:id="249" w:name="_Toc226337223"/>
      <w:r/>
      <w:bookmarkStart w:id="250" w:name="_Toc516367021"/>
      <w:r/>
      <w:bookmarkStart w:id="251" w:name="_Toc164608796"/>
      <w:r/>
      <w:bookmarkStart w:id="252" w:name="_Toc151190154"/>
      <w:r/>
      <w:bookmarkStart w:id="253" w:name="_Toc305158795"/>
      <w:r/>
      <w:bookmarkStart w:id="254" w:name="_Toc164351621"/>
      <w:r/>
      <w:bookmarkStart w:id="255" w:name="_Toc195842892"/>
      <w:r>
        <w:rPr>
          <w:sz w:val="24"/>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sz w:val="24"/>
        </w:rPr>
        <w:t xml:space="preserve">及投标语言</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2"/>
        </w:numPr>
        <w:ind w:left="357" w:hanging="357"/>
        <w:spacing w:line="360" w:lineRule="auto"/>
        <w:tabs>
          <w:tab w:val="left" w:pos="360" w:leader="none"/>
          <w:tab w:val="left" w:pos="900" w:leader="none"/>
        </w:tabs>
        <w:rPr>
          <w:sz w:val="24"/>
        </w:rPr>
        <w:outlineLvl w:val="1"/>
      </w:pPr>
      <w:r/>
      <w:bookmarkStart w:id="256" w:name="_Toc516367022"/>
      <w:r/>
      <w:bookmarkStart w:id="257" w:name="_Ref467306676"/>
      <w:r/>
      <w:bookmarkStart w:id="258" w:name="_Ref467306195"/>
      <w:r/>
      <w:bookmarkStart w:id="259" w:name="_Toc150509279"/>
      <w:r/>
      <w:bookmarkStart w:id="260" w:name="_Toc164351622"/>
      <w:r/>
      <w:bookmarkStart w:id="261" w:name="_Toc226337224"/>
      <w:r/>
      <w:bookmarkStart w:id="262" w:name="_Toc164608642"/>
      <w:r/>
      <w:bookmarkStart w:id="263" w:name="_Toc226309772"/>
      <w:r/>
      <w:bookmarkStart w:id="264" w:name="_Toc127151528"/>
      <w:r/>
      <w:bookmarkStart w:id="265" w:name="_Toc265228366"/>
      <w:r/>
      <w:bookmarkStart w:id="266" w:name="_Toc151193698"/>
      <w:r/>
      <w:bookmarkStart w:id="267" w:name="_Toc164229369"/>
      <w:r/>
      <w:bookmarkStart w:id="268" w:name="_Toc151193916"/>
      <w:r/>
      <w:bookmarkStart w:id="269" w:name="_Toc151190155"/>
      <w:r/>
      <w:bookmarkStart w:id="270" w:name="_Toc151193842"/>
      <w:r/>
      <w:bookmarkStart w:id="271" w:name="_Toc127161442"/>
      <w:r/>
      <w:bookmarkStart w:id="272" w:name="_Toc150774628"/>
      <w:r/>
      <w:bookmarkStart w:id="273" w:name="_Toc164229223"/>
      <w:r/>
      <w:bookmarkStart w:id="274" w:name="_Toc150774733"/>
      <w:r/>
      <w:bookmarkStart w:id="275" w:name="_Toc151193626"/>
      <w:r/>
      <w:bookmarkStart w:id="276" w:name="_Toc264969218"/>
      <w:r/>
      <w:bookmarkStart w:id="277" w:name="_Toc142311030"/>
      <w:r/>
      <w:bookmarkStart w:id="278" w:name="_Toc150480766"/>
      <w:r/>
      <w:bookmarkStart w:id="279" w:name="_Toc195842893"/>
      <w:r/>
      <w:bookmarkStart w:id="280" w:name="_Toc226965718"/>
      <w:r/>
      <w:bookmarkStart w:id="281" w:name="_Toc149720821"/>
      <w:r/>
      <w:bookmarkStart w:id="282" w:name="_Toc305158870"/>
      <w:r/>
      <w:bookmarkStart w:id="283" w:name="_Toc151193770"/>
      <w:r/>
      <w:bookmarkStart w:id="284" w:name="_Toc127151729"/>
      <w:r/>
      <w:bookmarkStart w:id="285" w:name="_Toc305158796"/>
      <w:r/>
      <w:bookmarkStart w:id="286" w:name="_Toc226965801"/>
      <w:r/>
      <w:bookmarkStart w:id="287" w:name="_Toc164608797"/>
      <w:r/>
      <w:bookmarkStart w:id="288" w:name="_Toc520356152"/>
      <w:r>
        <w:rPr>
          <w:sz w:val="24"/>
        </w:rPr>
        <w:t xml:space="preserve">投标文件</w:t>
      </w:r>
      <w:bookmarkEnd w:id="256"/>
      <w:r/>
      <w:bookmarkEnd w:id="257"/>
      <w:r/>
      <w:bookmarkEnd w:id="258"/>
      <w:r>
        <w:rPr>
          <w:sz w:val="24"/>
        </w:rPr>
        <w:t xml:space="preserve">构成</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289" w:name="_Ref467052588"/>
      <w:r>
        <w:rPr>
          <w:sz w:val="24"/>
        </w:rPr>
        <w:t xml:space="preserve">投标人应当按照招标文件的要求编制投标文件。投标文件应由《资格证明文件》、《商务技术文件》两部分构成。投标文件的部分格式要求，见第七章</w:t>
      </w:r>
      <w:r>
        <w:rPr>
          <w:sz w:val="24"/>
        </w:rPr>
        <w:t xml:space="preserve">《投标文件格式》。</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9"/>
      <w:r/>
      <w:r/>
    </w:p>
    <w:p>
      <w:pPr>
        <w:numPr>
          <w:ilvl w:val="0"/>
          <w:numId w:val="12"/>
        </w:numPr>
        <w:ind w:left="357" w:hanging="357"/>
        <w:spacing w:line="360" w:lineRule="auto"/>
        <w:tabs>
          <w:tab w:val="left" w:pos="360" w:leader="none"/>
          <w:tab w:val="left" w:pos="900" w:leader="none"/>
        </w:tabs>
        <w:rPr>
          <w:sz w:val="24"/>
        </w:rPr>
        <w:outlineLvl w:val="1"/>
      </w:pPr>
      <w:r/>
      <w:bookmarkStart w:id="290" w:name="_Toc151193918"/>
      <w:r/>
      <w:bookmarkStart w:id="291" w:name="_Toc151190157"/>
      <w:r/>
      <w:bookmarkStart w:id="292" w:name="_Toc142311032"/>
      <w:r/>
      <w:bookmarkStart w:id="293" w:name="_Toc151193772"/>
      <w:r/>
      <w:bookmarkStart w:id="294" w:name="_Toc164608644"/>
      <w:r/>
      <w:bookmarkStart w:id="295" w:name="_Toc164229371"/>
      <w:r/>
      <w:bookmarkStart w:id="296" w:name="_Toc150509281"/>
      <w:r/>
      <w:bookmarkStart w:id="297" w:name="_Toc151193844"/>
      <w:r/>
      <w:bookmarkStart w:id="298" w:name="_Toc127151731"/>
      <w:r/>
      <w:bookmarkStart w:id="299" w:name="_Toc150774630"/>
      <w:r/>
      <w:bookmarkStart w:id="300" w:name="_Toc127161444"/>
      <w:r/>
      <w:bookmarkStart w:id="301" w:name="_Toc520356155"/>
      <w:r/>
      <w:bookmarkStart w:id="302" w:name="_Toc150480768"/>
      <w:r/>
      <w:bookmarkStart w:id="303" w:name="_Toc164229225"/>
      <w:r/>
      <w:bookmarkStart w:id="304" w:name="_Toc195842895"/>
      <w:r/>
      <w:bookmarkStart w:id="305" w:name="_Toc127151530"/>
      <w:r/>
      <w:bookmarkStart w:id="306" w:name="_Toc150774735"/>
      <w:r/>
      <w:bookmarkStart w:id="307" w:name="_Toc164608799"/>
      <w:r/>
      <w:bookmarkStart w:id="308" w:name="_Toc149720823"/>
      <w:r/>
      <w:bookmarkStart w:id="309" w:name="_Toc151193700"/>
      <w:r/>
      <w:bookmarkStart w:id="310" w:name="_Toc151193628"/>
      <w:r/>
      <w:bookmarkStart w:id="311" w:name="_Toc164351624"/>
      <w:r>
        <w:rPr>
          <w:sz w:val="24"/>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12" w:name="_Toc226965804"/>
      <w:r/>
      <w:bookmarkStart w:id="313" w:name="_Toc151193845"/>
      <w:r/>
      <w:bookmarkStart w:id="314" w:name="_Toc195842896"/>
      <w:r/>
      <w:bookmarkStart w:id="315" w:name="_Toc150480769"/>
      <w:r/>
      <w:bookmarkStart w:id="316" w:name="_Toc151190158"/>
      <w:r/>
      <w:bookmarkStart w:id="317" w:name="_Toc164608800"/>
      <w:r/>
      <w:bookmarkStart w:id="318" w:name="_Toc226965721"/>
      <w:r/>
      <w:bookmarkStart w:id="319" w:name="_Toc226309775"/>
      <w:r/>
      <w:bookmarkStart w:id="320" w:name="_Toc520356156"/>
      <w:r/>
      <w:bookmarkStart w:id="321" w:name="_Toc226337227"/>
      <w:r/>
      <w:bookmarkStart w:id="322" w:name="_Toc164229372"/>
      <w:r/>
      <w:bookmarkStart w:id="323" w:name="_Toc164351625"/>
      <w:r/>
      <w:bookmarkStart w:id="324" w:name="_Toc265228369"/>
      <w:r/>
      <w:bookmarkStart w:id="325" w:name="_Toc127161445"/>
      <w:r/>
      <w:bookmarkStart w:id="326" w:name="_Toc151193919"/>
      <w:r/>
      <w:bookmarkStart w:id="327" w:name="_Toc149720824"/>
      <w:r/>
      <w:bookmarkStart w:id="328" w:name="_Toc305158799"/>
      <w:r/>
      <w:bookmarkStart w:id="329" w:name="_Toc150774631"/>
      <w:r/>
      <w:bookmarkStart w:id="330" w:name="_Toc164229226"/>
      <w:r/>
      <w:bookmarkStart w:id="331" w:name="_Toc151193629"/>
      <w:r/>
      <w:bookmarkStart w:id="332" w:name="_Toc150774736"/>
      <w:r/>
      <w:bookmarkStart w:id="333" w:name="_Toc127151732"/>
      <w:r/>
      <w:bookmarkStart w:id="334" w:name="_Toc164608645"/>
      <w:r/>
      <w:bookmarkStart w:id="335" w:name="_Toc264969221"/>
      <w:r/>
      <w:bookmarkStart w:id="336" w:name="_Toc305158873"/>
      <w:r/>
      <w:bookmarkStart w:id="337" w:name="_Ref467306513"/>
      <w:r/>
      <w:bookmarkStart w:id="338" w:name="_Toc151193701"/>
      <w:r/>
      <w:bookmarkStart w:id="339" w:name="_Toc127151531"/>
      <w:r/>
      <w:bookmarkStart w:id="340" w:name="_Toc150509282"/>
      <w:r/>
      <w:bookmarkStart w:id="341" w:name="_Toc151193773"/>
      <w:r/>
      <w:bookmarkStart w:id="342" w:name="_Toc142311033"/>
      <w:r>
        <w:rPr>
          <w:sz w:val="24"/>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 w:val="left" w:pos="900" w:leader="none"/>
        </w:tabs>
        <w:rPr>
          <w:sz w:val="24"/>
        </w:rPr>
        <w:outlineLvl w:val="1"/>
      </w:pPr>
      <w:r/>
      <w:bookmarkStart w:id="343" w:name="_Toc164351626"/>
      <w:r/>
      <w:bookmarkStart w:id="344" w:name="_Toc150480770"/>
      <w:r/>
      <w:bookmarkStart w:id="345" w:name="_Toc127161446"/>
      <w:r/>
      <w:bookmarkStart w:id="346" w:name="_Toc264969222"/>
      <w:r/>
      <w:bookmarkStart w:id="347" w:name="_Toc151193774"/>
      <w:r/>
      <w:bookmarkStart w:id="348" w:name="_Toc305158874"/>
      <w:r/>
      <w:bookmarkStart w:id="349" w:name="_Toc142311034"/>
      <w:r/>
      <w:bookmarkStart w:id="350" w:name="_Toc150774737"/>
      <w:r/>
      <w:bookmarkStart w:id="351" w:name="_Toc164608801"/>
      <w:r/>
      <w:bookmarkStart w:id="352" w:name="_Toc305158800"/>
      <w:r/>
      <w:bookmarkStart w:id="353" w:name="_Toc226965722"/>
      <w:r/>
      <w:bookmarkStart w:id="354" w:name="_Toc127151532"/>
      <w:r/>
      <w:bookmarkStart w:id="355" w:name="_Toc151193702"/>
      <w:r/>
      <w:bookmarkStart w:id="356" w:name="_Toc149720825"/>
      <w:r/>
      <w:bookmarkStart w:id="357" w:name="_Toc164229373"/>
      <w:r/>
      <w:bookmarkStart w:id="358" w:name="_Toc151190159"/>
      <w:r/>
      <w:bookmarkStart w:id="359" w:name="_Toc226309776"/>
      <w:r/>
      <w:bookmarkStart w:id="360" w:name="_Toc226337228"/>
      <w:r/>
      <w:bookmarkStart w:id="361" w:name="_Toc265228370"/>
      <w:r/>
      <w:bookmarkStart w:id="362" w:name="_Toc150774632"/>
      <w:r/>
      <w:bookmarkStart w:id="363" w:name="_Toc164608646"/>
      <w:r/>
      <w:bookmarkStart w:id="364" w:name="_Toc164229227"/>
      <w:r/>
      <w:bookmarkStart w:id="365" w:name="_Toc150509283"/>
      <w:r/>
      <w:bookmarkStart w:id="366" w:name="_Toc226965805"/>
      <w:r/>
      <w:bookmarkStart w:id="367" w:name="_Toc195842897"/>
      <w:r/>
      <w:bookmarkStart w:id="368" w:name="_Toc151193846"/>
      <w:r/>
      <w:bookmarkStart w:id="369" w:name="_Toc151193630"/>
      <w:r/>
      <w:bookmarkStart w:id="370" w:name="_Toc520356157"/>
      <w:r/>
      <w:bookmarkStart w:id="371" w:name="_Toc151193920"/>
      <w:r/>
      <w:bookmarkStart w:id="372" w:name="_Toc127151733"/>
      <w:r>
        <w:rPr>
          <w:sz w:val="24"/>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73" w:name="_Toc127151734"/>
      <w:r/>
      <w:bookmarkStart w:id="374" w:name="_Toc151193703"/>
      <w:r/>
      <w:bookmarkStart w:id="375" w:name="_Toc151193921"/>
      <w:r/>
      <w:bookmarkStart w:id="376" w:name="_Toc305158801"/>
      <w:r/>
      <w:bookmarkStart w:id="377" w:name="_Toc151193631"/>
      <w:r/>
      <w:bookmarkStart w:id="378" w:name="_Toc305158875"/>
      <w:r/>
      <w:bookmarkStart w:id="379" w:name="_Toc149720826"/>
      <w:r/>
      <w:bookmarkStart w:id="380" w:name="_Toc127161447"/>
      <w:r/>
      <w:bookmarkStart w:id="381" w:name="_Toc150774738"/>
      <w:r/>
      <w:bookmarkStart w:id="382" w:name="_Toc520356158"/>
      <w:r/>
      <w:bookmarkStart w:id="383" w:name="_Toc226309777"/>
      <w:r/>
      <w:bookmarkStart w:id="384" w:name="_Toc226965723"/>
      <w:r/>
      <w:bookmarkStart w:id="385" w:name="_Toc164351627"/>
      <w:r/>
      <w:bookmarkStart w:id="386" w:name="_Toc265228371"/>
      <w:r/>
      <w:bookmarkStart w:id="387" w:name="_Toc164229374"/>
      <w:r/>
      <w:bookmarkStart w:id="388" w:name="_Toc150509284"/>
      <w:r/>
      <w:bookmarkStart w:id="389" w:name="_Toc142311035"/>
      <w:r/>
      <w:bookmarkStart w:id="390" w:name="_Toc164608647"/>
      <w:r/>
      <w:bookmarkStart w:id="391" w:name="_Toc151193775"/>
      <w:r/>
      <w:bookmarkStart w:id="392" w:name="_Toc151190160"/>
      <w:r/>
      <w:bookmarkStart w:id="393" w:name="_Toc226337229"/>
      <w:r/>
      <w:bookmarkStart w:id="394" w:name="_Toc264969223"/>
      <w:r/>
      <w:bookmarkStart w:id="395" w:name="_Toc150480771"/>
      <w:r/>
      <w:bookmarkStart w:id="396" w:name="_Toc151193847"/>
      <w:r/>
      <w:bookmarkStart w:id="397" w:name="_Toc150774633"/>
      <w:r/>
      <w:bookmarkStart w:id="398" w:name="_Toc164229228"/>
      <w:r/>
      <w:bookmarkStart w:id="399" w:name="_Toc226965806"/>
      <w:r/>
      <w:bookmarkStart w:id="400" w:name="_Toc127151533"/>
      <w:r/>
      <w:bookmarkStart w:id="401" w:name="_Toc195842898"/>
      <w:r/>
      <w:bookmarkStart w:id="402" w:name="_Toc164608802"/>
      <w:r>
        <w:rPr>
          <w:sz w:val="24"/>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sz w:val="24"/>
        </w:rPr>
        <w:t xml:space="preserve">、加盖公章</w:t>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403" w:name="_Toc150774634"/>
      <w:r/>
      <w:bookmarkStart w:id="404" w:name="_Toc265228372"/>
      <w:r/>
      <w:bookmarkStart w:id="405" w:name="_Toc150774739"/>
      <w:r/>
      <w:bookmarkStart w:id="406" w:name="_Toc151190161"/>
      <w:r/>
      <w:bookmarkStart w:id="407" w:name="_Toc305158802"/>
      <w:r/>
      <w:bookmarkStart w:id="408" w:name="_Toc151193922"/>
      <w:r/>
      <w:bookmarkStart w:id="409" w:name="_Toc226965807"/>
      <w:r/>
      <w:bookmarkStart w:id="410" w:name="_Toc142311036"/>
      <w:r/>
      <w:bookmarkStart w:id="411" w:name="_Toc150480772"/>
      <w:r/>
      <w:bookmarkStart w:id="412" w:name="_Toc151193848"/>
      <w:r/>
      <w:bookmarkStart w:id="413" w:name="_Toc150509285"/>
      <w:r/>
      <w:bookmarkStart w:id="414" w:name="_Toc226309778"/>
      <w:r/>
      <w:bookmarkStart w:id="415" w:name="_Toc151193776"/>
      <w:r/>
      <w:bookmarkStart w:id="416" w:name="_Toc305158876"/>
      <w:r/>
      <w:bookmarkStart w:id="417" w:name="_Toc151193632"/>
      <w:r/>
      <w:bookmarkStart w:id="418" w:name="_Toc195842899"/>
      <w:r/>
      <w:bookmarkStart w:id="419" w:name="_Toc151193704"/>
      <w:r/>
      <w:bookmarkStart w:id="420" w:name="_Toc226337230"/>
      <w:r/>
      <w:bookmarkStart w:id="421" w:name="_Toc264969224"/>
      <w:r/>
      <w:bookmarkStart w:id="422" w:name="_Toc127151534"/>
      <w:r/>
      <w:bookmarkStart w:id="423" w:name="_Toc226965724"/>
      <w:r/>
      <w:bookmarkStart w:id="424" w:name="_Toc520356159"/>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12"/>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numPr>
          <w:ilvl w:val="0"/>
          <w:numId w:val="12"/>
        </w:numPr>
        <w:ind w:left="357" w:hanging="357"/>
        <w:spacing w:line="360" w:lineRule="auto"/>
        <w:tabs>
          <w:tab w:val="left" w:pos="360" w:leader="none"/>
          <w:tab w:val="left" w:pos="900" w:leader="none"/>
        </w:tabs>
        <w:rPr>
          <w:sz w:val="24"/>
        </w:rPr>
        <w:outlineLvl w:val="1"/>
      </w:pPr>
      <w:r/>
      <w:bookmarkStart w:id="425" w:name="_Toc149720828"/>
      <w:r/>
      <w:bookmarkStart w:id="426" w:name="_Toc226965725"/>
      <w:r/>
      <w:bookmarkStart w:id="427" w:name="_Toc151193705"/>
      <w:r/>
      <w:bookmarkStart w:id="428" w:name="_Toc305158877"/>
      <w:r/>
      <w:bookmarkStart w:id="429" w:name="_Toc127151535"/>
      <w:r/>
      <w:bookmarkStart w:id="430" w:name="_Toc127161449"/>
      <w:r/>
      <w:bookmarkStart w:id="431" w:name="_Toc151190162"/>
      <w:r/>
      <w:bookmarkStart w:id="432" w:name="_Toc150774740"/>
      <w:r/>
      <w:bookmarkStart w:id="433" w:name="_Toc151193633"/>
      <w:r/>
      <w:bookmarkStart w:id="434" w:name="_Toc142311037"/>
      <w:r/>
      <w:bookmarkStart w:id="435" w:name="_Toc150480773"/>
      <w:r/>
      <w:bookmarkStart w:id="436" w:name="_Toc520356160"/>
      <w:r/>
      <w:bookmarkStart w:id="437" w:name="_Toc151193849"/>
      <w:r/>
      <w:bookmarkStart w:id="438" w:name="_Toc265228373"/>
      <w:r/>
      <w:bookmarkStart w:id="439" w:name="_Toc195842900"/>
      <w:r/>
      <w:bookmarkStart w:id="440" w:name="_Toc226337231"/>
      <w:r/>
      <w:bookmarkStart w:id="441" w:name="_Toc264969225"/>
      <w:r/>
      <w:bookmarkStart w:id="442" w:name="_Toc226309779"/>
      <w:r/>
      <w:bookmarkStart w:id="443" w:name="_Toc164229376"/>
      <w:r/>
      <w:bookmarkStart w:id="444" w:name="_Toc150509286"/>
      <w:r/>
      <w:bookmarkStart w:id="445" w:name="_Toc226965808"/>
      <w:r/>
      <w:bookmarkStart w:id="446" w:name="_Toc151193923"/>
      <w:r/>
      <w:bookmarkStart w:id="447" w:name="_Toc164608649"/>
      <w:r/>
      <w:bookmarkStart w:id="448" w:name="_Toc305158803"/>
      <w:r/>
      <w:bookmarkStart w:id="449" w:name="_Toc127151736"/>
      <w:r/>
      <w:bookmarkStart w:id="450" w:name="_Toc164229230"/>
      <w:r/>
      <w:bookmarkStart w:id="451" w:name="_Toc151193777"/>
      <w:r/>
      <w:bookmarkStart w:id="452" w:name="_Toc164608804"/>
      <w:r/>
      <w:bookmarkStart w:id="453" w:name="_Toc164351629"/>
      <w:r/>
      <w:bookmarkStart w:id="454" w:name="_Toc150774635"/>
      <w:r>
        <w:rPr>
          <w:sz w:val="24"/>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sz w:val="24"/>
        </w:rPr>
        <w:t xml:space="preserve">提交</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 w:val="left" w:pos="900" w:leader="none"/>
        </w:tabs>
        <w:rPr>
          <w:sz w:val="24"/>
        </w:rPr>
        <w:outlineLvl w:val="1"/>
      </w:pPr>
      <w:r/>
      <w:bookmarkStart w:id="455" w:name="_Toc195842901"/>
      <w:r/>
      <w:bookmarkStart w:id="456" w:name="_Toc149720829"/>
      <w:r/>
      <w:bookmarkStart w:id="457" w:name="_Toc151193778"/>
      <w:r/>
      <w:bookmarkStart w:id="458" w:name="_Toc305158878"/>
      <w:r/>
      <w:bookmarkStart w:id="459" w:name="_Toc264969226"/>
      <w:r/>
      <w:bookmarkStart w:id="460" w:name="_Toc151193706"/>
      <w:r/>
      <w:bookmarkStart w:id="461" w:name="_Toc150509287"/>
      <w:r/>
      <w:bookmarkStart w:id="462" w:name="_Toc150480774"/>
      <w:r/>
      <w:bookmarkStart w:id="463" w:name="_Toc265228374"/>
      <w:r/>
      <w:bookmarkStart w:id="464" w:name="_Toc142311038"/>
      <w:r/>
      <w:bookmarkStart w:id="465" w:name="_Toc150774636"/>
      <w:r/>
      <w:bookmarkStart w:id="466" w:name="_Toc127151536"/>
      <w:r/>
      <w:bookmarkStart w:id="467" w:name="_Toc151193634"/>
      <w:r/>
      <w:bookmarkStart w:id="468" w:name="_Toc164229231"/>
      <w:r/>
      <w:bookmarkStart w:id="469" w:name="_Toc164351630"/>
      <w:r/>
      <w:bookmarkStart w:id="470" w:name="_Toc127151737"/>
      <w:r/>
      <w:bookmarkStart w:id="471" w:name="_Toc127161450"/>
      <w:r/>
      <w:bookmarkStart w:id="472" w:name="_Toc150774741"/>
      <w:r/>
      <w:bookmarkStart w:id="473" w:name="_Toc226309780"/>
      <w:r/>
      <w:bookmarkStart w:id="474" w:name="_Toc164608650"/>
      <w:r/>
      <w:bookmarkStart w:id="475" w:name="_Toc164229377"/>
      <w:r/>
      <w:bookmarkStart w:id="476" w:name="_Toc164608805"/>
      <w:r/>
      <w:bookmarkStart w:id="477" w:name="_Toc226965726"/>
      <w:r/>
      <w:bookmarkStart w:id="478" w:name="_Toc305158804"/>
      <w:r/>
      <w:bookmarkStart w:id="479" w:name="_Toc226337232"/>
      <w:r/>
      <w:bookmarkStart w:id="480" w:name="_Toc151190163"/>
      <w:r/>
      <w:bookmarkStart w:id="481" w:name="_Toc520356161"/>
      <w:r/>
      <w:bookmarkStart w:id="482" w:name="_Toc151193850"/>
      <w:r/>
      <w:bookmarkStart w:id="483" w:name="_Toc226965809"/>
      <w:r/>
      <w:bookmarkStart w:id="484" w:name="_Toc151193924"/>
      <w:r>
        <w:rPr>
          <w:sz w:val="24"/>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sz w:val="24"/>
        </w:rPr>
        <w:t xml:space="preserve">时间</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 w:val="left" w:pos="900" w:leader="none"/>
        </w:tabs>
        <w:rPr>
          <w:sz w:val="24"/>
        </w:rPr>
        <w:outlineLvl w:val="1"/>
      </w:pPr>
      <w:r/>
      <w:bookmarkStart w:id="485" w:name="_Toc151193707"/>
      <w:r/>
      <w:bookmarkStart w:id="486" w:name="_Toc264969227"/>
      <w:r/>
      <w:bookmarkStart w:id="487" w:name="_Toc151190164"/>
      <w:r/>
      <w:bookmarkStart w:id="488" w:name="_Toc226965727"/>
      <w:r/>
      <w:bookmarkStart w:id="489" w:name="_Toc150774742"/>
      <w:r/>
      <w:bookmarkStart w:id="490" w:name="_Toc520356162"/>
      <w:r/>
      <w:bookmarkStart w:id="491" w:name="_Toc151193851"/>
      <w:r/>
      <w:bookmarkStart w:id="492" w:name="_Toc305158805"/>
      <w:r/>
      <w:bookmarkStart w:id="493" w:name="_Toc151193925"/>
      <w:r/>
      <w:bookmarkStart w:id="494" w:name="_Toc305158879"/>
      <w:r/>
      <w:bookmarkStart w:id="495" w:name="_Toc164608651"/>
      <w:r/>
      <w:bookmarkStart w:id="496" w:name="_Toc127151738"/>
      <w:r/>
      <w:bookmarkStart w:id="497" w:name="_Toc164608806"/>
      <w:r/>
      <w:bookmarkStart w:id="498" w:name="_Toc149720830"/>
      <w:r/>
      <w:bookmarkStart w:id="499" w:name="_Toc150480775"/>
      <w:r/>
      <w:bookmarkStart w:id="500" w:name="_Toc150509288"/>
      <w:r/>
      <w:bookmarkStart w:id="501" w:name="_Toc164229378"/>
      <w:r/>
      <w:bookmarkStart w:id="502" w:name="_Toc127161451"/>
      <w:r/>
      <w:bookmarkStart w:id="503" w:name="_Toc226309781"/>
      <w:r/>
      <w:bookmarkStart w:id="504" w:name="_Toc164351631"/>
      <w:r/>
      <w:bookmarkStart w:id="505" w:name="_Toc226965810"/>
      <w:r/>
      <w:bookmarkStart w:id="506" w:name="_Toc150774637"/>
      <w:r/>
      <w:bookmarkStart w:id="507" w:name="_Toc142311039"/>
      <w:r/>
      <w:bookmarkStart w:id="508" w:name="_Toc164229232"/>
      <w:r/>
      <w:bookmarkStart w:id="509" w:name="_Toc265228375"/>
      <w:r/>
      <w:bookmarkStart w:id="510" w:name="_Toc226337233"/>
      <w:r/>
      <w:bookmarkStart w:id="511" w:name="_Toc195842902"/>
      <w:r/>
      <w:bookmarkStart w:id="512" w:name="_Toc151193635"/>
      <w:r/>
      <w:bookmarkStart w:id="513" w:name="_Toc127151537"/>
      <w:r/>
      <w:bookmarkStart w:id="514" w:name="_Toc151193779"/>
      <w:r>
        <w:rPr>
          <w:sz w:val="24"/>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12"/>
        <w:spacing w:before="0" w:line="360" w:lineRule="auto"/>
        <w:rPr>
          <w:rFonts w:ascii="Times New Roman" w:hAnsi="Times New Roman" w:eastAsia="宋体"/>
          <w:sz w:val="28"/>
        </w:rPr>
      </w:pPr>
      <w:r/>
      <w:bookmarkStart w:id="515" w:name="_Toc195842903"/>
      <w:r/>
      <w:bookmarkStart w:id="516" w:name="_Toc151193636"/>
      <w:r/>
      <w:bookmarkStart w:id="517" w:name="_Toc151193780"/>
      <w:r/>
      <w:bookmarkStart w:id="518" w:name="_Toc226337234"/>
      <w:r/>
      <w:bookmarkStart w:id="519" w:name="_Toc151193852"/>
      <w:r/>
      <w:bookmarkStart w:id="520" w:name="_Toc264969228"/>
      <w:r/>
      <w:bookmarkStart w:id="521" w:name="_Toc265228376"/>
      <w:r/>
      <w:bookmarkStart w:id="522" w:name="_Toc142311040"/>
      <w:r/>
      <w:bookmarkStart w:id="523" w:name="_Toc226965728"/>
      <w:r/>
      <w:bookmarkStart w:id="524" w:name="_Toc520356163"/>
      <w:r/>
      <w:bookmarkStart w:id="525" w:name="_Toc226309782"/>
      <w:r/>
      <w:bookmarkStart w:id="526" w:name="_Toc150774638"/>
      <w:r/>
      <w:bookmarkStart w:id="527" w:name="_Toc150509289"/>
      <w:r/>
      <w:bookmarkStart w:id="528" w:name="_Toc151193926"/>
      <w:r/>
      <w:bookmarkStart w:id="529" w:name="_Toc226965811"/>
      <w:r/>
      <w:bookmarkStart w:id="530" w:name="_Toc151193708"/>
      <w:r/>
      <w:bookmarkStart w:id="531" w:name="_Toc150774743"/>
      <w:r/>
      <w:bookmarkStart w:id="532" w:name="_Toc150480776"/>
      <w:r/>
      <w:bookmarkStart w:id="533" w:name="_Toc127151538"/>
      <w:r/>
      <w:bookmarkStart w:id="534" w:name="_Toc151190165"/>
      <w:r/>
      <w:bookmarkStart w:id="535" w:name="_Toc305158806"/>
      <w:r/>
      <w:bookmarkStart w:id="536" w:name="_Toc305158880"/>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12"/>
        </w:numPr>
        <w:ind w:left="357" w:hanging="357"/>
        <w:spacing w:line="360" w:lineRule="auto"/>
        <w:tabs>
          <w:tab w:val="left" w:pos="360" w:leader="none"/>
          <w:tab w:val="left" w:pos="900" w:leader="none"/>
        </w:tabs>
        <w:rPr>
          <w:sz w:val="24"/>
        </w:rPr>
        <w:outlineLvl w:val="1"/>
      </w:pPr>
      <w:r/>
      <w:bookmarkStart w:id="537" w:name="_Toc226965729"/>
      <w:r/>
      <w:bookmarkStart w:id="538" w:name="_Toc520356164"/>
      <w:r/>
      <w:bookmarkStart w:id="539" w:name="_Toc151193637"/>
      <w:r/>
      <w:bookmarkStart w:id="540" w:name="_Toc164608653"/>
      <w:r/>
      <w:bookmarkStart w:id="541" w:name="_Toc226337235"/>
      <w:r/>
      <w:bookmarkStart w:id="542" w:name="_Toc142311041"/>
      <w:r/>
      <w:bookmarkStart w:id="543" w:name="_Toc150774639"/>
      <w:r/>
      <w:bookmarkStart w:id="544" w:name="_Toc151193709"/>
      <w:r/>
      <w:bookmarkStart w:id="545" w:name="_Toc151193927"/>
      <w:r/>
      <w:bookmarkStart w:id="546" w:name="_Toc150774744"/>
      <w:r/>
      <w:bookmarkStart w:id="547" w:name="_Toc265228377"/>
      <w:r/>
      <w:bookmarkStart w:id="548" w:name="_Toc151193781"/>
      <w:r/>
      <w:bookmarkStart w:id="549" w:name="_Toc305158881"/>
      <w:r/>
      <w:bookmarkStart w:id="550" w:name="_Toc151190166"/>
      <w:r/>
      <w:bookmarkStart w:id="551" w:name="_Toc226965812"/>
      <w:r/>
      <w:bookmarkStart w:id="552" w:name="_Toc150509290"/>
      <w:r/>
      <w:bookmarkStart w:id="553" w:name="_Toc127151740"/>
      <w:r/>
      <w:bookmarkStart w:id="554" w:name="_Toc164351633"/>
      <w:r/>
      <w:bookmarkStart w:id="555" w:name="_Toc164229380"/>
      <w:r/>
      <w:bookmarkStart w:id="556" w:name="_Toc305158807"/>
      <w:r/>
      <w:bookmarkStart w:id="557" w:name="_Toc226309783"/>
      <w:r/>
      <w:bookmarkStart w:id="558" w:name="_Toc264969229"/>
      <w:r/>
      <w:bookmarkStart w:id="559" w:name="_Toc151193853"/>
      <w:r/>
      <w:bookmarkStart w:id="560" w:name="_Toc127151539"/>
      <w:r/>
      <w:bookmarkStart w:id="561" w:name="_Toc164229234"/>
      <w:r/>
      <w:bookmarkStart w:id="562" w:name="_Toc195842904"/>
      <w:r/>
      <w:bookmarkStart w:id="563" w:name="_Toc127161453"/>
      <w:r/>
      <w:bookmarkStart w:id="564" w:name="_Toc149720832"/>
      <w:r/>
      <w:bookmarkStart w:id="565" w:name="_Toc164608808"/>
      <w:r/>
      <w:bookmarkStart w:id="566" w:name="_Toc150480777"/>
      <w:r>
        <w:rPr>
          <w:sz w:val="24"/>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w:t>
      </w:r>
      <w:r>
        <w:rPr>
          <w:sz w:val="24"/>
        </w:rPr>
        <w:t xml:space="preserve">招标文件规定的需要宣布的其他内容并进行记录，并由参加开标的各投标人代表</w:t>
      </w:r>
      <w:r>
        <w:rPr>
          <w:rFonts w:hint="eastAsia"/>
          <w:sz w:val="24"/>
        </w:rPr>
        <w:t xml:space="preserve">在规定时间内</w:t>
      </w:r>
      <w:r>
        <w:rPr>
          <w:sz w:val="24"/>
        </w:rPr>
        <w:t xml:space="preserve">确认</w:t>
      </w:r>
      <w:bookmarkStart w:id="567"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 w:val="left" w:pos="900" w:leader="none"/>
        </w:tabs>
        <w:rPr>
          <w:sz w:val="24"/>
        </w:rPr>
        <w:outlineLvl w:val="1"/>
      </w:pPr>
      <w:r/>
      <w:bookmarkStart w:id="568" w:name="_Toc149720833"/>
      <w:r/>
      <w:bookmarkStart w:id="569" w:name="_Toc151190167"/>
      <w:r/>
      <w:bookmarkStart w:id="570" w:name="_Toc195842905"/>
      <w:r/>
      <w:bookmarkStart w:id="571" w:name="_Toc164229381"/>
      <w:r/>
      <w:bookmarkStart w:id="572" w:name="_Toc127151540"/>
      <w:r/>
      <w:bookmarkStart w:id="573" w:name="_Toc226309784"/>
      <w:r/>
      <w:bookmarkStart w:id="574" w:name="_Toc150509291"/>
      <w:r/>
      <w:bookmarkStart w:id="575" w:name="_Toc164608809"/>
      <w:r/>
      <w:bookmarkStart w:id="576" w:name="_Toc151193854"/>
      <w:r/>
      <w:bookmarkStart w:id="577" w:name="_Toc305158882"/>
      <w:r/>
      <w:bookmarkStart w:id="578" w:name="_Toc151193928"/>
      <w:r/>
      <w:bookmarkStart w:id="579" w:name="_Toc265228378"/>
      <w:r/>
      <w:bookmarkStart w:id="580" w:name="_Toc127161454"/>
      <w:r/>
      <w:bookmarkStart w:id="581" w:name="_Toc151193782"/>
      <w:r/>
      <w:bookmarkStart w:id="582" w:name="_Toc305158808"/>
      <w:r/>
      <w:bookmarkStart w:id="583" w:name="_Toc142311042"/>
      <w:r/>
      <w:bookmarkStart w:id="584" w:name="_Toc226965730"/>
      <w:r/>
      <w:bookmarkStart w:id="585" w:name="_Toc164229235"/>
      <w:r/>
      <w:bookmarkStart w:id="586" w:name="_Toc150774640"/>
      <w:r/>
      <w:bookmarkStart w:id="587" w:name="_Toc226965813"/>
      <w:r/>
      <w:bookmarkStart w:id="588" w:name="_Toc164351634"/>
      <w:r/>
      <w:bookmarkStart w:id="589" w:name="_Toc151193710"/>
      <w:r/>
      <w:bookmarkStart w:id="590" w:name="_Toc150774745"/>
      <w:r/>
      <w:bookmarkStart w:id="591" w:name="_Toc150480778"/>
      <w:r/>
      <w:bookmarkStart w:id="592" w:name="_Toc164608654"/>
      <w:r/>
      <w:bookmarkStart w:id="593" w:name="_Toc151193638"/>
      <w:r/>
      <w:bookmarkStart w:id="594" w:name="_Toc264969230"/>
      <w:r/>
      <w:bookmarkStart w:id="595" w:name="_Toc226337236"/>
      <w:r/>
      <w:bookmarkStart w:id="596" w:name="_Toc127151741"/>
      <w:r/>
      <w:bookmarkEnd w:id="567"/>
      <w:r>
        <w:rPr>
          <w:sz w:val="24"/>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7" w:name="_Toc5203561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8" w:name="_Toc520356169"/>
      <w:r/>
      <w:bookmarkEnd w:id="597"/>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12"/>
        <w:spacing w:before="0" w:line="360" w:lineRule="auto"/>
        <w:rPr>
          <w:rFonts w:ascii="Times New Roman" w:hAnsi="Times New Roman" w:eastAsia="宋体"/>
          <w:sz w:val="28"/>
        </w:rPr>
      </w:pPr>
      <w:r/>
      <w:bookmarkStart w:id="599" w:name="_Toc305158887"/>
      <w:r/>
      <w:bookmarkStart w:id="600" w:name="_Toc265228383"/>
      <w:r/>
      <w:bookmarkStart w:id="601" w:name="_Toc151193859"/>
      <w:r/>
      <w:bookmarkStart w:id="602" w:name="_Toc226337241"/>
      <w:r/>
      <w:bookmarkStart w:id="603" w:name="_Toc151193715"/>
      <w:r/>
      <w:bookmarkStart w:id="604" w:name="_Toc226309789"/>
      <w:r/>
      <w:bookmarkStart w:id="605" w:name="_Toc226965818"/>
      <w:r/>
      <w:bookmarkStart w:id="606" w:name="_Toc142311047"/>
      <w:r/>
      <w:bookmarkStart w:id="607" w:name="_Toc264969235"/>
      <w:r/>
      <w:bookmarkStart w:id="608" w:name="_Toc151190172"/>
      <w:r/>
      <w:bookmarkStart w:id="609" w:name="_Toc305158813"/>
      <w:r/>
      <w:bookmarkStart w:id="610" w:name="_Toc151193643"/>
      <w:r/>
      <w:bookmarkStart w:id="611" w:name="_Toc150774750"/>
      <w:r/>
      <w:bookmarkStart w:id="612" w:name="_Toc151193787"/>
      <w:r/>
      <w:bookmarkStart w:id="613" w:name="_Toc127151545"/>
      <w:r/>
      <w:bookmarkStart w:id="614" w:name="_Toc150509296"/>
      <w:r/>
      <w:bookmarkStart w:id="615" w:name="_Toc150480783"/>
      <w:r/>
      <w:bookmarkStart w:id="616" w:name="_Toc195842910"/>
      <w:r/>
      <w:bookmarkStart w:id="617" w:name="_Toc150774645"/>
      <w:r/>
      <w:bookmarkStart w:id="618" w:name="_Toc226965735"/>
      <w:r/>
      <w:bookmarkStart w:id="619" w:name="_Toc151193933"/>
      <w:r>
        <w:rPr>
          <w:rFonts w:ascii="Times New Roman" w:hAnsi="Times New Roman" w:eastAsia="宋体"/>
          <w:sz w:val="28"/>
        </w:rPr>
        <w:t xml:space="preserve">六</w:t>
      </w:r>
      <w:r>
        <w:rPr>
          <w:rFonts w:ascii="Times New Roman" w:hAnsi="Times New Roman" w:eastAsia="宋体"/>
          <w:sz w:val="28"/>
        </w:rPr>
        <w:t xml:space="preserve">   </w:t>
      </w:r>
      <w:bookmarkEnd w:id="598"/>
      <w:r>
        <w:rPr>
          <w:rFonts w:ascii="Times New Roman" w:hAnsi="Times New Roman" w:eastAsia="宋体"/>
          <w:sz w:val="28"/>
        </w:rPr>
        <w:t xml:space="preserve">确定中标</w:t>
      </w:r>
      <w:bookmarkStart w:id="620" w:name="_Toc195842912"/>
      <w:r/>
      <w:bookmarkStart w:id="621" w:name="_Toc265228385"/>
      <w:r/>
      <w:bookmarkStart w:id="622" w:name="_Toc142311049"/>
      <w:r/>
      <w:bookmarkStart w:id="623" w:name="_Toc151190174"/>
      <w:r/>
      <w:bookmarkStart w:id="624" w:name="_Toc150774647"/>
      <w:r/>
      <w:bookmarkStart w:id="625" w:name="_Toc127151547"/>
      <w:r/>
      <w:bookmarkStart w:id="626" w:name="_Toc164229242"/>
      <w:r/>
      <w:bookmarkStart w:id="627" w:name="_Toc150509298"/>
      <w:r/>
      <w:bookmarkStart w:id="628" w:name="_Toc226337243"/>
      <w:r/>
      <w:bookmarkStart w:id="629" w:name="_Toc164351641"/>
      <w:r/>
      <w:bookmarkStart w:id="630" w:name="_Toc149720840"/>
      <w:r/>
      <w:bookmarkStart w:id="631" w:name="_Toc164608816"/>
      <w:r/>
      <w:bookmarkStart w:id="632" w:name="_Toc127161461"/>
      <w:r/>
      <w:bookmarkStart w:id="633" w:name="_Toc150774752"/>
      <w:r/>
      <w:bookmarkStart w:id="634" w:name="_Toc151193861"/>
      <w:r/>
      <w:bookmarkStart w:id="635" w:name="_Toc151193935"/>
      <w:r/>
      <w:bookmarkStart w:id="636" w:name="_Toc151193789"/>
      <w:r/>
      <w:bookmarkStart w:id="637" w:name="_Toc164608661"/>
      <w:r/>
      <w:bookmarkStart w:id="638" w:name="_Toc150480785"/>
      <w:r/>
      <w:bookmarkStart w:id="639" w:name="_Toc226965820"/>
      <w:r/>
      <w:bookmarkStart w:id="640" w:name="_Toc226965737"/>
      <w:r/>
      <w:bookmarkStart w:id="641" w:name="_Toc305158889"/>
      <w:r/>
      <w:bookmarkStart w:id="642" w:name="_Toc151193717"/>
      <w:r/>
      <w:bookmarkStart w:id="643" w:name="_Toc164229388"/>
      <w:r/>
      <w:bookmarkStart w:id="644" w:name="_Toc305158815"/>
      <w:r/>
      <w:bookmarkStart w:id="645" w:name="_Toc151193645"/>
      <w:r/>
      <w:bookmarkStart w:id="646" w:name="_Toc264969237"/>
      <w:r/>
      <w:bookmarkStart w:id="647" w:name="_Toc127151748"/>
      <w:r/>
      <w:bookmarkStart w:id="648" w:name="_Toc226309791"/>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649" w:name="_Toc305158891"/>
      <w:r/>
      <w:bookmarkStart w:id="650" w:name="_Toc305158817"/>
      <w:r/>
      <w:bookmarkStart w:id="651" w:name="_Toc226965822"/>
      <w:r/>
      <w:bookmarkStart w:id="652" w:name="_Toc151190176"/>
      <w:r/>
      <w:bookmarkStart w:id="653" w:name="_Toc127161463"/>
      <w:r/>
      <w:bookmarkStart w:id="654" w:name="_Toc265228387"/>
      <w:r/>
      <w:bookmarkStart w:id="655" w:name="_Toc149720842"/>
      <w:r/>
      <w:bookmarkStart w:id="656" w:name="_Toc151193937"/>
      <w:r/>
      <w:bookmarkStart w:id="657" w:name="_Toc195842914"/>
      <w:r/>
      <w:bookmarkStart w:id="658" w:name="_Toc226965739"/>
      <w:r/>
      <w:bookmarkStart w:id="659" w:name="_Toc150509300"/>
      <w:r/>
      <w:bookmarkStart w:id="660" w:name="_Toc150774649"/>
      <w:r/>
      <w:bookmarkStart w:id="661" w:name="_Toc164229390"/>
      <w:r/>
      <w:bookmarkStart w:id="662" w:name="_Toc264969239"/>
      <w:r/>
      <w:bookmarkStart w:id="663" w:name="_Toc226337245"/>
      <w:r/>
      <w:bookmarkStart w:id="664" w:name="_Toc151193863"/>
      <w:r/>
      <w:bookmarkStart w:id="665" w:name="_Toc151193791"/>
      <w:r/>
      <w:bookmarkStart w:id="666" w:name="_Toc150480787"/>
      <w:r/>
      <w:bookmarkStart w:id="667" w:name="_Toc164608663"/>
      <w:r/>
      <w:bookmarkStart w:id="668" w:name="_Toc142311051"/>
      <w:r/>
      <w:bookmarkStart w:id="669" w:name="_Toc164229244"/>
      <w:r/>
      <w:bookmarkStart w:id="670" w:name="_Toc127151750"/>
      <w:r/>
      <w:bookmarkStart w:id="671" w:name="_Toc150774754"/>
      <w:r/>
      <w:bookmarkStart w:id="672" w:name="_Toc164351643"/>
      <w:r/>
      <w:bookmarkStart w:id="673" w:name="_Toc226309793"/>
      <w:r/>
      <w:bookmarkStart w:id="674" w:name="_Toc151193647"/>
      <w:r/>
      <w:bookmarkStart w:id="675" w:name="_Toc127151549"/>
      <w:r/>
      <w:bookmarkStart w:id="676" w:name="_Toc151193719"/>
      <w:r/>
      <w:bookmarkStart w:id="677" w:name="_Toc164608818"/>
      <w:r/>
      <w:bookmarkStart w:id="678" w:name="_Ref467307090"/>
      <w:r/>
      <w:bookmarkStart w:id="679" w:name="_Toc520356176"/>
      <w:r/>
      <w:bookmarkStart w:id="680" w:name="_Ref467306425"/>
      <w:r>
        <w:rPr>
          <w:sz w:val="24"/>
        </w:rPr>
        <w:t xml:space="preserve">中标公告与中标通知书</w:t>
      </w:r>
      <w:bookmarkEnd w:id="649"/>
      <w:r/>
      <w:bookmarkEnd w:id="650"/>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12"/>
        </w:numPr>
        <w:spacing w:line="360" w:lineRule="auto"/>
        <w:tabs>
          <w:tab w:val="left" w:pos="1980" w:leader="none"/>
        </w:tabs>
        <w:rPr>
          <w:sz w:val="24"/>
        </w:rPr>
      </w:pPr>
      <w:r>
        <w:rPr>
          <w:sz w:val="24"/>
        </w:rPr>
        <w:t xml:space="preserve">出现影响采购公正的违法、违规行为的；</w:t>
      </w:r>
      <w:r/>
    </w:p>
    <w:p>
      <w:pPr>
        <w:numPr>
          <w:ilvl w:val="2"/>
          <w:numId w:val="12"/>
        </w:numPr>
        <w:spacing w:line="360" w:lineRule="auto"/>
        <w:tabs>
          <w:tab w:val="left" w:pos="1980" w:leader="none"/>
        </w:tabs>
        <w:rPr>
          <w:sz w:val="24"/>
        </w:rPr>
      </w:pPr>
      <w:r>
        <w:rPr>
          <w:sz w:val="24"/>
        </w:rPr>
        <w:t xml:space="preserve">投标人的报价均超过了采购预算，采购人不能支付的；</w:t>
      </w:r>
      <w:r/>
    </w:p>
    <w:p>
      <w:pPr>
        <w:numPr>
          <w:ilvl w:val="2"/>
          <w:numId w:val="12"/>
        </w:numPr>
        <w:spacing w:line="360" w:lineRule="auto"/>
        <w:tabs>
          <w:tab w:val="left" w:pos="1980" w:leader="none"/>
        </w:tabs>
        <w:rPr>
          <w:sz w:val="24"/>
        </w:rPr>
      </w:pPr>
      <w:r>
        <w:rPr>
          <w:sz w:val="24"/>
        </w:rPr>
        <w:t xml:space="preserve">因重大变故，采购任务取消的。</w:t>
      </w:r>
      <w:r/>
    </w:p>
    <w:p>
      <w:pPr>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12"/>
        </w:numPr>
        <w:ind w:left="357" w:hanging="357"/>
        <w:spacing w:line="360" w:lineRule="auto"/>
        <w:tabs>
          <w:tab w:val="left" w:pos="360" w:leader="none"/>
          <w:tab w:val="left" w:pos="900" w:leader="none"/>
        </w:tabs>
        <w:rPr>
          <w:sz w:val="24"/>
        </w:rPr>
        <w:outlineLvl w:val="1"/>
      </w:pPr>
      <w:r/>
      <w:bookmarkStart w:id="681" w:name="_Toc151193938"/>
      <w:r/>
      <w:bookmarkStart w:id="682" w:name="_Toc520356175"/>
      <w:r/>
      <w:bookmarkStart w:id="683" w:name="_Toc151190177"/>
      <w:r/>
      <w:bookmarkStart w:id="684" w:name="_Toc164351644"/>
      <w:r/>
      <w:bookmarkStart w:id="685" w:name="_Toc305158892"/>
      <w:r/>
      <w:bookmarkStart w:id="686" w:name="_Toc150774755"/>
      <w:r/>
      <w:bookmarkStart w:id="687" w:name="_Toc164229245"/>
      <w:r/>
      <w:bookmarkStart w:id="688" w:name="_Toc150774650"/>
      <w:r/>
      <w:bookmarkStart w:id="689" w:name="_Toc151193792"/>
      <w:r/>
      <w:bookmarkStart w:id="690" w:name="_Toc264969240"/>
      <w:r/>
      <w:bookmarkStart w:id="691" w:name="_Toc127161464"/>
      <w:r/>
      <w:bookmarkStart w:id="692" w:name="_Toc226309794"/>
      <w:r/>
      <w:bookmarkStart w:id="693" w:name="_Ref467306377"/>
      <w:r/>
      <w:bookmarkStart w:id="694" w:name="_Toc226337246"/>
      <w:r/>
      <w:bookmarkStart w:id="695" w:name="_Toc226965740"/>
      <w:r/>
      <w:bookmarkStart w:id="696" w:name="_Toc305158818"/>
      <w:r/>
      <w:bookmarkStart w:id="697" w:name="_Toc127151751"/>
      <w:r/>
      <w:bookmarkStart w:id="698" w:name="_Toc142311052"/>
      <w:r/>
      <w:bookmarkStart w:id="699" w:name="_Toc195842915"/>
      <w:r/>
      <w:bookmarkStart w:id="700" w:name="_Toc127151550"/>
      <w:r/>
      <w:bookmarkStart w:id="701" w:name="_Toc150509301"/>
      <w:r/>
      <w:bookmarkStart w:id="702" w:name="_Toc151193648"/>
      <w:r/>
      <w:bookmarkStart w:id="703" w:name="_Toc164229391"/>
      <w:r/>
      <w:bookmarkStart w:id="704" w:name="_Ref467307062"/>
      <w:r/>
      <w:bookmarkStart w:id="705" w:name="_Ref467306978"/>
      <w:r/>
      <w:bookmarkStart w:id="706" w:name="_Toc164608664"/>
      <w:r/>
      <w:bookmarkStart w:id="707" w:name="_Toc151193864"/>
      <w:r/>
      <w:bookmarkStart w:id="708" w:name="_Toc151193720"/>
      <w:r/>
      <w:bookmarkStart w:id="709" w:name="_Toc226965823"/>
      <w:r/>
      <w:bookmarkStart w:id="710" w:name="_Toc149720843"/>
      <w:r/>
      <w:bookmarkStart w:id="711" w:name="_Ref467307204"/>
      <w:r/>
      <w:bookmarkStart w:id="712" w:name="_Toc164608819"/>
      <w:r/>
      <w:bookmarkStart w:id="713" w:name="_Toc150480788"/>
      <w:r/>
      <w:bookmarkStart w:id="714" w:name="_Toc265228388"/>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Pr>
          <w:sz w:val="24"/>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8"/>
      <w:r/>
      <w:bookmarkEnd w:id="679"/>
      <w:r/>
      <w:bookmarkEnd w:id="680"/>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tabs>
          <w:tab w:val="left" w:pos="1980" w:leader="none"/>
        </w:tabs>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12"/>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2"/>
        </w:numPr>
        <w:spacing w:line="360" w:lineRule="auto"/>
        <w:tabs>
          <w:tab w:val="left" w:pos="1980" w:leader="none"/>
        </w:tabs>
        <w:rPr>
          <w:sz w:val="24"/>
        </w:rPr>
      </w:pPr>
      <w:r>
        <w:rPr>
          <w:sz w:val="24"/>
        </w:rPr>
        <w:t xml:space="preserve">质疑函须使用</w:t>
      </w:r>
      <w:r>
        <w:rPr>
          <w:sz w:val="24"/>
        </w:rPr>
        <w:t xml:space="preserve">财政部制定的范本文件。</w:t>
      </w:r>
      <w:r>
        <w:rPr>
          <w:rFonts w:hint="eastAsia"/>
          <w:sz w:val="24"/>
        </w:rPr>
        <w:t xml:space="preserve">（下载网址：</w:t>
      </w:r>
      <w:hyperlink r:id="rId26" w:tooltip="http://gks.mof.gov.cn/ztztz/zhengfucaigouguanli/201802/t20180201_2804589.htm" w:history="1">
        <w:r>
          <w:rPr>
            <w:rStyle w:val="1177"/>
          </w:rPr>
          <w:t xml:space="preserve">http://gk</w:t>
        </w:r>
        <w:bookmarkStart w:id="715" w:name="_Hlt100654014"/>
        <w:r>
          <w:rPr>
            <w:rStyle w:val="1177"/>
          </w:rPr>
          <w:t xml:space="preserve">s</w:t>
        </w:r>
        <w:bookmarkEnd w:id="715"/>
        <w:r>
          <w:rPr>
            <w:rStyle w:val="1177"/>
          </w:rPr>
          <w:t xml:space="preserve">.m</w:t>
        </w:r>
        <w:bookmarkStart w:id="716" w:name="_Hlt100653994"/>
        <w:bookmarkStart w:id="717" w:name="_Hlt100653993"/>
        <w:r>
          <w:rPr>
            <w:rStyle w:val="1177"/>
          </w:rPr>
          <w:t xml:space="preserve">o</w:t>
        </w:r>
        <w:bookmarkEnd w:id="716"/>
        <w:bookmarkEnd w:id="717"/>
        <w:r>
          <w:rPr>
            <w:rStyle w:val="1177"/>
          </w:rPr>
          <w:t xml:space="preserve">f.gov.cn/ztztz/zhengfucaigouguanli/201802/t20180201_2804589.htm</w:t>
        </w:r>
      </w:hyperlink>
      <w:r>
        <w:rPr>
          <w:rFonts w:hint="eastAsia"/>
        </w:rPr>
        <w:t xml:space="preserve">）</w:t>
      </w:r>
      <w:r/>
    </w:p>
    <w:p>
      <w:pPr>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8" w:name="_Toc142311056"/>
      <w:r/>
      <w:bookmarkStart w:id="719" w:name="_Toc305158896"/>
      <w:r/>
      <w:bookmarkStart w:id="720" w:name="_Toc150774759"/>
      <w:r/>
      <w:bookmarkStart w:id="721" w:name="_Toc226337250"/>
      <w:r/>
      <w:bookmarkStart w:id="722" w:name="_Toc226965827"/>
      <w:r/>
      <w:bookmarkStart w:id="723" w:name="_Toc305158822"/>
      <w:r/>
      <w:bookmarkStart w:id="724" w:name="_Toc264969244"/>
      <w:r/>
      <w:bookmarkStart w:id="725" w:name="_Toc353873934"/>
      <w:r/>
      <w:bookmarkStart w:id="726" w:name="_Toc353825544"/>
      <w:r/>
      <w:bookmarkStart w:id="727" w:name="_Toc150480792"/>
      <w:r/>
      <w:bookmarkStart w:id="728" w:name="_Toc265228392"/>
      <w:r/>
      <w:bookmarkStart w:id="729" w:name="_Toc353873664"/>
      <w:r/>
      <w:bookmarkStart w:id="730" w:name="_Toc127151554"/>
      <w:r>
        <w:rPr>
          <w:sz w:val="24"/>
        </w:rPr>
        <w:br w:type="page" w:clear="all"/>
      </w:r>
      <w:bookmarkStart w:id="731" w:name="_Toc140257874"/>
      <w:r/>
      <w:bookmarkStart w:id="732" w:name="_Toc163804581"/>
      <w:r>
        <w:rPr>
          <w:b/>
          <w:sz w:val="36"/>
          <w:szCs w:val="36"/>
        </w:rPr>
        <w:t xml:space="preserve">第三章</w:t>
      </w:r>
      <w:r>
        <w:rPr>
          <w:b/>
          <w:sz w:val="36"/>
          <w:szCs w:val="36"/>
        </w:rPr>
        <w:t xml:space="preserve">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b/>
          <w:sz w:val="36"/>
          <w:szCs w:val="36"/>
        </w:rPr>
        <w:t xml:space="preserve">资格审查</w:t>
      </w:r>
      <w:bookmarkStart w:id="733" w:name="_Toc487900382"/>
      <w:r/>
      <w:bookmarkEnd w:id="731"/>
      <w:r/>
      <w:bookmarkEnd w:id="732"/>
      <w:r/>
      <w:r/>
    </w:p>
    <w:p>
      <w:pPr>
        <w:jc w:val="center"/>
        <w:spacing w:line="360" w:lineRule="auto"/>
        <w:tabs>
          <w:tab w:val="left" w:pos="360" w:leader="none"/>
          <w:tab w:val="left" w:pos="900" w:leader="none"/>
        </w:tabs>
        <w:rPr>
          <w:b/>
          <w:sz w:val="24"/>
        </w:rPr>
        <w:outlineLvl w:val="1"/>
      </w:pPr>
      <w:r/>
      <w:bookmarkStart w:id="734" w:name="_Toc99301422"/>
      <w:r>
        <w:rPr>
          <w:b/>
          <w:sz w:val="24"/>
        </w:rPr>
        <w:t xml:space="preserve">一、资格审查程序</w:t>
      </w:r>
      <w:bookmarkEnd w:id="734"/>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4"/>
        <w:gridCol w:w="1934"/>
        <w:gridCol w:w="4705"/>
        <w:gridCol w:w="1599"/>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5" w:name="_Hlt487972895"/>
            <w:r/>
            <w:bookmarkEnd w:id="735"/>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法定代表人资格证明书、法定代表人身份证（如有授权的，另须提供授权委托书、被授权人身份证）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bl>
    <w:p>
      <w:pPr>
        <w:jc w:val="left"/>
        <w:widowControl/>
        <w:rPr>
          <w:sz w:val="24"/>
        </w:rPr>
      </w:pPr>
      <w:r/>
      <w:bookmarkStart w:id="736" w:name="_Toc353825550"/>
      <w:r/>
      <w:bookmarkStart w:id="737" w:name="_Toc127161490"/>
      <w:r/>
      <w:bookmarkStart w:id="738" w:name="_Toc353873940"/>
      <w:r/>
      <w:bookmarkStart w:id="739" w:name="_Toc226965858"/>
      <w:r/>
      <w:bookmarkStart w:id="740" w:name="_Toc127151779"/>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33"/>
      <w:r/>
      <w:r/>
    </w:p>
    <w:p>
      <w:pPr>
        <w:jc w:val="center"/>
        <w:spacing w:line="360" w:lineRule="auto"/>
        <w:rPr>
          <w:b/>
          <w:sz w:val="36"/>
          <w:szCs w:val="36"/>
        </w:rPr>
        <w:outlineLvl w:val="0"/>
      </w:pPr>
      <w:r/>
      <w:bookmarkStart w:id="741" w:name="_Toc140257875"/>
      <w:r/>
      <w:bookmarkStart w:id="742" w:name="_Toc163804582"/>
      <w:r>
        <w:rPr>
          <w:b/>
          <w:sz w:val="36"/>
          <w:szCs w:val="36"/>
        </w:rPr>
        <w:t xml:space="preserve">第四章</w:t>
      </w:r>
      <w:r>
        <w:rPr>
          <w:b/>
          <w:sz w:val="36"/>
          <w:szCs w:val="36"/>
        </w:rPr>
        <w:t xml:space="preserve">   </w:t>
      </w:r>
      <w:bookmarkStart w:id="743" w:name="_Hlt164229061"/>
      <w:r/>
      <w:bookmarkEnd w:id="736"/>
      <w:r/>
      <w:bookmarkEnd w:id="737"/>
      <w:r/>
      <w:bookmarkEnd w:id="738"/>
      <w:r/>
      <w:bookmarkEnd w:id="739"/>
      <w:r/>
      <w:bookmarkEnd w:id="740"/>
      <w:r/>
      <w:bookmarkEnd w:id="743"/>
      <w:r>
        <w:rPr>
          <w:b/>
          <w:sz w:val="36"/>
          <w:szCs w:val="36"/>
        </w:rPr>
        <w:t xml:space="preserve">评标程序、评标方法和评标标准</w:t>
      </w:r>
      <w:bookmarkEnd w:id="741"/>
      <w:r/>
      <w:bookmarkEnd w:id="742"/>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 w:val="left" w:pos="900" w:leader="none"/>
        </w:tabs>
        <w:rPr>
          <w:sz w:val="24"/>
        </w:rPr>
        <w:outlineLvl w:val="1"/>
      </w:pPr>
      <w:r/>
      <w:bookmarkStart w:id="744" w:name="_Toc226965731"/>
      <w:r/>
      <w:bookmarkStart w:id="745" w:name="_Toc150509292"/>
      <w:r/>
      <w:bookmarkStart w:id="746" w:name="_Toc164608810"/>
      <w:r/>
      <w:bookmarkStart w:id="747" w:name="_Toc226965814"/>
      <w:r/>
      <w:bookmarkStart w:id="748" w:name="_Toc264969231"/>
      <w:r/>
      <w:bookmarkStart w:id="749" w:name="_Toc226309785"/>
      <w:r/>
      <w:bookmarkStart w:id="750" w:name="_Toc164351635"/>
      <w:r/>
      <w:bookmarkStart w:id="751" w:name="_Toc164229236"/>
      <w:r/>
      <w:bookmarkStart w:id="752" w:name="_Toc164608655"/>
      <w:r/>
      <w:bookmarkStart w:id="753" w:name="_Toc151193783"/>
      <w:r/>
      <w:bookmarkStart w:id="754" w:name="_Toc150774746"/>
      <w:r/>
      <w:bookmarkStart w:id="755" w:name="_Toc195842906"/>
      <w:r/>
      <w:bookmarkStart w:id="756" w:name="_Toc150774641"/>
      <w:r/>
      <w:bookmarkStart w:id="757" w:name="_Toc127151742"/>
      <w:r/>
      <w:bookmarkStart w:id="758" w:name="_Toc151193855"/>
      <w:r/>
      <w:bookmarkStart w:id="759" w:name="_Toc226337237"/>
      <w:r/>
      <w:bookmarkStart w:id="760" w:name="_Toc151193929"/>
      <w:r/>
      <w:bookmarkStart w:id="761" w:name="_Toc149720834"/>
      <w:r/>
      <w:bookmarkStart w:id="762" w:name="_Toc151190168"/>
      <w:r/>
      <w:bookmarkStart w:id="763" w:name="_Toc265228379"/>
      <w:r/>
      <w:bookmarkStart w:id="764" w:name="_Toc142311043"/>
      <w:r/>
      <w:bookmarkStart w:id="765" w:name="_Toc305158809"/>
      <w:r/>
      <w:bookmarkStart w:id="766" w:name="_Toc164229382"/>
      <w:r/>
      <w:bookmarkStart w:id="767" w:name="_Toc150480779"/>
      <w:r/>
      <w:bookmarkStart w:id="768" w:name="_Toc127161455"/>
      <w:r/>
      <w:bookmarkStart w:id="769" w:name="_Toc151193639"/>
      <w:r/>
      <w:bookmarkStart w:id="770" w:name="_Toc151193711"/>
      <w:r/>
      <w:bookmarkStart w:id="771" w:name="_Toc305158883"/>
      <w:r/>
      <w:bookmarkStart w:id="772" w:name="_Toc127151541"/>
      <w:r/>
      <w:bookmarkStart w:id="773" w:name="_Toc353825551"/>
      <w:r/>
      <w:bookmarkStart w:id="774" w:name="_Toc353873941"/>
      <w:r/>
      <w:bookmarkStart w:id="775" w:name="_Toc265228393"/>
      <w:r/>
      <w:bookmarkStart w:id="776" w:name="_Toc150774760"/>
      <w:r/>
      <w:bookmarkStart w:id="777" w:name="_Toc353873935"/>
      <w:r/>
      <w:bookmarkStart w:id="778" w:name="_Toc353873665"/>
      <w:r/>
      <w:bookmarkStart w:id="779" w:name="_Toc127151555"/>
      <w:r/>
      <w:bookmarkStart w:id="780" w:name="_Toc305158897"/>
      <w:r/>
      <w:bookmarkStart w:id="781" w:name="_Toc142311057"/>
      <w:r/>
      <w:bookmarkStart w:id="782" w:name="_Toc305158823"/>
      <w:r/>
      <w:bookmarkStart w:id="783" w:name="_Toc226337251"/>
      <w:r/>
      <w:bookmarkStart w:id="784" w:name="_Toc150480793"/>
      <w:r/>
      <w:bookmarkStart w:id="785" w:name="_Toc226965828"/>
      <w:r/>
      <w:bookmarkStart w:id="786" w:name="_Toc353825545"/>
      <w:r/>
      <w:bookmarkStart w:id="787" w:name="_Toc264969245"/>
      <w:r/>
      <w:bookmarkStart w:id="788" w:name="_Toc195842920"/>
      <w:r>
        <w:rPr>
          <w:sz w:val="24"/>
        </w:rPr>
        <w:t xml:space="preserve">投标文件的符合性审查</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9" w:name="_Toc520356167"/>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2"/>
        <w:gridCol w:w="1769"/>
        <w:gridCol w:w="6561"/>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900" w:leader="none"/>
          <w:tab w:val="left" w:pos="1080" w:leader="none"/>
          <w:tab w:val="left" w:pos="1589" w:leader="none"/>
        </w:tabs>
        <w:rPr>
          <w:sz w:val="24"/>
        </w:rPr>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 w:val="left" w:pos="90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苏</w:t>
      </w:r>
      <w:r>
        <w:rPr>
          <w:sz w:val="24"/>
        </w:rPr>
        <w:t xml:space="preserve">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 w:val="left" w:pos="1589" w:leader="none"/>
        </w:tabs>
        <w:rPr>
          <w:sz w:val="24"/>
        </w:rPr>
      </w:pPr>
      <w:r>
        <w:rPr>
          <w:rFonts w:hint="eastAsia"/>
          <w:sz w:val="24"/>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投标（响应）报价低于采购项目最高限价</w:t>
      </w:r>
      <w:r>
        <w:rPr>
          <w:rFonts w:hint="eastAsia"/>
          <w:sz w:val="24"/>
        </w:rPr>
        <w:t xml:space="preserve">4</w:t>
      </w:r>
      <w:r>
        <w:rPr>
          <w:rFonts w:hint="eastAsia"/>
          <w:sz w:val="24"/>
        </w:rPr>
        <w:t xml:space="preserve">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w:t>
      </w:r>
      <w:r>
        <w:rPr>
          <w:rFonts w:hint="eastAsia"/>
          <w:sz w:val="24"/>
        </w:rPr>
        <w:t xml:space="preserve">5%</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评审委员会基于专业判断，认为供应商报价过低，有可能影响产品质量或者不能诚信履约的其他情形。</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评审委员会启动异常低价投标（响应）审查后，属于前述</w:t>
      </w:r>
      <w:r>
        <w:rPr>
          <w:rFonts w:hint="eastAsia"/>
          <w:sz w:val="24"/>
        </w:rPr>
        <w:t xml:space="preserve">2.2.1</w:t>
      </w:r>
      <w:r>
        <w:rPr>
          <w:rFonts w:hint="eastAsia"/>
          <w:sz w:val="24"/>
        </w:rPr>
        <w:t xml:space="preserve">项至</w:t>
      </w:r>
      <w:r>
        <w:rPr>
          <w:rFonts w:hint="eastAsia"/>
          <w:sz w:val="24"/>
        </w:rPr>
        <w:t xml:space="preserve">2.2.4</w:t>
      </w:r>
      <w:r>
        <w:rPr>
          <w:rFonts w:hint="eastAsia"/>
          <w:sz w:val="24"/>
        </w:rPr>
        <w:t xml:space="preserve">项情形的，应当要求相关供应商在评审现场（即“苏</w:t>
      </w:r>
      <w:r>
        <w:rPr>
          <w:rFonts w:hint="eastAsia"/>
          <w:sz w:val="24"/>
        </w:rPr>
        <w:t xml:space="preserve">采云</w:t>
      </w:r>
      <w:r>
        <w:rPr>
          <w:rFonts w:hint="eastAsia"/>
          <w:sz w:val="24"/>
        </w:rPr>
        <w:t xml:space="preserve">”系统内）合理的时间内对投标（响应）价格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2.2.3</w:t>
      </w:r>
      <w:r>
        <w:rPr>
          <w:rFonts w:hint="eastAsia"/>
          <w:sz w:val="24"/>
        </w:rPr>
        <w:t xml:space="preserve">项情形，供应商已随投标（响应）文件一并提交相关书面说明及必要的证明材料的，在评审现场可不再重复提交。</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sz w:val="24"/>
        </w:rPr>
        <w:t xml:space="preserve">评审委员会应当将其作为无效投标（响应）处理。</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w:t>
      </w:r>
      <w:r>
        <w:rPr>
          <w:sz w:val="24"/>
        </w:rPr>
        <w:t xml:space="preserve">标时价格不予扣除。</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1</w:t>
      </w:r>
      <w:r>
        <w:rPr>
          <w:rFonts w:hint="eastAsia"/>
          <w:sz w:val="24"/>
          <w:u w:val="single"/>
        </w:rPr>
        <w:t xml:space="preserve">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w:t>
      </w:r>
      <w:r>
        <w:rPr>
          <w:rFonts w:hint="eastAsia"/>
          <w:sz w:val="24"/>
        </w:rPr>
        <w:t xml:space="preserve">（采购本国产品的支持政策）</w:t>
      </w:r>
      <w:r>
        <w:rPr>
          <w:sz w:val="24"/>
        </w:rPr>
        <w:t xml:space="preserve">的价格调整：</w:t>
      </w:r>
      <w:r>
        <w:rPr>
          <w:sz w:val="24"/>
        </w:rPr>
        <w:t xml:space="preserve"> </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sz w:val="24"/>
        </w:rPr>
        <w:t xml:space="preserve">的价格扣除，用扣除后的价格参与评审。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w:t>
      </w:r>
      <w:r>
        <w:rPr>
          <w:rFonts w:hint="eastAsia"/>
          <w:sz w:val="24"/>
        </w:rPr>
        <w:t xml:space="preserve">全部产品成本之和的比例达到</w:t>
      </w:r>
      <w:r>
        <w:rPr>
          <w:rFonts w:hint="eastAsia"/>
          <w:sz w:val="24"/>
        </w:rPr>
        <w:t xml:space="preserve">80%</w:t>
      </w:r>
      <w:r>
        <w:rPr>
          <w:rFonts w:hint="eastAsia"/>
          <w:sz w:val="24"/>
        </w:rPr>
        <w:t xml:space="preserve">以上时（供应商需在“第八章</w:t>
      </w:r>
      <w:r>
        <w:rPr>
          <w:rFonts w:hint="eastAsia"/>
          <w:sz w:val="24"/>
        </w:rPr>
        <w:t xml:space="preserve"> </w:t>
      </w:r>
      <w:r>
        <w:rPr>
          <w:rFonts w:hint="eastAsia"/>
          <w:sz w:val="24"/>
        </w:rPr>
        <w:t xml:space="preserve">投标文件格式”的“分项报价表”中填写比例数值），依法对该供应商提供的全部产品给予价格评审优惠，即对该供应商提供的全部产品的总报价给予</w:t>
      </w:r>
      <w:r>
        <w:rPr>
          <w:rFonts w:hint="eastAsia"/>
          <w:sz w:val="24"/>
        </w:rPr>
        <w:t xml:space="preserve">20%</w:t>
      </w:r>
      <w:r>
        <w:rPr>
          <w:rFonts w:hint="eastAsia"/>
          <w:sz w:val="24"/>
        </w:rPr>
        <w:t xml:space="preserve">的价格扣除，用扣除后的价格参与评审。供应商未填写比例数值，或比例数值未达到</w:t>
      </w:r>
      <w:r>
        <w:rPr>
          <w:rFonts w:hint="eastAsia"/>
          <w:sz w:val="24"/>
        </w:rPr>
        <w:t xml:space="preserve">80%</w:t>
      </w:r>
      <w:r>
        <w:rPr>
          <w:rFonts w:hint="eastAsia"/>
          <w:sz w:val="24"/>
        </w:rPr>
        <w:t xml:space="preserve">的，将不享受本国产品价格评审优惠。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供应商需按照招标文件的要求提供《关于符合本国产品标准的声明函》（以下简称《声明函》），如不提供将不享受本国产品价格评审优惠。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供应商需在《声明函》中逐一、</w:t>
      </w:r>
      <w:r>
        <w:rPr>
          <w:sz w:val="24"/>
        </w:rPr>
        <w:t xml:space="preserve">准确</w:t>
      </w:r>
      <w:r>
        <w:rPr>
          <w:rFonts w:hint="eastAsia"/>
          <w:sz w:val="24"/>
        </w:rPr>
        <w:t xml:space="preserve">填写产品名称、厂名、生产厂址三项信息（《声明函》中用</w:t>
      </w:r>
      <w:r>
        <w:rPr>
          <w:rFonts w:hint="eastAsia"/>
          <w:sz w:val="24"/>
        </w:rPr>
        <w:t xml:space="preserve">斜线划除的</w:t>
      </w:r>
      <w:r>
        <w:rPr>
          <w:rFonts w:hint="eastAsia"/>
          <w:sz w:val="24"/>
        </w:rPr>
        <w:t xml:space="preserve">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w:t>
      </w:r>
      <w:r>
        <w:rPr>
          <w:rFonts w:hint="eastAsia"/>
          <w:sz w:val="24"/>
        </w:rPr>
        <w:t xml:space="preserve">作出</w:t>
      </w:r>
      <w:r>
        <w:rPr>
          <w:rFonts w:hint="eastAsia"/>
          <w:sz w:val="24"/>
        </w:rPr>
        <w:t xml:space="preserve">必要的澄清、说明或者补正。经澄清、说明或者补正的《声明函》仍然不符合《国务院办公厅关于在政府采购中实施本国产品标准及相关政策的通知》（国办发〔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号）和招标文件规定的，供应商提供的相关产品视为不符合本国产品标准。</w:t>
      </w:r>
      <w:r/>
    </w:p>
    <w:p>
      <w:pPr>
        <w:numPr>
          <w:ilvl w:val="0"/>
          <w:numId w:val="16"/>
        </w:numPr>
        <w:spacing w:line="360" w:lineRule="auto"/>
        <w:tabs>
          <w:tab w:val="left" w:pos="360" w:leader="none"/>
          <w:tab w:val="left" w:pos="900" w:leader="none"/>
        </w:tabs>
        <w:rPr>
          <w:sz w:val="24"/>
        </w:rPr>
        <w:outlineLvl w:val="1"/>
      </w:pPr>
      <w:r>
        <w:rPr>
          <w:sz w:val="24"/>
        </w:rPr>
        <w:t xml:space="preserve">投标文件的比较和评价</w:t>
      </w:r>
      <w:bookmarkEnd w:id="773"/>
      <w:r/>
      <w:bookmarkEnd w:id="774"/>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 w:val="left" w:pos="900" w:leader="none"/>
        </w:tabs>
        <w:rPr>
          <w:sz w:val="24"/>
        </w:rPr>
        <w:outlineLvl w:val="1"/>
      </w:pPr>
      <w:r>
        <w:rPr>
          <w:sz w:val="24"/>
        </w:rPr>
        <w:t xml:space="preserve">确定</w:t>
      </w:r>
      <w:bookmarkStart w:id="790" w:name="_Ref467307010"/>
      <w:r/>
      <w:bookmarkStart w:id="791" w:name="_Toc150774751"/>
      <w:r/>
      <w:bookmarkStart w:id="792" w:name="_Toc151190173"/>
      <w:r/>
      <w:bookmarkStart w:id="793" w:name="_Toc127151546"/>
      <w:r/>
      <w:bookmarkStart w:id="794" w:name="_Toc226309790"/>
      <w:r/>
      <w:bookmarkStart w:id="795" w:name="_Toc195842911"/>
      <w:r/>
      <w:bookmarkStart w:id="796" w:name="_Toc127151747"/>
      <w:r/>
      <w:bookmarkStart w:id="797" w:name="_Toc264969236"/>
      <w:r/>
      <w:bookmarkStart w:id="798" w:name="_Toc226337242"/>
      <w:r/>
      <w:bookmarkStart w:id="799" w:name="_Toc151193644"/>
      <w:r/>
      <w:bookmarkStart w:id="800" w:name="_Toc164229241"/>
      <w:r/>
      <w:bookmarkStart w:id="801" w:name="_Toc151193934"/>
      <w:r/>
      <w:bookmarkStart w:id="802" w:name="_Toc127161460"/>
      <w:r/>
      <w:bookmarkStart w:id="803" w:name="_Toc305158888"/>
      <w:r/>
      <w:bookmarkStart w:id="804" w:name="_Toc305158814"/>
      <w:r/>
      <w:bookmarkStart w:id="805" w:name="_Toc265228384"/>
      <w:r/>
      <w:bookmarkStart w:id="806" w:name="_Toc226965819"/>
      <w:r/>
      <w:bookmarkStart w:id="807" w:name="_Toc150509297"/>
      <w:r/>
      <w:bookmarkStart w:id="808" w:name="_Toc164608815"/>
      <w:r/>
      <w:bookmarkStart w:id="809" w:name="_Toc164351640"/>
      <w:r/>
      <w:bookmarkStart w:id="810" w:name="_Toc151193788"/>
      <w:r/>
      <w:bookmarkStart w:id="811" w:name="_Toc164229387"/>
      <w:r/>
      <w:bookmarkStart w:id="812" w:name="_Toc226965736"/>
      <w:r/>
      <w:bookmarkStart w:id="813" w:name="_Toc150774646"/>
      <w:r/>
      <w:bookmarkStart w:id="814" w:name="_Toc151193716"/>
      <w:r/>
      <w:bookmarkStart w:id="815" w:name="_Toc164608660"/>
      <w:r/>
      <w:bookmarkStart w:id="816" w:name="_Toc142311048"/>
      <w:r/>
      <w:bookmarkStart w:id="817" w:name="_Toc151193860"/>
      <w:r/>
      <w:bookmarkStart w:id="818" w:name="_Toc520356170"/>
      <w:r/>
      <w:bookmarkStart w:id="819" w:name="_Toc150480784"/>
      <w:r/>
      <w:bookmarkStart w:id="820" w:name="_Toc149720839"/>
      <w:r>
        <w:rPr>
          <w:sz w:val="24"/>
        </w:rPr>
        <w:t xml:space="preserve">中标候选人名单</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212"/>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212"/>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w:t>
      </w:r>
      <w:r>
        <w:rPr>
          <w:sz w:val="24"/>
        </w:rPr>
        <w:t xml:space="preserve">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 w:val="left" w:pos="90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1462"/>
        <w:gridCol w:w="913"/>
        <w:gridCol w:w="4354"/>
        <w:gridCol w:w="2064"/>
      </w:tblGrid>
      <w:tr>
        <w:trPr>
          <w:jc w:val="center"/>
          <w:trHeight w:val="516"/>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913" w:type="dxa"/>
            <w:vAlign w:val="center"/>
            <w:textDirection w:val="lrTb"/>
            <w:noWrap w:val="false"/>
          </w:tcPr>
          <w:p>
            <w:pPr>
              <w:ind w:firstLine="28"/>
              <w:jc w:val="center"/>
              <w:rPr>
                <w:b/>
                <w:sz w:val="24"/>
              </w:rPr>
            </w:pPr>
            <w:r>
              <w:rPr>
                <w:b/>
                <w:sz w:val="24"/>
              </w:rPr>
              <w:t xml:space="preserve">分值</w:t>
            </w:r>
            <w:r/>
          </w:p>
        </w:tc>
        <w:tc>
          <w:tcPr>
            <w:tcW w:w="4354" w:type="dxa"/>
            <w:vAlign w:val="center"/>
            <w:textDirection w:val="lrTb"/>
            <w:noWrap w:val="false"/>
          </w:tcPr>
          <w:p>
            <w:pPr>
              <w:ind w:firstLine="28"/>
              <w:jc w:val="center"/>
              <w:rPr>
                <w:b/>
                <w:sz w:val="24"/>
              </w:rPr>
            </w:pPr>
            <w:r>
              <w:rPr>
                <w:b/>
                <w:sz w:val="24"/>
              </w:rPr>
              <w:t xml:space="preserve">评分标准</w:t>
            </w:r>
            <w:r/>
          </w:p>
        </w:tc>
        <w:tc>
          <w:tcPr>
            <w:tcW w:w="2064" w:type="dxa"/>
            <w:vAlign w:val="center"/>
            <w:textDirection w:val="lrTb"/>
            <w:noWrap w:val="false"/>
          </w:tcPr>
          <w:p>
            <w:pPr>
              <w:pStyle w:val="1418"/>
              <w:spacing w:before="0" w:after="0" w:line="240" w:lineRule="auto"/>
              <w:rPr>
                <w:rFonts w:eastAsia="宋体"/>
                <w:szCs w:val="24"/>
              </w:rPr>
            </w:pPr>
            <w:r>
              <w:rPr>
                <w:rFonts w:eastAsia="宋体"/>
                <w:szCs w:val="24"/>
              </w:rPr>
              <w:t xml:space="preserve">说明</w:t>
            </w:r>
            <w:r/>
          </w:p>
        </w:tc>
      </w:tr>
      <w:tr>
        <w:trPr>
          <w:jc w:val="center"/>
          <w:trHeight w:val="2111"/>
        </w:trPr>
        <w:tc>
          <w:tcPr>
            <w:tcW w:w="835" w:type="dxa"/>
            <w:vAlign w:val="center"/>
            <w:textDirection w:val="lrTb"/>
            <w:noWrap w:val="false"/>
          </w:tcPr>
          <w:p>
            <w:pPr>
              <w:ind w:firstLine="28"/>
              <w:jc w:val="center"/>
              <w:rPr>
                <w:sz w:val="24"/>
              </w:rPr>
            </w:pPr>
            <w:r>
              <w:rPr>
                <w:sz w:val="24"/>
              </w:rPr>
              <w:t xml:space="preserve">1</w:t>
            </w:r>
            <w:r/>
          </w:p>
        </w:tc>
        <w:tc>
          <w:tcPr>
            <w:tcW w:w="1462" w:type="dxa"/>
            <w:vAlign w:val="center"/>
            <w:textDirection w:val="lrTb"/>
            <w:noWrap w:val="false"/>
          </w:tcPr>
          <w:p>
            <w:pPr>
              <w:ind w:firstLine="28"/>
              <w:jc w:val="center"/>
              <w:rPr>
                <w:sz w:val="24"/>
              </w:rPr>
            </w:pPr>
            <w:r>
              <w:rPr>
                <w:sz w:val="24"/>
              </w:rPr>
              <w:t xml:space="preserve">价格分</w:t>
            </w:r>
            <w:r/>
          </w:p>
        </w:tc>
        <w:tc>
          <w:tcPr>
            <w:tcW w:w="913" w:type="dxa"/>
            <w:vAlign w:val="center"/>
            <w:textDirection w:val="lrTb"/>
            <w:noWrap w:val="false"/>
          </w:tcPr>
          <w:p>
            <w:pPr>
              <w:ind w:firstLine="28"/>
              <w:jc w:val="center"/>
              <w:rPr>
                <w:sz w:val="24"/>
              </w:rPr>
            </w:pPr>
            <w:r>
              <w:rPr>
                <w:rFonts w:hint="eastAsia"/>
                <w:sz w:val="24"/>
              </w:rPr>
              <w:t xml:space="preserve">20</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文件要求且</w:t>
            </w:r>
            <w:r>
              <w:rPr>
                <w:rFonts w:hint="eastAsia" w:ascii="宋体" w:hAnsi="宋体"/>
                <w:bCs/>
                <w:sz w:val="24"/>
              </w:rPr>
              <w:t xml:space="preserve">投标</w:t>
            </w:r>
            <w:r>
              <w:rPr>
                <w:rFonts w:ascii="宋体" w:hAnsi="宋体"/>
                <w:bCs/>
                <w:sz w:val="24"/>
              </w:rPr>
              <w:t xml:space="preserve">优惠率最高的为评审基准优惠率，其价格分为满分。其他供应商的价格</w:t>
            </w:r>
            <w:r>
              <w:rPr>
                <w:rFonts w:ascii="宋体" w:hAnsi="宋体"/>
                <w:bCs/>
                <w:sz w:val="24"/>
              </w:rPr>
              <w:t xml:space="preserve">分统一</w:t>
            </w:r>
            <w:r>
              <w:rPr>
                <w:rFonts w:ascii="宋体" w:hAnsi="宋体"/>
                <w:bCs/>
                <w:sz w:val="24"/>
              </w:rPr>
              <w:t xml:space="preserve">按照下列公式计算：</w:t>
            </w:r>
            <w:r/>
          </w:p>
          <w:p>
            <w:pPr>
              <w:jc w:val="left"/>
              <w:rPr>
                <w:rFonts w:hint="eastAsia" w:ascii="宋体" w:hAnsi="宋体"/>
                <w:bCs/>
                <w:sz w:val="24"/>
              </w:rPr>
            </w:pPr>
            <w:r>
              <w:rPr>
                <w:rFonts w:ascii="宋体" w:hAnsi="宋体"/>
                <w:bCs/>
                <w:sz w:val="24"/>
              </w:rPr>
              <w:t xml:space="preserve">价格分得分＝（1-评审基准优惠率）/（1-</w:t>
            </w:r>
            <w:r>
              <w:rPr>
                <w:rFonts w:hint="eastAsia" w:ascii="宋体" w:hAnsi="宋体"/>
                <w:bCs/>
                <w:sz w:val="24"/>
              </w:rPr>
              <w:t xml:space="preserve">投标</w:t>
            </w:r>
            <w:r>
              <w:rPr>
                <w:rFonts w:ascii="宋体" w:hAnsi="宋体"/>
                <w:bCs/>
                <w:sz w:val="24"/>
              </w:rPr>
              <w:t xml:space="preserve">优惠率）×分值。</w:t>
            </w:r>
            <w:r/>
          </w:p>
        </w:tc>
        <w:tc>
          <w:tcPr>
            <w:tcW w:w="2064" w:type="dxa"/>
            <w:vAlign w:val="center"/>
            <w:textDirection w:val="lrTb"/>
            <w:noWrap w:val="false"/>
          </w:tcPr>
          <w:p>
            <w:pPr>
              <w:ind w:left="-38"/>
              <w:rPr>
                <w:sz w:val="24"/>
              </w:rPr>
            </w:pPr>
            <w:r>
              <w:rPr>
                <w:sz w:val="24"/>
              </w:rPr>
            </w:r>
            <w:r/>
          </w:p>
        </w:tc>
      </w:tr>
      <w:tr>
        <w:trPr>
          <w:jc w:val="center"/>
          <w:trHeight w:val="441"/>
        </w:trPr>
        <w:tc>
          <w:tcPr>
            <w:tcW w:w="835" w:type="dxa"/>
            <w:vAlign w:val="center"/>
            <w:textDirection w:val="lrTb"/>
            <w:noWrap w:val="false"/>
          </w:tcPr>
          <w:p>
            <w:pPr>
              <w:ind w:firstLine="28"/>
              <w:jc w:val="center"/>
              <w:rPr>
                <w:sz w:val="24"/>
              </w:rPr>
            </w:pPr>
            <w:r>
              <w:rPr>
                <w:sz w:val="24"/>
              </w:rPr>
              <w:t xml:space="preserve">2</w:t>
            </w:r>
            <w:r/>
          </w:p>
        </w:tc>
        <w:tc>
          <w:tcPr>
            <w:tcW w:w="1462" w:type="dxa"/>
            <w:vAlign w:val="center"/>
            <w:textDirection w:val="lrTb"/>
            <w:noWrap w:val="false"/>
          </w:tcPr>
          <w:p>
            <w:pPr>
              <w:ind w:firstLine="28"/>
              <w:jc w:val="center"/>
              <w:rPr>
                <w:sz w:val="24"/>
              </w:rPr>
            </w:pPr>
            <w:r>
              <w:rPr>
                <w:sz w:val="24"/>
              </w:rPr>
              <w:t xml:space="preserve">主观分</w:t>
            </w:r>
            <w:r/>
          </w:p>
        </w:tc>
        <w:tc>
          <w:tcPr>
            <w:tcW w:w="913" w:type="dxa"/>
            <w:vAlign w:val="center"/>
            <w:textDirection w:val="lrTb"/>
            <w:noWrap w:val="false"/>
          </w:tcPr>
          <w:p>
            <w:pPr>
              <w:ind w:firstLine="28"/>
              <w:jc w:val="center"/>
              <w:rPr>
                <w:sz w:val="24"/>
              </w:rPr>
            </w:pPr>
            <w:r>
              <w:rPr>
                <w:sz w:val="24"/>
              </w:rPr>
              <w:t xml:space="preserve">50</w:t>
            </w:r>
            <w:r/>
          </w:p>
        </w:tc>
        <w:tc>
          <w:tcPr>
            <w:tcW w:w="4354" w:type="dxa"/>
            <w:vAlign w:val="center"/>
            <w:textDirection w:val="lrTb"/>
            <w:noWrap w:val="false"/>
          </w:tcPr>
          <w:p>
            <w:pPr>
              <w:rPr>
                <w:rFonts w:hint="eastAsia" w:ascii="宋体" w:hAnsi="宋体"/>
                <w:bCs/>
                <w:sz w:val="24"/>
              </w:rPr>
            </w:pPr>
            <w:r>
              <w:rPr>
                <w:rFonts w:hint="eastAsia" w:ascii="宋体" w:hAnsi="宋体"/>
                <w:bCs/>
                <w:sz w:val="24"/>
              </w:rPr>
            </w:r>
            <w:r/>
          </w:p>
        </w:tc>
        <w:tc>
          <w:tcPr>
            <w:tcW w:w="2064" w:type="dxa"/>
            <w:vAlign w:val="center"/>
            <w:textDirection w:val="lrTb"/>
            <w:noWrap w:val="false"/>
          </w:tcPr>
          <w:p>
            <w:pPr>
              <w:ind w:left="-38"/>
              <w:rPr>
                <w:sz w:val="24"/>
              </w:rPr>
            </w:pPr>
            <w:r>
              <w:rPr>
                <w:sz w:val="24"/>
              </w:rPr>
            </w:r>
            <w:r/>
          </w:p>
        </w:tc>
      </w:tr>
      <w:tr>
        <w:trPr>
          <w:jc w:val="center"/>
          <w:trHeight w:val="2854"/>
        </w:trPr>
        <w:tc>
          <w:tcPr>
            <w:tcW w:w="835" w:type="dxa"/>
            <w:vAlign w:val="center"/>
            <w:textDirection w:val="lrTb"/>
            <w:noWrap w:val="false"/>
          </w:tcPr>
          <w:p>
            <w:pPr>
              <w:ind w:firstLine="28"/>
              <w:jc w:val="center"/>
              <w:rPr>
                <w:sz w:val="24"/>
              </w:rPr>
            </w:pPr>
            <w:r>
              <w:rPr>
                <w:sz w:val="24"/>
              </w:rPr>
              <w:t xml:space="preserve">2.1</w:t>
            </w:r>
            <w:r/>
          </w:p>
        </w:tc>
        <w:tc>
          <w:tcPr>
            <w:tcW w:w="1462" w:type="dxa"/>
            <w:vAlign w:val="center"/>
            <w:textDirection w:val="lrTb"/>
            <w:noWrap w:val="false"/>
          </w:tcPr>
          <w:p>
            <w:pPr>
              <w:ind w:firstLine="28"/>
              <w:jc w:val="center"/>
              <w:rPr>
                <w:sz w:val="24"/>
              </w:rPr>
            </w:pPr>
            <w:r>
              <w:rPr>
                <w:bCs/>
                <w:sz w:val="24"/>
              </w:rPr>
              <w:t xml:space="preserve">管理机制与制度</w:t>
            </w:r>
            <w:r/>
          </w:p>
        </w:tc>
        <w:tc>
          <w:tcPr>
            <w:tcW w:w="913" w:type="dxa"/>
            <w:vAlign w:val="center"/>
            <w:textDirection w:val="lrTb"/>
            <w:noWrap w:val="false"/>
          </w:tcPr>
          <w:p>
            <w:pPr>
              <w:ind w:firstLine="28"/>
              <w:jc w:val="center"/>
              <w:rPr>
                <w:sz w:val="24"/>
              </w:rPr>
            </w:pPr>
            <w:r>
              <w:rPr>
                <w:sz w:val="24"/>
              </w:rPr>
              <w:t xml:space="preserve">10</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包括激励、监督、考核及淘汰机制、作业流程、管理措施：内容全面，描述清晰，以及其他各方面均相对优秀，得</w:t>
            </w:r>
            <w:r>
              <w:rPr>
                <w:rFonts w:hint="eastAsia" w:ascii="宋体" w:hAnsi="宋体"/>
                <w:bCs/>
                <w:sz w:val="24"/>
              </w:rPr>
              <w:t xml:space="preserve">10</w:t>
            </w:r>
            <w:r>
              <w:rPr>
                <w:rFonts w:ascii="宋体" w:hAnsi="宋体"/>
                <w:bCs/>
                <w:sz w:val="24"/>
              </w:rPr>
              <w:t xml:space="preserve">分；内容较全面，描述基本清晰，以及其他各方面均相对较好，得</w:t>
            </w:r>
            <w:r>
              <w:rPr>
                <w:rFonts w:hint="eastAsia" w:ascii="宋体" w:hAnsi="宋体"/>
                <w:bCs/>
                <w:sz w:val="24"/>
              </w:rPr>
              <w:t xml:space="preserve">7</w:t>
            </w:r>
            <w:r>
              <w:rPr>
                <w:rFonts w:ascii="宋体" w:hAnsi="宋体"/>
                <w:bCs/>
                <w:sz w:val="24"/>
              </w:rPr>
              <w:t xml:space="preserve">分；内容基本全面，描述一般，以及其他各方面均相对一般的，得</w:t>
            </w:r>
            <w:r>
              <w:rPr>
                <w:rFonts w:hint="eastAsia" w:ascii="宋体" w:hAnsi="宋体"/>
                <w:bCs/>
                <w:sz w:val="24"/>
              </w:rPr>
              <w:t xml:space="preserve">4</w:t>
            </w:r>
            <w:r>
              <w:rPr>
                <w:rFonts w:ascii="宋体" w:hAnsi="宋体"/>
                <w:bCs/>
                <w:sz w:val="24"/>
              </w:rPr>
              <w:t xml:space="preserve">分；内容较差，描述不清晰，以及其他各方面均相对较差的，</w:t>
            </w:r>
            <w:r>
              <w:rPr>
                <w:rFonts w:hint="eastAsia" w:ascii="宋体" w:hAnsi="宋体"/>
                <w:bCs/>
                <w:sz w:val="24"/>
              </w:rPr>
              <w:t xml:space="preserve">得1分；未提供的</w:t>
            </w:r>
            <w:r>
              <w:rPr>
                <w:rFonts w:ascii="宋体" w:hAnsi="宋体"/>
                <w:bCs/>
                <w:sz w:val="24"/>
              </w:rPr>
              <w:t xml:space="preserve">不得分。</w:t>
            </w:r>
            <w:r/>
          </w:p>
        </w:tc>
        <w:tc>
          <w:tcPr>
            <w:tcW w:w="2064" w:type="dxa"/>
            <w:vAlign w:val="center"/>
            <w:textDirection w:val="lrTb"/>
            <w:noWrap w:val="false"/>
          </w:tcPr>
          <w:p>
            <w:pPr>
              <w:ind w:left="-38"/>
              <w:rPr>
                <w:sz w:val="24"/>
              </w:rPr>
            </w:pPr>
            <w:r>
              <w:rPr>
                <w:sz w:val="24"/>
              </w:rPr>
            </w:r>
            <w:r/>
          </w:p>
        </w:tc>
      </w:tr>
      <w:tr>
        <w:trPr>
          <w:jc w:val="center"/>
          <w:trHeight w:val="2854"/>
        </w:trPr>
        <w:tc>
          <w:tcPr>
            <w:tcW w:w="835" w:type="dxa"/>
            <w:vAlign w:val="center"/>
            <w:textDirection w:val="lrTb"/>
            <w:noWrap w:val="false"/>
          </w:tcPr>
          <w:p>
            <w:pPr>
              <w:ind w:firstLine="28"/>
              <w:jc w:val="center"/>
              <w:rPr>
                <w:sz w:val="24"/>
              </w:rPr>
            </w:pPr>
            <w:r>
              <w:rPr>
                <w:sz w:val="24"/>
              </w:rPr>
              <w:t xml:space="preserve">2.2</w:t>
            </w:r>
            <w:r/>
          </w:p>
        </w:tc>
        <w:tc>
          <w:tcPr>
            <w:tcW w:w="1462" w:type="dxa"/>
            <w:vAlign w:val="center"/>
            <w:textDirection w:val="lrTb"/>
            <w:noWrap w:val="false"/>
          </w:tcPr>
          <w:p>
            <w:pPr>
              <w:ind w:firstLine="28"/>
              <w:jc w:val="center"/>
              <w:rPr>
                <w:sz w:val="24"/>
              </w:rPr>
            </w:pPr>
            <w:r>
              <w:rPr>
                <w:bCs/>
                <w:sz w:val="24"/>
              </w:rPr>
              <w:t xml:space="preserve">实施细则及具体操作方案</w:t>
            </w:r>
            <w:r/>
          </w:p>
        </w:tc>
        <w:tc>
          <w:tcPr>
            <w:tcW w:w="913" w:type="dxa"/>
            <w:vAlign w:val="center"/>
            <w:textDirection w:val="lrTb"/>
            <w:noWrap w:val="false"/>
          </w:tcPr>
          <w:p>
            <w:pPr>
              <w:ind w:firstLine="28"/>
              <w:jc w:val="center"/>
              <w:rPr>
                <w:sz w:val="24"/>
              </w:rPr>
            </w:pPr>
            <w:r>
              <w:rPr>
                <w:sz w:val="24"/>
              </w:rPr>
              <w:t xml:space="preserve">10</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包括工作区域划分、工作内容、日常巡查服务、工作交接方案等：内容整体完善，清晰完整，方案可行性强，思路清晰，得</w:t>
            </w:r>
            <w:r>
              <w:rPr>
                <w:rFonts w:hint="eastAsia" w:ascii="宋体" w:hAnsi="宋体"/>
                <w:bCs/>
                <w:sz w:val="24"/>
              </w:rPr>
              <w:t xml:space="preserve">10</w:t>
            </w:r>
            <w:r>
              <w:rPr>
                <w:rFonts w:ascii="宋体" w:hAnsi="宋体"/>
                <w:bCs/>
                <w:sz w:val="24"/>
              </w:rPr>
              <w:t xml:space="preserve">分；内容整体合理，方案可行性较强，思路较清晰，得</w:t>
            </w:r>
            <w:r>
              <w:rPr>
                <w:rFonts w:hint="eastAsia" w:ascii="宋体" w:hAnsi="宋体"/>
                <w:bCs/>
                <w:sz w:val="24"/>
              </w:rPr>
              <w:t xml:space="preserve">7</w:t>
            </w:r>
            <w:r>
              <w:rPr>
                <w:rFonts w:ascii="宋体" w:hAnsi="宋体"/>
                <w:bCs/>
                <w:sz w:val="24"/>
              </w:rPr>
              <w:t xml:space="preserve">分；内容整体一般，方案具有一定可行性，思路一般，得</w:t>
            </w:r>
            <w:r>
              <w:rPr>
                <w:rFonts w:hint="eastAsia" w:ascii="宋体" w:hAnsi="宋体"/>
                <w:bCs/>
                <w:sz w:val="24"/>
              </w:rPr>
              <w:t xml:space="preserve">4</w:t>
            </w:r>
            <w:r>
              <w:rPr>
                <w:rFonts w:ascii="宋体" w:hAnsi="宋体"/>
                <w:bCs/>
                <w:sz w:val="24"/>
              </w:rPr>
              <w:t xml:space="preserve">分；内容整体较差，方案可行性较差，思路较差，得</w:t>
            </w:r>
            <w:r>
              <w:rPr>
                <w:rFonts w:hint="eastAsia" w:ascii="宋体" w:hAnsi="宋体"/>
                <w:bCs/>
                <w:sz w:val="24"/>
              </w:rPr>
              <w:t xml:space="preserve">1</w:t>
            </w:r>
            <w:r>
              <w:rPr>
                <w:rFonts w:ascii="宋体" w:hAnsi="宋体"/>
                <w:bCs/>
                <w:sz w:val="24"/>
              </w:rPr>
              <w:t xml:space="preserve">分</w:t>
            </w:r>
            <w:r>
              <w:rPr>
                <w:rFonts w:hint="eastAsia" w:ascii="宋体" w:hAnsi="宋体"/>
                <w:bCs/>
                <w:sz w:val="24"/>
              </w:rPr>
              <w:t xml:space="preserve">；未提供的</w:t>
            </w:r>
            <w:r>
              <w:rPr>
                <w:rFonts w:ascii="宋体" w:hAnsi="宋体"/>
                <w:bCs/>
                <w:sz w:val="24"/>
              </w:rPr>
              <w:t xml:space="preserve">不得分。</w:t>
            </w:r>
            <w:r/>
          </w:p>
        </w:tc>
        <w:tc>
          <w:tcPr>
            <w:tcW w:w="2064" w:type="dxa"/>
            <w:vAlign w:val="center"/>
            <w:textDirection w:val="lrTb"/>
            <w:noWrap w:val="false"/>
          </w:tcPr>
          <w:p>
            <w:pPr>
              <w:ind w:left="-38"/>
              <w:rPr>
                <w:sz w:val="24"/>
              </w:rPr>
            </w:pPr>
            <w:r>
              <w:rPr>
                <w:sz w:val="24"/>
              </w:rPr>
            </w:r>
            <w:r/>
          </w:p>
        </w:tc>
      </w:tr>
      <w:tr>
        <w:trPr>
          <w:jc w:val="center"/>
          <w:trHeight w:val="2854"/>
        </w:trPr>
        <w:tc>
          <w:tcPr>
            <w:tcW w:w="835" w:type="dxa"/>
            <w:vAlign w:val="center"/>
            <w:textDirection w:val="lrTb"/>
            <w:noWrap w:val="false"/>
          </w:tcPr>
          <w:p>
            <w:pPr>
              <w:ind w:firstLine="28"/>
              <w:jc w:val="center"/>
              <w:rPr>
                <w:sz w:val="24"/>
              </w:rPr>
            </w:pPr>
            <w:r>
              <w:rPr>
                <w:sz w:val="24"/>
              </w:rPr>
              <w:t xml:space="preserve">2.3</w:t>
            </w:r>
            <w:r/>
          </w:p>
        </w:tc>
        <w:tc>
          <w:tcPr>
            <w:tcW w:w="1462" w:type="dxa"/>
            <w:vAlign w:val="center"/>
            <w:textDirection w:val="lrTb"/>
            <w:noWrap w:val="false"/>
          </w:tcPr>
          <w:p>
            <w:pPr>
              <w:jc w:val="center"/>
              <w:rPr>
                <w:bCs/>
                <w:sz w:val="24"/>
              </w:rPr>
            </w:pPr>
            <w:r>
              <w:rPr>
                <w:bCs/>
                <w:sz w:val="24"/>
              </w:rPr>
              <w:t xml:space="preserve">人员培训方案</w:t>
            </w:r>
            <w:r/>
          </w:p>
        </w:tc>
        <w:tc>
          <w:tcPr>
            <w:tcW w:w="913" w:type="dxa"/>
            <w:vAlign w:val="center"/>
            <w:textDirection w:val="lrTb"/>
            <w:noWrap w:val="false"/>
          </w:tcPr>
          <w:p>
            <w:pPr>
              <w:ind w:firstLine="28"/>
              <w:jc w:val="center"/>
              <w:rPr>
                <w:sz w:val="24"/>
              </w:rPr>
            </w:pPr>
            <w:r>
              <w:rPr>
                <w:sz w:val="24"/>
              </w:rPr>
              <w:t xml:space="preserve">10</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包括人员培训措施、安全制度等：内容整体完善，内容清晰完整，方案可行性强，思路清晰，得</w:t>
            </w:r>
            <w:r>
              <w:rPr>
                <w:rFonts w:hint="eastAsia" w:ascii="宋体" w:hAnsi="宋体"/>
                <w:bCs/>
                <w:sz w:val="24"/>
              </w:rPr>
              <w:t xml:space="preserve">10</w:t>
            </w:r>
            <w:r>
              <w:rPr>
                <w:rFonts w:ascii="宋体" w:hAnsi="宋体"/>
                <w:bCs/>
                <w:sz w:val="24"/>
              </w:rPr>
              <w:t xml:space="preserve">分；内容整体合理，方案可行性较强，思路较清晰，得</w:t>
            </w:r>
            <w:r>
              <w:rPr>
                <w:rFonts w:hint="eastAsia" w:ascii="宋体" w:hAnsi="宋体"/>
                <w:bCs/>
                <w:sz w:val="24"/>
              </w:rPr>
              <w:t xml:space="preserve">7</w:t>
            </w:r>
            <w:r>
              <w:rPr>
                <w:rFonts w:ascii="宋体" w:hAnsi="宋体"/>
                <w:bCs/>
                <w:sz w:val="24"/>
              </w:rPr>
              <w:t xml:space="preserve">分；内容整体一般，方案具有一定可行性，思路一般，得</w:t>
            </w:r>
            <w:r>
              <w:rPr>
                <w:rFonts w:hint="eastAsia" w:ascii="宋体" w:hAnsi="宋体"/>
                <w:bCs/>
                <w:sz w:val="24"/>
              </w:rPr>
              <w:t xml:space="preserve">4</w:t>
            </w:r>
            <w:r>
              <w:rPr>
                <w:rFonts w:ascii="宋体" w:hAnsi="宋体"/>
                <w:bCs/>
                <w:sz w:val="24"/>
              </w:rPr>
              <w:t xml:space="preserve">分；内容整体较差，方案可行性较差，思路较差，得</w:t>
            </w:r>
            <w:r>
              <w:rPr>
                <w:rFonts w:hint="eastAsia" w:ascii="宋体" w:hAnsi="宋体"/>
                <w:bCs/>
                <w:sz w:val="24"/>
              </w:rPr>
              <w:t xml:space="preserve">1</w:t>
            </w:r>
            <w:r>
              <w:rPr>
                <w:rFonts w:ascii="宋体" w:hAnsi="宋体"/>
                <w:bCs/>
                <w:sz w:val="24"/>
              </w:rPr>
              <w:t xml:space="preserve">分</w:t>
            </w:r>
            <w:r>
              <w:rPr>
                <w:rFonts w:hint="eastAsia" w:ascii="宋体" w:hAnsi="宋体"/>
                <w:bCs/>
                <w:sz w:val="24"/>
              </w:rPr>
              <w:t xml:space="preserve">；未提供的</w:t>
            </w:r>
            <w:r>
              <w:rPr>
                <w:rFonts w:ascii="宋体" w:hAnsi="宋体"/>
                <w:bCs/>
                <w:sz w:val="24"/>
              </w:rPr>
              <w:t xml:space="preserve">不得分。</w:t>
            </w:r>
            <w:r/>
          </w:p>
        </w:tc>
        <w:tc>
          <w:tcPr>
            <w:tcW w:w="2064" w:type="dxa"/>
            <w:vAlign w:val="center"/>
            <w:textDirection w:val="lrTb"/>
            <w:noWrap w:val="false"/>
          </w:tcPr>
          <w:p>
            <w:pPr>
              <w:ind w:left="-38"/>
              <w:rPr>
                <w:sz w:val="24"/>
              </w:rPr>
            </w:pPr>
            <w:r>
              <w:rPr>
                <w:sz w:val="24"/>
              </w:rPr>
            </w:r>
            <w:r/>
          </w:p>
        </w:tc>
      </w:tr>
      <w:tr>
        <w:trPr>
          <w:jc w:val="center"/>
          <w:trHeight w:val="2854"/>
        </w:trPr>
        <w:tc>
          <w:tcPr>
            <w:tcW w:w="835" w:type="dxa"/>
            <w:vAlign w:val="center"/>
            <w:textDirection w:val="lrTb"/>
            <w:noWrap w:val="false"/>
          </w:tcPr>
          <w:p>
            <w:pPr>
              <w:ind w:firstLine="28"/>
              <w:jc w:val="center"/>
              <w:rPr>
                <w:sz w:val="24"/>
              </w:rPr>
            </w:pPr>
            <w:r>
              <w:rPr>
                <w:sz w:val="24"/>
              </w:rPr>
              <w:t xml:space="preserve">2.4</w:t>
            </w:r>
            <w:r/>
          </w:p>
        </w:tc>
        <w:tc>
          <w:tcPr>
            <w:tcW w:w="1462" w:type="dxa"/>
            <w:vAlign w:val="center"/>
            <w:textDirection w:val="lrTb"/>
            <w:noWrap w:val="false"/>
          </w:tcPr>
          <w:p>
            <w:pPr>
              <w:jc w:val="center"/>
              <w:rPr>
                <w:sz w:val="24"/>
              </w:rPr>
            </w:pPr>
            <w:r>
              <w:rPr>
                <w:bCs/>
                <w:sz w:val="24"/>
              </w:rPr>
              <w:t xml:space="preserve">质量保障措施</w:t>
            </w:r>
            <w:r/>
          </w:p>
        </w:tc>
        <w:tc>
          <w:tcPr>
            <w:tcW w:w="913" w:type="dxa"/>
            <w:vAlign w:val="center"/>
            <w:textDirection w:val="lrTb"/>
            <w:noWrap w:val="false"/>
          </w:tcPr>
          <w:p>
            <w:pPr>
              <w:ind w:firstLine="28"/>
              <w:jc w:val="center"/>
              <w:rPr>
                <w:sz w:val="24"/>
              </w:rPr>
            </w:pPr>
            <w:r>
              <w:rPr>
                <w:sz w:val="24"/>
              </w:rPr>
              <w:t xml:space="preserve">10</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包括质量保障措施的相关内容：内容整体完善，内容清晰完整，方案可行性强，思路清晰，得</w:t>
            </w:r>
            <w:r>
              <w:rPr>
                <w:rFonts w:hint="eastAsia" w:ascii="宋体" w:hAnsi="宋体"/>
                <w:bCs/>
                <w:sz w:val="24"/>
              </w:rPr>
              <w:t xml:space="preserve">10</w:t>
            </w:r>
            <w:r>
              <w:rPr>
                <w:rFonts w:ascii="宋体" w:hAnsi="宋体"/>
                <w:bCs/>
                <w:sz w:val="24"/>
              </w:rPr>
              <w:t xml:space="preserve">分；内容整体合理，方案可行性较强，思路较清晰，得</w:t>
            </w:r>
            <w:r>
              <w:rPr>
                <w:rFonts w:hint="eastAsia" w:ascii="宋体" w:hAnsi="宋体"/>
                <w:bCs/>
                <w:sz w:val="24"/>
              </w:rPr>
              <w:t xml:space="preserve">7</w:t>
            </w:r>
            <w:r>
              <w:rPr>
                <w:rFonts w:ascii="宋体" w:hAnsi="宋体"/>
                <w:bCs/>
                <w:sz w:val="24"/>
              </w:rPr>
              <w:t xml:space="preserve">分；内容整体一般，方案具有一定可行性，思路一般，得</w:t>
            </w:r>
            <w:r>
              <w:rPr>
                <w:rFonts w:hint="eastAsia" w:ascii="宋体" w:hAnsi="宋体"/>
                <w:bCs/>
                <w:sz w:val="24"/>
              </w:rPr>
              <w:t xml:space="preserve">4</w:t>
            </w:r>
            <w:r>
              <w:rPr>
                <w:rFonts w:ascii="宋体" w:hAnsi="宋体"/>
                <w:bCs/>
                <w:sz w:val="24"/>
              </w:rPr>
              <w:t xml:space="preserve">分；内容整体较差，方案可行性较差，思路较差，得</w:t>
            </w:r>
            <w:r>
              <w:rPr>
                <w:rFonts w:hint="eastAsia" w:ascii="宋体" w:hAnsi="宋体"/>
                <w:bCs/>
                <w:sz w:val="24"/>
              </w:rPr>
              <w:t xml:space="preserve">1</w:t>
            </w:r>
            <w:r>
              <w:rPr>
                <w:rFonts w:ascii="宋体" w:hAnsi="宋体"/>
                <w:bCs/>
                <w:sz w:val="24"/>
              </w:rPr>
              <w:t xml:space="preserve">分</w:t>
            </w:r>
            <w:r>
              <w:rPr>
                <w:rFonts w:hint="eastAsia" w:ascii="宋体" w:hAnsi="宋体"/>
                <w:bCs/>
                <w:sz w:val="24"/>
              </w:rPr>
              <w:t xml:space="preserve">；未提供的</w:t>
            </w:r>
            <w:r>
              <w:rPr>
                <w:rFonts w:ascii="宋体" w:hAnsi="宋体"/>
                <w:bCs/>
                <w:sz w:val="24"/>
              </w:rPr>
              <w:t xml:space="preserve">不得分。</w:t>
            </w:r>
            <w:r/>
          </w:p>
        </w:tc>
        <w:tc>
          <w:tcPr>
            <w:tcW w:w="2064" w:type="dxa"/>
            <w:vAlign w:val="center"/>
            <w:textDirection w:val="lrTb"/>
            <w:noWrap w:val="false"/>
          </w:tcPr>
          <w:p>
            <w:pPr>
              <w:ind w:left="-38"/>
              <w:rPr>
                <w:sz w:val="24"/>
              </w:rPr>
            </w:pPr>
            <w:r>
              <w:rPr>
                <w:sz w:val="24"/>
              </w:rPr>
            </w:r>
            <w:r/>
          </w:p>
        </w:tc>
      </w:tr>
      <w:tr>
        <w:trPr>
          <w:jc w:val="center"/>
          <w:trHeight w:val="2492"/>
        </w:trPr>
        <w:tc>
          <w:tcPr>
            <w:tcW w:w="835" w:type="dxa"/>
            <w:vAlign w:val="center"/>
            <w:textDirection w:val="lrTb"/>
            <w:noWrap w:val="false"/>
          </w:tcPr>
          <w:p>
            <w:pPr>
              <w:ind w:firstLine="28"/>
              <w:jc w:val="center"/>
              <w:rPr>
                <w:sz w:val="24"/>
              </w:rPr>
            </w:pPr>
            <w:r>
              <w:rPr>
                <w:sz w:val="24"/>
              </w:rPr>
              <w:t xml:space="preserve">2.5</w:t>
            </w:r>
            <w:r/>
          </w:p>
        </w:tc>
        <w:tc>
          <w:tcPr>
            <w:tcW w:w="1462" w:type="dxa"/>
            <w:vAlign w:val="center"/>
            <w:textDirection w:val="lrTb"/>
            <w:noWrap w:val="false"/>
          </w:tcPr>
          <w:p>
            <w:pPr>
              <w:ind w:firstLine="28"/>
              <w:jc w:val="center"/>
              <w:rPr>
                <w:bCs/>
                <w:sz w:val="24"/>
              </w:rPr>
            </w:pPr>
            <w:r>
              <w:rPr>
                <w:bCs/>
                <w:sz w:val="24"/>
              </w:rPr>
              <w:t xml:space="preserve">应急预案</w:t>
            </w:r>
            <w:r/>
          </w:p>
        </w:tc>
        <w:tc>
          <w:tcPr>
            <w:tcW w:w="913" w:type="dxa"/>
            <w:vAlign w:val="center"/>
            <w:textDirection w:val="lrTb"/>
            <w:noWrap w:val="false"/>
          </w:tcPr>
          <w:p>
            <w:pPr>
              <w:ind w:firstLine="28"/>
              <w:jc w:val="center"/>
              <w:rPr>
                <w:sz w:val="24"/>
              </w:rPr>
            </w:pPr>
            <w:r>
              <w:rPr>
                <w:sz w:val="24"/>
              </w:rPr>
              <w:t xml:space="preserve">10</w:t>
            </w:r>
            <w:r/>
          </w:p>
        </w:tc>
        <w:tc>
          <w:tcPr>
            <w:tcW w:w="4354" w:type="dxa"/>
            <w:vAlign w:val="center"/>
            <w:textDirection w:val="lrTb"/>
            <w:noWrap w:val="false"/>
          </w:tcPr>
          <w:p>
            <w:pPr>
              <w:jc w:val="left"/>
              <w:rPr>
                <w:rFonts w:hint="eastAsia" w:ascii="宋体" w:hAnsi="宋体"/>
                <w:bCs/>
                <w:sz w:val="24"/>
              </w:rPr>
            </w:pPr>
            <w:r>
              <w:rPr>
                <w:rFonts w:hint="eastAsia" w:ascii="宋体" w:hAnsi="宋体"/>
                <w:bCs/>
                <w:sz w:val="24"/>
              </w:rPr>
              <w:t xml:space="preserve">包括</w:t>
            </w:r>
            <w:r>
              <w:rPr>
                <w:rFonts w:ascii="宋体" w:hAnsi="宋体"/>
                <w:bCs/>
                <w:sz w:val="24"/>
              </w:rPr>
              <w:t xml:space="preserve">针对迎接重大活动的应急措施；恶劣天气应急预案；安全事故处理</w:t>
            </w:r>
            <w:r>
              <w:rPr>
                <w:rFonts w:ascii="宋体" w:hAnsi="宋体"/>
                <w:bCs/>
                <w:sz w:val="24"/>
              </w:rPr>
              <w:t xml:space="preserve">措</w:t>
            </w:r>
            <w:r>
              <w:rPr>
                <w:rFonts w:ascii="宋体" w:hAnsi="宋体"/>
                <w:bCs/>
                <w:sz w:val="24"/>
              </w:rPr>
              <w:t xml:space="preserve">预案；节假日期间工作预案等应急预案综合打分：内容整体完善，内容清晰完整，方案可行性强，思路清晰，得</w:t>
            </w:r>
            <w:r>
              <w:rPr>
                <w:rFonts w:hint="eastAsia" w:ascii="宋体" w:hAnsi="宋体"/>
                <w:bCs/>
                <w:sz w:val="24"/>
              </w:rPr>
              <w:t xml:space="preserve">10</w:t>
            </w:r>
            <w:r>
              <w:rPr>
                <w:rFonts w:ascii="宋体" w:hAnsi="宋体"/>
                <w:bCs/>
                <w:sz w:val="24"/>
              </w:rPr>
              <w:t xml:space="preserve">分；内容整体合理，方案可行性较强，思路较清晰，得</w:t>
            </w:r>
            <w:r>
              <w:rPr>
                <w:rFonts w:hint="eastAsia" w:ascii="宋体" w:hAnsi="宋体"/>
                <w:bCs/>
                <w:sz w:val="24"/>
              </w:rPr>
              <w:t xml:space="preserve">7</w:t>
            </w:r>
            <w:r>
              <w:rPr>
                <w:rFonts w:ascii="宋体" w:hAnsi="宋体"/>
                <w:bCs/>
                <w:sz w:val="24"/>
              </w:rPr>
              <w:t xml:space="preserve">分；内容整体一般，方案具有一定可行性，思路一般，得</w:t>
            </w:r>
            <w:r>
              <w:rPr>
                <w:rFonts w:hint="eastAsia" w:ascii="宋体" w:hAnsi="宋体"/>
                <w:bCs/>
                <w:sz w:val="24"/>
              </w:rPr>
              <w:t xml:space="preserve">4</w:t>
            </w:r>
            <w:r>
              <w:rPr>
                <w:rFonts w:ascii="宋体" w:hAnsi="宋体"/>
                <w:bCs/>
                <w:sz w:val="24"/>
              </w:rPr>
              <w:t xml:space="preserve">分；内容整体较差，方案可行性较差，思路较差，得</w:t>
            </w:r>
            <w:r>
              <w:rPr>
                <w:rFonts w:hint="eastAsia" w:ascii="宋体" w:hAnsi="宋体"/>
                <w:bCs/>
                <w:sz w:val="24"/>
              </w:rPr>
              <w:t xml:space="preserve">1</w:t>
            </w:r>
            <w:r>
              <w:rPr>
                <w:rFonts w:ascii="宋体" w:hAnsi="宋体"/>
                <w:bCs/>
                <w:sz w:val="24"/>
              </w:rPr>
              <w:t xml:space="preserve">分</w:t>
            </w:r>
            <w:r>
              <w:rPr>
                <w:rFonts w:hint="eastAsia" w:ascii="宋体" w:hAnsi="宋体"/>
                <w:bCs/>
                <w:sz w:val="24"/>
              </w:rPr>
              <w:t xml:space="preserve">；未提供的</w:t>
            </w:r>
            <w:r>
              <w:rPr>
                <w:rFonts w:ascii="宋体" w:hAnsi="宋体"/>
                <w:bCs/>
                <w:sz w:val="24"/>
              </w:rPr>
              <w:t xml:space="preserve">不得分。</w:t>
            </w:r>
            <w:r/>
          </w:p>
        </w:tc>
        <w:tc>
          <w:tcPr>
            <w:tcW w:w="2064" w:type="dxa"/>
            <w:vAlign w:val="center"/>
            <w:textDirection w:val="lrTb"/>
            <w:noWrap w:val="false"/>
          </w:tcPr>
          <w:p>
            <w:pPr>
              <w:ind w:left="-38"/>
              <w:rPr>
                <w:sz w:val="24"/>
              </w:rPr>
            </w:pPr>
            <w:r>
              <w:rPr>
                <w:sz w:val="24"/>
              </w:rPr>
            </w:r>
            <w:r/>
          </w:p>
        </w:tc>
      </w:tr>
      <w:tr>
        <w:trPr>
          <w:jc w:val="center"/>
          <w:trHeight w:val="413"/>
        </w:trPr>
        <w:tc>
          <w:tcPr>
            <w:tcW w:w="835" w:type="dxa"/>
            <w:vAlign w:val="center"/>
            <w:textDirection w:val="lrTb"/>
            <w:noWrap w:val="false"/>
          </w:tcPr>
          <w:p>
            <w:pPr>
              <w:ind w:firstLine="28"/>
              <w:jc w:val="center"/>
              <w:rPr>
                <w:sz w:val="24"/>
              </w:rPr>
            </w:pPr>
            <w:r>
              <w:rPr>
                <w:sz w:val="24"/>
              </w:rPr>
              <w:t xml:space="preserve">3</w:t>
            </w:r>
            <w:r/>
          </w:p>
        </w:tc>
        <w:tc>
          <w:tcPr>
            <w:tcW w:w="1462" w:type="dxa"/>
            <w:vAlign w:val="center"/>
            <w:textDirection w:val="lrTb"/>
            <w:noWrap w:val="false"/>
          </w:tcPr>
          <w:p>
            <w:pPr>
              <w:ind w:firstLine="28"/>
              <w:jc w:val="center"/>
              <w:rPr>
                <w:sz w:val="24"/>
              </w:rPr>
            </w:pPr>
            <w:r>
              <w:rPr>
                <w:sz w:val="24"/>
              </w:rPr>
              <w:t xml:space="preserve">客观分</w:t>
            </w:r>
            <w:r/>
          </w:p>
        </w:tc>
        <w:tc>
          <w:tcPr>
            <w:tcW w:w="913" w:type="dxa"/>
            <w:vAlign w:val="center"/>
            <w:textDirection w:val="lrTb"/>
            <w:noWrap w:val="false"/>
          </w:tcPr>
          <w:p>
            <w:pPr>
              <w:ind w:firstLine="28"/>
              <w:jc w:val="center"/>
              <w:rPr>
                <w:sz w:val="24"/>
              </w:rPr>
            </w:pPr>
            <w:r>
              <w:rPr>
                <w:rFonts w:hint="eastAsia"/>
                <w:sz w:val="24"/>
              </w:rPr>
              <w:t xml:space="preserve">30</w:t>
            </w:r>
            <w:r>
              <w:rPr>
                <w:rFonts w:hint="eastAsia"/>
                <w:sz w:val="24"/>
              </w:rPr>
              <w:t xml:space="preserve"> </w:t>
            </w:r>
            <w:r/>
          </w:p>
        </w:tc>
        <w:tc>
          <w:tcPr>
            <w:tcW w:w="4354" w:type="dxa"/>
            <w:vAlign w:val="center"/>
            <w:textDirection w:val="lrTb"/>
            <w:noWrap w:val="false"/>
          </w:tcPr>
          <w:p>
            <w:pPr>
              <w:rPr>
                <w:sz w:val="24"/>
              </w:rPr>
            </w:pPr>
            <w:r>
              <w:rPr>
                <w:sz w:val="24"/>
              </w:rPr>
            </w:r>
            <w:r/>
          </w:p>
        </w:tc>
        <w:tc>
          <w:tcPr>
            <w:tcW w:w="2064" w:type="dxa"/>
            <w:vAlign w:val="center"/>
            <w:textDirection w:val="lrTb"/>
            <w:noWrap w:val="false"/>
          </w:tcPr>
          <w:p>
            <w:pPr>
              <w:ind w:left="-38"/>
              <w:rPr>
                <w:sz w:val="24"/>
              </w:rPr>
            </w:pPr>
            <w:r>
              <w:rPr>
                <w:sz w:val="24"/>
              </w:rPr>
            </w:r>
            <w:r/>
          </w:p>
        </w:tc>
      </w:tr>
      <w:tr>
        <w:trPr>
          <w:jc w:val="center"/>
          <w:trHeight w:val="670"/>
        </w:trPr>
        <w:tc>
          <w:tcPr>
            <w:tcW w:w="835" w:type="dxa"/>
            <w:vAlign w:val="center"/>
            <w:textDirection w:val="lrTb"/>
            <w:noWrap w:val="false"/>
          </w:tcPr>
          <w:p>
            <w:pPr>
              <w:ind w:firstLine="28"/>
              <w:jc w:val="center"/>
              <w:rPr>
                <w:sz w:val="24"/>
              </w:rPr>
            </w:pPr>
            <w:r>
              <w:rPr>
                <w:sz w:val="24"/>
              </w:rPr>
              <w:t xml:space="preserve">3.1</w:t>
            </w:r>
            <w:r/>
          </w:p>
        </w:tc>
        <w:tc>
          <w:tcPr>
            <w:tcW w:w="1462" w:type="dxa"/>
            <w:vAlign w:val="center"/>
            <w:vMerge w:val="restart"/>
            <w:textDirection w:val="lrTb"/>
            <w:noWrap w:val="false"/>
          </w:tcPr>
          <w:p>
            <w:pPr>
              <w:ind w:firstLine="28"/>
              <w:jc w:val="center"/>
              <w:rPr>
                <w:sz w:val="24"/>
              </w:rPr>
            </w:pPr>
            <w:r>
              <w:rPr>
                <w:sz w:val="24"/>
              </w:rPr>
              <w:t xml:space="preserve">供应</w:t>
            </w:r>
            <w:r>
              <w:rPr>
                <w:sz w:val="24"/>
              </w:rPr>
              <w:t xml:space="preserve">商综合</w:t>
            </w:r>
            <w:r>
              <w:rPr>
                <w:sz w:val="24"/>
              </w:rPr>
              <w:t xml:space="preserve">实力</w:t>
            </w:r>
            <w:r/>
          </w:p>
        </w:tc>
        <w:tc>
          <w:tcPr>
            <w:tcW w:w="913" w:type="dxa"/>
            <w:vAlign w:val="center"/>
            <w:textDirection w:val="lrTb"/>
            <w:noWrap w:val="false"/>
          </w:tcPr>
          <w:p>
            <w:pPr>
              <w:ind w:firstLine="28"/>
              <w:jc w:val="center"/>
              <w:rPr>
                <w:sz w:val="24"/>
              </w:rPr>
            </w:pPr>
            <w:r>
              <w:rPr>
                <w:rFonts w:hint="eastAsia"/>
                <w:sz w:val="24"/>
              </w:rPr>
              <w:t xml:space="preserve">2</w:t>
            </w:r>
            <w:r/>
          </w:p>
        </w:tc>
        <w:tc>
          <w:tcPr>
            <w:tcW w:w="4354" w:type="dxa"/>
            <w:vAlign w:val="center"/>
            <w:textDirection w:val="lrTb"/>
            <w:noWrap w:val="false"/>
          </w:tcPr>
          <w:p>
            <w:pPr>
              <w:rPr>
                <w:rFonts w:hint="eastAsia" w:ascii="宋体" w:hAnsi="宋体"/>
                <w:bCs/>
                <w:sz w:val="24"/>
              </w:rPr>
            </w:pPr>
            <w:r>
              <w:rPr>
                <w:rFonts w:ascii="宋体" w:hAnsi="宋体"/>
                <w:bCs/>
                <w:sz w:val="24"/>
              </w:rPr>
              <w:t xml:space="preserve">投标人具有质量管理体系认证证书的，得</w:t>
            </w:r>
            <w:r>
              <w:rPr>
                <w:rFonts w:hint="eastAsia" w:ascii="宋体" w:hAnsi="宋体"/>
                <w:bCs/>
                <w:sz w:val="24"/>
              </w:rPr>
              <w:t xml:space="preserve">2</w:t>
            </w:r>
            <w:r>
              <w:rPr>
                <w:rFonts w:ascii="宋体" w:hAnsi="宋体"/>
                <w:bCs/>
                <w:sz w:val="24"/>
              </w:rPr>
              <w:t xml:space="preserve">分。</w:t>
            </w:r>
            <w:r/>
          </w:p>
        </w:tc>
        <w:tc>
          <w:tcPr>
            <w:tcW w:w="2064" w:type="dxa"/>
            <w:vAlign w:val="center"/>
            <w:vMerge w:val="restart"/>
            <w:textDirection w:val="lrTb"/>
            <w:noWrap w:val="false"/>
          </w:tcPr>
          <w:p>
            <w:pPr>
              <w:ind w:left="-38"/>
              <w:rPr>
                <w:rFonts w:hint="eastAsia" w:ascii="宋体" w:hAnsi="宋体"/>
                <w:bCs/>
                <w:sz w:val="24"/>
              </w:rPr>
            </w:pPr>
            <w:r>
              <w:rPr>
                <w:rFonts w:ascii="宋体" w:hAnsi="宋体"/>
                <w:bCs/>
                <w:sz w:val="24"/>
              </w:rPr>
              <w:t xml:space="preserve">1、提供证书及在国家认</w:t>
            </w:r>
            <w:r>
              <w:rPr>
                <w:rFonts w:ascii="宋体" w:hAnsi="宋体"/>
                <w:bCs/>
                <w:sz w:val="24"/>
              </w:rPr>
              <w:t xml:space="preserve">监委官网查询</w:t>
            </w:r>
            <w:r>
              <w:rPr>
                <w:rFonts w:ascii="宋体" w:hAnsi="宋体"/>
                <w:bCs/>
                <w:sz w:val="24"/>
              </w:rPr>
              <w:t xml:space="preserve">状态为“有效”的截图</w:t>
            </w:r>
            <w:r>
              <w:rPr>
                <w:rFonts w:hint="eastAsia" w:ascii="宋体" w:hAnsi="宋体"/>
                <w:bCs/>
                <w:sz w:val="24"/>
              </w:rPr>
              <w:t xml:space="preserve">。</w:t>
            </w:r>
            <w:r/>
          </w:p>
          <w:p>
            <w:pPr>
              <w:ind w:left="-38"/>
              <w:rPr>
                <w:rFonts w:hint="eastAsia" w:ascii="宋体" w:hAnsi="宋体"/>
                <w:bCs/>
                <w:sz w:val="24"/>
              </w:rPr>
            </w:pPr>
            <w:r>
              <w:rPr>
                <w:rFonts w:ascii="宋体" w:hAnsi="宋体"/>
                <w:bCs/>
                <w:sz w:val="24"/>
              </w:rPr>
              <w:t xml:space="preserve">2、未按要求提供或</w:t>
            </w:r>
            <w:r>
              <w:rPr>
                <w:rFonts w:ascii="宋体" w:hAnsi="宋体"/>
                <w:bCs/>
                <w:sz w:val="24"/>
              </w:rPr>
              <w:t xml:space="preserve">少提供</w:t>
            </w:r>
            <w:r>
              <w:rPr>
                <w:rFonts w:ascii="宋体" w:hAnsi="宋体"/>
                <w:bCs/>
                <w:sz w:val="24"/>
              </w:rPr>
              <w:t xml:space="preserve">相关材料不得分。</w:t>
            </w:r>
            <w:r/>
          </w:p>
        </w:tc>
      </w:tr>
      <w:tr>
        <w:trPr>
          <w:jc w:val="center"/>
          <w:trHeight w:val="750"/>
        </w:trPr>
        <w:tc>
          <w:tcPr>
            <w:tcW w:w="835" w:type="dxa"/>
            <w:vAlign w:val="center"/>
            <w:textDirection w:val="lrTb"/>
            <w:noWrap w:val="false"/>
          </w:tcPr>
          <w:p>
            <w:pPr>
              <w:ind w:firstLine="28"/>
              <w:jc w:val="center"/>
              <w:rPr>
                <w:sz w:val="24"/>
              </w:rPr>
            </w:pPr>
            <w:r>
              <w:rPr>
                <w:rFonts w:hint="eastAsia"/>
                <w:sz w:val="24"/>
              </w:rPr>
              <w:t xml:space="preserve">3.2</w:t>
            </w:r>
            <w:r/>
          </w:p>
        </w:tc>
        <w:tc>
          <w:tcPr>
            <w:tcW w:w="1462" w:type="dxa"/>
            <w:vAlign w:val="center"/>
            <w:vMerge w:val="continue"/>
            <w:textDirection w:val="lrTb"/>
            <w:noWrap w:val="false"/>
          </w:tcPr>
          <w:p>
            <w:pPr>
              <w:ind w:firstLine="28"/>
              <w:jc w:val="center"/>
              <w:rPr>
                <w:sz w:val="24"/>
              </w:rPr>
            </w:pPr>
            <w:r>
              <w:rPr>
                <w:sz w:val="24"/>
              </w:rPr>
            </w:r>
            <w:r/>
          </w:p>
        </w:tc>
        <w:tc>
          <w:tcPr>
            <w:tcW w:w="913" w:type="dxa"/>
            <w:vAlign w:val="center"/>
            <w:textDirection w:val="lrTb"/>
            <w:noWrap w:val="false"/>
          </w:tcPr>
          <w:p>
            <w:pPr>
              <w:ind w:firstLine="28"/>
              <w:jc w:val="center"/>
              <w:rPr>
                <w:sz w:val="24"/>
              </w:rPr>
            </w:pPr>
            <w:r>
              <w:rPr>
                <w:rFonts w:hint="eastAsia"/>
                <w:sz w:val="24"/>
              </w:rPr>
              <w:t xml:space="preserve">2</w:t>
            </w:r>
            <w:r/>
          </w:p>
        </w:tc>
        <w:tc>
          <w:tcPr>
            <w:tcW w:w="4354" w:type="dxa"/>
            <w:vAlign w:val="center"/>
            <w:textDirection w:val="lrTb"/>
            <w:noWrap w:val="false"/>
          </w:tcPr>
          <w:p>
            <w:pPr>
              <w:rPr>
                <w:rFonts w:hint="eastAsia" w:ascii="宋体" w:hAnsi="宋体"/>
                <w:bCs/>
                <w:sz w:val="24"/>
              </w:rPr>
            </w:pPr>
            <w:r>
              <w:rPr>
                <w:rFonts w:ascii="宋体" w:hAnsi="宋体"/>
                <w:bCs/>
                <w:sz w:val="24"/>
              </w:rPr>
              <w:t xml:space="preserve">投标人具有环境管理体系认证证书的，得</w:t>
            </w:r>
            <w:r>
              <w:rPr>
                <w:rFonts w:hint="eastAsia" w:ascii="宋体" w:hAnsi="宋体"/>
                <w:bCs/>
                <w:sz w:val="24"/>
              </w:rPr>
              <w:t xml:space="preserve">2</w:t>
            </w:r>
            <w:r>
              <w:rPr>
                <w:rFonts w:ascii="宋体" w:hAnsi="宋体"/>
                <w:bCs/>
                <w:sz w:val="24"/>
              </w:rPr>
              <w:t xml:space="preserve">分。</w:t>
            </w:r>
            <w:r/>
          </w:p>
        </w:tc>
        <w:tc>
          <w:tcPr>
            <w:tcW w:w="2064" w:type="dxa"/>
            <w:vAlign w:val="center"/>
            <w:vMerge w:val="continue"/>
            <w:textDirection w:val="lrTb"/>
            <w:noWrap w:val="false"/>
          </w:tcPr>
          <w:p>
            <w:pPr>
              <w:ind w:left="-38"/>
              <w:rPr>
                <w:rFonts w:hint="eastAsia" w:ascii="宋体" w:hAnsi="宋体"/>
                <w:bCs/>
                <w:sz w:val="24"/>
              </w:rPr>
            </w:pPr>
            <w:r>
              <w:rPr>
                <w:rFonts w:hint="eastAsia" w:ascii="宋体" w:hAnsi="宋体"/>
                <w:bCs/>
                <w:sz w:val="24"/>
              </w:rPr>
            </w:r>
            <w:r/>
          </w:p>
        </w:tc>
      </w:tr>
      <w:tr>
        <w:trPr>
          <w:jc w:val="center"/>
          <w:trHeight w:val="413"/>
        </w:trPr>
        <w:tc>
          <w:tcPr>
            <w:tcW w:w="835" w:type="dxa"/>
            <w:vAlign w:val="center"/>
            <w:textDirection w:val="lrTb"/>
            <w:noWrap w:val="false"/>
          </w:tcPr>
          <w:p>
            <w:pPr>
              <w:ind w:firstLine="28"/>
              <w:jc w:val="center"/>
              <w:rPr>
                <w:sz w:val="24"/>
              </w:rPr>
            </w:pPr>
            <w:r>
              <w:rPr>
                <w:rFonts w:hint="eastAsia"/>
                <w:sz w:val="24"/>
              </w:rPr>
              <w:t xml:space="preserve">3.3</w:t>
            </w:r>
            <w:r/>
          </w:p>
        </w:tc>
        <w:tc>
          <w:tcPr>
            <w:tcW w:w="1462" w:type="dxa"/>
            <w:vAlign w:val="center"/>
            <w:vMerge w:val="continue"/>
            <w:textDirection w:val="lrTb"/>
            <w:noWrap w:val="false"/>
          </w:tcPr>
          <w:p>
            <w:pPr>
              <w:ind w:firstLine="28"/>
              <w:jc w:val="center"/>
              <w:rPr>
                <w:sz w:val="24"/>
              </w:rPr>
            </w:pPr>
            <w:r>
              <w:rPr>
                <w:sz w:val="24"/>
              </w:rPr>
            </w:r>
            <w:r/>
          </w:p>
        </w:tc>
        <w:tc>
          <w:tcPr>
            <w:tcW w:w="913" w:type="dxa"/>
            <w:vAlign w:val="center"/>
            <w:textDirection w:val="lrTb"/>
            <w:noWrap w:val="false"/>
          </w:tcPr>
          <w:p>
            <w:pPr>
              <w:ind w:firstLine="28"/>
              <w:jc w:val="center"/>
              <w:rPr>
                <w:sz w:val="24"/>
              </w:rPr>
            </w:pPr>
            <w:r>
              <w:rPr>
                <w:rFonts w:hint="eastAsia"/>
                <w:sz w:val="24"/>
              </w:rPr>
              <w:t xml:space="preserve">2</w:t>
            </w:r>
            <w:r/>
          </w:p>
        </w:tc>
        <w:tc>
          <w:tcPr>
            <w:tcW w:w="4354" w:type="dxa"/>
            <w:vAlign w:val="center"/>
            <w:textDirection w:val="lrTb"/>
            <w:noWrap w:val="false"/>
          </w:tcPr>
          <w:p>
            <w:pPr>
              <w:rPr>
                <w:rFonts w:hint="eastAsia" w:ascii="宋体" w:hAnsi="宋体"/>
                <w:bCs/>
                <w:sz w:val="24"/>
              </w:rPr>
            </w:pPr>
            <w:r>
              <w:rPr>
                <w:rFonts w:ascii="宋体" w:hAnsi="宋体"/>
                <w:bCs/>
                <w:sz w:val="24"/>
              </w:rPr>
              <w:t xml:space="preserve">投标人具有职业健康管理体系认证证书的，得</w:t>
            </w:r>
            <w:r>
              <w:rPr>
                <w:rFonts w:hint="eastAsia" w:ascii="宋体" w:hAnsi="宋体"/>
                <w:bCs/>
                <w:sz w:val="24"/>
              </w:rPr>
              <w:t xml:space="preserve">2</w:t>
            </w:r>
            <w:r>
              <w:rPr>
                <w:rFonts w:ascii="宋体" w:hAnsi="宋体"/>
                <w:bCs/>
                <w:sz w:val="24"/>
              </w:rPr>
              <w:t xml:space="preserve">分。</w:t>
            </w:r>
            <w:r/>
          </w:p>
        </w:tc>
        <w:tc>
          <w:tcPr>
            <w:tcW w:w="2064" w:type="dxa"/>
            <w:vAlign w:val="center"/>
            <w:vMerge w:val="continue"/>
            <w:textDirection w:val="lrTb"/>
            <w:noWrap w:val="false"/>
          </w:tcPr>
          <w:p>
            <w:pPr>
              <w:ind w:left="-38"/>
              <w:rPr>
                <w:rFonts w:hint="eastAsia" w:ascii="宋体" w:hAnsi="宋体"/>
                <w:bCs/>
                <w:sz w:val="24"/>
              </w:rPr>
            </w:pPr>
            <w:r>
              <w:rPr>
                <w:rFonts w:hint="eastAsia" w:ascii="宋体" w:hAnsi="宋体"/>
                <w:bCs/>
                <w:sz w:val="24"/>
              </w:rPr>
            </w:r>
            <w:r/>
          </w:p>
        </w:tc>
      </w:tr>
      <w:tr>
        <w:trPr>
          <w:jc w:val="center"/>
          <w:trHeight w:val="1183"/>
        </w:trPr>
        <w:tc>
          <w:tcPr>
            <w:tcW w:w="835" w:type="dxa"/>
            <w:vAlign w:val="center"/>
            <w:textDirection w:val="lrTb"/>
            <w:noWrap w:val="false"/>
          </w:tcPr>
          <w:p>
            <w:pPr>
              <w:ind w:firstLine="28"/>
              <w:jc w:val="center"/>
              <w:rPr>
                <w:sz w:val="24"/>
              </w:rPr>
            </w:pPr>
            <w:r>
              <w:rPr>
                <w:sz w:val="24"/>
              </w:rPr>
              <w:t xml:space="preserve">3.</w:t>
            </w:r>
            <w:r>
              <w:rPr>
                <w:rFonts w:hint="eastAsia"/>
                <w:sz w:val="24"/>
              </w:rPr>
              <w:t xml:space="preserve">4</w:t>
            </w:r>
            <w:r/>
          </w:p>
        </w:tc>
        <w:tc>
          <w:tcPr>
            <w:tcW w:w="1462" w:type="dxa"/>
            <w:vAlign w:val="center"/>
            <w:textDirection w:val="lrTb"/>
            <w:noWrap w:val="false"/>
          </w:tcPr>
          <w:p>
            <w:pPr>
              <w:ind w:firstLine="28"/>
              <w:jc w:val="center"/>
              <w:rPr>
                <w:sz w:val="24"/>
              </w:rPr>
            </w:pPr>
            <w:r>
              <w:rPr>
                <w:sz w:val="24"/>
              </w:rPr>
              <w:t xml:space="preserve">企业业绩</w:t>
            </w:r>
            <w:r/>
          </w:p>
        </w:tc>
        <w:tc>
          <w:tcPr>
            <w:tcW w:w="913" w:type="dxa"/>
            <w:vAlign w:val="center"/>
            <w:textDirection w:val="lrTb"/>
            <w:noWrap w:val="false"/>
          </w:tcPr>
          <w:p>
            <w:pPr>
              <w:ind w:firstLine="28"/>
              <w:jc w:val="center"/>
              <w:rPr>
                <w:sz w:val="24"/>
              </w:rPr>
            </w:pPr>
            <w:r>
              <w:rPr>
                <w:rFonts w:hint="eastAsia"/>
                <w:sz w:val="24"/>
              </w:rPr>
              <w:t xml:space="preserve">9</w:t>
            </w:r>
            <w:r/>
          </w:p>
        </w:tc>
        <w:tc>
          <w:tcPr>
            <w:tcW w:w="4354" w:type="dxa"/>
            <w:vAlign w:val="center"/>
            <w:textDirection w:val="lrTb"/>
            <w:noWrap w:val="false"/>
          </w:tcPr>
          <w:p>
            <w:pPr>
              <w:rPr>
                <w:rFonts w:hint="eastAsia" w:ascii="宋体" w:hAnsi="宋体"/>
                <w:bCs/>
                <w:sz w:val="24"/>
              </w:rPr>
            </w:pPr>
            <w:r>
              <w:rPr>
                <w:rFonts w:ascii="宋体" w:hAnsi="宋体"/>
                <w:bCs/>
                <w:sz w:val="24"/>
              </w:rPr>
              <w:t xml:space="preserve">投标人近三年（202</w:t>
            </w:r>
            <w:r>
              <w:rPr>
                <w:rFonts w:hint="eastAsia" w:ascii="宋体" w:hAnsi="宋体"/>
                <w:bCs/>
                <w:sz w:val="24"/>
              </w:rPr>
              <w:t xml:space="preserve">3</w:t>
            </w:r>
            <w:r>
              <w:rPr>
                <w:rFonts w:ascii="宋体" w:hAnsi="宋体"/>
                <w:bCs/>
                <w:sz w:val="24"/>
              </w:rPr>
              <w:t xml:space="preserve">年</w:t>
            </w:r>
            <w:r>
              <w:rPr>
                <w:rFonts w:hint="eastAsia" w:ascii="宋体" w:hAnsi="宋体"/>
                <w:bCs/>
                <w:sz w:val="24"/>
              </w:rPr>
              <w:t xml:space="preserve">4</w:t>
            </w:r>
            <w:r>
              <w:rPr>
                <w:rFonts w:ascii="宋体" w:hAnsi="宋体"/>
                <w:bCs/>
                <w:sz w:val="24"/>
              </w:rPr>
              <w:t xml:space="preserve">月至今）具有道路路灯</w:t>
            </w:r>
            <w:r>
              <w:rPr>
                <w:rFonts w:hint="eastAsia" w:ascii="宋体" w:hAnsi="宋体"/>
                <w:bCs/>
                <w:sz w:val="24"/>
              </w:rPr>
              <w:t xml:space="preserve">管护</w:t>
            </w:r>
            <w:r>
              <w:rPr>
                <w:rFonts w:ascii="宋体" w:hAnsi="宋体"/>
                <w:bCs/>
                <w:sz w:val="24"/>
              </w:rPr>
              <w:t xml:space="preserve">服务的从业经验的，有1个，得</w:t>
            </w:r>
            <w:r>
              <w:rPr>
                <w:rFonts w:hint="eastAsia" w:ascii="宋体" w:hAnsi="宋体"/>
                <w:bCs/>
                <w:sz w:val="24"/>
              </w:rPr>
              <w:t xml:space="preserve">3</w:t>
            </w:r>
            <w:r>
              <w:rPr>
                <w:rFonts w:ascii="宋体" w:hAnsi="宋体"/>
                <w:bCs/>
                <w:sz w:val="24"/>
              </w:rPr>
              <w:t xml:space="preserve">分。本项最高得</w:t>
            </w:r>
            <w:r>
              <w:rPr>
                <w:rFonts w:hint="eastAsia" w:ascii="宋体" w:hAnsi="宋体"/>
                <w:bCs/>
                <w:sz w:val="24"/>
              </w:rPr>
              <w:t xml:space="preserve">9</w:t>
            </w:r>
            <w:r>
              <w:rPr>
                <w:rFonts w:ascii="宋体" w:hAnsi="宋体"/>
                <w:bCs/>
                <w:sz w:val="24"/>
              </w:rPr>
              <w:t xml:space="preserve">分。</w:t>
            </w:r>
            <w:r/>
          </w:p>
        </w:tc>
        <w:tc>
          <w:tcPr>
            <w:tcW w:w="2064" w:type="dxa"/>
            <w:vAlign w:val="center"/>
            <w:textDirection w:val="lrTb"/>
            <w:noWrap w:val="false"/>
          </w:tcPr>
          <w:p>
            <w:pPr>
              <w:ind w:left="-38"/>
              <w:rPr>
                <w:rFonts w:hint="eastAsia" w:ascii="宋体" w:hAnsi="宋体"/>
                <w:bCs/>
                <w:sz w:val="24"/>
              </w:rPr>
            </w:pPr>
            <w:r>
              <w:rPr>
                <w:rFonts w:ascii="宋体" w:hAnsi="宋体"/>
                <w:bCs/>
                <w:sz w:val="24"/>
              </w:rPr>
              <w:t xml:space="preserve">1、提供</w:t>
            </w:r>
            <w:r>
              <w:rPr>
                <w:rFonts w:ascii="宋体" w:hAnsi="宋体"/>
                <w:bCs/>
                <w:sz w:val="24"/>
              </w:rPr>
              <w:t xml:space="preserve">合同服务期不少于1年的道路路灯管护服务业绩的中标（或成交）通知书</w:t>
            </w:r>
            <w:r>
              <w:rPr>
                <w:rFonts w:hint="eastAsia" w:ascii="宋体" w:hAnsi="宋体"/>
                <w:bCs/>
                <w:sz w:val="24"/>
              </w:rPr>
              <w:t xml:space="preserve">及</w:t>
            </w:r>
            <w:r>
              <w:rPr>
                <w:rFonts w:ascii="宋体" w:hAnsi="宋体"/>
                <w:bCs/>
                <w:sz w:val="24"/>
              </w:rPr>
              <w:t xml:space="preserve">合同</w:t>
            </w:r>
            <w:r>
              <w:rPr>
                <w:rFonts w:hint="eastAsia" w:ascii="宋体" w:hAnsi="宋体"/>
                <w:bCs/>
                <w:sz w:val="24"/>
              </w:rPr>
              <w:t xml:space="preserve">。</w:t>
            </w:r>
            <w:r/>
          </w:p>
          <w:p>
            <w:pPr>
              <w:ind w:left="-38"/>
              <w:rPr>
                <w:rFonts w:hint="eastAsia" w:ascii="宋体" w:hAnsi="宋体"/>
                <w:bCs/>
                <w:sz w:val="24"/>
              </w:rPr>
            </w:pPr>
            <w:r>
              <w:rPr>
                <w:rFonts w:ascii="宋体" w:hAnsi="宋体"/>
                <w:bCs/>
                <w:sz w:val="24"/>
              </w:rPr>
              <w:t xml:space="preserve">2、时间以合同签订时间为准。</w:t>
            </w:r>
            <w:r/>
          </w:p>
          <w:p>
            <w:pPr>
              <w:ind w:left="-38"/>
              <w:rPr>
                <w:rFonts w:hint="eastAsia" w:ascii="宋体" w:hAnsi="宋体"/>
                <w:bCs/>
                <w:sz w:val="24"/>
              </w:rPr>
            </w:pPr>
            <w:r>
              <w:rPr>
                <w:rFonts w:ascii="宋体" w:hAnsi="宋体"/>
                <w:bCs/>
                <w:sz w:val="24"/>
              </w:rPr>
              <w:t xml:space="preserve">3、未按要求提供或</w:t>
            </w:r>
            <w:r>
              <w:rPr>
                <w:rFonts w:ascii="宋体" w:hAnsi="宋体"/>
                <w:bCs/>
                <w:sz w:val="24"/>
              </w:rPr>
              <w:t xml:space="preserve">少提供</w:t>
            </w:r>
            <w:r>
              <w:rPr>
                <w:rFonts w:ascii="宋体" w:hAnsi="宋体"/>
                <w:bCs/>
                <w:sz w:val="24"/>
              </w:rPr>
              <w:t xml:space="preserve">相关材料不得分。</w:t>
            </w:r>
            <w:r/>
          </w:p>
        </w:tc>
      </w:tr>
      <w:tr>
        <w:trPr>
          <w:jc w:val="center"/>
          <w:trHeight w:val="983"/>
        </w:trPr>
        <w:tc>
          <w:tcPr>
            <w:tcW w:w="835" w:type="dxa"/>
            <w:vAlign w:val="center"/>
            <w:textDirection w:val="lrTb"/>
            <w:noWrap w:val="false"/>
          </w:tcPr>
          <w:p>
            <w:pPr>
              <w:ind w:firstLine="28"/>
              <w:jc w:val="center"/>
              <w:rPr>
                <w:sz w:val="24"/>
              </w:rPr>
            </w:pPr>
            <w:r>
              <w:rPr>
                <w:sz w:val="24"/>
              </w:rPr>
              <w:t xml:space="preserve">3.</w:t>
            </w:r>
            <w:r>
              <w:rPr>
                <w:rFonts w:hint="eastAsia"/>
                <w:sz w:val="24"/>
              </w:rPr>
              <w:t xml:space="preserve">5</w:t>
            </w:r>
            <w:r/>
          </w:p>
        </w:tc>
        <w:tc>
          <w:tcPr>
            <w:tcW w:w="1462" w:type="dxa"/>
            <w:vAlign w:val="center"/>
            <w:textDirection w:val="lrTb"/>
            <w:noWrap w:val="false"/>
          </w:tcPr>
          <w:p>
            <w:pPr>
              <w:ind w:firstLine="28"/>
              <w:jc w:val="center"/>
              <w:rPr>
                <w:sz w:val="24"/>
              </w:rPr>
            </w:pPr>
            <w:r>
              <w:rPr>
                <w:rFonts w:hint="eastAsia"/>
                <w:sz w:val="24"/>
              </w:rPr>
              <w:t xml:space="preserve">技术</w:t>
            </w:r>
            <w:r>
              <w:rPr>
                <w:sz w:val="24"/>
              </w:rPr>
              <w:t xml:space="preserve">负责人</w:t>
            </w:r>
            <w:r/>
          </w:p>
        </w:tc>
        <w:tc>
          <w:tcPr>
            <w:tcW w:w="913" w:type="dxa"/>
            <w:vAlign w:val="center"/>
            <w:textDirection w:val="lrTb"/>
            <w:noWrap w:val="false"/>
          </w:tcPr>
          <w:p>
            <w:pPr>
              <w:ind w:firstLine="28"/>
              <w:jc w:val="center"/>
              <w:rPr>
                <w:sz w:val="24"/>
              </w:rPr>
            </w:pPr>
            <w:r>
              <w:rPr>
                <w:rFonts w:hint="eastAsia"/>
                <w:sz w:val="24"/>
              </w:rPr>
              <w:t xml:space="preserve">3</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拟派项目负责人具有</w:t>
            </w:r>
            <w:r>
              <w:rPr>
                <w:rFonts w:ascii="宋体" w:hAnsi="宋体"/>
                <w:bCs/>
                <w:sz w:val="24"/>
              </w:rPr>
              <w:t xml:space="preserve">工程类中级及以上职称证书的，得</w:t>
            </w:r>
            <w:r>
              <w:rPr>
                <w:rFonts w:hint="eastAsia" w:ascii="宋体" w:hAnsi="宋体"/>
                <w:bCs/>
                <w:sz w:val="24"/>
              </w:rPr>
              <w:t xml:space="preserve">3</w:t>
            </w:r>
            <w:r>
              <w:rPr>
                <w:rFonts w:ascii="宋体" w:hAnsi="宋体"/>
                <w:bCs/>
                <w:sz w:val="24"/>
              </w:rPr>
              <w:t xml:space="preserve">分。</w:t>
            </w:r>
            <w:r/>
          </w:p>
        </w:tc>
        <w:tc>
          <w:tcPr>
            <w:tcW w:w="2064" w:type="dxa"/>
            <w:vAlign w:val="center"/>
            <w:vMerge w:val="restart"/>
            <w:textDirection w:val="lrTb"/>
            <w:noWrap w:val="false"/>
          </w:tcPr>
          <w:p>
            <w:pPr>
              <w:ind w:left="-38"/>
              <w:rPr>
                <w:rFonts w:hint="eastAsia" w:ascii="宋体" w:hAnsi="宋体"/>
                <w:bCs/>
                <w:sz w:val="24"/>
              </w:rPr>
            </w:pPr>
            <w:r>
              <w:rPr>
                <w:rFonts w:hint="eastAsia" w:ascii="宋体" w:hAnsi="宋体"/>
                <w:bCs/>
                <w:sz w:val="24"/>
              </w:rPr>
              <w:t xml:space="preserve">1、</w:t>
            </w:r>
            <w:r>
              <w:rPr>
                <w:rFonts w:ascii="宋体" w:hAnsi="宋体"/>
                <w:bCs/>
                <w:sz w:val="24"/>
              </w:rPr>
              <w:t xml:space="preserve">提供相关证书复印件及由社保机构出具的投标</w:t>
            </w:r>
            <w:r>
              <w:rPr>
                <w:rFonts w:ascii="宋体" w:hAnsi="宋体"/>
                <w:bCs/>
                <w:sz w:val="24"/>
              </w:rPr>
              <w:t xml:space="preserve">供应商为其缴纳的社会保险的凭或社保中心官网上缴纳记录（缴纳时间为：202</w:t>
            </w:r>
            <w:r>
              <w:rPr>
                <w:rFonts w:hint="eastAsia" w:ascii="宋体" w:hAnsi="宋体"/>
                <w:bCs/>
                <w:sz w:val="24"/>
              </w:rPr>
              <w:t xml:space="preserve">6</w:t>
            </w:r>
            <w:r>
              <w:rPr>
                <w:rFonts w:ascii="宋体" w:hAnsi="宋体"/>
                <w:bCs/>
                <w:sz w:val="24"/>
              </w:rPr>
              <w:t xml:space="preserve">年</w:t>
            </w:r>
            <w:r>
              <w:rPr>
                <w:rFonts w:hint="eastAsia" w:ascii="宋体" w:hAnsi="宋体"/>
                <w:bCs/>
                <w:sz w:val="24"/>
              </w:rPr>
              <w:t xml:space="preserve">1</w:t>
            </w:r>
            <w:r>
              <w:rPr>
                <w:rFonts w:ascii="宋体" w:hAnsi="宋体"/>
                <w:bCs/>
                <w:sz w:val="24"/>
              </w:rPr>
              <w:t xml:space="preserve">月-202</w:t>
            </w:r>
            <w:r>
              <w:rPr>
                <w:rFonts w:hint="eastAsia" w:ascii="宋体" w:hAnsi="宋体"/>
                <w:bCs/>
                <w:sz w:val="24"/>
              </w:rPr>
              <w:t xml:space="preserve">6</w:t>
            </w:r>
            <w:r>
              <w:rPr>
                <w:rFonts w:ascii="宋体" w:hAnsi="宋体"/>
                <w:bCs/>
                <w:sz w:val="24"/>
              </w:rPr>
              <w:t xml:space="preserve">年</w:t>
            </w:r>
            <w:r>
              <w:rPr>
                <w:rFonts w:hint="eastAsia" w:ascii="宋体" w:hAnsi="宋体"/>
                <w:bCs/>
                <w:sz w:val="24"/>
              </w:rPr>
              <w:t xml:space="preserve">3</w:t>
            </w:r>
            <w:r>
              <w:rPr>
                <w:rFonts w:ascii="宋体" w:hAnsi="宋体"/>
                <w:bCs/>
                <w:sz w:val="24"/>
              </w:rPr>
              <w:t xml:space="preserve">月中任意1个月）。</w:t>
            </w:r>
            <w:r/>
          </w:p>
          <w:p>
            <w:pPr>
              <w:rPr>
                <w:rFonts w:hint="eastAsia" w:ascii="宋体" w:hAnsi="宋体"/>
                <w:bCs/>
                <w:sz w:val="24"/>
              </w:rPr>
            </w:pPr>
            <w:r>
              <w:rPr>
                <w:rFonts w:hint="eastAsia" w:ascii="宋体" w:hAnsi="宋体"/>
                <w:bCs/>
                <w:sz w:val="24"/>
              </w:rPr>
              <w:t xml:space="preserve">2、以上人员一人一岗，不重复得分。</w:t>
            </w:r>
            <w:r/>
          </w:p>
          <w:p>
            <w:pPr>
              <w:pStyle w:val="1013"/>
              <w:spacing w:before="0" w:after="0"/>
              <w:rPr>
                <w:rFonts w:hint="eastAsia" w:hAnsi="宋体"/>
                <w:b w:val="0"/>
                <w:bCs/>
                <w:szCs w:val="24"/>
                <w:u w:val="none"/>
              </w:rPr>
            </w:pPr>
            <w:r>
              <w:rPr>
                <w:rFonts w:hAnsi="宋体"/>
                <w:b w:val="0"/>
                <w:bCs/>
                <w:szCs w:val="24"/>
                <w:u w:val="none"/>
              </w:rPr>
              <w:t xml:space="preserve">3、未按要求提供或</w:t>
            </w:r>
            <w:r>
              <w:rPr>
                <w:rFonts w:hAnsi="宋体"/>
                <w:b w:val="0"/>
                <w:bCs/>
                <w:szCs w:val="24"/>
                <w:u w:val="none"/>
              </w:rPr>
              <w:t xml:space="preserve">少提供</w:t>
            </w:r>
            <w:r>
              <w:rPr>
                <w:rFonts w:hAnsi="宋体"/>
                <w:b w:val="0"/>
                <w:bCs/>
                <w:szCs w:val="24"/>
                <w:u w:val="none"/>
              </w:rPr>
              <w:t xml:space="preserve">相关材料不得分。</w:t>
            </w:r>
            <w:r/>
          </w:p>
        </w:tc>
      </w:tr>
      <w:tr>
        <w:trPr>
          <w:jc w:val="center"/>
          <w:trHeight w:val="1410"/>
        </w:trPr>
        <w:tc>
          <w:tcPr>
            <w:tcW w:w="835" w:type="dxa"/>
            <w:vAlign w:val="center"/>
            <w:textDirection w:val="lrTb"/>
            <w:noWrap w:val="false"/>
          </w:tcPr>
          <w:p>
            <w:pPr>
              <w:ind w:firstLine="28"/>
              <w:jc w:val="center"/>
              <w:rPr>
                <w:sz w:val="24"/>
              </w:rPr>
            </w:pPr>
            <w:r>
              <w:rPr>
                <w:sz w:val="24"/>
              </w:rPr>
              <w:t xml:space="preserve">3.</w:t>
            </w:r>
            <w:r>
              <w:rPr>
                <w:rFonts w:hint="eastAsia"/>
                <w:sz w:val="24"/>
              </w:rPr>
              <w:t xml:space="preserve">6</w:t>
            </w:r>
            <w:r/>
          </w:p>
        </w:tc>
        <w:tc>
          <w:tcPr>
            <w:tcW w:w="1462" w:type="dxa"/>
            <w:vAlign w:val="center"/>
            <w:textDirection w:val="lrTb"/>
            <w:noWrap w:val="false"/>
          </w:tcPr>
          <w:p>
            <w:pPr>
              <w:ind w:firstLine="28"/>
              <w:jc w:val="center"/>
              <w:rPr>
                <w:sz w:val="24"/>
              </w:rPr>
            </w:pPr>
            <w:r>
              <w:rPr>
                <w:rFonts w:hint="eastAsia"/>
                <w:sz w:val="24"/>
              </w:rPr>
              <w:t xml:space="preserve">安全负责人</w:t>
            </w:r>
            <w:r/>
          </w:p>
        </w:tc>
        <w:tc>
          <w:tcPr>
            <w:tcW w:w="913" w:type="dxa"/>
            <w:vAlign w:val="center"/>
            <w:textDirection w:val="lrTb"/>
            <w:noWrap w:val="false"/>
          </w:tcPr>
          <w:p>
            <w:pPr>
              <w:ind w:firstLine="28"/>
              <w:jc w:val="center"/>
              <w:rPr>
                <w:sz w:val="24"/>
              </w:rPr>
            </w:pPr>
            <w:r>
              <w:rPr>
                <w:rFonts w:hint="eastAsia"/>
                <w:sz w:val="24"/>
              </w:rPr>
              <w:t xml:space="preserve">2</w:t>
            </w:r>
            <w:r/>
          </w:p>
        </w:tc>
        <w:tc>
          <w:tcPr>
            <w:tcW w:w="4354" w:type="dxa"/>
            <w:vAlign w:val="center"/>
            <w:textDirection w:val="lrTb"/>
            <w:noWrap w:val="false"/>
          </w:tcPr>
          <w:p>
            <w:pPr>
              <w:jc w:val="left"/>
              <w:rPr>
                <w:rFonts w:hint="eastAsia" w:ascii="宋体" w:hAnsi="宋体"/>
                <w:bCs/>
                <w:sz w:val="24"/>
              </w:rPr>
            </w:pPr>
            <w:r>
              <w:rPr>
                <w:rFonts w:hint="eastAsia" w:ascii="宋体" w:hAnsi="宋体"/>
                <w:bCs/>
                <w:sz w:val="24"/>
              </w:rPr>
              <w:t xml:space="preserve">拟派安全负责人</w:t>
            </w:r>
            <w:r>
              <w:rPr>
                <w:rFonts w:ascii="宋体" w:hAnsi="宋体"/>
                <w:bCs/>
                <w:sz w:val="24"/>
              </w:rPr>
              <w:t xml:space="preserve">具有主管部门颁发</w:t>
            </w:r>
            <w:r>
              <w:rPr>
                <w:rFonts w:hint="eastAsia" w:ascii="宋体" w:hAnsi="宋体"/>
                <w:bCs/>
                <w:sz w:val="24"/>
              </w:rPr>
              <w:t xml:space="preserve">的</w:t>
            </w:r>
            <w:r>
              <w:rPr>
                <w:rFonts w:ascii="宋体" w:hAnsi="宋体"/>
                <w:bCs/>
                <w:sz w:val="24"/>
              </w:rPr>
              <w:t xml:space="preserve">安全员C证的，得</w:t>
            </w:r>
            <w:r>
              <w:rPr>
                <w:rFonts w:hint="eastAsia" w:ascii="宋体" w:hAnsi="宋体"/>
                <w:bCs/>
                <w:sz w:val="24"/>
              </w:rPr>
              <w:t xml:space="preserve">2</w:t>
            </w:r>
            <w:r>
              <w:rPr>
                <w:rFonts w:ascii="宋体" w:hAnsi="宋体"/>
                <w:bCs/>
                <w:sz w:val="24"/>
              </w:rPr>
              <w:t xml:space="preserve">分。</w:t>
            </w:r>
            <w:r/>
          </w:p>
        </w:tc>
        <w:tc>
          <w:tcPr>
            <w:tcW w:w="2064" w:type="dxa"/>
            <w:vAlign w:val="center"/>
            <w:vMerge w:val="continue"/>
            <w:textDirection w:val="lrTb"/>
            <w:noWrap w:val="false"/>
          </w:tcPr>
          <w:p>
            <w:pPr>
              <w:ind w:left="-38"/>
              <w:rPr>
                <w:rFonts w:hint="eastAsia" w:ascii="宋体" w:hAnsi="宋体"/>
                <w:bCs/>
                <w:sz w:val="24"/>
              </w:rPr>
            </w:pPr>
            <w:r>
              <w:rPr>
                <w:rFonts w:hint="eastAsia" w:ascii="宋体" w:hAnsi="宋体"/>
                <w:bCs/>
                <w:sz w:val="24"/>
              </w:rPr>
            </w:r>
            <w:r/>
          </w:p>
        </w:tc>
      </w:tr>
      <w:tr>
        <w:trPr>
          <w:jc w:val="center"/>
          <w:trHeight w:val="987"/>
        </w:trPr>
        <w:tc>
          <w:tcPr>
            <w:tcW w:w="835" w:type="dxa"/>
            <w:vAlign w:val="center"/>
            <w:textDirection w:val="lrTb"/>
            <w:noWrap w:val="false"/>
          </w:tcPr>
          <w:p>
            <w:pPr>
              <w:ind w:firstLine="28"/>
              <w:jc w:val="center"/>
              <w:rPr>
                <w:sz w:val="24"/>
              </w:rPr>
            </w:pPr>
            <w:r>
              <w:rPr>
                <w:rFonts w:hint="eastAsia"/>
                <w:sz w:val="24"/>
              </w:rPr>
              <w:t xml:space="preserve">3.</w:t>
            </w:r>
            <w:r>
              <w:rPr>
                <w:rFonts w:hint="eastAsia"/>
                <w:sz w:val="24"/>
              </w:rPr>
              <w:t xml:space="preserve">7</w:t>
            </w:r>
            <w:r/>
          </w:p>
        </w:tc>
        <w:tc>
          <w:tcPr>
            <w:tcW w:w="1462" w:type="dxa"/>
            <w:vAlign w:val="center"/>
            <w:textDirection w:val="lrTb"/>
            <w:noWrap w:val="false"/>
          </w:tcPr>
          <w:p>
            <w:pPr>
              <w:ind w:firstLine="28"/>
              <w:jc w:val="center"/>
              <w:rPr>
                <w:sz w:val="24"/>
              </w:rPr>
            </w:pPr>
            <w:r>
              <w:rPr>
                <w:rFonts w:hint="eastAsia"/>
                <w:sz w:val="24"/>
              </w:rPr>
              <w:t xml:space="preserve">拟派专业作业人员</w:t>
            </w:r>
            <w:r/>
          </w:p>
        </w:tc>
        <w:tc>
          <w:tcPr>
            <w:tcW w:w="913" w:type="dxa"/>
            <w:vAlign w:val="center"/>
            <w:textDirection w:val="lrTb"/>
            <w:noWrap w:val="false"/>
          </w:tcPr>
          <w:p>
            <w:pPr>
              <w:ind w:firstLine="28"/>
              <w:jc w:val="center"/>
              <w:rPr>
                <w:sz w:val="24"/>
              </w:rPr>
            </w:pPr>
            <w:r>
              <w:rPr>
                <w:rFonts w:hint="eastAsia"/>
                <w:sz w:val="24"/>
              </w:rPr>
              <w:t xml:space="preserve">4</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拟派</w:t>
            </w:r>
            <w:r>
              <w:rPr>
                <w:rFonts w:hint="eastAsia"/>
                <w:sz w:val="24"/>
              </w:rPr>
              <w:t xml:space="preserve">专业作业人员</w:t>
            </w:r>
            <w:r>
              <w:rPr>
                <w:rFonts w:ascii="宋体" w:hAnsi="宋体"/>
                <w:bCs/>
                <w:sz w:val="24"/>
              </w:rPr>
              <w:t xml:space="preserve">同时具有高空作业操作证和电工证的，有1人，得</w:t>
            </w:r>
            <w:r>
              <w:rPr>
                <w:rFonts w:hint="eastAsia" w:ascii="宋体" w:hAnsi="宋体"/>
                <w:bCs/>
                <w:sz w:val="24"/>
              </w:rPr>
              <w:t xml:space="preserve">2</w:t>
            </w:r>
            <w:r>
              <w:rPr>
                <w:rFonts w:ascii="宋体" w:hAnsi="宋体"/>
                <w:bCs/>
                <w:sz w:val="24"/>
              </w:rPr>
              <w:t xml:space="preserve">分。本项最高得</w:t>
            </w:r>
            <w:r>
              <w:rPr>
                <w:rFonts w:hint="eastAsia" w:ascii="宋体" w:hAnsi="宋体"/>
                <w:bCs/>
                <w:sz w:val="24"/>
              </w:rPr>
              <w:t xml:space="preserve">4</w:t>
            </w:r>
            <w:r>
              <w:rPr>
                <w:rFonts w:ascii="宋体" w:hAnsi="宋体"/>
                <w:bCs/>
                <w:sz w:val="24"/>
              </w:rPr>
              <w:t xml:space="preserve">分。</w:t>
            </w:r>
            <w:r/>
          </w:p>
        </w:tc>
        <w:tc>
          <w:tcPr>
            <w:tcW w:w="2064" w:type="dxa"/>
            <w:vAlign w:val="center"/>
            <w:vMerge w:val="continue"/>
            <w:textDirection w:val="lrTb"/>
            <w:noWrap w:val="false"/>
          </w:tcPr>
          <w:p>
            <w:pPr>
              <w:ind w:left="-38"/>
              <w:rPr>
                <w:rFonts w:hint="eastAsia" w:ascii="宋体" w:hAnsi="宋体"/>
                <w:bCs/>
                <w:sz w:val="24"/>
              </w:rPr>
            </w:pPr>
            <w:r>
              <w:rPr>
                <w:rFonts w:hint="eastAsia" w:ascii="宋体" w:hAnsi="宋体"/>
                <w:bCs/>
                <w:sz w:val="24"/>
              </w:rPr>
            </w:r>
            <w:r/>
          </w:p>
        </w:tc>
      </w:tr>
      <w:tr>
        <w:trPr>
          <w:jc w:val="center"/>
          <w:trHeight w:val="2253"/>
        </w:trPr>
        <w:tc>
          <w:tcPr>
            <w:tcW w:w="835" w:type="dxa"/>
            <w:vAlign w:val="center"/>
            <w:textDirection w:val="lrTb"/>
            <w:noWrap w:val="false"/>
          </w:tcPr>
          <w:p>
            <w:pPr>
              <w:ind w:firstLine="28"/>
              <w:jc w:val="center"/>
              <w:rPr>
                <w:sz w:val="24"/>
              </w:rPr>
            </w:pPr>
            <w:r>
              <w:rPr>
                <w:rFonts w:hint="eastAsia"/>
                <w:sz w:val="24"/>
              </w:rPr>
              <w:t xml:space="preserve">3.</w:t>
            </w:r>
            <w:r>
              <w:rPr>
                <w:rFonts w:hint="eastAsia"/>
                <w:sz w:val="24"/>
              </w:rPr>
              <w:t xml:space="preserve">8</w:t>
            </w:r>
            <w:r/>
          </w:p>
        </w:tc>
        <w:tc>
          <w:tcPr>
            <w:tcW w:w="1462" w:type="dxa"/>
            <w:vAlign w:val="center"/>
            <w:vMerge w:val="restart"/>
            <w:textDirection w:val="lrTb"/>
            <w:noWrap w:val="false"/>
          </w:tcPr>
          <w:p>
            <w:pPr>
              <w:ind w:firstLine="28"/>
              <w:jc w:val="center"/>
              <w:rPr>
                <w:sz w:val="24"/>
              </w:rPr>
            </w:pPr>
            <w:r>
              <w:rPr>
                <w:sz w:val="24"/>
              </w:rPr>
              <w:t xml:space="preserve">拟用车辆设备</w:t>
            </w:r>
            <w:r/>
          </w:p>
        </w:tc>
        <w:tc>
          <w:tcPr>
            <w:tcW w:w="913" w:type="dxa"/>
            <w:vAlign w:val="center"/>
            <w:textDirection w:val="lrTb"/>
            <w:noWrap w:val="false"/>
          </w:tcPr>
          <w:p>
            <w:pPr>
              <w:ind w:firstLine="28"/>
              <w:jc w:val="center"/>
              <w:rPr>
                <w:sz w:val="24"/>
              </w:rPr>
            </w:pPr>
            <w:r>
              <w:rPr>
                <w:rFonts w:hint="eastAsia"/>
                <w:sz w:val="24"/>
              </w:rPr>
              <w:t xml:space="preserve">3</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投标人为本项目配备的工程抢修车（皮卡等）</w:t>
            </w:r>
            <w:r>
              <w:rPr>
                <w:rFonts w:hint="eastAsia" w:ascii="宋体" w:hAnsi="宋体"/>
                <w:bCs/>
                <w:sz w:val="24"/>
              </w:rPr>
              <w:t xml:space="preserve">：有1辆得3分</w:t>
            </w:r>
            <w:r>
              <w:rPr>
                <w:rFonts w:ascii="宋体" w:hAnsi="宋体"/>
                <w:bCs/>
                <w:sz w:val="24"/>
              </w:rPr>
              <w:t xml:space="preserve">。本项最高得</w:t>
            </w:r>
            <w:r>
              <w:rPr>
                <w:rFonts w:hint="eastAsia" w:ascii="宋体" w:hAnsi="宋体"/>
                <w:bCs/>
                <w:sz w:val="24"/>
              </w:rPr>
              <w:t xml:space="preserve">3</w:t>
            </w:r>
            <w:r>
              <w:rPr>
                <w:rFonts w:ascii="宋体" w:hAnsi="宋体"/>
                <w:bCs/>
                <w:sz w:val="24"/>
              </w:rPr>
              <w:t xml:space="preserve">分。</w:t>
            </w:r>
            <w:r/>
          </w:p>
        </w:tc>
        <w:tc>
          <w:tcPr>
            <w:tcW w:w="2064" w:type="dxa"/>
            <w:vAlign w:val="center"/>
            <w:vMerge w:val="restart"/>
            <w:textDirection w:val="lrTb"/>
            <w:noWrap w:val="false"/>
          </w:tcPr>
          <w:p>
            <w:pPr>
              <w:ind w:left="-40"/>
              <w:rPr>
                <w:rFonts w:hint="eastAsia" w:ascii="宋体" w:hAnsi="宋体"/>
                <w:bCs/>
                <w:sz w:val="24"/>
              </w:rPr>
            </w:pPr>
            <w:r>
              <w:rPr>
                <w:rFonts w:hint="eastAsia" w:ascii="宋体" w:hAnsi="宋体"/>
                <w:bCs/>
                <w:sz w:val="24"/>
              </w:rPr>
              <w:t xml:space="preserve">1.自有车辆需提供机动车登记证及行驶证，车辆所有权人必须为投标单位，否则不得分。</w:t>
            </w:r>
            <w:r/>
          </w:p>
          <w:p>
            <w:pPr>
              <w:ind w:left="-40"/>
              <w:rPr>
                <w:rFonts w:hint="eastAsia" w:ascii="宋体" w:hAnsi="宋体"/>
                <w:bCs/>
                <w:sz w:val="24"/>
              </w:rPr>
            </w:pPr>
            <w:r>
              <w:rPr>
                <w:rFonts w:hint="eastAsia" w:ascii="宋体" w:hAnsi="宋体"/>
                <w:bCs/>
                <w:sz w:val="24"/>
              </w:rPr>
              <w:t xml:space="preserve">2.租赁车辆需提供租赁协议和出租方的机动车登记证及行驶证。</w:t>
            </w:r>
            <w:r/>
          </w:p>
          <w:p>
            <w:pPr>
              <w:ind w:left="-40"/>
              <w:rPr>
                <w:rFonts w:hint="eastAsia" w:ascii="宋体" w:hAnsi="宋体"/>
                <w:bCs/>
                <w:sz w:val="24"/>
              </w:rPr>
            </w:pPr>
            <w:r>
              <w:rPr>
                <w:rFonts w:ascii="宋体" w:hAnsi="宋体"/>
                <w:bCs/>
                <w:sz w:val="24"/>
              </w:rPr>
              <w:t xml:space="preserve">3、未按要求提供或</w:t>
            </w:r>
            <w:r>
              <w:rPr>
                <w:rFonts w:ascii="宋体" w:hAnsi="宋体"/>
                <w:bCs/>
                <w:sz w:val="24"/>
              </w:rPr>
              <w:t xml:space="preserve">少提供</w:t>
            </w:r>
            <w:r>
              <w:rPr>
                <w:rFonts w:ascii="宋体" w:hAnsi="宋体"/>
                <w:bCs/>
                <w:sz w:val="24"/>
              </w:rPr>
              <w:t xml:space="preserve">相关材料不得分。</w:t>
            </w:r>
            <w:r/>
          </w:p>
        </w:tc>
      </w:tr>
      <w:tr>
        <w:trPr>
          <w:jc w:val="center"/>
          <w:trHeight w:val="987"/>
        </w:trPr>
        <w:tc>
          <w:tcPr>
            <w:tcW w:w="835" w:type="dxa"/>
            <w:vAlign w:val="center"/>
            <w:textDirection w:val="lrTb"/>
            <w:noWrap w:val="false"/>
          </w:tcPr>
          <w:p>
            <w:pPr>
              <w:ind w:firstLine="28"/>
              <w:jc w:val="center"/>
              <w:rPr>
                <w:sz w:val="24"/>
              </w:rPr>
            </w:pPr>
            <w:r>
              <w:rPr>
                <w:rFonts w:hint="eastAsia"/>
                <w:sz w:val="24"/>
              </w:rPr>
              <w:t xml:space="preserve">3.</w:t>
            </w:r>
            <w:r>
              <w:rPr>
                <w:rFonts w:hint="eastAsia"/>
                <w:sz w:val="24"/>
              </w:rPr>
              <w:t xml:space="preserve">9</w:t>
            </w:r>
            <w:r/>
          </w:p>
        </w:tc>
        <w:tc>
          <w:tcPr>
            <w:tcW w:w="1462" w:type="dxa"/>
            <w:vAlign w:val="center"/>
            <w:vMerge w:val="continue"/>
            <w:textDirection w:val="lrTb"/>
            <w:noWrap w:val="false"/>
          </w:tcPr>
          <w:p>
            <w:pPr>
              <w:ind w:firstLine="28"/>
              <w:jc w:val="center"/>
              <w:rPr>
                <w:sz w:val="24"/>
              </w:rPr>
            </w:pPr>
            <w:r>
              <w:rPr>
                <w:sz w:val="24"/>
              </w:rPr>
            </w:r>
            <w:r/>
          </w:p>
        </w:tc>
        <w:tc>
          <w:tcPr>
            <w:tcW w:w="913" w:type="dxa"/>
            <w:vAlign w:val="center"/>
            <w:textDirection w:val="lrTb"/>
            <w:noWrap w:val="false"/>
          </w:tcPr>
          <w:p>
            <w:pPr>
              <w:ind w:firstLine="28"/>
              <w:jc w:val="center"/>
              <w:rPr>
                <w:sz w:val="24"/>
              </w:rPr>
            </w:pPr>
            <w:r>
              <w:rPr>
                <w:rFonts w:hint="eastAsia"/>
                <w:sz w:val="24"/>
              </w:rPr>
              <w:t xml:space="preserve">3</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投标人为本项目配备的路灯登高车（中型专项作业车）</w:t>
            </w:r>
            <w:r>
              <w:rPr>
                <w:rFonts w:hint="eastAsia" w:ascii="宋体" w:hAnsi="宋体"/>
                <w:bCs/>
                <w:sz w:val="24"/>
              </w:rPr>
              <w:t xml:space="preserve">：有1辆得3分</w:t>
            </w:r>
            <w:r>
              <w:rPr>
                <w:rFonts w:ascii="宋体" w:hAnsi="宋体"/>
                <w:bCs/>
                <w:sz w:val="24"/>
              </w:rPr>
              <w:t xml:space="preserve">。本项最高得</w:t>
            </w:r>
            <w:r>
              <w:rPr>
                <w:rFonts w:hint="eastAsia" w:ascii="宋体" w:hAnsi="宋体"/>
                <w:bCs/>
                <w:sz w:val="24"/>
              </w:rPr>
              <w:t xml:space="preserve">3</w:t>
            </w:r>
            <w:r>
              <w:rPr>
                <w:rFonts w:ascii="宋体" w:hAnsi="宋体"/>
                <w:bCs/>
                <w:sz w:val="24"/>
              </w:rPr>
              <w:t xml:space="preserve">分。</w:t>
            </w:r>
            <w:r/>
          </w:p>
        </w:tc>
        <w:tc>
          <w:tcPr>
            <w:tcW w:w="2064" w:type="dxa"/>
            <w:vAlign w:val="center"/>
            <w:vMerge w:val="continue"/>
            <w:textDirection w:val="lrTb"/>
            <w:noWrap w:val="false"/>
          </w:tcPr>
          <w:p>
            <w:pPr>
              <w:ind w:left="-38"/>
              <w:rPr>
                <w:rFonts w:hint="eastAsia" w:ascii="宋体" w:hAnsi="宋体"/>
                <w:bCs/>
                <w:sz w:val="24"/>
              </w:rPr>
            </w:pPr>
            <w:r>
              <w:rPr>
                <w:rFonts w:hint="eastAsia" w:ascii="宋体" w:hAnsi="宋体"/>
                <w:bCs/>
                <w:sz w:val="24"/>
              </w:rPr>
            </w:r>
            <w:r/>
          </w:p>
        </w:tc>
      </w:tr>
      <w:tr>
        <w:trPr>
          <w:jc w:val="center"/>
          <w:trHeight w:val="554"/>
        </w:trPr>
        <w:tc>
          <w:tcPr>
            <w:gridSpan w:val="2"/>
            <w:tcW w:w="2297" w:type="dxa"/>
            <w:vAlign w:val="center"/>
            <w:textDirection w:val="lrTb"/>
            <w:noWrap w:val="false"/>
          </w:tcPr>
          <w:p>
            <w:pPr>
              <w:ind w:firstLine="28"/>
              <w:jc w:val="center"/>
              <w:rPr>
                <w:sz w:val="24"/>
              </w:rPr>
            </w:pPr>
            <w:r>
              <w:rPr>
                <w:sz w:val="24"/>
              </w:rPr>
              <w:t xml:space="preserve">合计</w:t>
            </w:r>
            <w:r/>
          </w:p>
        </w:tc>
        <w:tc>
          <w:tcPr>
            <w:tcW w:w="913" w:type="dxa"/>
            <w:vAlign w:val="center"/>
            <w:textDirection w:val="lrTb"/>
            <w:noWrap w:val="false"/>
          </w:tcPr>
          <w:p>
            <w:pPr>
              <w:ind w:firstLine="28"/>
              <w:jc w:val="center"/>
              <w:rPr>
                <w:sz w:val="24"/>
              </w:rPr>
            </w:pPr>
            <w:r>
              <w:rPr>
                <w:sz w:val="24"/>
              </w:rPr>
              <w:t xml:space="preserve">100</w:t>
            </w:r>
            <w:r/>
          </w:p>
        </w:tc>
        <w:tc>
          <w:tcPr>
            <w:gridSpan w:val="2"/>
            <w:tcW w:w="6418" w:type="dxa"/>
            <w:vAlign w:val="center"/>
            <w:textDirection w:val="lrTb"/>
            <w:noWrap w:val="false"/>
          </w:tcPr>
          <w:p>
            <w:pPr>
              <w:rPr>
                <w:sz w:val="24"/>
              </w:rPr>
            </w:pPr>
            <w:r>
              <w:rPr>
                <w:sz w:val="24"/>
              </w:rPr>
            </w:r>
            <w:r/>
          </w:p>
        </w:tc>
      </w:tr>
    </w:tbl>
    <w:p>
      <w:pPr>
        <w:jc w:val="left"/>
        <w:spacing w:line="400" w:lineRule="exact"/>
        <w:rPr>
          <w:b/>
          <w:bCs/>
          <w:sz w:val="24"/>
        </w:rPr>
      </w:pPr>
      <w:r>
        <w:rPr>
          <w:rFonts w:hint="eastAsia"/>
          <w:b/>
          <w:bCs/>
          <w:sz w:val="24"/>
        </w:rPr>
        <w:t xml:space="preserve">平台按对应评分项目（或数字编号）分别制作上传，必须保证内容具体、印章完整、清晰可辨。未按以上要求制作上传的，经评标委员会成员半数以上认定后作不得分处理。</w:t>
      </w:r>
      <w:r/>
    </w:p>
    <w:p>
      <w:pPr>
        <w:jc w:val="left"/>
        <w:spacing w:line="400" w:lineRule="exact"/>
        <w:rPr>
          <w:sz w:val="24"/>
        </w:rPr>
      </w:pPr>
      <w:r>
        <w:rPr>
          <w:sz w:val="24"/>
        </w:rPr>
      </w:r>
      <w:r/>
    </w:p>
    <w:p>
      <w:pPr>
        <w:jc w:val="left"/>
        <w:widowControl/>
        <w:rPr>
          <w:b/>
          <w:sz w:val="36"/>
          <w:szCs w:val="36"/>
        </w:rPr>
      </w:pPr>
      <w:r/>
      <w:bookmarkStart w:id="821" w:name="_Toc140257876"/>
      <w:r/>
      <w:bookmarkStart w:id="822" w:name="_Toc163804583"/>
      <w:r>
        <w:rPr>
          <w:b/>
          <w:sz w:val="36"/>
          <w:szCs w:val="36"/>
        </w:rPr>
        <w:br w:type="page" w:clear="all"/>
      </w:r>
      <w:r/>
    </w:p>
    <w:p>
      <w:pPr>
        <w:jc w:val="center"/>
        <w:spacing w:line="360" w:lineRule="auto"/>
        <w:rPr>
          <w:b/>
          <w:sz w:val="36"/>
          <w:szCs w:val="36"/>
        </w:rPr>
        <w:outlineLvl w:val="0"/>
      </w:pPr>
      <w:r>
        <w:rPr>
          <w:b/>
          <w:sz w:val="36"/>
          <w:szCs w:val="36"/>
        </w:rPr>
        <w:t xml:space="preserve">第五章</w:t>
      </w:r>
      <w:r>
        <w:rPr>
          <w:b/>
          <w:sz w:val="36"/>
          <w:szCs w:val="36"/>
        </w:rPr>
        <w:t xml:space="preserve">   </w:t>
      </w:r>
      <w:r>
        <w:rPr>
          <w:b/>
          <w:sz w:val="36"/>
          <w:szCs w:val="36"/>
        </w:rPr>
        <w:t xml:space="preserve">采购需求</w:t>
      </w:r>
      <w:bookmarkEnd w:id="821"/>
      <w:r/>
      <w:bookmarkEnd w:id="822"/>
      <w:r/>
      <w:r/>
    </w:p>
    <w:p>
      <w:pPr>
        <w:spacing w:line="360" w:lineRule="auto"/>
        <w:rPr>
          <w:rFonts w:hint="eastAsia" w:ascii="宋体" w:hAnsi="宋体"/>
          <w:b/>
          <w:sz w:val="24"/>
        </w:rPr>
      </w:pPr>
      <w:r>
        <w:rPr>
          <w:rFonts w:ascii="宋体" w:hAnsi="宋体"/>
          <w:b/>
          <w:sz w:val="24"/>
        </w:rPr>
        <w:t xml:space="preserve">一、项目概况</w:t>
      </w:r>
      <w:r/>
    </w:p>
    <w:p>
      <w:pPr>
        <w:spacing w:line="360" w:lineRule="auto"/>
        <w:rPr>
          <w:rFonts w:hint="eastAsia" w:ascii="宋体" w:hAnsi="宋体"/>
          <w:b/>
          <w:sz w:val="24"/>
        </w:rPr>
      </w:pPr>
      <w:r>
        <w:rPr>
          <w:rFonts w:ascii="宋体" w:hAnsi="宋体"/>
          <w:b/>
          <w:sz w:val="24"/>
        </w:rPr>
        <w:t xml:space="preserve">1、项目名称</w:t>
      </w:r>
      <w:r/>
    </w:p>
    <w:p>
      <w:pPr>
        <w:ind w:firstLine="480"/>
        <w:spacing w:line="360" w:lineRule="auto"/>
        <w:rPr>
          <w:rFonts w:hint="eastAsia" w:ascii="宋体" w:hAnsi="宋体"/>
          <w:sz w:val="24"/>
        </w:rPr>
      </w:pPr>
      <w:r>
        <w:rPr>
          <w:rFonts w:ascii="宋体" w:hAnsi="宋体"/>
          <w:sz w:val="24"/>
        </w:rPr>
        <w:t xml:space="preserve">前黄镇路灯维护采购项目。</w:t>
      </w:r>
      <w:r/>
    </w:p>
    <w:p>
      <w:pPr>
        <w:spacing w:line="360" w:lineRule="auto"/>
        <w:rPr>
          <w:rFonts w:hint="eastAsia" w:ascii="宋体" w:hAnsi="宋体"/>
          <w:b/>
          <w:sz w:val="24"/>
        </w:rPr>
      </w:pPr>
      <w:r>
        <w:rPr>
          <w:rFonts w:ascii="宋体" w:hAnsi="宋体"/>
          <w:b/>
          <w:sz w:val="24"/>
        </w:rPr>
        <w:t xml:space="preserve">2、项目简介</w:t>
      </w:r>
      <w:r/>
    </w:p>
    <w:p>
      <w:pPr>
        <w:ind w:firstLine="480"/>
        <w:spacing w:line="360" w:lineRule="auto"/>
        <w:rPr>
          <w:rFonts w:hint="eastAsia" w:ascii="宋体" w:hAnsi="宋体"/>
          <w:sz w:val="24"/>
        </w:rPr>
      </w:pPr>
      <w:r>
        <w:rPr>
          <w:rFonts w:ascii="宋体" w:hAnsi="宋体"/>
          <w:sz w:val="24"/>
        </w:rPr>
        <w:t xml:space="preserve">本项目关系到道路照明夜间能否为各种车辆的驾驶人员以及行人创造良好的视觉环境，关系到居民夜间出行交通安全，关系到是否方便人民生活。</w:t>
      </w:r>
      <w:r/>
    </w:p>
    <w:p>
      <w:pPr>
        <w:ind w:firstLine="480"/>
        <w:spacing w:line="360" w:lineRule="auto"/>
        <w:rPr>
          <w:rFonts w:hint="eastAsia" w:ascii="宋体" w:hAnsi="宋体"/>
          <w:sz w:val="24"/>
        </w:rPr>
      </w:pPr>
      <w:r>
        <w:rPr>
          <w:rFonts w:ascii="宋体" w:hAnsi="宋体"/>
          <w:sz w:val="24"/>
        </w:rPr>
        <w:t xml:space="preserve">管护范围及服务内容：前黄镇前黄片、</w:t>
      </w:r>
      <w:r>
        <w:rPr>
          <w:rFonts w:ascii="宋体" w:hAnsi="宋体"/>
          <w:sz w:val="24"/>
        </w:rPr>
        <w:t xml:space="preserve">寨桥片</w:t>
      </w:r>
      <w:r>
        <w:rPr>
          <w:rFonts w:ascii="宋体" w:hAnsi="宋体"/>
          <w:sz w:val="24"/>
        </w:rPr>
        <w:t xml:space="preserve">及南环线区域内的路灯日常维护、应急抢修工程、零星工程。</w:t>
      </w:r>
      <w:r/>
    </w:p>
    <w:p>
      <w:pPr>
        <w:spacing w:line="360" w:lineRule="auto"/>
        <w:rPr>
          <w:rFonts w:hint="eastAsia" w:ascii="宋体" w:hAnsi="宋体"/>
          <w:b/>
          <w:sz w:val="24"/>
        </w:rPr>
      </w:pPr>
      <w:r>
        <w:rPr>
          <w:rFonts w:ascii="宋体" w:hAnsi="宋体"/>
          <w:b/>
          <w:sz w:val="24"/>
        </w:rPr>
        <w:t xml:space="preserve">3、服务内容</w:t>
      </w:r>
      <w:r/>
    </w:p>
    <w:p>
      <w:pPr>
        <w:ind w:firstLine="480"/>
        <w:spacing w:line="360" w:lineRule="auto"/>
        <w:rPr>
          <w:rFonts w:hint="eastAsia" w:ascii="宋体" w:hAnsi="宋体"/>
          <w:sz w:val="24"/>
        </w:rPr>
      </w:pPr>
      <w:r>
        <w:rPr>
          <w:rFonts w:ascii="宋体" w:hAnsi="宋体"/>
          <w:sz w:val="24"/>
        </w:rPr>
        <w:t xml:space="preserve">按照江苏省城市道路照明技术规范DGJ32/TC06-2011等标准、办法对管辖范围照明设施进行维护。</w:t>
      </w:r>
      <w:r>
        <w:rPr>
          <w:rFonts w:hint="eastAsia" w:ascii="宋体" w:hAnsi="宋体"/>
          <w:sz w:val="24"/>
        </w:rPr>
        <w:t xml:space="preserve">本次维护内容包含</w:t>
      </w:r>
      <w:r>
        <w:rPr>
          <w:rFonts w:ascii="宋体" w:hAnsi="宋体"/>
          <w:sz w:val="24"/>
        </w:rPr>
        <w:t xml:space="preserve">前黄镇3951套路灯</w:t>
      </w:r>
      <w:r>
        <w:rPr>
          <w:rFonts w:hint="eastAsia" w:ascii="宋体" w:hAnsi="宋体"/>
          <w:sz w:val="24"/>
        </w:rPr>
        <w:t xml:space="preserve">以及</w:t>
      </w:r>
      <w:r>
        <w:rPr>
          <w:rFonts w:ascii="宋体" w:hAnsi="宋体"/>
          <w:sz w:val="24"/>
        </w:rPr>
        <w:t xml:space="preserve">道路照明设施日常巡查、维护、应急抢修及零星工程等</w:t>
      </w:r>
      <w:r>
        <w:rPr>
          <w:rFonts w:hint="eastAsia" w:ascii="宋体" w:hAnsi="宋体"/>
          <w:sz w:val="24"/>
        </w:rPr>
        <w:t xml:space="preserve">。</w:t>
      </w:r>
      <w:r>
        <w:rPr>
          <w:rFonts w:ascii="宋体" w:hAnsi="宋体"/>
          <w:sz w:val="24"/>
        </w:rPr>
        <w:t xml:space="preserve">照明设施包括但不限于用于照明的照明器具、电器、灯</w:t>
      </w:r>
      <w:r>
        <w:rPr>
          <w:rFonts w:ascii="宋体" w:hAnsi="宋体"/>
          <w:sz w:val="24"/>
        </w:rPr>
        <w:t xml:space="preserve">杆以及</w:t>
      </w:r>
      <w:r>
        <w:rPr>
          <w:rFonts w:ascii="宋体" w:hAnsi="宋体"/>
          <w:sz w:val="24"/>
        </w:rPr>
        <w:t xml:space="preserve">管线、线缆、配电、监控、节能等系统的设备和附属设施等。</w:t>
      </w:r>
      <w:r/>
    </w:p>
    <w:p>
      <w:pPr>
        <w:spacing w:line="360" w:lineRule="auto"/>
        <w:rPr>
          <w:rFonts w:hint="eastAsia" w:ascii="宋体" w:hAnsi="宋体"/>
          <w:b/>
          <w:sz w:val="24"/>
        </w:rPr>
      </w:pPr>
      <w:r>
        <w:rPr>
          <w:rFonts w:ascii="宋体" w:hAnsi="宋体"/>
          <w:b/>
          <w:sz w:val="24"/>
        </w:rPr>
        <w:t xml:space="preserve">二、维护单位项目部人员、值班人员、维修人员及相关机械设备配备要求：</w:t>
      </w:r>
      <w:r/>
    </w:p>
    <w:p>
      <w:pPr>
        <w:ind w:firstLine="480"/>
        <w:spacing w:line="360" w:lineRule="auto"/>
        <w:rPr>
          <w:rFonts w:hint="eastAsia" w:ascii="宋体" w:hAnsi="宋体"/>
          <w:sz w:val="24"/>
        </w:rPr>
      </w:pPr>
      <w:r>
        <w:rPr>
          <w:rFonts w:ascii="宋体" w:hAnsi="宋体"/>
          <w:sz w:val="24"/>
        </w:rPr>
        <w:t xml:space="preserve">1、</w:t>
      </w:r>
      <w:r>
        <w:rPr>
          <w:rFonts w:ascii="宋体" w:hAnsi="宋体"/>
          <w:b/>
          <w:bCs/>
          <w:sz w:val="24"/>
          <w:u w:val="single"/>
        </w:rPr>
        <w:t xml:space="preserve">项目负责人中标后需常驻</w:t>
      </w:r>
      <w:r>
        <w:rPr>
          <w:rFonts w:hint="eastAsia" w:ascii="宋体" w:hAnsi="宋体"/>
          <w:b/>
          <w:bCs/>
          <w:sz w:val="24"/>
          <w:u w:val="single"/>
        </w:rPr>
        <w:t xml:space="preserve">本项目管护区域范围内</w:t>
      </w:r>
      <w:r>
        <w:rPr>
          <w:rFonts w:ascii="宋体" w:hAnsi="宋体"/>
          <w:sz w:val="24"/>
        </w:rPr>
        <w:t xml:space="preserve">。管护期间要保持现场值班人员、管护队伍的稳定，项目部常驻现场人员，不征得采购单位同意不得随意变更。</w:t>
      </w:r>
      <w:r/>
    </w:p>
    <w:p>
      <w:pPr>
        <w:ind w:firstLine="480"/>
        <w:spacing w:line="360" w:lineRule="auto"/>
        <w:rPr>
          <w:rFonts w:hint="eastAsia" w:ascii="宋体" w:hAnsi="宋体"/>
          <w:sz w:val="24"/>
        </w:rPr>
      </w:pPr>
      <w:r>
        <w:rPr>
          <w:rFonts w:ascii="宋体" w:hAnsi="宋体"/>
          <w:sz w:val="24"/>
        </w:rPr>
        <w:t xml:space="preserve">2、该项目管护单位值班人员的技能水平、个人素养、工作着装、责任意识、服务态度等均要符合采购单位要求。基本要求如下：</w:t>
      </w:r>
      <w:r/>
    </w:p>
    <w:p>
      <w:pPr>
        <w:ind w:firstLine="480"/>
        <w:spacing w:line="360" w:lineRule="auto"/>
        <w:rPr>
          <w:rFonts w:hint="eastAsia" w:ascii="宋体" w:hAnsi="宋体"/>
          <w:sz w:val="24"/>
        </w:rPr>
      </w:pPr>
      <w:r>
        <w:rPr>
          <w:rFonts w:ascii="宋体" w:hAnsi="宋体"/>
          <w:sz w:val="24"/>
        </w:rPr>
        <w:t xml:space="preserve">（1）统一服装、配戴胸卡、具备良好的精神风貌。</w:t>
      </w:r>
      <w:r/>
    </w:p>
    <w:p>
      <w:pPr>
        <w:ind w:firstLine="480"/>
        <w:spacing w:line="360" w:lineRule="auto"/>
        <w:rPr>
          <w:rFonts w:hint="eastAsia" w:ascii="宋体" w:hAnsi="宋体"/>
          <w:sz w:val="24"/>
        </w:rPr>
      </w:pPr>
      <w:r>
        <w:rPr>
          <w:rFonts w:ascii="宋体" w:hAnsi="宋体"/>
          <w:sz w:val="24"/>
        </w:rPr>
        <w:t xml:space="preserve">（2）</w:t>
      </w:r>
      <w:r>
        <w:rPr>
          <w:rFonts w:ascii="宋体" w:hAnsi="宋体"/>
          <w:b/>
          <w:bCs/>
          <w:sz w:val="24"/>
          <w:u w:val="single"/>
        </w:rPr>
        <w:t xml:space="preserve">项目部常驻现场总人数不得少于3人</w:t>
      </w:r>
      <w:r>
        <w:rPr>
          <w:rFonts w:ascii="宋体" w:hAnsi="宋体"/>
          <w:sz w:val="24"/>
        </w:rPr>
        <w:t xml:space="preserve">，所有常驻人员无证不得上岗。</w:t>
      </w:r>
      <w:r/>
    </w:p>
    <w:p>
      <w:pPr>
        <w:ind w:firstLine="480"/>
        <w:spacing w:line="360" w:lineRule="auto"/>
        <w:rPr>
          <w:rFonts w:hint="eastAsia" w:ascii="宋体" w:hAnsi="宋体"/>
          <w:sz w:val="24"/>
        </w:rPr>
      </w:pPr>
      <w:r>
        <w:rPr>
          <w:rFonts w:ascii="宋体" w:hAnsi="宋体"/>
          <w:sz w:val="24"/>
        </w:rPr>
        <w:t xml:space="preserve">（3）24小时应急抢修人员、零星工程维修人员根据甲方要求配备。</w:t>
      </w:r>
      <w:r/>
    </w:p>
    <w:p>
      <w:pPr>
        <w:ind w:firstLine="480"/>
        <w:spacing w:line="360" w:lineRule="auto"/>
        <w:rPr>
          <w:rFonts w:hint="eastAsia" w:ascii="宋体" w:hAnsi="宋体"/>
          <w:sz w:val="24"/>
        </w:rPr>
      </w:pPr>
      <w:r>
        <w:rPr>
          <w:rFonts w:ascii="宋体" w:hAnsi="宋体"/>
          <w:sz w:val="24"/>
        </w:rPr>
        <w:t xml:space="preserve">（4）具有良好的语言沟通能力，在涉及民生问题，能圆满处理问题。</w:t>
      </w:r>
      <w:r/>
    </w:p>
    <w:p>
      <w:pPr>
        <w:ind w:firstLine="480"/>
        <w:spacing w:line="360" w:lineRule="auto"/>
        <w:rPr>
          <w:rFonts w:hint="eastAsia" w:ascii="宋体" w:hAnsi="宋体"/>
          <w:sz w:val="24"/>
        </w:rPr>
      </w:pPr>
      <w:r>
        <w:rPr>
          <w:rFonts w:ascii="宋体" w:hAnsi="宋体"/>
          <w:sz w:val="24"/>
        </w:rPr>
        <w:t xml:space="preserve">3、管护单位需结合现场设施情况有针对性的建立完善的维护管理制度及工作台帐，按照《江苏省城市照明设施优质养护片》要求，至少包括以下内容：人员岗位管理、考勤值班、日常巡修、施工质量管理、服务承诺、安全生产管理、抢修应急预案、技术人员管理培训、设备材料管理、内部资料档案管理、财务管理等各项制度，台帐格式需经采购单位确认后实施。</w:t>
      </w:r>
      <w:r/>
    </w:p>
    <w:p>
      <w:pPr>
        <w:ind w:firstLine="480"/>
        <w:spacing w:line="360" w:lineRule="auto"/>
        <w:rPr>
          <w:rFonts w:hint="eastAsia" w:ascii="宋体" w:hAnsi="宋体"/>
          <w:sz w:val="24"/>
        </w:rPr>
      </w:pPr>
      <w:r>
        <w:rPr>
          <w:rFonts w:ascii="宋体" w:hAnsi="宋体"/>
          <w:sz w:val="24"/>
        </w:rPr>
        <w:t xml:space="preserve">4、管护单位</w:t>
      </w:r>
      <w:r>
        <w:rPr>
          <w:rFonts w:hint="eastAsia" w:ascii="宋体" w:hAnsi="宋体"/>
          <w:sz w:val="24"/>
        </w:rPr>
        <w:t xml:space="preserve">应按</w:t>
      </w:r>
      <w:r>
        <w:rPr>
          <w:rFonts w:ascii="宋体" w:hAnsi="宋体"/>
          <w:sz w:val="24"/>
        </w:rPr>
        <w:t xml:space="preserve">须配备</w:t>
      </w:r>
      <w:r>
        <w:rPr>
          <w:rFonts w:hint="eastAsia" w:ascii="宋体" w:hAnsi="宋体"/>
          <w:sz w:val="24"/>
        </w:rPr>
        <w:t xml:space="preserve">各种作业车辆</w:t>
      </w:r>
      <w:r>
        <w:rPr>
          <w:rFonts w:ascii="宋体" w:hAnsi="宋体"/>
          <w:sz w:val="24"/>
        </w:rPr>
        <w:t xml:space="preserve">；登高作业设备、电缆、灯杆灯具、电器元</w:t>
      </w:r>
      <w:r>
        <w:rPr>
          <w:rFonts w:ascii="宋体" w:hAnsi="宋体"/>
          <w:sz w:val="24"/>
        </w:rPr>
        <w:t xml:space="preserve">器件等易损易耗件、以及常用维修检测工具、电工工具、安全防护工具等（以上管护设施、备品备件需在投标文件中列清单反映并常备于管护现场，使用后应及时补充，采购单位将定期检查考核）。</w:t>
      </w:r>
      <w:r/>
    </w:p>
    <w:p>
      <w:pPr>
        <w:spacing w:line="360" w:lineRule="auto"/>
        <w:rPr>
          <w:rFonts w:hint="eastAsia" w:ascii="宋体" w:hAnsi="宋体"/>
          <w:b/>
          <w:sz w:val="24"/>
        </w:rPr>
      </w:pPr>
      <w:r>
        <w:rPr>
          <w:rFonts w:ascii="宋体" w:hAnsi="宋体"/>
          <w:b/>
          <w:sz w:val="24"/>
        </w:rPr>
        <w:t xml:space="preserve">三、维护基地要求：</w:t>
      </w:r>
      <w:r/>
    </w:p>
    <w:p>
      <w:pPr>
        <w:ind w:firstLine="480"/>
        <w:spacing w:line="360" w:lineRule="auto"/>
        <w:rPr>
          <w:rFonts w:hint="eastAsia" w:ascii="宋体" w:hAnsi="宋体"/>
          <w:sz w:val="24"/>
        </w:rPr>
      </w:pPr>
      <w:r>
        <w:rPr>
          <w:rFonts w:ascii="宋体" w:hAnsi="宋体"/>
          <w:sz w:val="24"/>
        </w:rPr>
        <w:t xml:space="preserve">1、必须在维护区内设置维护基地，确保任何地点发生故障均能在60分钟内到达现场。</w:t>
      </w:r>
      <w:r/>
    </w:p>
    <w:p>
      <w:pPr>
        <w:ind w:firstLine="480"/>
        <w:spacing w:line="360" w:lineRule="auto"/>
        <w:rPr>
          <w:rFonts w:hint="eastAsia" w:ascii="宋体" w:hAnsi="宋体"/>
          <w:sz w:val="24"/>
        </w:rPr>
      </w:pPr>
      <w:r>
        <w:rPr>
          <w:rFonts w:ascii="宋体" w:hAnsi="宋体"/>
          <w:sz w:val="24"/>
        </w:rPr>
        <w:t xml:space="preserve">2、维护基地需分别设置办公区、值班区（24小时值班）、车辆停放区、器材堆放区等区域。</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、维护基地具体设置方案需报甲方同意后实施。</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、维护基地必须设置采购单位材料临时堆放专用区域（免费堆放），做好进库出库台帐记录，移交时必须做好移交记录。</w:t>
      </w:r>
      <w:r/>
    </w:p>
    <w:p>
      <w:pPr>
        <w:spacing w:line="360" w:lineRule="auto"/>
        <w:rPr>
          <w:rFonts w:hint="eastAsia" w:ascii="宋体" w:hAnsi="宋体"/>
          <w:b/>
          <w:sz w:val="24"/>
        </w:rPr>
      </w:pPr>
      <w:r>
        <w:rPr>
          <w:rFonts w:ascii="宋体" w:hAnsi="宋体"/>
          <w:b/>
          <w:sz w:val="24"/>
        </w:rPr>
        <w:t xml:space="preserve">四、路灯设施的维护内容、日常操作和维护管理</w:t>
      </w:r>
      <w:r/>
    </w:p>
    <w:p>
      <w:pPr>
        <w:ind w:firstLine="482"/>
        <w:spacing w:line="360" w:lineRule="auto"/>
        <w:rPr>
          <w:rFonts w:hint="eastAsia" w:ascii="宋体" w:hAnsi="宋体"/>
          <w:b/>
          <w:sz w:val="24"/>
        </w:rPr>
      </w:pPr>
      <w:r>
        <w:rPr>
          <w:rFonts w:ascii="宋体" w:hAnsi="宋体"/>
          <w:b/>
          <w:sz w:val="24"/>
        </w:rPr>
        <w:t xml:space="preserve">1、维护主要内容：</w:t>
      </w:r>
      <w:r/>
    </w:p>
    <w:p>
      <w:pPr>
        <w:ind w:firstLine="480"/>
        <w:spacing w:line="360" w:lineRule="auto"/>
        <w:rPr>
          <w:rFonts w:hint="eastAsia" w:ascii="宋体" w:hAnsi="宋体"/>
          <w:sz w:val="24"/>
        </w:rPr>
      </w:pPr>
      <w:r>
        <w:rPr>
          <w:rFonts w:ascii="宋体" w:hAnsi="宋体"/>
          <w:sz w:val="24"/>
        </w:rPr>
        <w:t xml:space="preserve">（1）负责路灯设施更换维修，确保亮灯效果，亮灯率达到98%；</w:t>
      </w:r>
      <w:r/>
    </w:p>
    <w:p>
      <w:pPr>
        <w:ind w:firstLine="480"/>
        <w:spacing w:line="360" w:lineRule="auto"/>
        <w:rPr>
          <w:rFonts w:hint="eastAsia" w:ascii="宋体" w:hAnsi="宋体"/>
          <w:sz w:val="24"/>
        </w:rPr>
      </w:pPr>
      <w:r>
        <w:rPr>
          <w:rFonts w:ascii="宋体" w:hAnsi="宋体"/>
          <w:sz w:val="24"/>
        </w:rPr>
        <w:t xml:space="preserve">（2）负责路灯</w:t>
      </w:r>
      <w:r>
        <w:rPr>
          <w:rFonts w:ascii="宋体" w:hAnsi="宋体"/>
          <w:sz w:val="24"/>
        </w:rPr>
        <w:t xml:space="preserve">灯</w:t>
      </w:r>
      <w:r>
        <w:rPr>
          <w:rFonts w:ascii="宋体" w:hAnsi="宋体"/>
          <w:sz w:val="24"/>
        </w:rPr>
        <w:t xml:space="preserve">杆、灯具、管线、控制箱（含遥控终端）及其它相关设备安装牢固情况、运行情况的检查及维修更换；</w:t>
      </w:r>
      <w:r/>
    </w:p>
    <w:p>
      <w:pPr>
        <w:ind w:firstLine="480"/>
        <w:spacing w:line="360" w:lineRule="auto"/>
        <w:rPr>
          <w:rFonts w:hint="eastAsia" w:ascii="宋体" w:hAnsi="宋体"/>
          <w:sz w:val="24"/>
        </w:rPr>
      </w:pPr>
      <w:r>
        <w:rPr>
          <w:rFonts w:ascii="宋体" w:hAnsi="宋体"/>
          <w:sz w:val="24"/>
        </w:rPr>
        <w:t xml:space="preserve">（3）负责所有路灯箱变低压室、计量箱、控制箱（含遥控终端）的检查调试维修，电气元件更换；</w:t>
      </w:r>
      <w:r/>
    </w:p>
    <w:p>
      <w:pPr>
        <w:ind w:firstLine="480"/>
        <w:spacing w:line="360" w:lineRule="auto"/>
        <w:rPr>
          <w:rFonts w:hint="eastAsia" w:ascii="宋体" w:hAnsi="宋体"/>
          <w:sz w:val="24"/>
        </w:rPr>
      </w:pPr>
      <w:r>
        <w:rPr>
          <w:rFonts w:ascii="宋体" w:hAnsi="宋体"/>
          <w:sz w:val="24"/>
        </w:rPr>
        <w:t xml:space="preserve">（4）负责所有电缆的检测、维修、更换；</w:t>
      </w:r>
      <w:r/>
    </w:p>
    <w:p>
      <w:pPr>
        <w:ind w:firstLine="480"/>
        <w:spacing w:line="360" w:lineRule="auto"/>
        <w:rPr>
          <w:rFonts w:hint="eastAsia" w:ascii="宋体" w:hAnsi="宋体"/>
          <w:sz w:val="24"/>
        </w:rPr>
      </w:pPr>
      <w:r>
        <w:rPr>
          <w:rFonts w:ascii="宋体" w:hAnsi="宋体"/>
          <w:sz w:val="24"/>
        </w:rPr>
        <w:t xml:space="preserve">（5）负责三遥控制系统运行、值班、保障系统正常运行。</w:t>
      </w:r>
      <w:r/>
    </w:p>
    <w:p>
      <w:pPr>
        <w:ind w:firstLine="480"/>
        <w:spacing w:line="360" w:lineRule="auto"/>
        <w:rPr>
          <w:rFonts w:hint="eastAsia" w:ascii="宋体" w:hAnsi="宋体"/>
          <w:sz w:val="24"/>
        </w:rPr>
      </w:pPr>
      <w:r>
        <w:rPr>
          <w:rFonts w:ascii="宋体" w:hAnsi="宋体"/>
          <w:sz w:val="24"/>
        </w:rPr>
        <w:t xml:space="preserve">（6）运行值班：安排专门抢修人员、车辆，做好大面积熄灯、夜间来电报修等等情况的应急处理工作。夜间来电报修、交通肇事必须在30分钟内赶到现场进行紧急处理。</w:t>
      </w:r>
      <w:r/>
    </w:p>
    <w:p>
      <w:pPr>
        <w:ind w:firstLine="480"/>
        <w:spacing w:line="360" w:lineRule="auto"/>
        <w:rPr>
          <w:rFonts w:hint="eastAsia" w:ascii="宋体" w:hAnsi="宋体"/>
          <w:sz w:val="24"/>
        </w:rPr>
      </w:pPr>
      <w:r>
        <w:rPr>
          <w:rFonts w:ascii="宋体" w:hAnsi="宋体"/>
          <w:sz w:val="24"/>
        </w:rPr>
        <w:t xml:space="preserve">（7）做好防盗工作，承担维护范围内发生的失窃、人为破坏等管护、修复责任；</w:t>
      </w:r>
      <w:r/>
    </w:p>
    <w:p>
      <w:pPr>
        <w:ind w:firstLine="480"/>
        <w:spacing w:line="360" w:lineRule="auto"/>
        <w:rPr>
          <w:rFonts w:hint="eastAsia" w:ascii="宋体" w:hAnsi="宋体"/>
          <w:sz w:val="24"/>
        </w:rPr>
      </w:pPr>
      <w:r>
        <w:rPr>
          <w:rFonts w:ascii="宋体" w:hAnsi="宋体"/>
          <w:sz w:val="24"/>
        </w:rPr>
        <w:t xml:space="preserve">（8）配置人员车辆配合采购单位三遥控制系统的升级改造。配合采购单位做好转供电等交办事项工作。</w:t>
      </w:r>
      <w:r/>
    </w:p>
    <w:p>
      <w:pPr>
        <w:ind w:firstLine="480"/>
        <w:spacing w:line="360" w:lineRule="auto"/>
        <w:rPr>
          <w:rFonts w:hint="eastAsia" w:ascii="宋体" w:hAnsi="宋体"/>
          <w:sz w:val="24"/>
        </w:rPr>
      </w:pPr>
      <w:r>
        <w:rPr>
          <w:rFonts w:ascii="宋体" w:hAnsi="宋体"/>
          <w:sz w:val="24"/>
        </w:rPr>
        <w:t xml:space="preserve">（9）管护单位除</w:t>
      </w:r>
      <w:r>
        <w:rPr>
          <w:rFonts w:ascii="宋体" w:hAnsi="宋体"/>
          <w:sz w:val="24"/>
        </w:rPr>
        <w:t xml:space="preserve">正常维护外</w:t>
      </w:r>
      <w:r>
        <w:rPr>
          <w:rFonts w:ascii="宋体" w:hAnsi="宋体"/>
          <w:sz w:val="24"/>
        </w:rPr>
        <w:t xml:space="preserve">，还必须做好各项文明城市检查、重大活动及节日保障活动； </w:t>
      </w:r>
      <w:r/>
    </w:p>
    <w:p>
      <w:pPr>
        <w:ind w:firstLine="480"/>
        <w:spacing w:line="360" w:lineRule="auto"/>
        <w:rPr>
          <w:rFonts w:hint="eastAsia" w:ascii="宋体" w:hAnsi="宋体"/>
          <w:sz w:val="24"/>
        </w:rPr>
      </w:pPr>
      <w:r>
        <w:rPr>
          <w:rFonts w:ascii="宋体" w:hAnsi="宋体"/>
          <w:sz w:val="24"/>
        </w:rPr>
        <w:t xml:space="preserve">（10）负责路灯箱变低压室、计量箱、</w:t>
      </w:r>
      <w:r>
        <w:rPr>
          <w:rFonts w:ascii="宋体" w:hAnsi="宋体"/>
          <w:sz w:val="24"/>
        </w:rPr>
        <w:t xml:space="preserve">控制箱及灯杆</w:t>
      </w:r>
      <w:r>
        <w:rPr>
          <w:rFonts w:ascii="宋体" w:hAnsi="宋体"/>
          <w:sz w:val="24"/>
        </w:rPr>
        <w:t xml:space="preserve">、灯具的清洁工作。</w:t>
      </w:r>
      <w:r/>
    </w:p>
    <w:p>
      <w:pPr>
        <w:ind w:firstLine="482"/>
        <w:spacing w:line="360" w:lineRule="auto"/>
        <w:rPr>
          <w:rFonts w:hint="eastAsia" w:ascii="宋体" w:hAnsi="宋体"/>
          <w:b/>
          <w:sz w:val="24"/>
        </w:rPr>
      </w:pPr>
      <w:r>
        <w:rPr>
          <w:rFonts w:ascii="宋体" w:hAnsi="宋体"/>
          <w:b/>
          <w:sz w:val="24"/>
        </w:rPr>
        <w:t xml:space="preserve">2、日常巡检、抢修、维修：</w:t>
      </w:r>
      <w:r/>
    </w:p>
    <w:p>
      <w:pPr>
        <w:ind w:firstLine="480"/>
        <w:spacing w:line="360" w:lineRule="auto"/>
        <w:rPr>
          <w:rFonts w:hint="eastAsia" w:ascii="宋体" w:hAnsi="宋体"/>
          <w:sz w:val="24"/>
        </w:rPr>
      </w:pPr>
      <w:r>
        <w:rPr>
          <w:rFonts w:ascii="宋体" w:hAnsi="宋体"/>
          <w:sz w:val="24"/>
        </w:rPr>
        <w:t xml:space="preserve">（1）管护单位巡检人员每天都要对管辖内设施进行巡视检查，管理人员要保持24小时通讯畅通；</w:t>
      </w:r>
      <w:r/>
    </w:p>
    <w:p>
      <w:pPr>
        <w:ind w:firstLine="480"/>
        <w:spacing w:line="360" w:lineRule="auto"/>
        <w:rPr>
          <w:rFonts w:hint="eastAsia" w:ascii="宋体" w:hAnsi="宋体"/>
          <w:sz w:val="24"/>
        </w:rPr>
      </w:pPr>
      <w:r>
        <w:rPr>
          <w:rFonts w:ascii="宋体" w:hAnsi="宋体"/>
          <w:sz w:val="24"/>
        </w:rPr>
        <w:t xml:space="preserve">（2）定期进行电气元件、电气设备、电缆、灯具等运行参数检测、漏电安全检测、灵敏度检测、绝缘检测、老化检测；</w:t>
      </w:r>
      <w:r/>
    </w:p>
    <w:p>
      <w:pPr>
        <w:ind w:firstLine="480"/>
        <w:spacing w:line="360" w:lineRule="auto"/>
        <w:rPr>
          <w:rFonts w:hint="eastAsia" w:ascii="宋体" w:hAnsi="宋体"/>
          <w:sz w:val="24"/>
        </w:rPr>
      </w:pPr>
      <w:r>
        <w:rPr>
          <w:rFonts w:ascii="宋体" w:hAnsi="宋体"/>
          <w:sz w:val="24"/>
        </w:rPr>
        <w:t xml:space="preserve">（3）巡查设施运行情况、观察有无异常振动及噪声，检查电气控制柜中元件有无发黑的触点，电缆、电线是否有过热、变色、烧焦等现象；</w:t>
      </w:r>
      <w:r/>
    </w:p>
    <w:p>
      <w:pPr>
        <w:ind w:firstLine="480"/>
        <w:spacing w:line="360" w:lineRule="auto"/>
        <w:rPr>
          <w:rFonts w:hint="eastAsia" w:ascii="宋体" w:hAnsi="宋体"/>
          <w:sz w:val="24"/>
        </w:rPr>
      </w:pPr>
      <w:r>
        <w:rPr>
          <w:rFonts w:ascii="宋体" w:hAnsi="宋体"/>
          <w:sz w:val="24"/>
        </w:rPr>
        <w:t xml:space="preserve">（4）管护期限内发生偷盗由管护单位承担修复的所有费用（含修复时人行道板、绿化带开挖等造成的损失）。偷盗必须在第一时间内向采购单位管理人员反映，同时向辖区内派出所报案；</w:t>
      </w:r>
      <w:r/>
    </w:p>
    <w:p>
      <w:pPr>
        <w:ind w:firstLine="480"/>
        <w:spacing w:line="360" w:lineRule="auto"/>
        <w:rPr>
          <w:rFonts w:hint="eastAsia" w:ascii="宋体" w:hAnsi="宋体"/>
          <w:sz w:val="24"/>
        </w:rPr>
      </w:pPr>
      <w:r>
        <w:rPr>
          <w:rFonts w:ascii="宋体" w:hAnsi="宋体"/>
          <w:sz w:val="24"/>
        </w:rPr>
        <w:t xml:space="preserve">（5）安排专门抢修人员配合路灯大面积熄灯抢修，30分钟内必须赶到现场处理；</w:t>
      </w:r>
      <w:r/>
    </w:p>
    <w:p>
      <w:pPr>
        <w:ind w:firstLine="480"/>
        <w:spacing w:line="360" w:lineRule="auto"/>
        <w:rPr>
          <w:rFonts w:hint="eastAsia" w:ascii="宋体" w:hAnsi="宋体"/>
          <w:sz w:val="24"/>
        </w:rPr>
      </w:pPr>
      <w:r>
        <w:rPr>
          <w:rFonts w:ascii="宋体" w:hAnsi="宋体"/>
          <w:sz w:val="24"/>
        </w:rPr>
        <w:t xml:space="preserve">（6）巡查、维修频率及台帐要求：管护单位必须及时报送</w:t>
      </w:r>
      <w:r>
        <w:rPr>
          <w:rFonts w:ascii="宋体" w:hAnsi="宋体"/>
          <w:sz w:val="24"/>
        </w:rPr>
        <w:t xml:space="preserve">相关台</w:t>
      </w:r>
      <w:r>
        <w:rPr>
          <w:rFonts w:ascii="宋体" w:hAnsi="宋体"/>
          <w:sz w:val="24"/>
        </w:rPr>
        <w:t xml:space="preserve">帐资料，每周五16：00前报送下周巡查计划表，每天11：00之前报送前一天的</w:t>
      </w:r>
      <w:r>
        <w:rPr>
          <w:rFonts w:ascii="宋体" w:hAnsi="宋体"/>
          <w:sz w:val="24"/>
        </w:rPr>
        <w:t xml:space="preserve">巡查台</w:t>
      </w:r>
      <w:r>
        <w:rPr>
          <w:rFonts w:ascii="宋体" w:hAnsi="宋体"/>
          <w:sz w:val="24"/>
        </w:rPr>
        <w:t xml:space="preserve">账和维修记录台帐，每个月前三个工作日内报送上个月路灯管护月度统计文档。</w:t>
      </w:r>
      <w:r/>
    </w:p>
    <w:p>
      <w:pPr>
        <w:ind w:firstLine="480"/>
        <w:spacing w:line="360" w:lineRule="auto"/>
        <w:rPr>
          <w:rFonts w:hint="eastAsia" w:ascii="宋体" w:hAnsi="宋体"/>
          <w:sz w:val="24"/>
        </w:rPr>
      </w:pPr>
      <w:r>
        <w:rPr>
          <w:rFonts w:ascii="宋体" w:hAnsi="宋体"/>
          <w:sz w:val="24"/>
        </w:rPr>
        <w:t xml:space="preserve">配电设施及线路每季度巡查、维修一遍，做好台帐资料。</w:t>
      </w:r>
      <w:r/>
    </w:p>
    <w:p>
      <w:pPr>
        <w:ind w:firstLine="480"/>
        <w:jc w:val="left"/>
        <w:spacing w:line="360" w:lineRule="auto"/>
        <w:rPr>
          <w:rFonts w:hint="eastAsia" w:ascii="宋体" w:hAnsi="宋体"/>
          <w:sz w:val="24"/>
        </w:rPr>
      </w:pPr>
      <w:r>
        <w:rPr>
          <w:rFonts w:ascii="宋体" w:hAnsi="宋体"/>
          <w:sz w:val="24"/>
        </w:rPr>
        <w:t xml:space="preserve">道路、绿地</w:t>
      </w:r>
      <w:r>
        <w:rPr>
          <w:rFonts w:ascii="宋体" w:hAnsi="宋体"/>
          <w:sz w:val="24"/>
        </w:rPr>
        <w:t xml:space="preserve">灯要求</w:t>
      </w:r>
      <w:r>
        <w:rPr>
          <w:rFonts w:ascii="宋体" w:hAnsi="宋体"/>
          <w:sz w:val="24"/>
        </w:rPr>
        <w:t xml:space="preserve">两周必须全部巡查一次，做好台帐资料，资料包括但不限于灭灯明细数据、灯杆歪斜、灯门缺失、灯具破损等。</w:t>
      </w:r>
      <w:r>
        <w:rPr>
          <w:rFonts w:ascii="宋体" w:hAnsi="宋体"/>
          <w:sz w:val="24"/>
        </w:rPr>
        <w:br/>
        <w:t xml:space="preserve">    道路、绿地</w:t>
      </w:r>
      <w:r>
        <w:rPr>
          <w:rFonts w:ascii="宋体" w:hAnsi="宋体"/>
          <w:sz w:val="24"/>
        </w:rPr>
        <w:t xml:space="preserve">灯必须</w:t>
      </w:r>
      <w:r>
        <w:rPr>
          <w:rFonts w:ascii="宋体" w:hAnsi="宋体"/>
          <w:sz w:val="24"/>
        </w:rPr>
        <w:t xml:space="preserve">两周维修一遍，维修做好台帐，并在</w:t>
      </w:r>
      <w:r>
        <w:rPr>
          <w:rFonts w:ascii="宋体" w:hAnsi="宋体"/>
          <w:sz w:val="24"/>
        </w:rPr>
        <w:t xml:space="preserve">灯杆内做好</w:t>
      </w:r>
      <w:r>
        <w:rPr>
          <w:rFonts w:ascii="宋体" w:hAnsi="宋体"/>
          <w:sz w:val="24"/>
        </w:rPr>
        <w:t xml:space="preserve">维修时间、更换配件等标签记录。</w:t>
      </w:r>
      <w:r/>
    </w:p>
    <w:p>
      <w:pPr>
        <w:ind w:firstLine="482"/>
        <w:spacing w:line="360" w:lineRule="auto"/>
        <w:rPr>
          <w:rFonts w:hint="eastAsia" w:ascii="宋体" w:hAnsi="宋体"/>
          <w:b/>
          <w:sz w:val="24"/>
        </w:rPr>
      </w:pPr>
      <w:r>
        <w:rPr>
          <w:rFonts w:ascii="宋体" w:hAnsi="宋体"/>
          <w:b/>
          <w:sz w:val="24"/>
        </w:rPr>
        <w:t xml:space="preserve">3、故障维修说明：</w:t>
      </w:r>
      <w:r/>
    </w:p>
    <w:p>
      <w:pPr>
        <w:ind w:firstLine="480"/>
        <w:spacing w:line="360" w:lineRule="auto"/>
        <w:rPr>
          <w:rFonts w:hint="eastAsia" w:ascii="宋体" w:hAnsi="宋体"/>
          <w:sz w:val="24"/>
        </w:rPr>
      </w:pPr>
      <w:r>
        <w:rPr>
          <w:rFonts w:ascii="宋体" w:hAnsi="宋体"/>
          <w:sz w:val="24"/>
        </w:rPr>
        <w:t xml:space="preserve">（1）制定相关应急预案，如有意外事故发生应采取紧急处理措施，防止事故扩大化；</w:t>
      </w:r>
      <w:r/>
    </w:p>
    <w:p>
      <w:pPr>
        <w:ind w:firstLine="480"/>
        <w:spacing w:line="360" w:lineRule="auto"/>
        <w:rPr>
          <w:rFonts w:hint="eastAsia" w:ascii="宋体" w:hAnsi="宋体"/>
          <w:sz w:val="24"/>
        </w:rPr>
      </w:pPr>
      <w:r>
        <w:rPr>
          <w:rFonts w:ascii="宋体" w:hAnsi="宋体"/>
          <w:sz w:val="24"/>
        </w:rPr>
        <w:t xml:space="preserve">（2）管护单位进行维修更换作业时，应尊重原设计，尽可能原样恢复。特殊情况下，经采购单位许可，方可使用替代品，但造价、品牌、质量不得低于原设计的材料设备质量标准；</w:t>
      </w:r>
      <w:r/>
    </w:p>
    <w:p>
      <w:pPr>
        <w:ind w:firstLine="480"/>
        <w:spacing w:line="360" w:lineRule="auto"/>
        <w:rPr>
          <w:rFonts w:hint="eastAsia" w:ascii="宋体" w:hAnsi="宋体"/>
          <w:sz w:val="24"/>
        </w:rPr>
      </w:pPr>
      <w:r>
        <w:rPr>
          <w:rFonts w:ascii="宋体" w:hAnsi="宋体"/>
          <w:sz w:val="24"/>
        </w:rPr>
        <w:t xml:space="preserve">（3）现场须有足够的备品备件，备品备件使用后要立即补足；</w:t>
      </w:r>
      <w:r/>
    </w:p>
    <w:p>
      <w:pPr>
        <w:ind w:firstLine="480"/>
        <w:spacing w:line="360" w:lineRule="auto"/>
        <w:rPr>
          <w:rFonts w:hint="eastAsia" w:ascii="宋体" w:hAnsi="宋体"/>
          <w:sz w:val="24"/>
        </w:rPr>
      </w:pPr>
      <w:r>
        <w:rPr>
          <w:rFonts w:ascii="宋体" w:hAnsi="宋体"/>
          <w:sz w:val="24"/>
        </w:rPr>
        <w:t xml:space="preserve">（4）管护单位人员及管护单位委派人员均须服从采购单位代表及采购单位现场派驻人员的管理，采购单位现场派驻人员负责对管护单位日常维护工作进行监督、检查、维修工作量审核确定等工作；</w:t>
      </w:r>
      <w:r/>
    </w:p>
    <w:p>
      <w:pPr>
        <w:ind w:firstLine="482"/>
        <w:spacing w:line="360" w:lineRule="auto"/>
        <w:rPr>
          <w:rFonts w:hint="eastAsia" w:ascii="宋体" w:hAnsi="宋体"/>
          <w:b/>
          <w:sz w:val="24"/>
        </w:rPr>
      </w:pPr>
      <w:r>
        <w:rPr>
          <w:rFonts w:ascii="宋体" w:hAnsi="宋体"/>
          <w:b/>
          <w:sz w:val="24"/>
        </w:rPr>
        <w:t xml:space="preserve">4、纪律约束：</w:t>
      </w:r>
      <w:r/>
    </w:p>
    <w:p>
      <w:pPr>
        <w:ind w:firstLine="480"/>
        <w:spacing w:line="360" w:lineRule="auto"/>
        <w:rPr>
          <w:rFonts w:hint="eastAsia" w:ascii="宋体" w:hAnsi="宋体"/>
          <w:sz w:val="24"/>
        </w:rPr>
      </w:pPr>
      <w:r>
        <w:rPr>
          <w:rFonts w:ascii="宋体" w:hAnsi="宋体"/>
          <w:sz w:val="24"/>
        </w:rPr>
        <w:t xml:space="preserve">（1）采购单位有权对路灯设施进行改造，管护单位须配合采购单位工作，并对变</w:t>
      </w:r>
      <w:r>
        <w:rPr>
          <w:rFonts w:ascii="宋体" w:hAnsi="宋体"/>
          <w:sz w:val="24"/>
        </w:rPr>
        <w:t xml:space="preserve">更设施量继续承担管护责任；</w:t>
      </w:r>
      <w:r/>
    </w:p>
    <w:p>
      <w:pPr>
        <w:ind w:firstLine="480"/>
        <w:spacing w:line="360" w:lineRule="auto"/>
        <w:rPr>
          <w:rFonts w:hint="eastAsia" w:ascii="宋体" w:hAnsi="宋体"/>
          <w:sz w:val="24"/>
        </w:rPr>
      </w:pPr>
      <w:r>
        <w:rPr>
          <w:rFonts w:ascii="宋体" w:hAnsi="宋体"/>
          <w:sz w:val="24"/>
        </w:rPr>
        <w:t xml:space="preserve">（2）管护单位须确保路灯设施正常运行，确保现场维护人员的安全作业，“无论何种原因”，发生人身安全等责任事故，均由管护单位全部承担。</w:t>
      </w:r>
      <w:r/>
    </w:p>
    <w:p>
      <w:pPr>
        <w:ind w:firstLine="354"/>
        <w:spacing w:line="360" w:lineRule="auto"/>
        <w:rPr>
          <w:rFonts w:hint="eastAsia" w:ascii="宋体" w:hAnsi="宋体"/>
          <w:b/>
          <w:sz w:val="24"/>
        </w:rPr>
      </w:pPr>
      <w:r>
        <w:rPr>
          <w:rFonts w:ascii="宋体" w:hAnsi="宋体"/>
          <w:b/>
          <w:sz w:val="24"/>
        </w:rPr>
        <w:t xml:space="preserve">5、长效管理</w:t>
      </w:r>
      <w:r/>
    </w:p>
    <w:p>
      <w:pPr>
        <w:ind w:firstLine="480"/>
        <w:spacing w:line="360" w:lineRule="auto"/>
        <w:rPr>
          <w:rFonts w:hint="eastAsia" w:ascii="宋体" w:hAnsi="宋体"/>
          <w:sz w:val="24"/>
        </w:rPr>
      </w:pPr>
      <w:r>
        <w:rPr>
          <w:rFonts w:ascii="宋体" w:hAnsi="宋体"/>
          <w:sz w:val="24"/>
        </w:rPr>
        <w:t xml:space="preserve">维护区域发生长效管理案卷、居民投诉、来电报修等应急情况，维护单位必须按照时限要求完成。</w:t>
      </w:r>
      <w:r/>
    </w:p>
    <w:p>
      <w:pPr>
        <w:ind w:firstLine="354"/>
        <w:spacing w:line="360" w:lineRule="auto"/>
        <w:rPr>
          <w:rFonts w:hint="eastAsia" w:ascii="宋体" w:hAnsi="宋体"/>
          <w:b/>
          <w:sz w:val="24"/>
        </w:rPr>
      </w:pPr>
      <w:r>
        <w:rPr>
          <w:rFonts w:ascii="宋体" w:hAnsi="宋体"/>
          <w:b/>
          <w:sz w:val="24"/>
        </w:rPr>
        <w:t xml:space="preserve">6、其他维护说明：</w:t>
      </w:r>
      <w:r/>
    </w:p>
    <w:p>
      <w:pPr>
        <w:ind w:firstLine="480"/>
        <w:spacing w:line="360" w:lineRule="auto"/>
        <w:rPr>
          <w:rFonts w:hint="eastAsia" w:ascii="宋体" w:hAnsi="宋体"/>
          <w:sz w:val="24"/>
        </w:rPr>
      </w:pPr>
      <w:r>
        <w:rPr>
          <w:rFonts w:ascii="宋体" w:hAnsi="宋体"/>
          <w:sz w:val="24"/>
        </w:rPr>
        <w:t xml:space="preserve">1、维护区内的新建路灯在保修期满移交验收合格后由该区管护单位负责维修，维护费用按中标价及实际维护时间计算，管护单位不得拒绝维护。</w:t>
      </w:r>
      <w:r/>
    </w:p>
    <w:p>
      <w:pPr>
        <w:ind w:firstLine="480"/>
        <w:spacing w:line="360" w:lineRule="auto"/>
        <w:rPr>
          <w:rFonts w:hint="eastAsia" w:ascii="宋体" w:hAnsi="宋体"/>
          <w:sz w:val="24"/>
        </w:rPr>
      </w:pPr>
      <w:r>
        <w:rPr>
          <w:rFonts w:ascii="宋体" w:hAnsi="宋体"/>
          <w:sz w:val="24"/>
        </w:rPr>
        <w:t xml:space="preserve">2、管护期内如遇部分路灯设施提升改造、应急抢修等情况，采购单位有权单方面终止该改造部分的维护，维护费用扣除改造部分后再予以支付，管护单位不得因此终止履行该维护合同。</w:t>
      </w:r>
      <w:r/>
    </w:p>
    <w:p>
      <w:pPr>
        <w:ind w:firstLine="480"/>
        <w:spacing w:line="360" w:lineRule="auto"/>
        <w:rPr>
          <w:rFonts w:hint="eastAsia" w:ascii="宋体" w:hAnsi="宋体"/>
          <w:sz w:val="24"/>
        </w:rPr>
      </w:pPr>
      <w:r>
        <w:rPr>
          <w:rFonts w:ascii="宋体" w:hAnsi="宋体"/>
          <w:sz w:val="24"/>
        </w:rPr>
        <w:t xml:space="preserve">3、文明施工：施工应注意保护建筑物及周围环境，以免造成损坏引起漏水、影响市容环境等情况；安装、维修结束后，做好现场卫生清洁工作。在施工过程中发生的所有安全事故等均由管护单位负全部责任。</w:t>
      </w:r>
      <w:r/>
    </w:p>
    <w:p>
      <w:pPr>
        <w:ind w:firstLine="480"/>
        <w:spacing w:line="360" w:lineRule="auto"/>
        <w:rPr>
          <w:rFonts w:hint="eastAsia" w:ascii="宋体" w:hAnsi="宋体"/>
          <w:sz w:val="24"/>
        </w:rPr>
      </w:pPr>
      <w:r>
        <w:rPr>
          <w:rFonts w:ascii="宋体" w:hAnsi="宋体"/>
          <w:sz w:val="24"/>
        </w:rPr>
        <w:t xml:space="preserve">4、对于维护内容、维护要求、台</w:t>
      </w:r>
      <w:r>
        <w:rPr>
          <w:rFonts w:ascii="宋体" w:hAnsi="宋体"/>
          <w:sz w:val="24"/>
        </w:rPr>
        <w:t xml:space="preserve">帐记录</w:t>
      </w:r>
      <w:r>
        <w:rPr>
          <w:rFonts w:ascii="宋体" w:hAnsi="宋体"/>
          <w:sz w:val="24"/>
        </w:rPr>
        <w:t xml:space="preserve">等要求未明细列出的，采购单位有权根据《江苏省城市照明设施优质管护片》、江苏省城市道路照明技术规范DGJ32/TC 06-2011等相关行业规范、标准提出新的要求，成交供应商需无条件响应采购单位的要求。</w:t>
      </w:r>
      <w:r/>
    </w:p>
    <w:p>
      <w:pPr>
        <w:spacing w:line="360" w:lineRule="auto"/>
        <w:rPr>
          <w:rFonts w:hint="eastAsia" w:ascii="宋体" w:hAnsi="宋体"/>
          <w:b/>
          <w:sz w:val="24"/>
        </w:rPr>
      </w:pPr>
      <w:r>
        <w:rPr>
          <w:rFonts w:ascii="宋体" w:hAnsi="宋体"/>
          <w:b/>
          <w:sz w:val="24"/>
        </w:rPr>
        <w:t xml:space="preserve">五、结算条款</w:t>
      </w:r>
      <w:r/>
    </w:p>
    <w:p>
      <w:pPr>
        <w:ind w:firstLine="480"/>
        <w:spacing w:line="360" w:lineRule="auto"/>
        <w:rPr>
          <w:rFonts w:hint="eastAsia" w:ascii="宋体" w:hAnsi="宋体"/>
          <w:sz w:val="24"/>
          <w:u w:val="single"/>
        </w:rPr>
      </w:pPr>
      <w:r>
        <w:rPr>
          <w:rFonts w:ascii="宋体" w:hAnsi="宋体"/>
          <w:sz w:val="24"/>
          <w:u w:val="single"/>
        </w:rPr>
        <w:t xml:space="preserve">本项目合同价款分为日常巡检维修费用和改造工程费用，均采用固定折扣率合同。</w:t>
      </w:r>
      <w:r/>
    </w:p>
    <w:p>
      <w:pPr>
        <w:ind w:firstLine="480"/>
        <w:spacing w:line="360" w:lineRule="auto"/>
        <w:rPr>
          <w:rFonts w:hint="eastAsia" w:ascii="宋体" w:hAnsi="宋体"/>
          <w:sz w:val="24"/>
          <w:u w:val="single"/>
        </w:rPr>
      </w:pPr>
      <w:r>
        <w:rPr>
          <w:rFonts w:ascii="宋体" w:hAnsi="宋体"/>
          <w:sz w:val="24"/>
          <w:u w:val="single"/>
        </w:rPr>
        <w:t xml:space="preserve">1、日常巡检维修费用：包括设备费、辅助材料、配件等费用以及安装、调试、维修、维护等费用，24小时值班人员费用以及非正常损坏的风险、人工、机械、运输、巡查监管车辆（电轿）租赁、维修、保养费、仓储、保险、运费、各种税费、劳保、安全费等一切费用。</w:t>
      </w:r>
      <w:r/>
    </w:p>
    <w:p>
      <w:pPr>
        <w:ind w:firstLine="480"/>
        <w:spacing w:line="360" w:lineRule="auto"/>
        <w:rPr>
          <w:rFonts w:hint="eastAsia" w:ascii="宋体" w:hAnsi="宋体"/>
          <w:sz w:val="24"/>
          <w:u w:val="single"/>
        </w:rPr>
      </w:pPr>
      <w:r>
        <w:rPr>
          <w:rFonts w:ascii="宋体" w:hAnsi="宋体"/>
          <w:sz w:val="24"/>
          <w:u w:val="single"/>
        </w:rPr>
        <w:t xml:space="preserve">（1）工程量：</w:t>
      </w:r>
      <w:r>
        <w:rPr>
          <w:rFonts w:ascii="宋体" w:hAnsi="宋体"/>
          <w:sz w:val="24"/>
          <w:u w:val="single"/>
        </w:rPr>
        <w:t xml:space="preserve">按实际完成的路灯维护的合格工作量，招标数量暂按3951盏路灯计。</w:t>
      </w:r>
      <w:r/>
    </w:p>
    <w:p>
      <w:pPr>
        <w:ind w:firstLine="480"/>
        <w:spacing w:line="360" w:lineRule="auto"/>
        <w:rPr>
          <w:rFonts w:hint="eastAsia" w:ascii="宋体" w:hAnsi="宋体"/>
          <w:sz w:val="24"/>
          <w:u w:val="single"/>
        </w:rPr>
      </w:pPr>
      <w:r>
        <w:rPr>
          <w:rFonts w:ascii="宋体" w:hAnsi="宋体"/>
          <w:sz w:val="24"/>
          <w:u w:val="single"/>
        </w:rPr>
        <w:t xml:space="preserve">（2）结算单价：按</w:t>
      </w:r>
      <w:r>
        <w:rPr>
          <w:rFonts w:ascii="宋体" w:hAnsi="宋体"/>
          <w:sz w:val="24"/>
          <w:u w:val="single"/>
        </w:rPr>
        <w:t xml:space="preserve">70元/盏</w:t>
      </w:r>
      <w:r>
        <w:rPr>
          <w:rFonts w:ascii="宋体" w:hAnsi="宋体"/>
          <w:sz w:val="24"/>
          <w:u w:val="single"/>
        </w:rPr>
        <w:t xml:space="preserve">×</w:t>
      </w:r>
      <w:r>
        <w:rPr>
          <w:rFonts w:hint="eastAsia" w:ascii="宋体" w:hAnsi="宋体"/>
          <w:sz w:val="24"/>
          <w:u w:val="single"/>
        </w:rPr>
        <w:t xml:space="preserve">（1-中标优惠率）</w:t>
      </w:r>
      <w:r>
        <w:rPr>
          <w:rFonts w:ascii="宋体" w:hAnsi="宋体"/>
          <w:sz w:val="24"/>
          <w:u w:val="single"/>
        </w:rPr>
        <w:t xml:space="preserve">，此单价不作调整。</w:t>
      </w:r>
      <w:r/>
    </w:p>
    <w:p>
      <w:pPr>
        <w:ind w:firstLine="480"/>
        <w:spacing w:line="360" w:lineRule="auto"/>
        <w:rPr>
          <w:rFonts w:hint="eastAsia" w:ascii="宋体" w:hAnsi="宋体"/>
          <w:sz w:val="24"/>
          <w:u w:val="single"/>
        </w:rPr>
      </w:pPr>
      <w:r>
        <w:rPr>
          <w:rFonts w:ascii="宋体" w:hAnsi="宋体"/>
          <w:sz w:val="24"/>
          <w:u w:val="single"/>
        </w:rPr>
        <w:t xml:space="preserve">（3）其他说明：日常巡检维修费用所述设备费不包括更换如下全新设备：灯杆、LED灯头、钠灯整套电器及光源、</w:t>
      </w:r>
      <w:r>
        <w:rPr>
          <w:rFonts w:ascii="宋体" w:hAnsi="宋体"/>
          <w:sz w:val="24"/>
          <w:u w:val="single"/>
        </w:rPr>
        <w:t xml:space="preserve">路灯电</w:t>
      </w:r>
      <w:r>
        <w:rPr>
          <w:rFonts w:ascii="宋体" w:hAnsi="宋体"/>
          <w:sz w:val="24"/>
          <w:u w:val="single"/>
        </w:rPr>
        <w:t xml:space="preserve">箱内元器件、箱变、电力电缆及电缆头等。该部分内容参照下述“改造工程费用”第1-5项要求执行，以独立费（</w:t>
      </w:r>
      <w:r>
        <w:rPr>
          <w:rFonts w:ascii="宋体" w:hAnsi="宋体"/>
          <w:sz w:val="24"/>
          <w:u w:val="single"/>
        </w:rPr>
        <w:t xml:space="preserve">仅计主材</w:t>
      </w:r>
      <w:r>
        <w:rPr>
          <w:rFonts w:ascii="宋体" w:hAnsi="宋体"/>
          <w:sz w:val="24"/>
          <w:u w:val="single"/>
        </w:rPr>
        <w:t xml:space="preserve">，不计</w:t>
      </w:r>
      <w:r>
        <w:rPr>
          <w:rFonts w:ascii="宋体" w:hAnsi="宋体"/>
          <w:sz w:val="24"/>
          <w:u w:val="single"/>
        </w:rPr>
        <w:t xml:space="preserve">算人工费、机械费）的形式计算在分部分项费用中，并按规定计取</w:t>
      </w:r>
      <w:r>
        <w:rPr>
          <w:rFonts w:ascii="宋体" w:hAnsi="宋体"/>
          <w:sz w:val="24"/>
          <w:u w:val="single"/>
        </w:rPr>
        <w:t xml:space="preserve">规</w:t>
      </w:r>
      <w:r>
        <w:rPr>
          <w:rFonts w:ascii="宋体" w:hAnsi="宋体"/>
          <w:sz w:val="24"/>
          <w:u w:val="single"/>
        </w:rPr>
        <w:t xml:space="preserve">费（不计措施费）和税金。</w:t>
      </w:r>
      <w:r/>
    </w:p>
    <w:p>
      <w:pPr>
        <w:ind w:firstLine="480"/>
        <w:spacing w:line="360" w:lineRule="auto"/>
        <w:rPr>
          <w:rFonts w:hint="eastAsia" w:ascii="宋体" w:hAnsi="宋体"/>
          <w:sz w:val="24"/>
          <w:u w:val="single"/>
        </w:rPr>
      </w:pPr>
      <w:r>
        <w:rPr>
          <w:rFonts w:ascii="宋体" w:hAnsi="宋体"/>
          <w:sz w:val="24"/>
          <w:u w:val="single"/>
        </w:rPr>
        <w:t xml:space="preserve">2、</w:t>
      </w:r>
      <w:r>
        <w:rPr>
          <w:rFonts w:hint="eastAsia" w:ascii="宋体" w:hAnsi="宋体"/>
          <w:sz w:val="24"/>
          <w:u w:val="single"/>
        </w:rPr>
        <w:t xml:space="preserve">临时</w:t>
      </w:r>
      <w:r>
        <w:rPr>
          <w:rFonts w:ascii="宋体" w:hAnsi="宋体"/>
          <w:sz w:val="24"/>
          <w:u w:val="single"/>
        </w:rPr>
        <w:t xml:space="preserve">改造费用：因交通事故、道路改造等原因造成的路灯设施拆移、修复费用，供应商必须配合采购人并负责施工（施工费用不包含在采购范围内，另外结算），供应商不得拒绝施工。具体结算办法详见如下说明：</w:t>
      </w:r>
      <w:r/>
    </w:p>
    <w:p>
      <w:pPr>
        <w:ind w:firstLine="480"/>
        <w:spacing w:line="360" w:lineRule="auto"/>
        <w:rPr>
          <w:rFonts w:hint="eastAsia" w:ascii="宋体" w:hAnsi="宋体"/>
          <w:sz w:val="24"/>
          <w:u w:val="single"/>
        </w:rPr>
      </w:pPr>
      <w:r>
        <w:rPr>
          <w:rFonts w:ascii="宋体" w:hAnsi="宋体"/>
          <w:sz w:val="24"/>
          <w:u w:val="single"/>
        </w:rPr>
        <w:t xml:space="preserve">（1）工程量：供应商将完成的工程量编制</w:t>
      </w:r>
      <w:r>
        <w:rPr>
          <w:rFonts w:ascii="宋体" w:hAnsi="宋体"/>
          <w:sz w:val="24"/>
          <w:u w:val="single"/>
        </w:rPr>
        <w:t xml:space="preserve">成工程</w:t>
      </w:r>
      <w:r>
        <w:rPr>
          <w:rFonts w:ascii="宋体" w:hAnsi="宋体"/>
          <w:sz w:val="24"/>
          <w:u w:val="single"/>
        </w:rPr>
        <w:t xml:space="preserve">量签证单，交采购人确认，经采购人相关人员和审计单位审核无异议后，计为供应商签证工程量。</w:t>
      </w:r>
      <w:r/>
    </w:p>
    <w:p>
      <w:pPr>
        <w:ind w:firstLine="480"/>
        <w:spacing w:line="360" w:lineRule="auto"/>
        <w:rPr>
          <w:rFonts w:hint="eastAsia" w:ascii="宋体" w:hAnsi="宋体"/>
          <w:sz w:val="24"/>
          <w:u w:val="single"/>
        </w:rPr>
      </w:pPr>
      <w:r>
        <w:rPr>
          <w:rFonts w:ascii="宋体" w:hAnsi="宋体"/>
          <w:sz w:val="24"/>
          <w:u w:val="single"/>
        </w:rPr>
        <w:t xml:space="preserve">（2）结算单价：按《江苏省市政工程计价定额(2014版)》编制。其中；定额人工工资按江苏省人工工资指导价，材料价格按施工当期的常州工程造价信息预算指导价，</w:t>
      </w:r>
      <w:r>
        <w:rPr>
          <w:rFonts w:ascii="宋体" w:hAnsi="宋体"/>
          <w:sz w:val="24"/>
          <w:u w:val="single"/>
        </w:rPr>
        <w:t xml:space="preserve">信息价</w:t>
      </w:r>
      <w:r>
        <w:rPr>
          <w:rFonts w:ascii="宋体" w:hAnsi="宋体"/>
          <w:sz w:val="24"/>
          <w:u w:val="single"/>
        </w:rPr>
        <w:t xml:space="preserve">中没有的材料价格的确定由供应商提出，经采购人和审计单位市场询价调研后确定。</w:t>
      </w:r>
      <w:r/>
    </w:p>
    <w:p>
      <w:pPr>
        <w:ind w:firstLine="480"/>
        <w:spacing w:line="360" w:lineRule="auto"/>
        <w:rPr>
          <w:rFonts w:hint="eastAsia" w:ascii="宋体" w:hAnsi="宋体"/>
          <w:sz w:val="24"/>
          <w:u w:val="single"/>
        </w:rPr>
      </w:pPr>
      <w:r>
        <w:rPr>
          <w:rFonts w:ascii="宋体" w:hAnsi="宋体"/>
          <w:sz w:val="24"/>
          <w:u w:val="single"/>
        </w:rPr>
        <w:t xml:space="preserve">（3）无法套用定额或不适合套用定额的单价，依据市场独立费单价，经采购人和审计单位共同确认后执行。</w:t>
      </w:r>
      <w:r/>
    </w:p>
    <w:p>
      <w:pPr>
        <w:ind w:firstLine="480"/>
        <w:spacing w:line="360" w:lineRule="auto"/>
        <w:rPr>
          <w:rFonts w:hint="eastAsia" w:ascii="宋体" w:hAnsi="宋体"/>
          <w:sz w:val="24"/>
          <w:u w:val="single"/>
        </w:rPr>
      </w:pPr>
      <w:r>
        <w:rPr>
          <w:rFonts w:ascii="宋体" w:hAnsi="宋体"/>
          <w:sz w:val="24"/>
          <w:u w:val="single"/>
        </w:rPr>
        <w:t xml:space="preserve">（4）措施费计取：按相关文件执行。</w:t>
      </w:r>
      <w:r/>
    </w:p>
    <w:p>
      <w:pPr>
        <w:ind w:firstLine="480"/>
        <w:spacing w:line="360" w:lineRule="auto"/>
        <w:rPr>
          <w:rFonts w:hint="eastAsia" w:ascii="宋体" w:hAnsi="宋体"/>
          <w:sz w:val="24"/>
          <w:u w:val="single"/>
        </w:rPr>
      </w:pPr>
      <w:r>
        <w:rPr>
          <w:rFonts w:ascii="宋体" w:hAnsi="宋体"/>
          <w:sz w:val="24"/>
          <w:u w:val="single"/>
        </w:rPr>
        <w:t xml:space="preserve">（5）各项</w:t>
      </w:r>
      <w:r>
        <w:rPr>
          <w:rFonts w:ascii="宋体" w:hAnsi="宋体"/>
          <w:sz w:val="24"/>
          <w:u w:val="single"/>
        </w:rPr>
        <w:t xml:space="preserve">规</w:t>
      </w:r>
      <w:r>
        <w:rPr>
          <w:rFonts w:ascii="宋体" w:hAnsi="宋体"/>
          <w:sz w:val="24"/>
          <w:u w:val="single"/>
        </w:rPr>
        <w:t xml:space="preserve">费及税金取定：安全文明施工费及各项</w:t>
      </w:r>
      <w:r>
        <w:rPr>
          <w:rFonts w:ascii="宋体" w:hAnsi="宋体"/>
          <w:sz w:val="24"/>
          <w:u w:val="single"/>
        </w:rPr>
        <w:t xml:space="preserve">规</w:t>
      </w:r>
      <w:r>
        <w:rPr>
          <w:rFonts w:ascii="宋体" w:hAnsi="宋体"/>
          <w:sz w:val="24"/>
          <w:u w:val="single"/>
        </w:rPr>
        <w:t xml:space="preserve">费及税金的计取，按相关文件执行。</w:t>
      </w:r>
      <w:r/>
    </w:p>
    <w:p>
      <w:pPr>
        <w:ind w:firstLine="480"/>
        <w:spacing w:line="360" w:lineRule="auto"/>
        <w:rPr>
          <w:rFonts w:hint="eastAsia" w:ascii="宋体" w:hAnsi="宋体"/>
          <w:sz w:val="24"/>
          <w:u w:val="single"/>
        </w:rPr>
      </w:pPr>
      <w:r>
        <w:rPr>
          <w:rFonts w:ascii="宋体" w:hAnsi="宋体"/>
          <w:sz w:val="24"/>
          <w:u w:val="single"/>
        </w:rPr>
        <w:t xml:space="preserve">（6）按上述1-5项按实结算后，结算总价×</w:t>
      </w:r>
      <w:r>
        <w:rPr>
          <w:rFonts w:hint="eastAsia" w:ascii="宋体" w:hAnsi="宋体"/>
          <w:sz w:val="24"/>
          <w:u w:val="single"/>
        </w:rPr>
        <w:t xml:space="preserve">（1-中标优惠率）</w:t>
      </w:r>
      <w:r>
        <w:rPr>
          <w:rFonts w:ascii="宋体" w:hAnsi="宋体"/>
          <w:sz w:val="24"/>
          <w:u w:val="single"/>
        </w:rPr>
        <w:t xml:space="preserve">，作为最终结算价。</w:t>
      </w:r>
      <w:r/>
    </w:p>
    <w:p>
      <w:pPr>
        <w:spacing w:line="360" w:lineRule="auto"/>
        <w:rPr>
          <w:rFonts w:hint="eastAsia" w:ascii="宋体" w:hAnsi="宋体"/>
          <w:b/>
          <w:sz w:val="24"/>
        </w:rPr>
      </w:pPr>
      <w:r>
        <w:rPr>
          <w:rFonts w:ascii="宋体" w:hAnsi="宋体"/>
          <w:b/>
          <w:sz w:val="24"/>
        </w:rPr>
        <w:t xml:space="preserve">六、报价说明 </w:t>
      </w:r>
      <w:r/>
    </w:p>
    <w:p>
      <w:pPr>
        <w:ind w:firstLine="480"/>
        <w:spacing w:line="360" w:lineRule="auto"/>
        <w:rPr>
          <w:rFonts w:hint="eastAsia" w:ascii="宋体" w:hAnsi="宋体"/>
          <w:sz w:val="24"/>
        </w:rPr>
      </w:pPr>
      <w:r>
        <w:rPr>
          <w:rFonts w:ascii="宋体" w:hAnsi="宋体"/>
          <w:sz w:val="24"/>
        </w:rPr>
        <w:t xml:space="preserve">投标报价应包括全部标的物辅助材料、配件等的费用以及安装、调试、维修、维护等费用、24小时值班人员费用以及非正常损坏的风险、人工、机械、运输、巡查监管车辆（电轿）租赁、维修、保养费、仓储、保险、运费、各种税费、劳保、安全费等一切费用。</w:t>
      </w:r>
      <w:r/>
    </w:p>
    <w:p>
      <w:pPr>
        <w:spacing w:line="360" w:lineRule="auto"/>
        <w:rPr>
          <w:rFonts w:hint="eastAsia" w:ascii="宋体" w:hAnsi="宋体"/>
          <w:b/>
          <w:sz w:val="24"/>
        </w:rPr>
      </w:pPr>
      <w:r>
        <w:rPr>
          <w:rFonts w:ascii="宋体" w:hAnsi="宋体"/>
          <w:b/>
          <w:sz w:val="24"/>
        </w:rPr>
        <w:t xml:space="preserve">七、考核办法及标准</w:t>
      </w:r>
      <w:r/>
    </w:p>
    <w:p>
      <w:pPr>
        <w:ind w:firstLine="480"/>
        <w:spacing w:line="360" w:lineRule="auto"/>
        <w:rPr>
          <w:rFonts w:hint="eastAsia" w:ascii="宋体" w:hAnsi="宋体"/>
          <w:sz w:val="24"/>
        </w:rPr>
      </w:pPr>
      <w:r>
        <w:rPr>
          <w:rFonts w:ascii="宋体" w:hAnsi="宋体"/>
          <w:sz w:val="24"/>
        </w:rPr>
        <w:t xml:space="preserve">采购人采用日常考核和综合考核两种考核办法对照明设施维护进行考核，日常考核以直接扣款为主，因维护不力导致采购单位扣款的，维护单位必须在考核通知下发一周内上交相关款项。采购人有权根据城市长效管理精细化管理要求的不断提高修正考核办法，包括但不限于增加考核内容、提高考核标准等。</w:t>
      </w:r>
      <w:r/>
    </w:p>
    <w:p>
      <w:pPr>
        <w:spacing w:line="360" w:lineRule="auto"/>
        <w:rPr>
          <w:rFonts w:hint="eastAsia" w:ascii="宋体" w:hAnsi="宋体"/>
          <w:b/>
          <w:sz w:val="24"/>
        </w:rPr>
      </w:pPr>
      <w:r>
        <w:rPr>
          <w:rFonts w:ascii="宋体" w:hAnsi="宋体"/>
          <w:b/>
          <w:sz w:val="24"/>
        </w:rPr>
        <w:t xml:space="preserve">八、合同签订前注意事项</w:t>
      </w:r>
      <w:r/>
    </w:p>
    <w:p>
      <w:pPr>
        <w:ind w:firstLine="480"/>
        <w:spacing w:line="360" w:lineRule="auto"/>
        <w:rPr>
          <w:rFonts w:hint="eastAsia" w:ascii="宋体" w:hAnsi="宋体"/>
          <w:sz w:val="24"/>
        </w:rPr>
      </w:pPr>
      <w:r>
        <w:rPr>
          <w:rFonts w:ascii="宋体" w:hAnsi="宋体"/>
          <w:sz w:val="24"/>
        </w:rPr>
        <w:t xml:space="preserve">供应商必须在中标通知书发出15天内在前黄镇范围内设立固定办公场所及堆放器具的仓库（自有或租赁，自有提供房产证原件、租赁提供租赁合同为依据），固定场</w:t>
      </w:r>
      <w:r>
        <w:rPr>
          <w:rFonts w:ascii="宋体" w:hAnsi="宋体"/>
          <w:sz w:val="24"/>
        </w:rPr>
        <w:t xml:space="preserve">所面积不少于</w:t>
      </w:r>
      <w:r>
        <w:rPr>
          <w:rFonts w:ascii="宋体" w:hAnsi="宋体"/>
          <w:sz w:val="24"/>
          <w:u w:val="single"/>
        </w:rPr>
        <w:t xml:space="preserve">200</w:t>
      </w:r>
      <w:r>
        <w:rPr>
          <w:rFonts w:ascii="宋体" w:hAnsi="宋体"/>
          <w:sz w:val="24"/>
        </w:rPr>
        <w:t xml:space="preserve">平方米，由采购人现场核实确认，如不能满足要求的，采购人有权取消其中标资格。</w:t>
      </w:r>
      <w:r/>
    </w:p>
    <w:p>
      <w:pPr>
        <w:ind w:firstLine="480"/>
        <w:spacing w:line="360" w:lineRule="auto"/>
        <w:rPr>
          <w:rFonts w:hint="eastAsia" w:ascii="宋体" w:hAnsi="宋体"/>
          <w:sz w:val="24"/>
        </w:rPr>
      </w:pPr>
      <w:r>
        <w:rPr>
          <w:rFonts w:ascii="宋体" w:hAnsi="宋体"/>
          <w:sz w:val="24"/>
        </w:rPr>
        <w:t xml:space="preserve">采购人保留对投标文件里注明的人员、机械所有证件现场核实确认的权利，如不能满足要求的，采购人有权取消其中标资格。</w:t>
      </w:r>
      <w:r/>
    </w:p>
    <w:p>
      <w:pPr>
        <w:pStyle w:val="1035"/>
        <w:contextualSpacing/>
        <w:spacing w:line="360" w:lineRule="auto"/>
        <w:rPr>
          <w:szCs w:val="21"/>
        </w:rPr>
      </w:pPr>
      <w:r>
        <w:rPr>
          <w:szCs w:val="21"/>
        </w:rPr>
      </w:r>
      <w:r/>
    </w:p>
    <w:p>
      <w:pPr>
        <w:pStyle w:val="1035"/>
        <w:contextualSpacing/>
        <w:spacing w:line="360" w:lineRule="auto"/>
        <w:rPr>
          <w:szCs w:val="21"/>
        </w:rPr>
      </w:pPr>
      <w:r>
        <w:rPr>
          <w:szCs w:val="21"/>
        </w:rPr>
      </w:r>
      <w:r/>
    </w:p>
    <w:p>
      <w:pPr>
        <w:ind w:firstLine="480"/>
        <w:spacing w:line="400" w:lineRule="exact"/>
        <w:tabs>
          <w:tab w:val="left" w:pos="284" w:leader="none"/>
        </w:tabs>
        <w:rPr>
          <w:rFonts w:hint="eastAsia" w:ascii="宋体" w:hAnsi="宋体" w:cs="宋体"/>
          <w:sz w:val="24"/>
        </w:rPr>
      </w:pPr>
      <w:r>
        <w:rPr>
          <w:rFonts w:hint="eastAsia" w:ascii="宋体" w:hAnsi="宋体" w:cs="宋体"/>
          <w:sz w:val="24"/>
        </w:rPr>
        <w:t xml:space="preserve">按照《政府采购促进中小企业发展管理办法》（财库</w:t>
      </w:r>
      <w:r>
        <w:rPr>
          <w:rFonts w:ascii="宋体" w:hAnsi="宋体" w:cs="宋体"/>
          <w:sz w:val="24"/>
        </w:rPr>
        <w:t xml:space="preserve">〔20</w:t>
      </w:r>
      <w:r>
        <w:rPr>
          <w:rFonts w:hint="eastAsia" w:ascii="宋体" w:hAnsi="宋体" w:cs="宋体"/>
          <w:sz w:val="24"/>
        </w:rPr>
        <w:t xml:space="preserve">20</w:t>
      </w:r>
      <w:r>
        <w:rPr>
          <w:rFonts w:ascii="宋体" w:hAnsi="宋体" w:cs="宋体"/>
          <w:sz w:val="24"/>
        </w:rPr>
        <w:t xml:space="preserve">〕</w:t>
      </w:r>
      <w:r>
        <w:rPr>
          <w:rFonts w:hint="eastAsia" w:ascii="宋体" w:hAnsi="宋体" w:cs="宋体"/>
          <w:sz w:val="24"/>
        </w:rPr>
        <w:t xml:space="preserve">46</w:t>
      </w:r>
      <w:r>
        <w:rPr>
          <w:rFonts w:ascii="宋体" w:hAnsi="宋体" w:cs="宋体"/>
          <w:sz w:val="24"/>
        </w:rPr>
        <w:t xml:space="preserve">号</w:t>
      </w:r>
      <w:r>
        <w:rPr>
          <w:rFonts w:hint="eastAsia" w:ascii="宋体" w:hAnsi="宋体" w:cs="宋体"/>
          <w:sz w:val="24"/>
        </w:rPr>
        <w:t xml:space="preserve">）的相关要求，采购人应当面向中小企业预留采购份额，本项目面向中小企业预留份额</w:t>
      </w:r>
      <w:r>
        <w:rPr>
          <w:rFonts w:hint="eastAsia" w:ascii="宋体" w:hAnsi="宋体" w:cs="宋体"/>
          <w:sz w:val="24"/>
          <w:u w:val="single"/>
        </w:rPr>
        <w:t xml:space="preserve"> 100</w:t>
      </w:r>
      <w:r>
        <w:rPr>
          <w:rFonts w:ascii="宋体" w:hAnsi="宋体" w:cs="宋体"/>
          <w:sz w:val="24"/>
          <w:u w:val="single"/>
        </w:rPr>
        <w:t xml:space="preserve"> </w:t>
      </w:r>
      <w:r>
        <w:rPr>
          <w:rFonts w:hint="eastAsia" w:ascii="宋体" w:hAnsi="宋体" w:cs="宋体"/>
          <w:sz w:val="24"/>
        </w:rPr>
        <w:t xml:space="preserve">%。本项目已于2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3</w:t>
      </w:r>
      <w:r>
        <w:rPr>
          <w:rFonts w:hint="eastAsia" w:ascii="宋体" w:hAnsi="宋体" w:cs="宋体"/>
          <w:sz w:val="24"/>
        </w:rPr>
        <w:t xml:space="preserve">月</w:t>
      </w:r>
      <w:r>
        <w:rPr>
          <w:rFonts w:hint="eastAsia" w:ascii="宋体" w:hAnsi="宋体" w:cs="宋体"/>
          <w:sz w:val="24"/>
        </w:rPr>
        <w:t xml:space="preserve">3</w:t>
      </w:r>
      <w:r>
        <w:rPr>
          <w:rFonts w:hint="eastAsia" w:ascii="宋体" w:hAnsi="宋体" w:cs="宋体"/>
          <w:sz w:val="24"/>
        </w:rPr>
        <w:t xml:space="preserve">日在常州市政府采购网中予以公示。</w:t>
      </w:r>
      <w:r/>
    </w:p>
    <w:p>
      <w:pPr>
        <w:pStyle w:val="1013"/>
        <w:rPr>
          <w:u w:val="none"/>
        </w:rPr>
      </w:pPr>
      <w:r>
        <w:rPr>
          <w:rFonts w:hint="eastAsia"/>
          <w:u w:val="none"/>
        </w:rPr>
        <w:br w:type="page" w:clear="all"/>
      </w:r>
      <w:r/>
    </w:p>
    <w:p>
      <w:pPr>
        <w:jc w:val="left"/>
        <w:keepLines/>
        <w:keepNext/>
        <w:spacing w:before="120" w:line="300" w:lineRule="auto"/>
        <w:rPr>
          <w:b/>
          <w:spacing w:val="20"/>
          <w:sz w:val="24"/>
        </w:rPr>
        <w:outlineLvl w:val="1"/>
      </w:pPr>
      <w:r>
        <w:rPr>
          <w:rFonts w:hint="eastAsia"/>
          <w:b/>
          <w:spacing w:val="20"/>
          <w:sz w:val="24"/>
        </w:rPr>
        <w:t xml:space="preserve">附件</w:t>
      </w:r>
      <w:r>
        <w:rPr>
          <w:rFonts w:hint="eastAsia"/>
          <w:b/>
          <w:spacing w:val="20"/>
          <w:sz w:val="24"/>
        </w:rPr>
        <w:t xml:space="preserve">1</w:t>
      </w:r>
      <w:r>
        <w:rPr>
          <w:rFonts w:hint="eastAsia"/>
          <w:b/>
          <w:spacing w:val="20"/>
          <w:sz w:val="24"/>
        </w:rPr>
        <w:t xml:space="preserve">、</w:t>
      </w:r>
      <w:r>
        <w:rPr>
          <w:b/>
          <w:spacing w:val="20"/>
          <w:sz w:val="24"/>
        </w:rPr>
        <w:t xml:space="preserve">城市照明维护管理办法</w:t>
      </w:r>
      <w:r/>
    </w:p>
    <w:p>
      <w:pPr>
        <w:ind w:firstLine="480"/>
        <w:jc w:val="left"/>
        <w:spacing w:line="360" w:lineRule="exact"/>
        <w:rPr>
          <w:rFonts w:hint="eastAsia" w:ascii="宋体" w:hAnsi="宋体"/>
          <w:sz w:val="24"/>
        </w:rPr>
      </w:pPr>
      <w:r>
        <w:rPr>
          <w:rFonts w:ascii="宋体" w:hAnsi="宋体"/>
          <w:sz w:val="24"/>
        </w:rPr>
        <w:t xml:space="preserve">为提高城市照明维护管理水平，使城市照明设施更好地服务发展、服务社会、服务群众，结合单位工作实际，特制订本管理办法。</w:t>
      </w:r>
      <w:r/>
    </w:p>
    <w:p>
      <w:pPr>
        <w:ind w:firstLine="480"/>
        <w:jc w:val="left"/>
        <w:spacing w:line="360" w:lineRule="exact"/>
        <w:rPr>
          <w:rFonts w:hint="eastAsia" w:ascii="宋体" w:hAnsi="宋体"/>
          <w:sz w:val="24"/>
        </w:rPr>
      </w:pPr>
      <w:r>
        <w:rPr>
          <w:rFonts w:ascii="宋体" w:hAnsi="宋体"/>
          <w:sz w:val="24"/>
        </w:rPr>
        <w:t xml:space="preserve">一、城市照明设施的维护应严格遵循国家住房和城乡建设部、江苏省住房和城乡建设厅及本市有关维护指标、工作规范、规程和质量要求，确保我区城市照明设施高标准、高质量的安全运行。</w:t>
      </w:r>
      <w:r/>
    </w:p>
    <w:p>
      <w:pPr>
        <w:ind w:firstLine="480"/>
        <w:jc w:val="left"/>
        <w:spacing w:line="360" w:lineRule="exact"/>
        <w:rPr>
          <w:rFonts w:hint="eastAsia" w:ascii="宋体" w:hAnsi="宋体"/>
          <w:sz w:val="24"/>
        </w:rPr>
      </w:pPr>
      <w:r>
        <w:rPr>
          <w:rFonts w:hint="eastAsia" w:ascii="宋体" w:hAnsi="宋体"/>
          <w:sz w:val="24"/>
        </w:rPr>
        <w:t xml:space="preserve">二</w:t>
      </w:r>
      <w:r>
        <w:rPr>
          <w:rFonts w:ascii="宋体" w:hAnsi="宋体"/>
          <w:sz w:val="24"/>
        </w:rPr>
        <w:t xml:space="preserve">、由甲方相关部门负责日常运行、维护的考核管理等工作。城市照明设施维修养护考核指标为：</w:t>
      </w:r>
      <w:r/>
    </w:p>
    <w:p>
      <w:pPr>
        <w:ind w:firstLine="480"/>
        <w:jc w:val="left"/>
        <w:spacing w:line="360" w:lineRule="exact"/>
        <w:rPr>
          <w:rFonts w:hint="eastAsia" w:ascii="宋体" w:hAnsi="宋体"/>
          <w:sz w:val="24"/>
        </w:rPr>
      </w:pPr>
      <w:r>
        <w:rPr>
          <w:rFonts w:ascii="宋体" w:hAnsi="宋体"/>
          <w:sz w:val="24"/>
        </w:rPr>
        <w:t xml:space="preserve">1、亮灯率：                       </w:t>
      </w:r>
      <w:r/>
    </w:p>
    <w:p>
      <w:pPr>
        <w:ind w:firstLine="480"/>
        <w:jc w:val="left"/>
        <w:spacing w:line="360" w:lineRule="exact"/>
        <w:rPr>
          <w:rFonts w:hint="eastAsia" w:ascii="宋体" w:hAnsi="宋体"/>
          <w:sz w:val="24"/>
        </w:rPr>
      </w:pPr>
      <w:r>
        <w:rPr>
          <w:rFonts w:ascii="宋体" w:hAnsi="宋体"/>
          <w:sz w:val="24"/>
        </w:rPr>
        <w:t xml:space="preserve">道路照</w:t>
      </w:r>
      <w:r>
        <w:rPr>
          <w:rFonts w:ascii="宋体" w:hAnsi="宋体"/>
          <w:sz w:val="24"/>
        </w:rPr>
        <w:t xml:space="preserve">明亮灯率</w:t>
      </w:r>
      <w:r>
        <w:rPr>
          <w:rFonts w:ascii="宋体" w:hAnsi="宋体"/>
          <w:sz w:val="24"/>
        </w:rPr>
        <w:t xml:space="preserve">≥98%</w:t>
      </w:r>
      <w:r/>
    </w:p>
    <w:p>
      <w:pPr>
        <w:ind w:firstLine="480"/>
        <w:jc w:val="left"/>
        <w:spacing w:line="360" w:lineRule="exact"/>
        <w:rPr>
          <w:rFonts w:hint="eastAsia" w:ascii="宋体" w:hAnsi="宋体"/>
          <w:sz w:val="24"/>
        </w:rPr>
      </w:pPr>
      <w:r>
        <w:rPr>
          <w:rFonts w:ascii="宋体" w:hAnsi="宋体"/>
          <w:sz w:val="24"/>
        </w:rPr>
        <w:t xml:space="preserve">2、设施完好</w:t>
      </w:r>
      <w:r/>
    </w:p>
    <w:p>
      <w:pPr>
        <w:ind w:firstLine="480"/>
        <w:jc w:val="left"/>
        <w:spacing w:line="360" w:lineRule="exact"/>
        <w:rPr>
          <w:rFonts w:hint="eastAsia" w:ascii="宋体" w:hAnsi="宋体"/>
          <w:sz w:val="24"/>
        </w:rPr>
      </w:pPr>
      <w:r>
        <w:rPr>
          <w:rFonts w:ascii="宋体" w:hAnsi="宋体"/>
          <w:sz w:val="24"/>
        </w:rPr>
        <w:t xml:space="preserve">对城市照明设施的缺失、拆移、出线回路变更、私拉乱接等现象进行考核 。</w:t>
      </w:r>
      <w:r/>
    </w:p>
    <w:p>
      <w:pPr>
        <w:ind w:firstLine="480"/>
        <w:jc w:val="left"/>
        <w:spacing w:line="360" w:lineRule="exact"/>
        <w:rPr>
          <w:rFonts w:hint="eastAsia" w:ascii="宋体" w:hAnsi="宋体"/>
          <w:sz w:val="24"/>
        </w:rPr>
      </w:pPr>
      <w:r>
        <w:rPr>
          <w:rFonts w:ascii="宋体" w:hAnsi="宋体"/>
          <w:sz w:val="24"/>
        </w:rPr>
        <w:t xml:space="preserve">3、交办事项办理及时率：100% </w:t>
      </w:r>
      <w:r/>
    </w:p>
    <w:p>
      <w:pPr>
        <w:ind w:firstLine="480"/>
        <w:jc w:val="left"/>
        <w:spacing w:line="360" w:lineRule="exact"/>
        <w:rPr>
          <w:rFonts w:hint="eastAsia" w:ascii="宋体" w:hAnsi="宋体"/>
          <w:sz w:val="24"/>
        </w:rPr>
      </w:pPr>
      <w:r>
        <w:rPr>
          <w:rFonts w:ascii="宋体" w:hAnsi="宋体"/>
          <w:sz w:val="24"/>
        </w:rPr>
        <w:t xml:space="preserve">对交办事项的办理质量、办理结果、办理时间进行考核。</w:t>
      </w:r>
      <w:r/>
    </w:p>
    <w:p>
      <w:pPr>
        <w:ind w:firstLine="480"/>
        <w:jc w:val="left"/>
        <w:spacing w:line="360" w:lineRule="exact"/>
        <w:rPr>
          <w:rFonts w:hint="eastAsia" w:ascii="宋体" w:hAnsi="宋体"/>
          <w:sz w:val="24"/>
        </w:rPr>
      </w:pPr>
      <w:r>
        <w:rPr>
          <w:rFonts w:ascii="宋体" w:hAnsi="宋体"/>
          <w:sz w:val="24"/>
        </w:rPr>
        <w:t xml:space="preserve">4、单灯、</w:t>
      </w:r>
      <w:r>
        <w:rPr>
          <w:rFonts w:ascii="宋体" w:hAnsi="宋体"/>
          <w:sz w:val="24"/>
        </w:rPr>
        <w:t xml:space="preserve">单区域</w:t>
      </w:r>
      <w:r>
        <w:rPr>
          <w:rFonts w:ascii="宋体" w:hAnsi="宋体"/>
          <w:sz w:val="24"/>
        </w:rPr>
        <w:t xml:space="preserve">巡查、</w:t>
      </w:r>
      <w:r>
        <w:rPr>
          <w:rFonts w:ascii="宋体" w:hAnsi="宋体"/>
          <w:sz w:val="24"/>
        </w:rPr>
        <w:t xml:space="preserve">巡修完成率</w:t>
      </w:r>
      <w:r/>
    </w:p>
    <w:p>
      <w:pPr>
        <w:ind w:firstLine="480"/>
        <w:jc w:val="left"/>
        <w:spacing w:line="360" w:lineRule="exact"/>
        <w:rPr>
          <w:rFonts w:hint="eastAsia" w:ascii="宋体" w:hAnsi="宋体"/>
          <w:sz w:val="24"/>
        </w:rPr>
      </w:pPr>
      <w:r>
        <w:rPr>
          <w:rFonts w:ascii="宋体" w:hAnsi="宋体"/>
          <w:sz w:val="24"/>
        </w:rPr>
        <w:t xml:space="preserve">有巡查、</w:t>
      </w:r>
      <w:r>
        <w:rPr>
          <w:rFonts w:ascii="宋体" w:hAnsi="宋体"/>
          <w:sz w:val="24"/>
        </w:rPr>
        <w:t xml:space="preserve">巡修机制</w:t>
      </w:r>
      <w:r>
        <w:rPr>
          <w:rFonts w:ascii="宋体" w:hAnsi="宋体"/>
          <w:sz w:val="24"/>
        </w:rPr>
        <w:t xml:space="preserve">，全区域</w:t>
      </w:r>
      <w:r>
        <w:rPr>
          <w:rFonts w:ascii="宋体" w:hAnsi="宋体"/>
          <w:sz w:val="24"/>
        </w:rPr>
        <w:t xml:space="preserve">巡修每周完成</w:t>
      </w:r>
      <w:r>
        <w:rPr>
          <w:rFonts w:ascii="宋体" w:hAnsi="宋体"/>
          <w:sz w:val="24"/>
        </w:rPr>
        <w:t xml:space="preserve">一次。主要对巡查、</w:t>
      </w:r>
      <w:r>
        <w:rPr>
          <w:rFonts w:ascii="宋体" w:hAnsi="宋体"/>
          <w:sz w:val="24"/>
        </w:rPr>
        <w:t xml:space="preserve">巡修质量</w:t>
      </w:r>
      <w:r>
        <w:rPr>
          <w:rFonts w:ascii="宋体" w:hAnsi="宋体"/>
          <w:sz w:val="24"/>
        </w:rPr>
        <w:t xml:space="preserve">、资料真实性进行考核。</w:t>
      </w:r>
      <w:r/>
    </w:p>
    <w:p>
      <w:pPr>
        <w:ind w:firstLine="480"/>
        <w:jc w:val="left"/>
        <w:spacing w:line="360" w:lineRule="exact"/>
        <w:rPr>
          <w:rFonts w:hint="eastAsia" w:ascii="宋体" w:hAnsi="宋体"/>
          <w:sz w:val="24"/>
        </w:rPr>
      </w:pPr>
      <w:r>
        <w:rPr>
          <w:rFonts w:ascii="宋体" w:hAnsi="宋体"/>
          <w:sz w:val="24"/>
        </w:rPr>
        <w:t xml:space="preserve">5、台帐资料</w:t>
      </w:r>
      <w:r/>
    </w:p>
    <w:p>
      <w:pPr>
        <w:ind w:firstLine="480"/>
        <w:jc w:val="left"/>
        <w:spacing w:line="360" w:lineRule="exact"/>
        <w:rPr>
          <w:rFonts w:hint="eastAsia" w:ascii="宋体" w:hAnsi="宋体"/>
          <w:sz w:val="24"/>
        </w:rPr>
      </w:pPr>
      <w:r>
        <w:rPr>
          <w:rFonts w:ascii="宋体" w:hAnsi="宋体"/>
          <w:sz w:val="24"/>
        </w:rPr>
        <w:t xml:space="preserve">对资料真实性、完整性进行考核。</w:t>
      </w:r>
      <w:r/>
    </w:p>
    <w:p>
      <w:pPr>
        <w:ind w:firstLine="480"/>
        <w:jc w:val="left"/>
        <w:spacing w:line="360" w:lineRule="exact"/>
        <w:rPr>
          <w:rFonts w:hint="eastAsia" w:ascii="宋体" w:hAnsi="宋体"/>
          <w:sz w:val="24"/>
        </w:rPr>
      </w:pPr>
      <w:r>
        <w:rPr>
          <w:rFonts w:ascii="宋体" w:hAnsi="宋体"/>
          <w:sz w:val="24"/>
        </w:rPr>
        <w:t xml:space="preserve">6、安全</w:t>
      </w:r>
      <w:r/>
    </w:p>
    <w:p>
      <w:pPr>
        <w:ind w:firstLine="480"/>
        <w:jc w:val="left"/>
        <w:spacing w:line="360" w:lineRule="exact"/>
        <w:rPr>
          <w:rFonts w:hint="eastAsia" w:ascii="宋体" w:hAnsi="宋体"/>
          <w:sz w:val="24"/>
        </w:rPr>
      </w:pPr>
      <w:r>
        <w:rPr>
          <w:rFonts w:ascii="宋体" w:hAnsi="宋体"/>
          <w:sz w:val="24"/>
        </w:rPr>
        <w:t xml:space="preserve">主要对维护期作业的安全措施进行考核。</w:t>
      </w:r>
      <w:r/>
    </w:p>
    <w:p>
      <w:pPr>
        <w:ind w:firstLine="480"/>
        <w:jc w:val="left"/>
        <w:spacing w:line="360" w:lineRule="exact"/>
        <w:rPr>
          <w:rFonts w:hint="eastAsia" w:ascii="宋体" w:hAnsi="宋体"/>
          <w:sz w:val="24"/>
        </w:rPr>
      </w:pPr>
      <w:r>
        <w:rPr>
          <w:rFonts w:ascii="宋体" w:hAnsi="宋体"/>
          <w:sz w:val="24"/>
        </w:rPr>
        <w:t xml:space="preserve">7、特别条款</w:t>
      </w:r>
      <w:r/>
    </w:p>
    <w:p>
      <w:pPr>
        <w:ind w:firstLine="480"/>
        <w:jc w:val="left"/>
        <w:spacing w:line="360" w:lineRule="exact"/>
        <w:rPr>
          <w:rFonts w:hint="eastAsia" w:ascii="宋体" w:hAnsi="宋体"/>
          <w:sz w:val="24"/>
        </w:rPr>
      </w:pPr>
      <w:r>
        <w:rPr>
          <w:rFonts w:ascii="宋体" w:hAnsi="宋体"/>
          <w:sz w:val="24"/>
        </w:rPr>
        <w:t xml:space="preserve">主要对维护作业不力，导致媒体曝光或上级领导批评的现象进行考核。</w:t>
      </w:r>
      <w:r/>
    </w:p>
    <w:p>
      <w:pPr>
        <w:ind w:firstLine="480"/>
        <w:jc w:val="left"/>
        <w:spacing w:line="360" w:lineRule="exact"/>
        <w:rPr>
          <w:rFonts w:hint="eastAsia" w:ascii="宋体" w:hAnsi="宋体"/>
          <w:sz w:val="24"/>
        </w:rPr>
      </w:pPr>
      <w:r>
        <w:rPr>
          <w:rFonts w:hint="eastAsia" w:ascii="宋体" w:hAnsi="宋体"/>
          <w:sz w:val="24"/>
        </w:rPr>
        <w:t xml:space="preserve">三</w:t>
      </w:r>
      <w:r>
        <w:rPr>
          <w:rFonts w:ascii="宋体" w:hAnsi="宋体"/>
          <w:sz w:val="24"/>
        </w:rPr>
        <w:t xml:space="preserve">、维护单位应根据相关规定将维护责任落实到人，实行定人、定岗、定责开展维护作业。</w:t>
      </w:r>
      <w:r>
        <w:rPr>
          <w:rFonts w:ascii="宋体" w:hAnsi="宋体"/>
          <w:sz w:val="24"/>
        </w:rPr>
        <w:br/>
      </w:r>
      <w:r>
        <w:rPr>
          <w:rFonts w:hint="eastAsia" w:ascii="宋体" w:hAnsi="宋体"/>
          <w:sz w:val="24"/>
        </w:rPr>
        <w:t xml:space="preserve">    </w:t>
      </w:r>
      <w:r>
        <w:rPr>
          <w:rFonts w:hint="eastAsia" w:ascii="宋体" w:hAnsi="宋体"/>
          <w:sz w:val="24"/>
        </w:rPr>
        <w:t xml:space="preserve">四</w:t>
      </w:r>
      <w:r>
        <w:rPr>
          <w:rFonts w:ascii="宋体" w:hAnsi="宋体"/>
          <w:sz w:val="24"/>
        </w:rPr>
        <w:t xml:space="preserve">、维护单位应建立相应的维护档案，装订成册并实行电子化，每月以25日为节点上报相应考核部门：</w:t>
      </w:r>
      <w:r/>
    </w:p>
    <w:p>
      <w:pPr>
        <w:ind w:firstLine="480"/>
        <w:jc w:val="left"/>
        <w:spacing w:line="360" w:lineRule="exact"/>
        <w:rPr>
          <w:rFonts w:hint="eastAsia" w:ascii="宋体" w:hAnsi="宋体"/>
          <w:sz w:val="24"/>
        </w:rPr>
      </w:pPr>
      <w:r>
        <w:rPr>
          <w:rFonts w:ascii="宋体" w:hAnsi="宋体"/>
          <w:sz w:val="24"/>
        </w:rPr>
        <w:t xml:space="preserve">1、年度、月度维护作业计划</w:t>
      </w:r>
      <w:r/>
    </w:p>
    <w:p>
      <w:pPr>
        <w:ind w:firstLine="480"/>
        <w:jc w:val="left"/>
        <w:spacing w:line="360" w:lineRule="exact"/>
        <w:rPr>
          <w:rFonts w:hint="eastAsia" w:ascii="宋体" w:hAnsi="宋体"/>
          <w:sz w:val="24"/>
        </w:rPr>
      </w:pPr>
      <w:r>
        <w:rPr>
          <w:rFonts w:ascii="宋体" w:hAnsi="宋体"/>
          <w:sz w:val="24"/>
        </w:rPr>
        <w:t xml:space="preserve">2、维护技术文件</w:t>
      </w:r>
      <w:r/>
    </w:p>
    <w:p>
      <w:pPr>
        <w:ind w:firstLine="480"/>
        <w:jc w:val="left"/>
        <w:spacing w:line="360" w:lineRule="exact"/>
        <w:rPr>
          <w:rFonts w:hint="eastAsia" w:ascii="宋体" w:hAnsi="宋体"/>
          <w:sz w:val="24"/>
        </w:rPr>
      </w:pPr>
      <w:r>
        <w:rPr>
          <w:rFonts w:ascii="宋体" w:hAnsi="宋体"/>
          <w:sz w:val="24"/>
        </w:rPr>
        <w:t xml:space="preserve">3、维护管理台账</w:t>
      </w:r>
      <w:r/>
    </w:p>
    <w:p>
      <w:pPr>
        <w:ind w:firstLine="480"/>
        <w:jc w:val="left"/>
        <w:spacing w:line="360" w:lineRule="exact"/>
        <w:rPr>
          <w:rFonts w:hint="eastAsia" w:ascii="宋体" w:hAnsi="宋体"/>
          <w:sz w:val="24"/>
        </w:rPr>
      </w:pPr>
      <w:r>
        <w:rPr>
          <w:rFonts w:ascii="宋体" w:hAnsi="宋体"/>
          <w:sz w:val="24"/>
        </w:rPr>
        <w:t xml:space="preserve">4、巡查维修台账</w:t>
      </w:r>
      <w:r/>
    </w:p>
    <w:p>
      <w:pPr>
        <w:ind w:firstLine="480"/>
        <w:jc w:val="left"/>
        <w:spacing w:line="360" w:lineRule="exact"/>
        <w:rPr>
          <w:rFonts w:hint="eastAsia" w:ascii="宋体" w:hAnsi="宋体"/>
          <w:sz w:val="24"/>
        </w:rPr>
      </w:pPr>
      <w:r>
        <w:rPr>
          <w:rFonts w:ascii="宋体" w:hAnsi="宋体"/>
          <w:sz w:val="24"/>
        </w:rPr>
        <w:t xml:space="preserve">5、安全工作台</w:t>
      </w:r>
      <w:r>
        <w:rPr>
          <w:rFonts w:ascii="宋体" w:hAnsi="宋体"/>
          <w:sz w:val="24"/>
        </w:rPr>
        <w:t xml:space="preserve">账</w:t>
      </w:r>
      <w:r/>
    </w:p>
    <w:p>
      <w:pPr>
        <w:ind w:firstLine="480"/>
        <w:jc w:val="left"/>
        <w:spacing w:line="360" w:lineRule="exact"/>
        <w:rPr>
          <w:rFonts w:hint="eastAsia" w:ascii="宋体" w:hAnsi="宋体"/>
          <w:sz w:val="24"/>
        </w:rPr>
      </w:pPr>
      <w:r>
        <w:rPr>
          <w:rFonts w:hint="eastAsia" w:ascii="宋体" w:hAnsi="宋体"/>
          <w:sz w:val="24"/>
        </w:rPr>
        <w:t xml:space="preserve">五</w:t>
      </w:r>
      <w:r>
        <w:rPr>
          <w:rFonts w:ascii="宋体" w:hAnsi="宋体"/>
          <w:sz w:val="24"/>
        </w:rPr>
        <w:t xml:space="preserve">、维护单位对城市照明设施的巡查检修作业应不低于下列频次，巡查、</w:t>
      </w:r>
      <w:r>
        <w:rPr>
          <w:rFonts w:ascii="宋体" w:hAnsi="宋体"/>
          <w:sz w:val="24"/>
        </w:rPr>
        <w:t xml:space="preserve">巡修要有</w:t>
      </w:r>
      <w:r>
        <w:rPr>
          <w:rFonts w:ascii="宋体" w:hAnsi="宋体"/>
          <w:sz w:val="24"/>
        </w:rPr>
        <w:t xml:space="preserve">台账记录：</w:t>
      </w:r>
      <w:r/>
    </w:p>
    <w:p>
      <w:pPr>
        <w:ind w:firstLine="480"/>
        <w:jc w:val="left"/>
        <w:spacing w:line="360" w:lineRule="exact"/>
        <w:rPr>
          <w:rFonts w:hint="eastAsia" w:ascii="宋体" w:hAnsi="宋体"/>
          <w:sz w:val="24"/>
        </w:rPr>
      </w:pPr>
      <w:r>
        <w:rPr>
          <w:rFonts w:ascii="宋体" w:hAnsi="宋体"/>
          <w:sz w:val="24"/>
        </w:rPr>
        <w:t xml:space="preserve">1、配电箱（柜）</w:t>
      </w:r>
      <w:r>
        <w:rPr>
          <w:rFonts w:ascii="宋体" w:hAnsi="宋体"/>
          <w:sz w:val="24"/>
        </w:rPr>
        <w:t xml:space="preserve">每季度巡修一次</w:t>
      </w:r>
      <w:r>
        <w:rPr>
          <w:rFonts w:ascii="宋体" w:hAnsi="宋体"/>
          <w:sz w:val="24"/>
        </w:rPr>
        <w:t xml:space="preserve">，同时测量电流、电压、接地电阻、各分路负荷，巡修有记录；</w:t>
      </w:r>
      <w:r>
        <w:rPr>
          <w:rFonts w:ascii="宋体" w:hAnsi="宋体"/>
          <w:sz w:val="24"/>
        </w:rPr>
        <w:br/>
      </w:r>
      <w:r>
        <w:rPr>
          <w:rFonts w:hint="eastAsia" w:ascii="宋体" w:hAnsi="宋体"/>
          <w:sz w:val="24"/>
        </w:rPr>
        <w:t xml:space="preserve">    </w:t>
      </w:r>
      <w:r>
        <w:rPr>
          <w:rFonts w:ascii="宋体" w:hAnsi="宋体"/>
          <w:sz w:val="24"/>
        </w:rPr>
        <w:t xml:space="preserve">2、路灯每周</w:t>
      </w:r>
      <w:r>
        <w:rPr>
          <w:rFonts w:ascii="宋体" w:hAnsi="宋体"/>
          <w:sz w:val="24"/>
        </w:rPr>
        <w:t xml:space="preserve">巡查巡修一次</w:t>
      </w:r>
      <w:r>
        <w:rPr>
          <w:rFonts w:ascii="宋体" w:hAnsi="宋体"/>
          <w:sz w:val="24"/>
        </w:rPr>
        <w:t xml:space="preserve">，有记录；</w:t>
      </w:r>
      <w:r/>
    </w:p>
    <w:p>
      <w:pPr>
        <w:ind w:firstLine="480"/>
        <w:jc w:val="left"/>
        <w:spacing w:line="360" w:lineRule="exact"/>
        <w:rPr>
          <w:rFonts w:hint="eastAsia" w:ascii="宋体" w:hAnsi="宋体"/>
          <w:sz w:val="24"/>
        </w:rPr>
      </w:pPr>
      <w:r>
        <w:rPr>
          <w:rFonts w:ascii="宋体" w:hAnsi="宋体"/>
          <w:sz w:val="24"/>
        </w:rPr>
        <w:t xml:space="preserve">3、故障抢修每天24小时专人值守。</w:t>
      </w:r>
      <w:r/>
    </w:p>
    <w:p>
      <w:pPr>
        <w:ind w:firstLine="480"/>
        <w:jc w:val="left"/>
        <w:spacing w:line="360" w:lineRule="exact"/>
        <w:rPr>
          <w:rFonts w:hint="eastAsia" w:ascii="宋体" w:hAnsi="宋体"/>
          <w:sz w:val="24"/>
        </w:rPr>
      </w:pPr>
      <w:r>
        <w:rPr>
          <w:rFonts w:hint="eastAsia" w:ascii="宋体" w:hAnsi="宋体"/>
          <w:sz w:val="24"/>
        </w:rPr>
        <w:t xml:space="preserve">六</w:t>
      </w:r>
      <w:r>
        <w:rPr>
          <w:rFonts w:ascii="宋体" w:hAnsi="宋体"/>
          <w:sz w:val="24"/>
        </w:rPr>
        <w:t xml:space="preserve">、严格实行社会承诺制度：市民报修灯在24小时内修复；线路或控制箱等故障的“片灭灯”在12小时内修复；地埋线路的设施故障，办妥开挖手续后在2天内修复。</w:t>
      </w:r>
      <w:r/>
    </w:p>
    <w:p>
      <w:pPr>
        <w:ind w:firstLine="480"/>
        <w:jc w:val="left"/>
        <w:spacing w:line="360" w:lineRule="exact"/>
        <w:rPr>
          <w:rFonts w:hint="eastAsia" w:ascii="宋体" w:hAnsi="宋体"/>
          <w:sz w:val="24"/>
        </w:rPr>
      </w:pPr>
      <w:r>
        <w:rPr>
          <w:rFonts w:hint="eastAsia" w:ascii="宋体" w:hAnsi="宋体"/>
          <w:sz w:val="24"/>
        </w:rPr>
        <w:t xml:space="preserve">七</w:t>
      </w:r>
      <w:r>
        <w:rPr>
          <w:rFonts w:ascii="宋体" w:hAnsi="宋体"/>
          <w:sz w:val="24"/>
        </w:rPr>
        <w:t xml:space="preserve">、维护单位不得擅自改变照明设施的现状，因各种原因需要拆除现有照明设施、变更现有供电线路、变更设计光源及规格等均应上报审批同意后执行。</w:t>
      </w:r>
      <w:r/>
    </w:p>
    <w:p>
      <w:pPr>
        <w:ind w:firstLine="480"/>
        <w:jc w:val="left"/>
        <w:spacing w:line="360" w:lineRule="exact"/>
        <w:rPr>
          <w:rFonts w:hint="eastAsia" w:ascii="宋体" w:hAnsi="宋体"/>
          <w:sz w:val="24"/>
        </w:rPr>
      </w:pPr>
      <w:r>
        <w:rPr>
          <w:rFonts w:hint="eastAsia" w:ascii="宋体" w:hAnsi="宋体"/>
          <w:sz w:val="24"/>
        </w:rPr>
        <w:t xml:space="preserve">八</w:t>
      </w:r>
      <w:r>
        <w:rPr>
          <w:rFonts w:ascii="宋体" w:hAnsi="宋体"/>
          <w:sz w:val="24"/>
        </w:rPr>
        <w:t xml:space="preserve">、维护单位在日常巡检中应定期检查管理资产范围内的供电设施运行情况，并做好维护，同时做好记录。如发现在城市照明设施上私拉乱接其他用电设施，通知相关部门后，立即予以拆除。</w:t>
      </w:r>
      <w:r/>
    </w:p>
    <w:p>
      <w:pPr>
        <w:ind w:firstLine="480"/>
        <w:jc w:val="left"/>
        <w:spacing w:line="360" w:lineRule="exact"/>
        <w:rPr>
          <w:rFonts w:hint="eastAsia" w:ascii="宋体" w:hAnsi="宋体"/>
          <w:sz w:val="24"/>
        </w:rPr>
      </w:pPr>
      <w:r>
        <w:rPr>
          <w:rFonts w:hint="eastAsia" w:ascii="宋体" w:hAnsi="宋体"/>
          <w:sz w:val="24"/>
        </w:rPr>
        <w:t xml:space="preserve">九</w:t>
      </w:r>
      <w:r>
        <w:rPr>
          <w:rFonts w:ascii="宋体" w:hAnsi="宋体"/>
          <w:sz w:val="24"/>
        </w:rPr>
        <w:t xml:space="preserve">、维护单位禁止白天开灯维修，特殊情况需要在白天开灯检修的，必须上报审批同意后执行。</w:t>
      </w:r>
      <w:r/>
    </w:p>
    <w:p>
      <w:pPr>
        <w:ind w:firstLine="480"/>
        <w:jc w:val="left"/>
        <w:spacing w:line="360" w:lineRule="exact"/>
        <w:rPr>
          <w:rFonts w:hint="eastAsia" w:ascii="宋体" w:hAnsi="宋体"/>
          <w:sz w:val="24"/>
        </w:rPr>
      </w:pPr>
      <w:r>
        <w:rPr>
          <w:rFonts w:ascii="宋体" w:hAnsi="宋体"/>
          <w:sz w:val="24"/>
        </w:rPr>
        <w:t xml:space="preserve">十、对城市照明设施的维修养护实行日常考核和综合考核。</w:t>
      </w:r>
      <w:r/>
    </w:p>
    <w:p>
      <w:pPr>
        <w:ind w:left="1527" w:hanging="960"/>
        <w:jc w:val="left"/>
        <w:spacing w:line="360" w:lineRule="auto"/>
        <w:rPr>
          <w:rFonts w:hint="eastAsia" w:ascii="宋体" w:hAnsi="宋体"/>
          <w:sz w:val="24"/>
        </w:rPr>
      </w:pPr>
      <w:r>
        <w:rPr>
          <w:rFonts w:hint="eastAsia" w:ascii="宋体" w:hAnsi="宋体"/>
          <w:sz w:val="24"/>
        </w:rPr>
      </w:r>
      <w:r/>
    </w:p>
    <w:p>
      <w:pPr>
        <w:ind w:left="1527" w:hanging="960"/>
        <w:jc w:val="left"/>
        <w:spacing w:line="360" w:lineRule="auto"/>
        <w:rPr>
          <w:rFonts w:hint="eastAsia" w:ascii="宋体" w:hAnsi="宋体"/>
          <w:sz w:val="24"/>
        </w:rPr>
      </w:pPr>
      <w:r>
        <w:rPr>
          <w:rFonts w:hint="eastAsia" w:ascii="宋体" w:hAnsi="宋体"/>
          <w:sz w:val="24"/>
        </w:rPr>
      </w:r>
      <w:r/>
    </w:p>
    <w:p>
      <w:pPr>
        <w:ind w:left="1527" w:hanging="960"/>
        <w:jc w:val="left"/>
        <w:spacing w:line="360" w:lineRule="auto"/>
        <w:rPr>
          <w:rFonts w:hint="eastAsia" w:ascii="宋体" w:hAnsi="宋体"/>
          <w:sz w:val="24"/>
        </w:rPr>
      </w:pPr>
      <w:r>
        <w:rPr>
          <w:rFonts w:hint="eastAsia" w:ascii="宋体" w:hAnsi="宋体"/>
          <w:sz w:val="24"/>
        </w:rPr>
      </w:r>
      <w:r/>
    </w:p>
    <w:p>
      <w:pPr>
        <w:ind w:left="1527" w:hanging="960"/>
        <w:jc w:val="left"/>
        <w:spacing w:line="360" w:lineRule="auto"/>
        <w:rPr>
          <w:rFonts w:hint="eastAsia" w:ascii="宋体" w:hAnsi="宋体"/>
          <w:sz w:val="24"/>
        </w:rPr>
      </w:pPr>
      <w:r>
        <w:rPr>
          <w:rFonts w:hint="eastAsia" w:ascii="宋体" w:hAnsi="宋体"/>
          <w:sz w:val="24"/>
        </w:rPr>
      </w:r>
      <w:r/>
    </w:p>
    <w:p>
      <w:pPr>
        <w:ind w:left="1527" w:hanging="960"/>
        <w:jc w:val="left"/>
        <w:spacing w:line="360" w:lineRule="auto"/>
        <w:rPr>
          <w:rFonts w:hint="eastAsia" w:ascii="宋体" w:hAnsi="宋体"/>
          <w:sz w:val="24"/>
        </w:rPr>
      </w:pPr>
      <w:r>
        <w:rPr>
          <w:rFonts w:hint="eastAsia" w:ascii="宋体" w:hAnsi="宋体"/>
          <w:sz w:val="24"/>
        </w:rPr>
      </w:r>
      <w:r/>
    </w:p>
    <w:p>
      <w:pPr>
        <w:jc w:val="left"/>
        <w:widowControl/>
        <w:rPr>
          <w:b/>
          <w:spacing w:val="20"/>
          <w:sz w:val="24"/>
        </w:rPr>
      </w:pPr>
      <w:r>
        <w:rPr>
          <w:b/>
          <w:spacing w:val="20"/>
          <w:sz w:val="24"/>
        </w:rPr>
        <w:br w:type="page" w:clear="all"/>
      </w:r>
      <w:r/>
    </w:p>
    <w:p>
      <w:pPr>
        <w:jc w:val="left"/>
        <w:keepLines/>
        <w:keepNext/>
        <w:spacing w:before="120" w:line="300" w:lineRule="auto"/>
        <w:rPr>
          <w:b/>
          <w:spacing w:val="20"/>
          <w:sz w:val="24"/>
        </w:rPr>
        <w:outlineLvl w:val="1"/>
      </w:pPr>
      <w:r>
        <w:rPr>
          <w:rFonts w:hint="eastAsia"/>
          <w:b/>
          <w:spacing w:val="20"/>
          <w:sz w:val="24"/>
        </w:rPr>
        <w:t xml:space="preserve">附件</w:t>
      </w:r>
      <w:r>
        <w:rPr>
          <w:rFonts w:hint="eastAsia"/>
          <w:b/>
          <w:spacing w:val="20"/>
          <w:sz w:val="24"/>
        </w:rPr>
        <w:t xml:space="preserve">2</w:t>
      </w:r>
      <w:r>
        <w:rPr>
          <w:rFonts w:hint="eastAsia"/>
          <w:b/>
          <w:spacing w:val="20"/>
          <w:sz w:val="24"/>
        </w:rPr>
        <w:t xml:space="preserve">、</w:t>
      </w:r>
      <w:r>
        <w:rPr>
          <w:b/>
          <w:spacing w:val="20"/>
          <w:sz w:val="24"/>
        </w:rPr>
        <w:t xml:space="preserve">武进区城市照明设施维护质量标准</w:t>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558"/>
        <w:gridCol w:w="7231"/>
      </w:tblGrid>
      <w:tr>
        <w:trPr>
          <w:jc w:val="center"/>
          <w:trHeight w:val="690"/>
        </w:trPr>
        <w:tc>
          <w:tcPr>
            <w:tcW w:w="704" w:type="dxa"/>
            <w:vAlign w:val="center"/>
            <w:textDirection w:val="lrTb"/>
            <w:noWrap w:val="false"/>
          </w:tcPr>
          <w:p>
            <w:pPr>
              <w:rPr>
                <w:rFonts w:hint="eastAsia" w:ascii="宋体" w:hAnsi="宋体" w:cs="宋体"/>
                <w:sz w:val="24"/>
              </w:rPr>
            </w:pPr>
            <w:r>
              <w:rPr>
                <w:rFonts w:ascii="宋体" w:hAnsi="宋体"/>
                <w:sz w:val="24"/>
              </w:rPr>
              <w:t xml:space="preserve">序号</w:t>
            </w:r>
            <w:r/>
          </w:p>
        </w:tc>
        <w:tc>
          <w:tcPr>
            <w:tcW w:w="1558" w:type="dxa"/>
            <w:vAlign w:val="center"/>
            <w:textDirection w:val="lrTb"/>
            <w:noWrap w:val="false"/>
          </w:tcPr>
          <w:p>
            <w:pPr>
              <w:jc w:val="center"/>
              <w:rPr>
                <w:rFonts w:hint="eastAsia" w:ascii="宋体" w:hAnsi="宋体" w:cs="宋体"/>
                <w:sz w:val="24"/>
              </w:rPr>
            </w:pPr>
            <w:r>
              <w:rPr>
                <w:rFonts w:ascii="宋体" w:hAnsi="宋体"/>
                <w:sz w:val="24"/>
              </w:rPr>
              <w:t xml:space="preserve">检查项目</w:t>
            </w:r>
            <w:r/>
          </w:p>
        </w:tc>
        <w:tc>
          <w:tcPr>
            <w:tcW w:w="7231" w:type="dxa"/>
            <w:vAlign w:val="center"/>
            <w:textDirection w:val="lrTb"/>
            <w:noWrap w:val="false"/>
          </w:tcPr>
          <w:p>
            <w:pPr>
              <w:jc w:val="center"/>
              <w:rPr>
                <w:rFonts w:hint="eastAsia" w:ascii="宋体" w:hAnsi="宋体" w:cs="宋体"/>
                <w:sz w:val="24"/>
              </w:rPr>
            </w:pPr>
            <w:r>
              <w:rPr>
                <w:rFonts w:ascii="宋体" w:hAnsi="宋体"/>
                <w:sz w:val="24"/>
              </w:rPr>
              <w:t xml:space="preserve">质 量 标 准</w:t>
            </w:r>
            <w:r/>
          </w:p>
        </w:tc>
      </w:tr>
      <w:tr>
        <w:trPr>
          <w:jc w:val="center"/>
        </w:trPr>
        <w:tc>
          <w:tcPr>
            <w:tcW w:w="704"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1</w:t>
            </w:r>
            <w:r/>
          </w:p>
        </w:tc>
        <w:tc>
          <w:tcPr>
            <w:tcW w:w="1558"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配电控制（柜）室</w:t>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1、配电室（箱）门窗清洁无破损，室内整洁无异物，门锁完好，警示铭牌、箱门铭牌等齐全，房屋无渗漏水现象。</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2、配电箱（柜）体保持完整无缺，</w:t>
            </w:r>
            <w:r>
              <w:rPr>
                <w:rFonts w:ascii="宋体" w:hAnsi="宋体"/>
                <w:sz w:val="24"/>
              </w:rPr>
              <w:t xml:space="preserve">不</w:t>
            </w:r>
            <w:r>
              <w:rPr>
                <w:rFonts w:ascii="宋体" w:hAnsi="宋体"/>
                <w:sz w:val="24"/>
              </w:rPr>
              <w:t xml:space="preserve">渗水、无积灰、无锈蚀，安装牢固；高压配电装置按电力系统要求定期</w:t>
            </w:r>
            <w:r>
              <w:rPr>
                <w:rFonts w:ascii="宋体" w:hAnsi="宋体"/>
                <w:sz w:val="24"/>
              </w:rPr>
              <w:t xml:space="preserve">进行巡修及</w:t>
            </w:r>
            <w:r>
              <w:rPr>
                <w:rFonts w:ascii="宋体" w:hAnsi="宋体"/>
                <w:sz w:val="24"/>
              </w:rPr>
              <w:t xml:space="preserve">实验。</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3、箱内电器安装整齐牢固、无积灰积垢、线路排列整齐。</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4、接触器、开关、熔断器等电器元件和导线，应绝缘良好，各零部件无变形缺损，运行正常，无异响。</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5、电器各触点、熔断器无烧热变色。</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6、原则上不应安装定时控制器，如安装定时控制器应按照单位相关规定办理，且定时控制器应根据季节每周或半月进行一次开关灯时间的调整。走时误差小于5分钟。</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7、配电柜仪表完好，指示正确，各部件联结紧固无松动。</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8、各路出线标志清楚，并有完整负荷分配图。</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9、室内配电柜及附属设施应符合消防安全规程要求，配备灭火器。</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10、三相供电负荷应定期检测，不平衡度小于20%。</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11、箱柜接地电阻符合相关电气规定，接地电阻≤4</w:t>
            </w:r>
            <w:r>
              <w:rPr>
                <w:rFonts w:ascii="宋体" w:hAnsi="宋体"/>
                <w:sz w:val="24"/>
              </w:rPr>
              <w:t xml:space="preserve">欧</w:t>
            </w:r>
            <w:r>
              <w:rPr>
                <w:rFonts w:ascii="宋体" w:hAnsi="宋体"/>
                <w:sz w:val="24"/>
              </w:rPr>
              <w:t xml:space="preserve">。</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12、节能器、电容补偿正常投运。</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13、末端电压不低于200伏。</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14、箱柜内应有配电二次图，且正确。</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15、应有设施养护记录。</w:t>
            </w:r>
            <w:r/>
          </w:p>
        </w:tc>
      </w:tr>
      <w:tr>
        <w:trPr>
          <w:jc w:val="center"/>
        </w:trPr>
        <w:tc>
          <w:tcPr>
            <w:tcW w:w="704"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2</w:t>
            </w:r>
            <w:r/>
          </w:p>
        </w:tc>
        <w:tc>
          <w:tcPr>
            <w:tcW w:w="1558"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架空线路</w:t>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1、电杆</w:t>
            </w:r>
            <w:r>
              <w:rPr>
                <w:rFonts w:ascii="宋体" w:hAnsi="宋体"/>
                <w:sz w:val="24"/>
              </w:rPr>
              <w:t xml:space="preserve">不</w:t>
            </w:r>
            <w:r>
              <w:rPr>
                <w:rFonts w:ascii="宋体" w:hAnsi="宋体"/>
                <w:sz w:val="24"/>
              </w:rPr>
              <w:t xml:space="preserve">歪斜，横担平直。</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2、导线</w:t>
            </w:r>
            <w:r>
              <w:rPr>
                <w:rFonts w:ascii="宋体" w:hAnsi="宋体"/>
                <w:sz w:val="24"/>
              </w:rPr>
              <w:t xml:space="preserve">弧垂符合</w:t>
            </w:r>
            <w:r>
              <w:rPr>
                <w:rFonts w:ascii="宋体" w:hAnsi="宋体"/>
                <w:sz w:val="24"/>
              </w:rPr>
              <w:t xml:space="preserve">规定，无断股。</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3、瓷瓶完整无缺，无裂纹，</w:t>
            </w:r>
            <w:r>
              <w:rPr>
                <w:rFonts w:ascii="宋体" w:hAnsi="宋体"/>
                <w:sz w:val="24"/>
              </w:rPr>
              <w:t xml:space="preserve">瓷瓶绑线无</w:t>
            </w:r>
            <w:r>
              <w:rPr>
                <w:rFonts w:ascii="宋体" w:hAnsi="宋体"/>
                <w:sz w:val="24"/>
              </w:rPr>
              <w:t xml:space="preserve">松脱现象。</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4、拉线无锈蚀，无</w:t>
            </w:r>
            <w:r>
              <w:rPr>
                <w:rFonts w:ascii="宋体" w:hAnsi="宋体"/>
                <w:sz w:val="24"/>
              </w:rPr>
              <w:t xml:space="preserve">松驰</w:t>
            </w:r>
            <w:r>
              <w:rPr>
                <w:rFonts w:ascii="宋体" w:hAnsi="宋体"/>
                <w:sz w:val="24"/>
              </w:rPr>
              <w:t xml:space="preserve">现象。</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5、导线的安全距离符合规范要求，架空线路周围无影响线路正常运行的树木。</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6、所有横担、瓷瓶、抱箍、拉线等紧固螺栓无松动和锈蚀现象。</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7、路灯零线禁止与供电零线共用。</w:t>
            </w:r>
            <w:r/>
          </w:p>
        </w:tc>
      </w:tr>
      <w:tr>
        <w:trPr>
          <w:jc w:val="center"/>
        </w:trPr>
        <w:tc>
          <w:tcPr>
            <w:tcW w:w="704"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3</w:t>
            </w:r>
            <w:r/>
          </w:p>
        </w:tc>
        <w:tc>
          <w:tcPr>
            <w:tcW w:w="1558"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电缆线路</w:t>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1、电缆线路（穿管地埋线路）的路面上应无开挖、新的建筑打桩、植树及有可能腐蚀电缆的化学物品。</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2、电缆线路在地上部分的钢带、保护管、固定设备无锈蚀，高压进线标桩完整无缺。</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3、接头紧固螺母（压接管）无松动、发热现象，绝缘包带无老化开裂，钢带接地良好。</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4、分段的绝缘电阻不低于0.5兆欧。</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5、灯箱座、人孔、手孔井内干净无异物，电缆标志牌齐全、字迹清楚。巡视检查对有严重缺陷和损伤，并已无法处理的电缆（穿管导线）线路应分段或全部更新。</w:t>
            </w:r>
            <w:r/>
          </w:p>
        </w:tc>
      </w:tr>
      <w:tr>
        <w:trPr>
          <w:jc w:val="center"/>
        </w:trPr>
        <w:tc>
          <w:tcPr>
            <w:tcW w:w="704"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4</w:t>
            </w:r>
            <w:r/>
          </w:p>
        </w:tc>
        <w:tc>
          <w:tcPr>
            <w:tcW w:w="1558"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水泥杆   </w:t>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1、水泥杆垂直，无明显倾斜。</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2、混凝土杆身完整无裂缝、破损现象。</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3、灯架固定牢靠、无严重锈蚀。</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4、灯具、罩具清洁、完整，无锈蚀，安装紧固，灯具下无树枝；</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5、引下线无接头、松弛。</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6、路灯号牌正确、完整、无破损。</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7、无私自占用灯杆设施，如其他电线电缆、罗马旗等。</w:t>
            </w:r>
            <w:r/>
          </w:p>
        </w:tc>
      </w:tr>
      <w:tr>
        <w:trPr>
          <w:jc w:val="center"/>
        </w:trPr>
        <w:tc>
          <w:tcPr>
            <w:tcW w:w="704"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5</w:t>
            </w:r>
            <w:r/>
          </w:p>
        </w:tc>
        <w:tc>
          <w:tcPr>
            <w:tcW w:w="1558"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金属杆灯</w:t>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1、灯臂、灯柱无断裂、脱焊、变形、锈蚀、松动和严重歪斜现象。</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2、灯具清洁、无锈蚀，密封良好，安装坚固。</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3、</w:t>
            </w:r>
            <w:r>
              <w:rPr>
                <w:rFonts w:ascii="宋体" w:hAnsi="宋体"/>
                <w:sz w:val="24"/>
              </w:rPr>
              <w:t xml:space="preserve">砼</w:t>
            </w:r>
            <w:r>
              <w:rPr>
                <w:rFonts w:ascii="宋体" w:hAnsi="宋体"/>
                <w:sz w:val="24"/>
              </w:rPr>
              <w:t xml:space="preserve">基础完好。</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4、</w:t>
            </w:r>
            <w:r>
              <w:rPr>
                <w:rFonts w:ascii="宋体" w:hAnsi="宋体"/>
                <w:sz w:val="24"/>
              </w:rPr>
              <w:t xml:space="preserve">灯杆内电器</w:t>
            </w:r>
            <w:r>
              <w:rPr>
                <w:rFonts w:ascii="宋体" w:hAnsi="宋体"/>
                <w:sz w:val="24"/>
              </w:rPr>
              <w:t xml:space="preserve">元件固定良好，导线无过热现象。</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5、灯杆接地可靠。</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6、更换损坏的电器元件应与原设计规格一致。</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7、周边无影响照明灯具出光的树木。</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8、路灯号牌正确、完整、无破损。</w:t>
            </w:r>
            <w:r/>
          </w:p>
        </w:tc>
      </w:tr>
      <w:tr>
        <w:trPr>
          <w:jc w:val="center"/>
        </w:trPr>
        <w:tc>
          <w:tcPr>
            <w:tcW w:w="704"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5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9、无私自占用灯杆设施，如其他电线电缆、罗马旗等。</w:t>
            </w:r>
            <w:r/>
          </w:p>
        </w:tc>
      </w:tr>
      <w:tr>
        <w:trPr>
          <w:jc w:val="center"/>
        </w:trPr>
        <w:tc>
          <w:tcPr>
            <w:tcW w:w="704"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6</w:t>
            </w:r>
            <w:r/>
          </w:p>
        </w:tc>
        <w:tc>
          <w:tcPr>
            <w:tcW w:w="1558"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高杆</w:t>
            </w:r>
            <w:r>
              <w:rPr>
                <w:rFonts w:ascii="宋体" w:hAnsi="宋体"/>
                <w:sz w:val="24"/>
              </w:rPr>
              <w:t xml:space="preserve">灯</w:t>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1、灯盘、灯具、透明罩、</w:t>
            </w:r>
            <w:r>
              <w:rPr>
                <w:rFonts w:ascii="宋体" w:hAnsi="宋体"/>
                <w:sz w:val="24"/>
              </w:rPr>
              <w:t xml:space="preserve">反光器</w:t>
            </w:r>
            <w:r>
              <w:rPr>
                <w:rFonts w:ascii="宋体" w:hAnsi="宋体"/>
                <w:sz w:val="24"/>
              </w:rPr>
              <w:t xml:space="preserve">等应符合照明器具维护要求。</w:t>
            </w:r>
            <w:r/>
          </w:p>
        </w:tc>
      </w:tr>
      <w:tr>
        <w:trPr>
          <w:jc w:val="center"/>
        </w:trPr>
        <w:tc>
          <w:tcPr>
            <w:tcW w:w="704" w:type="dxa"/>
            <w:vMerge w:val="continue"/>
            <w:textDirection w:val="lrTb"/>
            <w:noWrap w:val="false"/>
          </w:tcPr>
          <w:p>
            <w:pPr>
              <w:rPr>
                <w:rFonts w:hint="eastAsia" w:ascii="宋体" w:hAnsi="宋体"/>
                <w:sz w:val="24"/>
              </w:rPr>
            </w:pPr>
            <w:r>
              <w:rPr>
                <w:rFonts w:hint="eastAsia" w:ascii="宋体" w:hAnsi="宋体"/>
                <w:sz w:val="24"/>
              </w:rPr>
            </w:r>
            <w:r/>
          </w:p>
        </w:tc>
        <w:tc>
          <w:tcPr>
            <w:tcW w:w="1558" w:type="dxa"/>
            <w:vMerge w:val="continue"/>
            <w:textDirection w:val="lrTb"/>
            <w:noWrap w:val="false"/>
          </w:tcPr>
          <w:p>
            <w:pP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2、传动机构钢丝绳无损伤，接头无松动等现象，挂脱钩机构灵活可靠无异常。</w:t>
            </w:r>
            <w:r/>
          </w:p>
        </w:tc>
      </w:tr>
      <w:tr>
        <w:trPr>
          <w:jc w:val="center"/>
        </w:trPr>
        <w:tc>
          <w:tcPr>
            <w:tcW w:w="704" w:type="dxa"/>
            <w:vMerge w:val="continue"/>
            <w:textDirection w:val="lrTb"/>
            <w:noWrap w:val="false"/>
          </w:tcPr>
          <w:p>
            <w:pPr>
              <w:rPr>
                <w:rFonts w:hint="eastAsia" w:ascii="宋体" w:hAnsi="宋体"/>
                <w:sz w:val="24"/>
              </w:rPr>
            </w:pPr>
            <w:r>
              <w:rPr>
                <w:rFonts w:hint="eastAsia" w:ascii="宋体" w:hAnsi="宋体"/>
                <w:sz w:val="24"/>
              </w:rPr>
            </w:r>
            <w:r/>
          </w:p>
        </w:tc>
        <w:tc>
          <w:tcPr>
            <w:tcW w:w="1558" w:type="dxa"/>
            <w:vMerge w:val="continue"/>
            <w:textDirection w:val="lrTb"/>
            <w:noWrap w:val="false"/>
          </w:tcPr>
          <w:p>
            <w:pP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3、电动机、变速箱支架牢固可靠，变速箱无油质污染、缺油等情况，齿轮无异常。</w:t>
            </w:r>
            <w:r/>
          </w:p>
        </w:tc>
      </w:tr>
      <w:tr>
        <w:trPr>
          <w:jc w:val="center"/>
        </w:trPr>
        <w:tc>
          <w:tcPr>
            <w:tcW w:w="704" w:type="dxa"/>
            <w:vMerge w:val="continue"/>
            <w:textDirection w:val="lrTb"/>
            <w:noWrap w:val="false"/>
          </w:tcPr>
          <w:p>
            <w:pPr>
              <w:rPr>
                <w:rFonts w:hint="eastAsia" w:ascii="宋体" w:hAnsi="宋体"/>
                <w:sz w:val="24"/>
              </w:rPr>
            </w:pPr>
            <w:r>
              <w:rPr>
                <w:rFonts w:hint="eastAsia" w:ascii="宋体" w:hAnsi="宋体"/>
                <w:sz w:val="24"/>
              </w:rPr>
            </w:r>
            <w:r/>
          </w:p>
        </w:tc>
        <w:tc>
          <w:tcPr>
            <w:tcW w:w="1558" w:type="dxa"/>
            <w:vMerge w:val="continue"/>
            <w:textDirection w:val="lrTb"/>
            <w:noWrap w:val="false"/>
          </w:tcPr>
          <w:p>
            <w:pP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4、限位开关触点准确、控制电器触头无电蚀、接头接点完好无损。</w:t>
            </w:r>
            <w:r/>
          </w:p>
        </w:tc>
      </w:tr>
      <w:tr>
        <w:trPr>
          <w:jc w:val="center"/>
        </w:trPr>
        <w:tc>
          <w:tcPr>
            <w:tcW w:w="704" w:type="dxa"/>
            <w:vMerge w:val="continue"/>
            <w:textDirection w:val="lrTb"/>
            <w:noWrap w:val="false"/>
          </w:tcPr>
          <w:p>
            <w:pPr>
              <w:rPr>
                <w:rFonts w:hint="eastAsia" w:ascii="宋体" w:hAnsi="宋体"/>
                <w:sz w:val="24"/>
              </w:rPr>
            </w:pPr>
            <w:r>
              <w:rPr>
                <w:rFonts w:hint="eastAsia" w:ascii="宋体" w:hAnsi="宋体"/>
                <w:sz w:val="24"/>
              </w:rPr>
            </w:r>
            <w:r/>
          </w:p>
        </w:tc>
        <w:tc>
          <w:tcPr>
            <w:tcW w:w="1558" w:type="dxa"/>
            <w:vMerge w:val="continue"/>
            <w:textDirection w:val="lrTb"/>
            <w:noWrap w:val="false"/>
          </w:tcPr>
          <w:p>
            <w:pP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5、导线应无受压、受夹、受损、老化等现象，各相工作电流正常。</w:t>
            </w:r>
            <w:r/>
          </w:p>
        </w:tc>
      </w:tr>
      <w:tr>
        <w:trPr>
          <w:jc w:val="center"/>
        </w:trPr>
        <w:tc>
          <w:tcPr>
            <w:tcW w:w="704" w:type="dxa"/>
            <w:vMerge w:val="continue"/>
            <w:textDirection w:val="lrTb"/>
            <w:noWrap w:val="false"/>
          </w:tcPr>
          <w:p>
            <w:pPr>
              <w:rPr>
                <w:rFonts w:hint="eastAsia" w:ascii="宋体" w:hAnsi="宋体"/>
                <w:sz w:val="24"/>
              </w:rPr>
            </w:pPr>
            <w:r>
              <w:rPr>
                <w:rFonts w:hint="eastAsia" w:ascii="宋体" w:hAnsi="宋体"/>
                <w:sz w:val="24"/>
              </w:rPr>
            </w:r>
            <w:r/>
          </w:p>
        </w:tc>
        <w:tc>
          <w:tcPr>
            <w:tcW w:w="1558" w:type="dxa"/>
            <w:vMerge w:val="continue"/>
            <w:textDirection w:val="lrTb"/>
            <w:noWrap w:val="false"/>
          </w:tcPr>
          <w:p>
            <w:pP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6、灯杆、灯盘骨架无锈蚀，保护接地装置良好，接地电阻≤4</w:t>
            </w:r>
            <w:r>
              <w:rPr>
                <w:rFonts w:ascii="宋体" w:hAnsi="宋体"/>
                <w:sz w:val="24"/>
              </w:rPr>
              <w:t xml:space="preserve">欧</w:t>
            </w:r>
            <w:r>
              <w:rPr>
                <w:rFonts w:ascii="宋体" w:hAnsi="宋体"/>
                <w:sz w:val="24"/>
              </w:rPr>
              <w:t xml:space="preserve">。</w:t>
            </w:r>
            <w:r/>
          </w:p>
        </w:tc>
      </w:tr>
      <w:tr>
        <w:trPr>
          <w:jc w:val="center"/>
        </w:trPr>
        <w:tc>
          <w:tcPr>
            <w:tcW w:w="704" w:type="dxa"/>
            <w:vMerge w:val="continue"/>
            <w:textDirection w:val="lrTb"/>
            <w:noWrap w:val="false"/>
          </w:tcPr>
          <w:p>
            <w:pPr>
              <w:rPr>
                <w:rFonts w:hint="eastAsia" w:ascii="宋体" w:hAnsi="宋体"/>
                <w:sz w:val="24"/>
              </w:rPr>
            </w:pPr>
            <w:r>
              <w:rPr>
                <w:rFonts w:hint="eastAsia" w:ascii="宋体" w:hAnsi="宋体"/>
                <w:sz w:val="24"/>
              </w:rPr>
            </w:r>
            <w:r/>
          </w:p>
        </w:tc>
        <w:tc>
          <w:tcPr>
            <w:tcW w:w="1558" w:type="dxa"/>
            <w:vMerge w:val="continue"/>
            <w:textDirection w:val="lrTb"/>
            <w:noWrap w:val="false"/>
          </w:tcPr>
          <w:p>
            <w:pPr>
              <w:rPr>
                <w:rFonts w:hint="eastAsia" w:ascii="宋体" w:hAnsi="宋体"/>
                <w:sz w:val="24"/>
              </w:rPr>
            </w:pPr>
            <w:r>
              <w:rPr>
                <w:rFonts w:hint="eastAsia" w:ascii="宋体" w:hAnsi="宋体"/>
                <w:sz w:val="24"/>
              </w:rPr>
            </w:r>
            <w:r/>
          </w:p>
        </w:tc>
        <w:tc>
          <w:tcPr>
            <w:tcW w:w="7231" w:type="dxa"/>
            <w:vAlign w:val="center"/>
            <w:textDirection w:val="lrTb"/>
            <w:noWrap w:val="false"/>
          </w:tcPr>
          <w:p>
            <w:pPr>
              <w:rPr>
                <w:rFonts w:hint="eastAsia" w:ascii="宋体" w:hAnsi="宋体" w:cs="宋体"/>
                <w:sz w:val="24"/>
              </w:rPr>
            </w:pPr>
            <w:r>
              <w:rPr>
                <w:rFonts w:ascii="宋体" w:hAnsi="宋体"/>
                <w:sz w:val="24"/>
              </w:rPr>
              <w:t xml:space="preserve">7、路灯号牌正确、完整、无破损。</w:t>
            </w:r>
            <w:r/>
          </w:p>
        </w:tc>
      </w:tr>
    </w:tbl>
    <w:p>
      <w:pPr>
        <w:spacing w:line="400" w:lineRule="exact"/>
        <w:tabs>
          <w:tab w:val="left" w:pos="284" w:leader="none"/>
        </w:tabs>
        <w:rPr>
          <w:rFonts w:hint="eastAsia" w:ascii="宋体" w:hAnsi="宋体" w:cs="宋体"/>
          <w:sz w:val="24"/>
        </w:rPr>
      </w:pPr>
      <w:r>
        <w:rPr>
          <w:rFonts w:hint="eastAsia" w:ascii="宋体" w:hAnsi="宋体" w:cs="宋体"/>
          <w:sz w:val="24"/>
        </w:rPr>
      </w:r>
      <w:r/>
    </w:p>
    <w:p>
      <w:pPr>
        <w:pStyle w:val="1013"/>
        <w:rPr>
          <w:u w:val="none"/>
        </w:rPr>
      </w:pPr>
      <w:r>
        <w:rPr>
          <w:rFonts w:hint="eastAsia"/>
          <w:u w:val="none"/>
        </w:rPr>
        <w:br w:type="page" w:clear="all"/>
      </w:r>
      <w:r/>
    </w:p>
    <w:p>
      <w:pPr>
        <w:pStyle w:val="1037"/>
        <w:ind w:left="1"/>
        <w:pageBreakBefore/>
        <w:rPr>
          <w:rFonts w:hint="eastAsia" w:ascii="宋体" w:hAnsi="宋体"/>
          <w:sz w:val="24"/>
          <w:szCs w:val="24"/>
        </w:rPr>
        <w:sectPr>
          <w:footerReference w:type="even"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szCs w:val="24"/>
        </w:rPr>
      </w:r>
      <w:r/>
    </w:p>
    <w:p>
      <w:pPr>
        <w:jc w:val="left"/>
        <w:keepLines/>
        <w:keepNext/>
        <w:spacing w:before="120" w:line="300" w:lineRule="auto"/>
        <w:rPr>
          <w:b/>
          <w:spacing w:val="20"/>
          <w:sz w:val="24"/>
        </w:rPr>
        <w:outlineLvl w:val="1"/>
      </w:pPr>
      <w:r>
        <w:rPr>
          <w:rFonts w:hint="eastAsia"/>
          <w:b/>
          <w:spacing w:val="20"/>
          <w:sz w:val="24"/>
        </w:rPr>
        <w:t xml:space="preserve">附件</w:t>
      </w:r>
      <w:r>
        <w:rPr>
          <w:rFonts w:hint="eastAsia"/>
          <w:b/>
          <w:spacing w:val="20"/>
          <w:sz w:val="24"/>
        </w:rPr>
        <w:t xml:space="preserve">3</w:t>
      </w:r>
      <w:r>
        <w:rPr>
          <w:rFonts w:hint="eastAsia"/>
          <w:b/>
          <w:spacing w:val="20"/>
          <w:sz w:val="24"/>
        </w:rPr>
        <w:t xml:space="preserve">、武进区道路照明设施维护日常考核细则</w:t>
      </w:r>
      <w:r/>
    </w:p>
    <w:tbl>
      <w:tblPr>
        <w:tblW w:w="14344"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57" w:type="dxa"/>
          <w:right w:w="57" w:type="dxa"/>
          <w:bottom w:w="57" w:type="dxa"/>
        </w:tblCellMar>
        <w:tblLook w:val="04A0" w:firstRow="1" w:lastRow="0" w:firstColumn="1" w:lastColumn="0" w:noHBand="0" w:noVBand="1"/>
      </w:tblPr>
      <w:tblGrid>
        <w:gridCol w:w="812"/>
        <w:gridCol w:w="1163"/>
        <w:gridCol w:w="5901"/>
        <w:gridCol w:w="6468"/>
      </w:tblGrid>
      <w:tr>
        <w:trPr>
          <w:cantSplit/>
          <w:trHeight w:val="558"/>
          <w:tblHeader/>
        </w:trPr>
        <w:tc>
          <w:tcPr>
            <w:tcW w:w="812" w:type="dxa"/>
            <w:vAlign w:val="center"/>
            <w:textDirection w:val="lrTb"/>
            <w:noWrap w:val="false"/>
          </w:tcPr>
          <w:p>
            <w:pPr>
              <w:jc w:val="center"/>
              <w:rPr>
                <w:rFonts w:hint="eastAsia" w:ascii="宋体" w:hAnsi="宋体"/>
                <w:b/>
                <w:sz w:val="24"/>
              </w:rPr>
            </w:pPr>
            <w:r>
              <w:rPr>
                <w:rFonts w:ascii="宋体" w:hAnsi="宋体"/>
                <w:b/>
                <w:sz w:val="24"/>
              </w:rPr>
              <w:t xml:space="preserve">序号</w:t>
            </w:r>
            <w:r/>
          </w:p>
        </w:tc>
        <w:tc>
          <w:tcPr>
            <w:tcW w:w="1163" w:type="dxa"/>
            <w:vAlign w:val="center"/>
            <w:textDirection w:val="lrTb"/>
            <w:noWrap w:val="false"/>
          </w:tcPr>
          <w:p>
            <w:pPr>
              <w:jc w:val="center"/>
              <w:rPr>
                <w:rFonts w:hint="eastAsia" w:ascii="宋体" w:hAnsi="宋体"/>
                <w:b/>
                <w:sz w:val="24"/>
              </w:rPr>
            </w:pPr>
            <w:r>
              <w:rPr>
                <w:rFonts w:ascii="宋体" w:hAnsi="宋体"/>
                <w:b/>
                <w:sz w:val="24"/>
              </w:rPr>
              <w:t xml:space="preserve">类别</w:t>
            </w:r>
            <w:r/>
          </w:p>
        </w:tc>
        <w:tc>
          <w:tcPr>
            <w:tcW w:w="5901" w:type="dxa"/>
            <w:vAlign w:val="center"/>
            <w:textDirection w:val="lrTb"/>
            <w:noWrap w:val="false"/>
          </w:tcPr>
          <w:p>
            <w:pPr>
              <w:jc w:val="center"/>
              <w:rPr>
                <w:rFonts w:hint="eastAsia" w:ascii="宋体" w:hAnsi="宋体"/>
                <w:b/>
                <w:sz w:val="24"/>
              </w:rPr>
            </w:pPr>
            <w:r>
              <w:rPr>
                <w:rFonts w:ascii="宋体" w:hAnsi="宋体"/>
                <w:b/>
                <w:sz w:val="24"/>
              </w:rPr>
              <w:t xml:space="preserve">考  核  标  准</w:t>
            </w:r>
            <w:r/>
          </w:p>
        </w:tc>
        <w:tc>
          <w:tcPr>
            <w:tcW w:w="6468" w:type="dxa"/>
            <w:vAlign w:val="center"/>
            <w:textDirection w:val="lrTb"/>
            <w:noWrap w:val="false"/>
          </w:tcPr>
          <w:p>
            <w:pPr>
              <w:jc w:val="center"/>
              <w:rPr>
                <w:rFonts w:hint="eastAsia" w:ascii="宋体" w:hAnsi="宋体"/>
                <w:b/>
                <w:sz w:val="24"/>
              </w:rPr>
            </w:pPr>
            <w:r>
              <w:rPr>
                <w:rFonts w:ascii="宋体" w:hAnsi="宋体"/>
                <w:b/>
                <w:sz w:val="24"/>
              </w:rPr>
              <w:t xml:space="preserve">评  分  细  则</w:t>
            </w:r>
            <w:r/>
          </w:p>
        </w:tc>
      </w:tr>
      <w:tr>
        <w:trPr>
          <w:cantSplit/>
          <w:trHeight w:val="988"/>
        </w:trPr>
        <w:tc>
          <w:tcPr>
            <w:tcW w:w="812" w:type="dxa"/>
            <w:vAlign w:val="center"/>
            <w:vMerge w:val="restart"/>
            <w:textDirection w:val="lrTb"/>
            <w:noWrap w:val="false"/>
          </w:tcPr>
          <w:p>
            <w:pPr>
              <w:jc w:val="center"/>
              <w:rPr>
                <w:rFonts w:hint="eastAsia" w:ascii="宋体" w:hAnsi="宋体"/>
                <w:bCs/>
                <w:sz w:val="24"/>
              </w:rPr>
            </w:pPr>
            <w:r>
              <w:rPr>
                <w:rFonts w:ascii="宋体" w:hAnsi="宋体"/>
                <w:bCs/>
                <w:sz w:val="24"/>
              </w:rPr>
              <w:t xml:space="preserve">1</w:t>
            </w:r>
            <w:r/>
          </w:p>
        </w:tc>
        <w:tc>
          <w:tcPr>
            <w:tcW w:w="1163" w:type="dxa"/>
            <w:vAlign w:val="center"/>
            <w:vMerge w:val="restart"/>
            <w:textDirection w:val="lrTb"/>
            <w:noWrap w:val="false"/>
          </w:tcPr>
          <w:p>
            <w:pPr>
              <w:jc w:val="center"/>
              <w:rPr>
                <w:rFonts w:hint="eastAsia" w:ascii="宋体" w:hAnsi="宋体"/>
                <w:sz w:val="24"/>
              </w:rPr>
            </w:pPr>
            <w:r>
              <w:rPr>
                <w:rFonts w:ascii="宋体" w:hAnsi="宋体"/>
                <w:sz w:val="24"/>
              </w:rPr>
              <w:t xml:space="preserve">维</w:t>
            </w:r>
            <w:r/>
          </w:p>
          <w:p>
            <w:pPr>
              <w:jc w:val="center"/>
              <w:rPr>
                <w:rFonts w:hint="eastAsia" w:ascii="宋体" w:hAnsi="宋体"/>
                <w:sz w:val="24"/>
              </w:rPr>
            </w:pPr>
            <w:r>
              <w:rPr>
                <w:rFonts w:ascii="宋体" w:hAnsi="宋体"/>
                <w:sz w:val="24"/>
              </w:rPr>
              <w:t xml:space="preserve">护</w:t>
            </w:r>
            <w:r/>
          </w:p>
          <w:p>
            <w:pPr>
              <w:jc w:val="center"/>
              <w:rPr>
                <w:rFonts w:hint="eastAsia" w:ascii="宋体" w:hAnsi="宋体"/>
                <w:sz w:val="24"/>
              </w:rPr>
            </w:pPr>
            <w:r>
              <w:rPr>
                <w:rFonts w:ascii="宋体" w:hAnsi="宋体"/>
                <w:sz w:val="24"/>
              </w:rPr>
              <w:t xml:space="preserve">单</w:t>
            </w:r>
            <w:r/>
          </w:p>
          <w:p>
            <w:pPr>
              <w:jc w:val="center"/>
              <w:rPr>
                <w:rFonts w:hint="eastAsia" w:ascii="宋体" w:hAnsi="宋体"/>
                <w:sz w:val="24"/>
              </w:rPr>
            </w:pPr>
            <w:r>
              <w:rPr>
                <w:rFonts w:ascii="宋体" w:hAnsi="宋体"/>
                <w:sz w:val="24"/>
              </w:rPr>
              <w:t xml:space="preserve">位</w:t>
            </w:r>
            <w:r/>
          </w:p>
          <w:p>
            <w:pPr>
              <w:jc w:val="center"/>
              <w:rPr>
                <w:rFonts w:hint="eastAsia" w:ascii="宋体" w:hAnsi="宋体"/>
                <w:sz w:val="24"/>
              </w:rPr>
            </w:pPr>
            <w:r>
              <w:rPr>
                <w:rFonts w:ascii="宋体" w:hAnsi="宋体"/>
                <w:sz w:val="24"/>
              </w:rPr>
              <w:t xml:space="preserve">内</w:t>
            </w:r>
            <w:r/>
          </w:p>
          <w:p>
            <w:pPr>
              <w:jc w:val="center"/>
              <w:rPr>
                <w:rFonts w:hint="eastAsia" w:ascii="宋体" w:hAnsi="宋体"/>
                <w:sz w:val="24"/>
              </w:rPr>
            </w:pPr>
            <w:r>
              <w:rPr>
                <w:rFonts w:ascii="宋体" w:hAnsi="宋体"/>
                <w:sz w:val="24"/>
              </w:rPr>
              <w:t xml:space="preserve">部</w:t>
            </w:r>
            <w:r/>
          </w:p>
          <w:p>
            <w:pPr>
              <w:jc w:val="center"/>
              <w:rPr>
                <w:rFonts w:hint="eastAsia" w:ascii="宋体" w:hAnsi="宋体"/>
                <w:sz w:val="24"/>
              </w:rPr>
            </w:pPr>
            <w:r>
              <w:rPr>
                <w:rFonts w:ascii="宋体" w:hAnsi="宋体"/>
                <w:sz w:val="24"/>
              </w:rPr>
              <w:t xml:space="preserve">管</w:t>
            </w:r>
            <w:r/>
          </w:p>
          <w:p>
            <w:pPr>
              <w:jc w:val="center"/>
              <w:rPr>
                <w:rFonts w:hint="eastAsia" w:ascii="宋体" w:hAnsi="宋体"/>
                <w:sz w:val="24"/>
              </w:rPr>
            </w:pPr>
            <w:r>
              <w:rPr>
                <w:rFonts w:ascii="宋体" w:hAnsi="宋体"/>
                <w:sz w:val="24"/>
              </w:rPr>
              <w:t xml:space="preserve">理</w:t>
            </w:r>
            <w:r/>
          </w:p>
          <w:p>
            <w:pPr>
              <w:jc w:val="center"/>
              <w:rPr>
                <w:rFonts w:hint="eastAsia" w:ascii="宋体" w:hAnsi="宋体"/>
                <w:sz w:val="24"/>
              </w:rPr>
            </w:pPr>
            <w:r>
              <w:rPr>
                <w:rFonts w:ascii="宋体" w:hAnsi="宋体"/>
                <w:sz w:val="24"/>
              </w:rPr>
              <w:t xml:space="preserve">要</w:t>
            </w:r>
            <w:r/>
          </w:p>
          <w:p>
            <w:pPr>
              <w:jc w:val="center"/>
              <w:rPr>
                <w:rFonts w:hint="eastAsia" w:ascii="宋体" w:hAnsi="宋体"/>
                <w:sz w:val="24"/>
              </w:rPr>
            </w:pPr>
            <w:r>
              <w:rPr>
                <w:rFonts w:ascii="宋体" w:hAnsi="宋体"/>
                <w:sz w:val="24"/>
              </w:rPr>
              <w:t xml:space="preserve">求</w:t>
            </w:r>
            <w:r/>
          </w:p>
          <w:p>
            <w:pPr>
              <w:ind w:firstLine="120"/>
              <w:jc w:val="center"/>
              <w:rPr>
                <w:rFonts w:hint="eastAsia" w:ascii="宋体" w:hAnsi="宋体"/>
                <w:b/>
                <w:sz w:val="24"/>
              </w:rPr>
            </w:pPr>
            <w:r>
              <w:rPr>
                <w:rFonts w:hint="eastAsia" w:ascii="宋体" w:hAnsi="宋体"/>
                <w:b/>
                <w:sz w:val="24"/>
              </w:rPr>
            </w:r>
            <w:r/>
          </w:p>
        </w:tc>
        <w:tc>
          <w:tcPr>
            <w:tcW w:w="5901" w:type="dxa"/>
            <w:vAlign w:val="center"/>
            <w:textDirection w:val="lrTb"/>
            <w:noWrap w:val="false"/>
          </w:tcPr>
          <w:p>
            <w:pPr>
              <w:rPr>
                <w:rFonts w:hint="eastAsia" w:ascii="宋体" w:hAnsi="宋体"/>
                <w:sz w:val="24"/>
              </w:rPr>
            </w:pPr>
            <w:r>
              <w:rPr>
                <w:rFonts w:ascii="宋体" w:hAnsi="宋体"/>
                <w:sz w:val="24"/>
              </w:rPr>
              <w:t xml:space="preserve">1、按</w:t>
            </w:r>
            <w:r>
              <w:rPr>
                <w:rFonts w:hint="eastAsia" w:ascii="宋体" w:hAnsi="宋体"/>
                <w:sz w:val="24"/>
              </w:rPr>
              <w:t xml:space="preserve">招标</w:t>
            </w:r>
            <w:r>
              <w:rPr>
                <w:rFonts w:ascii="宋体" w:hAnsi="宋体"/>
                <w:sz w:val="24"/>
              </w:rPr>
              <w:t xml:space="preserve">文件要求有固定的办公和工作场所，具备办公室、值班室、仓库、停车场等场所。确保抢修车在半小时到达现场。 </w:t>
            </w:r>
            <w:r/>
          </w:p>
        </w:tc>
        <w:tc>
          <w:tcPr>
            <w:tcW w:w="6468" w:type="dxa"/>
            <w:vAlign w:val="center"/>
            <w:textDirection w:val="lrTb"/>
            <w:noWrap w:val="false"/>
          </w:tcPr>
          <w:p>
            <w:pPr>
              <w:rPr>
                <w:rFonts w:hint="eastAsia" w:ascii="宋体" w:hAnsi="宋体"/>
                <w:sz w:val="24"/>
              </w:rPr>
            </w:pPr>
            <w:r>
              <w:rPr>
                <w:rFonts w:ascii="宋体" w:hAnsi="宋体"/>
                <w:sz w:val="24"/>
              </w:rPr>
              <w:t xml:space="preserve">1、缺一项扣2000元；</w:t>
            </w:r>
            <w:r/>
          </w:p>
        </w:tc>
      </w:tr>
      <w:tr>
        <w:trPr>
          <w:cantSplit/>
          <w:trHeight w:val="914"/>
        </w:trPr>
        <w:tc>
          <w:tcPr>
            <w:tcW w:w="812" w:type="dxa"/>
            <w:vAlign w:val="center"/>
            <w:vMerge w:val="continue"/>
            <w:textDirection w:val="lrTb"/>
            <w:noWrap w:val="false"/>
          </w:tcPr>
          <w:p>
            <w:pPr>
              <w:jc w:val="center"/>
              <w:rPr>
                <w:rFonts w:hint="eastAsia" w:ascii="宋体" w:hAnsi="宋体"/>
                <w:b/>
                <w:sz w:val="24"/>
              </w:rPr>
            </w:pPr>
            <w:r>
              <w:rPr>
                <w:rFonts w:hint="eastAsia" w:ascii="宋体" w:hAnsi="宋体"/>
                <w:b/>
                <w:sz w:val="24"/>
              </w:rPr>
            </w:r>
            <w:r/>
          </w:p>
        </w:tc>
        <w:tc>
          <w:tcPr>
            <w:tcW w:w="1163"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901" w:type="dxa"/>
            <w:vAlign w:val="center"/>
            <w:textDirection w:val="lrTb"/>
            <w:noWrap w:val="false"/>
          </w:tcPr>
          <w:p>
            <w:pPr>
              <w:rPr>
                <w:rFonts w:hint="eastAsia" w:ascii="宋体" w:hAnsi="宋体"/>
                <w:sz w:val="24"/>
              </w:rPr>
            </w:pPr>
            <w:r>
              <w:rPr>
                <w:rFonts w:ascii="宋体" w:hAnsi="宋体"/>
                <w:sz w:val="24"/>
              </w:rPr>
              <w:t xml:space="preserve">2、按</w:t>
            </w:r>
            <w:r>
              <w:rPr>
                <w:rFonts w:hint="eastAsia" w:ascii="宋体" w:hAnsi="宋体"/>
                <w:sz w:val="24"/>
              </w:rPr>
              <w:t xml:space="preserve">招标</w:t>
            </w:r>
            <w:r>
              <w:rPr>
                <w:rFonts w:ascii="宋体" w:hAnsi="宋体"/>
                <w:sz w:val="24"/>
              </w:rPr>
              <w:t xml:space="preserve">文件要求配备用于路灯维修养护工程的施工机械设备，如路灯升降车、抢修车、维修巡检车辆及相应的电工工具等。 </w:t>
            </w:r>
            <w:r/>
          </w:p>
        </w:tc>
        <w:tc>
          <w:tcPr>
            <w:tcW w:w="6468" w:type="dxa"/>
            <w:vAlign w:val="center"/>
            <w:textDirection w:val="lrTb"/>
            <w:noWrap w:val="false"/>
          </w:tcPr>
          <w:p>
            <w:pPr>
              <w:rPr>
                <w:rFonts w:hint="eastAsia" w:ascii="宋体" w:hAnsi="宋体"/>
                <w:sz w:val="24"/>
              </w:rPr>
            </w:pPr>
            <w:r>
              <w:rPr>
                <w:rFonts w:ascii="宋体" w:hAnsi="宋体"/>
                <w:sz w:val="24"/>
              </w:rPr>
              <w:t xml:space="preserve">1、缺一项扣2000元；</w:t>
            </w:r>
            <w:r/>
          </w:p>
        </w:tc>
      </w:tr>
      <w:tr>
        <w:trPr>
          <w:cantSplit/>
          <w:trHeight w:val="2031"/>
        </w:trPr>
        <w:tc>
          <w:tcPr>
            <w:tcW w:w="812" w:type="dxa"/>
            <w:vAlign w:val="center"/>
            <w:vMerge w:val="continue"/>
            <w:textDirection w:val="lrTb"/>
            <w:noWrap w:val="false"/>
          </w:tcPr>
          <w:p>
            <w:pPr>
              <w:jc w:val="center"/>
              <w:rPr>
                <w:rFonts w:hint="eastAsia" w:ascii="宋体" w:hAnsi="宋体"/>
                <w:b/>
                <w:sz w:val="24"/>
              </w:rPr>
            </w:pPr>
            <w:r>
              <w:rPr>
                <w:rFonts w:hint="eastAsia" w:ascii="宋体" w:hAnsi="宋体"/>
                <w:b/>
                <w:sz w:val="24"/>
              </w:rPr>
            </w:r>
            <w:r/>
          </w:p>
        </w:tc>
        <w:tc>
          <w:tcPr>
            <w:tcW w:w="1163"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901" w:type="dxa"/>
            <w:vAlign w:val="center"/>
            <w:textDirection w:val="lrTb"/>
            <w:noWrap w:val="false"/>
          </w:tcPr>
          <w:p>
            <w:pPr>
              <w:rPr>
                <w:rFonts w:hint="eastAsia" w:ascii="宋体" w:hAnsi="宋体"/>
                <w:sz w:val="24"/>
              </w:rPr>
            </w:pPr>
            <w:r>
              <w:rPr>
                <w:rFonts w:ascii="宋体" w:hAnsi="宋体"/>
                <w:sz w:val="24"/>
              </w:rPr>
              <w:t xml:space="preserve">3、维护单位道路照明设施维护项目部工作人员实行岗位责任制，特种作业人员持证上岗且保持稳定，熟悉所管辖区域内道路照明设施供电、控制、线路等相关情况，作业时统一穿工作服并配备必要的安全防护用品，能按操作规程进行维护作业。 </w:t>
            </w:r>
            <w:r/>
          </w:p>
        </w:tc>
        <w:tc>
          <w:tcPr>
            <w:tcW w:w="6468" w:type="dxa"/>
            <w:vAlign w:val="center"/>
            <w:textDirection w:val="lrTb"/>
            <w:noWrap w:val="false"/>
          </w:tcPr>
          <w:p>
            <w:pPr>
              <w:rPr>
                <w:rFonts w:hint="eastAsia" w:ascii="宋体" w:hAnsi="宋体"/>
                <w:sz w:val="24"/>
              </w:rPr>
            </w:pPr>
            <w:r>
              <w:rPr>
                <w:rFonts w:ascii="宋体" w:hAnsi="宋体"/>
                <w:sz w:val="24"/>
              </w:rPr>
              <w:t xml:space="preserve">1、未实行岗位责任制扣500元；</w:t>
            </w:r>
            <w:r/>
          </w:p>
          <w:p>
            <w:pPr>
              <w:rPr>
                <w:rFonts w:hint="eastAsia" w:ascii="宋体" w:hAnsi="宋体"/>
                <w:sz w:val="24"/>
              </w:rPr>
            </w:pPr>
            <w:r>
              <w:rPr>
                <w:rFonts w:ascii="宋体" w:hAnsi="宋体"/>
                <w:sz w:val="24"/>
              </w:rPr>
              <w:t xml:space="preserve">2、特种作业人员未持证上岗或人员不稳定扣500元；</w:t>
            </w:r>
            <w:r/>
          </w:p>
          <w:p>
            <w:pPr>
              <w:rPr>
                <w:rFonts w:hint="eastAsia" w:ascii="宋体" w:hAnsi="宋体"/>
                <w:sz w:val="24"/>
              </w:rPr>
            </w:pPr>
            <w:r>
              <w:rPr>
                <w:rFonts w:ascii="宋体" w:hAnsi="宋体"/>
                <w:sz w:val="24"/>
              </w:rPr>
              <w:t xml:space="preserve">3、未统一穿工作服并配备必要的安全防护用品扣500元；</w:t>
            </w:r>
            <w:r/>
          </w:p>
          <w:p>
            <w:pPr>
              <w:rPr>
                <w:rFonts w:hint="eastAsia" w:ascii="宋体" w:hAnsi="宋体"/>
                <w:sz w:val="24"/>
              </w:rPr>
            </w:pPr>
            <w:r>
              <w:rPr>
                <w:rFonts w:ascii="宋体" w:hAnsi="宋体"/>
                <w:sz w:val="24"/>
              </w:rPr>
              <w:t xml:space="preserve">4、未按操作规程进行维护作业扣500元；</w:t>
            </w:r>
            <w:r/>
          </w:p>
        </w:tc>
      </w:tr>
      <w:tr>
        <w:trPr>
          <w:cantSplit/>
          <w:trHeight w:val="1199"/>
        </w:trPr>
        <w:tc>
          <w:tcPr>
            <w:tcW w:w="812" w:type="dxa"/>
            <w:vAlign w:val="center"/>
            <w:vMerge w:val="continue"/>
            <w:textDirection w:val="lrTb"/>
            <w:noWrap w:val="false"/>
          </w:tcPr>
          <w:p>
            <w:pPr>
              <w:jc w:val="center"/>
              <w:rPr>
                <w:rFonts w:hint="eastAsia" w:ascii="宋体" w:hAnsi="宋体"/>
                <w:b/>
                <w:sz w:val="24"/>
              </w:rPr>
            </w:pPr>
            <w:r>
              <w:rPr>
                <w:rFonts w:hint="eastAsia" w:ascii="宋体" w:hAnsi="宋体"/>
                <w:b/>
                <w:sz w:val="24"/>
              </w:rPr>
            </w:r>
            <w:r/>
          </w:p>
        </w:tc>
        <w:tc>
          <w:tcPr>
            <w:tcW w:w="1163"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901" w:type="dxa"/>
            <w:vAlign w:val="center"/>
            <w:textDirection w:val="lrTb"/>
            <w:noWrap w:val="false"/>
          </w:tcPr>
          <w:p>
            <w:pPr>
              <w:rPr>
                <w:rFonts w:hint="eastAsia" w:ascii="宋体" w:hAnsi="宋体"/>
                <w:sz w:val="24"/>
              </w:rPr>
            </w:pPr>
            <w:r>
              <w:rPr>
                <w:rFonts w:ascii="宋体" w:hAnsi="宋体"/>
                <w:sz w:val="24"/>
              </w:rPr>
              <w:t xml:space="preserve">4、维护单位必须准备充足的维修材料（如灯杆、灯具、电缆、镇流器、光源、控制箱、接触器、接触器、电缆、避雷器、继电器、熔芯、变压器等）。（2分）</w:t>
            </w:r>
            <w:r/>
          </w:p>
        </w:tc>
        <w:tc>
          <w:tcPr>
            <w:tcW w:w="6468" w:type="dxa"/>
            <w:vAlign w:val="center"/>
            <w:textDirection w:val="lrTb"/>
            <w:noWrap w:val="false"/>
          </w:tcPr>
          <w:p>
            <w:pPr>
              <w:rPr>
                <w:rFonts w:hint="eastAsia" w:ascii="宋体" w:hAnsi="宋体"/>
                <w:sz w:val="24"/>
              </w:rPr>
            </w:pPr>
            <w:r>
              <w:rPr>
                <w:rFonts w:ascii="宋体" w:hAnsi="宋体"/>
                <w:sz w:val="24"/>
              </w:rPr>
              <w:t xml:space="preserve">1、维修材料不充足，每缺一项扣500元；（维修材料与</w:t>
            </w:r>
            <w:r>
              <w:rPr>
                <w:rFonts w:ascii="宋体" w:hAnsi="宋体"/>
                <w:sz w:val="24"/>
              </w:rPr>
              <w:t xml:space="preserve">各维护</w:t>
            </w:r>
            <w:r>
              <w:rPr>
                <w:rFonts w:ascii="宋体" w:hAnsi="宋体"/>
                <w:sz w:val="24"/>
              </w:rPr>
              <w:t xml:space="preserve">区域内设施相对应，如灯杆、灯具、电缆、镇流器、光源、控制箱、接触器、接触器、电缆、避雷器、继电器、熔芯、变压器等）</w:t>
            </w:r>
            <w:r/>
          </w:p>
        </w:tc>
      </w:tr>
      <w:tr>
        <w:trPr>
          <w:cantSplit/>
          <w:trHeight w:val="90"/>
        </w:trPr>
        <w:tc>
          <w:tcPr>
            <w:tcW w:w="812" w:type="dxa"/>
            <w:vAlign w:val="center"/>
            <w:vMerge w:val="continue"/>
            <w:textDirection w:val="lrTb"/>
            <w:noWrap w:val="false"/>
          </w:tcPr>
          <w:p>
            <w:pPr>
              <w:jc w:val="center"/>
              <w:rPr>
                <w:rFonts w:hint="eastAsia" w:ascii="宋体" w:hAnsi="宋体"/>
                <w:b/>
                <w:sz w:val="24"/>
              </w:rPr>
            </w:pPr>
            <w:r>
              <w:rPr>
                <w:rFonts w:hint="eastAsia" w:ascii="宋体" w:hAnsi="宋体"/>
                <w:b/>
                <w:sz w:val="24"/>
              </w:rPr>
            </w:r>
            <w:r/>
          </w:p>
        </w:tc>
        <w:tc>
          <w:tcPr>
            <w:tcW w:w="1163"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5901" w:type="dxa"/>
            <w:vAlign w:val="center"/>
            <w:textDirection w:val="lrTb"/>
            <w:noWrap w:val="false"/>
          </w:tcPr>
          <w:p>
            <w:pPr>
              <w:rPr>
                <w:rFonts w:hint="eastAsia" w:ascii="宋体" w:hAnsi="宋体"/>
                <w:sz w:val="24"/>
              </w:rPr>
            </w:pPr>
            <w:r>
              <w:rPr>
                <w:rFonts w:ascii="宋体" w:hAnsi="宋体"/>
                <w:sz w:val="24"/>
              </w:rPr>
              <w:t xml:space="preserve">5、值班人员24小时在岗，接待投诉时必须热情、诚恳、语气谦和，并做好详细记录。 </w:t>
            </w:r>
            <w:r/>
          </w:p>
        </w:tc>
        <w:tc>
          <w:tcPr>
            <w:tcW w:w="6468" w:type="dxa"/>
            <w:vAlign w:val="center"/>
            <w:textDirection w:val="lrTb"/>
            <w:noWrap w:val="false"/>
          </w:tcPr>
          <w:p>
            <w:pPr>
              <w:rPr>
                <w:rFonts w:hint="eastAsia" w:ascii="宋体" w:hAnsi="宋体"/>
                <w:sz w:val="24"/>
              </w:rPr>
            </w:pPr>
            <w:r>
              <w:rPr>
                <w:rFonts w:ascii="宋体" w:hAnsi="宋体"/>
                <w:sz w:val="24"/>
              </w:rPr>
              <w:t xml:space="preserve">1、维护单位值班人员未24小时在岗，每次扣500元；</w:t>
            </w:r>
            <w:r/>
          </w:p>
          <w:p>
            <w:pPr>
              <w:rPr>
                <w:rFonts w:hint="eastAsia" w:ascii="宋体" w:hAnsi="宋体"/>
                <w:sz w:val="24"/>
              </w:rPr>
            </w:pPr>
            <w:r>
              <w:rPr>
                <w:rFonts w:ascii="宋体" w:hAnsi="宋体"/>
                <w:sz w:val="24"/>
              </w:rPr>
              <w:t xml:space="preserve">2、接听电话不文明引起投诉，每次扣500元；</w:t>
            </w:r>
            <w:r/>
          </w:p>
        </w:tc>
      </w:tr>
      <w:tr>
        <w:trPr>
          <w:cantSplit/>
          <w:trHeight w:val="1365"/>
        </w:trPr>
        <w:tc>
          <w:tcPr>
            <w:tcW w:w="812" w:type="dxa"/>
            <w:vAlign w:val="center"/>
            <w:textDirection w:val="lrTb"/>
            <w:noWrap w:val="false"/>
          </w:tcPr>
          <w:p>
            <w:pPr>
              <w:jc w:val="center"/>
              <w:rPr>
                <w:rFonts w:hint="eastAsia" w:ascii="宋体" w:hAnsi="宋体"/>
                <w:bCs/>
                <w:sz w:val="24"/>
              </w:rPr>
            </w:pPr>
            <w:r>
              <w:rPr>
                <w:rFonts w:ascii="宋体" w:hAnsi="宋体"/>
                <w:bCs/>
                <w:sz w:val="24"/>
              </w:rPr>
              <w:t xml:space="preserve">2</w:t>
            </w:r>
            <w:r/>
          </w:p>
        </w:tc>
        <w:tc>
          <w:tcPr>
            <w:tcW w:w="1163" w:type="dxa"/>
            <w:vAlign w:val="center"/>
            <w:textDirection w:val="lrTb"/>
            <w:noWrap w:val="false"/>
          </w:tcPr>
          <w:p>
            <w:pPr>
              <w:jc w:val="center"/>
              <w:rPr>
                <w:rFonts w:hint="eastAsia" w:ascii="宋体" w:hAnsi="宋体"/>
                <w:sz w:val="24"/>
              </w:rPr>
            </w:pPr>
            <w:r>
              <w:rPr>
                <w:rFonts w:ascii="宋体" w:hAnsi="宋体"/>
                <w:sz w:val="24"/>
              </w:rPr>
              <w:t xml:space="preserve">设</w:t>
            </w:r>
            <w:r/>
          </w:p>
          <w:p>
            <w:pPr>
              <w:jc w:val="center"/>
              <w:rPr>
                <w:rFonts w:hint="eastAsia" w:ascii="宋体" w:hAnsi="宋体"/>
                <w:sz w:val="24"/>
              </w:rPr>
            </w:pPr>
            <w:r>
              <w:rPr>
                <w:rFonts w:ascii="宋体" w:hAnsi="宋体"/>
                <w:sz w:val="24"/>
              </w:rPr>
              <w:t xml:space="preserve">施</w:t>
            </w:r>
            <w:r/>
          </w:p>
          <w:p>
            <w:pPr>
              <w:jc w:val="center"/>
              <w:rPr>
                <w:rFonts w:hint="eastAsia" w:ascii="宋体" w:hAnsi="宋体"/>
                <w:sz w:val="24"/>
              </w:rPr>
            </w:pPr>
            <w:r>
              <w:rPr>
                <w:rFonts w:ascii="宋体" w:hAnsi="宋体"/>
                <w:sz w:val="24"/>
              </w:rPr>
              <w:t xml:space="preserve">整</w:t>
            </w:r>
            <w:r/>
          </w:p>
          <w:p>
            <w:pPr>
              <w:jc w:val="center"/>
              <w:rPr>
                <w:rFonts w:hint="eastAsia" w:ascii="宋体" w:hAnsi="宋体"/>
                <w:sz w:val="24"/>
              </w:rPr>
            </w:pPr>
            <w:r>
              <w:rPr>
                <w:rFonts w:ascii="宋体" w:hAnsi="宋体"/>
                <w:sz w:val="24"/>
              </w:rPr>
              <w:t xml:space="preserve">洁</w:t>
            </w:r>
            <w:r/>
          </w:p>
        </w:tc>
        <w:tc>
          <w:tcPr>
            <w:tcW w:w="5901" w:type="dxa"/>
            <w:vAlign w:val="center"/>
            <w:textDirection w:val="lrTb"/>
            <w:noWrap w:val="false"/>
          </w:tcPr>
          <w:p>
            <w:pPr>
              <w:rPr>
                <w:rFonts w:hint="eastAsia" w:ascii="宋体" w:hAnsi="宋体"/>
                <w:sz w:val="24"/>
              </w:rPr>
            </w:pPr>
            <w:r>
              <w:rPr>
                <w:rFonts w:ascii="宋体" w:hAnsi="宋体"/>
                <w:sz w:val="24"/>
              </w:rPr>
              <w:t xml:space="preserve">考核标准参照《武进区城市照明设施维护质量标准》。 </w:t>
            </w:r>
            <w:r/>
          </w:p>
        </w:tc>
        <w:tc>
          <w:tcPr>
            <w:tcW w:w="6468" w:type="dxa"/>
            <w:vAlign w:val="center"/>
            <w:textDirection w:val="lrTb"/>
            <w:noWrap w:val="false"/>
          </w:tcPr>
          <w:p>
            <w:pPr>
              <w:numPr>
                <w:ilvl w:val="0"/>
                <w:numId w:val="29"/>
              </w:numPr>
              <w:rPr>
                <w:rFonts w:hint="eastAsia" w:ascii="宋体" w:hAnsi="宋体"/>
                <w:sz w:val="24"/>
              </w:rPr>
            </w:pPr>
            <w:r>
              <w:rPr>
                <w:rFonts w:ascii="宋体" w:hAnsi="宋体"/>
                <w:sz w:val="24"/>
              </w:rPr>
              <w:t xml:space="preserve">乱张贴、乱涂写、乱牵挂未及时清除的，每处扣100元；</w:t>
            </w:r>
            <w:r/>
          </w:p>
          <w:p>
            <w:pPr>
              <w:numPr>
                <w:ilvl w:val="0"/>
                <w:numId w:val="29"/>
              </w:numPr>
              <w:rPr>
                <w:rFonts w:hint="eastAsia" w:ascii="宋体" w:hAnsi="宋体"/>
                <w:sz w:val="24"/>
              </w:rPr>
            </w:pPr>
            <w:r>
              <w:rPr>
                <w:rFonts w:ascii="宋体" w:hAnsi="宋体"/>
                <w:sz w:val="24"/>
              </w:rPr>
              <w:t xml:space="preserve">设置户外广告等悬挂物未及时发现或发现后未上报的，</w:t>
            </w:r>
            <w:r>
              <w:rPr>
                <w:rFonts w:ascii="宋体" w:hAnsi="宋体"/>
                <w:sz w:val="24"/>
              </w:rPr>
              <w:t xml:space="preserve">每杆扣100元</w:t>
            </w:r>
            <w:r>
              <w:rPr>
                <w:rFonts w:ascii="宋体" w:hAnsi="宋体"/>
                <w:sz w:val="24"/>
              </w:rPr>
              <w:t xml:space="preserve">；</w:t>
            </w:r>
            <w:r/>
          </w:p>
          <w:p>
            <w:pPr>
              <w:numPr>
                <w:ilvl w:val="0"/>
                <w:numId w:val="29"/>
              </w:numPr>
              <w:rPr>
                <w:rFonts w:hint="eastAsia" w:ascii="宋体" w:hAnsi="宋体"/>
                <w:sz w:val="24"/>
              </w:rPr>
            </w:pPr>
            <w:r>
              <w:rPr>
                <w:rFonts w:ascii="宋体" w:hAnsi="宋体"/>
                <w:sz w:val="24"/>
              </w:rPr>
              <w:t xml:space="preserve">灯具、灯杆未及时清洁的，每处扣100元；</w:t>
            </w:r>
            <w:r/>
          </w:p>
          <w:p>
            <w:pPr>
              <w:rPr>
                <w:rFonts w:hint="eastAsia" w:ascii="宋体" w:hAnsi="宋体"/>
                <w:sz w:val="24"/>
              </w:rPr>
            </w:pPr>
            <w:r>
              <w:rPr>
                <w:rFonts w:ascii="宋体" w:hAnsi="宋体"/>
                <w:sz w:val="24"/>
              </w:rPr>
              <w:t xml:space="preserve">4、箱</w:t>
            </w:r>
            <w:r>
              <w:rPr>
                <w:rFonts w:ascii="宋体" w:hAnsi="宋体"/>
                <w:sz w:val="24"/>
              </w:rPr>
              <w:t xml:space="preserve">变设施</w:t>
            </w:r>
            <w:r>
              <w:rPr>
                <w:rFonts w:ascii="宋体" w:hAnsi="宋体"/>
                <w:sz w:val="24"/>
              </w:rPr>
              <w:t xml:space="preserve">未及时清洁的，每处扣200元；</w:t>
            </w:r>
            <w:r/>
          </w:p>
        </w:tc>
      </w:tr>
      <w:tr>
        <w:trPr>
          <w:cantSplit/>
          <w:trHeight w:val="978"/>
        </w:trPr>
        <w:tc>
          <w:tcPr>
            <w:tcW w:w="812" w:type="dxa"/>
            <w:vAlign w:val="center"/>
            <w:textDirection w:val="lrTb"/>
            <w:noWrap w:val="false"/>
          </w:tcPr>
          <w:p>
            <w:pPr>
              <w:jc w:val="center"/>
              <w:rPr>
                <w:rFonts w:hint="eastAsia" w:ascii="宋体" w:hAnsi="宋体"/>
                <w:bCs/>
                <w:sz w:val="24"/>
              </w:rPr>
            </w:pPr>
            <w:r>
              <w:rPr>
                <w:rFonts w:ascii="宋体" w:hAnsi="宋体"/>
                <w:bCs/>
                <w:sz w:val="24"/>
              </w:rPr>
              <w:t xml:space="preserve">3</w:t>
            </w:r>
            <w:r/>
          </w:p>
        </w:tc>
        <w:tc>
          <w:tcPr>
            <w:tcW w:w="1163" w:type="dxa"/>
            <w:vAlign w:val="center"/>
            <w:textDirection w:val="lrTb"/>
            <w:noWrap w:val="false"/>
          </w:tcPr>
          <w:p>
            <w:pPr>
              <w:jc w:val="center"/>
              <w:rPr>
                <w:rFonts w:hint="eastAsia" w:ascii="宋体" w:hAnsi="宋体"/>
                <w:sz w:val="24"/>
              </w:rPr>
            </w:pPr>
            <w:r>
              <w:rPr>
                <w:rFonts w:ascii="宋体" w:hAnsi="宋体"/>
                <w:sz w:val="24"/>
              </w:rPr>
              <w:t xml:space="preserve">亮</w:t>
            </w:r>
            <w:r/>
          </w:p>
          <w:p>
            <w:pPr>
              <w:jc w:val="center"/>
              <w:rPr>
                <w:rFonts w:hint="eastAsia" w:ascii="宋体" w:hAnsi="宋体"/>
                <w:sz w:val="24"/>
              </w:rPr>
            </w:pPr>
            <w:r>
              <w:rPr>
                <w:rFonts w:ascii="宋体" w:hAnsi="宋体"/>
                <w:sz w:val="24"/>
              </w:rPr>
              <w:t xml:space="preserve">灯</w:t>
            </w:r>
            <w:r/>
          </w:p>
          <w:p>
            <w:pPr>
              <w:jc w:val="center"/>
              <w:rPr>
                <w:rFonts w:hint="eastAsia" w:ascii="宋体" w:hAnsi="宋体"/>
                <w:sz w:val="24"/>
              </w:rPr>
            </w:pPr>
            <w:r>
              <w:rPr>
                <w:rFonts w:ascii="宋体" w:hAnsi="宋体"/>
                <w:sz w:val="24"/>
              </w:rPr>
              <w:t xml:space="preserve">率</w:t>
            </w:r>
            <w:r/>
          </w:p>
        </w:tc>
        <w:tc>
          <w:tcPr>
            <w:tcW w:w="5901" w:type="dxa"/>
            <w:vAlign w:val="center"/>
            <w:textDirection w:val="lrTb"/>
            <w:noWrap w:val="false"/>
          </w:tcPr>
          <w:p>
            <w:pPr>
              <w:rPr>
                <w:rFonts w:hint="eastAsia" w:ascii="宋体" w:hAnsi="宋体"/>
                <w:sz w:val="24"/>
              </w:rPr>
            </w:pPr>
            <w:r>
              <w:rPr>
                <w:rFonts w:ascii="宋体" w:hAnsi="宋体"/>
                <w:sz w:val="24"/>
              </w:rPr>
              <w:t xml:space="preserve">亮灯率标准为≥98％。 </w:t>
            </w:r>
            <w:r/>
          </w:p>
        </w:tc>
        <w:tc>
          <w:tcPr>
            <w:tcW w:w="6468" w:type="dxa"/>
            <w:vAlign w:val="center"/>
            <w:textDirection w:val="lrTb"/>
            <w:noWrap w:val="false"/>
          </w:tcPr>
          <w:p>
            <w:pPr>
              <w:rPr>
                <w:rFonts w:hint="eastAsia" w:ascii="宋体" w:hAnsi="宋体"/>
                <w:sz w:val="24"/>
              </w:rPr>
            </w:pPr>
            <w:r>
              <w:rPr>
                <w:rFonts w:ascii="宋体" w:hAnsi="宋体"/>
                <w:sz w:val="24"/>
              </w:rPr>
              <w:t xml:space="preserve">1、亮灯率每低0.01%，扣50元；</w:t>
            </w:r>
            <w:r/>
          </w:p>
        </w:tc>
      </w:tr>
      <w:tr>
        <w:trPr>
          <w:cantSplit/>
          <w:trHeight w:val="1858"/>
        </w:trPr>
        <w:tc>
          <w:tcPr>
            <w:tcW w:w="812" w:type="dxa"/>
            <w:vAlign w:val="center"/>
            <w:textDirection w:val="lrTb"/>
            <w:noWrap w:val="false"/>
          </w:tcPr>
          <w:p>
            <w:pPr>
              <w:jc w:val="center"/>
              <w:rPr>
                <w:rFonts w:hint="eastAsia" w:ascii="宋体" w:hAnsi="宋体"/>
                <w:sz w:val="24"/>
              </w:rPr>
            </w:pPr>
            <w:r>
              <w:rPr>
                <w:rFonts w:ascii="宋体" w:hAnsi="宋体"/>
                <w:sz w:val="24"/>
              </w:rPr>
              <w:t xml:space="preserve">4</w:t>
            </w:r>
            <w:r/>
          </w:p>
        </w:tc>
        <w:tc>
          <w:tcPr>
            <w:tcW w:w="1163" w:type="dxa"/>
            <w:vAlign w:val="center"/>
            <w:textDirection w:val="lrTb"/>
            <w:noWrap w:val="false"/>
          </w:tcPr>
          <w:p>
            <w:pPr>
              <w:jc w:val="center"/>
              <w:rPr>
                <w:rFonts w:hint="eastAsia" w:ascii="宋体" w:hAnsi="宋体"/>
                <w:sz w:val="24"/>
              </w:rPr>
            </w:pPr>
            <w:r>
              <w:rPr>
                <w:rFonts w:ascii="宋体" w:hAnsi="宋体"/>
                <w:sz w:val="24"/>
              </w:rPr>
              <w:t xml:space="preserve">设</w:t>
            </w:r>
            <w:r/>
          </w:p>
          <w:p>
            <w:pPr>
              <w:jc w:val="center"/>
              <w:rPr>
                <w:rFonts w:hint="eastAsia" w:ascii="宋体" w:hAnsi="宋体"/>
                <w:sz w:val="24"/>
              </w:rPr>
            </w:pPr>
            <w:r>
              <w:rPr>
                <w:rFonts w:ascii="宋体" w:hAnsi="宋体"/>
                <w:sz w:val="24"/>
              </w:rPr>
              <w:t xml:space="preserve">施</w:t>
            </w:r>
            <w:r/>
          </w:p>
          <w:p>
            <w:pPr>
              <w:jc w:val="center"/>
              <w:rPr>
                <w:rFonts w:hint="eastAsia" w:ascii="宋体" w:hAnsi="宋体"/>
                <w:sz w:val="24"/>
              </w:rPr>
            </w:pPr>
            <w:r>
              <w:rPr>
                <w:rFonts w:ascii="宋体" w:hAnsi="宋体"/>
                <w:sz w:val="24"/>
              </w:rPr>
              <w:t xml:space="preserve">完</w:t>
            </w:r>
            <w:r/>
          </w:p>
          <w:p>
            <w:pPr>
              <w:jc w:val="center"/>
              <w:rPr>
                <w:rFonts w:hint="eastAsia" w:ascii="宋体" w:hAnsi="宋体"/>
                <w:sz w:val="24"/>
              </w:rPr>
            </w:pPr>
            <w:r>
              <w:rPr>
                <w:rFonts w:ascii="宋体" w:hAnsi="宋体"/>
                <w:sz w:val="24"/>
              </w:rPr>
              <w:t xml:space="preserve">好</w:t>
            </w:r>
            <w:r/>
          </w:p>
        </w:tc>
        <w:tc>
          <w:tcPr>
            <w:tcW w:w="5901" w:type="dxa"/>
            <w:vAlign w:val="center"/>
            <w:textDirection w:val="lrTb"/>
            <w:noWrap w:val="false"/>
          </w:tcPr>
          <w:p>
            <w:pPr>
              <w:rPr>
                <w:rFonts w:hint="eastAsia" w:ascii="宋体" w:hAnsi="宋体"/>
                <w:sz w:val="24"/>
              </w:rPr>
            </w:pPr>
            <w:r>
              <w:rPr>
                <w:rFonts w:ascii="宋体" w:hAnsi="宋体"/>
                <w:sz w:val="24"/>
              </w:rPr>
              <w:t xml:space="preserve">考核标准参照《武进区城市照明设施维护质量标准》  </w:t>
            </w:r>
            <w:r/>
          </w:p>
        </w:tc>
        <w:tc>
          <w:tcPr>
            <w:tcW w:w="6468" w:type="dxa"/>
            <w:vAlign w:val="center"/>
            <w:textDirection w:val="lrTb"/>
            <w:noWrap w:val="false"/>
          </w:tcPr>
          <w:p>
            <w:pPr>
              <w:ind w:left="1"/>
              <w:rPr>
                <w:rFonts w:hint="eastAsia" w:ascii="宋体" w:hAnsi="宋体"/>
                <w:sz w:val="24"/>
              </w:rPr>
            </w:pPr>
            <w:r>
              <w:rPr>
                <w:rFonts w:ascii="宋体" w:hAnsi="宋体"/>
                <w:sz w:val="24"/>
              </w:rPr>
              <w:t xml:space="preserve">1、配电设施、架空线路、电缆线路、照明器具、专用灯杆不符合要求，每处扣50元；</w:t>
            </w:r>
            <w:r/>
          </w:p>
          <w:p>
            <w:pPr>
              <w:ind w:left="1"/>
              <w:rPr>
                <w:rFonts w:hint="eastAsia" w:ascii="宋体" w:hAnsi="宋体"/>
                <w:sz w:val="24"/>
              </w:rPr>
            </w:pPr>
            <w:r>
              <w:rPr>
                <w:rFonts w:ascii="宋体" w:hAnsi="宋体"/>
                <w:sz w:val="24"/>
              </w:rPr>
              <w:t xml:space="preserve">2、三遥、时控器、节电器不符合要求，每处扣200元</w:t>
            </w:r>
            <w:r/>
          </w:p>
          <w:p>
            <w:pPr>
              <w:ind w:left="1"/>
              <w:rPr>
                <w:rFonts w:hint="eastAsia" w:ascii="宋体" w:hAnsi="宋体"/>
                <w:sz w:val="24"/>
              </w:rPr>
            </w:pPr>
            <w:r>
              <w:rPr>
                <w:rFonts w:ascii="宋体" w:hAnsi="宋体"/>
                <w:sz w:val="24"/>
              </w:rPr>
              <w:t xml:space="preserve">3、</w:t>
            </w:r>
            <w:r>
              <w:rPr>
                <w:rFonts w:ascii="宋体" w:hAnsi="宋体"/>
                <w:sz w:val="24"/>
              </w:rPr>
              <w:t xml:space="preserve">高杆</w:t>
            </w:r>
            <w:r>
              <w:rPr>
                <w:rFonts w:ascii="宋体" w:hAnsi="宋体"/>
                <w:sz w:val="24"/>
              </w:rPr>
              <w:t xml:space="preserve">灯不符合要求，每处扣500元；</w:t>
            </w:r>
            <w:r/>
          </w:p>
          <w:p>
            <w:pPr>
              <w:ind w:left="1"/>
              <w:rPr>
                <w:rFonts w:hint="eastAsia" w:ascii="宋体" w:hAnsi="宋体"/>
                <w:sz w:val="24"/>
              </w:rPr>
            </w:pPr>
            <w:r>
              <w:rPr>
                <w:rFonts w:ascii="宋体" w:hAnsi="宋体"/>
                <w:sz w:val="24"/>
              </w:rPr>
              <w:t xml:space="preserve">4、因维护不当造成设施存在安全隐患的每处扣1000元。</w:t>
            </w:r>
            <w:r/>
          </w:p>
        </w:tc>
      </w:tr>
      <w:tr>
        <w:trPr>
          <w:cantSplit/>
          <w:trHeight w:val="1550"/>
        </w:trPr>
        <w:tc>
          <w:tcPr>
            <w:tcW w:w="812" w:type="dxa"/>
            <w:vAlign w:val="center"/>
            <w:textDirection w:val="lrTb"/>
            <w:noWrap w:val="false"/>
          </w:tcPr>
          <w:p>
            <w:pPr>
              <w:jc w:val="center"/>
              <w:rPr>
                <w:rFonts w:hint="eastAsia" w:ascii="宋体" w:hAnsi="宋体"/>
                <w:bCs/>
                <w:sz w:val="24"/>
              </w:rPr>
            </w:pPr>
            <w:r>
              <w:rPr>
                <w:rFonts w:ascii="宋体" w:hAnsi="宋体"/>
                <w:bCs/>
                <w:sz w:val="24"/>
              </w:rPr>
              <w:t xml:space="preserve">5</w:t>
            </w:r>
            <w:r/>
          </w:p>
        </w:tc>
        <w:tc>
          <w:tcPr>
            <w:tcW w:w="1163" w:type="dxa"/>
            <w:vAlign w:val="center"/>
            <w:textDirection w:val="lrTb"/>
            <w:noWrap w:val="false"/>
          </w:tcPr>
          <w:p>
            <w:pPr>
              <w:jc w:val="center"/>
              <w:rPr>
                <w:rFonts w:hint="eastAsia" w:ascii="宋体" w:hAnsi="宋体"/>
                <w:sz w:val="24"/>
              </w:rPr>
            </w:pPr>
            <w:r>
              <w:rPr>
                <w:rFonts w:ascii="宋体" w:hAnsi="宋体"/>
                <w:sz w:val="24"/>
              </w:rPr>
              <w:t xml:space="preserve">运行故障</w:t>
            </w:r>
            <w:r/>
          </w:p>
        </w:tc>
        <w:tc>
          <w:tcPr>
            <w:tcW w:w="5901" w:type="dxa"/>
            <w:vAlign w:val="center"/>
            <w:textDirection w:val="lrTb"/>
            <w:noWrap w:val="false"/>
          </w:tcPr>
          <w:p>
            <w:pPr>
              <w:rPr>
                <w:rFonts w:hint="eastAsia" w:ascii="宋体" w:hAnsi="宋体"/>
                <w:sz w:val="24"/>
              </w:rPr>
            </w:pPr>
            <w:r>
              <w:rPr>
                <w:rFonts w:ascii="宋体" w:hAnsi="宋体"/>
                <w:sz w:val="24"/>
              </w:rPr>
              <w:t xml:space="preserve">1、维护单位需要在白天开灯检修时，应事先经批准。</w:t>
            </w:r>
            <w:r/>
          </w:p>
          <w:p>
            <w:pPr>
              <w:rPr>
                <w:rFonts w:hint="eastAsia" w:ascii="宋体" w:hAnsi="宋体"/>
                <w:sz w:val="24"/>
              </w:rPr>
            </w:pPr>
            <w:r>
              <w:rPr>
                <w:rFonts w:ascii="宋体" w:hAnsi="宋体"/>
                <w:sz w:val="24"/>
              </w:rPr>
              <w:t xml:space="preserve">2、无因维护单位原因造成的成片或成线的灭灯。</w:t>
            </w:r>
            <w:r/>
          </w:p>
        </w:tc>
        <w:tc>
          <w:tcPr>
            <w:tcW w:w="6468" w:type="dxa"/>
            <w:vAlign w:val="center"/>
            <w:textDirection w:val="lrTb"/>
            <w:noWrap w:val="false"/>
          </w:tcPr>
          <w:p>
            <w:pPr>
              <w:rPr>
                <w:rFonts w:hint="eastAsia" w:ascii="宋体" w:hAnsi="宋体"/>
                <w:sz w:val="24"/>
              </w:rPr>
            </w:pPr>
            <w:r>
              <w:rPr>
                <w:rFonts w:ascii="宋体" w:hAnsi="宋体"/>
                <w:sz w:val="24"/>
              </w:rPr>
              <w:t xml:space="preserve">1、未经批准白天开灯每次扣1000元；</w:t>
            </w:r>
            <w:r/>
          </w:p>
          <w:p>
            <w:pPr>
              <w:rPr>
                <w:rFonts w:hint="eastAsia" w:ascii="宋体" w:hAnsi="宋体"/>
                <w:sz w:val="24"/>
              </w:rPr>
            </w:pPr>
            <w:r>
              <w:rPr>
                <w:rFonts w:ascii="宋体" w:hAnsi="宋体"/>
                <w:sz w:val="24"/>
              </w:rPr>
              <w:t xml:space="preserve">2、因维护单位原因造成成片或成线灭灯每次扣100元；</w:t>
            </w:r>
            <w:r/>
          </w:p>
        </w:tc>
      </w:tr>
      <w:tr>
        <w:trPr>
          <w:cantSplit/>
          <w:trHeight w:val="1905"/>
        </w:trPr>
        <w:tc>
          <w:tcPr>
            <w:tcW w:w="812" w:type="dxa"/>
            <w:vAlign w:val="center"/>
            <w:textDirection w:val="lrTb"/>
            <w:noWrap w:val="false"/>
          </w:tcPr>
          <w:p>
            <w:pPr>
              <w:jc w:val="center"/>
              <w:rPr>
                <w:rFonts w:hint="eastAsia" w:ascii="宋体" w:hAnsi="宋体"/>
                <w:bCs/>
                <w:sz w:val="24"/>
              </w:rPr>
            </w:pPr>
            <w:r>
              <w:rPr>
                <w:rFonts w:ascii="宋体" w:hAnsi="宋体"/>
                <w:bCs/>
                <w:sz w:val="24"/>
              </w:rPr>
              <w:t xml:space="preserve">6</w:t>
            </w:r>
            <w:r/>
          </w:p>
        </w:tc>
        <w:tc>
          <w:tcPr>
            <w:tcW w:w="1163" w:type="dxa"/>
            <w:vAlign w:val="center"/>
            <w:textDirection w:val="lrTb"/>
            <w:noWrap w:val="false"/>
          </w:tcPr>
          <w:p>
            <w:pPr>
              <w:jc w:val="center"/>
              <w:rPr>
                <w:rFonts w:hint="eastAsia" w:ascii="宋体" w:hAnsi="宋体"/>
                <w:sz w:val="24"/>
              </w:rPr>
            </w:pPr>
            <w:r>
              <w:rPr>
                <w:rFonts w:ascii="宋体" w:hAnsi="宋体"/>
                <w:sz w:val="24"/>
              </w:rPr>
              <w:t xml:space="preserve">及</w:t>
            </w:r>
            <w:r/>
          </w:p>
          <w:p>
            <w:pPr>
              <w:jc w:val="center"/>
              <w:rPr>
                <w:rFonts w:hint="eastAsia" w:ascii="宋体" w:hAnsi="宋体"/>
                <w:sz w:val="24"/>
              </w:rPr>
            </w:pPr>
            <w:r>
              <w:rPr>
                <w:rFonts w:ascii="宋体" w:hAnsi="宋体"/>
                <w:sz w:val="24"/>
              </w:rPr>
              <w:t xml:space="preserve">时</w:t>
            </w:r>
            <w:r/>
          </w:p>
          <w:p>
            <w:pPr>
              <w:jc w:val="center"/>
              <w:rPr>
                <w:rFonts w:hint="eastAsia" w:ascii="宋体" w:hAnsi="宋体"/>
                <w:sz w:val="24"/>
              </w:rPr>
            </w:pPr>
            <w:r>
              <w:rPr>
                <w:rFonts w:ascii="宋体" w:hAnsi="宋体"/>
                <w:sz w:val="24"/>
              </w:rPr>
              <w:t xml:space="preserve">性</w:t>
            </w:r>
            <w:r/>
          </w:p>
        </w:tc>
        <w:tc>
          <w:tcPr>
            <w:tcW w:w="5901" w:type="dxa"/>
            <w:vAlign w:val="center"/>
            <w:textDirection w:val="lrTb"/>
            <w:noWrap w:val="false"/>
          </w:tcPr>
          <w:p>
            <w:pPr>
              <w:rPr>
                <w:rFonts w:hint="eastAsia" w:ascii="宋体" w:hAnsi="宋体"/>
                <w:sz w:val="24"/>
              </w:rPr>
            </w:pPr>
            <w:r>
              <w:rPr>
                <w:rFonts w:ascii="宋体" w:hAnsi="宋体"/>
                <w:sz w:val="24"/>
              </w:rPr>
              <w:t xml:space="preserve">1、如遇抢修要求30分钟内到达现场，一般故障24小时内修复，复杂故障48小时内修复。（遇恶劣天气、工程量较大等特殊原因需向照明管理处申请并经同意后可延长修复时间）</w:t>
            </w:r>
            <w:r/>
          </w:p>
          <w:p>
            <w:pPr>
              <w:rPr>
                <w:rFonts w:hint="eastAsia" w:ascii="宋体" w:hAnsi="宋体"/>
                <w:sz w:val="24"/>
              </w:rPr>
            </w:pPr>
            <w:r>
              <w:rPr>
                <w:rFonts w:ascii="宋体" w:hAnsi="宋体"/>
                <w:sz w:val="24"/>
              </w:rPr>
              <w:t xml:space="preserve">2、投诉及故障处理结束后，应在立即报甲方。</w:t>
            </w:r>
            <w:r/>
          </w:p>
          <w:p>
            <w:pPr>
              <w:rPr>
                <w:rFonts w:hint="eastAsia" w:ascii="宋体" w:hAnsi="宋体"/>
                <w:sz w:val="24"/>
              </w:rPr>
            </w:pPr>
            <w:r>
              <w:rPr>
                <w:rFonts w:ascii="宋体" w:hAnsi="宋体"/>
                <w:sz w:val="24"/>
              </w:rPr>
              <w:t xml:space="preserve">3、交办的任务应按施工质量要求施工并能及时完成（如零星工程、移交验收等）。</w:t>
            </w:r>
            <w:r/>
          </w:p>
        </w:tc>
        <w:tc>
          <w:tcPr>
            <w:tcW w:w="6468" w:type="dxa"/>
            <w:vAlign w:val="center"/>
            <w:textDirection w:val="lrTb"/>
            <w:noWrap w:val="false"/>
          </w:tcPr>
          <w:p>
            <w:pPr>
              <w:rPr>
                <w:rFonts w:hint="eastAsia" w:ascii="宋体" w:hAnsi="宋体"/>
                <w:sz w:val="24"/>
              </w:rPr>
            </w:pPr>
            <w:r>
              <w:rPr>
                <w:rFonts w:ascii="宋体" w:hAnsi="宋体"/>
                <w:sz w:val="24"/>
              </w:rPr>
              <w:t xml:space="preserve">1、抢修未能在30分钟内赶到现场每次扣200元；</w:t>
            </w:r>
            <w:r/>
          </w:p>
          <w:p>
            <w:pPr>
              <w:rPr>
                <w:rFonts w:hint="eastAsia" w:ascii="宋体" w:hAnsi="宋体"/>
                <w:sz w:val="24"/>
              </w:rPr>
            </w:pPr>
            <w:r>
              <w:rPr>
                <w:rFonts w:ascii="宋体" w:hAnsi="宋体"/>
                <w:sz w:val="24"/>
              </w:rPr>
              <w:t xml:space="preserve">2、故障未能及时修复或故障未能彻底修复引起重复投诉的每次扣200元；</w:t>
            </w:r>
            <w:r/>
          </w:p>
          <w:p>
            <w:pPr>
              <w:rPr>
                <w:rFonts w:hint="eastAsia" w:ascii="宋体" w:hAnsi="宋体"/>
                <w:sz w:val="24"/>
              </w:rPr>
            </w:pPr>
            <w:r>
              <w:rPr>
                <w:rFonts w:ascii="宋体" w:hAnsi="宋体"/>
                <w:sz w:val="24"/>
              </w:rPr>
              <w:t xml:space="preserve">3、投诉及故障处理结束后未及时回复的每次扣100元；</w:t>
            </w:r>
            <w:r/>
          </w:p>
          <w:p>
            <w:pPr>
              <w:rPr>
                <w:rFonts w:hint="eastAsia" w:ascii="宋体" w:hAnsi="宋体"/>
                <w:sz w:val="24"/>
              </w:rPr>
            </w:pPr>
            <w:r>
              <w:rPr>
                <w:rFonts w:ascii="宋体" w:hAnsi="宋体"/>
                <w:sz w:val="24"/>
              </w:rPr>
              <w:t xml:space="preserve">4、交办任务未按施工质量要求施工或未能及时完成每次扣200元；</w:t>
            </w:r>
            <w:r/>
          </w:p>
        </w:tc>
      </w:tr>
      <w:tr>
        <w:trPr>
          <w:cantSplit/>
          <w:trHeight w:val="4239"/>
        </w:trPr>
        <w:tc>
          <w:tcPr>
            <w:tcW w:w="812" w:type="dxa"/>
            <w:vAlign w:val="center"/>
            <w:textDirection w:val="lrTb"/>
            <w:noWrap w:val="false"/>
          </w:tcPr>
          <w:p>
            <w:pPr>
              <w:jc w:val="center"/>
              <w:rPr>
                <w:rFonts w:hint="eastAsia" w:ascii="宋体" w:hAnsi="宋体"/>
                <w:bCs/>
                <w:sz w:val="24"/>
              </w:rPr>
            </w:pPr>
            <w:r>
              <w:rPr>
                <w:rFonts w:ascii="宋体" w:hAnsi="宋体"/>
                <w:bCs/>
                <w:sz w:val="24"/>
              </w:rPr>
              <w:t xml:space="preserve">7</w:t>
            </w:r>
            <w:r/>
          </w:p>
        </w:tc>
        <w:tc>
          <w:tcPr>
            <w:tcW w:w="1163" w:type="dxa"/>
            <w:vAlign w:val="center"/>
            <w:textDirection w:val="lrTb"/>
            <w:noWrap w:val="false"/>
          </w:tcPr>
          <w:p>
            <w:pPr>
              <w:jc w:val="center"/>
              <w:rPr>
                <w:rFonts w:hint="eastAsia" w:ascii="宋体" w:hAnsi="宋体"/>
                <w:sz w:val="24"/>
              </w:rPr>
            </w:pPr>
            <w:r>
              <w:rPr>
                <w:rFonts w:ascii="宋体" w:hAnsi="宋体"/>
                <w:sz w:val="24"/>
              </w:rPr>
              <w:t xml:space="preserve">安</w:t>
            </w:r>
            <w:r/>
          </w:p>
          <w:p>
            <w:pPr>
              <w:jc w:val="center"/>
              <w:rPr>
                <w:rFonts w:hint="eastAsia" w:ascii="宋体" w:hAnsi="宋体"/>
                <w:sz w:val="24"/>
              </w:rPr>
            </w:pPr>
            <w:r>
              <w:rPr>
                <w:rFonts w:ascii="宋体" w:hAnsi="宋体"/>
                <w:sz w:val="24"/>
              </w:rPr>
              <w:t xml:space="preserve">全</w:t>
            </w:r>
            <w:r/>
          </w:p>
          <w:p>
            <w:pPr>
              <w:jc w:val="center"/>
              <w:rPr>
                <w:rFonts w:hint="eastAsia" w:ascii="宋体" w:hAnsi="宋体"/>
                <w:sz w:val="24"/>
              </w:rPr>
            </w:pPr>
            <w:r>
              <w:rPr>
                <w:rFonts w:ascii="宋体" w:hAnsi="宋体"/>
                <w:sz w:val="24"/>
              </w:rPr>
              <w:t xml:space="preserve">生</w:t>
            </w:r>
            <w:r/>
          </w:p>
          <w:p>
            <w:pPr>
              <w:jc w:val="center"/>
              <w:rPr>
                <w:rFonts w:hint="eastAsia" w:ascii="宋体" w:hAnsi="宋体"/>
                <w:sz w:val="24"/>
              </w:rPr>
            </w:pPr>
            <w:r>
              <w:rPr>
                <w:rFonts w:ascii="宋体" w:hAnsi="宋体"/>
                <w:sz w:val="24"/>
              </w:rPr>
              <w:t xml:space="preserve">产</w:t>
            </w:r>
            <w:r/>
          </w:p>
          <w:p>
            <w:pPr>
              <w:jc w:val="center"/>
              <w:rPr>
                <w:rFonts w:hint="eastAsia" w:ascii="宋体" w:hAnsi="宋体"/>
                <w:sz w:val="24"/>
              </w:rPr>
            </w:pPr>
            <w:r>
              <w:rPr>
                <w:rFonts w:hint="eastAsia" w:ascii="宋体" w:hAnsi="宋体"/>
                <w:sz w:val="24"/>
              </w:rPr>
            </w:r>
            <w:r/>
          </w:p>
        </w:tc>
        <w:tc>
          <w:tcPr>
            <w:tcW w:w="5901" w:type="dxa"/>
            <w:vAlign w:val="center"/>
            <w:textDirection w:val="lrTb"/>
            <w:noWrap w:val="false"/>
          </w:tcPr>
          <w:p>
            <w:pPr>
              <w:rPr>
                <w:rFonts w:hint="eastAsia" w:ascii="宋体" w:hAnsi="宋体"/>
                <w:sz w:val="24"/>
              </w:rPr>
            </w:pPr>
            <w:r>
              <w:rPr>
                <w:rFonts w:ascii="宋体" w:hAnsi="宋体"/>
                <w:sz w:val="24"/>
              </w:rPr>
              <w:t xml:space="preserve">制度齐全、措施落实、无生产安全责任事故。 </w:t>
            </w:r>
            <w:r/>
          </w:p>
        </w:tc>
        <w:tc>
          <w:tcPr>
            <w:tcW w:w="6468" w:type="dxa"/>
            <w:vAlign w:val="center"/>
            <w:textDirection w:val="lrTb"/>
            <w:noWrap w:val="false"/>
          </w:tcPr>
          <w:p>
            <w:pPr>
              <w:pStyle w:val="1354"/>
              <w:ind w:right="210" w:firstLine="0"/>
              <w:spacing w:before="120" w:after="120"/>
              <w:rPr>
                <w:rFonts w:hint="eastAsia" w:ascii="宋体" w:hAnsi="宋体"/>
                <w:sz w:val="24"/>
              </w:rPr>
            </w:pPr>
            <w:r>
              <w:rPr>
                <w:rFonts w:hint="eastAsia" w:ascii="宋体" w:hAnsi="宋体"/>
                <w:sz w:val="24"/>
              </w:rPr>
              <w:t xml:space="preserve">1.未经管理部门批准，随意更换项目经理、安全员或维护电工，每发现一人次扣3000元。</w:t>
            </w:r>
            <w:r/>
          </w:p>
          <w:p>
            <w:pPr>
              <w:pStyle w:val="1354"/>
              <w:ind w:right="210" w:firstLine="0"/>
              <w:spacing w:before="120" w:after="120"/>
              <w:rPr>
                <w:rFonts w:hint="eastAsia" w:ascii="宋体" w:hAnsi="宋体"/>
                <w:sz w:val="24"/>
              </w:rPr>
            </w:pPr>
            <w:r>
              <w:rPr>
                <w:rFonts w:hint="eastAsia" w:ascii="宋体" w:hAnsi="宋体"/>
                <w:sz w:val="24"/>
              </w:rPr>
              <w:t xml:space="preserve">2.无安全生产方案，无应急预案，安全制度未上墙，安全措施未落实，或未按安全规程要求组织维护工作，每项扣500元。</w:t>
            </w:r>
            <w:r/>
          </w:p>
          <w:p>
            <w:pPr>
              <w:pStyle w:val="1354"/>
              <w:ind w:right="210" w:firstLine="0"/>
              <w:spacing w:before="120" w:after="120"/>
              <w:rPr>
                <w:rFonts w:hint="eastAsia" w:ascii="宋体" w:hAnsi="宋体"/>
                <w:sz w:val="24"/>
              </w:rPr>
            </w:pPr>
            <w:r>
              <w:rPr>
                <w:rFonts w:hint="eastAsia" w:ascii="宋体" w:hAnsi="宋体"/>
                <w:sz w:val="24"/>
              </w:rPr>
              <w:t xml:space="preserve">3.对安全检查中存在的问题未按时落实整改，每次扣1000元。</w:t>
            </w:r>
            <w:r/>
          </w:p>
          <w:p>
            <w:pPr>
              <w:pStyle w:val="1354"/>
              <w:ind w:right="210" w:firstLine="0"/>
              <w:spacing w:before="120" w:after="120"/>
              <w:rPr>
                <w:rFonts w:hint="eastAsia" w:ascii="宋体" w:hAnsi="宋体"/>
                <w:sz w:val="24"/>
              </w:rPr>
            </w:pPr>
            <w:r>
              <w:rPr>
                <w:rFonts w:hint="eastAsia" w:ascii="宋体" w:hAnsi="宋体"/>
                <w:sz w:val="24"/>
              </w:rPr>
              <w:t xml:space="preserve">4.发生安全事故应立即告知管理部门，并在事故发生后24小时内书面上报事故说明，未告知或上报每次扣500元；15天内应形成事故分析报告，未上报每次扣300元。</w:t>
            </w:r>
            <w:r/>
          </w:p>
          <w:p>
            <w:pPr>
              <w:pStyle w:val="1354"/>
              <w:ind w:right="210" w:firstLine="0"/>
              <w:spacing w:before="120" w:after="120"/>
              <w:rPr>
                <w:rFonts w:hint="eastAsia" w:ascii="宋体" w:hAnsi="宋体"/>
                <w:sz w:val="24"/>
              </w:rPr>
            </w:pPr>
            <w:r>
              <w:rPr>
                <w:rFonts w:hint="eastAsia" w:ascii="宋体" w:hAnsi="宋体"/>
                <w:sz w:val="24"/>
              </w:rPr>
              <w:t xml:space="preserve">5.发生一般安全事故未造成人身伤害，经认定为全责或主责的，扣2000元；同责的扣1000元；</w:t>
            </w:r>
            <w:r>
              <w:rPr>
                <w:rFonts w:hint="eastAsia" w:ascii="宋体" w:hAnsi="宋体"/>
                <w:sz w:val="24"/>
              </w:rPr>
              <w:t xml:space="preserve">次责的</w:t>
            </w:r>
            <w:r>
              <w:rPr>
                <w:rFonts w:hint="eastAsia" w:ascii="宋体" w:hAnsi="宋体"/>
                <w:sz w:val="24"/>
              </w:rPr>
              <w:t xml:space="preserve">扣500元。</w:t>
            </w:r>
            <w:r/>
          </w:p>
          <w:p>
            <w:pPr>
              <w:pStyle w:val="1354"/>
              <w:ind w:right="210" w:firstLine="0"/>
              <w:spacing w:before="120" w:after="120"/>
              <w:rPr>
                <w:rFonts w:hint="eastAsia" w:ascii="宋体" w:hAnsi="宋体"/>
                <w:sz w:val="24"/>
              </w:rPr>
            </w:pPr>
            <w:r>
              <w:rPr>
                <w:rFonts w:hint="eastAsia" w:ascii="宋体" w:hAnsi="宋体"/>
                <w:sz w:val="24"/>
              </w:rPr>
              <w:t xml:space="preserve">6.发生安全事故涉及人身伤害，或造成5万元以上财产损失，或造成恶劣影响，经认定为全责或主责的扣除上月</w:t>
            </w:r>
            <w:r>
              <w:rPr>
                <w:rFonts w:hint="eastAsia" w:ascii="宋体" w:hAnsi="宋体"/>
                <w:sz w:val="24"/>
              </w:rPr>
              <w:t xml:space="preserve">养护款</w:t>
            </w:r>
            <w:r>
              <w:rPr>
                <w:rFonts w:hint="eastAsia" w:ascii="宋体" w:hAnsi="宋体"/>
                <w:sz w:val="24"/>
              </w:rPr>
              <w:t xml:space="preserve">1%；同责的扣5000元；</w:t>
            </w:r>
            <w:r>
              <w:rPr>
                <w:rFonts w:hint="eastAsia" w:ascii="宋体" w:hAnsi="宋体"/>
                <w:sz w:val="24"/>
              </w:rPr>
              <w:t xml:space="preserve">次责的</w:t>
            </w:r>
            <w:r>
              <w:rPr>
                <w:rFonts w:hint="eastAsia" w:ascii="宋体" w:hAnsi="宋体"/>
                <w:sz w:val="24"/>
              </w:rPr>
              <w:t xml:space="preserve">扣3000元。</w:t>
            </w:r>
            <w:r/>
          </w:p>
          <w:p>
            <w:pPr>
              <w:pStyle w:val="1354"/>
              <w:ind w:right="210" w:firstLine="0"/>
              <w:spacing w:before="120" w:after="120"/>
              <w:rPr>
                <w:rFonts w:hint="eastAsia" w:ascii="宋体" w:hAnsi="宋体"/>
                <w:sz w:val="24"/>
              </w:rPr>
            </w:pPr>
            <w:r>
              <w:rPr>
                <w:rFonts w:hint="eastAsia" w:ascii="宋体" w:hAnsi="宋体"/>
                <w:sz w:val="24"/>
              </w:rPr>
              <w:t xml:space="preserve">7.发生责任死亡事故，扣除当月</w:t>
            </w:r>
            <w:r>
              <w:rPr>
                <w:rFonts w:hint="eastAsia" w:ascii="宋体" w:hAnsi="宋体"/>
                <w:sz w:val="24"/>
              </w:rPr>
              <w:t xml:space="preserve">养护款</w:t>
            </w:r>
            <w:r>
              <w:rPr>
                <w:rFonts w:hint="eastAsia" w:ascii="宋体" w:hAnsi="宋体"/>
                <w:sz w:val="24"/>
              </w:rPr>
              <w:t xml:space="preserve">10%。</w:t>
            </w:r>
            <w:r/>
          </w:p>
        </w:tc>
      </w:tr>
      <w:tr>
        <w:trPr>
          <w:cantSplit/>
          <w:trHeight w:val="1982"/>
        </w:trPr>
        <w:tc>
          <w:tcPr>
            <w:tcW w:w="812" w:type="dxa"/>
            <w:vAlign w:val="center"/>
            <w:textDirection w:val="lrTb"/>
            <w:noWrap w:val="false"/>
          </w:tcPr>
          <w:p>
            <w:pPr>
              <w:jc w:val="center"/>
              <w:rPr>
                <w:rFonts w:hint="eastAsia" w:ascii="宋体" w:hAnsi="宋体"/>
                <w:bCs/>
                <w:sz w:val="24"/>
              </w:rPr>
            </w:pPr>
            <w:r>
              <w:rPr>
                <w:rFonts w:ascii="宋体" w:hAnsi="宋体"/>
                <w:bCs/>
                <w:sz w:val="24"/>
              </w:rPr>
              <w:t xml:space="preserve">8</w:t>
            </w:r>
            <w:r/>
          </w:p>
        </w:tc>
        <w:tc>
          <w:tcPr>
            <w:tcW w:w="1163" w:type="dxa"/>
            <w:vAlign w:val="center"/>
            <w:textDirection w:val="lrTb"/>
            <w:noWrap w:val="false"/>
          </w:tcPr>
          <w:p>
            <w:pPr>
              <w:jc w:val="center"/>
              <w:rPr>
                <w:rFonts w:hint="eastAsia" w:ascii="宋体" w:hAnsi="宋体"/>
                <w:sz w:val="24"/>
              </w:rPr>
            </w:pPr>
            <w:r>
              <w:rPr>
                <w:rFonts w:ascii="宋体" w:hAnsi="宋体"/>
                <w:sz w:val="24"/>
              </w:rPr>
              <w:t xml:space="preserve">台</w:t>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ascii="宋体" w:hAnsi="宋体"/>
                <w:sz w:val="24"/>
              </w:rPr>
              <w:t xml:space="preserve">帐</w:t>
            </w:r>
            <w:r/>
          </w:p>
          <w:p>
            <w:pPr>
              <w:jc w:val="center"/>
              <w:rPr>
                <w:rFonts w:hint="eastAsia" w:ascii="宋体" w:hAnsi="宋体"/>
                <w:sz w:val="24"/>
              </w:rPr>
            </w:pPr>
            <w:r>
              <w:rPr>
                <w:rFonts w:hint="eastAsia" w:ascii="宋体" w:hAnsi="宋体"/>
                <w:sz w:val="24"/>
              </w:rPr>
            </w:r>
            <w:r/>
          </w:p>
        </w:tc>
        <w:tc>
          <w:tcPr>
            <w:tcW w:w="5901" w:type="dxa"/>
            <w:vAlign w:val="center"/>
            <w:textDirection w:val="lrTb"/>
            <w:noWrap w:val="false"/>
          </w:tcPr>
          <w:p>
            <w:pPr>
              <w:rPr>
                <w:rFonts w:hint="eastAsia" w:ascii="宋体" w:hAnsi="宋体"/>
                <w:sz w:val="24"/>
              </w:rPr>
            </w:pPr>
            <w:r>
              <w:rPr>
                <w:rFonts w:ascii="宋体" w:hAnsi="宋体"/>
                <w:sz w:val="24"/>
              </w:rPr>
              <w:t xml:space="preserve">巡查、巡修、维护台</w:t>
            </w:r>
            <w:r>
              <w:rPr>
                <w:rFonts w:ascii="宋体" w:hAnsi="宋体"/>
                <w:sz w:val="24"/>
              </w:rPr>
              <w:t xml:space="preserve">帐按照</w:t>
            </w:r>
            <w:r>
              <w:rPr>
                <w:rFonts w:ascii="宋体" w:hAnsi="宋体"/>
                <w:sz w:val="24"/>
              </w:rPr>
              <w:t xml:space="preserve">规定格式要求填写，真实、完整、及时。</w:t>
            </w:r>
            <w:r/>
          </w:p>
          <w:p>
            <w:pPr>
              <w:rPr>
                <w:rFonts w:hint="eastAsia" w:ascii="宋体" w:hAnsi="宋体"/>
                <w:sz w:val="24"/>
              </w:rPr>
            </w:pPr>
            <w:r>
              <w:rPr>
                <w:rFonts w:ascii="宋体" w:hAnsi="宋体"/>
                <w:sz w:val="24"/>
              </w:rPr>
              <w:t xml:space="preserve">1、每周五下午16：00前上报下周维护巡查、</w:t>
            </w:r>
            <w:r>
              <w:rPr>
                <w:rFonts w:ascii="宋体" w:hAnsi="宋体"/>
                <w:sz w:val="24"/>
              </w:rPr>
              <w:t xml:space="preserve">巡修计划</w:t>
            </w:r>
            <w:r>
              <w:rPr>
                <w:rFonts w:ascii="宋体" w:hAnsi="宋体"/>
                <w:sz w:val="24"/>
              </w:rPr>
              <w:t xml:space="preserve">。</w:t>
            </w:r>
            <w:r/>
          </w:p>
          <w:p>
            <w:pPr>
              <w:rPr>
                <w:rFonts w:hint="eastAsia" w:ascii="宋体" w:hAnsi="宋体"/>
                <w:sz w:val="24"/>
              </w:rPr>
            </w:pPr>
            <w:r>
              <w:rPr>
                <w:rFonts w:ascii="宋体" w:hAnsi="宋体"/>
                <w:sz w:val="24"/>
              </w:rPr>
              <w:t xml:space="preserve">2、按计划上报</w:t>
            </w:r>
            <w:r>
              <w:rPr>
                <w:rFonts w:ascii="宋体" w:hAnsi="宋体"/>
                <w:sz w:val="24"/>
              </w:rPr>
              <w:t xml:space="preserve">巡查台</w:t>
            </w:r>
            <w:r>
              <w:rPr>
                <w:rFonts w:ascii="宋体" w:hAnsi="宋体"/>
                <w:sz w:val="24"/>
              </w:rPr>
              <w:t xml:space="preserve">帐、</w:t>
            </w:r>
            <w:r>
              <w:rPr>
                <w:rFonts w:ascii="宋体" w:hAnsi="宋体"/>
                <w:sz w:val="24"/>
              </w:rPr>
              <w:t xml:space="preserve">巡修台</w:t>
            </w:r>
            <w:r>
              <w:rPr>
                <w:rFonts w:ascii="宋体" w:hAnsi="宋体"/>
                <w:sz w:val="24"/>
              </w:rPr>
              <w:t xml:space="preserve">帐</w:t>
            </w:r>
            <w:r/>
          </w:p>
          <w:p>
            <w:pPr>
              <w:rPr>
                <w:rFonts w:hint="eastAsia" w:ascii="宋体" w:hAnsi="宋体"/>
                <w:sz w:val="24"/>
              </w:rPr>
            </w:pPr>
            <w:r>
              <w:rPr>
                <w:rFonts w:ascii="宋体" w:hAnsi="宋体"/>
                <w:sz w:val="24"/>
              </w:rPr>
              <w:t xml:space="preserve">3、每月25日前上报月度维护台帐（整理成册）：巡查记录、</w:t>
            </w:r>
            <w:r>
              <w:rPr>
                <w:rFonts w:ascii="宋体" w:hAnsi="宋体"/>
                <w:sz w:val="24"/>
              </w:rPr>
              <w:t xml:space="preserve">巡修记录</w:t>
            </w:r>
            <w:r>
              <w:rPr>
                <w:rFonts w:ascii="宋体" w:hAnsi="宋体"/>
                <w:sz w:val="24"/>
              </w:rPr>
              <w:t xml:space="preserve">、</w:t>
            </w:r>
            <w:r>
              <w:rPr>
                <w:rFonts w:ascii="宋体" w:hAnsi="宋体"/>
                <w:sz w:val="24"/>
              </w:rPr>
              <w:t xml:space="preserve">安全台</w:t>
            </w:r>
            <w:r>
              <w:rPr>
                <w:rFonts w:ascii="宋体" w:hAnsi="宋体"/>
                <w:sz w:val="24"/>
              </w:rPr>
              <w:t xml:space="preserve">帐、交办事项办理台帐、月度总结等 </w:t>
            </w:r>
            <w:r/>
          </w:p>
        </w:tc>
        <w:tc>
          <w:tcPr>
            <w:tcW w:w="6468" w:type="dxa"/>
            <w:vAlign w:val="center"/>
            <w:textDirection w:val="lrTb"/>
            <w:noWrap w:val="false"/>
          </w:tcPr>
          <w:p>
            <w:pPr>
              <w:widowControl/>
              <w:rPr>
                <w:rFonts w:hint="eastAsia" w:ascii="宋体" w:hAnsi="宋体"/>
                <w:sz w:val="24"/>
              </w:rPr>
            </w:pPr>
            <w:r>
              <w:rPr>
                <w:rFonts w:ascii="宋体" w:hAnsi="宋体"/>
                <w:sz w:val="24"/>
              </w:rPr>
              <w:t xml:space="preserve">1.各类维护台帐不完整，每发现一处扣200元。</w:t>
            </w:r>
            <w:r/>
          </w:p>
          <w:p>
            <w:pPr>
              <w:widowControl/>
              <w:rPr>
                <w:rFonts w:hint="eastAsia" w:ascii="宋体" w:hAnsi="宋体"/>
                <w:sz w:val="24"/>
              </w:rPr>
            </w:pPr>
            <w:r>
              <w:rPr>
                <w:rFonts w:ascii="宋体" w:hAnsi="宋体"/>
                <w:sz w:val="24"/>
              </w:rPr>
              <w:t xml:space="preserve">2.各类维护台</w:t>
            </w:r>
            <w:r>
              <w:rPr>
                <w:rFonts w:ascii="宋体" w:hAnsi="宋体"/>
                <w:sz w:val="24"/>
              </w:rPr>
              <w:t xml:space="preserve">帐记录</w:t>
            </w:r>
            <w:r>
              <w:rPr>
                <w:rFonts w:ascii="宋体" w:hAnsi="宋体"/>
                <w:sz w:val="24"/>
              </w:rPr>
              <w:t xml:space="preserve">不真实的，每发现一处扣100元。</w:t>
            </w:r>
            <w:r/>
          </w:p>
          <w:p>
            <w:pPr>
              <w:ind w:left="1"/>
              <w:rPr>
                <w:rFonts w:hint="eastAsia" w:ascii="宋体" w:hAnsi="宋体"/>
                <w:sz w:val="24"/>
              </w:rPr>
            </w:pPr>
            <w:r>
              <w:rPr>
                <w:rFonts w:ascii="宋体" w:hAnsi="宋体"/>
                <w:sz w:val="24"/>
              </w:rPr>
              <w:t xml:space="preserve">3.各类维护</w:t>
            </w:r>
            <w:r>
              <w:rPr>
                <w:rFonts w:ascii="宋体" w:hAnsi="宋体"/>
                <w:sz w:val="24"/>
              </w:rPr>
              <w:t xml:space="preserve">台帐未按时</w:t>
            </w:r>
            <w:r>
              <w:rPr>
                <w:rFonts w:ascii="宋体" w:hAnsi="宋体"/>
                <w:sz w:val="24"/>
              </w:rPr>
              <w:t xml:space="preserve">上交或未按时填写的，扣500元，每类每延期一天扣100元。</w:t>
            </w:r>
            <w:r/>
          </w:p>
        </w:tc>
      </w:tr>
      <w:tr>
        <w:trPr>
          <w:cantSplit/>
          <w:trHeight w:val="3684"/>
        </w:trPr>
        <w:tc>
          <w:tcPr>
            <w:tcW w:w="812" w:type="dxa"/>
            <w:vAlign w:val="center"/>
            <w:textDirection w:val="lrTb"/>
            <w:noWrap w:val="false"/>
          </w:tcPr>
          <w:p>
            <w:pPr>
              <w:jc w:val="center"/>
              <w:rPr>
                <w:rFonts w:hint="eastAsia" w:ascii="宋体" w:hAnsi="宋体"/>
                <w:bCs/>
                <w:sz w:val="24"/>
              </w:rPr>
            </w:pPr>
            <w:r>
              <w:rPr>
                <w:rFonts w:ascii="宋体" w:hAnsi="宋体"/>
                <w:bCs/>
                <w:sz w:val="24"/>
              </w:rPr>
              <w:t xml:space="preserve">9</w:t>
            </w:r>
            <w:r/>
          </w:p>
        </w:tc>
        <w:tc>
          <w:tcPr>
            <w:tcW w:w="1163" w:type="dxa"/>
            <w:vAlign w:val="center"/>
            <w:textDirection w:val="lrTb"/>
            <w:noWrap w:val="false"/>
          </w:tcPr>
          <w:p>
            <w:pPr>
              <w:jc w:val="center"/>
              <w:rPr>
                <w:rFonts w:hint="eastAsia" w:ascii="宋体" w:hAnsi="宋体"/>
                <w:sz w:val="24"/>
              </w:rPr>
            </w:pPr>
            <w:r>
              <w:rPr>
                <w:rFonts w:ascii="宋体" w:hAnsi="宋体"/>
                <w:sz w:val="24"/>
              </w:rPr>
              <w:t xml:space="preserve">其</w:t>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ascii="宋体" w:hAnsi="宋体"/>
                <w:sz w:val="24"/>
              </w:rPr>
              <w:t xml:space="preserve">他</w:t>
            </w:r>
            <w:r/>
          </w:p>
          <w:p>
            <w:pPr>
              <w:jc w:val="center"/>
              <w:rPr>
                <w:rFonts w:hint="eastAsia" w:ascii="宋体" w:hAnsi="宋体"/>
                <w:sz w:val="24"/>
              </w:rPr>
            </w:pPr>
            <w:r>
              <w:rPr>
                <w:rFonts w:hint="eastAsia" w:ascii="宋体" w:hAnsi="宋体"/>
                <w:sz w:val="24"/>
              </w:rPr>
            </w:r>
            <w:r/>
          </w:p>
        </w:tc>
        <w:tc>
          <w:tcPr>
            <w:tcW w:w="5901" w:type="dxa"/>
            <w:vAlign w:val="center"/>
            <w:textDirection w:val="lrTb"/>
            <w:noWrap w:val="false"/>
          </w:tcPr>
          <w:p>
            <w:pPr>
              <w:rPr>
                <w:rFonts w:hint="eastAsia" w:ascii="宋体" w:hAnsi="宋体"/>
                <w:sz w:val="24"/>
              </w:rPr>
            </w:pPr>
            <w:r>
              <w:rPr>
                <w:rFonts w:ascii="宋体" w:hAnsi="宋体"/>
                <w:sz w:val="24"/>
              </w:rPr>
              <w:t xml:space="preserve">1、因偷盗或车损等非正常损坏的，需及时与照明管理处联系，并立即组织修补。</w:t>
            </w:r>
            <w:r/>
          </w:p>
          <w:p>
            <w:pPr>
              <w:rPr>
                <w:rFonts w:hint="eastAsia" w:ascii="宋体" w:hAnsi="宋体"/>
                <w:sz w:val="24"/>
              </w:rPr>
            </w:pPr>
            <w:r>
              <w:rPr>
                <w:rFonts w:ascii="宋体" w:hAnsi="宋体"/>
                <w:sz w:val="24"/>
              </w:rPr>
              <w:t xml:space="preserve">2、维护单位不得擅自改变照明设施的现状，因特殊原因需要拆除现有照明设施、变更现有供电线路、变更设计电器、光源及规格品牌等均应事先报告城市照明管理处批准。</w:t>
            </w:r>
            <w:r/>
          </w:p>
          <w:p>
            <w:pPr>
              <w:rPr>
                <w:rFonts w:hint="eastAsia" w:ascii="宋体" w:hAnsi="宋体"/>
                <w:sz w:val="24"/>
              </w:rPr>
            </w:pPr>
            <w:r>
              <w:rPr>
                <w:rFonts w:ascii="宋体" w:hAnsi="宋体"/>
                <w:sz w:val="24"/>
              </w:rPr>
              <w:t xml:space="preserve">3、维护单位不得在照明设施上私拉乱接其他供用电设施。</w:t>
            </w:r>
            <w:r/>
          </w:p>
          <w:p>
            <w:pPr>
              <w:rPr>
                <w:rFonts w:hint="eastAsia" w:ascii="宋体" w:hAnsi="宋体"/>
                <w:sz w:val="24"/>
              </w:rPr>
            </w:pPr>
            <w:r>
              <w:rPr>
                <w:rFonts w:ascii="宋体" w:hAnsi="宋体"/>
                <w:sz w:val="24"/>
              </w:rPr>
              <w:t xml:space="preserve">4、维护单位应注意发现下列情况并及时上报、配合处理：（1）擅自拆除、迁移道路照明设施，（2）在道路照明设施附近堆放杂物、挖坑取土、兴建</w:t>
            </w:r>
            <w:r>
              <w:rPr>
                <w:rFonts w:ascii="宋体" w:hAnsi="宋体"/>
                <w:sz w:val="24"/>
              </w:rPr>
              <w:t xml:space="preserve">建</w:t>
            </w:r>
            <w:r>
              <w:rPr>
                <w:rFonts w:ascii="宋体" w:hAnsi="宋体"/>
                <w:sz w:val="24"/>
              </w:rPr>
              <w:t xml:space="preserve">（构）筑物，（3）在道路照明灯杆上架设通信电缆和安置其他设施等违章行为，（4）巡查发现私自接用路灯电源。</w:t>
            </w:r>
            <w:r/>
          </w:p>
          <w:p>
            <w:pPr>
              <w:rPr>
                <w:rFonts w:hint="eastAsia" w:ascii="宋体" w:hAnsi="宋体"/>
                <w:sz w:val="24"/>
              </w:rPr>
            </w:pPr>
            <w:r>
              <w:rPr>
                <w:rFonts w:ascii="宋体" w:hAnsi="宋体"/>
                <w:sz w:val="24"/>
              </w:rPr>
              <w:t xml:space="preserve">5、维护单位需遵守文明施工相关规定，不得擅自开挖绿地及道路，确需开挖的应办理相关审批手续。</w:t>
            </w:r>
            <w:r/>
          </w:p>
        </w:tc>
        <w:tc>
          <w:tcPr>
            <w:tcW w:w="6468" w:type="dxa"/>
            <w:vAlign w:val="center"/>
            <w:textDirection w:val="lrTb"/>
            <w:noWrap w:val="false"/>
          </w:tcPr>
          <w:p>
            <w:pPr>
              <w:ind w:left="600" w:hanging="600"/>
              <w:rPr>
                <w:rFonts w:hint="eastAsia" w:ascii="宋体" w:hAnsi="宋体"/>
                <w:sz w:val="24"/>
              </w:rPr>
            </w:pPr>
            <w:r>
              <w:rPr>
                <w:rFonts w:ascii="宋体" w:hAnsi="宋体"/>
                <w:sz w:val="24"/>
              </w:rPr>
              <w:t xml:space="preserve">1、发生非正常损坏未及时组织修复，每处扣500元；</w:t>
            </w:r>
            <w:r/>
          </w:p>
          <w:p>
            <w:pPr>
              <w:rPr>
                <w:rFonts w:hint="eastAsia" w:ascii="宋体" w:hAnsi="宋体"/>
                <w:sz w:val="24"/>
              </w:rPr>
            </w:pPr>
            <w:r>
              <w:rPr>
                <w:rFonts w:ascii="宋体" w:hAnsi="宋体"/>
                <w:sz w:val="24"/>
              </w:rPr>
              <w:t xml:space="preserve">2、擅自改变照明设施现状的，每处扣1000元；</w:t>
            </w:r>
            <w:r/>
          </w:p>
          <w:p>
            <w:pPr>
              <w:rPr>
                <w:rFonts w:hint="eastAsia" w:ascii="宋体" w:hAnsi="宋体"/>
                <w:sz w:val="24"/>
              </w:rPr>
            </w:pPr>
            <w:r>
              <w:rPr>
                <w:rFonts w:ascii="宋体" w:hAnsi="宋体"/>
                <w:sz w:val="24"/>
              </w:rPr>
              <w:t xml:space="preserve">3、擅自转供其他用电设施的，每处扣1000元；</w:t>
            </w:r>
            <w:r/>
          </w:p>
          <w:p>
            <w:pPr>
              <w:rPr>
                <w:rFonts w:hint="eastAsia" w:ascii="宋体" w:hAnsi="宋体"/>
                <w:sz w:val="24"/>
              </w:rPr>
            </w:pPr>
            <w:r>
              <w:rPr>
                <w:rFonts w:ascii="宋体" w:hAnsi="宋体"/>
                <w:sz w:val="24"/>
              </w:rPr>
              <w:t xml:space="preserve">4、未能及时发现擅自拆除、迁移道路照明设施、在道路照明设施附近堆放杂物、挖坑取土、兴建</w:t>
            </w:r>
            <w:r>
              <w:rPr>
                <w:rFonts w:ascii="宋体" w:hAnsi="宋体"/>
                <w:sz w:val="24"/>
              </w:rPr>
              <w:t xml:space="preserve">建</w:t>
            </w:r>
            <w:r>
              <w:rPr>
                <w:rFonts w:ascii="宋体" w:hAnsi="宋体"/>
                <w:sz w:val="24"/>
              </w:rPr>
              <w:t xml:space="preserve">（构）筑物、在道路照明灯杆上架设通信电缆和安置其他设施等违章行为、私自接用路灯电源等危害照明设施行为的，每次扣500元；</w:t>
            </w:r>
            <w:r/>
          </w:p>
          <w:p>
            <w:pPr>
              <w:rPr>
                <w:rFonts w:hint="eastAsia" w:ascii="宋体" w:hAnsi="宋体"/>
                <w:sz w:val="24"/>
              </w:rPr>
            </w:pPr>
            <w:r>
              <w:rPr>
                <w:rFonts w:ascii="宋体" w:hAnsi="宋体"/>
                <w:sz w:val="24"/>
              </w:rPr>
              <w:t xml:space="preserve">5、未遵守文明施工相关规定，每次扣500元；</w:t>
            </w:r>
            <w:r/>
          </w:p>
        </w:tc>
      </w:tr>
    </w:tbl>
    <w:p>
      <w:pPr>
        <w:rPr>
          <w:rFonts w:hint="eastAsia" w:ascii="宋体" w:hAnsi="宋体"/>
          <w:b/>
          <w:sz w:val="24"/>
        </w:rPr>
      </w:pPr>
      <w:r>
        <w:rPr>
          <w:rFonts w:ascii="宋体" w:hAnsi="宋体"/>
          <w:b/>
          <w:sz w:val="24"/>
        </w:rPr>
        <w:t xml:space="preserve">注：上述考核，涉及扣款的，必须于考核内容公布一周内上交相关款项；</w:t>
      </w:r>
      <w:r/>
    </w:p>
    <w:p>
      <w:pPr>
        <w:rPr>
          <w:rFonts w:hint="eastAsia" w:ascii="宋体" w:hAnsi="宋体"/>
          <w:b/>
          <w:sz w:val="24"/>
        </w:rPr>
      </w:pPr>
      <w:r>
        <w:rPr>
          <w:rFonts w:ascii="宋体" w:hAnsi="宋体"/>
          <w:b/>
          <w:sz w:val="24"/>
        </w:rPr>
        <w:t xml:space="preserve">上述考核内容，若在第一次考核中发现的问题，第二次考核仍未整改到位，则加倍扣款，以此类推。</w:t>
      </w:r>
      <w:r/>
    </w:p>
    <w:p>
      <w:pPr>
        <w:spacing w:line="440" w:lineRule="exact"/>
        <w:rPr>
          <w:rFonts w:hint="eastAsia" w:ascii="宋体" w:hAnsi="宋体"/>
          <w:b/>
          <w:sz w:val="24"/>
        </w:rPr>
      </w:pPr>
      <w:r>
        <w:rPr>
          <w:rFonts w:ascii="宋体" w:hAnsi="宋体"/>
          <w:b/>
          <w:sz w:val="24"/>
        </w:rPr>
        <w:t xml:space="preserve">采购单位有权根据城市长效管理精细化要求对考核内容进行修改，维护成交供应商必须无条件接受。</w:t>
      </w:r>
      <w:r/>
    </w:p>
    <w:p>
      <w:pPr>
        <w:pStyle w:val="1013"/>
        <w:rPr>
          <w:u w:val="none"/>
        </w:rPr>
      </w:pPr>
      <w:r>
        <w:rPr>
          <w:rFonts w:hint="eastAsia"/>
          <w:u w:val="none"/>
        </w:rPr>
        <w:br w:type="page" w:clear="all"/>
      </w:r>
      <w:r/>
    </w:p>
    <w:p>
      <w:pPr>
        <w:spacing w:line="440" w:lineRule="exact"/>
        <w:rPr>
          <w:rFonts w:hint="eastAsia" w:ascii="宋体" w:hAnsi="宋体" w:cs="楷体_GB2312"/>
          <w:b/>
          <w:sz w:val="24"/>
        </w:rPr>
        <w:sectPr>
          <w:footnotePr/>
          <w:endnotePr/>
          <w:type w:val="nextPage"/>
          <w:pgSz w:w="16840" w:h="11907" w:orient="landscape"/>
          <w:pgMar w:top="1701" w:right="1418" w:bottom="1134" w:left="1418" w:header="851" w:footer="851" w:gutter="0"/>
          <w:cols w:num="1" w:sep="0" w:space="720" w:equalWidth="1"/>
          <w:docGrid w:linePitch="360"/>
        </w:sectPr>
      </w:pPr>
      <w:r>
        <w:rPr>
          <w:rFonts w:hint="eastAsia" w:ascii="宋体" w:hAnsi="宋体" w:cs="楷体_GB2312"/>
          <w:b/>
          <w:sz w:val="24"/>
        </w:rPr>
      </w:r>
      <w:r/>
    </w:p>
    <w:p>
      <w:pPr>
        <w:jc w:val="left"/>
        <w:keepLines/>
        <w:keepNext/>
        <w:spacing w:before="120" w:line="300" w:lineRule="auto"/>
        <w:rPr>
          <w:b/>
          <w:spacing w:val="20"/>
          <w:sz w:val="24"/>
        </w:rPr>
        <w:outlineLvl w:val="1"/>
      </w:pPr>
      <w:r>
        <w:rPr>
          <w:rFonts w:hint="eastAsia"/>
          <w:b/>
          <w:spacing w:val="20"/>
          <w:sz w:val="24"/>
        </w:rPr>
        <w:t xml:space="preserve">附件</w:t>
      </w:r>
      <w:r>
        <w:rPr>
          <w:rFonts w:hint="eastAsia"/>
          <w:b/>
          <w:spacing w:val="20"/>
          <w:sz w:val="24"/>
        </w:rPr>
        <w:t xml:space="preserve">4</w:t>
      </w:r>
      <w:r>
        <w:rPr>
          <w:rFonts w:hint="eastAsia"/>
          <w:b/>
          <w:spacing w:val="20"/>
          <w:sz w:val="24"/>
        </w:rPr>
        <w:t xml:space="preserve">、</w:t>
      </w:r>
      <w:r>
        <w:rPr>
          <w:b/>
          <w:spacing w:val="20"/>
          <w:sz w:val="24"/>
        </w:rPr>
        <w:t xml:space="preserve">道路路灯考核明细表</w:t>
      </w:r>
      <w:r/>
    </w:p>
    <w:p>
      <w:pPr>
        <w:ind w:left="-718" w:firstLine="540"/>
        <w:rPr>
          <w:rFonts w:hint="eastAsia" w:ascii="宋体" w:hAnsi="宋体"/>
          <w:sz w:val="24"/>
        </w:rPr>
      </w:pPr>
      <w:r>
        <w:rPr>
          <w:rFonts w:hint="eastAsia" w:ascii="宋体" w:hAnsi="宋体"/>
          <w:sz w:val="24"/>
        </w:rPr>
        <w:t xml:space="preserve">管护</w:t>
      </w:r>
      <w:r>
        <w:rPr>
          <w:rFonts w:ascii="宋体" w:hAnsi="宋体"/>
          <w:sz w:val="24"/>
        </w:rPr>
        <w:t xml:space="preserve">单位：                          考核时间：   年  月  日</w:t>
      </w:r>
      <w:r/>
    </w:p>
    <w:tbl>
      <w:tblPr>
        <w:tblW w:w="9464"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6"/>
        <w:gridCol w:w="1701"/>
        <w:gridCol w:w="1651"/>
        <w:gridCol w:w="2885"/>
        <w:gridCol w:w="709"/>
        <w:gridCol w:w="959"/>
        <w:gridCol w:w="1133"/>
      </w:tblGrid>
      <w:tr>
        <w:trPr>
          <w:trHeight w:val="764"/>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b/>
                <w:sz w:val="24"/>
              </w:rPr>
            </w:pPr>
            <w:r>
              <w:rPr>
                <w:rFonts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sz w:val="24"/>
              </w:rPr>
            </w:pPr>
            <w:r>
              <w:rPr>
                <w:rFonts w:ascii="宋体" w:hAnsi="宋体"/>
                <w:b/>
                <w:sz w:val="24"/>
              </w:rPr>
              <w:t xml:space="preserve">考核项目</w:t>
            </w:r>
            <w:r/>
          </w:p>
        </w:tc>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center"/>
              <w:rPr>
                <w:rFonts w:hint="eastAsia" w:ascii="宋体" w:hAnsi="宋体"/>
                <w:b/>
                <w:sz w:val="24"/>
              </w:rPr>
            </w:pPr>
            <w:r>
              <w:rPr>
                <w:rFonts w:ascii="宋体" w:hAnsi="宋体"/>
                <w:b/>
                <w:sz w:val="24"/>
              </w:rPr>
              <w:t xml:space="preserve">考核标准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sz w:val="24"/>
              </w:rPr>
            </w:pPr>
            <w:r>
              <w:rPr>
                <w:rFonts w:ascii="宋体" w:hAnsi="宋体"/>
                <w:b/>
                <w:sz w:val="24"/>
              </w:rPr>
              <w:t xml:space="preserve">得分</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b/>
                <w:sz w:val="24"/>
              </w:rPr>
            </w:pPr>
            <w:r>
              <w:rPr>
                <w:rFonts w:ascii="宋体" w:hAnsi="宋体"/>
                <w:b/>
                <w:sz w:val="24"/>
              </w:rPr>
              <w:t xml:space="preserve">申述后得分</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b/>
                <w:sz w:val="24"/>
              </w:rPr>
            </w:pPr>
            <w:r>
              <w:rPr>
                <w:rFonts w:ascii="宋体" w:hAnsi="宋体"/>
                <w:b/>
                <w:sz w:val="24"/>
              </w:rPr>
              <w:t xml:space="preserve">备注</w:t>
            </w:r>
            <w:r/>
          </w:p>
        </w:tc>
      </w:tr>
      <w:tr>
        <w:trPr>
          <w:trHeight w:val="552"/>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 w:val="24"/>
              </w:rPr>
            </w:pPr>
            <w:r>
              <w:rPr>
                <w:rFonts w:ascii="宋体" w:hAnsi="宋体"/>
                <w:sz w:val="24"/>
              </w:rPr>
              <w:t xml:space="preserve">区域亮灯率（20分）</w:t>
            </w:r>
            <w:r/>
          </w:p>
        </w:tc>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rPr>
                <w:rFonts w:hint="eastAsia" w:ascii="宋体" w:hAnsi="宋体"/>
                <w:sz w:val="24"/>
              </w:rPr>
            </w:pPr>
            <w:r>
              <w:rPr>
                <w:rFonts w:ascii="宋体" w:hAnsi="宋体"/>
                <w:sz w:val="24"/>
              </w:rPr>
              <w:t xml:space="preserve">亮灯率必须达到98%，每次</w:t>
            </w:r>
            <w:r>
              <w:rPr>
                <w:rFonts w:ascii="宋体" w:hAnsi="宋体"/>
                <w:sz w:val="24"/>
              </w:rPr>
              <w:t xml:space="preserve">抽查路灯盏</w:t>
            </w:r>
            <w:r>
              <w:rPr>
                <w:rFonts w:ascii="宋体" w:hAnsi="宋体"/>
                <w:sz w:val="24"/>
              </w:rPr>
              <w:t xml:space="preserve">数≥300盏，低于标准扣20分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491"/>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sz w:val="24"/>
              </w:rPr>
            </w:pPr>
            <w:r>
              <w:rPr>
                <w:rFonts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hint="eastAsia" w:ascii="宋体" w:hAnsi="宋体"/>
                <w:sz w:val="24"/>
              </w:rPr>
            </w:pPr>
            <w:r>
              <w:rPr>
                <w:rFonts w:ascii="宋体" w:hAnsi="宋体"/>
                <w:sz w:val="24"/>
              </w:rPr>
              <w:t xml:space="preserve">灯杆完好标准（10分）</w:t>
            </w:r>
            <w:r/>
          </w:p>
        </w:tc>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rPr>
                <w:rFonts w:hint="eastAsia" w:ascii="宋体" w:hAnsi="宋体"/>
                <w:sz w:val="24"/>
              </w:rPr>
            </w:pPr>
            <w:r>
              <w:rPr>
                <w:rFonts w:ascii="宋体" w:hAnsi="宋体"/>
                <w:sz w:val="24"/>
              </w:rPr>
              <w:t xml:space="preserve">灯</w:t>
            </w:r>
            <w:r>
              <w:rPr>
                <w:rFonts w:ascii="宋体" w:hAnsi="宋体"/>
                <w:sz w:val="24"/>
              </w:rPr>
              <w:t xml:space="preserve">杆严重</w:t>
            </w:r>
            <w:r>
              <w:rPr>
                <w:rFonts w:ascii="宋体" w:hAnsi="宋体"/>
                <w:sz w:val="24"/>
              </w:rPr>
              <w:t xml:space="preserve">歪斜，发现一处扣1分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621"/>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sz w:val="24"/>
              </w:rPr>
            </w:pPr>
            <w:r>
              <w:rPr>
                <w:rFonts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 w:val="24"/>
              </w:rPr>
            </w:pPr>
            <w:r>
              <w:rPr>
                <w:rFonts w:ascii="宋体" w:hAnsi="宋体"/>
                <w:sz w:val="24"/>
              </w:rPr>
              <w:t xml:space="preserve">灯门完好标准（10分）</w:t>
            </w:r>
            <w:r/>
          </w:p>
        </w:tc>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rPr>
                <w:rFonts w:hint="eastAsia" w:ascii="宋体" w:hAnsi="宋体"/>
                <w:sz w:val="24"/>
              </w:rPr>
            </w:pPr>
            <w:r>
              <w:rPr>
                <w:rFonts w:ascii="宋体" w:hAnsi="宋体"/>
                <w:sz w:val="24"/>
              </w:rPr>
              <w:t xml:space="preserve">灯门缺失，发现一处扣1分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716"/>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jc w:val="center"/>
              <w:rPr>
                <w:rFonts w:hint="eastAsia" w:ascii="宋体" w:hAnsi="宋体"/>
                <w:sz w:val="24"/>
              </w:rPr>
            </w:pPr>
            <w:r>
              <w:rPr>
                <w:rFonts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 w:val="24"/>
              </w:rPr>
            </w:pPr>
            <w:r>
              <w:rPr>
                <w:rFonts w:ascii="宋体" w:hAnsi="宋体"/>
                <w:sz w:val="24"/>
              </w:rPr>
              <w:t xml:space="preserve">配电箱（柜）完好标准</w:t>
            </w:r>
            <w:r/>
          </w:p>
          <w:p>
            <w:pPr>
              <w:jc w:val="center"/>
              <w:rPr>
                <w:rFonts w:hint="eastAsia" w:ascii="宋体" w:hAnsi="宋体"/>
                <w:sz w:val="24"/>
              </w:rPr>
            </w:pPr>
            <w:r>
              <w:rPr>
                <w:rFonts w:ascii="宋体" w:hAnsi="宋体"/>
                <w:sz w:val="24"/>
              </w:rPr>
              <w:t xml:space="preserve">（10分）</w:t>
            </w:r>
            <w:r/>
          </w:p>
        </w:tc>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rPr>
                <w:rFonts w:hint="eastAsia" w:ascii="宋体" w:hAnsi="宋体"/>
                <w:sz w:val="24"/>
              </w:rPr>
            </w:pPr>
            <w:r>
              <w:rPr>
                <w:rFonts w:ascii="宋体" w:hAnsi="宋体"/>
                <w:sz w:val="24"/>
              </w:rPr>
              <w:t xml:space="preserve">配电箱（柜）体保持完整无缺、</w:t>
            </w:r>
            <w:r>
              <w:rPr>
                <w:rFonts w:ascii="宋体" w:hAnsi="宋体"/>
                <w:sz w:val="24"/>
              </w:rPr>
              <w:t xml:space="preserve">不</w:t>
            </w:r>
            <w:r>
              <w:rPr>
                <w:rFonts w:ascii="宋体" w:hAnsi="宋体"/>
                <w:sz w:val="24"/>
              </w:rPr>
              <w:t xml:space="preserve">渗水、无积灰、无锈蚀，未达到四项标准，每项扣2.5分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826"/>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 w:val="24"/>
              </w:rPr>
            </w:pPr>
            <w:r>
              <w:rPr>
                <w:rFonts w:ascii="宋体" w:hAnsi="宋体"/>
                <w:sz w:val="24"/>
              </w:rPr>
              <w:t xml:space="preserve">配电箱（柜）整洁标准</w:t>
            </w:r>
            <w:r/>
          </w:p>
          <w:p>
            <w:pPr>
              <w:jc w:val="center"/>
              <w:rPr>
                <w:rFonts w:hint="eastAsia" w:ascii="宋体" w:hAnsi="宋体"/>
                <w:sz w:val="24"/>
              </w:rPr>
            </w:pPr>
            <w:r>
              <w:rPr>
                <w:rFonts w:ascii="宋体" w:hAnsi="宋体"/>
                <w:sz w:val="24"/>
              </w:rPr>
              <w:t xml:space="preserve">（10分）</w:t>
            </w:r>
            <w:r/>
          </w:p>
        </w:tc>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rPr>
                <w:rFonts w:hint="eastAsia" w:ascii="宋体" w:hAnsi="宋体"/>
                <w:sz w:val="24"/>
              </w:rPr>
            </w:pPr>
            <w:r>
              <w:rPr>
                <w:rFonts w:ascii="宋体" w:hAnsi="宋体"/>
                <w:sz w:val="24"/>
              </w:rPr>
              <w:t xml:space="preserve">配电箱（柜）内整洁无杂物，安全物品堆放整齐，发现一处扣2分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540"/>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jc w:val="center"/>
              <w:rPr>
                <w:rFonts w:hint="eastAsia" w:ascii="宋体" w:hAnsi="宋体"/>
                <w:sz w:val="24"/>
              </w:rPr>
            </w:pPr>
            <w:r>
              <w:rPr>
                <w:rFonts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vMerge w:val="restart"/>
            <w:textDirection w:val="lrTb"/>
            <w:noWrap w:val="false"/>
          </w:tcPr>
          <w:p>
            <w:pPr>
              <w:jc w:val="center"/>
              <w:rPr>
                <w:rFonts w:hint="eastAsia" w:ascii="宋体" w:hAnsi="宋体"/>
                <w:sz w:val="24"/>
              </w:rPr>
            </w:pPr>
            <w:r>
              <w:rPr>
                <w:rFonts w:ascii="宋体" w:hAnsi="宋体"/>
                <w:sz w:val="24"/>
              </w:rPr>
              <w:t xml:space="preserve">台帐资料</w:t>
            </w:r>
            <w:r/>
          </w:p>
          <w:p>
            <w:pPr>
              <w:jc w:val="center"/>
              <w:rPr>
                <w:rFonts w:hint="eastAsia" w:ascii="宋体" w:hAnsi="宋体"/>
                <w:sz w:val="24"/>
              </w:rPr>
            </w:pPr>
            <w:r>
              <w:rPr>
                <w:rFonts w:ascii="宋体" w:hAnsi="宋体"/>
                <w:sz w:val="24"/>
              </w:rPr>
              <w:t xml:space="preserve">（20分）</w:t>
            </w:r>
            <w:r/>
          </w:p>
        </w:tc>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rPr>
                <w:rFonts w:hint="eastAsia" w:ascii="宋体" w:hAnsi="宋体"/>
                <w:sz w:val="24"/>
              </w:rPr>
            </w:pPr>
            <w:r>
              <w:rPr>
                <w:rFonts w:ascii="宋体" w:hAnsi="宋体"/>
                <w:sz w:val="24"/>
              </w:rPr>
              <w:t xml:space="preserve">无周巡查</w:t>
            </w:r>
            <w:r>
              <w:rPr>
                <w:rFonts w:ascii="宋体" w:hAnsi="宋体"/>
                <w:sz w:val="24"/>
              </w:rPr>
              <w:t xml:space="preserve">计划扣5分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420"/>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rPr>
                <w:rFonts w:hint="eastAsia" w:ascii="宋体" w:hAnsi="宋体"/>
                <w:sz w:val="24"/>
              </w:rPr>
            </w:pPr>
            <w:r>
              <w:rPr>
                <w:rFonts w:ascii="宋体" w:hAnsi="宋体"/>
                <w:sz w:val="24"/>
              </w:rPr>
              <w:t xml:space="preserve">无周巡查台账扣</w:t>
            </w:r>
            <w:r>
              <w:rPr>
                <w:rFonts w:ascii="宋体" w:hAnsi="宋体"/>
                <w:sz w:val="24"/>
              </w:rPr>
              <w:t xml:space="preserve">5分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584"/>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rPr>
                <w:rFonts w:hint="eastAsia" w:ascii="宋体" w:hAnsi="宋体"/>
                <w:sz w:val="24"/>
              </w:rPr>
            </w:pPr>
            <w:r>
              <w:rPr>
                <w:rFonts w:ascii="宋体" w:hAnsi="宋体"/>
                <w:sz w:val="24"/>
              </w:rPr>
              <w:t xml:space="preserve">无交办事项办理</w:t>
            </w:r>
            <w:r>
              <w:rPr>
                <w:rFonts w:ascii="宋体" w:hAnsi="宋体"/>
                <w:sz w:val="24"/>
              </w:rPr>
              <w:t xml:space="preserve">台账扣5分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408"/>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rPr>
                <w:rFonts w:hint="eastAsia" w:ascii="宋体" w:hAnsi="宋体"/>
                <w:sz w:val="24"/>
              </w:rPr>
            </w:pPr>
            <w:r>
              <w:rPr>
                <w:rFonts w:ascii="宋体" w:hAnsi="宋体"/>
                <w:sz w:val="24"/>
              </w:rPr>
              <w:t xml:space="preserve">无月维修</w:t>
            </w:r>
            <w:r>
              <w:rPr>
                <w:rFonts w:ascii="宋体" w:hAnsi="宋体"/>
                <w:sz w:val="24"/>
              </w:rPr>
              <w:t xml:space="preserve">记录台帐扣5分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732"/>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jc w:val="center"/>
              <w:rPr>
                <w:rFonts w:hint="eastAsia" w:ascii="宋体" w:hAnsi="宋体"/>
                <w:sz w:val="24"/>
              </w:rPr>
            </w:pPr>
            <w:r>
              <w:rPr>
                <w:rFonts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vMerge w:val="restart"/>
            <w:textDirection w:val="lrTb"/>
            <w:noWrap w:val="false"/>
          </w:tcPr>
          <w:p>
            <w:pPr>
              <w:jc w:val="center"/>
              <w:rPr>
                <w:rFonts w:hint="eastAsia" w:ascii="宋体" w:hAnsi="宋体"/>
                <w:sz w:val="24"/>
              </w:rPr>
            </w:pPr>
            <w:r>
              <w:rPr>
                <w:rFonts w:ascii="宋体" w:hAnsi="宋体"/>
                <w:sz w:val="24"/>
              </w:rPr>
              <w:t xml:space="preserve">重大情况</w:t>
            </w:r>
            <w:r/>
          </w:p>
          <w:p>
            <w:pPr>
              <w:jc w:val="center"/>
              <w:rPr>
                <w:rFonts w:hint="eastAsia" w:ascii="宋体" w:hAnsi="宋体"/>
                <w:sz w:val="24"/>
              </w:rPr>
            </w:pPr>
            <w:r>
              <w:rPr>
                <w:rFonts w:ascii="宋体" w:hAnsi="宋体"/>
                <w:sz w:val="24"/>
              </w:rPr>
              <w:t xml:space="preserve">（20分）</w:t>
            </w:r>
            <w:r/>
          </w:p>
        </w:tc>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rPr>
                <w:rFonts w:hint="eastAsia" w:ascii="宋体" w:hAnsi="宋体"/>
                <w:sz w:val="24"/>
              </w:rPr>
            </w:pPr>
            <w:r>
              <w:rPr>
                <w:rFonts w:ascii="宋体" w:hAnsi="宋体"/>
                <w:sz w:val="24"/>
              </w:rPr>
              <w:t xml:space="preserve">维护期间，由于维修不力，造成重大事故，当月考核一票否决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732"/>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rPr>
                <w:rFonts w:hint="eastAsia" w:ascii="宋体" w:hAnsi="宋体"/>
                <w:sz w:val="24"/>
              </w:rPr>
            </w:pPr>
            <w:r>
              <w:rPr>
                <w:rFonts w:ascii="宋体" w:hAnsi="宋体"/>
                <w:sz w:val="24"/>
              </w:rPr>
              <w:t xml:space="preserve">维护期间，由于维修不力，造成管理部门受到上级批评扣15分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694"/>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rPr>
                <w:rFonts w:hint="eastAsia" w:ascii="宋体" w:hAnsi="宋体"/>
                <w:sz w:val="24"/>
              </w:rPr>
            </w:pPr>
            <w:r>
              <w:rPr>
                <w:rFonts w:ascii="宋体" w:hAnsi="宋体"/>
                <w:sz w:val="24"/>
              </w:rPr>
              <w:t xml:space="preserve">维护期间，由于维修不力，受媒体曝光，发生一次扣5分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692"/>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sz w:val="24"/>
              </w:rPr>
            </w:pPr>
            <w:r>
              <w:rPr>
                <w:rFonts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 w:val="24"/>
              </w:rPr>
            </w:pPr>
            <w:r>
              <w:rPr>
                <w:rFonts w:ascii="宋体" w:hAnsi="宋体"/>
                <w:bCs/>
                <w:sz w:val="24"/>
              </w:rPr>
              <w:t xml:space="preserve">得  分</w:t>
            </w:r>
            <w:r/>
          </w:p>
        </w:tc>
        <w:tc>
          <w:tcPr>
            <w:tcBorders>
              <w:top w:val="single" w:color="auto" w:sz="4" w:space="0"/>
              <w:left w:val="single" w:color="auto" w:sz="4" w:space="0"/>
              <w:bottom w:val="single" w:color="auto" w:sz="4" w:space="0"/>
              <w:right w:val="single" w:color="auto" w:sz="4" w:space="0"/>
            </w:tcBorders>
            <w:tcW w:w="1651" w:type="dxa"/>
            <w:textDirection w:val="lrTb"/>
            <w:noWrap w:val="false"/>
          </w:tcPr>
          <w:p>
            <w:pPr>
              <w:jc w:val="center"/>
              <w:rPr>
                <w:rFonts w:hint="eastAsia" w:ascii="宋体" w:hAnsi="宋体"/>
                <w:sz w:val="24"/>
              </w:rPr>
            </w:pPr>
            <w:r>
              <w:rPr>
                <w:rFonts w:hint="eastAsia" w:ascii="宋体" w:hAnsi="宋体"/>
                <w:sz w:val="24"/>
              </w:rPr>
            </w:r>
            <w:r/>
          </w:p>
        </w:tc>
        <w:tc>
          <w:tcPr>
            <w:gridSpan w:val="4"/>
            <w:tcBorders>
              <w:top w:val="single" w:color="auto" w:sz="4" w:space="0"/>
              <w:left w:val="single" w:color="auto" w:sz="4" w:space="0"/>
              <w:bottom w:val="single" w:color="auto" w:sz="4" w:space="0"/>
              <w:right w:val="single" w:color="auto" w:sz="4" w:space="0"/>
            </w:tcBorders>
            <w:tcW w:w="5686"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692"/>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sz w:val="24"/>
              </w:rPr>
            </w:pPr>
            <w:r>
              <w:rPr>
                <w:rFonts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Cs/>
                <w:sz w:val="24"/>
              </w:rPr>
            </w:pPr>
            <w:r>
              <w:rPr>
                <w:rFonts w:ascii="宋体" w:hAnsi="宋体"/>
                <w:bCs/>
                <w:sz w:val="24"/>
              </w:rPr>
              <w:t xml:space="preserve">考核小组成员签名</w:t>
            </w:r>
            <w:r/>
          </w:p>
        </w:tc>
        <w:tc>
          <w:tcPr>
            <w:tcBorders>
              <w:top w:val="single" w:color="auto" w:sz="4" w:space="0"/>
              <w:left w:val="single" w:color="auto" w:sz="4" w:space="0"/>
              <w:bottom w:val="single" w:color="auto" w:sz="4" w:space="0"/>
              <w:right w:val="single" w:color="auto" w:sz="4" w:space="0"/>
            </w:tcBorders>
            <w:tcW w:w="1651" w:type="dxa"/>
            <w:textDirection w:val="lrTb"/>
            <w:noWrap w:val="false"/>
          </w:tcPr>
          <w:p>
            <w:pPr>
              <w:jc w:val="center"/>
              <w:rPr>
                <w:rFonts w:hint="eastAsia" w:ascii="宋体" w:hAnsi="宋体"/>
                <w:sz w:val="24"/>
              </w:rPr>
            </w:pPr>
            <w:r>
              <w:rPr>
                <w:rFonts w:hint="eastAsia" w:ascii="宋体" w:hAnsi="宋体"/>
                <w:sz w:val="24"/>
              </w:rPr>
            </w:r>
            <w:r/>
          </w:p>
        </w:tc>
        <w:tc>
          <w:tcPr>
            <w:gridSpan w:val="4"/>
            <w:tcBorders>
              <w:top w:val="single" w:color="auto" w:sz="4" w:space="0"/>
              <w:left w:val="single" w:color="auto" w:sz="4" w:space="0"/>
              <w:bottom w:val="single" w:color="auto" w:sz="4" w:space="0"/>
              <w:right w:val="single" w:color="auto" w:sz="4" w:space="0"/>
            </w:tcBorders>
            <w:tcW w:w="5686"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692"/>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sz w:val="24"/>
              </w:rPr>
            </w:pPr>
            <w:r>
              <w:rPr>
                <w:rFonts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Cs/>
                <w:sz w:val="24"/>
              </w:rPr>
            </w:pPr>
            <w:r>
              <w:rPr>
                <w:rFonts w:ascii="宋体" w:hAnsi="宋体"/>
                <w:bCs/>
                <w:sz w:val="24"/>
              </w:rPr>
              <w:t xml:space="preserve">被考核</w:t>
            </w:r>
            <w:r/>
          </w:p>
          <w:p>
            <w:pPr>
              <w:jc w:val="center"/>
              <w:rPr>
                <w:rFonts w:hint="eastAsia" w:ascii="宋体" w:hAnsi="宋体"/>
                <w:bCs/>
                <w:sz w:val="24"/>
              </w:rPr>
            </w:pPr>
            <w:r>
              <w:rPr>
                <w:rFonts w:ascii="宋体" w:hAnsi="宋体"/>
                <w:bCs/>
                <w:sz w:val="24"/>
              </w:rPr>
              <w:t xml:space="preserve">单位签名</w:t>
            </w:r>
            <w:r/>
          </w:p>
        </w:tc>
        <w:tc>
          <w:tcPr>
            <w:tcBorders>
              <w:top w:val="single" w:color="auto" w:sz="4" w:space="0"/>
              <w:left w:val="single" w:color="auto" w:sz="4" w:space="0"/>
              <w:bottom w:val="single" w:color="auto" w:sz="4" w:space="0"/>
              <w:right w:val="single" w:color="auto" w:sz="4" w:space="0"/>
            </w:tcBorders>
            <w:tcW w:w="1651" w:type="dxa"/>
            <w:textDirection w:val="lrTb"/>
            <w:noWrap w:val="false"/>
          </w:tcPr>
          <w:p>
            <w:pPr>
              <w:jc w:val="center"/>
              <w:rPr>
                <w:rFonts w:hint="eastAsia" w:ascii="宋体" w:hAnsi="宋体"/>
                <w:sz w:val="24"/>
              </w:rPr>
            </w:pPr>
            <w:r>
              <w:rPr>
                <w:rFonts w:hint="eastAsia" w:ascii="宋体" w:hAnsi="宋体"/>
                <w:sz w:val="24"/>
              </w:rPr>
            </w:r>
            <w:r/>
          </w:p>
        </w:tc>
        <w:tc>
          <w:tcPr>
            <w:gridSpan w:val="4"/>
            <w:tcBorders>
              <w:top w:val="single" w:color="auto" w:sz="4" w:space="0"/>
              <w:left w:val="single" w:color="auto" w:sz="4" w:space="0"/>
              <w:bottom w:val="single" w:color="auto" w:sz="4" w:space="0"/>
              <w:right w:val="single" w:color="auto" w:sz="4" w:space="0"/>
            </w:tcBorders>
            <w:tcW w:w="5686"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right="560"/>
        <w:rPr>
          <w:rFonts w:hint="eastAsia" w:ascii="宋体" w:hAnsi="宋体"/>
          <w:sz w:val="24"/>
        </w:rPr>
      </w:pPr>
      <w:r>
        <w:rPr>
          <w:rFonts w:hint="eastAsia" w:ascii="宋体" w:hAnsi="宋体"/>
          <w:sz w:val="24"/>
        </w:rPr>
      </w:r>
      <w:r/>
    </w:p>
    <w:p>
      <w:pPr>
        <w:rPr>
          <w:rFonts w:hint="eastAsia" w:ascii="宋体" w:hAnsi="宋体"/>
          <w:sz w:val="24"/>
          <w:u w:val="single"/>
        </w:rPr>
      </w:pPr>
      <w:r>
        <w:rPr>
          <w:rFonts w:ascii="宋体" w:hAnsi="宋体"/>
          <w:sz w:val="24"/>
        </w:rPr>
        <w:t xml:space="preserve">计算亮灯率的公式：亮灯率＝(1 - </w:t>
      </w:r>
      <w:r>
        <w:rPr>
          <w:rFonts w:ascii="宋体" w:hAnsi="宋体"/>
          <w:sz w:val="24"/>
        </w:rPr>
        <w:fldChar w:fldCharType="begin"/>
      </w:r>
      <w:r>
        <w:rPr>
          <w:rFonts w:ascii="宋体" w:hAnsi="宋体"/>
          <w:sz w:val="24"/>
        </w:rPr>
        <w:instrText xml:space="preserve"> EQ \F(熄灯数,抽查灯数) </w:instrText>
      </w:r>
      <w:r>
        <w:rPr>
          <w:rFonts w:ascii="宋体" w:hAnsi="宋体"/>
          <w:sz w:val="24"/>
        </w:rPr>
        <w:fldChar w:fldCharType="end"/>
      </w:r>
      <w:r>
        <w:rPr>
          <w:rFonts w:ascii="宋体" w:hAnsi="宋体"/>
          <w:sz w:val="24"/>
        </w:rPr>
        <w:t xml:space="preserve">)*100%</w:t>
      </w:r>
      <w:r/>
    </w:p>
    <w:p>
      <w:pPr>
        <w:spacing w:line="440" w:lineRule="exact"/>
        <w:rPr>
          <w:rFonts w:hint="eastAsia" w:ascii="宋体" w:hAnsi="宋体" w:cs="宋体"/>
          <w:sz w:val="24"/>
        </w:rPr>
      </w:pPr>
      <w:r>
        <w:rPr>
          <w:rFonts w:hint="eastAsia" w:ascii="宋体" w:hAnsi="宋体" w:cs="宋体"/>
          <w:b/>
          <w:bCs/>
          <w:szCs w:val="21"/>
          <w:u w:val="single"/>
        </w:rPr>
        <w:t xml:space="preserve">备注：管护单位</w:t>
      </w:r>
      <w:r>
        <w:rPr>
          <w:rFonts w:ascii="宋体" w:hAnsi="宋体" w:cs="宋体"/>
          <w:b/>
          <w:bCs/>
          <w:szCs w:val="21"/>
          <w:u w:val="single"/>
        </w:rPr>
        <w:t xml:space="preserve">在</w:t>
      </w:r>
      <w:r>
        <w:rPr>
          <w:rFonts w:hint="eastAsia" w:ascii="宋体" w:hAnsi="宋体" w:cs="宋体"/>
          <w:b/>
          <w:bCs/>
          <w:szCs w:val="21"/>
          <w:u w:val="single"/>
        </w:rPr>
        <w:t xml:space="preserve">每年度管护</w:t>
      </w:r>
      <w:r>
        <w:rPr>
          <w:rFonts w:ascii="宋体" w:hAnsi="宋体" w:cs="宋体"/>
          <w:b/>
          <w:bCs/>
          <w:szCs w:val="21"/>
          <w:u w:val="single"/>
        </w:rPr>
        <w:t xml:space="preserve">期内连续2次或累计3次，月度考核结果在85分（不含85分）以下的，甲方</w:t>
      </w:r>
      <w:r>
        <w:rPr>
          <w:rFonts w:hint="eastAsia" w:ascii="宋体" w:hAnsi="宋体" w:cs="宋体"/>
          <w:b/>
          <w:bCs/>
          <w:szCs w:val="21"/>
          <w:u w:val="single"/>
        </w:rPr>
        <w:t xml:space="preserve">可</w:t>
      </w:r>
      <w:r>
        <w:rPr>
          <w:rFonts w:ascii="宋体" w:hAnsi="宋体" w:cs="宋体"/>
          <w:b/>
          <w:bCs/>
          <w:szCs w:val="21"/>
          <w:u w:val="single"/>
        </w:rPr>
        <w:t xml:space="preserve">于次月底前与乙方解除合同</w:t>
      </w:r>
      <w:r>
        <w:rPr>
          <w:rFonts w:hint="eastAsia" w:ascii="宋体" w:hAnsi="宋体" w:cs="宋体"/>
          <w:b/>
          <w:bCs/>
          <w:szCs w:val="21"/>
          <w:u w:val="single"/>
        </w:rPr>
        <w:t xml:space="preserve">，且不再续签本项目服务合同</w:t>
      </w:r>
      <w:r>
        <w:rPr>
          <w:rFonts w:ascii="宋体" w:hAnsi="宋体" w:cs="宋体"/>
          <w:b/>
          <w:bCs/>
          <w:szCs w:val="21"/>
          <w:u w:val="single"/>
        </w:rPr>
        <w:t xml:space="preserve">。</w:t>
      </w:r>
      <w:r/>
    </w:p>
    <w:p>
      <w:pPr>
        <w:contextualSpacing/>
        <w:jc w:val="left"/>
        <w:spacing w:line="360" w:lineRule="auto"/>
        <w:rPr>
          <w:rFonts w:hint="eastAsia" w:ascii="宋体" w:hAnsi="宋体" w:cs="宋体"/>
          <w:b/>
          <w:bCs/>
          <w:szCs w:val="30"/>
        </w:rPr>
        <w:sectPr>
          <w:footnotePr/>
          <w:endnotePr/>
          <w:type w:val="nextPage"/>
          <w:pgSz w:w="11907" w:h="16840" w:orient="portrait"/>
          <w:pgMar w:top="1418" w:right="1134" w:bottom="1418" w:left="1701" w:header="851" w:footer="851" w:gutter="0"/>
          <w:cols w:num="1" w:sep="0" w:space="720" w:equalWidth="1"/>
          <w:docGrid w:linePitch="360"/>
        </w:sectPr>
      </w:pPr>
      <w:r/>
      <w:bookmarkStart w:id="823" w:name="_Toc140257877"/>
      <w:r/>
      <w:r/>
    </w:p>
    <w:p>
      <w:pPr>
        <w:jc w:val="center"/>
        <w:spacing w:line="360" w:lineRule="auto"/>
        <w:rPr>
          <w:b/>
          <w:sz w:val="36"/>
          <w:szCs w:val="36"/>
        </w:rPr>
        <w:outlineLvl w:val="0"/>
      </w:pPr>
      <w:r/>
      <w:bookmarkStart w:id="824" w:name="_Toc163804584"/>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23"/>
      <w:r/>
      <w:bookmarkEnd w:id="824"/>
      <w:r/>
      <w:r/>
    </w:p>
    <w:p>
      <w:pPr>
        <w:jc w:val="center"/>
        <w:spacing w:line="360" w:lineRule="exact"/>
        <w:rPr>
          <w:rFonts w:hint="eastAsia" w:ascii="宋体" w:hAnsi="宋体"/>
          <w:b/>
          <w:sz w:val="32"/>
          <w:szCs w:val="32"/>
        </w:rPr>
      </w:pPr>
      <w:r/>
      <w:bookmarkStart w:id="825" w:name="_Toc237251277"/>
      <w:r/>
      <w:bookmarkStart w:id="826" w:name="_Toc152042389"/>
      <w:r/>
      <w:bookmarkStart w:id="827" w:name="_Toc179632629"/>
      <w:r/>
      <w:bookmarkStart w:id="828" w:name="_Toc144974579"/>
      <w:r/>
      <w:bookmarkStart w:id="829" w:name="_Toc152045611"/>
      <w:r/>
      <w:r/>
    </w:p>
    <w:p>
      <w:pPr>
        <w:jc w:val="center"/>
        <w:spacing w:line="360" w:lineRule="exact"/>
        <w:rPr>
          <w:rFonts w:hint="eastAsia" w:ascii="宋体" w:hAnsi="宋体"/>
          <w:b/>
          <w:bCs/>
          <w:sz w:val="28"/>
          <w:szCs w:val="28"/>
        </w:rPr>
      </w:pPr>
      <w:r/>
      <w:bookmarkStart w:id="830" w:name="OLE_LINK4"/>
      <w:r>
        <w:rPr>
          <w:rFonts w:hint="eastAsia" w:ascii="宋体" w:hAnsi="宋体"/>
          <w:b/>
          <w:bCs/>
          <w:sz w:val="28"/>
          <w:szCs w:val="28"/>
        </w:rPr>
        <w:t xml:space="preserve">前黄镇路灯维护项目（三年期）</w:t>
      </w:r>
      <w:r/>
    </w:p>
    <w:p>
      <w:pPr>
        <w:jc w:val="center"/>
        <w:spacing w:line="360" w:lineRule="exact"/>
        <w:rPr>
          <w:rFonts w:hint="eastAsia" w:ascii="宋体" w:hAnsi="宋体"/>
          <w:b/>
          <w:bCs/>
          <w:sz w:val="28"/>
          <w:szCs w:val="28"/>
        </w:rPr>
      </w:pPr>
      <w:r>
        <w:rPr>
          <w:rFonts w:ascii="宋体" w:hAnsi="宋体"/>
          <w:b/>
          <w:bCs/>
          <w:sz w:val="28"/>
          <w:szCs w:val="28"/>
        </w:rPr>
        <w:t xml:space="preserve">采购合同</w:t>
      </w:r>
      <w:r/>
    </w:p>
    <w:p>
      <w:pPr>
        <w:spacing w:line="360" w:lineRule="exact"/>
        <w:rPr>
          <w:rFonts w:hint="eastAsia" w:ascii="宋体" w:hAnsi="宋体"/>
          <w:b/>
          <w:bCs/>
          <w:sz w:val="24"/>
        </w:rPr>
      </w:pPr>
      <w:r>
        <w:rPr>
          <w:rFonts w:hint="eastAsia" w:ascii="宋体" w:hAnsi="宋体"/>
          <w:b/>
          <w:bCs/>
          <w:sz w:val="24"/>
        </w:rPr>
      </w:r>
      <w:r/>
    </w:p>
    <w:p>
      <w:pPr>
        <w:spacing w:line="400" w:lineRule="exact"/>
        <w:rPr>
          <w:rFonts w:hint="eastAsia" w:ascii="宋体" w:hAnsi="宋体" w:cs="黑体"/>
          <w:b/>
          <w:sz w:val="24"/>
        </w:rPr>
      </w:pPr>
      <w:r>
        <w:rPr>
          <w:rFonts w:hint="eastAsia" w:ascii="宋体" w:hAnsi="宋体" w:cs="黑体"/>
          <w:b/>
          <w:sz w:val="24"/>
        </w:rPr>
        <w:t xml:space="preserve">采购人</w:t>
      </w:r>
      <w:r>
        <w:rPr>
          <w:rFonts w:ascii="宋体" w:hAnsi="宋体" w:cs="黑体"/>
          <w:b/>
          <w:sz w:val="24"/>
        </w:rPr>
        <w:t xml:space="preserve">：常州市武进区前黄镇人民政府                  （以下简称甲方）</w:t>
      </w:r>
      <w:r/>
    </w:p>
    <w:p>
      <w:pPr>
        <w:spacing w:line="400" w:lineRule="exact"/>
        <w:rPr>
          <w:rFonts w:hint="eastAsia" w:ascii="宋体" w:hAnsi="宋体" w:cs="黑体"/>
          <w:b/>
          <w:sz w:val="24"/>
        </w:rPr>
      </w:pPr>
      <w:r>
        <w:rPr>
          <w:rFonts w:hint="eastAsia" w:ascii="宋体" w:hAnsi="宋体" w:cs="黑体"/>
          <w:b/>
          <w:sz w:val="24"/>
        </w:rPr>
        <w:t xml:space="preserve">供应商</w:t>
      </w:r>
      <w:r>
        <w:rPr>
          <w:rFonts w:ascii="宋体" w:hAnsi="宋体" w:cs="黑体"/>
          <w:b/>
          <w:sz w:val="24"/>
        </w:rPr>
        <w:t xml:space="preserve">：（中标单位全称）                            （以下简称乙方）</w:t>
      </w:r>
      <w:r/>
    </w:p>
    <w:p>
      <w:pPr>
        <w:ind w:firstLine="480"/>
        <w:spacing w:line="400" w:lineRule="exact"/>
        <w:rPr>
          <w:rFonts w:hint="eastAsia" w:ascii="宋体" w:hAnsi="宋体" w:cs="黑体"/>
          <w:b/>
          <w:sz w:val="24"/>
        </w:rPr>
      </w:pPr>
      <w:r>
        <w:rPr>
          <w:rFonts w:ascii="宋体" w:hAnsi="宋体" w:cs="黑体"/>
          <w:sz w:val="24"/>
        </w:rPr>
        <w:t xml:space="preserve">在本次由甲方组织采购</w:t>
      </w:r>
      <w:r>
        <w:rPr>
          <w:rFonts w:hint="eastAsia" w:ascii="宋体" w:hAnsi="宋体" w:cs="黑体"/>
          <w:sz w:val="24"/>
          <w:u w:val="single"/>
        </w:rPr>
        <w:t xml:space="preserve">      </w:t>
      </w:r>
      <w:r>
        <w:rPr>
          <w:rFonts w:ascii="宋体" w:hAnsi="宋体" w:cs="黑体"/>
          <w:sz w:val="24"/>
        </w:rPr>
        <w:t xml:space="preserve">的招标中，乙方中标，甲乙双方就本项目相关事宜签订本合同书。</w:t>
      </w:r>
      <w:r/>
    </w:p>
    <w:p>
      <w:pPr>
        <w:pStyle w:val="1035"/>
        <w:numPr>
          <w:ilvl w:val="0"/>
          <w:numId w:val="31"/>
        </w:numPr>
        <w:spacing w:line="400" w:lineRule="exact"/>
        <w:rPr>
          <w:rFonts w:hint="eastAsia" w:ascii="宋体" w:hAnsi="宋体" w:cs="黑体"/>
          <w:sz w:val="24"/>
        </w:rPr>
      </w:pPr>
      <w:r>
        <w:rPr>
          <w:rFonts w:ascii="宋体" w:hAnsi="宋体" w:cs="黑体"/>
          <w:b/>
          <w:sz w:val="24"/>
        </w:rPr>
        <w:t xml:space="preserve">合同内容</w:t>
      </w:r>
      <w:r/>
    </w:p>
    <w:p>
      <w:pPr>
        <w:ind w:firstLine="480"/>
        <w:spacing w:line="400" w:lineRule="exact"/>
        <w:rPr>
          <w:rFonts w:hint="eastAsia" w:ascii="宋体" w:hAnsi="宋体" w:cs="黑体"/>
          <w:sz w:val="24"/>
        </w:rPr>
      </w:pPr>
      <w:r>
        <w:rPr>
          <w:rFonts w:ascii="宋体" w:hAnsi="宋体" w:cs="黑体"/>
          <w:sz w:val="24"/>
        </w:rPr>
        <w:t xml:space="preserve">1、甲方确定乙方为</w:t>
      </w:r>
      <w:r>
        <w:rPr>
          <w:rFonts w:ascii="宋体" w:hAnsi="宋体" w:cs="黑体"/>
          <w:sz w:val="24"/>
          <w:u w:val="single"/>
        </w:rPr>
        <w:t xml:space="preserve">前黄镇路灯维护采购项目</w:t>
      </w:r>
      <w:r>
        <w:rPr>
          <w:rFonts w:ascii="宋体" w:hAnsi="宋体" w:cs="黑体"/>
          <w:sz w:val="24"/>
        </w:rPr>
        <w:t xml:space="preserve">作业服务的实施人。项目负责人为</w:t>
      </w:r>
      <w:r>
        <w:rPr>
          <w:rFonts w:ascii="宋体" w:hAnsi="宋体" w:cs="黑体"/>
          <w:sz w:val="24"/>
          <w:u w:val="single"/>
        </w:rPr>
        <w:t xml:space="preserve">       </w:t>
      </w:r>
      <w:r>
        <w:rPr>
          <w:rFonts w:ascii="宋体" w:hAnsi="宋体" w:cs="黑体"/>
          <w:sz w:val="24"/>
        </w:rPr>
        <w:t xml:space="preserve">。</w:t>
      </w:r>
      <w:r/>
    </w:p>
    <w:p>
      <w:pPr>
        <w:ind w:firstLine="480"/>
        <w:spacing w:line="400" w:lineRule="exact"/>
        <w:rPr>
          <w:rFonts w:hint="eastAsia" w:ascii="宋体" w:hAnsi="宋体" w:cs="黑体"/>
          <w:sz w:val="24"/>
        </w:rPr>
      </w:pPr>
      <w:r>
        <w:rPr>
          <w:rFonts w:ascii="宋体" w:hAnsi="宋体" w:cs="黑体"/>
          <w:sz w:val="24"/>
        </w:rPr>
        <w:t xml:space="preserve">作业服务时间：</w:t>
      </w:r>
      <w:r>
        <w:rPr>
          <w:rFonts w:hint="eastAsia" w:ascii="宋体" w:hAnsi="宋体" w:cs="黑体"/>
          <w:sz w:val="24"/>
        </w:rPr>
        <w:t xml:space="preserve">三</w:t>
      </w:r>
      <w:r>
        <w:rPr>
          <w:rFonts w:ascii="宋体" w:hAnsi="宋体" w:cs="黑体"/>
          <w:sz w:val="24"/>
        </w:rPr>
        <w:t xml:space="preserve">年。自</w:t>
      </w:r>
      <w:r>
        <w:rPr>
          <w:rFonts w:ascii="宋体" w:hAnsi="宋体" w:cs="黑体"/>
          <w:sz w:val="24"/>
          <w:u w:val="single"/>
        </w:rPr>
        <w:t xml:space="preserve"> 202</w:t>
      </w:r>
      <w:r>
        <w:rPr>
          <w:rFonts w:hint="eastAsia" w:ascii="宋体" w:hAnsi="宋体" w:cs="黑体"/>
          <w:sz w:val="24"/>
          <w:u w:val="single"/>
        </w:rPr>
        <w:t xml:space="preserve">6</w:t>
      </w:r>
      <w:r>
        <w:rPr>
          <w:rFonts w:ascii="宋体" w:hAnsi="宋体" w:cs="黑体"/>
          <w:sz w:val="24"/>
          <w:u w:val="single"/>
        </w:rPr>
        <w:t xml:space="preserve"> </w:t>
      </w:r>
      <w:r>
        <w:rPr>
          <w:rFonts w:ascii="宋体" w:hAnsi="宋体" w:cs="黑体"/>
          <w:sz w:val="24"/>
        </w:rPr>
        <w:t xml:space="preserve">年</w:t>
      </w:r>
      <w:r>
        <w:rPr>
          <w:rFonts w:ascii="宋体" w:hAnsi="宋体" w:cs="黑体"/>
          <w:sz w:val="24"/>
          <w:u w:val="single"/>
        </w:rPr>
        <w:t xml:space="preserve">   </w:t>
      </w:r>
      <w:r>
        <w:rPr>
          <w:rFonts w:ascii="宋体" w:hAnsi="宋体" w:cs="黑体"/>
          <w:sz w:val="24"/>
        </w:rPr>
        <w:t xml:space="preserve">月</w:t>
      </w:r>
      <w:r>
        <w:rPr>
          <w:rFonts w:ascii="宋体" w:hAnsi="宋体" w:cs="黑体"/>
          <w:sz w:val="24"/>
          <w:u w:val="single"/>
        </w:rPr>
        <w:t xml:space="preserve">   </w:t>
      </w:r>
      <w:r>
        <w:rPr>
          <w:rFonts w:ascii="宋体" w:hAnsi="宋体" w:cs="黑体"/>
          <w:sz w:val="24"/>
        </w:rPr>
        <w:t xml:space="preserve">日起至</w:t>
      </w:r>
      <w:r>
        <w:rPr>
          <w:rFonts w:ascii="宋体" w:hAnsi="宋体" w:cs="黑体"/>
          <w:sz w:val="24"/>
          <w:u w:val="single"/>
        </w:rPr>
        <w:t xml:space="preserve"> 202</w:t>
      </w:r>
      <w:r>
        <w:rPr>
          <w:rFonts w:hint="eastAsia" w:ascii="宋体" w:hAnsi="宋体" w:cs="黑体"/>
          <w:sz w:val="24"/>
          <w:u w:val="single"/>
        </w:rPr>
        <w:t xml:space="preserve">9</w:t>
      </w:r>
      <w:r>
        <w:rPr>
          <w:rFonts w:ascii="宋体" w:hAnsi="宋体" w:cs="黑体"/>
          <w:sz w:val="24"/>
          <w:u w:val="single"/>
        </w:rPr>
        <w:t xml:space="preserve"> </w:t>
      </w:r>
      <w:r>
        <w:rPr>
          <w:rFonts w:ascii="宋体" w:hAnsi="宋体" w:cs="黑体"/>
          <w:sz w:val="24"/>
        </w:rPr>
        <w:t xml:space="preserve">年</w:t>
      </w:r>
      <w:r>
        <w:rPr>
          <w:rFonts w:ascii="宋体" w:hAnsi="宋体" w:cs="黑体"/>
          <w:sz w:val="24"/>
          <w:u w:val="single"/>
        </w:rPr>
        <w:t xml:space="preserve">   </w:t>
      </w:r>
      <w:r>
        <w:rPr>
          <w:rFonts w:ascii="宋体" w:hAnsi="宋体" w:cs="黑体"/>
          <w:sz w:val="24"/>
        </w:rPr>
        <w:t xml:space="preserve">月</w:t>
      </w:r>
      <w:r>
        <w:rPr>
          <w:rFonts w:ascii="宋体" w:hAnsi="宋体" w:cs="黑体"/>
          <w:sz w:val="24"/>
          <w:u w:val="single"/>
        </w:rPr>
        <w:t xml:space="preserve">   </w:t>
      </w:r>
      <w:r>
        <w:rPr>
          <w:rFonts w:ascii="宋体" w:hAnsi="宋体" w:cs="黑体"/>
          <w:sz w:val="24"/>
        </w:rPr>
        <w:t xml:space="preserve">日止。</w:t>
      </w:r>
      <w:r/>
    </w:p>
    <w:p>
      <w:pPr>
        <w:ind w:firstLine="480"/>
        <w:spacing w:line="400" w:lineRule="exact"/>
        <w:rPr>
          <w:rFonts w:hint="eastAsia" w:ascii="宋体" w:hAnsi="宋体" w:cs="黑体"/>
          <w:sz w:val="24"/>
        </w:rPr>
      </w:pPr>
      <w:r>
        <w:rPr>
          <w:rFonts w:hint="eastAsia" w:ascii="宋体" w:hAnsi="宋体" w:cs="黑体"/>
          <w:sz w:val="24"/>
        </w:rPr>
        <w:t xml:space="preserve">本次合同的服务期限为：</w:t>
      </w:r>
      <w:r>
        <w:rPr>
          <w:rFonts w:ascii="宋体" w:hAnsi="宋体" w:cs="黑体"/>
          <w:sz w:val="24"/>
        </w:rPr>
        <w:t xml:space="preserve">自</w:t>
      </w:r>
      <w:r>
        <w:rPr>
          <w:rFonts w:ascii="宋体" w:hAnsi="宋体" w:cs="黑体"/>
          <w:sz w:val="24"/>
          <w:u w:val="single"/>
        </w:rPr>
        <w:t xml:space="preserve"> 202</w:t>
      </w:r>
      <w:r>
        <w:rPr>
          <w:rFonts w:hint="eastAsia" w:ascii="宋体" w:hAnsi="宋体" w:cs="黑体"/>
          <w:sz w:val="24"/>
          <w:u w:val="single"/>
        </w:rPr>
        <w:t xml:space="preserve">6</w:t>
      </w:r>
      <w:r>
        <w:rPr>
          <w:rFonts w:ascii="宋体" w:hAnsi="宋体" w:cs="黑体"/>
          <w:sz w:val="24"/>
          <w:u w:val="single"/>
        </w:rPr>
        <w:t xml:space="preserve"> </w:t>
      </w:r>
      <w:r>
        <w:rPr>
          <w:rFonts w:ascii="宋体" w:hAnsi="宋体" w:cs="黑体"/>
          <w:sz w:val="24"/>
        </w:rPr>
        <w:t xml:space="preserve">年</w:t>
      </w:r>
      <w:r>
        <w:rPr>
          <w:rFonts w:ascii="宋体" w:hAnsi="宋体" w:cs="黑体"/>
          <w:sz w:val="24"/>
          <w:u w:val="single"/>
        </w:rPr>
        <w:t xml:space="preserve">   </w:t>
      </w:r>
      <w:r>
        <w:rPr>
          <w:rFonts w:ascii="宋体" w:hAnsi="宋体" w:cs="黑体"/>
          <w:sz w:val="24"/>
        </w:rPr>
        <w:t xml:space="preserve">月</w:t>
      </w:r>
      <w:r>
        <w:rPr>
          <w:rFonts w:ascii="宋体" w:hAnsi="宋体" w:cs="黑体"/>
          <w:sz w:val="24"/>
          <w:u w:val="single"/>
        </w:rPr>
        <w:t xml:space="preserve">   </w:t>
      </w:r>
      <w:r>
        <w:rPr>
          <w:rFonts w:ascii="宋体" w:hAnsi="宋体" w:cs="黑体"/>
          <w:sz w:val="24"/>
        </w:rPr>
        <w:t xml:space="preserve">日起至</w:t>
      </w:r>
      <w:r>
        <w:rPr>
          <w:rFonts w:ascii="宋体" w:hAnsi="宋体" w:cs="黑体"/>
          <w:sz w:val="24"/>
          <w:u w:val="single"/>
        </w:rPr>
        <w:t xml:space="preserve"> 202</w:t>
      </w:r>
      <w:r>
        <w:rPr>
          <w:rFonts w:hint="eastAsia" w:ascii="宋体" w:hAnsi="宋体" w:cs="黑体"/>
          <w:sz w:val="24"/>
          <w:u w:val="single"/>
        </w:rPr>
        <w:t xml:space="preserve">7</w:t>
      </w:r>
      <w:r>
        <w:rPr>
          <w:rFonts w:ascii="宋体" w:hAnsi="宋体" w:cs="黑体"/>
          <w:sz w:val="24"/>
          <w:u w:val="single"/>
        </w:rPr>
        <w:t xml:space="preserve"> </w:t>
      </w:r>
      <w:r>
        <w:rPr>
          <w:rFonts w:ascii="宋体" w:hAnsi="宋体" w:cs="黑体"/>
          <w:sz w:val="24"/>
        </w:rPr>
        <w:t xml:space="preserve">年</w:t>
      </w:r>
      <w:r>
        <w:rPr>
          <w:rFonts w:ascii="宋体" w:hAnsi="宋体" w:cs="黑体"/>
          <w:sz w:val="24"/>
          <w:u w:val="single"/>
        </w:rPr>
        <w:t xml:space="preserve">   </w:t>
      </w:r>
      <w:r>
        <w:rPr>
          <w:rFonts w:ascii="宋体" w:hAnsi="宋体" w:cs="黑体"/>
          <w:sz w:val="24"/>
        </w:rPr>
        <w:t xml:space="preserve">月</w:t>
      </w:r>
      <w:r>
        <w:rPr>
          <w:rFonts w:ascii="宋体" w:hAnsi="宋体" w:cs="黑体"/>
          <w:sz w:val="24"/>
          <w:u w:val="single"/>
        </w:rPr>
        <w:t xml:space="preserve">   </w:t>
      </w:r>
      <w:r>
        <w:rPr>
          <w:rFonts w:ascii="宋体" w:hAnsi="宋体" w:cs="黑体"/>
          <w:sz w:val="24"/>
        </w:rPr>
        <w:t xml:space="preserve">日止。</w:t>
      </w:r>
      <w:r/>
    </w:p>
    <w:p>
      <w:pPr>
        <w:ind w:firstLine="480"/>
        <w:spacing w:line="400" w:lineRule="exact"/>
        <w:rPr>
          <w:rFonts w:hint="eastAsia" w:ascii="宋体" w:hAnsi="宋体" w:cs="黑体"/>
          <w:sz w:val="24"/>
        </w:rPr>
      </w:pPr>
      <w:r>
        <w:rPr>
          <w:rFonts w:hint="eastAsia" w:ascii="宋体" w:hAnsi="宋体" w:cs="黑体"/>
          <w:sz w:val="24"/>
        </w:rPr>
        <w:t xml:space="preserve">乙方</w:t>
      </w:r>
      <w:r>
        <w:rPr>
          <w:rFonts w:ascii="宋体" w:hAnsi="宋体" w:cs="黑体"/>
          <w:sz w:val="24"/>
        </w:rPr>
        <w:t xml:space="preserve">在</w:t>
      </w:r>
      <w:r>
        <w:rPr>
          <w:rFonts w:hint="eastAsia" w:ascii="宋体" w:hAnsi="宋体" w:cs="黑体"/>
          <w:sz w:val="24"/>
        </w:rPr>
        <w:t xml:space="preserve">每年度管护</w:t>
      </w:r>
      <w:r>
        <w:rPr>
          <w:rFonts w:ascii="宋体" w:hAnsi="宋体" w:cs="黑体"/>
          <w:sz w:val="24"/>
        </w:rPr>
        <w:t xml:space="preserve">期内连续2次或累计3次，月度考核结果在85分（不含85分）以下的，</w:t>
      </w:r>
      <w:r>
        <w:rPr>
          <w:rFonts w:hint="eastAsia" w:ascii="宋体" w:hAnsi="宋体" w:cs="黑体"/>
          <w:sz w:val="24"/>
        </w:rPr>
        <w:t xml:space="preserve">将</w:t>
      </w:r>
      <w:r>
        <w:rPr>
          <w:rFonts w:hint="eastAsia" w:ascii="宋体" w:hAnsi="宋体" w:cs="黑体"/>
          <w:sz w:val="24"/>
        </w:rPr>
        <w:t xml:space="preserve">不再续签本项目服务合同</w:t>
      </w:r>
      <w:r>
        <w:rPr>
          <w:rFonts w:ascii="宋体" w:hAnsi="宋体" w:cs="黑体"/>
          <w:sz w:val="24"/>
        </w:rPr>
        <w:t xml:space="preserve">。</w:t>
      </w:r>
      <w:r/>
    </w:p>
    <w:p>
      <w:pPr>
        <w:ind w:firstLine="480"/>
        <w:spacing w:line="400" w:lineRule="exact"/>
        <w:rPr>
          <w:rFonts w:hint="eastAsia" w:ascii="宋体" w:hAnsi="宋体" w:cs="黑体"/>
          <w:sz w:val="24"/>
        </w:rPr>
      </w:pPr>
      <w:r>
        <w:rPr>
          <w:rFonts w:ascii="宋体" w:hAnsi="宋体" w:cs="黑体"/>
          <w:sz w:val="24"/>
        </w:rPr>
        <w:t xml:space="preserve">2、下列文件为本合同不可分割部分：</w:t>
      </w:r>
      <w:r/>
    </w:p>
    <w:p>
      <w:pPr>
        <w:ind w:firstLine="480"/>
        <w:spacing w:line="400" w:lineRule="exact"/>
        <w:rPr>
          <w:rFonts w:hint="eastAsia" w:ascii="宋体" w:hAnsi="宋体" w:cs="黑体"/>
          <w:sz w:val="24"/>
        </w:rPr>
      </w:pPr>
      <w:r>
        <w:rPr>
          <w:rFonts w:ascii="宋体" w:hAnsi="宋体" w:cs="黑体"/>
          <w:sz w:val="24"/>
        </w:rPr>
        <w:t xml:space="preserve">①中标通知书；</w:t>
      </w:r>
      <w:r/>
    </w:p>
    <w:p>
      <w:pPr>
        <w:ind w:firstLine="480"/>
        <w:spacing w:line="400" w:lineRule="exact"/>
        <w:rPr>
          <w:rFonts w:hint="eastAsia" w:ascii="宋体" w:hAnsi="宋体" w:cs="黑体"/>
          <w:sz w:val="24"/>
        </w:rPr>
      </w:pPr>
      <w:r>
        <w:rPr>
          <w:rFonts w:ascii="宋体" w:hAnsi="宋体" w:cs="黑体"/>
          <w:sz w:val="24"/>
        </w:rPr>
        <w:t xml:space="preserve">②乙方的投标文件；</w:t>
      </w:r>
      <w:r/>
    </w:p>
    <w:p>
      <w:pPr>
        <w:ind w:firstLine="480"/>
        <w:spacing w:line="400" w:lineRule="exact"/>
        <w:rPr>
          <w:rFonts w:hint="eastAsia" w:ascii="宋体" w:hAnsi="宋体" w:cs="黑体"/>
          <w:sz w:val="24"/>
        </w:rPr>
      </w:pPr>
      <w:r>
        <w:rPr>
          <w:rFonts w:ascii="宋体" w:hAnsi="宋体" w:cs="黑体"/>
          <w:sz w:val="24"/>
        </w:rPr>
        <w:t xml:space="preserve">③招标文件；</w:t>
      </w:r>
      <w:r/>
    </w:p>
    <w:p>
      <w:pPr>
        <w:ind w:firstLine="480"/>
        <w:spacing w:line="400" w:lineRule="exact"/>
        <w:rPr>
          <w:rFonts w:hint="eastAsia" w:ascii="宋体" w:hAnsi="宋体" w:cs="黑体"/>
          <w:sz w:val="24"/>
        </w:rPr>
      </w:pPr>
      <w:r>
        <w:rPr>
          <w:rFonts w:ascii="宋体" w:hAnsi="宋体" w:cs="黑体"/>
          <w:sz w:val="24"/>
        </w:rPr>
        <w:t xml:space="preserve">④乙方在招标过程中所作的其它承诺、声明、书面澄清等。</w:t>
      </w:r>
      <w:r/>
    </w:p>
    <w:p>
      <w:pPr>
        <w:ind w:firstLine="480"/>
        <w:spacing w:line="400" w:lineRule="exact"/>
        <w:rPr>
          <w:rFonts w:hint="eastAsia" w:ascii="宋体" w:hAnsi="宋体" w:cs="黑体"/>
          <w:sz w:val="24"/>
        </w:rPr>
      </w:pPr>
      <w:r>
        <w:rPr>
          <w:rFonts w:hint="eastAsia" w:ascii="宋体" w:hAnsi="宋体" w:cs="黑体"/>
          <w:sz w:val="24"/>
        </w:rPr>
        <w:t xml:space="preserve">3、服务内容：</w:t>
      </w:r>
      <w:r>
        <w:rPr>
          <w:rFonts w:ascii="宋体" w:hAnsi="宋体" w:cs="黑体"/>
          <w:sz w:val="24"/>
        </w:rPr>
        <w:t xml:space="preserve">按照江苏省城市道路照明技术规范DGJ32/TC06-2011等标准、办法对管辖范围照明设施进行维护。</w:t>
      </w:r>
      <w:r>
        <w:rPr>
          <w:rFonts w:hint="eastAsia" w:ascii="宋体" w:hAnsi="宋体" w:cs="黑体"/>
          <w:sz w:val="24"/>
        </w:rPr>
        <w:t xml:space="preserve">本次维护内容包含</w:t>
      </w:r>
      <w:r>
        <w:rPr>
          <w:rFonts w:ascii="宋体" w:hAnsi="宋体" w:cs="黑体"/>
          <w:sz w:val="24"/>
        </w:rPr>
        <w:t xml:space="preserve">前黄镇3951套路灯</w:t>
      </w:r>
      <w:r>
        <w:rPr>
          <w:rFonts w:hint="eastAsia" w:ascii="宋体" w:hAnsi="宋体" w:cs="黑体"/>
          <w:sz w:val="24"/>
        </w:rPr>
        <w:t xml:space="preserve">以及</w:t>
      </w:r>
      <w:r>
        <w:rPr>
          <w:rFonts w:ascii="宋体" w:hAnsi="宋体" w:cs="黑体"/>
          <w:sz w:val="24"/>
        </w:rPr>
        <w:t xml:space="preserve">道路照明设施日常巡查、维护、应急抢修及零星工程等</w:t>
      </w:r>
      <w:r>
        <w:rPr>
          <w:rFonts w:hint="eastAsia" w:ascii="宋体" w:hAnsi="宋体" w:cs="黑体"/>
          <w:sz w:val="24"/>
        </w:rPr>
        <w:t xml:space="preserve">。</w:t>
      </w:r>
      <w:r>
        <w:rPr>
          <w:rFonts w:ascii="宋体" w:hAnsi="宋体" w:cs="黑体"/>
          <w:sz w:val="24"/>
        </w:rPr>
        <w:t xml:space="preserve">照明设施包括但不限于用于照明的照明器具、电器、灯</w:t>
      </w:r>
      <w:r>
        <w:rPr>
          <w:rFonts w:ascii="宋体" w:hAnsi="宋体" w:cs="黑体"/>
          <w:sz w:val="24"/>
        </w:rPr>
        <w:t xml:space="preserve">杆以及</w:t>
      </w:r>
      <w:r>
        <w:rPr>
          <w:rFonts w:ascii="宋体" w:hAnsi="宋体" w:cs="黑体"/>
          <w:sz w:val="24"/>
        </w:rPr>
        <w:t xml:space="preserve">管线、线缆、配电、监控、节能等系统的设备和附属设施等</w:t>
      </w:r>
      <w:r>
        <w:rPr>
          <w:rFonts w:hint="eastAsia" w:ascii="宋体" w:hAnsi="宋体" w:cs="黑体"/>
          <w:sz w:val="24"/>
        </w:rPr>
        <w:t xml:space="preserve">。</w:t>
      </w:r>
      <w:r/>
    </w:p>
    <w:p>
      <w:pPr>
        <w:spacing w:line="400" w:lineRule="exact"/>
        <w:rPr>
          <w:rFonts w:hint="eastAsia" w:ascii="宋体" w:hAnsi="宋体" w:cs="黑体"/>
          <w:sz w:val="24"/>
        </w:rPr>
      </w:pPr>
      <w:r>
        <w:rPr>
          <w:rFonts w:ascii="宋体" w:hAnsi="宋体" w:cs="黑体"/>
          <w:b/>
          <w:sz w:val="24"/>
        </w:rPr>
        <w:t xml:space="preserve">二、甲方权利和义务</w:t>
      </w:r>
      <w:r/>
    </w:p>
    <w:p>
      <w:pPr>
        <w:ind w:firstLine="480"/>
        <w:spacing w:line="400" w:lineRule="exact"/>
        <w:rPr>
          <w:rFonts w:hint="eastAsia" w:ascii="宋体" w:hAnsi="宋体" w:cs="黑体"/>
          <w:sz w:val="24"/>
        </w:rPr>
      </w:pPr>
      <w:r>
        <w:rPr>
          <w:rFonts w:ascii="宋体" w:hAnsi="宋体" w:cs="黑体"/>
          <w:sz w:val="24"/>
        </w:rPr>
        <w:t xml:space="preserve">1、根据《城市照明维护管理办法》、《武进区城市照明设施维护质量标准》和《武进区道路照明设施维护日常考核细则》</w:t>
      </w:r>
      <w:r>
        <w:rPr>
          <w:rFonts w:hint="eastAsia" w:ascii="宋体" w:hAnsi="宋体" w:cs="黑体"/>
          <w:sz w:val="24"/>
        </w:rPr>
        <w:t xml:space="preserve">、《道路路灯考核明细表》</w:t>
      </w:r>
      <w:r>
        <w:rPr>
          <w:rFonts w:ascii="宋体" w:hAnsi="宋体" w:cs="黑体"/>
          <w:sz w:val="24"/>
        </w:rPr>
        <w:t xml:space="preserve">，对乙方前黄镇路灯维护工作履行合同情况进行指导和考核。</w:t>
      </w:r>
      <w:r/>
    </w:p>
    <w:p>
      <w:pPr>
        <w:ind w:firstLine="480"/>
        <w:spacing w:line="400" w:lineRule="exact"/>
        <w:rPr>
          <w:rFonts w:hint="eastAsia" w:ascii="宋体" w:hAnsi="宋体" w:cs="黑体"/>
          <w:sz w:val="24"/>
        </w:rPr>
      </w:pPr>
      <w:r>
        <w:rPr>
          <w:rFonts w:ascii="宋体" w:hAnsi="宋体" w:cs="黑体"/>
          <w:sz w:val="24"/>
        </w:rPr>
        <w:t xml:space="preserve">2、根据乙方在考核中的结果，按半年度向乙方支付承包费。</w:t>
      </w:r>
      <w:r/>
    </w:p>
    <w:p>
      <w:pPr>
        <w:ind w:firstLine="480"/>
        <w:spacing w:line="400" w:lineRule="exact"/>
        <w:rPr>
          <w:rFonts w:hint="eastAsia" w:ascii="宋体" w:hAnsi="宋体" w:cs="黑体"/>
          <w:sz w:val="24"/>
        </w:rPr>
      </w:pPr>
      <w:r>
        <w:rPr>
          <w:rFonts w:ascii="宋体" w:hAnsi="宋体" w:cs="黑体"/>
          <w:sz w:val="24"/>
        </w:rPr>
        <w:t xml:space="preserve">3、听取乙方提出的建议并给予答复。</w:t>
      </w:r>
      <w:r/>
    </w:p>
    <w:p>
      <w:pPr>
        <w:ind w:firstLine="480"/>
        <w:spacing w:line="400" w:lineRule="exact"/>
        <w:rPr>
          <w:rFonts w:hint="eastAsia" w:ascii="宋体" w:hAnsi="宋体" w:cs="黑体"/>
          <w:sz w:val="24"/>
        </w:rPr>
      </w:pPr>
      <w:r>
        <w:rPr>
          <w:rFonts w:ascii="宋体" w:hAnsi="宋体" w:cs="黑体"/>
          <w:sz w:val="24"/>
        </w:rPr>
        <w:t xml:space="preserve">4、审定乙方的作业服务制度和计划，监督乙方履行承诺。</w:t>
      </w:r>
      <w:r/>
    </w:p>
    <w:p>
      <w:pPr>
        <w:ind w:firstLine="480"/>
        <w:spacing w:line="400" w:lineRule="exact"/>
        <w:rPr>
          <w:rFonts w:hint="eastAsia" w:ascii="宋体" w:hAnsi="宋体" w:cs="黑体"/>
          <w:sz w:val="24"/>
        </w:rPr>
      </w:pPr>
      <w:r>
        <w:rPr>
          <w:rFonts w:ascii="宋体" w:hAnsi="宋体" w:cs="黑体"/>
          <w:sz w:val="24"/>
        </w:rPr>
        <w:t xml:space="preserve">5、拥有本项目日常考核细则的解释权。</w:t>
      </w:r>
      <w:r/>
    </w:p>
    <w:p>
      <w:pPr>
        <w:ind w:firstLine="480"/>
        <w:spacing w:line="400" w:lineRule="exact"/>
        <w:rPr>
          <w:rFonts w:hint="eastAsia" w:ascii="宋体" w:hAnsi="宋体" w:cs="黑体"/>
          <w:sz w:val="24"/>
        </w:rPr>
      </w:pPr>
      <w:r>
        <w:rPr>
          <w:rFonts w:ascii="宋体" w:hAnsi="宋体" w:cs="黑体"/>
          <w:sz w:val="24"/>
        </w:rPr>
        <w:t xml:space="preserve">6、区域范围内新增作业量的派遣、核算。</w:t>
      </w:r>
      <w:r/>
    </w:p>
    <w:p>
      <w:pPr>
        <w:ind w:firstLine="480"/>
        <w:spacing w:line="400" w:lineRule="exact"/>
        <w:rPr>
          <w:rFonts w:hint="eastAsia" w:ascii="宋体" w:hAnsi="宋体" w:cs="黑体"/>
          <w:sz w:val="24"/>
        </w:rPr>
      </w:pPr>
      <w:r>
        <w:rPr>
          <w:rFonts w:ascii="宋体" w:hAnsi="宋体" w:cs="黑体"/>
          <w:sz w:val="24"/>
        </w:rPr>
        <w:t xml:space="preserve">7、法规、政策规定由甲方承担的其他责任。</w:t>
      </w:r>
      <w:r/>
    </w:p>
    <w:p>
      <w:pPr>
        <w:spacing w:line="400" w:lineRule="exact"/>
        <w:rPr>
          <w:rFonts w:hint="eastAsia" w:ascii="宋体" w:hAnsi="宋体" w:cs="黑体"/>
          <w:b/>
          <w:sz w:val="24"/>
        </w:rPr>
      </w:pPr>
      <w:r>
        <w:rPr>
          <w:rFonts w:ascii="宋体" w:hAnsi="宋体" w:cs="黑体"/>
          <w:b/>
          <w:sz w:val="24"/>
        </w:rPr>
        <w:t xml:space="preserve">三、乙方权利和义务</w:t>
      </w:r>
      <w:r/>
    </w:p>
    <w:p>
      <w:pPr>
        <w:ind w:firstLine="480"/>
        <w:jc w:val="left"/>
        <w:spacing w:line="400" w:lineRule="exact"/>
        <w:rPr>
          <w:rFonts w:hint="eastAsia" w:ascii="宋体" w:hAnsi="宋体" w:cs="黑体"/>
          <w:sz w:val="24"/>
        </w:rPr>
      </w:pPr>
      <w:r>
        <w:rPr>
          <w:rFonts w:ascii="宋体" w:hAnsi="宋体" w:cs="黑体"/>
          <w:sz w:val="24"/>
        </w:rPr>
        <w:t xml:space="preserve">1、维护主要内容：</w:t>
      </w:r>
      <w:r/>
    </w:p>
    <w:p>
      <w:pPr>
        <w:ind w:firstLine="480"/>
        <w:jc w:val="left"/>
        <w:spacing w:line="400" w:lineRule="exact"/>
        <w:rPr>
          <w:rFonts w:hint="eastAsia" w:ascii="宋体" w:hAnsi="宋体" w:cs="黑体"/>
          <w:sz w:val="24"/>
        </w:rPr>
      </w:pPr>
      <w:r>
        <w:rPr>
          <w:rFonts w:ascii="宋体" w:hAnsi="宋体" w:cs="黑体"/>
          <w:sz w:val="24"/>
        </w:rPr>
        <w:t xml:space="preserve">（1）负责路灯设施更换维修，确保亮灯效果，亮灯率达到98%；</w:t>
      </w:r>
      <w:r/>
    </w:p>
    <w:p>
      <w:pPr>
        <w:ind w:firstLine="480"/>
        <w:jc w:val="left"/>
        <w:spacing w:line="400" w:lineRule="exact"/>
        <w:rPr>
          <w:rFonts w:hint="eastAsia" w:ascii="宋体" w:hAnsi="宋体" w:cs="黑体"/>
          <w:sz w:val="24"/>
        </w:rPr>
      </w:pPr>
      <w:r>
        <w:rPr>
          <w:rFonts w:ascii="宋体" w:hAnsi="宋体" w:cs="黑体"/>
          <w:sz w:val="24"/>
        </w:rPr>
        <w:t xml:space="preserve">（2）负责路灯</w:t>
      </w:r>
      <w:r>
        <w:rPr>
          <w:rFonts w:ascii="宋体" w:hAnsi="宋体" w:cs="黑体"/>
          <w:sz w:val="24"/>
        </w:rPr>
        <w:t xml:space="preserve">灯</w:t>
      </w:r>
      <w:r>
        <w:rPr>
          <w:rFonts w:ascii="宋体" w:hAnsi="宋体" w:cs="黑体"/>
          <w:sz w:val="24"/>
        </w:rPr>
        <w:t xml:space="preserve">杆、灯具、管线、控制箱（含遥控终端）及其它相关设备安装牢固情况、运行情况的检查及维修更换；</w:t>
      </w:r>
      <w:r/>
    </w:p>
    <w:p>
      <w:pPr>
        <w:ind w:firstLine="480"/>
        <w:jc w:val="left"/>
        <w:spacing w:line="400" w:lineRule="exact"/>
        <w:rPr>
          <w:rFonts w:hint="eastAsia" w:ascii="宋体" w:hAnsi="宋体" w:cs="黑体"/>
          <w:sz w:val="24"/>
        </w:rPr>
      </w:pPr>
      <w:r>
        <w:rPr>
          <w:rFonts w:ascii="宋体" w:hAnsi="宋体" w:cs="黑体"/>
          <w:sz w:val="24"/>
        </w:rPr>
        <w:t xml:space="preserve">（3）负责所有路灯箱变低压室、计量箱、控制箱（含遥控终端）的检查调试维修，电气元件更换；</w:t>
      </w:r>
      <w:r/>
    </w:p>
    <w:p>
      <w:pPr>
        <w:ind w:firstLine="480"/>
        <w:jc w:val="left"/>
        <w:spacing w:line="400" w:lineRule="exact"/>
        <w:rPr>
          <w:rFonts w:hint="eastAsia" w:ascii="宋体" w:hAnsi="宋体" w:cs="黑体"/>
          <w:sz w:val="24"/>
        </w:rPr>
      </w:pPr>
      <w:r>
        <w:rPr>
          <w:rFonts w:ascii="宋体" w:hAnsi="宋体" w:cs="黑体"/>
          <w:sz w:val="24"/>
        </w:rPr>
        <w:t xml:space="preserve">（4）负责所有电缆的检测、维修、更换；</w:t>
      </w:r>
      <w:r/>
    </w:p>
    <w:p>
      <w:pPr>
        <w:ind w:firstLine="480"/>
        <w:jc w:val="left"/>
        <w:spacing w:line="400" w:lineRule="exact"/>
        <w:rPr>
          <w:rFonts w:hint="eastAsia" w:ascii="宋体" w:hAnsi="宋体" w:cs="黑体"/>
          <w:sz w:val="24"/>
        </w:rPr>
      </w:pPr>
      <w:r>
        <w:rPr>
          <w:rFonts w:ascii="宋体" w:hAnsi="宋体" w:cs="黑体"/>
          <w:sz w:val="24"/>
        </w:rPr>
        <w:t xml:space="preserve">（5）负责三遥控制系统运行、值班、保障系统正常运行。</w:t>
      </w:r>
      <w:r/>
    </w:p>
    <w:p>
      <w:pPr>
        <w:ind w:firstLine="480"/>
        <w:jc w:val="left"/>
        <w:spacing w:line="400" w:lineRule="exact"/>
        <w:rPr>
          <w:rFonts w:hint="eastAsia" w:ascii="宋体" w:hAnsi="宋体" w:cs="黑体"/>
          <w:sz w:val="24"/>
        </w:rPr>
      </w:pPr>
      <w:r>
        <w:rPr>
          <w:rFonts w:ascii="宋体" w:hAnsi="宋体" w:cs="黑体"/>
          <w:sz w:val="24"/>
        </w:rPr>
        <w:t xml:space="preserve">（6）运行值班：安排专门抢修人员、车辆，做好大面积熄灯、夜间来电报修等等情况的应急处理工作。夜间来电报修、交通肇事必须在30分钟内赶到现场进行紧急处理。</w:t>
      </w:r>
      <w:r/>
    </w:p>
    <w:p>
      <w:pPr>
        <w:ind w:firstLine="480"/>
        <w:jc w:val="left"/>
        <w:spacing w:line="400" w:lineRule="exact"/>
        <w:rPr>
          <w:rFonts w:hint="eastAsia" w:ascii="宋体" w:hAnsi="宋体" w:cs="黑体"/>
          <w:sz w:val="24"/>
        </w:rPr>
      </w:pPr>
      <w:r>
        <w:rPr>
          <w:rFonts w:ascii="宋体" w:hAnsi="宋体" w:cs="黑体"/>
          <w:sz w:val="24"/>
        </w:rPr>
        <w:t xml:space="preserve">（7）做好防盗工作，承担维护范围内发生的失窃、人为破坏等管护、修复责任；</w:t>
      </w:r>
      <w:r/>
    </w:p>
    <w:p>
      <w:pPr>
        <w:ind w:firstLine="480"/>
        <w:jc w:val="left"/>
        <w:spacing w:line="400" w:lineRule="exact"/>
        <w:rPr>
          <w:rFonts w:hint="eastAsia" w:ascii="宋体" w:hAnsi="宋体" w:cs="黑体"/>
          <w:sz w:val="24"/>
        </w:rPr>
      </w:pPr>
      <w:r>
        <w:rPr>
          <w:rFonts w:ascii="宋体" w:hAnsi="宋体" w:cs="黑体"/>
          <w:sz w:val="24"/>
        </w:rPr>
        <w:t xml:space="preserve">（8）配置人员车辆配合甲方三遥控制系统的升级改造。配合甲方做好转供电等交办事项工作。</w:t>
      </w:r>
      <w:r/>
    </w:p>
    <w:p>
      <w:pPr>
        <w:ind w:firstLine="480"/>
        <w:jc w:val="left"/>
        <w:spacing w:line="400" w:lineRule="exact"/>
        <w:rPr>
          <w:rFonts w:hint="eastAsia" w:ascii="宋体" w:hAnsi="宋体" w:cs="黑体"/>
          <w:sz w:val="24"/>
        </w:rPr>
      </w:pPr>
      <w:r>
        <w:rPr>
          <w:rFonts w:ascii="宋体" w:hAnsi="宋体" w:cs="黑体"/>
          <w:sz w:val="24"/>
        </w:rPr>
        <w:t xml:space="preserve">（9）除</w:t>
      </w:r>
      <w:r>
        <w:rPr>
          <w:rFonts w:ascii="宋体" w:hAnsi="宋体" w:cs="黑体"/>
          <w:sz w:val="24"/>
        </w:rPr>
        <w:t xml:space="preserve">正常维护外</w:t>
      </w:r>
      <w:r>
        <w:rPr>
          <w:rFonts w:ascii="宋体" w:hAnsi="宋体" w:cs="黑体"/>
          <w:sz w:val="24"/>
        </w:rPr>
        <w:t xml:space="preserve">，还必须做好各项文明城市检查、重大活动及节日保障活动； </w:t>
      </w:r>
      <w:r/>
    </w:p>
    <w:p>
      <w:pPr>
        <w:ind w:firstLine="480"/>
        <w:jc w:val="left"/>
        <w:spacing w:line="400" w:lineRule="exact"/>
        <w:rPr>
          <w:rFonts w:hint="eastAsia" w:ascii="宋体" w:hAnsi="宋体" w:cs="黑体"/>
          <w:sz w:val="24"/>
        </w:rPr>
      </w:pPr>
      <w:r>
        <w:rPr>
          <w:rFonts w:ascii="宋体" w:hAnsi="宋体" w:cs="黑体"/>
          <w:sz w:val="24"/>
        </w:rPr>
        <w:t xml:space="preserve">（10）负责路灯箱变低压室、计量箱、</w:t>
      </w:r>
      <w:r>
        <w:rPr>
          <w:rFonts w:ascii="宋体" w:hAnsi="宋体" w:cs="黑体"/>
          <w:sz w:val="24"/>
        </w:rPr>
        <w:t xml:space="preserve">控制箱及灯杆</w:t>
      </w:r>
      <w:r>
        <w:rPr>
          <w:rFonts w:ascii="宋体" w:hAnsi="宋体" w:cs="黑体"/>
          <w:sz w:val="24"/>
        </w:rPr>
        <w:t xml:space="preserve">、灯具的清洁工作。</w:t>
      </w:r>
      <w:r/>
    </w:p>
    <w:p>
      <w:pPr>
        <w:ind w:firstLine="480"/>
        <w:jc w:val="left"/>
        <w:spacing w:line="400" w:lineRule="exact"/>
        <w:rPr>
          <w:rFonts w:hint="eastAsia" w:ascii="宋体" w:hAnsi="宋体" w:cs="黑体"/>
          <w:sz w:val="24"/>
        </w:rPr>
      </w:pPr>
      <w:r>
        <w:rPr>
          <w:rFonts w:ascii="宋体" w:hAnsi="宋体" w:cs="黑体"/>
          <w:sz w:val="24"/>
        </w:rPr>
        <w:t xml:space="preserve">2、日常巡检、抢修、维修：</w:t>
      </w:r>
      <w:r/>
    </w:p>
    <w:p>
      <w:pPr>
        <w:ind w:firstLine="480"/>
        <w:jc w:val="left"/>
        <w:spacing w:line="400" w:lineRule="exact"/>
        <w:rPr>
          <w:rFonts w:hint="eastAsia" w:ascii="宋体" w:hAnsi="宋体" w:cs="黑体"/>
          <w:sz w:val="24"/>
        </w:rPr>
      </w:pPr>
      <w:r>
        <w:rPr>
          <w:rFonts w:ascii="宋体" w:hAnsi="宋体" w:cs="黑体"/>
          <w:sz w:val="24"/>
        </w:rPr>
        <w:t xml:space="preserve">（1）乙方巡检人员每天都要对管辖内设施进行巡视检查，管理人员要保持24小时通讯畅通；</w:t>
      </w:r>
      <w:r/>
    </w:p>
    <w:p>
      <w:pPr>
        <w:ind w:firstLine="480"/>
        <w:jc w:val="left"/>
        <w:spacing w:line="400" w:lineRule="exact"/>
        <w:rPr>
          <w:rFonts w:hint="eastAsia" w:ascii="宋体" w:hAnsi="宋体" w:cs="黑体"/>
          <w:sz w:val="24"/>
        </w:rPr>
      </w:pPr>
      <w:r>
        <w:rPr>
          <w:rFonts w:ascii="宋体" w:hAnsi="宋体" w:cs="黑体"/>
          <w:sz w:val="24"/>
        </w:rPr>
        <w:t xml:space="preserve">（2）定期进行电气元件、电气设备、电缆、灯具等运行参数检测、漏电安全检测、灵敏度检测、绝缘检测、老化检测；</w:t>
      </w:r>
      <w:r/>
    </w:p>
    <w:p>
      <w:pPr>
        <w:ind w:firstLine="480"/>
        <w:jc w:val="left"/>
        <w:spacing w:line="400" w:lineRule="exact"/>
        <w:rPr>
          <w:rFonts w:hint="eastAsia" w:ascii="宋体" w:hAnsi="宋体" w:cs="黑体"/>
          <w:sz w:val="24"/>
        </w:rPr>
      </w:pPr>
      <w:r>
        <w:rPr>
          <w:rFonts w:ascii="宋体" w:hAnsi="宋体" w:cs="黑体"/>
          <w:sz w:val="24"/>
        </w:rPr>
        <w:t xml:space="preserve">（3）巡查设施运行情况、观察有无异常振动及噪声，检查电气控制柜中元件有无发黑的触点，电缆、电线是否有过热、变色、烧焦等现象；</w:t>
      </w:r>
      <w:r/>
    </w:p>
    <w:p>
      <w:pPr>
        <w:ind w:firstLine="480"/>
        <w:jc w:val="left"/>
        <w:spacing w:line="400" w:lineRule="exact"/>
        <w:rPr>
          <w:rFonts w:hint="eastAsia" w:ascii="宋体" w:hAnsi="宋体" w:cs="黑体"/>
          <w:sz w:val="24"/>
        </w:rPr>
      </w:pPr>
      <w:r>
        <w:rPr>
          <w:rFonts w:ascii="宋体" w:hAnsi="宋体" w:cs="黑体"/>
          <w:sz w:val="24"/>
        </w:rPr>
        <w:t xml:space="preserve">（4）管护期限内发生偷盗由乙方承担修复的所有费用（含修复时人行道板、绿化带开挖等造成的损失）。偷盗必须在第一时间内向甲方管理人员反映，同时向辖区内派出所报案；</w:t>
      </w:r>
      <w:r/>
    </w:p>
    <w:p>
      <w:pPr>
        <w:ind w:firstLine="480"/>
        <w:jc w:val="left"/>
        <w:spacing w:line="400" w:lineRule="exact"/>
        <w:rPr>
          <w:rFonts w:hint="eastAsia" w:ascii="宋体" w:hAnsi="宋体" w:cs="黑体"/>
          <w:sz w:val="24"/>
        </w:rPr>
      </w:pPr>
      <w:r>
        <w:rPr>
          <w:rFonts w:ascii="宋体" w:hAnsi="宋体" w:cs="黑体"/>
          <w:sz w:val="24"/>
        </w:rPr>
        <w:t xml:space="preserve">（5）安排专门抢修人员配合路灯大面积熄灯抢修，30分钟内必须赶到现场处理；</w:t>
      </w:r>
      <w:r/>
    </w:p>
    <w:p>
      <w:pPr>
        <w:ind w:firstLine="480"/>
        <w:jc w:val="left"/>
        <w:spacing w:line="400" w:lineRule="exact"/>
        <w:rPr>
          <w:rFonts w:hint="eastAsia" w:ascii="宋体" w:hAnsi="宋体" w:cs="黑体"/>
          <w:sz w:val="24"/>
        </w:rPr>
      </w:pPr>
      <w:r>
        <w:rPr>
          <w:rFonts w:ascii="宋体" w:hAnsi="宋体" w:cs="黑体"/>
          <w:sz w:val="24"/>
        </w:rPr>
        <w:t xml:space="preserve">（6）巡查、维修频率及台帐要求：乙方必须及时报送</w:t>
      </w:r>
      <w:r>
        <w:rPr>
          <w:rFonts w:ascii="宋体" w:hAnsi="宋体" w:cs="黑体"/>
          <w:sz w:val="24"/>
        </w:rPr>
        <w:t xml:space="preserve">相关台</w:t>
      </w:r>
      <w:r>
        <w:rPr>
          <w:rFonts w:ascii="宋体" w:hAnsi="宋体" w:cs="黑体"/>
          <w:sz w:val="24"/>
        </w:rPr>
        <w:t xml:space="preserve">帐资料，每周五16：00前报送下周巡查计划表，每天11：00之前报送前一天的</w:t>
      </w:r>
      <w:r>
        <w:rPr>
          <w:rFonts w:ascii="宋体" w:hAnsi="宋体" w:cs="黑体"/>
          <w:sz w:val="24"/>
        </w:rPr>
        <w:t xml:space="preserve">巡查台</w:t>
      </w:r>
      <w:r>
        <w:rPr>
          <w:rFonts w:ascii="宋体" w:hAnsi="宋体" w:cs="黑体"/>
          <w:sz w:val="24"/>
        </w:rPr>
        <w:t xml:space="preserve">账和维修记录台帐，每个月前三个工作日内报送上个月路灯管护月度统计文档。</w:t>
      </w:r>
      <w:r/>
    </w:p>
    <w:p>
      <w:pPr>
        <w:ind w:firstLine="480"/>
        <w:jc w:val="left"/>
        <w:spacing w:line="400" w:lineRule="exact"/>
        <w:rPr>
          <w:rFonts w:hint="eastAsia" w:ascii="宋体" w:hAnsi="宋体" w:cs="黑体"/>
          <w:sz w:val="24"/>
        </w:rPr>
      </w:pPr>
      <w:r>
        <w:rPr>
          <w:rFonts w:ascii="宋体" w:hAnsi="宋体" w:cs="黑体"/>
          <w:sz w:val="24"/>
        </w:rPr>
        <w:t xml:space="preserve">（7）配电设施及线路每季度巡查、维修一遍，做好台帐资料。</w:t>
      </w:r>
      <w:r/>
    </w:p>
    <w:p>
      <w:pPr>
        <w:ind w:firstLine="480"/>
        <w:jc w:val="left"/>
        <w:spacing w:line="400" w:lineRule="exact"/>
        <w:rPr>
          <w:rFonts w:hint="eastAsia" w:ascii="宋体" w:hAnsi="宋体" w:cs="黑体"/>
          <w:sz w:val="24"/>
        </w:rPr>
      </w:pPr>
      <w:r>
        <w:rPr>
          <w:rFonts w:ascii="宋体" w:hAnsi="宋体" w:cs="黑体"/>
          <w:sz w:val="24"/>
        </w:rPr>
        <w:t xml:space="preserve">（8）道路、绿地</w:t>
      </w:r>
      <w:r>
        <w:rPr>
          <w:rFonts w:ascii="宋体" w:hAnsi="宋体" w:cs="黑体"/>
          <w:sz w:val="24"/>
        </w:rPr>
        <w:t xml:space="preserve">灯要求</w:t>
      </w:r>
      <w:r>
        <w:rPr>
          <w:rFonts w:ascii="宋体" w:hAnsi="宋体" w:cs="黑体"/>
          <w:sz w:val="24"/>
        </w:rPr>
        <w:t xml:space="preserve">两周必须全部巡查一次，做好台帐资料，资料包括但不限于灭灯明细数据、灯杆歪斜、灯门缺失、灯具破损等。</w:t>
      </w:r>
      <w:r>
        <w:rPr>
          <w:rFonts w:ascii="宋体" w:hAnsi="宋体" w:cs="黑体"/>
          <w:sz w:val="24"/>
        </w:rPr>
        <w:br/>
      </w:r>
      <w:r>
        <w:rPr>
          <w:rFonts w:hint="eastAsia" w:ascii="宋体" w:hAnsi="宋体" w:cs="黑体"/>
          <w:sz w:val="24"/>
        </w:rPr>
        <w:t xml:space="preserve">    </w:t>
      </w:r>
      <w:r>
        <w:rPr>
          <w:rFonts w:ascii="宋体" w:hAnsi="宋体" w:cs="黑体"/>
          <w:sz w:val="24"/>
        </w:rPr>
        <w:t xml:space="preserve">（9）道路、绿地</w:t>
      </w:r>
      <w:r>
        <w:rPr>
          <w:rFonts w:ascii="宋体" w:hAnsi="宋体" w:cs="黑体"/>
          <w:sz w:val="24"/>
        </w:rPr>
        <w:t xml:space="preserve">灯必须</w:t>
      </w:r>
      <w:r>
        <w:rPr>
          <w:rFonts w:ascii="宋体" w:hAnsi="宋体" w:cs="黑体"/>
          <w:sz w:val="24"/>
        </w:rPr>
        <w:t xml:space="preserve">两周维修一遍，维修做好台帐，并在</w:t>
      </w:r>
      <w:r>
        <w:rPr>
          <w:rFonts w:ascii="宋体" w:hAnsi="宋体" w:cs="黑体"/>
          <w:sz w:val="24"/>
        </w:rPr>
        <w:t xml:space="preserve">灯杆内做好</w:t>
      </w:r>
      <w:r>
        <w:rPr>
          <w:rFonts w:ascii="宋体" w:hAnsi="宋体" w:cs="黑体"/>
          <w:sz w:val="24"/>
        </w:rPr>
        <w:t xml:space="preserve">维修时间、更换配件等标签记录。</w:t>
      </w:r>
      <w:r/>
    </w:p>
    <w:p>
      <w:pPr>
        <w:ind w:firstLine="480"/>
        <w:spacing w:line="400" w:lineRule="exact"/>
        <w:rPr>
          <w:rFonts w:hint="eastAsia" w:ascii="宋体" w:hAnsi="宋体" w:cs="黑体"/>
          <w:sz w:val="24"/>
        </w:rPr>
      </w:pPr>
      <w:r>
        <w:rPr>
          <w:rFonts w:ascii="宋体" w:hAnsi="宋体" w:cs="黑体"/>
          <w:sz w:val="24"/>
        </w:rPr>
        <w:t xml:space="preserve">3、故障维修说明：</w:t>
      </w:r>
      <w:r/>
    </w:p>
    <w:p>
      <w:pPr>
        <w:ind w:firstLine="480"/>
        <w:spacing w:line="400" w:lineRule="exact"/>
        <w:rPr>
          <w:rFonts w:hint="eastAsia" w:ascii="宋体" w:hAnsi="宋体" w:cs="黑体"/>
          <w:sz w:val="24"/>
        </w:rPr>
      </w:pPr>
      <w:r>
        <w:rPr>
          <w:rFonts w:ascii="宋体" w:hAnsi="宋体" w:cs="黑体"/>
          <w:sz w:val="24"/>
        </w:rPr>
        <w:t xml:space="preserve">（1）制定相关应急预案，如有意外事故发生应采取紧急处理措施，防止事故扩大化；</w:t>
      </w:r>
      <w:r/>
    </w:p>
    <w:p>
      <w:pPr>
        <w:ind w:firstLine="480"/>
        <w:spacing w:line="400" w:lineRule="exact"/>
        <w:rPr>
          <w:rFonts w:hint="eastAsia" w:ascii="宋体" w:hAnsi="宋体" w:cs="黑体"/>
          <w:sz w:val="24"/>
        </w:rPr>
      </w:pPr>
      <w:r>
        <w:rPr>
          <w:rFonts w:ascii="宋体" w:hAnsi="宋体" w:cs="黑体"/>
          <w:sz w:val="24"/>
        </w:rPr>
        <w:t xml:space="preserve">（2）乙方进行维修更换作业时，应尊重原设计，尽可能原样恢复。特殊情况下，经甲方许可，方可使用替代品，但造价、品牌、质量不得低于原设计的材料设备质量标准；</w:t>
      </w:r>
      <w:r/>
    </w:p>
    <w:p>
      <w:pPr>
        <w:ind w:firstLine="480"/>
        <w:spacing w:line="400" w:lineRule="exact"/>
        <w:rPr>
          <w:rFonts w:hint="eastAsia" w:ascii="宋体" w:hAnsi="宋体" w:cs="黑体"/>
          <w:sz w:val="24"/>
        </w:rPr>
      </w:pPr>
      <w:r>
        <w:rPr>
          <w:rFonts w:ascii="宋体" w:hAnsi="宋体" w:cs="黑体"/>
          <w:sz w:val="24"/>
        </w:rPr>
        <w:t xml:space="preserve">（3）现场须有足够的备品备件，备品备件使用后要立即补足；</w:t>
      </w:r>
      <w:r/>
    </w:p>
    <w:p>
      <w:pPr>
        <w:ind w:firstLine="480"/>
        <w:spacing w:line="400" w:lineRule="exact"/>
        <w:rPr>
          <w:rFonts w:hint="eastAsia" w:ascii="宋体" w:hAnsi="宋体" w:cs="黑体"/>
          <w:sz w:val="24"/>
        </w:rPr>
      </w:pPr>
      <w:r>
        <w:rPr>
          <w:rFonts w:ascii="宋体" w:hAnsi="宋体" w:cs="黑体"/>
          <w:sz w:val="24"/>
        </w:rPr>
        <w:t xml:space="preserve">（4）乙方人员及乙方委派人员均须服从甲方代表及甲方现场派驻人员的管理，甲方现场派驻人员负责对乙方日常维护工作进行监督、检查、维修工作量审核确定等工作；</w:t>
      </w:r>
      <w:r/>
    </w:p>
    <w:p>
      <w:pPr>
        <w:ind w:firstLine="480"/>
        <w:spacing w:line="400" w:lineRule="exact"/>
        <w:rPr>
          <w:rFonts w:hint="eastAsia" w:ascii="宋体" w:hAnsi="宋体" w:cs="黑体"/>
          <w:sz w:val="24"/>
        </w:rPr>
      </w:pPr>
      <w:r>
        <w:rPr>
          <w:rFonts w:ascii="宋体" w:hAnsi="宋体" w:cs="黑体"/>
          <w:sz w:val="24"/>
        </w:rPr>
        <w:t xml:space="preserve">4、纪律约束：</w:t>
      </w:r>
      <w:r/>
    </w:p>
    <w:p>
      <w:pPr>
        <w:ind w:firstLine="480"/>
        <w:spacing w:line="400" w:lineRule="exact"/>
        <w:rPr>
          <w:rFonts w:hint="eastAsia" w:ascii="宋体" w:hAnsi="宋体" w:cs="黑体"/>
          <w:sz w:val="24"/>
        </w:rPr>
      </w:pPr>
      <w:r>
        <w:rPr>
          <w:rFonts w:ascii="宋体" w:hAnsi="宋体" w:cs="黑体"/>
          <w:sz w:val="24"/>
        </w:rPr>
        <w:t xml:space="preserve">（1）甲方有权对路灯设施进行改造，乙方须配合甲方工作，并对变更设施量继续承担管护责任；</w:t>
      </w:r>
      <w:r/>
    </w:p>
    <w:p>
      <w:pPr>
        <w:ind w:firstLine="480"/>
        <w:spacing w:line="400" w:lineRule="exact"/>
        <w:rPr>
          <w:rFonts w:hint="eastAsia" w:ascii="宋体" w:hAnsi="宋体" w:cs="黑体"/>
          <w:sz w:val="24"/>
        </w:rPr>
      </w:pPr>
      <w:r>
        <w:rPr>
          <w:rFonts w:ascii="宋体" w:hAnsi="宋体" w:cs="黑体"/>
          <w:sz w:val="24"/>
        </w:rPr>
        <w:t xml:space="preserve">（2）乙方须确保路灯设施正常运行，确保现场维护人员的安全作业，“无论何种原因”，发生人身安全等责任事故，均由乙方全部承担。</w:t>
      </w:r>
      <w:r/>
    </w:p>
    <w:p>
      <w:pPr>
        <w:ind w:firstLine="480"/>
        <w:spacing w:line="400" w:lineRule="exact"/>
        <w:rPr>
          <w:rFonts w:hint="eastAsia" w:ascii="宋体" w:hAnsi="宋体" w:cs="黑体"/>
          <w:sz w:val="24"/>
        </w:rPr>
      </w:pPr>
      <w:r>
        <w:rPr>
          <w:rFonts w:ascii="宋体" w:hAnsi="宋体" w:cs="黑体"/>
          <w:sz w:val="24"/>
        </w:rPr>
        <w:t xml:space="preserve">5、长效管理</w:t>
      </w:r>
      <w:r/>
    </w:p>
    <w:p>
      <w:pPr>
        <w:ind w:firstLine="480"/>
        <w:spacing w:line="400" w:lineRule="exact"/>
        <w:rPr>
          <w:rFonts w:hint="eastAsia" w:ascii="宋体" w:hAnsi="宋体" w:cs="黑体"/>
          <w:sz w:val="24"/>
        </w:rPr>
      </w:pPr>
      <w:r>
        <w:rPr>
          <w:rFonts w:ascii="宋体" w:hAnsi="宋体" w:cs="黑体"/>
          <w:sz w:val="24"/>
        </w:rPr>
        <w:t xml:space="preserve">维护区域发生长效管理案卷、居民投诉、来电报修等应急情况，乙方必须按照时限要求完成。</w:t>
      </w:r>
      <w:r/>
    </w:p>
    <w:p>
      <w:pPr>
        <w:ind w:firstLine="480"/>
        <w:spacing w:line="400" w:lineRule="exact"/>
        <w:rPr>
          <w:rFonts w:hint="eastAsia" w:ascii="宋体" w:hAnsi="宋体" w:cs="黑体"/>
          <w:sz w:val="24"/>
        </w:rPr>
      </w:pPr>
      <w:r>
        <w:rPr>
          <w:rFonts w:ascii="宋体" w:hAnsi="宋体" w:cs="黑体"/>
          <w:sz w:val="24"/>
        </w:rPr>
        <w:t xml:space="preserve">6、其他维护说明：</w:t>
      </w:r>
      <w:r/>
    </w:p>
    <w:p>
      <w:pPr>
        <w:ind w:firstLine="480"/>
        <w:spacing w:line="400" w:lineRule="exact"/>
        <w:rPr>
          <w:rFonts w:hint="eastAsia" w:ascii="宋体" w:hAnsi="宋体" w:cs="黑体"/>
          <w:sz w:val="24"/>
        </w:rPr>
      </w:pPr>
      <w:r>
        <w:rPr>
          <w:rFonts w:hint="eastAsia" w:ascii="宋体" w:hAnsi="宋体" w:cs="黑体"/>
          <w:sz w:val="24"/>
        </w:rPr>
        <w:t xml:space="preserve">（1）</w:t>
      </w:r>
      <w:r>
        <w:rPr>
          <w:rFonts w:ascii="宋体" w:hAnsi="宋体" w:cs="黑体"/>
          <w:sz w:val="24"/>
        </w:rPr>
        <w:t xml:space="preserve">维护区内的新建路灯在保修期满移交验收合格后由该区乙方负责维修，维护费用按中标价及实际维护时间计算，乙方不得拒绝维护。</w:t>
      </w:r>
      <w:r/>
    </w:p>
    <w:p>
      <w:pPr>
        <w:ind w:firstLine="480"/>
        <w:spacing w:line="400" w:lineRule="exact"/>
        <w:rPr>
          <w:rFonts w:hint="eastAsia" w:ascii="宋体" w:hAnsi="宋体" w:cs="黑体"/>
          <w:sz w:val="24"/>
        </w:rPr>
      </w:pPr>
      <w:r>
        <w:rPr>
          <w:rFonts w:hint="eastAsia" w:ascii="宋体" w:hAnsi="宋体" w:cs="黑体"/>
          <w:sz w:val="24"/>
        </w:rPr>
        <w:t xml:space="preserve">（2）</w:t>
      </w:r>
      <w:r>
        <w:rPr>
          <w:rFonts w:ascii="宋体" w:hAnsi="宋体" w:cs="黑体"/>
          <w:sz w:val="24"/>
        </w:rPr>
        <w:t xml:space="preserve">管护期内如遇部分路灯设施提升改造、应急抢修等情况，甲方有权单方面终止该改造部分的维护，维护费用扣除改造部分后再予以支付，乙方不得因此终止履行该维护合同。</w:t>
      </w:r>
      <w:r/>
    </w:p>
    <w:p>
      <w:pPr>
        <w:ind w:firstLine="480"/>
        <w:spacing w:line="400" w:lineRule="exact"/>
        <w:rPr>
          <w:rFonts w:hint="eastAsia" w:ascii="宋体" w:hAnsi="宋体" w:cs="黑体"/>
          <w:sz w:val="24"/>
        </w:rPr>
      </w:pPr>
      <w:r>
        <w:rPr>
          <w:rFonts w:hint="eastAsia" w:ascii="宋体" w:hAnsi="宋体" w:cs="黑体"/>
          <w:sz w:val="24"/>
        </w:rPr>
        <w:t xml:space="preserve">（3）</w:t>
      </w:r>
      <w:r>
        <w:rPr>
          <w:rFonts w:ascii="宋体" w:hAnsi="宋体" w:cs="黑体"/>
          <w:sz w:val="24"/>
        </w:rPr>
        <w:t xml:space="preserve">文明施工：施工应注意保护建筑物及周围环境，以免造成损坏引起漏水、影响市容环境等情况；安装、维修结束后，做好现场卫生清洁工作。在施工过程中发生的所有安全事故等均由乙方负全部责任。</w:t>
      </w:r>
      <w:r/>
    </w:p>
    <w:p>
      <w:pPr>
        <w:ind w:firstLine="480"/>
        <w:spacing w:line="400" w:lineRule="exact"/>
        <w:rPr>
          <w:rFonts w:hint="eastAsia" w:ascii="宋体" w:hAnsi="宋体" w:cs="黑体"/>
          <w:sz w:val="24"/>
        </w:rPr>
      </w:pPr>
      <w:r>
        <w:rPr>
          <w:rFonts w:hint="eastAsia" w:ascii="宋体" w:hAnsi="宋体" w:cs="黑体"/>
          <w:sz w:val="24"/>
        </w:rPr>
        <w:t xml:space="preserve">（4）</w:t>
      </w:r>
      <w:r>
        <w:rPr>
          <w:rFonts w:ascii="宋体" w:hAnsi="宋体" w:cs="黑体"/>
          <w:sz w:val="24"/>
        </w:rPr>
        <w:t xml:space="preserve">对于维护内容、维护要求、台</w:t>
      </w:r>
      <w:r>
        <w:rPr>
          <w:rFonts w:ascii="宋体" w:hAnsi="宋体" w:cs="黑体"/>
          <w:sz w:val="24"/>
        </w:rPr>
        <w:t xml:space="preserve">帐记录</w:t>
      </w:r>
      <w:r>
        <w:rPr>
          <w:rFonts w:ascii="宋体" w:hAnsi="宋体" w:cs="黑体"/>
          <w:sz w:val="24"/>
        </w:rPr>
        <w:t xml:space="preserve">等要求未明细列出的，甲方有权根据《江苏省城市照明设施优质养护片》、江苏省城市道路照明技术规范DGJ32/TC 06-2011等相关行业规范、标准提出新的要求，成交供应商需无条件响应甲方的要求。</w:t>
      </w:r>
      <w:r/>
    </w:p>
    <w:p>
      <w:pPr>
        <w:spacing w:line="400" w:lineRule="exact"/>
        <w:rPr>
          <w:rFonts w:hint="eastAsia" w:ascii="宋体" w:hAnsi="宋体" w:cs="黑体"/>
          <w:b/>
          <w:sz w:val="24"/>
        </w:rPr>
      </w:pPr>
      <w:r>
        <w:rPr>
          <w:rFonts w:ascii="宋体" w:hAnsi="宋体" w:cs="黑体"/>
          <w:b/>
          <w:sz w:val="24"/>
        </w:rPr>
        <w:t xml:space="preserve">四、价格与支付</w:t>
      </w:r>
      <w:r>
        <w:rPr>
          <w:rFonts w:ascii="宋体" w:hAnsi="宋体" w:cs="黑体"/>
          <w:b/>
          <w:sz w:val="24"/>
        </w:rPr>
        <w:tab/>
      </w:r>
      <w:r/>
    </w:p>
    <w:p>
      <w:pPr>
        <w:ind w:firstLine="480"/>
        <w:spacing w:line="400" w:lineRule="exact"/>
        <w:rPr>
          <w:rFonts w:hint="eastAsia" w:ascii="宋体" w:hAnsi="宋体" w:cs="黑体"/>
          <w:sz w:val="24"/>
        </w:rPr>
      </w:pPr>
      <w:r>
        <w:rPr>
          <w:rFonts w:ascii="宋体" w:hAnsi="宋体" w:cs="黑体"/>
          <w:sz w:val="24"/>
        </w:rPr>
        <w:t xml:space="preserve">本项目合同价款分为日常巡检维修费用和改造工程费用，均采用固定折扣率合同。</w:t>
      </w:r>
      <w:r>
        <w:rPr>
          <w:rFonts w:ascii="宋体" w:hAnsi="宋体" w:cs="黑体"/>
          <w:b/>
          <w:bCs/>
          <w:sz w:val="24"/>
        </w:rPr>
        <w:t xml:space="preserve">且经审定后的最终结算总费用不得高于本项目采购预算价（即：4</w:t>
      </w:r>
      <w:r>
        <w:rPr>
          <w:rFonts w:hint="eastAsia" w:ascii="宋体" w:hAnsi="宋体" w:cs="黑体"/>
          <w:b/>
          <w:bCs/>
          <w:sz w:val="24"/>
        </w:rPr>
        <w:t xml:space="preserve">5</w:t>
      </w:r>
      <w:r>
        <w:rPr>
          <w:rFonts w:ascii="宋体" w:hAnsi="宋体" w:cs="黑体"/>
          <w:b/>
          <w:bCs/>
          <w:sz w:val="24"/>
        </w:rPr>
        <w:t xml:space="preserve">万元</w:t>
      </w:r>
      <w:r>
        <w:rPr>
          <w:rFonts w:hint="eastAsia" w:ascii="宋体" w:hAnsi="宋体" w:cs="黑体"/>
          <w:b/>
          <w:bCs/>
          <w:sz w:val="24"/>
        </w:rPr>
        <w:t xml:space="preserve">/年</w:t>
      </w:r>
      <w:r>
        <w:rPr>
          <w:rFonts w:ascii="宋体" w:hAnsi="宋体" w:cs="黑体"/>
          <w:b/>
          <w:bCs/>
          <w:sz w:val="24"/>
        </w:rPr>
        <w:t xml:space="preserve">），否则超</w:t>
      </w:r>
      <w:r>
        <w:rPr>
          <w:rFonts w:ascii="宋体" w:hAnsi="宋体" w:cs="黑体"/>
          <w:b/>
          <w:bCs/>
          <w:sz w:val="24"/>
        </w:rPr>
        <w:t xml:space="preserve">出部分不予结算费用。</w:t>
      </w:r>
      <w:r/>
    </w:p>
    <w:p>
      <w:pPr>
        <w:ind w:firstLine="482"/>
        <w:spacing w:line="400" w:lineRule="exact"/>
        <w:rPr>
          <w:rFonts w:hint="eastAsia" w:ascii="宋体" w:hAnsi="宋体" w:cs="黑体"/>
          <w:b/>
          <w:bCs/>
          <w:sz w:val="24"/>
        </w:rPr>
      </w:pPr>
      <w:r>
        <w:rPr>
          <w:rFonts w:ascii="宋体" w:hAnsi="宋体" w:cs="黑体"/>
          <w:b/>
          <w:bCs/>
          <w:sz w:val="24"/>
        </w:rPr>
        <w:t xml:space="preserve">本合同固定</w:t>
      </w:r>
      <w:r>
        <w:rPr>
          <w:rFonts w:hint="eastAsia" w:ascii="宋体" w:hAnsi="宋体" w:cs="黑体"/>
          <w:b/>
          <w:bCs/>
          <w:sz w:val="24"/>
        </w:rPr>
        <w:t xml:space="preserve">优惠</w:t>
      </w:r>
      <w:r>
        <w:rPr>
          <w:rFonts w:ascii="宋体" w:hAnsi="宋体" w:cs="黑体"/>
          <w:b/>
          <w:bCs/>
          <w:sz w:val="24"/>
        </w:rPr>
        <w:t xml:space="preserve">率</w:t>
      </w:r>
      <w:r>
        <w:rPr>
          <w:rFonts w:ascii="宋体" w:hAnsi="宋体" w:cs="黑体"/>
          <w:b/>
          <w:bCs/>
          <w:sz w:val="24"/>
          <w:u w:val="single"/>
        </w:rPr>
        <w:t xml:space="preserve">　 </w:t>
      </w:r>
      <w:r>
        <w:rPr>
          <w:rFonts w:ascii="宋体" w:hAnsi="宋体" w:cs="黑体"/>
          <w:b/>
          <w:bCs/>
          <w:sz w:val="24"/>
        </w:rPr>
        <w:t xml:space="preserve">%（小写），百分之</w:t>
      </w:r>
      <w:r>
        <w:rPr>
          <w:rFonts w:ascii="宋体" w:hAnsi="宋体" w:cs="黑体"/>
          <w:b/>
          <w:bCs/>
          <w:sz w:val="24"/>
          <w:u w:val="single"/>
        </w:rPr>
        <w:t xml:space="preserve">　　    　</w:t>
      </w:r>
      <w:r>
        <w:rPr>
          <w:rFonts w:ascii="宋体" w:hAnsi="宋体" w:cs="黑体"/>
          <w:b/>
          <w:bCs/>
          <w:sz w:val="24"/>
        </w:rPr>
        <w:t xml:space="preserve">（大写）。</w:t>
      </w:r>
      <w:r/>
    </w:p>
    <w:p>
      <w:pPr>
        <w:ind w:firstLine="480"/>
        <w:spacing w:line="400" w:lineRule="exact"/>
        <w:rPr>
          <w:rFonts w:hint="eastAsia" w:ascii="宋体" w:hAnsi="宋体" w:cs="黑体"/>
          <w:sz w:val="24"/>
        </w:rPr>
      </w:pPr>
      <w:r>
        <w:rPr>
          <w:rFonts w:ascii="宋体" w:hAnsi="宋体" w:cs="黑体"/>
          <w:sz w:val="24"/>
        </w:rPr>
        <w:t xml:space="preserve">1、日常巡检维修费用：包括设备费、辅助材料、配件等费用以及安装、调试、维修、维护等费用，24小时值班人员费用以及非正常损坏的风险、人工、机械、运输、巡查监管车辆（电轿）租赁、维修、保养费、仓储、保险、运费、各种税费、劳保、安全费等一切费用。</w:t>
      </w:r>
      <w:r/>
    </w:p>
    <w:p>
      <w:pPr>
        <w:ind w:firstLine="482"/>
        <w:spacing w:line="400" w:lineRule="exact"/>
        <w:rPr>
          <w:rFonts w:hint="eastAsia" w:ascii="宋体" w:hAnsi="宋体" w:cs="黑体"/>
          <w:b/>
          <w:bCs/>
          <w:sz w:val="24"/>
        </w:rPr>
      </w:pPr>
      <w:r>
        <w:rPr>
          <w:rFonts w:ascii="宋体" w:hAnsi="宋体" w:cs="黑体"/>
          <w:b/>
          <w:bCs/>
          <w:sz w:val="24"/>
        </w:rPr>
        <w:t xml:space="preserve">（1）工程量：按实际完成的路灯维护的合格工作量，招标数量暂按3951盏路灯计。</w:t>
      </w:r>
      <w:r/>
    </w:p>
    <w:p>
      <w:pPr>
        <w:ind w:firstLine="482"/>
        <w:spacing w:line="400" w:lineRule="exact"/>
        <w:rPr>
          <w:rFonts w:hint="eastAsia" w:ascii="宋体" w:hAnsi="宋体" w:cs="黑体"/>
          <w:b/>
          <w:bCs/>
          <w:sz w:val="24"/>
        </w:rPr>
      </w:pPr>
      <w:r>
        <w:rPr>
          <w:rFonts w:ascii="宋体" w:hAnsi="宋体" w:cs="黑体"/>
          <w:b/>
          <w:bCs/>
          <w:sz w:val="24"/>
        </w:rPr>
        <w:t xml:space="preserve">（2）结算单价：按</w:t>
      </w:r>
      <w:r>
        <w:rPr>
          <w:rFonts w:ascii="宋体" w:hAnsi="宋体" w:cs="黑体"/>
          <w:b/>
          <w:bCs/>
          <w:sz w:val="24"/>
        </w:rPr>
        <w:t xml:space="preserve">70元/盏</w:t>
      </w:r>
      <w:r>
        <w:rPr>
          <w:rFonts w:ascii="宋体" w:hAnsi="宋体" w:cs="黑体"/>
          <w:b/>
          <w:bCs/>
          <w:sz w:val="24"/>
        </w:rPr>
        <w:t xml:space="preserve">×</w:t>
      </w:r>
      <w:r>
        <w:rPr>
          <w:rFonts w:ascii="宋体" w:hAnsi="宋体" w:cs="黑体"/>
          <w:b/>
          <w:bCs/>
          <w:sz w:val="24"/>
          <w:u w:val="single"/>
        </w:rPr>
        <w:t xml:space="preserve">　 </w:t>
      </w:r>
      <w:r>
        <w:rPr>
          <w:rFonts w:ascii="宋体" w:hAnsi="宋体" w:cs="黑体"/>
          <w:b/>
          <w:bCs/>
          <w:sz w:val="24"/>
        </w:rPr>
        <w:t xml:space="preserve">%（</w:t>
      </w:r>
      <w:r>
        <w:rPr>
          <w:rFonts w:hint="eastAsia" w:ascii="宋体" w:hAnsi="宋体" w:cs="黑体"/>
          <w:b/>
          <w:bCs/>
          <w:sz w:val="24"/>
        </w:rPr>
        <w:t xml:space="preserve">1-中标优惠率</w:t>
      </w:r>
      <w:r>
        <w:rPr>
          <w:rFonts w:ascii="宋体" w:hAnsi="宋体" w:cs="黑体"/>
          <w:b/>
          <w:bCs/>
          <w:sz w:val="24"/>
        </w:rPr>
        <w:t xml:space="preserve">）＝</w:t>
      </w:r>
      <w:r>
        <w:rPr>
          <w:rFonts w:ascii="宋体" w:hAnsi="宋体" w:cs="黑体"/>
          <w:b/>
          <w:bCs/>
          <w:sz w:val="24"/>
          <w:u w:val="single"/>
        </w:rPr>
        <w:t xml:space="preserve">     </w:t>
      </w:r>
      <w:r>
        <w:rPr>
          <w:rFonts w:ascii="宋体" w:hAnsi="宋体" w:cs="黑体"/>
          <w:b/>
          <w:bCs/>
          <w:sz w:val="24"/>
        </w:rPr>
        <w:t xml:space="preserve">元/盏，此单价不作调整。</w:t>
      </w:r>
      <w:r/>
    </w:p>
    <w:p>
      <w:pPr>
        <w:ind w:firstLine="480"/>
        <w:spacing w:line="400" w:lineRule="exact"/>
        <w:rPr>
          <w:rFonts w:hint="eastAsia" w:ascii="宋体" w:hAnsi="宋体" w:cs="黑体"/>
          <w:sz w:val="24"/>
        </w:rPr>
      </w:pPr>
      <w:r>
        <w:rPr>
          <w:rFonts w:ascii="宋体" w:hAnsi="宋体" w:cs="黑体"/>
          <w:sz w:val="24"/>
        </w:rPr>
        <w:t xml:space="preserve">（3）其他说明：日常巡检维修费用所述设备费不包括更换如下全新设备：灯杆、LED灯头、钠灯整套电器及光源、</w:t>
      </w:r>
      <w:r>
        <w:rPr>
          <w:rFonts w:ascii="宋体" w:hAnsi="宋体" w:cs="黑体"/>
          <w:sz w:val="24"/>
        </w:rPr>
        <w:t xml:space="preserve">路灯电</w:t>
      </w:r>
      <w:r>
        <w:rPr>
          <w:rFonts w:ascii="宋体" w:hAnsi="宋体" w:cs="黑体"/>
          <w:sz w:val="24"/>
        </w:rPr>
        <w:t xml:space="preserve">箱内元器件、箱变、电力电缆及电缆头等。该部分内容参照下述“改造工程费用”第1-5项要求执行，以独立费（</w:t>
      </w:r>
      <w:r>
        <w:rPr>
          <w:rFonts w:ascii="宋体" w:hAnsi="宋体" w:cs="黑体"/>
          <w:sz w:val="24"/>
        </w:rPr>
        <w:t xml:space="preserve">仅计主材</w:t>
      </w:r>
      <w:r>
        <w:rPr>
          <w:rFonts w:ascii="宋体" w:hAnsi="宋体" w:cs="黑体"/>
          <w:sz w:val="24"/>
        </w:rPr>
        <w:t xml:space="preserve">，不计算人工费、机械费）的形式计算在分部分项费用中，并按规定计取</w:t>
      </w:r>
      <w:r>
        <w:rPr>
          <w:rFonts w:ascii="宋体" w:hAnsi="宋体" w:cs="黑体"/>
          <w:sz w:val="24"/>
        </w:rPr>
        <w:t xml:space="preserve">规</w:t>
      </w:r>
      <w:r>
        <w:rPr>
          <w:rFonts w:ascii="宋体" w:hAnsi="宋体" w:cs="黑体"/>
          <w:sz w:val="24"/>
        </w:rPr>
        <w:t xml:space="preserve">费（不计措施费）和税金。</w:t>
      </w:r>
      <w:r/>
    </w:p>
    <w:p>
      <w:pPr>
        <w:ind w:firstLine="480"/>
        <w:spacing w:line="400" w:lineRule="exact"/>
        <w:rPr>
          <w:rFonts w:hint="eastAsia" w:ascii="宋体" w:hAnsi="宋体" w:cs="黑体"/>
          <w:sz w:val="24"/>
        </w:rPr>
      </w:pPr>
      <w:r>
        <w:rPr>
          <w:rFonts w:ascii="宋体" w:hAnsi="宋体" w:cs="黑体"/>
          <w:sz w:val="24"/>
        </w:rPr>
        <w:t xml:space="preserve">2、</w:t>
      </w:r>
      <w:r>
        <w:rPr>
          <w:rFonts w:hint="eastAsia" w:ascii="宋体" w:hAnsi="宋体" w:cs="黑体"/>
          <w:sz w:val="24"/>
        </w:rPr>
        <w:t xml:space="preserve">临时</w:t>
      </w:r>
      <w:r>
        <w:rPr>
          <w:rFonts w:ascii="宋体" w:hAnsi="宋体" w:cs="黑体"/>
          <w:sz w:val="24"/>
        </w:rPr>
        <w:t xml:space="preserve">改造费用：因交通事故、道路改造等原因造成的路灯设施拆移、修复费用，供应商必须配合采购人并负责施工（施工费用不包含在采购范围内，另外结算），供应商不得拒绝施工。具体结算办法详见如下说明：</w:t>
      </w:r>
      <w:r/>
    </w:p>
    <w:p>
      <w:pPr>
        <w:ind w:firstLine="480"/>
        <w:spacing w:line="400" w:lineRule="exact"/>
        <w:rPr>
          <w:rFonts w:hint="eastAsia" w:ascii="宋体" w:hAnsi="宋体" w:cs="黑体"/>
          <w:sz w:val="24"/>
        </w:rPr>
      </w:pPr>
      <w:r>
        <w:rPr>
          <w:rFonts w:ascii="宋体" w:hAnsi="宋体" w:cs="黑体"/>
          <w:sz w:val="24"/>
        </w:rPr>
        <w:t xml:space="preserve">（1）工程量：供应商将完成的工程量编制</w:t>
      </w:r>
      <w:r>
        <w:rPr>
          <w:rFonts w:ascii="宋体" w:hAnsi="宋体" w:cs="黑体"/>
          <w:sz w:val="24"/>
        </w:rPr>
        <w:t xml:space="preserve">成工程</w:t>
      </w:r>
      <w:r>
        <w:rPr>
          <w:rFonts w:ascii="宋体" w:hAnsi="宋体" w:cs="黑体"/>
          <w:sz w:val="24"/>
        </w:rPr>
        <w:t xml:space="preserve">量签证单，交采购人确认，经采购人相关人员和审计单位审核无异议后，计为供应商签证工程量。</w:t>
      </w:r>
      <w:r/>
    </w:p>
    <w:p>
      <w:pPr>
        <w:ind w:firstLine="480"/>
        <w:spacing w:line="400" w:lineRule="exact"/>
        <w:rPr>
          <w:rFonts w:hint="eastAsia" w:ascii="宋体" w:hAnsi="宋体" w:cs="黑体"/>
          <w:sz w:val="24"/>
        </w:rPr>
      </w:pPr>
      <w:r>
        <w:rPr>
          <w:rFonts w:ascii="宋体" w:hAnsi="宋体" w:cs="黑体"/>
          <w:sz w:val="24"/>
        </w:rPr>
        <w:t xml:space="preserve">（2）结算单价：按《江苏省市政工程计价定额(2014版)》编制。其中；定额人工工资按江苏省人工工资指导价，材料价格按施工当期的常州工程造价信息预算指导价，</w:t>
      </w:r>
      <w:r>
        <w:rPr>
          <w:rFonts w:ascii="宋体" w:hAnsi="宋体" w:cs="黑体"/>
          <w:sz w:val="24"/>
        </w:rPr>
        <w:t xml:space="preserve">信息价</w:t>
      </w:r>
      <w:r>
        <w:rPr>
          <w:rFonts w:ascii="宋体" w:hAnsi="宋体" w:cs="黑体"/>
          <w:sz w:val="24"/>
        </w:rPr>
        <w:t xml:space="preserve">中没有的材料价格的确定由供应商提出，经采购人和审计单位市场询价调研后确定。</w:t>
      </w:r>
      <w:r/>
    </w:p>
    <w:p>
      <w:pPr>
        <w:ind w:firstLine="480"/>
        <w:spacing w:line="400" w:lineRule="exact"/>
        <w:rPr>
          <w:rFonts w:hint="eastAsia" w:ascii="宋体" w:hAnsi="宋体" w:cs="黑体"/>
          <w:sz w:val="24"/>
        </w:rPr>
      </w:pPr>
      <w:r>
        <w:rPr>
          <w:rFonts w:ascii="宋体" w:hAnsi="宋体" w:cs="黑体"/>
          <w:sz w:val="24"/>
        </w:rPr>
        <w:t xml:space="preserve">（3）无法套用定额或不适合套用定额的单价，依据市场独立费单价，经采购人和审计单位共同确认后执行。</w:t>
      </w:r>
      <w:r/>
    </w:p>
    <w:p>
      <w:pPr>
        <w:ind w:firstLine="480"/>
        <w:spacing w:line="400" w:lineRule="exact"/>
        <w:rPr>
          <w:rFonts w:hint="eastAsia" w:ascii="宋体" w:hAnsi="宋体" w:cs="黑体"/>
          <w:sz w:val="24"/>
        </w:rPr>
      </w:pPr>
      <w:r>
        <w:rPr>
          <w:rFonts w:ascii="宋体" w:hAnsi="宋体" w:cs="黑体"/>
          <w:sz w:val="24"/>
        </w:rPr>
        <w:t xml:space="preserve">（4）措施费计取：按相关文件执行。</w:t>
      </w:r>
      <w:r/>
    </w:p>
    <w:p>
      <w:pPr>
        <w:ind w:firstLine="480"/>
        <w:spacing w:line="400" w:lineRule="exact"/>
        <w:rPr>
          <w:rFonts w:hint="eastAsia" w:ascii="宋体" w:hAnsi="宋体" w:cs="黑体"/>
          <w:sz w:val="24"/>
        </w:rPr>
      </w:pPr>
      <w:r>
        <w:rPr>
          <w:rFonts w:ascii="宋体" w:hAnsi="宋体" w:cs="黑体"/>
          <w:sz w:val="24"/>
        </w:rPr>
        <w:t xml:space="preserve">（5）各项</w:t>
      </w:r>
      <w:r>
        <w:rPr>
          <w:rFonts w:ascii="宋体" w:hAnsi="宋体" w:cs="黑体"/>
          <w:sz w:val="24"/>
        </w:rPr>
        <w:t xml:space="preserve">规</w:t>
      </w:r>
      <w:r>
        <w:rPr>
          <w:rFonts w:ascii="宋体" w:hAnsi="宋体" w:cs="黑体"/>
          <w:sz w:val="24"/>
        </w:rPr>
        <w:t xml:space="preserve">费及税金取定：安全文明施工费及各项</w:t>
      </w:r>
      <w:r>
        <w:rPr>
          <w:rFonts w:ascii="宋体" w:hAnsi="宋体" w:cs="黑体"/>
          <w:sz w:val="24"/>
        </w:rPr>
        <w:t xml:space="preserve">规</w:t>
      </w:r>
      <w:r>
        <w:rPr>
          <w:rFonts w:ascii="宋体" w:hAnsi="宋体" w:cs="黑体"/>
          <w:sz w:val="24"/>
        </w:rPr>
        <w:t xml:space="preserve">费及税金的计取，按相关文件执行。</w:t>
      </w:r>
      <w:r/>
    </w:p>
    <w:p>
      <w:pPr>
        <w:ind w:firstLine="480"/>
        <w:spacing w:line="400" w:lineRule="exact"/>
        <w:rPr>
          <w:rFonts w:hint="eastAsia" w:ascii="宋体" w:hAnsi="宋体" w:cs="黑体"/>
          <w:sz w:val="24"/>
        </w:rPr>
      </w:pPr>
      <w:r>
        <w:rPr>
          <w:rFonts w:ascii="宋体" w:hAnsi="宋体" w:cs="黑体"/>
          <w:sz w:val="24"/>
        </w:rPr>
        <w:t xml:space="preserve">（6）</w:t>
      </w:r>
      <w:r>
        <w:rPr>
          <w:rFonts w:ascii="宋体" w:hAnsi="宋体" w:cs="黑体"/>
          <w:b/>
          <w:bCs/>
          <w:sz w:val="24"/>
        </w:rPr>
        <w:t xml:space="preserve">按上述1-5项按实结算后，结算总价×</w:t>
      </w:r>
      <w:r>
        <w:rPr>
          <w:rFonts w:ascii="宋体" w:hAnsi="宋体" w:cs="黑体"/>
          <w:b/>
          <w:bCs/>
          <w:sz w:val="24"/>
          <w:u w:val="single"/>
        </w:rPr>
        <w:t xml:space="preserve">　 </w:t>
      </w:r>
      <w:r>
        <w:rPr>
          <w:rFonts w:ascii="宋体" w:hAnsi="宋体" w:cs="黑体"/>
          <w:b/>
          <w:bCs/>
          <w:sz w:val="24"/>
        </w:rPr>
        <w:t xml:space="preserve">%（</w:t>
      </w:r>
      <w:r>
        <w:rPr>
          <w:rFonts w:hint="eastAsia" w:ascii="宋体" w:hAnsi="宋体" w:cs="黑体"/>
          <w:b/>
          <w:bCs/>
          <w:sz w:val="24"/>
        </w:rPr>
        <w:t xml:space="preserve">1-中标优惠率</w:t>
      </w:r>
      <w:r>
        <w:rPr>
          <w:rFonts w:ascii="宋体" w:hAnsi="宋体" w:cs="黑体"/>
          <w:b/>
          <w:bCs/>
          <w:sz w:val="24"/>
        </w:rPr>
        <w:t xml:space="preserve">），作为最终结算价。</w:t>
      </w:r>
      <w:r/>
    </w:p>
    <w:p>
      <w:pPr>
        <w:spacing w:line="400" w:lineRule="exact"/>
        <w:rPr>
          <w:rFonts w:hint="eastAsia" w:ascii="宋体" w:hAnsi="宋体" w:cs="黑体"/>
          <w:sz w:val="24"/>
        </w:rPr>
      </w:pPr>
      <w:r>
        <w:rPr>
          <w:rFonts w:ascii="宋体" w:hAnsi="宋体" w:cs="黑体"/>
          <w:sz w:val="24"/>
        </w:rPr>
        <w:t xml:space="preserve">付款方式：</w:t>
      </w:r>
      <w:r/>
    </w:p>
    <w:p>
      <w:pPr>
        <w:ind w:firstLine="480"/>
        <w:spacing w:line="400" w:lineRule="exact"/>
        <w:rPr>
          <w:rFonts w:hint="eastAsia" w:ascii="宋体" w:hAnsi="宋体" w:cs="黑体"/>
          <w:sz w:val="24"/>
        </w:rPr>
      </w:pPr>
      <w:r>
        <w:rPr>
          <w:rFonts w:ascii="宋体" w:hAnsi="宋体" w:cs="黑体"/>
          <w:sz w:val="24"/>
        </w:rPr>
        <w:t xml:space="preserve">1、日常巡检维修费用：每半</w:t>
      </w:r>
      <w:r>
        <w:rPr>
          <w:rFonts w:ascii="宋体" w:hAnsi="宋体" w:cs="黑体"/>
          <w:sz w:val="24"/>
        </w:rPr>
        <w:t xml:space="preserve">年支付</w:t>
      </w:r>
      <w:r>
        <w:rPr>
          <w:rFonts w:ascii="宋体" w:hAnsi="宋体" w:cs="黑体"/>
          <w:sz w:val="24"/>
        </w:rPr>
        <w:t xml:space="preserve">一次，由乙方提交付款申请，甲方核实无误后支付相应款项。</w:t>
      </w:r>
      <w:r/>
    </w:p>
    <w:p>
      <w:pPr>
        <w:ind w:firstLine="480"/>
        <w:spacing w:line="400" w:lineRule="exact"/>
        <w:rPr>
          <w:rFonts w:hint="eastAsia" w:ascii="宋体" w:hAnsi="宋体" w:cs="黑体"/>
          <w:b/>
          <w:bCs/>
          <w:sz w:val="24"/>
        </w:rPr>
      </w:pPr>
      <w:r>
        <w:rPr>
          <w:rFonts w:ascii="宋体" w:hAnsi="宋体" w:cs="黑体"/>
          <w:sz w:val="24"/>
        </w:rPr>
        <w:t xml:space="preserve">2、改造工程费用：管护服务期</w:t>
      </w:r>
      <w:r>
        <w:rPr>
          <w:rFonts w:hint="eastAsia" w:ascii="宋体" w:hAnsi="宋体" w:cs="黑体"/>
          <w:sz w:val="24"/>
        </w:rPr>
        <w:t xml:space="preserve">每</w:t>
      </w:r>
      <w:r>
        <w:rPr>
          <w:rFonts w:ascii="宋体" w:hAnsi="宋体" w:cs="黑体"/>
          <w:sz w:val="24"/>
        </w:rPr>
        <w:t xml:space="preserve">满</w:t>
      </w:r>
      <w:r>
        <w:rPr>
          <w:rFonts w:hint="eastAsia" w:ascii="宋体" w:hAnsi="宋体" w:cs="黑体"/>
          <w:sz w:val="24"/>
        </w:rPr>
        <w:t xml:space="preserve">一年</w:t>
      </w:r>
      <w:r>
        <w:rPr>
          <w:rFonts w:ascii="宋体" w:hAnsi="宋体" w:cs="黑体"/>
          <w:sz w:val="24"/>
        </w:rPr>
        <w:t xml:space="preserve">，并经审计，甲方支付</w:t>
      </w:r>
      <w:r>
        <w:rPr>
          <w:rFonts w:hint="eastAsia" w:ascii="宋体" w:hAnsi="宋体" w:cs="黑体"/>
          <w:sz w:val="24"/>
        </w:rPr>
        <w:t xml:space="preserve">本年度</w:t>
      </w:r>
      <w:r>
        <w:rPr>
          <w:rFonts w:ascii="宋体" w:hAnsi="宋体" w:cs="黑体"/>
          <w:sz w:val="24"/>
        </w:rPr>
        <w:t xml:space="preserve">相应款项。</w:t>
      </w:r>
      <w:r/>
    </w:p>
    <w:p>
      <w:pPr>
        <w:spacing w:line="400" w:lineRule="exact"/>
        <w:rPr>
          <w:rFonts w:hint="eastAsia" w:ascii="宋体" w:hAnsi="宋体" w:cs="黑体"/>
          <w:b/>
          <w:sz w:val="24"/>
        </w:rPr>
      </w:pPr>
      <w:r>
        <w:rPr>
          <w:rFonts w:ascii="宋体" w:hAnsi="宋体" w:cs="黑体"/>
          <w:b/>
          <w:sz w:val="24"/>
        </w:rPr>
        <w:t xml:space="preserve">五、管护作业权的交付和回收</w:t>
      </w:r>
      <w:r/>
    </w:p>
    <w:p>
      <w:pPr>
        <w:ind w:firstLine="480"/>
        <w:spacing w:line="400" w:lineRule="exact"/>
        <w:rPr>
          <w:rFonts w:hint="eastAsia" w:ascii="宋体" w:hAnsi="宋体" w:cs="黑体"/>
          <w:sz w:val="24"/>
        </w:rPr>
      </w:pPr>
      <w:r>
        <w:rPr>
          <w:rFonts w:ascii="宋体" w:hAnsi="宋体" w:cs="黑体"/>
          <w:sz w:val="24"/>
        </w:rPr>
        <w:t xml:space="preserve">甲方应于合同签订后，于</w:t>
      </w:r>
      <w:r>
        <w:rPr>
          <w:rFonts w:ascii="宋体" w:hAnsi="宋体" w:cs="黑体"/>
          <w:sz w:val="24"/>
          <w:u w:val="single"/>
        </w:rPr>
        <w:t xml:space="preserve"> 202</w:t>
      </w:r>
      <w:r>
        <w:rPr>
          <w:rFonts w:hint="eastAsia" w:ascii="宋体" w:hAnsi="宋体" w:cs="黑体"/>
          <w:sz w:val="24"/>
          <w:u w:val="single"/>
        </w:rPr>
        <w:t xml:space="preserve">6</w:t>
      </w:r>
      <w:r>
        <w:rPr>
          <w:rFonts w:ascii="宋体" w:hAnsi="宋体" w:cs="黑体"/>
          <w:sz w:val="24"/>
          <w:u w:val="single"/>
        </w:rPr>
        <w:t xml:space="preserve"> </w:t>
      </w:r>
      <w:r>
        <w:rPr>
          <w:rFonts w:ascii="宋体" w:hAnsi="宋体" w:cs="黑体"/>
          <w:sz w:val="24"/>
        </w:rPr>
        <w:t xml:space="preserve">年</w:t>
      </w:r>
      <w:r>
        <w:rPr>
          <w:rFonts w:ascii="宋体" w:hAnsi="宋体" w:cs="黑体"/>
          <w:sz w:val="24"/>
          <w:u w:val="single"/>
        </w:rPr>
        <w:t xml:space="preserve">   </w:t>
      </w:r>
      <w:r>
        <w:rPr>
          <w:rFonts w:ascii="宋体" w:hAnsi="宋体" w:cs="黑体"/>
          <w:sz w:val="24"/>
        </w:rPr>
        <w:t xml:space="preserve">月</w:t>
      </w:r>
      <w:r>
        <w:rPr>
          <w:rFonts w:ascii="宋体" w:hAnsi="宋体" w:cs="黑体"/>
          <w:sz w:val="24"/>
          <w:u w:val="single"/>
        </w:rPr>
        <w:t xml:space="preserve">   </w:t>
      </w:r>
      <w:r>
        <w:rPr>
          <w:rFonts w:ascii="宋体" w:hAnsi="宋体" w:cs="黑体"/>
          <w:sz w:val="24"/>
        </w:rPr>
        <w:t xml:space="preserve">日负责</w:t>
      </w:r>
      <w:r>
        <w:rPr>
          <w:rFonts w:ascii="宋体" w:hAnsi="宋体" w:cs="黑体"/>
          <w:sz w:val="24"/>
        </w:rPr>
        <w:t xml:space="preserve">向乙方转交路灯管护作业权，乙方应于合同期满当日无条件向甲方交还路灯管护作业权。甲乙双方应提前进行交接手续和准备，确保准时交接。</w:t>
      </w:r>
      <w:r/>
    </w:p>
    <w:p>
      <w:pPr>
        <w:spacing w:line="400" w:lineRule="exact"/>
        <w:rPr>
          <w:rFonts w:hint="eastAsia" w:ascii="宋体" w:hAnsi="宋体" w:cs="黑体"/>
          <w:b/>
          <w:sz w:val="24"/>
        </w:rPr>
      </w:pPr>
      <w:r>
        <w:rPr>
          <w:rFonts w:ascii="宋体" w:hAnsi="宋体" w:cs="黑体"/>
          <w:b/>
          <w:sz w:val="24"/>
        </w:rPr>
        <w:t xml:space="preserve">六、履约保证金的支付</w:t>
      </w:r>
      <w:r/>
    </w:p>
    <w:p>
      <w:pPr>
        <w:ind w:firstLine="482"/>
        <w:spacing w:line="400" w:lineRule="exact"/>
        <w:rPr>
          <w:rFonts w:hint="eastAsia" w:ascii="宋体" w:hAnsi="宋体" w:cs="黑体"/>
          <w:b/>
          <w:bCs/>
          <w:sz w:val="24"/>
        </w:rPr>
      </w:pPr>
      <w:r>
        <w:rPr>
          <w:rFonts w:ascii="宋体" w:hAnsi="宋体" w:cs="黑体"/>
          <w:b/>
          <w:bCs/>
          <w:sz w:val="24"/>
        </w:rPr>
        <w:t xml:space="preserve">本项目无需缴纳履约保证金。</w:t>
      </w:r>
      <w:r/>
    </w:p>
    <w:p>
      <w:pPr>
        <w:spacing w:line="400" w:lineRule="exact"/>
        <w:rPr>
          <w:rFonts w:hint="eastAsia" w:ascii="宋体" w:hAnsi="宋体" w:cs="黑体"/>
          <w:b/>
          <w:sz w:val="24"/>
        </w:rPr>
      </w:pPr>
      <w:r>
        <w:rPr>
          <w:rFonts w:ascii="宋体" w:hAnsi="宋体" w:cs="黑体"/>
          <w:b/>
          <w:sz w:val="24"/>
        </w:rPr>
        <w:t xml:space="preserve">七、违约责任</w:t>
      </w:r>
      <w:r/>
    </w:p>
    <w:p>
      <w:pPr>
        <w:ind w:firstLine="480"/>
        <w:spacing w:line="400" w:lineRule="exact"/>
        <w:rPr>
          <w:rFonts w:hint="eastAsia" w:ascii="宋体" w:hAnsi="宋体" w:cs="黑体"/>
          <w:sz w:val="24"/>
        </w:rPr>
      </w:pPr>
      <w:r>
        <w:rPr>
          <w:rFonts w:ascii="宋体" w:hAnsi="宋体" w:cs="黑体"/>
          <w:sz w:val="24"/>
        </w:rPr>
        <w:t xml:space="preserve">1、合同一方不履行合同义务或违反履行合同义务约定的，应当承担继续履行、采取补救措施或者赔偿损失等违约责任。</w:t>
      </w:r>
      <w:r/>
    </w:p>
    <w:p>
      <w:pPr>
        <w:ind w:firstLine="480"/>
        <w:spacing w:line="400" w:lineRule="exact"/>
        <w:rPr>
          <w:rFonts w:hint="eastAsia" w:ascii="宋体" w:hAnsi="宋体" w:cs="黑体"/>
          <w:sz w:val="24"/>
        </w:rPr>
      </w:pPr>
      <w:r>
        <w:rPr>
          <w:rFonts w:ascii="宋体" w:hAnsi="宋体" w:cs="黑体"/>
          <w:sz w:val="24"/>
        </w:rPr>
        <w:t xml:space="preserve">2、在合同生效后，甲方无故拒绝乙方，应向乙方偿付合同总金额的5%，作为违约金，违约金不足以补偿损失的，乙方有权要求甲方补足。</w:t>
      </w:r>
      <w:r/>
    </w:p>
    <w:p>
      <w:pPr>
        <w:ind w:firstLine="480"/>
        <w:spacing w:line="400" w:lineRule="exact"/>
        <w:rPr>
          <w:rFonts w:hint="eastAsia" w:ascii="宋体" w:hAnsi="宋体" w:cs="黑体"/>
          <w:sz w:val="24"/>
        </w:rPr>
      </w:pPr>
      <w:r>
        <w:rPr>
          <w:rFonts w:ascii="宋体" w:hAnsi="宋体" w:cs="黑体"/>
          <w:sz w:val="24"/>
        </w:rPr>
        <w:t xml:space="preserve">3、甲方逾期付款应按照逾期付款金额的每天万分之四支付逾期付款违约金，甲方逾期付款超过十天乙方有权要求甲方另行补偿乙方损失。</w:t>
      </w:r>
      <w:r/>
    </w:p>
    <w:p>
      <w:pPr>
        <w:spacing w:line="400" w:lineRule="exact"/>
        <w:rPr>
          <w:rFonts w:hint="eastAsia" w:ascii="宋体" w:hAnsi="宋体" w:cs="黑体"/>
          <w:b/>
          <w:sz w:val="24"/>
        </w:rPr>
      </w:pPr>
      <w:r>
        <w:rPr>
          <w:rFonts w:ascii="宋体" w:hAnsi="宋体" w:cs="黑体"/>
          <w:b/>
          <w:sz w:val="24"/>
        </w:rPr>
        <w:t xml:space="preserve">八、不可抗力</w:t>
      </w:r>
      <w:r/>
    </w:p>
    <w:p>
      <w:pPr>
        <w:ind w:firstLine="480"/>
        <w:spacing w:line="400" w:lineRule="exact"/>
        <w:rPr>
          <w:rFonts w:hint="eastAsia" w:ascii="宋体" w:hAnsi="宋体" w:cs="黑体"/>
          <w:sz w:val="24"/>
        </w:rPr>
      </w:pPr>
      <w:r>
        <w:rPr>
          <w:rFonts w:ascii="宋体" w:hAnsi="宋体" w:cs="黑体"/>
          <w:sz w:val="24"/>
        </w:rPr>
        <w:t xml:space="preserve">1、因不可抗力（或甲、乙双方不能控制的原因）不能履行合同的，根据不可抗力的影响，部分或者全部免除责任，但合同一方迟延履行后发生不可抗力的，不能免除其责任。</w:t>
      </w:r>
      <w:r/>
    </w:p>
    <w:p>
      <w:pPr>
        <w:ind w:firstLine="480"/>
        <w:spacing w:line="400" w:lineRule="exact"/>
        <w:rPr>
          <w:rFonts w:hint="eastAsia" w:ascii="宋体" w:hAnsi="宋体" w:cs="黑体"/>
          <w:sz w:val="24"/>
        </w:rPr>
      </w:pPr>
      <w:r>
        <w:rPr>
          <w:rFonts w:ascii="宋体" w:hAnsi="宋体" w:cs="黑体"/>
          <w:sz w:val="24"/>
        </w:rPr>
        <w:t xml:space="preserve">2、合同一方因不可抗力不能履行合同的，应当及时通知对方，以减轻可能给对方造成的损失，并应当在合理期限内提供证明。</w:t>
      </w:r>
      <w:r/>
    </w:p>
    <w:p>
      <w:pPr>
        <w:spacing w:line="400" w:lineRule="exact"/>
        <w:rPr>
          <w:rFonts w:hint="eastAsia" w:ascii="宋体" w:hAnsi="宋体" w:cs="黑体"/>
          <w:b/>
          <w:sz w:val="24"/>
        </w:rPr>
      </w:pPr>
      <w:r>
        <w:rPr>
          <w:rFonts w:ascii="宋体" w:hAnsi="宋体" w:cs="黑体"/>
          <w:b/>
          <w:sz w:val="24"/>
        </w:rPr>
        <w:t xml:space="preserve">九、合同生效及终止</w:t>
      </w:r>
      <w:r/>
    </w:p>
    <w:p>
      <w:pPr>
        <w:ind w:firstLine="480"/>
        <w:spacing w:line="400" w:lineRule="exact"/>
        <w:rPr>
          <w:rFonts w:hint="eastAsia" w:ascii="宋体" w:hAnsi="宋体" w:cs="黑体"/>
          <w:sz w:val="24"/>
        </w:rPr>
      </w:pPr>
      <w:r>
        <w:rPr>
          <w:rFonts w:ascii="宋体" w:hAnsi="宋体" w:cs="黑体"/>
          <w:sz w:val="24"/>
        </w:rPr>
        <w:t xml:space="preserve">1、合同生效：经甲乙双方签字并盖章后即生效。</w:t>
      </w:r>
      <w:r/>
    </w:p>
    <w:p>
      <w:pPr>
        <w:ind w:firstLine="480"/>
        <w:spacing w:line="400" w:lineRule="exact"/>
        <w:rPr>
          <w:rFonts w:hint="eastAsia" w:ascii="宋体" w:hAnsi="宋体" w:cs="黑体"/>
          <w:sz w:val="24"/>
        </w:rPr>
      </w:pPr>
      <w:r>
        <w:rPr>
          <w:rFonts w:ascii="宋体" w:hAnsi="宋体" w:cs="黑体"/>
          <w:sz w:val="24"/>
        </w:rPr>
        <w:t xml:space="preserve">2、合同终止：</w:t>
      </w:r>
      <w:r/>
    </w:p>
    <w:p>
      <w:pPr>
        <w:ind w:firstLine="480"/>
        <w:spacing w:line="400" w:lineRule="exact"/>
        <w:rPr>
          <w:rFonts w:hint="eastAsia" w:ascii="宋体" w:hAnsi="宋体" w:cs="黑体"/>
          <w:sz w:val="24"/>
        </w:rPr>
      </w:pPr>
      <w:r>
        <w:rPr>
          <w:rFonts w:ascii="宋体" w:hAnsi="宋体" w:cs="黑体"/>
          <w:sz w:val="24"/>
        </w:rPr>
        <w:t xml:space="preserve">（1）在乙方收到甲方发出的违约通知后10天内，乙方仍未纠正其下述任何一种违约行为，甲方可向乙方发出终止合同通知，终止部分或全部合同，由此带来的一切损失由乙方承担：</w:t>
      </w:r>
      <w:r/>
    </w:p>
    <w:p>
      <w:pPr>
        <w:ind w:firstLine="480"/>
        <w:spacing w:line="400" w:lineRule="exact"/>
        <w:rPr>
          <w:rFonts w:hint="eastAsia" w:ascii="宋体" w:hAnsi="宋体" w:cs="黑体"/>
          <w:sz w:val="24"/>
        </w:rPr>
      </w:pPr>
      <w:r>
        <w:rPr>
          <w:rFonts w:ascii="宋体" w:hAnsi="宋体" w:cs="黑体"/>
          <w:sz w:val="24"/>
        </w:rPr>
        <w:t xml:space="preserve">a、乙方未能在合同规定的期限内及时进场；</w:t>
      </w:r>
      <w:r/>
    </w:p>
    <w:p>
      <w:pPr>
        <w:ind w:firstLine="480"/>
        <w:spacing w:line="400" w:lineRule="exact"/>
        <w:rPr>
          <w:rFonts w:hint="eastAsia" w:ascii="宋体" w:hAnsi="宋体" w:cs="黑体"/>
          <w:sz w:val="24"/>
        </w:rPr>
      </w:pPr>
      <w:r>
        <w:rPr>
          <w:rFonts w:ascii="宋体" w:hAnsi="宋体" w:cs="黑体"/>
          <w:sz w:val="24"/>
        </w:rPr>
        <w:t xml:space="preserve">b、按照招标文件第</w:t>
      </w:r>
      <w:r>
        <w:rPr>
          <w:rFonts w:hint="eastAsia" w:ascii="宋体" w:hAnsi="宋体" w:cs="黑体"/>
          <w:sz w:val="24"/>
        </w:rPr>
        <w:t xml:space="preserve">五</w:t>
      </w:r>
      <w:r>
        <w:rPr>
          <w:rFonts w:ascii="宋体" w:hAnsi="宋体" w:cs="黑体"/>
          <w:sz w:val="24"/>
        </w:rPr>
        <w:t xml:space="preserve">章《</w:t>
      </w:r>
      <w:r>
        <w:rPr>
          <w:rFonts w:hint="eastAsia" w:ascii="宋体" w:hAnsi="宋体" w:cs="黑体"/>
          <w:sz w:val="24"/>
        </w:rPr>
        <w:t xml:space="preserve">采购需求</w:t>
      </w:r>
      <w:r>
        <w:rPr>
          <w:rFonts w:ascii="宋体" w:hAnsi="宋体" w:cs="黑体"/>
          <w:sz w:val="24"/>
        </w:rPr>
        <w:t xml:space="preserve">》的规定。</w:t>
      </w:r>
      <w:r/>
    </w:p>
    <w:p>
      <w:pPr>
        <w:ind w:firstLine="480"/>
        <w:spacing w:line="400" w:lineRule="exact"/>
        <w:rPr>
          <w:rFonts w:hint="eastAsia" w:ascii="宋体" w:hAnsi="宋体" w:cs="黑体"/>
          <w:sz w:val="24"/>
        </w:rPr>
      </w:pPr>
      <w:r>
        <w:rPr>
          <w:rFonts w:ascii="宋体" w:hAnsi="宋体" w:cs="黑体"/>
          <w:sz w:val="24"/>
        </w:rPr>
        <w:t xml:space="preserve">（2）甲方终止部分合同，甲方可以按适当的条件和方式采购类似的由于乙方未交付部分的服务；乙方应承担甲方购买类似服务的额外费用并继续履行合同中未终止的部分。</w:t>
      </w:r>
      <w:r/>
    </w:p>
    <w:p>
      <w:pPr>
        <w:ind w:firstLine="480"/>
        <w:spacing w:line="400" w:lineRule="exact"/>
        <w:rPr>
          <w:rFonts w:hint="eastAsia" w:ascii="宋体" w:hAnsi="宋体" w:cs="黑体"/>
          <w:sz w:val="24"/>
        </w:rPr>
      </w:pPr>
      <w:r>
        <w:rPr>
          <w:rFonts w:ascii="宋体" w:hAnsi="宋体" w:cs="黑体"/>
          <w:sz w:val="24"/>
        </w:rPr>
        <w:t xml:space="preserve">（3）破产终止合同</w:t>
      </w:r>
      <w:r/>
    </w:p>
    <w:p>
      <w:pPr>
        <w:ind w:firstLine="480"/>
        <w:spacing w:line="400" w:lineRule="exact"/>
        <w:rPr>
          <w:rFonts w:hint="eastAsia" w:ascii="宋体" w:hAnsi="宋体" w:cs="黑体"/>
          <w:sz w:val="24"/>
        </w:rPr>
      </w:pPr>
      <w:r>
        <w:rPr>
          <w:rFonts w:ascii="宋体" w:hAnsi="宋体" w:cs="黑体"/>
          <w:sz w:val="24"/>
        </w:rPr>
        <w:t xml:space="preserve">a、当乙方破产或无清偿能力时，乙方应书面通知甲方终止合同，在甲方知情而未收到乙方终止合同书面通知时，甲方亦可书面通知乙方终止合同；</w:t>
      </w:r>
      <w:r/>
    </w:p>
    <w:p>
      <w:pPr>
        <w:ind w:firstLine="480"/>
        <w:spacing w:line="400" w:lineRule="exact"/>
        <w:rPr>
          <w:rFonts w:hint="eastAsia" w:ascii="宋体" w:hAnsi="宋体" w:cs="黑体"/>
          <w:sz w:val="24"/>
        </w:rPr>
      </w:pPr>
      <w:r>
        <w:rPr>
          <w:rFonts w:ascii="宋体" w:hAnsi="宋体" w:cs="黑体"/>
          <w:sz w:val="24"/>
        </w:rPr>
        <w:t xml:space="preserve">b、因不可抗力的自然灾害原因造成自然终止合同时按破产终止合同办法终止合同。</w:t>
      </w:r>
      <w:r/>
    </w:p>
    <w:p>
      <w:pPr>
        <w:spacing w:line="400" w:lineRule="exact"/>
        <w:rPr>
          <w:rFonts w:hint="eastAsia" w:ascii="宋体" w:hAnsi="宋体" w:cs="黑体"/>
          <w:b/>
          <w:sz w:val="24"/>
        </w:rPr>
      </w:pPr>
      <w:r>
        <w:rPr>
          <w:rFonts w:ascii="宋体" w:hAnsi="宋体" w:cs="黑体"/>
          <w:b/>
          <w:sz w:val="24"/>
        </w:rPr>
        <w:t xml:space="preserve">十、合同的解除和转让</w:t>
      </w:r>
      <w:r/>
    </w:p>
    <w:p>
      <w:pPr>
        <w:ind w:firstLine="480"/>
        <w:spacing w:line="400" w:lineRule="exact"/>
        <w:rPr>
          <w:rFonts w:hint="eastAsia" w:ascii="宋体" w:hAnsi="宋体" w:cs="黑体"/>
          <w:sz w:val="24"/>
        </w:rPr>
      </w:pPr>
      <w:r>
        <w:rPr>
          <w:rFonts w:ascii="宋体" w:hAnsi="宋体" w:cs="黑体"/>
          <w:sz w:val="24"/>
        </w:rPr>
        <w:t xml:space="preserve">1、甲方和乙方协商一致，可以解除合同。</w:t>
      </w:r>
      <w:r/>
    </w:p>
    <w:p>
      <w:pPr>
        <w:ind w:firstLine="480"/>
        <w:spacing w:line="400" w:lineRule="exact"/>
        <w:rPr>
          <w:rFonts w:hint="eastAsia" w:ascii="宋体" w:hAnsi="宋体" w:cs="黑体"/>
          <w:sz w:val="24"/>
        </w:rPr>
      </w:pPr>
      <w:r>
        <w:rPr>
          <w:rFonts w:ascii="宋体" w:hAnsi="宋体" w:cs="黑体"/>
          <w:sz w:val="24"/>
        </w:rPr>
        <w:t xml:space="preserve">2、有下列情况之一，合同方可以解除合同：</w:t>
      </w:r>
      <w:r/>
    </w:p>
    <w:p>
      <w:pPr>
        <w:spacing w:line="400" w:lineRule="exact"/>
        <w:rPr>
          <w:rFonts w:hint="eastAsia" w:ascii="宋体" w:hAnsi="宋体" w:cs="黑体"/>
          <w:sz w:val="24"/>
        </w:rPr>
      </w:pPr>
      <w:r>
        <w:rPr>
          <w:rFonts w:ascii="宋体" w:hAnsi="宋体" w:cs="黑体"/>
          <w:sz w:val="24"/>
        </w:rPr>
        <w:t xml:space="preserve">（1）因不可抗力致使不能实现合同目的，未受不可抗力影响的一方有权解除合同；</w:t>
      </w:r>
      <w:r/>
    </w:p>
    <w:p>
      <w:pPr>
        <w:spacing w:line="400" w:lineRule="exact"/>
        <w:rPr>
          <w:rFonts w:hint="eastAsia" w:ascii="宋体" w:hAnsi="宋体" w:cs="黑体"/>
          <w:sz w:val="24"/>
        </w:rPr>
      </w:pPr>
      <w:r>
        <w:rPr>
          <w:rFonts w:ascii="宋体" w:hAnsi="宋体" w:cs="黑体"/>
          <w:sz w:val="24"/>
        </w:rPr>
        <w:t xml:space="preserve">（2）因合同一方违约导致合同不能履行，另一方有权解除合同。</w:t>
      </w:r>
      <w:r/>
    </w:p>
    <w:p>
      <w:pPr>
        <w:ind w:firstLine="480"/>
        <w:spacing w:line="400" w:lineRule="exact"/>
        <w:rPr>
          <w:rFonts w:hint="eastAsia" w:ascii="宋体" w:hAnsi="宋体" w:cs="黑体"/>
          <w:sz w:val="24"/>
        </w:rPr>
      </w:pPr>
      <w:r>
        <w:rPr>
          <w:rFonts w:ascii="宋体" w:hAnsi="宋体" w:cs="黑体"/>
          <w:sz w:val="24"/>
        </w:rPr>
        <w:t xml:space="preserve">3、有权解除合同的一方，应当在违约事实或不可抗力发生之后30天内书面通知对方提出解除合同，合同在书面通知到达对方时解除。</w:t>
      </w:r>
      <w:r/>
    </w:p>
    <w:p>
      <w:pPr>
        <w:ind w:firstLine="480"/>
        <w:spacing w:line="400" w:lineRule="exact"/>
        <w:rPr>
          <w:rFonts w:hint="eastAsia" w:ascii="宋体" w:hAnsi="宋体" w:cs="黑体"/>
          <w:sz w:val="24"/>
        </w:rPr>
      </w:pPr>
      <w:r>
        <w:rPr>
          <w:rFonts w:ascii="宋体" w:hAnsi="宋体" w:cs="黑体"/>
          <w:sz w:val="24"/>
        </w:rPr>
        <w:t xml:space="preserve">4、合同的部分或全部都不得转包或分包。</w:t>
      </w:r>
      <w:r/>
    </w:p>
    <w:p>
      <w:pPr>
        <w:spacing w:line="400" w:lineRule="exact"/>
        <w:rPr>
          <w:rFonts w:hint="eastAsia" w:ascii="宋体" w:hAnsi="宋体" w:cs="黑体"/>
          <w:sz w:val="24"/>
        </w:rPr>
      </w:pPr>
      <w:r>
        <w:rPr>
          <w:rFonts w:ascii="宋体" w:hAnsi="宋体" w:cs="黑体"/>
          <w:b/>
          <w:sz w:val="24"/>
        </w:rPr>
        <w:t xml:space="preserve">十一、争议解决</w:t>
      </w:r>
      <w:r/>
    </w:p>
    <w:p>
      <w:pPr>
        <w:ind w:firstLine="480"/>
        <w:spacing w:line="400" w:lineRule="exact"/>
        <w:rPr>
          <w:rFonts w:hint="eastAsia" w:ascii="宋体" w:hAnsi="宋体" w:cs="黑体"/>
          <w:sz w:val="24"/>
        </w:rPr>
      </w:pPr>
      <w:r>
        <w:rPr>
          <w:rFonts w:ascii="宋体" w:hAnsi="宋体" w:cs="黑体"/>
          <w:sz w:val="24"/>
        </w:rPr>
        <w:t xml:space="preserve">甲乙双方因履行本合同发生争议，协商未果，任何一方可向甲方所在地人民法院起诉。</w:t>
      </w:r>
      <w:r/>
    </w:p>
    <w:p>
      <w:pPr>
        <w:spacing w:line="400" w:lineRule="exact"/>
        <w:rPr>
          <w:rFonts w:hint="eastAsia" w:ascii="宋体" w:hAnsi="宋体" w:cs="黑体"/>
          <w:sz w:val="24"/>
        </w:rPr>
      </w:pPr>
      <w:r>
        <w:rPr>
          <w:rFonts w:ascii="宋体" w:hAnsi="宋体" w:cs="黑体"/>
          <w:b/>
          <w:sz w:val="24"/>
        </w:rPr>
        <w:t xml:space="preserve">十二</w:t>
      </w:r>
      <w:r>
        <w:rPr>
          <w:rFonts w:ascii="宋体" w:hAnsi="宋体" w:cs="黑体"/>
          <w:sz w:val="24"/>
        </w:rPr>
        <w:t xml:space="preserve">、</w:t>
      </w:r>
      <w:r>
        <w:rPr>
          <w:rFonts w:hint="eastAsia" w:ascii="宋体" w:hAnsi="宋体"/>
          <w:sz w:val="24"/>
        </w:rPr>
        <w:t xml:space="preserve">本合同由甲乙双方在“苏</w:t>
      </w:r>
      <w:r>
        <w:rPr>
          <w:rFonts w:hint="eastAsia" w:ascii="宋体" w:hAnsi="宋体"/>
          <w:sz w:val="24"/>
        </w:rPr>
        <w:t xml:space="preserve">采云</w:t>
      </w:r>
      <w:r>
        <w:rPr>
          <w:rFonts w:hint="eastAsia" w:ascii="宋体" w:hAnsi="宋体"/>
          <w:sz w:val="24"/>
        </w:rPr>
        <w:t xml:space="preserve">”政府采购一体化平台内电子签订后生效。本合同应按照中华人民共和国的现行法律进行解释。</w:t>
      </w:r>
      <w:r/>
    </w:p>
    <w:p>
      <w:pPr>
        <w:spacing w:line="400" w:lineRule="exact"/>
        <w:rPr>
          <w:rFonts w:hint="eastAsia" w:ascii="宋体" w:hAnsi="宋体" w:cs="黑体"/>
          <w:sz w:val="24"/>
        </w:rPr>
      </w:pPr>
      <w:r>
        <w:rPr>
          <w:rFonts w:ascii="宋体" w:hAnsi="宋体" w:cs="黑体"/>
          <w:b/>
          <w:sz w:val="24"/>
        </w:rPr>
        <w:t xml:space="preserve">十三</w:t>
      </w:r>
      <w:r>
        <w:rPr>
          <w:rFonts w:ascii="宋体" w:hAnsi="宋体" w:cs="黑体"/>
          <w:sz w:val="24"/>
        </w:rPr>
        <w:t xml:space="preserve">、本合同在执行过程中如出现未尽事宜，双方在不违背合同和投标文件的原则下协商解决，协商结果以书面记录在案，并经签证同意，作为本合同的附件，与本合同具有同等效力。</w:t>
      </w:r>
      <w:bookmarkEnd w:id="830"/>
      <w:r/>
    </w:p>
    <w:p>
      <w:pPr>
        <w:ind w:firstLine="420"/>
        <w:spacing w:line="44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44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44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40" w:lineRule="exact"/>
        <w:rPr>
          <w:rFonts w:hint="eastAsia" w:ascii="宋体" w:hAnsi="宋体"/>
          <w:szCs w:val="21"/>
        </w:rPr>
      </w:pPr>
      <w:r>
        <w:rPr>
          <w:rFonts w:hint="eastAsia" w:ascii="宋体" w:hAnsi="宋体"/>
          <w:szCs w:val="21"/>
        </w:rPr>
      </w:r>
      <w:r/>
    </w:p>
    <w:p>
      <w:pPr>
        <w:ind w:firstLine="420"/>
        <w:jc w:val="left"/>
        <w:spacing w:line="440" w:lineRule="exact"/>
        <w:widowControl/>
        <w:rPr>
          <w:rFonts w:hint="eastAsia" w:ascii="宋体" w:hAnsi="宋体" w:cs="宋体"/>
          <w:bCs/>
          <w:szCs w:val="21"/>
        </w:rPr>
      </w:pPr>
      <w:r>
        <w:rPr>
          <w:rFonts w:ascii="宋体" w:hAnsi="宋体" w:cs="宋体"/>
          <w:bCs/>
          <w:szCs w:val="21"/>
        </w:rPr>
        <w:t xml:space="preserve">★.</w:t>
      </w:r>
      <w:r>
        <w:rPr>
          <w:rFonts w:ascii="宋体" w:hAnsi="宋体" w:cs="宋体"/>
          <w:b/>
          <w:bCs/>
          <w:szCs w:val="21"/>
        </w:rPr>
        <w:t xml:space="preserve">备注：</w:t>
      </w:r>
      <w:r>
        <w:rPr>
          <w:rFonts w:ascii="宋体" w:hAnsi="宋体" w:cs="宋体"/>
          <w:bCs/>
          <w:szCs w:val="21"/>
        </w:rPr>
        <w:t xml:space="preserve">甲乙双方必须以本格式文本拟订合同。 </w:t>
      </w:r>
      <w:bookmarkStart w:id="831" w:name="OLE_LINK2"/>
      <w:r/>
      <w:r/>
    </w:p>
    <w:p>
      <w:pPr>
        <w:spacing w:line="440" w:lineRule="exact"/>
      </w:pPr>
      <w:r/>
      <w:r/>
    </w:p>
    <w:p>
      <w:pPr>
        <w:jc w:val="center"/>
        <w:spacing w:line="360" w:lineRule="auto"/>
        <w:rPr>
          <w:b/>
          <w:sz w:val="36"/>
          <w:szCs w:val="36"/>
        </w:rPr>
        <w:outlineLvl w:val="0"/>
      </w:pPr>
      <w:r>
        <w:br w:type="page" w:clear="all"/>
      </w:r>
      <w:bookmarkStart w:id="832" w:name="_Toc140257878"/>
      <w:r/>
      <w:bookmarkStart w:id="833" w:name="_Toc163804585"/>
      <w:r/>
      <w:bookmarkEnd w:id="831"/>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832"/>
      <w:r/>
      <w:bookmarkEnd w:id="833"/>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834" w:name="_Toc86202633"/>
            <w:r>
              <w:rPr>
                <w:rFonts w:hint="eastAsia" w:ascii="宋体" w:hAnsi="宋体" w:cs="宋体"/>
                <w:b/>
                <w:szCs w:val="21"/>
                <w:lang w:bidi="ar"/>
              </w:rPr>
              <w:t xml:space="preserve">名称</w:t>
            </w:r>
            <w:bookmarkEnd w:id="834"/>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28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cantSplit/>
          <w:trHeight w:val="28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t xml:space="preserve">中小企业声明函</w:t>
            </w:r>
            <w:r>
              <w:rPr>
                <w:rFonts w:hint="eastAsia"/>
              </w:rPr>
              <w:t xml:space="preserve">（或</w:t>
            </w:r>
            <w:r>
              <w:t xml:space="preserve">监狱企业证明或残疾人福利性单位声明函</w:t>
            </w:r>
            <w:r>
              <w:rPr>
                <w:rFonts w:hint="eastAsia"/>
              </w:rPr>
              <w:t xml:space="preserve">）</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w:t>
            </w:r>
            <w:r>
              <w:rPr>
                <w:rFonts w:ascii="宋体" w:hAnsi="宋体" w:cs="宋体"/>
                <w:szCs w:val="21"/>
              </w:rPr>
              <w:t xml:space="preserve">微企业</w:t>
            </w:r>
            <w:r>
              <w:rPr>
                <w:rFonts w:ascii="宋体" w:hAnsi="宋体" w:cs="宋体"/>
                <w:szCs w:val="21"/>
              </w:rP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投标文件提交须知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480" w:lineRule="exact"/>
              <w:rPr>
                <w:rFonts w:hint="eastAsia" w:ascii="宋体" w:hAnsi="宋体"/>
                <w:b/>
                <w:bCs/>
                <w:szCs w:val="21"/>
                <w:u w:val="single"/>
              </w:rPr>
              <w:outlineLvl w:val="0"/>
            </w:pPr>
            <w:r/>
            <w:bookmarkStart w:id="835" w:name="_Toc163804586"/>
            <w:r/>
            <w:bookmarkStart w:id="836" w:name="_Toc139400581"/>
            <w:r/>
            <w:bookmarkStart w:id="837" w:name="_Toc140257879"/>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35"/>
            <w:r/>
            <w:bookmarkEnd w:id="836"/>
            <w:r/>
            <w:bookmarkEnd w:id="837"/>
            <w:r/>
            <w:r/>
          </w:p>
          <w:p>
            <w:pPr>
              <w:jc w:val="left"/>
              <w:keepNext/>
              <w:spacing w:line="480" w:lineRule="exact"/>
              <w:rPr>
                <w:rFonts w:hint="eastAsia" w:ascii="宋体" w:hAnsi="宋体" w:cs="宋体"/>
                <w:b/>
                <w:bCs/>
                <w:szCs w:val="21"/>
                <w:u w:val="single"/>
                <w:lang w:bidi="ar"/>
              </w:rPr>
              <w:outlineLvl w:val="0"/>
            </w:pPr>
            <w:r/>
            <w:bookmarkStart w:id="838" w:name="_Toc140257880"/>
            <w:r/>
            <w:bookmarkStart w:id="839" w:name="_Toc139400582"/>
            <w:r/>
            <w:bookmarkStart w:id="840"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38"/>
            <w:r/>
            <w:bookmarkEnd w:id="839"/>
            <w:r/>
            <w:bookmarkEnd w:id="840"/>
            <w:r/>
            <w:r/>
          </w:p>
          <w:p>
            <w:pPr>
              <w:jc w:val="left"/>
              <w:keepNext/>
              <w:spacing w:line="480" w:lineRule="exact"/>
              <w:rPr>
                <w:rFonts w:hint="eastAsia" w:ascii="宋体" w:hAnsi="宋体" w:cs="宋体"/>
                <w:b/>
                <w:bCs/>
                <w:szCs w:val="21"/>
                <w:u w:val="single"/>
                <w:lang w:bidi="ar"/>
              </w:rPr>
              <w:outlineLvl w:val="0"/>
            </w:pPr>
            <w:r/>
            <w:bookmarkStart w:id="841" w:name="_Toc140257881"/>
            <w:r/>
            <w:bookmarkStart w:id="842" w:name="_Toc139400583"/>
            <w:r/>
            <w:bookmarkStart w:id="843" w:name="_Toc163804588"/>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41"/>
            <w:r/>
            <w:bookmarkEnd w:id="842"/>
            <w:r/>
            <w:bookmarkEnd w:id="843"/>
            <w:r/>
            <w:r/>
          </w:p>
          <w:p>
            <w:pPr>
              <w:jc w:val="left"/>
              <w:keepNext/>
              <w:spacing w:line="480" w:lineRule="exact"/>
              <w:rPr>
                <w:rFonts w:hint="eastAsia" w:ascii="宋体" w:hAnsi="宋体" w:cs="宋体"/>
                <w:b/>
                <w:bCs/>
                <w:szCs w:val="21"/>
                <w:u w:val="single"/>
                <w:lang w:bidi="ar"/>
              </w:rPr>
              <w:outlineLvl w:val="0"/>
            </w:pPr>
            <w:r/>
            <w:bookmarkStart w:id="844" w:name="_Toc139400584"/>
            <w:r/>
            <w:bookmarkStart w:id="845" w:name="_Toc140257882"/>
            <w:r/>
            <w:bookmarkStart w:id="846"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844"/>
            <w:r/>
            <w:bookmarkEnd w:id="845"/>
            <w:r/>
            <w:bookmarkEnd w:id="846"/>
            <w:r/>
            <w:r/>
          </w:p>
          <w:p>
            <w:pPr>
              <w:jc w:val="left"/>
              <w:keepNext/>
              <w:spacing w:line="480" w:lineRule="exact"/>
              <w:rPr>
                <w:rFonts w:hint="eastAsia" w:ascii="宋体" w:hAnsi="宋体" w:cs="宋体"/>
                <w:b/>
                <w:szCs w:val="21"/>
              </w:rPr>
              <w:outlineLvl w:val="0"/>
            </w:pPr>
            <w:r/>
            <w:bookmarkStart w:id="847" w:name="_Toc140257883"/>
            <w:r/>
            <w:bookmarkStart w:id="848" w:name="_Toc163804590"/>
            <w:r/>
            <w:bookmarkStart w:id="849"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25"/>
            <w:r/>
            <w:bookmarkEnd w:id="826"/>
            <w:r/>
            <w:bookmarkEnd w:id="827"/>
            <w:r/>
            <w:bookmarkEnd w:id="828"/>
            <w:r/>
            <w:bookmarkEnd w:id="829"/>
            <w:r/>
            <w:bookmarkEnd w:id="847"/>
            <w:r/>
            <w:bookmarkEnd w:id="848"/>
            <w:r/>
            <w:bookmarkEnd w:id="849"/>
            <w:r/>
            <w:r/>
          </w:p>
        </w:tc>
      </w:tr>
    </w:tbl>
    <w:p>
      <w:pPr>
        <w:jc w:val="center"/>
        <w:spacing w:line="360" w:lineRule="auto"/>
        <w:rPr>
          <w:b/>
          <w:sz w:val="36"/>
          <w:szCs w:val="36"/>
        </w:rPr>
        <w:outlineLvl w:val="0"/>
      </w:pPr>
      <w:r>
        <w:rPr>
          <w:b/>
          <w:sz w:val="36"/>
          <w:szCs w:val="36"/>
        </w:rPr>
        <w:br w:type="page" w:clear="all"/>
      </w:r>
      <w:bookmarkStart w:id="850" w:name="_Toc163804591"/>
      <w:r/>
      <w:bookmarkStart w:id="851" w:name="_Toc140257884"/>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850"/>
      <w:r/>
      <w:bookmarkEnd w:id="851"/>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13"/>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189"/>
      </w:pPr>
      <w:r/>
      <w:r/>
    </w:p>
    <w:p>
      <w:pPr>
        <w:pStyle w:val="1189"/>
        <w:ind w:firstLine="0"/>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189"/>
      </w:pPr>
      <w:r/>
      <w:r/>
    </w:p>
    <w:p>
      <w:pPr>
        <w:pStyle w:val="1189"/>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204"/>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39"/>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1013"/>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189"/>
        <w:ind w:firstLine="480"/>
        <w:spacing w:line="460" w:lineRule="exact"/>
      </w:pPr>
      <w:r/>
      <w:r/>
    </w:p>
    <w:p>
      <w:pPr>
        <w:pStyle w:val="1189"/>
        <w:ind w:firstLine="480"/>
        <w:spacing w:line="460" w:lineRule="exact"/>
      </w:pPr>
      <w:r>
        <w:rPr>
          <w:rFonts w:hint="eastAsia"/>
        </w:rPr>
        <w:t xml:space="preserve">致：</w:t>
      </w:r>
      <w:r>
        <w:rPr>
          <w:rFonts w:hint="eastAsia"/>
        </w:rPr>
        <w:t xml:space="preserve">常州明镜工程咨询有限公司</w:t>
      </w:r>
      <w:r/>
    </w:p>
    <w:p>
      <w:pPr>
        <w:pStyle w:val="1189"/>
        <w:ind w:firstLine="960"/>
        <w:spacing w:line="460" w:lineRule="exact"/>
        <w:rPr>
          <w:u w:val="single"/>
        </w:rPr>
      </w:pPr>
      <w:r>
        <w:rPr>
          <w:rFonts w:hint="eastAsia"/>
          <w:u w:val="single"/>
        </w:rPr>
        <w:t xml:space="preserve">（采购人名称）</w:t>
      </w:r>
      <w:r/>
    </w:p>
    <w:p>
      <w:pPr>
        <w:pStyle w:val="1189"/>
        <w:ind w:firstLine="480"/>
        <w:spacing w:line="460" w:lineRule="exact"/>
      </w:pPr>
      <w:r/>
      <w:r/>
    </w:p>
    <w:p>
      <w:pPr>
        <w:pStyle w:val="1189"/>
        <w:ind w:firstLine="480"/>
        <w:spacing w:line="460" w:lineRule="exact"/>
      </w:pPr>
      <w:r>
        <w:rPr>
          <w:rFonts w:hint="eastAsia"/>
        </w:rPr>
        <w:t xml:space="preserve">按照《中华人民共和国政府采购法》第二十二条和招标文件的规定，我单位郑重声明如下：</w:t>
      </w:r>
      <w:r/>
    </w:p>
    <w:p>
      <w:pPr>
        <w:pStyle w:val="118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89"/>
        <w:ind w:firstLine="480"/>
        <w:spacing w:line="460" w:lineRule="exact"/>
      </w:pPr>
      <w:r>
        <w:rPr>
          <w:rFonts w:hint="eastAsia"/>
        </w:rPr>
        <w:t xml:space="preserve">二、我单位具有良好的商业信誉（指投标人经营状况良好，无本资格声明第十条情形）和健全的财务会计制度。</w:t>
      </w:r>
      <w:r/>
    </w:p>
    <w:p>
      <w:pPr>
        <w:pStyle w:val="1189"/>
        <w:ind w:firstLine="480"/>
        <w:spacing w:line="460" w:lineRule="exact"/>
      </w:pPr>
      <w:r>
        <w:rPr>
          <w:rFonts w:hint="eastAsia"/>
        </w:rPr>
        <w:t xml:space="preserve">三、我单位依法进行纳税和社会保险申报并实际履行了义务。</w:t>
      </w:r>
      <w:r/>
    </w:p>
    <w:p>
      <w:pPr>
        <w:pStyle w:val="118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89"/>
        <w:ind w:firstLine="480"/>
        <w:spacing w:line="460" w:lineRule="exact"/>
      </w:pPr>
      <w:r>
        <w:rPr>
          <w:rFonts w:hint="eastAsia"/>
        </w:rPr>
        <w:t xml:space="preserve">主要设备有：</w:t>
      </w:r>
      <w:r>
        <w:rPr>
          <w:u w:val="single"/>
        </w:rPr>
        <w:t xml:space="preserve">            </w:t>
      </w:r>
      <w:r/>
    </w:p>
    <w:p>
      <w:pPr>
        <w:pStyle w:val="1189"/>
        <w:ind w:firstLine="480"/>
        <w:spacing w:line="460" w:lineRule="exact"/>
      </w:pPr>
      <w:r>
        <w:rPr>
          <w:rFonts w:hint="eastAsia"/>
        </w:rPr>
        <w:t xml:space="preserve">主要专业技术能力有</w:t>
      </w:r>
      <w:r>
        <w:rPr>
          <w:rFonts w:hint="eastAsia"/>
          <w:u w:val="single"/>
        </w:rPr>
        <w:t xml:space="preserve">                 </w:t>
      </w:r>
      <w:r/>
    </w:p>
    <w:p>
      <w:pPr>
        <w:pStyle w:val="118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89"/>
        <w:ind w:firstLine="480"/>
        <w:spacing w:line="460" w:lineRule="exact"/>
      </w:pPr>
      <w:r>
        <w:rPr>
          <w:rFonts w:hint="eastAsia"/>
        </w:rPr>
        <w:t xml:space="preserve">六、我单位具备法律、行政法规规定的其他条件。</w:t>
      </w:r>
      <w:r/>
    </w:p>
    <w:p>
      <w:pPr>
        <w:pStyle w:val="118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8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8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8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8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89"/>
        <w:ind w:firstLine="480"/>
        <w:spacing w:line="460" w:lineRule="exact"/>
      </w:pPr>
      <w:r>
        <w:rPr>
          <w:rFonts w:hint="eastAsia"/>
        </w:rPr>
        <w:t xml:space="preserve">九、</w:t>
      </w:r>
      <w:r>
        <w:t xml:space="preserve">我单位</w:t>
      </w:r>
      <w:r>
        <w:t xml:space="preserve">无以下</w:t>
      </w:r>
      <w:r>
        <w:t xml:space="preserve">不良信用记录情形：</w:t>
      </w:r>
      <w:r/>
    </w:p>
    <w:p>
      <w:pPr>
        <w:pStyle w:val="1189"/>
        <w:ind w:firstLine="480"/>
        <w:spacing w:line="460" w:lineRule="exact"/>
      </w:pPr>
      <w:r>
        <w:t xml:space="preserve">1</w:t>
      </w:r>
      <w:r>
        <w:rPr>
          <w:rFonts w:hint="eastAsia"/>
        </w:rPr>
        <w:t xml:space="preserve">、在“信用中国”网站被列入失信被执行人和重大税收违法案件当事人名单；</w:t>
      </w:r>
      <w:r/>
    </w:p>
    <w:p>
      <w:pPr>
        <w:pStyle w:val="1189"/>
        <w:ind w:firstLine="480"/>
        <w:spacing w:line="460" w:lineRule="exact"/>
      </w:pPr>
      <w:r>
        <w:t xml:space="preserve">2</w:t>
      </w:r>
      <w:r>
        <w:rPr>
          <w:rFonts w:hint="eastAsia"/>
        </w:rPr>
        <w:t xml:space="preserve">、在“中国政府采购网”网站被列入政府采购严重违法失信行为记录名单；</w:t>
      </w:r>
      <w:r/>
    </w:p>
    <w:p>
      <w:pPr>
        <w:pStyle w:val="1189"/>
        <w:ind w:firstLine="480"/>
        <w:spacing w:line="460" w:lineRule="exact"/>
      </w:pPr>
      <w:r>
        <w:t xml:space="preserve">3</w:t>
      </w:r>
      <w:r>
        <w:rPr>
          <w:rFonts w:hint="eastAsia"/>
        </w:rPr>
        <w:t xml:space="preserve">、</w:t>
      </w:r>
      <w:r>
        <w:t xml:space="preserve">不符合《政府采购法》第二十二条规定的条件。</w:t>
      </w:r>
      <w:r/>
    </w:p>
    <w:p>
      <w:pPr>
        <w:pStyle w:val="1189"/>
        <w:ind w:firstLine="480"/>
        <w:spacing w:line="460" w:lineRule="exact"/>
      </w:pPr>
      <w:r/>
      <w:r/>
    </w:p>
    <w:p>
      <w:pPr>
        <w:pStyle w:val="118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89"/>
        <w:ind w:firstLine="480"/>
        <w:spacing w:line="460" w:lineRule="exact"/>
      </w:pPr>
      <w:r/>
      <w:r/>
    </w:p>
    <w:p>
      <w:pPr>
        <w:pStyle w:val="1189"/>
        <w:ind w:firstLine="480"/>
        <w:spacing w:line="460" w:lineRule="exact"/>
      </w:pPr>
      <w:r/>
      <w:r/>
    </w:p>
    <w:p>
      <w:pPr>
        <w:pStyle w:val="1189"/>
        <w:ind w:firstLine="4253"/>
        <w:spacing w:line="460" w:lineRule="exact"/>
      </w:pPr>
      <w:r>
        <w:rPr>
          <w:rFonts w:hint="eastAsia"/>
        </w:rPr>
        <w:t xml:space="preserve">投标人：（加盖公章）</w:t>
      </w:r>
      <w:r/>
    </w:p>
    <w:p>
      <w:pPr>
        <w:pStyle w:val="1189"/>
        <w:ind w:firstLine="4253"/>
        <w:spacing w:line="460" w:lineRule="exact"/>
      </w:pPr>
      <w:r>
        <w:rPr>
          <w:rFonts w:hint="eastAsia"/>
        </w:rPr>
        <w:t xml:space="preserve">法定代表人（或单位负责人）签字或盖章：</w:t>
      </w:r>
      <w:r/>
    </w:p>
    <w:p>
      <w:pPr>
        <w:pStyle w:val="1189"/>
        <w:ind w:firstLine="4253"/>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21"/>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7" w:tooltip="http://202.106.120.146/baosong/appweb/orgScale.html" w:history="1">
        <w:r>
          <w:rPr>
            <w:rStyle w:val="1177"/>
            <w:color w:val="000000"/>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3 </w:t>
      </w:r>
      <w:r>
        <w:rPr>
          <w:color w:val="000000"/>
          <w:sz w:val="24"/>
          <w:szCs w:val="20"/>
        </w:rPr>
        <w:t xml:space="preserve">本项目的特定资格要求（如有）</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rPr>
          <w:sz w:val="24"/>
          <w:szCs w:val="20"/>
        </w:rPr>
        <w:sectPr>
          <w:footnotePr/>
          <w:endnotePr/>
          <w:type w:val="nextPage"/>
          <w:pgSz w:w="11907" w:h="16840" w:orient="portrait"/>
          <w:pgMar w:top="1418" w:right="1134" w:bottom="1418" w:left="1701"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852" w:name="_Toc150774761"/>
      <w:r/>
      <w:bookmarkStart w:id="853" w:name="_Toc226309800"/>
      <w:r/>
      <w:bookmarkStart w:id="854" w:name="_Toc142311058"/>
      <w:r/>
      <w:bookmarkStart w:id="855" w:name="_Toc150480794"/>
      <w:r/>
      <w:bookmarkStart w:id="856" w:name="_Ref467988698"/>
      <w:r/>
      <w:bookmarkStart w:id="857" w:name="_Toc520356217"/>
      <w:r/>
      <w:bookmarkStart w:id="858" w:name="_Toc127151556"/>
      <w:r/>
      <w:bookmarkStart w:id="859" w:name="_Toc226337252"/>
      <w:r/>
      <w:bookmarkStart w:id="860" w:name="_Toc226965829"/>
      <w:r/>
      <w:bookmarkStart w:id="861" w:name="_Toc195842921"/>
      <w:r/>
      <w:bookmarkStart w:id="862" w:name="_Toc480942349"/>
      <w:r/>
      <w:bookmarkStart w:id="863"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64" w:name="_Hlt520356243"/>
      <w:r/>
      <w:bookmarkStart w:id="865" w:name="_Hlt520355938"/>
      <w:r/>
      <w:bookmarkEnd w:id="864"/>
      <w:r/>
      <w:bookmarkEnd w:id="865"/>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866" w:name="_Ref467988705"/>
      <w:r/>
      <w:bookmarkStart w:id="867" w:name="_Toc520356218"/>
      <w:r/>
      <w:bookmarkStart w:id="868" w:name="_Toc305158825"/>
      <w:r/>
      <w:bookmarkStart w:id="869" w:name="_Toc142311059"/>
      <w:r/>
      <w:bookmarkStart w:id="870" w:name="_Toc226309801"/>
      <w:r/>
      <w:bookmarkStart w:id="871" w:name="_Toc127151557"/>
      <w:r/>
      <w:bookmarkStart w:id="872" w:name="_Toc226965830"/>
      <w:r/>
      <w:bookmarkStart w:id="873" w:name="_Toc150480795"/>
      <w:r/>
      <w:bookmarkStart w:id="874" w:name="_Toc226965747"/>
      <w:r/>
      <w:bookmarkStart w:id="875" w:name="_Toc264969247"/>
      <w:r/>
      <w:bookmarkStart w:id="876" w:name="_Toc150774762"/>
      <w:r/>
      <w:bookmarkStart w:id="877" w:name="_Toc480942350"/>
      <w:r/>
      <w:bookmarkStart w:id="878" w:name="_Toc305158899"/>
      <w:r/>
      <w:bookmarkStart w:id="879" w:name="_Toc265228395"/>
      <w:r/>
      <w:bookmarkStart w:id="880" w:name="_Toc226337253"/>
      <w:r/>
      <w:bookmarkStart w:id="881" w:name="_Toc195842922"/>
      <w:r>
        <w:rPr>
          <w:sz w:val="24"/>
          <w:szCs w:val="20"/>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sz w:val="24"/>
          <w:szCs w:val="20"/>
        </w:rPr>
        <w:t xml:space="preserve">（实质性格式）</w:t>
      </w:r>
      <w:r/>
    </w:p>
    <w:p>
      <w:pPr>
        <w:jc w:val="center"/>
        <w:spacing w:line="360" w:lineRule="exact"/>
        <w:rPr>
          <w:b/>
          <w:sz w:val="36"/>
          <w:szCs w:val="36"/>
        </w:rPr>
      </w:pPr>
      <w:r/>
      <w:bookmarkStart w:id="882" w:name="_Toc226965831"/>
      <w:r/>
      <w:bookmarkStart w:id="883" w:name="_Toc305158900"/>
      <w:r/>
      <w:bookmarkStart w:id="884" w:name="_Toc164608672"/>
      <w:r/>
      <w:bookmarkStart w:id="885" w:name="_Toc264969248"/>
      <w:r/>
      <w:bookmarkStart w:id="886" w:name="_Toc265228396"/>
      <w:r/>
      <w:bookmarkStart w:id="887" w:name="_Toc164608827"/>
      <w:r/>
      <w:bookmarkStart w:id="888" w:name="_Toc305158826"/>
      <w:r/>
      <w:bookmarkStart w:id="889" w:name="_Toc226965748"/>
      <w:r/>
      <w:bookmarkStart w:id="890" w:name="_Toc226309802"/>
      <w:r/>
      <w:bookmarkStart w:id="891" w:name="_Toc195842923"/>
      <w:r/>
      <w:bookmarkStart w:id="892" w:name="_Toc226337254"/>
      <w:r>
        <w:rPr>
          <w:rFonts w:hint="eastAsia"/>
          <w:b/>
          <w:sz w:val="36"/>
          <w:szCs w:val="36"/>
        </w:rPr>
        <w:t xml:space="preserve">开标一览表</w:t>
      </w:r>
      <w:bookmarkEnd w:id="882"/>
      <w:r/>
      <w:bookmarkEnd w:id="883"/>
      <w:r/>
      <w:bookmarkEnd w:id="884"/>
      <w:r/>
      <w:bookmarkEnd w:id="885"/>
      <w:r/>
      <w:bookmarkEnd w:id="886"/>
      <w:r/>
      <w:bookmarkEnd w:id="887"/>
      <w:r/>
      <w:bookmarkEnd w:id="888"/>
      <w:r/>
      <w:bookmarkEnd w:id="889"/>
      <w:r/>
      <w:bookmarkEnd w:id="890"/>
      <w:r/>
      <w:bookmarkEnd w:id="891"/>
      <w:r/>
      <w:bookmarkEnd w:id="892"/>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spacing w:line="360" w:lineRule="auto"/>
        <w:rPr>
          <w:sz w:val="24"/>
        </w:rPr>
        <w:outlineLvl w:val="2"/>
      </w:pPr>
      <w:r>
        <w:br w:type="page" w:clear="all"/>
      </w:r>
      <w:bookmarkStart w:id="893" w:name="_Toc226965835"/>
      <w:r/>
      <w:bookmarkStart w:id="894" w:name="_Toc226965752"/>
      <w:r/>
      <w:bookmarkStart w:id="895" w:name="_Toc226309806"/>
      <w:r/>
      <w:bookmarkStart w:id="896" w:name="_Toc265228400"/>
      <w:r/>
      <w:bookmarkStart w:id="897" w:name="_Toc226337258"/>
      <w:r/>
      <w:bookmarkStart w:id="898" w:name="_Toc142311062"/>
      <w:r/>
      <w:bookmarkStart w:id="899" w:name="_Toc195842927"/>
      <w:r/>
      <w:bookmarkStart w:id="900" w:name="_Toc305158830"/>
      <w:r/>
      <w:bookmarkStart w:id="901" w:name="_Toc150480798"/>
      <w:r/>
      <w:bookmarkStart w:id="902" w:name="_Toc305158904"/>
      <w:r/>
      <w:bookmarkStart w:id="903" w:name="_Toc150774765"/>
      <w:r/>
      <w:bookmarkStart w:id="904" w:name="_Toc127151562"/>
      <w:r/>
      <w:bookmarkStart w:id="905" w:name="_Toc264969252"/>
      <w:r/>
      <w:bookmarkStart w:id="906" w:name="_Toc150480797"/>
      <w:r/>
      <w:bookmarkStart w:id="907" w:name="_Toc265228399"/>
      <w:r/>
      <w:bookmarkStart w:id="908" w:name="_Toc195842926"/>
      <w:r/>
      <w:bookmarkStart w:id="909" w:name="_Toc127151561"/>
      <w:r/>
      <w:bookmarkStart w:id="910" w:name="_Toc226965834"/>
      <w:r/>
      <w:bookmarkStart w:id="911" w:name="_Toc226309805"/>
      <w:r/>
      <w:bookmarkStart w:id="912" w:name="_Toc305158903"/>
      <w:r/>
      <w:bookmarkStart w:id="913" w:name="_Toc150774764"/>
      <w:r/>
      <w:bookmarkStart w:id="914" w:name="_Toc264969251"/>
      <w:r/>
      <w:bookmarkStart w:id="915" w:name="_Toc226965751"/>
      <w:r/>
      <w:bookmarkStart w:id="916" w:name="_Toc226337257"/>
      <w:r/>
      <w:bookmarkStart w:id="917" w:name="_Toc142311061"/>
      <w:r/>
      <w:bookmarkStart w:id="918" w:name="_Toc305158829"/>
      <w:r/>
      <w:r/>
    </w:p>
    <w:p>
      <w:pPr>
        <w:spacing w:line="360" w:lineRule="auto"/>
        <w:rPr>
          <w:sz w:val="24"/>
        </w:rPr>
        <w:outlineLvl w:val="2"/>
      </w:pPr>
      <w:r>
        <w:rPr>
          <w:rFonts w:hint="eastAsia"/>
          <w:sz w:val="24"/>
        </w:rPr>
        <w:t xml:space="preserve">3</w:t>
      </w:r>
      <w:r>
        <w:rPr>
          <w:sz w:val="24"/>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rPr>
          <w:sz w:val="24"/>
        </w:rPr>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4819015</wp:posOffset>
                </wp:positionH>
                <wp:positionV relativeFrom="paragraph">
                  <wp:posOffset>61595</wp:posOffset>
                </wp:positionV>
                <wp:extent cx="816610" cy="76200"/>
                <wp:effectExtent l="12700" t="10160" r="8890" b="8890"/>
                <wp:wrapNone/>
                <wp:docPr id="7" name="AutoShape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7216;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2323465</wp:posOffset>
                </wp:positionH>
                <wp:positionV relativeFrom="paragraph">
                  <wp:posOffset>663575</wp:posOffset>
                </wp:positionV>
                <wp:extent cx="816610" cy="76200"/>
                <wp:effectExtent l="12700" t="12065" r="8890" b="6985"/>
                <wp:wrapNone/>
                <wp:docPr id="8" name="AutoShape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6192;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1156335</wp:posOffset>
                </wp:positionH>
                <wp:positionV relativeFrom="paragraph">
                  <wp:posOffset>663575</wp:posOffset>
                </wp:positionV>
                <wp:extent cx="816610" cy="76200"/>
                <wp:effectExtent l="7620" t="12065" r="13970" b="6985"/>
                <wp:wrapNone/>
                <wp:docPr id="9" name="AutoShape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55168;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4685665</wp:posOffset>
                </wp:positionH>
                <wp:positionV relativeFrom="paragraph">
                  <wp:posOffset>349885</wp:posOffset>
                </wp:positionV>
                <wp:extent cx="816610" cy="103505"/>
                <wp:effectExtent l="12700" t="12700" r="8890" b="7620"/>
                <wp:wrapNone/>
                <wp:docPr id="10" name="AutoShape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4144;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2323465</wp:posOffset>
                </wp:positionH>
                <wp:positionV relativeFrom="paragraph">
                  <wp:posOffset>377190</wp:posOffset>
                </wp:positionV>
                <wp:extent cx="816610" cy="76200"/>
                <wp:effectExtent l="12700" t="11430" r="8890" b="7620"/>
                <wp:wrapNone/>
                <wp:docPr id="11" name="AutoShape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52096;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3528060</wp:posOffset>
                </wp:positionH>
                <wp:positionV relativeFrom="paragraph">
                  <wp:posOffset>377190</wp:posOffset>
                </wp:positionV>
                <wp:extent cx="816610" cy="103505"/>
                <wp:effectExtent l="7620" t="11430" r="13970" b="8890"/>
                <wp:wrapNone/>
                <wp:docPr id="12" name="AutoShape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53120;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2171065</wp:posOffset>
                </wp:positionH>
                <wp:positionV relativeFrom="paragraph">
                  <wp:posOffset>663575</wp:posOffset>
                </wp:positionV>
                <wp:extent cx="816610" cy="76200"/>
                <wp:effectExtent l="12700" t="10795" r="8890" b="8255"/>
                <wp:wrapNone/>
                <wp:docPr id="13" name="AutoShape 1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2336;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4819015</wp:posOffset>
                </wp:positionH>
                <wp:positionV relativeFrom="paragraph">
                  <wp:posOffset>61595</wp:posOffset>
                </wp:positionV>
                <wp:extent cx="816610" cy="76200"/>
                <wp:effectExtent l="12700" t="8890" r="8890" b="10160"/>
                <wp:wrapNone/>
                <wp:docPr id="14" name="AutoShape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3360;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1156335</wp:posOffset>
                </wp:positionH>
                <wp:positionV relativeFrom="paragraph">
                  <wp:posOffset>663575</wp:posOffset>
                </wp:positionV>
                <wp:extent cx="816610" cy="76200"/>
                <wp:effectExtent l="7620" t="10795" r="13970" b="8255"/>
                <wp:wrapNone/>
                <wp:docPr id="15" name="AutoShape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1312;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4685665</wp:posOffset>
                </wp:positionH>
                <wp:positionV relativeFrom="paragraph">
                  <wp:posOffset>349885</wp:posOffset>
                </wp:positionV>
                <wp:extent cx="816610" cy="103505"/>
                <wp:effectExtent l="12700" t="11430" r="8890" b="8890"/>
                <wp:wrapNone/>
                <wp:docPr id="16" name="AutoShape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0288;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2323465</wp:posOffset>
                </wp:positionH>
                <wp:positionV relativeFrom="paragraph">
                  <wp:posOffset>377190</wp:posOffset>
                </wp:positionV>
                <wp:extent cx="816610" cy="76200"/>
                <wp:effectExtent l="12700" t="10160" r="8890" b="8890"/>
                <wp:wrapNone/>
                <wp:docPr id="17" name="AutoShape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58240;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7620" t="10160" r="13970" b="10160"/>
                <wp:wrapNone/>
                <wp:docPr id="18" name="AutoShape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59264;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236"/>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236"/>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236"/>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w:t>
      </w:r>
      <w:r>
        <w:rPr>
          <w:rFonts w:hint="eastAsia"/>
          <w:sz w:val="24"/>
        </w:rPr>
        <w:t xml:space="preserve">斜线划除的</w:t>
      </w:r>
      <w:r>
        <w:rPr>
          <w:rFonts w:hint="eastAsia"/>
          <w:sz w:val="24"/>
        </w:rPr>
        <w:t xml:space="preserve">地方无需填写。</w:t>
      </w:r>
      <w:r/>
    </w:p>
    <w:p>
      <w:pPr>
        <w:ind w:firstLine="360"/>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ind w:firstLine="360"/>
        <w:jc w:val="left"/>
        <w:spacing w:line="360" w:lineRule="auto"/>
        <w:tabs>
          <w:tab w:val="left" w:pos="1800" w:leader="none"/>
          <w:tab w:val="left" w:pos="5580" w:leader="none"/>
        </w:tabs>
        <w:rPr>
          <w:sz w:val="24"/>
          <w:szCs w:val="20"/>
        </w:rPr>
      </w:pPr>
      <w:r>
        <w:rPr>
          <w:sz w:val="24"/>
          <w:szCs w:val="20"/>
        </w:rPr>
      </w:r>
      <w:r/>
    </w:p>
    <w:p>
      <w:pPr>
        <w:ind w:firstLine="360"/>
        <w:jc w:val="left"/>
        <w:spacing w:line="360" w:lineRule="auto"/>
        <w:tabs>
          <w:tab w:val="left" w:pos="1800" w:leader="none"/>
          <w:tab w:val="left" w:pos="5580" w:leader="none"/>
        </w:tabs>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r>
      <w:r/>
    </w:p>
    <w:p>
      <w:pPr>
        <w:spacing w:line="360" w:lineRule="auto"/>
        <w:rPr>
          <w:sz w:val="24"/>
        </w:rPr>
        <w:outlineLvl w:val="2"/>
      </w:pPr>
      <w:r>
        <w:rPr>
          <w:rFonts w:hint="eastAsia"/>
          <w:sz w:val="24"/>
        </w:rPr>
        <w:t xml:space="preserve">4</w:t>
      </w:r>
      <w:r>
        <w:rPr>
          <w:sz w:val="24"/>
        </w:rPr>
        <w:t xml:space="preserve"> </w:t>
      </w:r>
      <w:r>
        <w:rPr>
          <w:sz w:val="24"/>
        </w:rPr>
        <w:t xml:space="preserve">合同条款偏离表</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sz w:val="24"/>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7"/>
        <w:gridCol w:w="1268"/>
        <w:gridCol w:w="1923"/>
        <w:gridCol w:w="1924"/>
        <w:gridCol w:w="2350"/>
        <w:gridCol w:w="770"/>
      </w:tblGrid>
      <w:tr>
        <w:trPr>
          <w:jc w:val="center"/>
          <w:trHeight w:val="930"/>
        </w:trPr>
        <w:tc>
          <w:tcPr>
            <w:gridSpan w:val="6"/>
            <w:tcW w:w="9288"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5</w:t>
      </w:r>
      <w:r>
        <w:rPr>
          <w:sz w:val="24"/>
          <w:szCs w:val="20"/>
        </w:rPr>
        <w:t xml:space="preserve"> </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Start w:id="919" w:name="_Hlk139402032"/>
      <w:r>
        <w:rPr>
          <w:rFonts w:hint="eastAsia"/>
          <w:sz w:val="24"/>
          <w:szCs w:val="20"/>
        </w:rPr>
        <w:t xml:space="preserve">项目实施方案</w:t>
      </w:r>
      <w:bookmarkEnd w:id="919"/>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7</w:t>
      </w:r>
      <w:r>
        <w:rPr>
          <w:rFonts w:hint="eastAsia"/>
          <w:sz w:val="24"/>
          <w:szCs w:val="20"/>
        </w:rPr>
        <w:t xml:space="preserve">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20" w:name="_Toc288738397"/>
      <w:r/>
      <w:bookmarkStart w:id="921" w:name="_Toc288738839"/>
      <w:r/>
      <w:r/>
    </w:p>
    <w:p>
      <w:pPr>
        <w:spacing w:line="360" w:lineRule="auto"/>
        <w:rPr>
          <w:sz w:val="24"/>
          <w:szCs w:val="20"/>
        </w:rPr>
        <w:outlineLvl w:val="2"/>
      </w:pPr>
      <w:r>
        <w:rPr>
          <w:rFonts w:hint="eastAsia"/>
          <w:sz w:val="24"/>
          <w:szCs w:val="20"/>
        </w:rPr>
        <w:t xml:space="preserve">8</w:t>
      </w:r>
      <w:r>
        <w:rPr>
          <w:rFonts w:hint="eastAsia"/>
          <w:sz w:val="24"/>
          <w:szCs w:val="20"/>
        </w:rPr>
        <w:t xml:space="preserve">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20"/>
      <w:r/>
      <w:bookmarkEnd w:id="921"/>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9</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right="360"/>
      <w:rPr>
        <w:rStyle w:val="1249"/>
      </w:rPr>
      <w:framePr w:wrap="around" w:vAnchor="text" w:hAnchor="margin" w:y="1"/>
    </w:pPr>
    <w:r/>
    <w:r/>
  </w:p>
  <w:p>
    <w:pPr>
      <w:pStyle w:val="1047"/>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49"/>
      </w:rPr>
      <w:framePr w:wrap="around" w:vAnchor="text" w:hAnchor="margin" w:xAlign="center" w:y="1"/>
    </w:pPr>
    <w:r>
      <w:fldChar w:fldCharType="begin"/>
    </w:r>
    <w:r>
      <w:rPr>
        <w:rStyle w:val="1249"/>
      </w:rPr>
      <w:instrText xml:space="preserve">PAGE  </w:instrText>
    </w:r>
    <w:r>
      <w:fldChar w:fldCharType="end"/>
    </w:r>
    <w:r/>
  </w:p>
  <w:p>
    <w:pPr>
      <w:pStyle w:val="104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4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49"/>
      </w:rPr>
      <w:framePr w:wrap="around" w:vAnchor="text" w:hAnchor="margin" w:xAlign="right" w:y="1"/>
    </w:pPr>
    <w:r>
      <w:rPr>
        <w:rStyle w:val="1249"/>
      </w:rPr>
      <w:fldChar w:fldCharType="begin"/>
    </w:r>
    <w:r>
      <w:rPr>
        <w:rStyle w:val="1249"/>
      </w:rPr>
      <w:instrText xml:space="preserve">PAGE  </w:instrText>
    </w:r>
    <w:r>
      <w:rPr>
        <w:rStyle w:val="1249"/>
      </w:rPr>
      <w:fldChar w:fldCharType="end"/>
    </w:r>
    <w:r/>
  </w:p>
  <w:p>
    <w:pPr>
      <w:pStyle w:val="104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49"/>
      </w:rPr>
      <w:framePr w:wrap="around" w:vAnchor="text" w:hAnchor="margin" w:xAlign="center" w:y="1"/>
    </w:pPr>
    <w:r>
      <w:fldChar w:fldCharType="begin"/>
    </w:r>
    <w:r>
      <w:rPr>
        <w:rStyle w:val="1249"/>
      </w:rPr>
      <w:instrText xml:space="preserve"> PAGE </w:instrText>
    </w:r>
    <w:r>
      <w:fldChar w:fldCharType="separate"/>
    </w:r>
    <w:r>
      <w:rPr>
        <w:rStyle w:val="1249"/>
      </w:rPr>
      <w:t xml:space="preserve">- 38 -</w:t>
    </w:r>
    <w:r>
      <w:fldChar w:fldCharType="end"/>
    </w:r>
    <w:r/>
  </w:p>
  <w:p>
    <w:pPr>
      <w:pStyle w:val="1047"/>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249"/>
      </w:rPr>
      <w:framePr w:wrap="around" w:vAnchor="text" w:hAnchor="margin" w:xAlign="right" w:y="1"/>
    </w:pPr>
    <w:r>
      <w:rPr>
        <w:rStyle w:val="1249"/>
      </w:rPr>
      <w:fldChar w:fldCharType="begin"/>
    </w:r>
    <w:r>
      <w:rPr>
        <w:rStyle w:val="1249"/>
      </w:rPr>
      <w:instrText xml:space="preserve">PAGE  </w:instrText>
    </w:r>
    <w:r>
      <w:rPr>
        <w:rStyle w:val="1249"/>
      </w:rPr>
      <w:fldChar w:fldCharType="end"/>
    </w:r>
    <w:r/>
  </w:p>
  <w:p>
    <w:pPr>
      <w:pStyle w:val="1047"/>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436245</wp:posOffset>
              </wp:positionH>
              <wp:positionV relativeFrom="paragraph">
                <wp:posOffset>-258445</wp:posOffset>
              </wp:positionV>
              <wp:extent cx="236220" cy="236220"/>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pic:cNvPicPr>
                      <pic:nvPr/>
                    </pic:nvPicPr>
                    <pic:blipFill>
                      <a:blip r:embed="rId1"/>
                      <a:stretch/>
                    </pic:blipFill>
                    <pic:spPr bwMode="auto">
                      <a:xfrm>
                        <a:off x="0" y="0"/>
                        <a:ext cx="236220" cy="23622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alse">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-22225</wp:posOffset>
              </wp:positionV>
              <wp:extent cx="1106170" cy="182880"/>
              <wp:effectExtent l="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r/>
                    </pic:nvPicPr>
                    <pic:blipFill>
                      <a:blip r:embed="rId2"/>
                      <a:stretch/>
                    </pic:blipFill>
                    <pic:spPr bwMode="auto">
                      <a:xfrm>
                        <a:off x="0" y="0"/>
                        <a:ext cx="1106170" cy="18288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8pt;mso-position-horizontal:absolute;mso-position-vertical-relative:text;margin-top:-1.8pt;mso-position-vertical:absolute;width:87.1pt;height:14.4pt;mso-wrap-distance-left:9.0pt;mso-wrap-distance-top:0.0pt;mso-wrap-distance-right:9.0pt;mso-wrap-distance-bottom:0.0pt;" stroked="false">
              <v:path textboxrect="0,0,0,0"/>
              <v:imagedata r:id="rId2" o:title=""/>
            </v:shape>
          </w:pict>
        </mc:Fallback>
      </mc:AlternateContent>
    </w:r>
    <w:r>
      <w:rPr>
        <w:rFonts w:hint="eastAsia"/>
      </w:rPr>
      <w:t xml:space="preserve">常州明镜工程咨询有限公司公开招标文件</w:t>
    </w:r>
    <w:r/>
  </w:p>
  <w:p>
    <w:pPr>
      <w:pStyle w:val="1045"/>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436245</wp:posOffset>
              </wp:positionH>
              <wp:positionV relativeFrom="paragraph">
                <wp:posOffset>-258445</wp:posOffset>
              </wp:positionV>
              <wp:extent cx="236220" cy="236220"/>
              <wp:effectExtent l="0" t="0" r="0" b="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pic:cNvPicPr>
                      <pic:nvPr/>
                    </pic:nvPicPr>
                    <pic:blipFill>
                      <a:blip r:embed="rId1"/>
                      <a:stretch/>
                    </pic:blipFill>
                    <pic:spPr bwMode="auto">
                      <a:xfrm>
                        <a:off x="0" y="0"/>
                        <a:ext cx="236220" cy="23622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7216;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alse">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9525</wp:posOffset>
              </wp:positionH>
              <wp:positionV relativeFrom="paragraph">
                <wp:posOffset>-22225</wp:posOffset>
              </wp:positionV>
              <wp:extent cx="1106170" cy="182880"/>
              <wp:effectExtent l="0" t="0" r="0" b="0"/>
              <wp:wrapNone/>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pic:cNvPicPr>
                      <pic:nvPr/>
                    </pic:nvPicPr>
                    <pic:blipFill>
                      <a:blip r:embed="rId2"/>
                      <a:stretch/>
                    </pic:blipFill>
                    <pic:spPr bwMode="auto">
                      <a:xfrm>
                        <a:off x="0" y="0"/>
                        <a:ext cx="1106170" cy="18288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0;o:allowoverlap:true;o:allowincell:true;mso-position-horizontal-relative:text;margin-left:0.8pt;mso-position-horizontal:absolute;mso-position-vertical-relative:text;margin-top:-1.8pt;mso-position-vertical:absolute;width:87.1pt;height:14.4pt;mso-wrap-distance-left:9.0pt;mso-wrap-distance-top:0.0pt;mso-wrap-distance-right:9.0pt;mso-wrap-distance-bottom:0.0pt;" stroked="false">
              <v:path textboxrect="0,0,0,0"/>
              <v:imagedata r:id="rId2" o:title=""/>
            </v:shape>
          </w:pict>
        </mc:Fallback>
      </mc:AlternateContent>
    </w:r>
    <w:r>
      <w:rPr>
        <w:rFonts w:hint="eastAsia"/>
      </w:rPr>
      <w:t xml:space="preserve">常州明镜工程咨询有限公司公开招标文件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299085</wp:posOffset>
              </wp:positionH>
              <wp:positionV relativeFrom="paragraph">
                <wp:posOffset>-227965</wp:posOffset>
              </wp:positionV>
              <wp:extent cx="381000" cy="381000"/>
              <wp:effectExtent l="0" t="0" r="0" b="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pic:cNvPicPr>
                      <pic:nvPr/>
                    </pic:nvPicPr>
                    <pic:blipFill>
                      <a:blip r:embed="rId1"/>
                      <a:stretch/>
                    </pic:blipFill>
                    <pic:spPr bwMode="auto">
                      <a:xfrm>
                        <a:off x="0" y="0"/>
                        <a:ext cx="381000" cy="38100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6192;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alse">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pic:cNvPicPr>
                      <pic:nvPr/>
                    </pic:nvPicPr>
                    <pic:blipFill>
                      <a:blip r:embed="rId2"/>
                      <a:stretch/>
                    </pic:blipFill>
                    <pic:spPr bwMode="auto">
                      <a:xfrm>
                        <a:off x="0" y="0"/>
                        <a:ext cx="1021080" cy="1689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5168;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alse">
              <v:path textboxrect="0,0,0,0"/>
              <v:imagedata r:id="rId2" o:title=""/>
            </v:shape>
          </w:pict>
        </mc:Fallback>
      </mc:AlternateContent>
    </w:r>
    <w:r>
      <w:rPr>
        <w:rFonts w:hint="eastAsia"/>
      </w:rPr>
      <w:t xml:space="preserve">常州明镜工程咨询有限公司公开招标文件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pStyle w:val="1536"/>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83"/>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7">
    <w:multiLevelType w:val="hybridMultilevel"/>
    <w:lvl w:ilvl="0">
      <w:start w:val="1"/>
      <w:numFmt w:val="decimal"/>
      <w:isLgl w:val="false"/>
      <w:suff w:val="tab"/>
      <w:lvlText w:val="%1、"/>
      <w:lvlJc w:val="left"/>
      <w:pPr>
        <w:ind w:left="312" w:hanging="312"/>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pStyle w:val="127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7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1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1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21"/>
      <w:isLgl w:val="false"/>
      <w:suff w:val="nothing"/>
      <w:lvlText w:val="%1.%2.%3.%4.%5.%6　"/>
      <w:lvlJc w:val="left"/>
      <w:pPr>
        <w:ind w:left="-25" w:firstLine="0"/>
      </w:pPr>
      <w:rPr>
        <w:rFonts w:ascii="Times New Roman" w:hAnsi="Times New Roman" w:eastAsia="宋体"/>
        <w:b/>
        <w:i w:val="0"/>
        <w:sz w:val="28"/>
      </w:rPr>
    </w:lvl>
    <w:lvl w:ilvl="6">
      <w:start w:val="1"/>
      <w:numFmt w:val="lowerLetter"/>
      <w:pStyle w:val="1334"/>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297"/>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japaneseCounting"/>
      <w:isLgl w:val="false"/>
      <w:suff w:val="tab"/>
      <w:lvlText w:val="%1、"/>
      <w:lvlJc w:val="left"/>
      <w:pPr>
        <w:ind w:left="456" w:hanging="456"/>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2">
    <w:multiLevelType w:val="hybridMultilevel"/>
    <w:lvl w:ilvl="0">
      <w:start w:val="1"/>
      <w:numFmt w:val="decimal"/>
      <w:pStyle w:val="1328"/>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pStyle w:val="154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8"/>
      <w:numFmt w:val="decimal"/>
      <w:isLgl w:val="false"/>
      <w:suff w:val="nothing"/>
      <w:lvlText w:val="（%1）"/>
      <w:lvlJc w:val="left"/>
      <w:pPr>
        <w:ind w:left="-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lowerLetter"/>
      <w:pStyle w:val="135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7">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9">
    <w:multiLevelType w:val="hybridMultilevel"/>
    <w:lvl w:ilvl="0">
      <w:start w:val="1"/>
      <w:numFmt w:val="decimal"/>
      <w:pStyle w:val="128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1">
    <w:multiLevelType w:val="hybridMultilevel"/>
    <w:lvl w:ilvl="0">
      <w:start w:val="1"/>
      <w:numFmt w:val="decimal"/>
      <w:pStyle w:val="1562"/>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2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pStyle w:val="1382"/>
      <w:isLgl w:val="false"/>
      <w:suff w:val="tab"/>
      <w:lvlText w:val="%1"/>
      <w:lvlJc w:val="left"/>
      <w:pPr>
        <w:ind w:left="680" w:hanging="680"/>
      </w:pPr>
      <w:rPr>
        <w:rFonts w:hint="eastAsia" w:ascii="宋体" w:hAnsi="宋体" w:eastAsia="宋体"/>
      </w:rPr>
    </w:lvl>
    <w:lvl w:ilvl="1">
      <w:start w:val="1"/>
      <w:numFmt w:val="decimal"/>
      <w:pStyle w:val="1383"/>
      <w:isLgl w:val="false"/>
      <w:suff w:val="tab"/>
      <w:lvlText w:val="%1.%2"/>
      <w:lvlJc w:val="left"/>
      <w:pPr>
        <w:ind w:left="851" w:hanging="851"/>
      </w:pPr>
      <w:rPr>
        <w:rFonts w:hint="eastAsia" w:ascii="宋体" w:hAnsi="宋体" w:eastAsia="宋体"/>
        <w:color w:val="000000"/>
      </w:rPr>
    </w:lvl>
    <w:lvl w:ilvl="2">
      <w:start w:val="1"/>
      <w:numFmt w:val="decimal"/>
      <w:pStyle w:val="138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4">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25">
    <w:multiLevelType w:val="hybridMultilevel"/>
    <w:lvl w:ilvl="0">
      <w:start w:val="3"/>
      <w:numFmt w:val="decimal"/>
      <w:pStyle w:val="151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japaneseCounting"/>
      <w:isLgl w:val="false"/>
      <w:suff w:val="tab"/>
      <w:lvlText w:val="%1、"/>
      <w:lvlJc w:val="left"/>
      <w:pPr>
        <w:ind w:left="497" w:hanging="497"/>
      </w:pPr>
      <w:rPr>
        <w:rFonts w:hint="default"/>
        <w:b/>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8">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15"/>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num w:numId="1">
    <w:abstractNumId w:val="8"/>
  </w:num>
  <w:num w:numId="2">
    <w:abstractNumId w:val="4"/>
  </w:num>
  <w:num w:numId="3">
    <w:abstractNumId w:val="19"/>
  </w:num>
  <w:num w:numId="4">
    <w:abstractNumId w:val="30"/>
  </w:num>
  <w:num w:numId="5">
    <w:abstractNumId w:val="12"/>
  </w:num>
  <w:num w:numId="6">
    <w:abstractNumId w:val="16"/>
  </w:num>
  <w:num w:numId="7">
    <w:abstractNumId w:val="23"/>
  </w:num>
  <w:num w:numId="8">
    <w:abstractNumId w:val="25"/>
  </w:num>
  <w:num w:numId="9">
    <w:abstractNumId w:val="3"/>
  </w:num>
  <w:num w:numId="10">
    <w:abstractNumId w:val="13"/>
  </w:num>
  <w:num w:numId="11">
    <w:abstractNumId w:val="21"/>
  </w:num>
  <w:num w:numId="12">
    <w:abstractNumId w:val="27"/>
  </w:num>
  <w:num w:numId="13">
    <w:abstractNumId w:val="20"/>
  </w:num>
  <w:num w:numId="14">
    <w:abstractNumId w:val="24"/>
  </w:num>
  <w:num w:numId="15">
    <w:abstractNumId w:val="1"/>
  </w:num>
  <w:num w:numId="16">
    <w:abstractNumId w:val="6"/>
  </w:num>
  <w:num w:numId="17">
    <w:abstractNumId w:val="11"/>
  </w:num>
  <w:num w:numId="18">
    <w:abstractNumId w:val="17"/>
    <w:lvlOverride w:ilvl="0">
      <w:startOverride w:val="1"/>
    </w:lvlOverride>
  </w:num>
  <w:num w:numId="19">
    <w:abstractNumId w:val="14"/>
  </w:num>
  <w:num w:numId="20">
    <w:abstractNumId w:val="18"/>
  </w:num>
  <w:num w:numId="21">
    <w:abstractNumId w:val="15"/>
  </w:num>
  <w:num w:numId="22">
    <w:abstractNumId w:val="5"/>
  </w:num>
  <w:num w:numId="23">
    <w:abstractNumId w:val="7"/>
  </w:num>
  <w:num w:numId="24">
    <w:abstractNumId w:val="10"/>
  </w:num>
  <w:num w:numId="25">
    <w:abstractNumId w:val="2"/>
  </w:num>
  <w:num w:numId="26">
    <w:abstractNumId w:val="29"/>
  </w:num>
  <w:num w:numId="27">
    <w:abstractNumId w:val="22"/>
  </w:num>
  <w:num w:numId="28">
    <w:abstractNumId w:val="0"/>
  </w:num>
  <w:num w:numId="29">
    <w:abstractNumId w:val="28"/>
  </w:num>
  <w:num w:numId="30">
    <w:abstractNumId w:val="9"/>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0" w:default="1">
    <w:name w:val="Normal"/>
    <w:next w:val="1013"/>
    <w:qFormat/>
    <w:pPr>
      <w:jc w:val="both"/>
      <w:widowControl w:val="off"/>
    </w:pPr>
    <w:rPr>
      <w:sz w:val="21"/>
      <w:szCs w:val="24"/>
    </w:rPr>
  </w:style>
  <w:style w:type="paragraph" w:styleId="1011">
    <w:name w:val="Heading 1"/>
    <w:basedOn w:val="1010"/>
    <w:next w:val="1010"/>
    <w:link w:val="1187"/>
    <w:qFormat/>
    <w:pPr>
      <w:jc w:val="center"/>
      <w:keepLines/>
      <w:keepNext/>
      <w:spacing w:before="240" w:after="120" w:line="300" w:lineRule="auto"/>
      <w:outlineLvl w:val="0"/>
    </w:pPr>
    <w:rPr>
      <w:rFonts w:ascii="宋体"/>
      <w:b/>
      <w:sz w:val="32"/>
      <w:szCs w:val="20"/>
    </w:rPr>
  </w:style>
  <w:style w:type="paragraph" w:styleId="1012">
    <w:name w:val="Heading 2"/>
    <w:basedOn w:val="1010"/>
    <w:next w:val="1189"/>
    <w:link w:val="1188"/>
    <w:uiPriority w:val="1"/>
    <w:qFormat/>
    <w:pPr>
      <w:jc w:val="center"/>
      <w:keepLines/>
      <w:keepNext/>
      <w:spacing w:before="120" w:line="300" w:lineRule="auto"/>
      <w:outlineLvl w:val="1"/>
    </w:pPr>
    <w:rPr>
      <w:rFonts w:ascii="Arial" w:hAnsi="Arial" w:eastAsia="黑体"/>
      <w:b/>
      <w:sz w:val="30"/>
      <w:szCs w:val="20"/>
    </w:rPr>
  </w:style>
  <w:style w:type="paragraph" w:styleId="1013">
    <w:name w:val="Heading 3"/>
    <w:basedOn w:val="1010"/>
    <w:next w:val="1010"/>
    <w:link w:val="1186"/>
    <w:qFormat/>
    <w:pPr>
      <w:jc w:val="left"/>
      <w:keepLines/>
      <w:keepNext/>
      <w:spacing w:before="360" w:after="120"/>
      <w:outlineLvl w:val="2"/>
    </w:pPr>
    <w:rPr>
      <w:rFonts w:ascii="宋体"/>
      <w:b/>
      <w:sz w:val="24"/>
      <w:szCs w:val="20"/>
      <w:u w:val="single"/>
    </w:rPr>
  </w:style>
  <w:style w:type="paragraph" w:styleId="1014">
    <w:name w:val="Heading 4"/>
    <w:basedOn w:val="1010"/>
    <w:next w:val="1010"/>
    <w:link w:val="1191"/>
    <w:qFormat/>
    <w:pPr>
      <w:keepLines/>
      <w:keepNext/>
      <w:spacing w:before="280" w:after="290" w:line="376" w:lineRule="atLeast"/>
      <w:outlineLvl w:val="3"/>
    </w:pPr>
    <w:rPr>
      <w:rFonts w:ascii="Arial" w:hAnsi="Arial" w:eastAsia="黑体"/>
      <w:b/>
      <w:sz w:val="28"/>
      <w:szCs w:val="20"/>
    </w:rPr>
  </w:style>
  <w:style w:type="paragraph" w:styleId="1015">
    <w:name w:val="Heading 5"/>
    <w:basedOn w:val="1010"/>
    <w:next w:val="1010"/>
    <w:link w:val="1192"/>
    <w:qFormat/>
    <w:pPr>
      <w:keepLines/>
      <w:keepNext/>
      <w:spacing w:before="280" w:after="290" w:line="376" w:lineRule="atLeast"/>
      <w:outlineLvl w:val="4"/>
    </w:pPr>
    <w:rPr>
      <w:b/>
      <w:sz w:val="28"/>
      <w:szCs w:val="20"/>
    </w:rPr>
  </w:style>
  <w:style w:type="paragraph" w:styleId="1016">
    <w:name w:val="Heading 6"/>
    <w:basedOn w:val="1010"/>
    <w:next w:val="1010"/>
    <w:link w:val="1193"/>
    <w:qFormat/>
    <w:pPr>
      <w:keepLines/>
      <w:keepNext/>
      <w:spacing w:before="240" w:after="64" w:line="320" w:lineRule="atLeast"/>
      <w:outlineLvl w:val="5"/>
    </w:pPr>
    <w:rPr>
      <w:rFonts w:ascii="Arial" w:hAnsi="Arial" w:eastAsia="黑体"/>
      <w:b/>
      <w:sz w:val="24"/>
      <w:szCs w:val="20"/>
    </w:rPr>
  </w:style>
  <w:style w:type="paragraph" w:styleId="1017">
    <w:name w:val="Heading 7"/>
    <w:basedOn w:val="1010"/>
    <w:next w:val="1010"/>
    <w:link w:val="1194"/>
    <w:qFormat/>
    <w:pPr>
      <w:keepLines/>
      <w:keepNext/>
      <w:spacing w:before="240" w:after="64" w:line="320" w:lineRule="atLeast"/>
      <w:outlineLvl w:val="6"/>
    </w:pPr>
    <w:rPr>
      <w:b/>
      <w:sz w:val="24"/>
      <w:szCs w:val="20"/>
    </w:rPr>
  </w:style>
  <w:style w:type="paragraph" w:styleId="1018">
    <w:name w:val="Heading 8"/>
    <w:basedOn w:val="1010"/>
    <w:next w:val="1010"/>
    <w:link w:val="1195"/>
    <w:qFormat/>
    <w:pPr>
      <w:keepLines/>
      <w:keepNext/>
      <w:spacing w:before="240" w:after="64" w:line="320" w:lineRule="atLeast"/>
      <w:outlineLvl w:val="7"/>
    </w:pPr>
    <w:rPr>
      <w:rFonts w:ascii="Arial" w:hAnsi="Arial" w:eastAsia="黑体"/>
      <w:sz w:val="24"/>
      <w:szCs w:val="20"/>
    </w:rPr>
  </w:style>
  <w:style w:type="paragraph" w:styleId="1019">
    <w:name w:val="Heading 9"/>
    <w:basedOn w:val="1010"/>
    <w:next w:val="1010"/>
    <w:link w:val="1196"/>
    <w:qFormat/>
    <w:pPr>
      <w:keepLines/>
      <w:keepNext/>
      <w:spacing w:before="240" w:after="64" w:line="320" w:lineRule="atLeast"/>
      <w:outlineLvl w:val="8"/>
    </w:pPr>
    <w:rPr>
      <w:rFonts w:ascii="Arial" w:hAnsi="Arial" w:eastAsia="黑体"/>
      <w:szCs w:val="20"/>
    </w:rPr>
  </w:style>
  <w:style w:type="character" w:styleId="1020" w:default="1">
    <w:name w:val="Default Paragraph Font"/>
    <w:uiPriority w:val="1"/>
    <w:semiHidden/>
    <w:unhideWhenUsed/>
  </w:style>
  <w:style w:type="table" w:styleId="1021" w:default="1">
    <w:name w:val="Normal Table"/>
    <w:uiPriority w:val="99"/>
    <w:semiHidden/>
    <w:unhideWhenUsed/>
    <w:tblPr>
      <w:tblInd w:w="0" w:type="dxa"/>
      <w:tblCellMar>
        <w:left w:w="108" w:type="dxa"/>
        <w:top w:w="0" w:type="dxa"/>
        <w:right w:w="108" w:type="dxa"/>
        <w:bottom w:w="0" w:type="dxa"/>
      </w:tblCellMar>
    </w:tblPr>
  </w:style>
  <w:style w:type="numbering" w:styleId="1022" w:default="1">
    <w:name w:val="No List"/>
    <w:uiPriority w:val="99"/>
    <w:semiHidden/>
    <w:unhideWhenUsed/>
  </w:style>
  <w:style w:type="character" w:styleId="1023" w:customStyle="1">
    <w:name w:val="Subtitle Char"/>
    <w:uiPriority w:val="11"/>
    <w:rPr>
      <w:sz w:val="24"/>
      <w:szCs w:val="24"/>
    </w:rPr>
  </w:style>
  <w:style w:type="character" w:styleId="1024" w:customStyle="1">
    <w:name w:val="Quote Char"/>
    <w:uiPriority w:val="29"/>
    <w:rPr>
      <w:i/>
    </w:rPr>
  </w:style>
  <w:style w:type="character" w:styleId="1025" w:customStyle="1">
    <w:name w:val="Intense Quote Char"/>
    <w:uiPriority w:val="30"/>
    <w:rPr>
      <w:i/>
    </w:rPr>
  </w:style>
  <w:style w:type="character" w:styleId="1026" w:customStyle="1">
    <w:name w:val="Heading 1 Char"/>
    <w:uiPriority w:val="9"/>
    <w:rPr>
      <w:rFonts w:ascii="Arial" w:hAnsi="Arial" w:eastAsia="Arial" w:cs="Arial"/>
      <w:sz w:val="40"/>
      <w:szCs w:val="40"/>
    </w:rPr>
  </w:style>
  <w:style w:type="character" w:styleId="1027" w:customStyle="1">
    <w:name w:val="Heading 2 Char"/>
    <w:uiPriority w:val="9"/>
    <w:rPr>
      <w:rFonts w:ascii="Arial" w:hAnsi="Arial" w:eastAsia="Arial" w:cs="Arial"/>
      <w:sz w:val="34"/>
    </w:rPr>
  </w:style>
  <w:style w:type="character" w:styleId="1028" w:customStyle="1">
    <w:name w:val="Heading 3 Char"/>
    <w:uiPriority w:val="9"/>
    <w:rPr>
      <w:rFonts w:ascii="Arial" w:hAnsi="Arial" w:eastAsia="Arial" w:cs="Arial"/>
      <w:sz w:val="30"/>
      <w:szCs w:val="30"/>
    </w:rPr>
  </w:style>
  <w:style w:type="character" w:styleId="1029" w:customStyle="1">
    <w:name w:val="Heading 4 Char"/>
    <w:uiPriority w:val="9"/>
    <w:rPr>
      <w:rFonts w:ascii="Arial" w:hAnsi="Arial" w:eastAsia="Arial" w:cs="Arial"/>
      <w:b/>
      <w:bCs/>
      <w:sz w:val="26"/>
      <w:szCs w:val="26"/>
    </w:rPr>
  </w:style>
  <w:style w:type="character" w:styleId="1030" w:customStyle="1">
    <w:name w:val="Heading 5 Char"/>
    <w:uiPriority w:val="9"/>
    <w:rPr>
      <w:rFonts w:ascii="Arial" w:hAnsi="Arial" w:eastAsia="Arial" w:cs="Arial"/>
      <w:b/>
      <w:bCs/>
      <w:sz w:val="24"/>
      <w:szCs w:val="24"/>
    </w:rPr>
  </w:style>
  <w:style w:type="character" w:styleId="1031" w:customStyle="1">
    <w:name w:val="Heading 6 Char"/>
    <w:uiPriority w:val="9"/>
    <w:rPr>
      <w:rFonts w:ascii="Arial" w:hAnsi="Arial" w:eastAsia="Arial" w:cs="Arial"/>
      <w:b/>
      <w:bCs/>
      <w:sz w:val="22"/>
      <w:szCs w:val="22"/>
    </w:rPr>
  </w:style>
  <w:style w:type="character" w:styleId="1032" w:customStyle="1">
    <w:name w:val="Heading 7 Char"/>
    <w:uiPriority w:val="9"/>
    <w:rPr>
      <w:rFonts w:ascii="Arial" w:hAnsi="Arial" w:eastAsia="Arial" w:cs="Arial"/>
      <w:b/>
      <w:bCs/>
      <w:i/>
      <w:iCs/>
      <w:sz w:val="22"/>
      <w:szCs w:val="22"/>
    </w:rPr>
  </w:style>
  <w:style w:type="character" w:styleId="1033" w:customStyle="1">
    <w:name w:val="Heading 8 Char"/>
    <w:uiPriority w:val="9"/>
    <w:rPr>
      <w:rFonts w:ascii="Arial" w:hAnsi="Arial" w:eastAsia="Arial" w:cs="Arial"/>
      <w:i/>
      <w:iCs/>
      <w:sz w:val="22"/>
      <w:szCs w:val="22"/>
    </w:rPr>
  </w:style>
  <w:style w:type="character" w:styleId="1034" w:customStyle="1">
    <w:name w:val="Heading 9 Char"/>
    <w:uiPriority w:val="9"/>
    <w:rPr>
      <w:rFonts w:ascii="Arial" w:hAnsi="Arial" w:eastAsia="Arial" w:cs="Arial"/>
      <w:i/>
      <w:iCs/>
      <w:sz w:val="21"/>
      <w:szCs w:val="21"/>
    </w:rPr>
  </w:style>
  <w:style w:type="paragraph" w:styleId="1035">
    <w:name w:val="List Paragraph"/>
    <w:basedOn w:val="1010"/>
    <w:link w:val="1269"/>
    <w:uiPriority w:val="99"/>
    <w:qFormat/>
    <w:pPr>
      <w:ind w:firstLine="420"/>
    </w:pPr>
    <w:rPr>
      <w:rFonts w:ascii="Calibri" w:hAnsi="Calibri"/>
      <w:szCs w:val="22"/>
    </w:rPr>
  </w:style>
  <w:style w:type="paragraph" w:styleId="1036">
    <w:name w:val="No Spacing"/>
    <w:qFormat/>
    <w:pPr>
      <w:jc w:val="both"/>
      <w:widowControl w:val="off"/>
    </w:pPr>
    <w:rPr>
      <w:sz w:val="21"/>
      <w:szCs w:val="24"/>
    </w:rPr>
  </w:style>
  <w:style w:type="paragraph" w:styleId="1037">
    <w:name w:val="Title"/>
    <w:basedOn w:val="1010"/>
    <w:link w:val="1240"/>
    <w:qFormat/>
    <w:pPr>
      <w:jc w:val="center"/>
      <w:outlineLvl w:val="0"/>
    </w:pPr>
    <w:rPr>
      <w:b/>
      <w:sz w:val="32"/>
      <w:szCs w:val="20"/>
    </w:rPr>
  </w:style>
  <w:style w:type="character" w:styleId="1038" w:customStyle="1">
    <w:name w:val="Title Char"/>
    <w:uiPriority w:val="10"/>
    <w:rPr>
      <w:sz w:val="48"/>
      <w:szCs w:val="48"/>
    </w:rPr>
  </w:style>
  <w:style w:type="paragraph" w:styleId="1039">
    <w:name w:val="Subtitle"/>
    <w:basedOn w:val="1010"/>
    <w:next w:val="1010"/>
    <w:link w:val="1040"/>
    <w:uiPriority w:val="11"/>
    <w:qFormat/>
    <w:pPr>
      <w:spacing w:before="200" w:after="200"/>
    </w:pPr>
    <w:rPr>
      <w:sz w:val="24"/>
    </w:rPr>
  </w:style>
  <w:style w:type="character" w:styleId="1040" w:customStyle="1">
    <w:name w:val="副标题 字符"/>
    <w:link w:val="1039"/>
    <w:uiPriority w:val="11"/>
    <w:rPr>
      <w:sz w:val="24"/>
      <w:szCs w:val="24"/>
    </w:rPr>
  </w:style>
  <w:style w:type="paragraph" w:styleId="1041">
    <w:name w:val="Quote"/>
    <w:basedOn w:val="1010"/>
    <w:next w:val="1010"/>
    <w:link w:val="1042"/>
    <w:uiPriority w:val="29"/>
    <w:qFormat/>
    <w:pPr>
      <w:ind w:left="720" w:right="720"/>
    </w:pPr>
    <w:rPr>
      <w:i/>
    </w:rPr>
  </w:style>
  <w:style w:type="character" w:styleId="1042" w:customStyle="1">
    <w:name w:val="引用 字符"/>
    <w:link w:val="1041"/>
    <w:uiPriority w:val="29"/>
    <w:rPr>
      <w:i/>
    </w:rPr>
  </w:style>
  <w:style w:type="paragraph" w:styleId="1043">
    <w:name w:val="Intense Quote"/>
    <w:basedOn w:val="1010"/>
    <w:next w:val="1010"/>
    <w:link w:val="10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4" w:customStyle="1">
    <w:name w:val="明显引用 字符"/>
    <w:link w:val="1043"/>
    <w:uiPriority w:val="30"/>
    <w:rPr>
      <w:i/>
    </w:rPr>
  </w:style>
  <w:style w:type="paragraph" w:styleId="1045">
    <w:name w:val="Header"/>
    <w:basedOn w:val="1010"/>
    <w:link w:val="1223"/>
    <w:qFormat/>
    <w:pPr>
      <w:jc w:val="center"/>
      <w:tabs>
        <w:tab w:val="center" w:pos="4153" w:leader="none"/>
        <w:tab w:val="right" w:pos="8306" w:leader="none"/>
      </w:tabs>
      <w:pBdr>
        <w:bottom w:val="single" w:color="000000" w:sz="6" w:space="1"/>
      </w:pBdr>
    </w:pPr>
    <w:rPr>
      <w:sz w:val="18"/>
      <w:szCs w:val="18"/>
    </w:rPr>
  </w:style>
  <w:style w:type="character" w:styleId="1046" w:customStyle="1">
    <w:name w:val="Header Char"/>
    <w:uiPriority w:val="99"/>
  </w:style>
  <w:style w:type="paragraph" w:styleId="1047">
    <w:name w:val="Footer"/>
    <w:basedOn w:val="1010"/>
    <w:link w:val="1222"/>
    <w:qFormat/>
    <w:pPr>
      <w:jc w:val="left"/>
      <w:tabs>
        <w:tab w:val="center" w:pos="4153" w:leader="none"/>
        <w:tab w:val="right" w:pos="8306" w:leader="none"/>
      </w:tabs>
    </w:pPr>
    <w:rPr>
      <w:rFonts w:ascii="宋体"/>
      <w:sz w:val="18"/>
      <w:szCs w:val="20"/>
    </w:rPr>
  </w:style>
  <w:style w:type="character" w:styleId="1048" w:customStyle="1">
    <w:name w:val="Footer Char"/>
    <w:uiPriority w:val="99"/>
  </w:style>
  <w:style w:type="paragraph" w:styleId="1049">
    <w:name w:val="Caption"/>
    <w:basedOn w:val="1010"/>
    <w:next w:val="1010"/>
    <w:link w:val="1724"/>
    <w:qFormat/>
    <w:pPr>
      <w:spacing w:line="480" w:lineRule="auto"/>
    </w:pPr>
    <w:rPr>
      <w:rFonts w:ascii="华文中宋" w:hAnsi="华文中宋" w:eastAsia="华文中宋"/>
      <w:sz w:val="36"/>
      <w:szCs w:val="20"/>
    </w:rPr>
  </w:style>
  <w:style w:type="character" w:styleId="1050" w:customStyle="1">
    <w:name w:val="Caption Char"/>
    <w:uiPriority w:val="99"/>
  </w:style>
  <w:style w:type="table" w:styleId="1051">
    <w:name w:val="Table Grid"/>
    <w:basedOn w:val="1021"/>
    <w:uiPriority w:val="39"/>
    <w:qFormat/>
    <w:tblPr/>
  </w:style>
  <w:style w:type="table" w:styleId="1052"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3">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4">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55">
    <w:name w:val="Plain Table 3"/>
    <w:uiPriority w:val="99"/>
    <w:tblPr>
      <w:tblStyleRowBandSize w:val="1"/>
      <w:tblStyleColBandSize w:val="1"/>
      <w:tblInd w:w="0" w:type="dxa"/>
      <w:tblCellMar>
        <w:left w:w="0" w:type="dxa"/>
        <w:top w:w="0" w:type="dxa"/>
        <w:right w:w="0" w:type="dxa"/>
        <w:bottom w:w="0" w:type="dxa"/>
      </w:tblCellMar>
    </w:tblPr>
  </w:style>
  <w:style w:type="table" w:styleId="1056">
    <w:name w:val="Plain Table 4"/>
    <w:uiPriority w:val="99"/>
    <w:tblPr>
      <w:tblStyleRowBandSize w:val="1"/>
      <w:tblStyleColBandSize w:val="1"/>
      <w:tblInd w:w="0" w:type="dxa"/>
      <w:tblCellMar>
        <w:left w:w="0" w:type="dxa"/>
        <w:top w:w="0" w:type="dxa"/>
        <w:right w:w="0" w:type="dxa"/>
        <w:bottom w:w="0" w:type="dxa"/>
      </w:tblCellMar>
    </w:tblPr>
  </w:style>
  <w:style w:type="table" w:styleId="1057">
    <w:name w:val="Plain Table 5"/>
    <w:uiPriority w:val="99"/>
    <w:tblPr>
      <w:tblStyleRowBandSize w:val="1"/>
      <w:tblStyleColBandSize w:val="1"/>
      <w:tblInd w:w="0" w:type="dxa"/>
      <w:tblCellMar>
        <w:left w:w="0" w:type="dxa"/>
        <w:top w:w="0" w:type="dxa"/>
        <w:right w:w="0" w:type="dxa"/>
        <w:bottom w:w="0" w:type="dxa"/>
      </w:tblCellMar>
    </w:tblPr>
  </w:style>
  <w:style w:type="table" w:styleId="1058">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59"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0"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1"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2"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3"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4"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65">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6"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7"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8"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9"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0"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1"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2">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73"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74"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5"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6"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7"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8"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9">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80"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81"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82"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83"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84"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5"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6">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087"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088"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089"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090"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091"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092"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093">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94"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95"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6"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7"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8"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9"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0">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01"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02"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3"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4"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5"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06"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07">
    <w:name w:val="List Table 1 Light"/>
    <w:uiPriority w:val="99"/>
    <w:tblPr>
      <w:tblStyleRowBandSize w:val="1"/>
      <w:tblStyleColBandSize w:val="1"/>
      <w:tblInd w:w="0" w:type="dxa"/>
      <w:tblCellMar>
        <w:left w:w="0" w:type="dxa"/>
        <w:top w:w="0" w:type="dxa"/>
        <w:right w:w="0" w:type="dxa"/>
        <w:bottom w:w="0" w:type="dxa"/>
      </w:tblCellMar>
    </w:tblPr>
  </w:style>
  <w:style w:type="table" w:styleId="1108"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109"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110"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111"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112"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113"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114">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15"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16"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17"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18"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19"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20"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2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22"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23"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24"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25"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26"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27"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28">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29"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30"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31"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32"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33"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34"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35">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36"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37"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38"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39"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40"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41"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42">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43"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44"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45"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46"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47"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48"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49">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50"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51"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52"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53"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54"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55"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56"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5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5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5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6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6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6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63"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64"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65"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66"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67"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68"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69"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70"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71"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72"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73"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74"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75"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76"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77">
    <w:name w:val="Hyperlink"/>
    <w:uiPriority w:val="99"/>
    <w:qFormat/>
    <w:rPr>
      <w:color w:val="0000ff"/>
      <w:u w:val="single"/>
    </w:rPr>
  </w:style>
  <w:style w:type="paragraph" w:styleId="1178">
    <w:name w:val="footnote text"/>
    <w:basedOn w:val="1010"/>
    <w:link w:val="1226"/>
    <w:qFormat/>
    <w:pPr>
      <w:jc w:val="left"/>
    </w:pPr>
    <w:rPr>
      <w:sz w:val="18"/>
      <w:szCs w:val="20"/>
    </w:rPr>
  </w:style>
  <w:style w:type="character" w:styleId="1179" w:customStyle="1">
    <w:name w:val="Footnote Text Char"/>
    <w:uiPriority w:val="99"/>
    <w:rPr>
      <w:sz w:val="18"/>
    </w:rPr>
  </w:style>
  <w:style w:type="character" w:styleId="1180">
    <w:name w:val="footnote reference"/>
    <w:qFormat/>
    <w:rPr>
      <w:rFonts w:cs="Times New Roman"/>
      <w:vertAlign w:val="superscript"/>
    </w:rPr>
  </w:style>
  <w:style w:type="paragraph" w:styleId="1181">
    <w:name w:val="endnote text"/>
    <w:basedOn w:val="1010"/>
    <w:link w:val="1219"/>
    <w:qFormat/>
    <w:pPr>
      <w:jc w:val="left"/>
    </w:pPr>
    <w:rPr>
      <w:sz w:val="24"/>
    </w:rPr>
  </w:style>
  <w:style w:type="character" w:styleId="1182" w:customStyle="1">
    <w:name w:val="Endnote Text Char"/>
    <w:uiPriority w:val="99"/>
    <w:rPr>
      <w:sz w:val="20"/>
    </w:rPr>
  </w:style>
  <w:style w:type="character" w:styleId="1183">
    <w:name w:val="endnote reference"/>
    <w:qFormat/>
    <w:rPr>
      <w:rFonts w:cs="Times New Roman"/>
      <w:vertAlign w:val="superscript"/>
    </w:rPr>
  </w:style>
  <w:style w:type="paragraph" w:styleId="1184">
    <w:name w:val="TOC Heading"/>
    <w:uiPriority w:val="39"/>
    <w:unhideWhenUsed/>
  </w:style>
  <w:style w:type="paragraph" w:styleId="1185">
    <w:name w:val="table of figures"/>
    <w:basedOn w:val="1010"/>
    <w:next w:val="1010"/>
    <w:uiPriority w:val="99"/>
    <w:unhideWhenUsed/>
  </w:style>
  <w:style w:type="character" w:styleId="1186" w:customStyle="1">
    <w:name w:val="标题 3 字符2"/>
    <w:link w:val="1013"/>
    <w:qFormat/>
    <w:rPr>
      <w:rFonts w:ascii="宋体" w:eastAsia="宋体"/>
      <w:b/>
      <w:sz w:val="24"/>
      <w:u w:val="single"/>
      <w:lang w:val="en-US" w:eastAsia="zh-CN" w:bidi="ar-SA"/>
    </w:rPr>
  </w:style>
  <w:style w:type="character" w:styleId="1187" w:customStyle="1">
    <w:name w:val="标题 1 字符2"/>
    <w:link w:val="1011"/>
    <w:qFormat/>
    <w:rPr>
      <w:rFonts w:ascii="宋体"/>
      <w:b/>
      <w:sz w:val="32"/>
    </w:rPr>
  </w:style>
  <w:style w:type="character" w:styleId="1188" w:customStyle="1">
    <w:name w:val="标题 2 字符2"/>
    <w:link w:val="1012"/>
    <w:qFormat/>
    <w:rPr>
      <w:rFonts w:ascii="Arial" w:hAnsi="Arial" w:eastAsia="黑体"/>
      <w:b/>
      <w:sz w:val="30"/>
      <w:lang w:val="en-US" w:eastAsia="zh-CN" w:bidi="ar-SA"/>
    </w:rPr>
  </w:style>
  <w:style w:type="paragraph" w:styleId="1189">
    <w:name w:val="Normal Indent"/>
    <w:basedOn w:val="1010"/>
    <w:link w:val="1190"/>
    <w:qFormat/>
    <w:pPr>
      <w:ind w:firstLine="420"/>
      <w:jc w:val="left"/>
    </w:pPr>
    <w:rPr>
      <w:rFonts w:ascii="宋体"/>
      <w:sz w:val="24"/>
    </w:rPr>
  </w:style>
  <w:style w:type="character" w:styleId="1190" w:customStyle="1">
    <w:name w:val="正文缩进 字符2"/>
    <w:link w:val="1189"/>
    <w:qFormat/>
    <w:rPr>
      <w:rFonts w:ascii="宋体" w:eastAsia="宋体"/>
      <w:sz w:val="24"/>
      <w:szCs w:val="24"/>
      <w:lang w:val="en-US" w:eastAsia="zh-CN" w:bidi="ar-SA"/>
    </w:rPr>
  </w:style>
  <w:style w:type="character" w:styleId="1191" w:customStyle="1">
    <w:name w:val="标题 4 字符2"/>
    <w:link w:val="1014"/>
    <w:qFormat/>
    <w:rPr>
      <w:rFonts w:ascii="Arial" w:hAnsi="Arial" w:eastAsia="黑体"/>
      <w:b/>
      <w:sz w:val="28"/>
    </w:rPr>
  </w:style>
  <w:style w:type="character" w:styleId="1192" w:customStyle="1">
    <w:name w:val="标题 5 字符2"/>
    <w:link w:val="1015"/>
    <w:qFormat/>
    <w:rPr>
      <w:b/>
      <w:sz w:val="28"/>
    </w:rPr>
  </w:style>
  <w:style w:type="character" w:styleId="1193" w:customStyle="1">
    <w:name w:val="标题 6 字符2"/>
    <w:link w:val="1016"/>
    <w:qFormat/>
    <w:rPr>
      <w:rFonts w:ascii="Arial" w:hAnsi="Arial" w:eastAsia="黑体"/>
      <w:b/>
      <w:sz w:val="24"/>
    </w:rPr>
  </w:style>
  <w:style w:type="character" w:styleId="1194" w:customStyle="1">
    <w:name w:val="标题 7 字符2"/>
    <w:link w:val="1017"/>
    <w:qFormat/>
    <w:rPr>
      <w:b/>
      <w:sz w:val="24"/>
    </w:rPr>
  </w:style>
  <w:style w:type="character" w:styleId="1195" w:customStyle="1">
    <w:name w:val="标题 8 字符2"/>
    <w:link w:val="1018"/>
    <w:qFormat/>
    <w:rPr>
      <w:rFonts w:ascii="Arial" w:hAnsi="Arial" w:eastAsia="黑体"/>
      <w:sz w:val="24"/>
    </w:rPr>
  </w:style>
  <w:style w:type="character" w:styleId="1196" w:customStyle="1">
    <w:name w:val="标题 9 字符2"/>
    <w:link w:val="1019"/>
    <w:qFormat/>
    <w:rPr>
      <w:rFonts w:ascii="Arial" w:hAnsi="Arial" w:eastAsia="黑体"/>
      <w:sz w:val="21"/>
    </w:rPr>
  </w:style>
  <w:style w:type="paragraph" w:styleId="1197">
    <w:name w:val="toc 7"/>
    <w:basedOn w:val="1010"/>
    <w:next w:val="1010"/>
    <w:qFormat/>
    <w:pPr>
      <w:ind w:left="2520"/>
    </w:pPr>
  </w:style>
  <w:style w:type="paragraph" w:styleId="1198">
    <w:name w:val="Document Map"/>
    <w:basedOn w:val="1010"/>
    <w:link w:val="1199"/>
    <w:qFormat/>
    <w:pPr>
      <w:shd w:val="clear" w:color="auto" w:fill="000080"/>
    </w:pPr>
  </w:style>
  <w:style w:type="character" w:styleId="1199" w:customStyle="1">
    <w:name w:val="文档结构图 字符1"/>
    <w:link w:val="1198"/>
    <w:qFormat/>
    <w:rPr>
      <w:sz w:val="21"/>
      <w:szCs w:val="24"/>
      <w:shd w:val="clear" w:color="auto" w:fill="000080"/>
    </w:rPr>
  </w:style>
  <w:style w:type="paragraph" w:styleId="1200">
    <w:name w:val="annotation text"/>
    <w:basedOn w:val="1010"/>
    <w:link w:val="1201"/>
    <w:uiPriority w:val="99"/>
    <w:qFormat/>
    <w:pPr>
      <w:jc w:val="left"/>
    </w:pPr>
  </w:style>
  <w:style w:type="character" w:styleId="1201" w:customStyle="1">
    <w:name w:val="批注文字 字符2"/>
    <w:link w:val="1200"/>
    <w:qFormat/>
    <w:rPr>
      <w:sz w:val="21"/>
      <w:szCs w:val="24"/>
    </w:rPr>
  </w:style>
  <w:style w:type="paragraph" w:styleId="1202">
    <w:name w:val="Body Text 3"/>
    <w:basedOn w:val="1010"/>
    <w:link w:val="1203"/>
    <w:qFormat/>
    <w:pPr>
      <w:spacing w:after="120"/>
    </w:pPr>
    <w:rPr>
      <w:sz w:val="16"/>
      <w:szCs w:val="16"/>
    </w:rPr>
  </w:style>
  <w:style w:type="character" w:styleId="1203" w:customStyle="1">
    <w:name w:val="正文文本 3 字符3"/>
    <w:link w:val="1202"/>
    <w:qFormat/>
    <w:rPr>
      <w:sz w:val="16"/>
      <w:szCs w:val="16"/>
    </w:rPr>
  </w:style>
  <w:style w:type="paragraph" w:styleId="1204">
    <w:name w:val="Body Text"/>
    <w:basedOn w:val="1010"/>
    <w:link w:val="1205"/>
    <w:uiPriority w:val="99"/>
    <w:qFormat/>
    <w:pPr>
      <w:spacing w:before="120" w:line="22" w:lineRule="atLeast"/>
      <w:tabs>
        <w:tab w:val="left" w:pos="567" w:leader="none"/>
      </w:tabs>
    </w:pPr>
    <w:rPr>
      <w:rFonts w:ascii="宋体" w:hAnsi="宋体"/>
      <w:sz w:val="24"/>
    </w:rPr>
  </w:style>
  <w:style w:type="character" w:styleId="1205" w:customStyle="1">
    <w:name w:val="正文文本 字符3"/>
    <w:link w:val="1204"/>
    <w:uiPriority w:val="99"/>
    <w:qFormat/>
    <w:rPr>
      <w:rFonts w:ascii="宋体" w:hAnsi="宋体"/>
      <w:sz w:val="24"/>
      <w:szCs w:val="24"/>
    </w:rPr>
  </w:style>
  <w:style w:type="paragraph" w:styleId="1206">
    <w:name w:val="Body Text Indent"/>
    <w:basedOn w:val="1010"/>
    <w:link w:val="1207"/>
    <w:qFormat/>
    <w:pPr>
      <w:ind w:firstLine="570"/>
      <w:spacing w:line="360" w:lineRule="auto"/>
    </w:pPr>
    <w:rPr>
      <w:sz w:val="24"/>
    </w:rPr>
  </w:style>
  <w:style w:type="character" w:styleId="1207" w:customStyle="1">
    <w:name w:val="正文文本缩进 字符2"/>
    <w:link w:val="1206"/>
    <w:qFormat/>
    <w:rPr>
      <w:rFonts w:eastAsia="宋体"/>
      <w:sz w:val="24"/>
      <w:szCs w:val="24"/>
      <w:lang w:val="en-US" w:eastAsia="zh-CN" w:bidi="ar-SA"/>
    </w:rPr>
  </w:style>
  <w:style w:type="paragraph" w:styleId="1208">
    <w:name w:val="List 2"/>
    <w:basedOn w:val="1010"/>
    <w:qFormat/>
    <w:pPr>
      <w:ind w:left="100" w:hanging="200"/>
    </w:pPr>
  </w:style>
  <w:style w:type="paragraph" w:styleId="1209">
    <w:name w:val="Block Text"/>
    <w:basedOn w:val="1010"/>
    <w:qFormat/>
    <w:pPr>
      <w:ind w:left="480" w:right="-341" w:firstLine="513"/>
      <w:widowControl/>
    </w:pPr>
    <w:rPr>
      <w:sz w:val="24"/>
      <w:szCs w:val="20"/>
    </w:rPr>
  </w:style>
  <w:style w:type="paragraph" w:styleId="1210">
    <w:name w:val="toc 5"/>
    <w:basedOn w:val="1010"/>
    <w:next w:val="1010"/>
    <w:qFormat/>
    <w:pPr>
      <w:ind w:left="1680"/>
    </w:pPr>
  </w:style>
  <w:style w:type="paragraph" w:styleId="1211">
    <w:name w:val="toc 3"/>
    <w:basedOn w:val="1010"/>
    <w:next w:val="1010"/>
    <w:qFormat/>
    <w:pPr>
      <w:ind w:left="840"/>
    </w:pPr>
  </w:style>
  <w:style w:type="paragraph" w:styleId="1212">
    <w:name w:val="Plain Text"/>
    <w:basedOn w:val="1010"/>
    <w:link w:val="1213"/>
    <w:uiPriority w:val="99"/>
    <w:qFormat/>
    <w:rPr>
      <w:rFonts w:hint="eastAsia" w:ascii="宋体" w:hAnsi="Courier New"/>
      <w:szCs w:val="20"/>
    </w:rPr>
  </w:style>
  <w:style w:type="character" w:styleId="1213" w:customStyle="1">
    <w:name w:val="纯文本 字符2"/>
    <w:link w:val="1212"/>
    <w:qFormat/>
    <w:rPr>
      <w:rFonts w:hint="eastAsia" w:ascii="宋体" w:hAnsi="Courier New" w:eastAsia="宋体" w:cs="宋体"/>
      <w:sz w:val="21"/>
    </w:rPr>
  </w:style>
  <w:style w:type="paragraph" w:styleId="1214">
    <w:name w:val="toc 8"/>
    <w:basedOn w:val="1010"/>
    <w:next w:val="1010"/>
    <w:qFormat/>
    <w:pPr>
      <w:ind w:left="2940"/>
    </w:pPr>
  </w:style>
  <w:style w:type="paragraph" w:styleId="1215">
    <w:name w:val="Date"/>
    <w:basedOn w:val="1010"/>
    <w:next w:val="1010"/>
    <w:link w:val="1216"/>
    <w:qFormat/>
    <w:pPr>
      <w:ind w:left="100"/>
    </w:pPr>
    <w:rPr>
      <w:rFonts w:ascii="仿宋_GB2312" w:hAnsi="宋体" w:eastAsia="仿宋_GB2312"/>
      <w:color w:val="000000"/>
      <w:sz w:val="24"/>
    </w:rPr>
  </w:style>
  <w:style w:type="character" w:styleId="1216" w:customStyle="1">
    <w:name w:val="日期 字符2"/>
    <w:link w:val="1215"/>
    <w:qFormat/>
    <w:rPr>
      <w:rFonts w:ascii="仿宋_GB2312" w:hAnsi="宋体" w:eastAsia="仿宋_GB2312"/>
      <w:color w:val="000000"/>
      <w:sz w:val="24"/>
      <w:szCs w:val="24"/>
    </w:rPr>
  </w:style>
  <w:style w:type="paragraph" w:styleId="1217">
    <w:name w:val="Body Text Indent 2"/>
    <w:basedOn w:val="1010"/>
    <w:link w:val="1218"/>
    <w:qFormat/>
    <w:pPr>
      <w:ind w:firstLine="480"/>
    </w:pPr>
    <w:rPr>
      <w:rFonts w:ascii="仿宋_GB2312" w:eastAsia="仿宋_GB2312"/>
      <w:sz w:val="24"/>
    </w:rPr>
  </w:style>
  <w:style w:type="character" w:styleId="1218" w:customStyle="1">
    <w:name w:val="正文文本缩进 2 字符2"/>
    <w:link w:val="1217"/>
    <w:qFormat/>
    <w:rPr>
      <w:rFonts w:ascii="仿宋_GB2312" w:eastAsia="仿宋_GB2312"/>
      <w:sz w:val="24"/>
      <w:szCs w:val="24"/>
    </w:rPr>
  </w:style>
  <w:style w:type="character" w:styleId="1219" w:customStyle="1">
    <w:name w:val="尾注文本 字符1"/>
    <w:link w:val="1181"/>
    <w:qFormat/>
    <w:rPr>
      <w:sz w:val="24"/>
      <w:szCs w:val="24"/>
    </w:rPr>
  </w:style>
  <w:style w:type="paragraph" w:styleId="1220">
    <w:name w:val="Balloon Text"/>
    <w:basedOn w:val="1010"/>
    <w:link w:val="1221"/>
    <w:qFormat/>
    <w:rPr>
      <w:sz w:val="18"/>
      <w:szCs w:val="18"/>
    </w:rPr>
  </w:style>
  <w:style w:type="character" w:styleId="1221" w:customStyle="1">
    <w:name w:val="批注框文本 字符2"/>
    <w:link w:val="1220"/>
    <w:uiPriority w:val="99"/>
    <w:qFormat/>
    <w:rPr>
      <w:sz w:val="18"/>
      <w:szCs w:val="18"/>
    </w:rPr>
  </w:style>
  <w:style w:type="character" w:styleId="1222" w:customStyle="1">
    <w:name w:val="页脚 字符2"/>
    <w:link w:val="1047"/>
    <w:uiPriority w:val="99"/>
    <w:qFormat/>
    <w:rPr>
      <w:rFonts w:ascii="宋体" w:eastAsia="宋体"/>
      <w:sz w:val="18"/>
      <w:lang w:val="en-US" w:eastAsia="zh-CN" w:bidi="ar-SA"/>
    </w:rPr>
  </w:style>
  <w:style w:type="character" w:styleId="1223" w:customStyle="1">
    <w:name w:val="页眉 字符2"/>
    <w:link w:val="1045"/>
    <w:qFormat/>
    <w:rPr>
      <w:rFonts w:eastAsia="宋体"/>
      <w:sz w:val="18"/>
      <w:szCs w:val="18"/>
      <w:lang w:val="en-US" w:eastAsia="zh-CN" w:bidi="ar-SA"/>
    </w:rPr>
  </w:style>
  <w:style w:type="paragraph" w:styleId="1224">
    <w:name w:val="toc 1"/>
    <w:basedOn w:val="1010"/>
    <w:next w:val="1010"/>
    <w:uiPriority w:val="39"/>
    <w:qFormat/>
    <w:pPr>
      <w:spacing w:line="300" w:lineRule="auto"/>
      <w:tabs>
        <w:tab w:val="left" w:pos="1050" w:leader="none"/>
        <w:tab w:val="right" w:pos="8937" w:leader="dot"/>
      </w:tabs>
    </w:pPr>
    <w:rPr>
      <w:rFonts w:ascii="宋体" w:hAnsi="宋体"/>
      <w:b/>
      <w:sz w:val="24"/>
    </w:rPr>
  </w:style>
  <w:style w:type="paragraph" w:styleId="1225">
    <w:name w:val="toc 4"/>
    <w:basedOn w:val="1010"/>
    <w:next w:val="1010"/>
    <w:qFormat/>
    <w:pPr>
      <w:ind w:left="1260"/>
    </w:pPr>
  </w:style>
  <w:style w:type="character" w:styleId="1226" w:customStyle="1">
    <w:name w:val="脚注文本 字符1"/>
    <w:link w:val="1178"/>
    <w:qFormat/>
    <w:rPr>
      <w:sz w:val="18"/>
    </w:rPr>
  </w:style>
  <w:style w:type="paragraph" w:styleId="1227">
    <w:name w:val="toc 6"/>
    <w:basedOn w:val="1010"/>
    <w:next w:val="1010"/>
    <w:qFormat/>
    <w:pPr>
      <w:ind w:left="2100"/>
    </w:pPr>
  </w:style>
  <w:style w:type="paragraph" w:styleId="1228">
    <w:name w:val="Body Text Indent 3"/>
    <w:basedOn w:val="1010"/>
    <w:link w:val="1229"/>
    <w:qFormat/>
    <w:pPr>
      <w:ind w:left="720" w:firstLine="480"/>
      <w:jc w:val="left"/>
      <w:spacing w:before="120" w:line="22" w:lineRule="atLeast"/>
    </w:pPr>
    <w:rPr>
      <w:rFonts w:ascii="宋体"/>
      <w:sz w:val="24"/>
      <w:szCs w:val="20"/>
    </w:rPr>
  </w:style>
  <w:style w:type="character" w:styleId="1229" w:customStyle="1">
    <w:name w:val="正文文本缩进 3 字符3"/>
    <w:link w:val="1228"/>
    <w:qFormat/>
    <w:rPr>
      <w:rFonts w:ascii="宋体"/>
      <w:sz w:val="24"/>
    </w:rPr>
  </w:style>
  <w:style w:type="paragraph" w:styleId="1230">
    <w:name w:val="toc 2"/>
    <w:basedOn w:val="1010"/>
    <w:next w:val="1010"/>
    <w:uiPriority w:val="39"/>
    <w:qFormat/>
    <w:pPr>
      <w:ind w:left="420"/>
      <w:spacing w:line="312" w:lineRule="auto"/>
      <w:tabs>
        <w:tab w:val="right" w:pos="8937" w:leader="dot"/>
      </w:tabs>
    </w:pPr>
  </w:style>
  <w:style w:type="paragraph" w:styleId="1231">
    <w:name w:val="toc 9"/>
    <w:basedOn w:val="1010"/>
    <w:next w:val="1010"/>
    <w:qFormat/>
    <w:pPr>
      <w:ind w:left="3360"/>
    </w:pPr>
  </w:style>
  <w:style w:type="paragraph" w:styleId="1232">
    <w:name w:val="Body Text 2"/>
    <w:basedOn w:val="1010"/>
    <w:link w:val="1233"/>
    <w:qFormat/>
    <w:rPr>
      <w:rFonts w:ascii="宋体"/>
      <w:b/>
      <w:sz w:val="24"/>
      <w:szCs w:val="20"/>
    </w:rPr>
  </w:style>
  <w:style w:type="character" w:styleId="1233" w:customStyle="1">
    <w:name w:val="正文文本 2 字符1"/>
    <w:link w:val="1232"/>
    <w:qFormat/>
    <w:rPr>
      <w:rFonts w:ascii="宋体"/>
      <w:b/>
      <w:sz w:val="24"/>
    </w:rPr>
  </w:style>
  <w:style w:type="paragraph" w:styleId="1234">
    <w:name w:val="HTML Preformatted"/>
    <w:basedOn w:val="1010"/>
    <w:link w:val="12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35" w:customStyle="1">
    <w:name w:val="HTML 预设格式 字符"/>
    <w:link w:val="1234"/>
    <w:qFormat/>
    <w:rPr>
      <w:rFonts w:ascii="宋体" w:hAnsi="宋体" w:cs="宋体"/>
      <w:sz w:val="24"/>
      <w:szCs w:val="24"/>
    </w:rPr>
  </w:style>
  <w:style w:type="paragraph" w:styleId="1236">
    <w:name w:val="Normal (Web)"/>
    <w:basedOn w:val="1010"/>
    <w:link w:val="1237"/>
    <w:uiPriority w:val="99"/>
    <w:unhideWhenUsed/>
    <w:qFormat/>
    <w:pPr>
      <w:jc w:val="left"/>
      <w:spacing w:before="100" w:beforeAutospacing="1" w:after="100" w:afterAutospacing="1"/>
      <w:widowControl/>
    </w:pPr>
    <w:rPr>
      <w:rFonts w:ascii="宋体" w:hAnsi="宋体" w:cs="宋体"/>
      <w:sz w:val="24"/>
    </w:rPr>
  </w:style>
  <w:style w:type="character" w:styleId="1237" w:customStyle="1">
    <w:name w:val="普通(网站) 字符"/>
    <w:link w:val="1236"/>
    <w:qFormat/>
    <w:rPr>
      <w:rFonts w:ascii="宋体" w:hAnsi="宋体" w:cs="宋体"/>
      <w:sz w:val="24"/>
      <w:szCs w:val="24"/>
    </w:rPr>
  </w:style>
  <w:style w:type="paragraph" w:styleId="1238">
    <w:name w:val="index 1"/>
    <w:basedOn w:val="1010"/>
    <w:next w:val="1010"/>
    <w:qFormat/>
    <w:rPr>
      <w:szCs w:val="20"/>
    </w:rPr>
  </w:style>
  <w:style w:type="paragraph" w:styleId="1239">
    <w:name w:val="index 2"/>
    <w:basedOn w:val="1010"/>
    <w:next w:val="1010"/>
    <w:uiPriority w:val="99"/>
    <w:qFormat/>
    <w:pPr>
      <w:ind w:left="200"/>
    </w:pPr>
    <w:rPr>
      <w:rFonts w:ascii="Calibri" w:hAnsi="Calibri"/>
      <w:szCs w:val="20"/>
    </w:rPr>
  </w:style>
  <w:style w:type="character" w:styleId="1240" w:customStyle="1">
    <w:name w:val="标题 字符4"/>
    <w:link w:val="1037"/>
    <w:qFormat/>
    <w:rPr>
      <w:b/>
      <w:sz w:val="32"/>
    </w:rPr>
  </w:style>
  <w:style w:type="paragraph" w:styleId="1241">
    <w:name w:val="annotation subject"/>
    <w:basedOn w:val="1200"/>
    <w:next w:val="1200"/>
    <w:link w:val="1242"/>
    <w:qFormat/>
    <w:rPr>
      <w:b/>
      <w:bCs/>
    </w:rPr>
  </w:style>
  <w:style w:type="character" w:styleId="1242" w:customStyle="1">
    <w:name w:val="批注主题 字符3"/>
    <w:link w:val="1241"/>
    <w:uiPriority w:val="99"/>
    <w:qFormat/>
    <w:rPr>
      <w:rFonts w:ascii="Times New Roman" w:hAnsi="Times New Roman" w:eastAsia="宋体" w:cs="Times New Roman"/>
      <w:b/>
      <w:bCs/>
      <w:sz w:val="21"/>
      <w:szCs w:val="24"/>
      <w:lang w:val="en-US" w:eastAsia="zh-CN" w:bidi="ar-SA"/>
    </w:rPr>
  </w:style>
  <w:style w:type="paragraph" w:styleId="1243">
    <w:name w:val="Body Text First Indent"/>
    <w:basedOn w:val="1204"/>
    <w:link w:val="1244"/>
    <w:qFormat/>
    <w:pPr>
      <w:ind w:firstLine="420"/>
      <w:spacing w:before="0" w:after="120" w:line="240" w:lineRule="auto"/>
      <w:tabs>
        <w:tab w:val="clear" w:pos="567" w:leader="none"/>
      </w:tabs>
    </w:pPr>
    <w:rPr>
      <w:rFonts w:ascii="Times New Roman" w:hAnsi="Times New Roman"/>
      <w:sz w:val="21"/>
      <w:szCs w:val="20"/>
    </w:rPr>
  </w:style>
  <w:style w:type="character" w:styleId="1244" w:customStyle="1">
    <w:name w:val="正文文本首行缩进 字符"/>
    <w:link w:val="1243"/>
    <w:qFormat/>
    <w:rPr>
      <w:rFonts w:ascii="宋体" w:hAnsi="宋体"/>
      <w:sz w:val="21"/>
      <w:szCs w:val="24"/>
    </w:rPr>
  </w:style>
  <w:style w:type="paragraph" w:styleId="1245">
    <w:name w:val="Body Text First Indent 2"/>
    <w:basedOn w:val="1206"/>
    <w:link w:val="1246"/>
    <w:uiPriority w:val="99"/>
    <w:qFormat/>
    <w:pPr>
      <w:ind w:left="420" w:firstLine="420"/>
      <w:spacing w:after="120" w:line="480" w:lineRule="exact"/>
    </w:pPr>
    <w:rPr>
      <w:szCs w:val="20"/>
    </w:rPr>
  </w:style>
  <w:style w:type="character" w:styleId="1246" w:customStyle="1">
    <w:name w:val="正文文本首行缩进 2 字符1"/>
    <w:link w:val="1245"/>
    <w:qFormat/>
    <w:rPr>
      <w:rFonts w:eastAsia="宋体"/>
      <w:sz w:val="24"/>
      <w:szCs w:val="24"/>
      <w:lang w:val="en-US" w:eastAsia="zh-CN" w:bidi="ar-SA"/>
    </w:rPr>
  </w:style>
  <w:style w:type="table" w:styleId="1247">
    <w:name w:val="Medium Grid 1 Accent 2"/>
    <w:basedOn w:val="1021"/>
    <w:qFormat/>
    <w:rPr>
      <w:sz w:val="21"/>
      <w:szCs w:val="24"/>
    </w:rPr>
    <w:tblPr/>
  </w:style>
  <w:style w:type="character" w:styleId="1248">
    <w:name w:val="Strong"/>
    <w:qFormat/>
    <w:rPr>
      <w:b/>
      <w:bCs/>
    </w:rPr>
  </w:style>
  <w:style w:type="character" w:styleId="1249">
    <w:name w:val="page number"/>
    <w:qFormat/>
  </w:style>
  <w:style w:type="character" w:styleId="1250">
    <w:name w:val="FollowedHyperlink"/>
    <w:uiPriority w:val="99"/>
    <w:qFormat/>
    <w:rPr>
      <w:color w:val="800080"/>
      <w:u w:val="single"/>
    </w:rPr>
  </w:style>
  <w:style w:type="character" w:styleId="1251">
    <w:name w:val="Emphasis"/>
    <w:qFormat/>
    <w:rPr>
      <w:color w:val="cc0033"/>
    </w:rPr>
  </w:style>
  <w:style w:type="character" w:styleId="1252">
    <w:name w:val="annotation reference"/>
    <w:qFormat/>
    <w:rPr>
      <w:sz w:val="21"/>
      <w:szCs w:val="21"/>
    </w:rPr>
  </w:style>
  <w:style w:type="character" w:styleId="1253">
    <w:name w:val="HTML Cite"/>
    <w:qFormat/>
    <w:rPr>
      <w:i/>
      <w:iCs/>
    </w:rPr>
  </w:style>
  <w:style w:type="character" w:styleId="1254" w:customStyle="1">
    <w:name w:val="批注文字 字符"/>
    <w:uiPriority w:val="99"/>
    <w:qFormat/>
    <w:rPr>
      <w:rFonts w:ascii="Times New Roman" w:hAnsi="Times New Roman" w:eastAsia="宋体" w:cs="Times New Roman"/>
      <w:sz w:val="24"/>
      <w:lang w:val="en-US" w:eastAsia="zh-CN" w:bidi="ar-SA"/>
    </w:rPr>
  </w:style>
  <w:style w:type="character" w:styleId="1255" w:customStyle="1">
    <w:name w:val="c21"/>
    <w:qFormat/>
    <w:rPr>
      <w:rFonts w:ascii="ˎ̥" w:hAnsi="ˎ̥"/>
      <w:color w:val="000000"/>
      <w:sz w:val="20"/>
      <w:szCs w:val="20"/>
      <w:u w:val="none"/>
    </w:rPr>
  </w:style>
  <w:style w:type="character" w:styleId="1256" w:customStyle="1">
    <w:name w:val="title4"/>
    <w:qFormat/>
    <w:rPr>
      <w:b/>
      <w:bCs/>
      <w:color w:val="1d87b3"/>
      <w:sz w:val="15"/>
      <w:szCs w:val="15"/>
    </w:rPr>
  </w:style>
  <w:style w:type="character" w:styleId="1257" w:customStyle="1">
    <w:name w:val="标题 2 Char Char"/>
    <w:qFormat/>
    <w:rPr>
      <w:rFonts w:ascii="Arial" w:hAnsi="Arial" w:eastAsia="黑体"/>
      <w:b/>
      <w:bCs/>
      <w:sz w:val="32"/>
      <w:szCs w:val="32"/>
      <w:lang w:val="en-US" w:eastAsia="zh-CN" w:bidi="ar-SA"/>
    </w:rPr>
  </w:style>
  <w:style w:type="character" w:styleId="1258" w:customStyle="1">
    <w:name w:val="black1"/>
    <w:qFormat/>
    <w:rPr>
      <w:color w:val="000000"/>
    </w:rPr>
  </w:style>
  <w:style w:type="character" w:styleId="1259" w:customStyle="1">
    <w:name w:val="street-address"/>
    <w:qFormat/>
  </w:style>
  <w:style w:type="character" w:styleId="1260" w:customStyle="1">
    <w:name w:val="locality"/>
    <w:qFormat/>
  </w:style>
  <w:style w:type="character" w:styleId="1261" w:customStyle="1">
    <w:name w:val="正文文本缩进 Char1"/>
    <w:link w:val="1262"/>
    <w:qFormat/>
    <w:rPr>
      <w:rFonts w:ascii="宋体" w:hAnsi="宋体" w:eastAsia="宋体"/>
      <w:sz w:val="24"/>
      <w:szCs w:val="24"/>
      <w:lang w:bidi="ar-SA"/>
    </w:rPr>
  </w:style>
  <w:style w:type="paragraph" w:styleId="1262" w:customStyle="1">
    <w:name w:val="正文文本缩进1"/>
    <w:basedOn w:val="1010"/>
    <w:link w:val="1261"/>
    <w:qFormat/>
    <w:pPr>
      <w:ind w:firstLine="480"/>
      <w:spacing w:line="480" w:lineRule="exact"/>
    </w:pPr>
    <w:rPr>
      <w:rFonts w:ascii="宋体" w:hAnsi="宋体"/>
      <w:sz w:val="24"/>
    </w:rPr>
  </w:style>
  <w:style w:type="character" w:styleId="1263" w:customStyle="1">
    <w:name w:val="Char Char11"/>
    <w:qFormat/>
    <w:rPr>
      <w:rFonts w:ascii="宋体" w:eastAsia="宋体"/>
      <w:b/>
      <w:sz w:val="24"/>
      <w:u w:val="single"/>
      <w:lang w:val="en-US" w:eastAsia="zh-CN" w:bidi="ar-SA"/>
    </w:rPr>
  </w:style>
  <w:style w:type="character" w:styleId="1264" w:customStyle="1">
    <w:name w:val="txt"/>
    <w:qFormat/>
  </w:style>
  <w:style w:type="character" w:styleId="1265" w:customStyle="1">
    <w:name w:val="正文缩进 Char Char"/>
    <w:link w:val="1266"/>
    <w:qFormat/>
    <w:rPr>
      <w:rFonts w:ascii="宋体" w:eastAsia="宋体"/>
      <w:color w:val="000000"/>
      <w:sz w:val="28"/>
      <w:lang w:bidi="ar-SA"/>
    </w:rPr>
  </w:style>
  <w:style w:type="paragraph" w:styleId="1266" w:customStyle="1">
    <w:name w:val="正文缩进1"/>
    <w:basedOn w:val="1010"/>
    <w:link w:val="1265"/>
    <w:qFormat/>
    <w:pPr>
      <w:ind w:firstLine="567"/>
      <w:spacing w:line="480" w:lineRule="exact"/>
      <w:widowControl/>
    </w:pPr>
    <w:rPr>
      <w:rFonts w:ascii="宋体"/>
      <w:color w:val="000000"/>
      <w:sz w:val="28"/>
      <w:szCs w:val="20"/>
    </w:rPr>
  </w:style>
  <w:style w:type="character" w:styleId="1267" w:customStyle="1">
    <w:name w:val="普通文字1 Char1"/>
    <w:qFormat/>
    <w:rPr>
      <w:rFonts w:ascii="宋体" w:hAnsi="Courier New" w:eastAsia="宋体"/>
      <w:sz w:val="21"/>
      <w:lang w:val="en-US" w:eastAsia="zh-CN" w:bidi="ar-SA"/>
    </w:rPr>
  </w:style>
  <w:style w:type="character" w:styleId="1268" w:customStyle="1">
    <w:name w:val="chanpin1"/>
    <w:qFormat/>
    <w:rPr>
      <w:rFonts w:ascii="ˎ̥" w:hAnsi="ˎ̥"/>
      <w:color w:val="000000"/>
      <w:sz w:val="20"/>
      <w:szCs w:val="20"/>
      <w:u w:val="none"/>
    </w:rPr>
  </w:style>
  <w:style w:type="character" w:styleId="1269" w:customStyle="1">
    <w:name w:val="列表段落 字符"/>
    <w:link w:val="1035"/>
    <w:uiPriority w:val="34"/>
    <w:qFormat/>
    <w:rPr>
      <w:rFonts w:ascii="Calibri" w:hAnsi="Calibri" w:eastAsia="宋体"/>
      <w:sz w:val="21"/>
      <w:szCs w:val="22"/>
      <w:lang w:val="en-US" w:eastAsia="zh-CN" w:bidi="ar-SA"/>
    </w:rPr>
  </w:style>
  <w:style w:type="character" w:styleId="1270" w:customStyle="1">
    <w:name w:val="标题 3 Char Char"/>
    <w:qFormat/>
    <w:rPr>
      <w:rFonts w:eastAsia="宋体"/>
      <w:b/>
      <w:bCs/>
      <w:sz w:val="32"/>
      <w:szCs w:val="32"/>
      <w:lang w:val="en-US" w:eastAsia="zh-CN" w:bidi="ar-SA"/>
    </w:rPr>
  </w:style>
  <w:style w:type="character" w:styleId="1271" w:customStyle="1">
    <w:name w:val="段1 Char"/>
    <w:qFormat/>
    <w:rPr>
      <w:rFonts w:ascii="宋体" w:eastAsia="宋体"/>
      <w:sz w:val="24"/>
      <w:lang w:val="en-US" w:eastAsia="zh-CN" w:bidi="ar-SA"/>
    </w:rPr>
  </w:style>
  <w:style w:type="character" w:styleId="1272" w:customStyle="1">
    <w:name w:val="chanpin拷贝"/>
    <w:qFormat/>
  </w:style>
  <w:style w:type="character" w:styleId="1273" w:customStyle="1">
    <w:name w:val="纯文本 Char1"/>
    <w:qFormat/>
    <w:rPr>
      <w:rFonts w:ascii="宋体" w:hAnsi="Courier New" w:eastAsia="宋体"/>
      <w:sz w:val="21"/>
      <w:lang w:val="en-US" w:eastAsia="zh-CN" w:bidi="ar-SA"/>
    </w:rPr>
  </w:style>
  <w:style w:type="character" w:styleId="1274" w:customStyle="1">
    <w:name w:val="apple-style-span"/>
    <w:uiPriority w:val="99"/>
    <w:qFormat/>
    <w:rPr>
      <w:rFonts w:cs="Times New Roman"/>
    </w:rPr>
  </w:style>
  <w:style w:type="paragraph" w:styleId="1275" w:customStyle="1">
    <w:name w:val="二级条标题"/>
    <w:basedOn w:val="1276"/>
    <w:next w:val="1010"/>
    <w:qFormat/>
    <w:pPr>
      <w:numPr>
        <w:ilvl w:val="0"/>
        <w:numId w:val="0"/>
      </w:numPr>
      <w:ind w:hanging="840"/>
      <w:outlineLvl w:val="2"/>
    </w:pPr>
    <w:rPr>
      <w:rFonts w:ascii="宋体" w:eastAsia="宋体"/>
      <w:b w:val="0"/>
    </w:rPr>
  </w:style>
  <w:style w:type="paragraph" w:styleId="1276" w:customStyle="1">
    <w:name w:val="一级条标题"/>
    <w:basedOn w:val="1277"/>
    <w:next w:val="1010"/>
    <w:qFormat/>
    <w:pPr>
      <w:numPr>
        <w:ilvl w:val="1"/>
      </w:numPr>
      <w:ind w:left="0" w:hanging="840"/>
      <w:tabs>
        <w:tab w:val="left" w:pos="360" w:leader="none"/>
        <w:tab w:val="left" w:pos="840" w:leader="none"/>
      </w:tabs>
      <w:outlineLvl w:val="1"/>
    </w:pPr>
  </w:style>
  <w:style w:type="paragraph" w:styleId="1277" w:customStyle="1">
    <w:name w:val="章标题"/>
    <w:next w:val="1010"/>
    <w:qFormat/>
    <w:pPr>
      <w:numPr>
        <w:numId w:val="1"/>
      </w:numPr>
      <w:ind w:left="0"/>
      <w:jc w:val="both"/>
      <w:spacing w:before="156" w:after="156" w:line="460" w:lineRule="exact"/>
      <w:outlineLvl w:val="0"/>
    </w:pPr>
    <w:rPr>
      <w:rFonts w:ascii="黑体" w:eastAsia="黑体"/>
      <w:b/>
      <w:sz w:val="28"/>
    </w:rPr>
  </w:style>
  <w:style w:type="paragraph" w:styleId="1278" w:customStyle="1">
    <w:name w:val="font7"/>
    <w:basedOn w:val="1010"/>
    <w:qFormat/>
    <w:pPr>
      <w:jc w:val="left"/>
      <w:spacing w:before="100" w:beforeAutospacing="1" w:after="100" w:afterAutospacing="1"/>
      <w:widowControl/>
    </w:pPr>
    <w:rPr>
      <w:rFonts w:eastAsia="Arial Unicode MS"/>
      <w:b/>
      <w:bCs/>
      <w:color w:val="000000"/>
      <w:sz w:val="20"/>
      <w:szCs w:val="20"/>
    </w:rPr>
  </w:style>
  <w:style w:type="paragraph" w:styleId="1279" w:customStyle="1">
    <w:name w:val="字元 字元"/>
    <w:basedOn w:val="1010"/>
    <w:qFormat/>
    <w:rPr>
      <w:rFonts w:ascii="Tahoma" w:hAnsi="Tahoma"/>
      <w:sz w:val="24"/>
      <w:szCs w:val="20"/>
    </w:rPr>
  </w:style>
  <w:style w:type="paragraph" w:styleId="1280" w:customStyle="1">
    <w:name w:val="Char3 Char Char Char"/>
    <w:basedOn w:val="1010"/>
    <w:qFormat/>
    <w:rPr>
      <w:rFonts w:ascii="Tahoma" w:hAnsi="Tahoma"/>
      <w:sz w:val="24"/>
      <w:szCs w:val="20"/>
    </w:rPr>
  </w:style>
  <w:style w:type="paragraph" w:styleId="1281" w:customStyle="1">
    <w:name w:val="font6"/>
    <w:basedOn w:val="1010"/>
    <w:qFormat/>
    <w:pPr>
      <w:jc w:val="left"/>
      <w:spacing w:before="100" w:beforeAutospacing="1" w:after="100" w:afterAutospacing="1"/>
      <w:widowControl/>
    </w:pPr>
    <w:rPr>
      <w:rFonts w:ascii="宋体" w:hAnsi="宋体" w:cs="宋体"/>
      <w:sz w:val="20"/>
      <w:szCs w:val="20"/>
    </w:rPr>
  </w:style>
  <w:style w:type="paragraph" w:styleId="1282" w:customStyle="1">
    <w:name w:val="项目编号2"/>
    <w:basedOn w:val="1283"/>
    <w:qFormat/>
    <w:pPr>
      <w:numPr>
        <w:numId w:val="3"/>
      </w:numPr>
    </w:pPr>
  </w:style>
  <w:style w:type="paragraph" w:styleId="1283" w:customStyle="1">
    <w:name w:val="项目编号1"/>
    <w:basedOn w:val="1010"/>
    <w:qFormat/>
    <w:pPr>
      <w:numPr>
        <w:numId w:val="2"/>
      </w:numPr>
      <w:spacing w:before="100" w:beforeAutospacing="1" w:after="100" w:afterAutospacing="1" w:line="360" w:lineRule="auto"/>
    </w:pPr>
    <w:rPr>
      <w:sz w:val="24"/>
    </w:rPr>
  </w:style>
  <w:style w:type="paragraph" w:styleId="1284" w:customStyle="1">
    <w:name w:val="图中文字"/>
    <w:basedOn w:val="1010"/>
    <w:qFormat/>
    <w:pPr>
      <w:jc w:val="center"/>
      <w:spacing w:line="0" w:lineRule="atLeast"/>
    </w:pPr>
    <w:rPr>
      <w:sz w:val="24"/>
      <w:szCs w:val="20"/>
    </w:rPr>
  </w:style>
  <w:style w:type="paragraph" w:styleId="1285" w:customStyle="1">
    <w:name w:val="xl46"/>
    <w:basedOn w:val="101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6" w:customStyle="1">
    <w:name w:val="xl25"/>
    <w:basedOn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7" w:customStyle="1">
    <w:name w:val="Char2"/>
    <w:basedOn w:val="1010"/>
    <w:qFormat/>
    <w:rPr>
      <w:rFonts w:ascii="Tahoma" w:hAnsi="Tahoma"/>
      <w:sz w:val="24"/>
      <w:szCs w:val="20"/>
    </w:rPr>
  </w:style>
  <w:style w:type="paragraph" w:styleId="1288" w:customStyle="1">
    <w:name w:val="xl35"/>
    <w:basedOn w:val="10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9" w:customStyle="1">
    <w:name w:val="xl40"/>
    <w:basedOn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customStyle="1">
    <w:name w:val="xl52"/>
    <w:basedOn w:val="10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91" w:customStyle="1">
    <w:name w:val="xl43"/>
    <w:basedOn w:val="10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2" w:customStyle="1">
    <w:name w:val="background1"/>
    <w:basedOn w:val="1010"/>
    <w:qFormat/>
    <w:pPr>
      <w:jc w:val="left"/>
      <w:spacing w:before="100" w:beforeAutospacing="1" w:after="100" w:afterAutospacing="1"/>
      <w:widowControl/>
    </w:pPr>
    <w:rPr>
      <w:rFonts w:ascii="宋体" w:hAnsi="宋体" w:cs="宋体"/>
      <w:sz w:val="24"/>
    </w:rPr>
  </w:style>
  <w:style w:type="paragraph" w:styleId="1293" w:customStyle="1">
    <w:name w:val="Char Char Char Char Char Char Char"/>
    <w:basedOn w:val="1010"/>
    <w:qFormat/>
    <w:pPr>
      <w:ind w:firstLine="200"/>
      <w:spacing w:line="360" w:lineRule="auto"/>
    </w:pPr>
    <w:rPr>
      <w:rFonts w:eastAsia="仿宋_GB2312"/>
      <w:sz w:val="24"/>
    </w:rPr>
  </w:style>
  <w:style w:type="paragraph" w:styleId="1294" w:customStyle="1">
    <w:name w:val="xl38"/>
    <w:basedOn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95" w:customStyle="1">
    <w:name w:val="xl36"/>
    <w:basedOn w:val="101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6" w:customStyle="1">
    <w:name w:val="正文 + 宋体"/>
    <w:basedOn w:val="1010"/>
    <w:qFormat/>
    <w:pPr>
      <w:ind w:left="360" w:hanging="360"/>
      <w:jc w:val="left"/>
      <w:widowControl/>
    </w:pPr>
    <w:rPr>
      <w:rFonts w:ascii="宋体" w:hAnsi="宋体" w:cs="宋体"/>
      <w:b/>
      <w:bCs/>
      <w:color w:val="000000"/>
      <w:sz w:val="18"/>
      <w:szCs w:val="18"/>
    </w:rPr>
  </w:style>
  <w:style w:type="paragraph" w:styleId="1297" w:customStyle="1">
    <w:name w:val="正文列项_数字"/>
    <w:basedOn w:val="1010"/>
    <w:qFormat/>
    <w:pPr>
      <w:numPr>
        <w:ilvl w:val="7"/>
        <w:numId w:val="1"/>
      </w:numPr>
      <w:ind w:left="680" w:hanging="150"/>
      <w:spacing w:line="460" w:lineRule="exact"/>
      <w:tabs>
        <w:tab w:val="clear" w:pos="860" w:leader="none"/>
      </w:tabs>
      <w:outlineLvl w:val="7"/>
    </w:pPr>
    <w:rPr>
      <w:rFonts w:ascii="宋体"/>
      <w:sz w:val="28"/>
      <w:szCs w:val="20"/>
    </w:rPr>
  </w:style>
  <w:style w:type="paragraph" w:styleId="1298" w:customStyle="1">
    <w:name w:val="xl39"/>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9" w:customStyle="1">
    <w:name w:val="xl37"/>
    <w:basedOn w:val="10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0" w:customStyle="1">
    <w:name w:val="xl32"/>
    <w:basedOn w:val="10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1" w:customStyle="1">
    <w:name w:val="font8"/>
    <w:basedOn w:val="1010"/>
    <w:qFormat/>
    <w:pPr>
      <w:jc w:val="left"/>
      <w:spacing w:before="100" w:beforeAutospacing="1" w:after="100" w:afterAutospacing="1"/>
      <w:widowControl/>
    </w:pPr>
    <w:rPr>
      <w:sz w:val="36"/>
      <w:szCs w:val="36"/>
    </w:rPr>
  </w:style>
  <w:style w:type="paragraph" w:styleId="1302" w:customStyle="1">
    <w:name w:val="Char"/>
    <w:basedOn w:val="1010"/>
    <w:qFormat/>
    <w:pPr>
      <w:tabs>
        <w:tab w:val="left" w:pos="360" w:leader="none"/>
      </w:tabs>
    </w:pPr>
    <w:rPr>
      <w:sz w:val="24"/>
    </w:rPr>
  </w:style>
  <w:style w:type="paragraph" w:styleId="1303" w:customStyle="1">
    <w:name w:val="Char Char Char Char Char Char Char Char Char Char Char Char Char Char Char Char"/>
    <w:basedOn w:val="1010"/>
    <w:qFormat/>
    <w:pPr>
      <w:jc w:val="center"/>
      <w:spacing w:after="160" w:line="240" w:lineRule="exact"/>
      <w:widowControl/>
    </w:pPr>
    <w:rPr>
      <w:rFonts w:ascii="宋体" w:hAnsi="宋体"/>
      <w:b/>
      <w:sz w:val="30"/>
      <w:szCs w:val="30"/>
      <w:lang w:eastAsia="en-US"/>
    </w:rPr>
  </w:style>
  <w:style w:type="paragraph" w:styleId="1304" w:customStyle="1">
    <w:name w:val="xl45"/>
    <w:basedOn w:val="10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5" w:customStyle="1">
    <w:name w:val="Char Char1 Char Char Char Char Char Char"/>
    <w:basedOn w:val="1010"/>
    <w:qFormat/>
    <w:pPr>
      <w:jc w:val="left"/>
      <w:spacing w:after="160" w:line="240" w:lineRule="exact"/>
      <w:widowControl/>
    </w:pPr>
    <w:rPr>
      <w:rFonts w:ascii="Verdana" w:hAnsi="Verdana" w:eastAsia="仿宋_GB2312"/>
      <w:sz w:val="24"/>
      <w:szCs w:val="20"/>
      <w:lang w:eastAsia="en-US"/>
    </w:rPr>
  </w:style>
  <w:style w:type="paragraph" w:styleId="1306" w:customStyle="1">
    <w:name w:val="Char Char1"/>
    <w:basedOn w:val="1198"/>
    <w:qFormat/>
    <w:rPr>
      <w:rFonts w:ascii="Tahoma" w:hAnsi="Tahoma"/>
      <w:sz w:val="24"/>
    </w:rPr>
  </w:style>
  <w:style w:type="paragraph" w:styleId="1307" w:customStyle="1">
    <w:name w:val="xl26"/>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08" w:customStyle="1">
    <w:name w:val="xl30"/>
    <w:basedOn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9" w:customStyle="1">
    <w:name w:val="xl41"/>
    <w:basedOn w:val="101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0" w:customStyle="1">
    <w:name w:val="样式 宋体 五号 行距: 单倍行距"/>
    <w:basedOn w:val="1010"/>
    <w:qFormat/>
    <w:pPr>
      <w:jc w:val="left"/>
    </w:pPr>
    <w:rPr>
      <w:rFonts w:ascii="宋体" w:hAnsi="宋体"/>
      <w:szCs w:val="20"/>
    </w:rPr>
  </w:style>
  <w:style w:type="paragraph" w:styleId="1311" w:customStyle="1">
    <w:name w:val="Char1 Char Char Char1"/>
    <w:basedOn w:val="1010"/>
    <w:qFormat/>
    <w:rPr>
      <w:rFonts w:ascii="Tahoma" w:hAnsi="Tahoma" w:cs="仿宋_GB2312"/>
      <w:sz w:val="24"/>
      <w:szCs w:val="28"/>
    </w:rPr>
  </w:style>
  <w:style w:type="paragraph" w:styleId="1312" w:customStyle="1">
    <w:name w:val="四级条标题"/>
    <w:basedOn w:val="1313"/>
    <w:next w:val="1010"/>
    <w:qFormat/>
    <w:pPr>
      <w:numPr>
        <w:ilvl w:val="4"/>
      </w:numPr>
      <w:ind w:left="0" w:hanging="840"/>
      <w:outlineLvl w:val="4"/>
    </w:pPr>
  </w:style>
  <w:style w:type="paragraph" w:styleId="1313" w:customStyle="1">
    <w:name w:val="三级条标题"/>
    <w:basedOn w:val="1275"/>
    <w:next w:val="1010"/>
    <w:qFormat/>
    <w:pPr>
      <w:numPr>
        <w:ilvl w:val="3"/>
        <w:numId w:val="1"/>
      </w:numPr>
      <w:ind w:left="0" w:hanging="840"/>
      <w:outlineLvl w:val="3"/>
    </w:pPr>
  </w:style>
  <w:style w:type="paragraph" w:styleId="1314" w:customStyle="1">
    <w:name w:val="??"/>
    <w:qFormat/>
    <w:pPr>
      <w:jc w:val="both"/>
      <w:widowControl w:val="off"/>
    </w:pPr>
    <w:rPr>
      <w:sz w:val="21"/>
      <w:lang w:eastAsia="en-US"/>
    </w:rPr>
  </w:style>
  <w:style w:type="paragraph" w:styleId="1315" w:customStyle="1">
    <w:name w:val="样式 标题 2 + 宋体 五号 行距: 单倍行距"/>
    <w:basedOn w:val="101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16" w:customStyle="1">
    <w:name w:val="List Paragraph1"/>
    <w:basedOn w:val="1010"/>
    <w:qFormat/>
    <w:pPr>
      <w:ind w:firstLine="420"/>
    </w:pPr>
    <w:rPr>
      <w:rFonts w:ascii="Calibri" w:hAnsi="Calibri"/>
      <w:szCs w:val="22"/>
    </w:rPr>
  </w:style>
  <w:style w:type="paragraph" w:styleId="1317" w:customStyle="1">
    <w:name w:val="项目符号1"/>
    <w:basedOn w:val="1318"/>
    <w:qFormat/>
    <w:pPr>
      <w:ind w:left="-25" w:firstLine="0"/>
    </w:pPr>
  </w:style>
  <w:style w:type="paragraph" w:styleId="1318" w:customStyle="1">
    <w:name w:val="正文文本样式"/>
    <w:basedOn w:val="1010"/>
    <w:qFormat/>
    <w:pPr>
      <w:ind w:firstLine="482"/>
      <w:spacing w:line="360" w:lineRule="auto"/>
    </w:pPr>
    <w:rPr>
      <w:rFonts w:cs="宋体"/>
      <w:sz w:val="24"/>
      <w:szCs w:val="20"/>
    </w:rPr>
  </w:style>
  <w:style w:type="paragraph" w:styleId="1319" w:customStyle="1">
    <w:name w:val="xl27"/>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0" w:customStyle="1">
    <w:name w:val="font5"/>
    <w:basedOn w:val="1010"/>
    <w:qFormat/>
    <w:pPr>
      <w:jc w:val="left"/>
      <w:spacing w:before="100" w:beforeAutospacing="1" w:after="100" w:afterAutospacing="1"/>
      <w:widowControl/>
    </w:pPr>
    <w:rPr>
      <w:rFonts w:ascii="宋体" w:hAnsi="宋体" w:cs="宋体"/>
      <w:sz w:val="18"/>
      <w:szCs w:val="18"/>
    </w:rPr>
  </w:style>
  <w:style w:type="paragraph" w:styleId="1321" w:customStyle="1">
    <w:name w:val="五级条标题"/>
    <w:basedOn w:val="1312"/>
    <w:next w:val="1010"/>
    <w:qFormat/>
    <w:pPr>
      <w:numPr>
        <w:ilvl w:val="5"/>
      </w:numPr>
      <w:ind w:left="0" w:hanging="840"/>
      <w:outlineLvl w:val="5"/>
    </w:pPr>
  </w:style>
  <w:style w:type="paragraph" w:styleId="1322" w:customStyle="1">
    <w:name w:val="xl49"/>
    <w:basedOn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23" w:customStyle="1">
    <w:name w:val="文档正文"/>
    <w:basedOn w:val="1010"/>
    <w:qFormat/>
    <w:pPr>
      <w:spacing w:before="120" w:after="120" w:line="180" w:lineRule="auto"/>
    </w:pPr>
    <w:rPr>
      <w:rFonts w:ascii="Arial" w:hAnsi="Arial"/>
      <w:szCs w:val="20"/>
    </w:rPr>
  </w:style>
  <w:style w:type="paragraph" w:styleId="1324" w:customStyle="1">
    <w:name w:val="xl33"/>
    <w:basedOn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5" w:customStyle="1">
    <w:name w:val="xl42"/>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26" w:customStyle="1">
    <w:name w:val="Char Char Char1 Char"/>
    <w:basedOn w:val="1010"/>
    <w:uiPriority w:val="99"/>
    <w:qFormat/>
    <w:rPr>
      <w:rFonts w:ascii="Tahoma" w:hAnsi="Tahoma"/>
      <w:sz w:val="24"/>
      <w:szCs w:val="20"/>
    </w:rPr>
  </w:style>
  <w:style w:type="paragraph" w:styleId="1327" w:customStyle="1">
    <w:name w:val="xl44"/>
    <w:basedOn w:val="10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28" w:customStyle="1">
    <w:name w:val="1名"/>
    <w:basedOn w:val="1010"/>
    <w:qFormat/>
    <w:pPr>
      <w:numPr>
        <w:numId w:val="5"/>
      </w:numPr>
      <w:spacing w:before="120"/>
      <w:tabs>
        <w:tab w:val="left" w:pos="360" w:leader="none"/>
      </w:tabs>
    </w:pPr>
    <w:rPr>
      <w:rFonts w:ascii="宋体"/>
      <w:sz w:val="28"/>
      <w:szCs w:val="20"/>
    </w:rPr>
  </w:style>
  <w:style w:type="paragraph" w:styleId="1329" w:customStyle="1">
    <w:name w:val="font9"/>
    <w:basedOn w:val="1010"/>
    <w:qFormat/>
    <w:pPr>
      <w:jc w:val="left"/>
      <w:spacing w:before="100" w:beforeAutospacing="1" w:after="100" w:afterAutospacing="1"/>
      <w:widowControl/>
    </w:pPr>
    <w:rPr>
      <w:rFonts w:hint="eastAsia" w:ascii="宋体" w:hAnsi="宋体" w:cs="Arial Unicode MS"/>
      <w:color w:val="000000"/>
      <w:sz w:val="20"/>
      <w:szCs w:val="20"/>
    </w:rPr>
  </w:style>
  <w:style w:type="paragraph" w:styleId="1330" w:customStyle="1">
    <w:name w:val="Char Char Char1 Char1"/>
    <w:basedOn w:val="1010"/>
    <w:uiPriority w:val="99"/>
    <w:qFormat/>
    <w:rPr>
      <w:rFonts w:ascii="Tahoma" w:hAnsi="Tahoma"/>
      <w:sz w:val="24"/>
      <w:szCs w:val="20"/>
    </w:rPr>
  </w:style>
  <w:style w:type="paragraph" w:styleId="1331" w:customStyle="1">
    <w:name w:val="Char Char Char Char Char Char Char Char Char Char"/>
    <w:basedOn w:val="1010"/>
    <w:qFormat/>
  </w:style>
  <w:style w:type="paragraph" w:styleId="1332" w:customStyle="1">
    <w:name w:val="Char Char1 Char Char Char Char Char Char Char Char"/>
    <w:basedOn w:val="1010"/>
    <w:qFormat/>
    <w:pPr>
      <w:jc w:val="left"/>
      <w:spacing w:after="160" w:line="240" w:lineRule="exact"/>
      <w:widowControl/>
    </w:pPr>
    <w:rPr>
      <w:rFonts w:ascii="Verdana" w:hAnsi="Verdana"/>
      <w:sz w:val="20"/>
      <w:szCs w:val="20"/>
      <w:lang w:eastAsia="en-US"/>
    </w:rPr>
  </w:style>
  <w:style w:type="paragraph" w:styleId="1333" w:customStyle="1">
    <w:name w:val="Char1"/>
    <w:basedOn w:val="1010"/>
    <w:qFormat/>
    <w:pPr>
      <w:tabs>
        <w:tab w:val="left" w:pos="360" w:leader="none"/>
      </w:tabs>
    </w:pPr>
    <w:rPr>
      <w:sz w:val="24"/>
    </w:rPr>
  </w:style>
  <w:style w:type="paragraph" w:styleId="1334" w:customStyle="1">
    <w:name w:val="正文列项_字母"/>
    <w:basedOn w:val="1010"/>
    <w:qFormat/>
    <w:pPr>
      <w:numPr>
        <w:ilvl w:val="6"/>
        <w:numId w:val="1"/>
      </w:numPr>
      <w:ind w:left="480" w:hanging="180"/>
      <w:spacing w:line="460" w:lineRule="exact"/>
      <w:tabs>
        <w:tab w:val="clear" w:pos="635" w:leader="none"/>
      </w:tabs>
      <w:outlineLvl w:val="6"/>
    </w:pPr>
    <w:rPr>
      <w:rFonts w:ascii="宋体"/>
      <w:sz w:val="28"/>
      <w:szCs w:val="20"/>
    </w:rPr>
  </w:style>
  <w:style w:type="paragraph" w:styleId="1335" w:customStyle="1">
    <w:name w:val="xl28"/>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6" w:customStyle="1">
    <w:name w:val="xl47"/>
    <w:basedOn w:val="10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7" w:customStyle="1">
    <w:name w:val="默认段落字体 Para Char Char Char Char"/>
    <w:basedOn w:val="1010"/>
    <w:qFormat/>
    <w:rPr>
      <w:rFonts w:ascii="Arial" w:hAnsi="Arial" w:cs="Arial"/>
      <w:szCs w:val="21"/>
    </w:rPr>
  </w:style>
  <w:style w:type="paragraph" w:styleId="1338" w:customStyle="1">
    <w:name w:val="xl48"/>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39" w:customStyle="1">
    <w:name w:val="xl31"/>
    <w:basedOn w:val="10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0" w:customStyle="1">
    <w:name w:val="xl53"/>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1" w:customStyle="1">
    <w:name w:val="Char Char Char"/>
    <w:basedOn w:val="1010"/>
    <w:qFormat/>
    <w:rPr>
      <w:rFonts w:ascii="Tahoma" w:hAnsi="Tahoma"/>
      <w:sz w:val="24"/>
      <w:szCs w:val="20"/>
    </w:rPr>
  </w:style>
  <w:style w:type="paragraph" w:styleId="1342" w:customStyle="1">
    <w:name w:val="xl50"/>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43" w:customStyle="1">
    <w:name w:val="缺省文本"/>
    <w:basedOn w:val="1010"/>
    <w:qFormat/>
    <w:pPr>
      <w:jc w:val="left"/>
    </w:pPr>
    <w:rPr>
      <w:sz w:val="24"/>
    </w:rPr>
  </w:style>
  <w:style w:type="paragraph" w:styleId="1344" w:customStyle="1">
    <w:name w:val="Char Char Char1"/>
    <w:basedOn w:val="1010"/>
    <w:qFormat/>
    <w:rPr>
      <w:rFonts w:ascii="Tahoma" w:hAnsi="Tahoma"/>
      <w:sz w:val="24"/>
      <w:szCs w:val="20"/>
    </w:rPr>
  </w:style>
  <w:style w:type="paragraph" w:styleId="1345" w:customStyle="1">
    <w:name w:val="Char Char Char Char Char Char Char1"/>
    <w:basedOn w:val="1010"/>
    <w:qFormat/>
    <w:pPr>
      <w:ind w:firstLine="200"/>
      <w:spacing w:line="360" w:lineRule="auto"/>
    </w:pPr>
    <w:rPr>
      <w:rFonts w:eastAsia="仿宋_GB2312"/>
      <w:sz w:val="24"/>
    </w:rPr>
  </w:style>
  <w:style w:type="paragraph" w:styleId="1346" w:customStyle="1">
    <w:name w:val="xl51"/>
    <w:basedOn w:val="10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7" w:customStyle="1">
    <w:name w:val="样式2"/>
    <w:basedOn w:val="1238"/>
    <w:uiPriority w:val="99"/>
    <w:qFormat/>
    <w:pPr>
      <w:jc w:val="center"/>
      <w:spacing w:line="360" w:lineRule="auto"/>
    </w:pPr>
    <w:rPr>
      <w:sz w:val="24"/>
    </w:rPr>
  </w:style>
  <w:style w:type="paragraph" w:styleId="1348" w:customStyle="1">
    <w:name w:val="xl24"/>
    <w:basedOn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9" w:customStyle="1">
    <w:name w:val="xl29"/>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0" w:customStyle="1">
    <w:name w:val="正文 + 楷体_GB2312"/>
    <w:basedOn w:val="1010"/>
    <w:qFormat/>
    <w:pPr>
      <w:jc w:val="left"/>
      <w:widowControl/>
    </w:pPr>
    <w:rPr>
      <w:rFonts w:ascii="楷体_GB2312" w:eastAsia="楷体_GB2312" w:cs="Arial"/>
      <w:sz w:val="24"/>
    </w:rPr>
  </w:style>
  <w:style w:type="paragraph" w:styleId="1351" w:customStyle="1">
    <w:name w:val="xl34"/>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52" w:customStyle="1">
    <w:name w:val="1 Char Char Char Char"/>
    <w:basedOn w:val="1010"/>
    <w:qFormat/>
    <w:rPr>
      <w:rFonts w:ascii="Tahoma" w:hAnsi="Tahoma"/>
      <w:sz w:val="24"/>
      <w:szCs w:val="20"/>
    </w:rPr>
  </w:style>
  <w:style w:type="paragraph" w:styleId="1353" w:customStyle="1">
    <w:name w:val="Default"/>
    <w:link w:val="1722"/>
    <w:qFormat/>
    <w:pPr>
      <w:widowControl w:val="off"/>
    </w:pPr>
    <w:rPr>
      <w:rFonts w:ascii="Symbol" w:hAnsi="Symbol" w:cs="Symbol"/>
      <w:color w:val="000000"/>
      <w:sz w:val="24"/>
      <w:szCs w:val="24"/>
    </w:rPr>
  </w:style>
  <w:style w:type="paragraph" w:styleId="1354" w:customStyle="1">
    <w:name w:val="列出段落1"/>
    <w:basedOn w:val="1010"/>
    <w:uiPriority w:val="34"/>
    <w:qFormat/>
    <w:pPr>
      <w:ind w:firstLine="420"/>
    </w:pPr>
    <w:rPr>
      <w:rFonts w:ascii="Calibri" w:hAnsi="Calibri"/>
      <w:szCs w:val="22"/>
    </w:rPr>
  </w:style>
  <w:style w:type="paragraph" w:styleId="1355" w:customStyle="1">
    <w:name w:val="default"/>
    <w:basedOn w:val="1010"/>
    <w:qFormat/>
    <w:pPr>
      <w:jc w:val="left"/>
      <w:spacing w:before="100" w:beforeAutospacing="1" w:after="100" w:afterAutospacing="1"/>
      <w:widowControl/>
    </w:pPr>
    <w:rPr>
      <w:rFonts w:ascii="宋体" w:hAnsi="宋体" w:cs="宋体"/>
      <w:sz w:val="24"/>
    </w:rPr>
  </w:style>
  <w:style w:type="paragraph" w:styleId="1356" w:customStyle="1">
    <w:name w:val="字元 字元1"/>
    <w:basedOn w:val="1010"/>
    <w:qFormat/>
    <w:rPr>
      <w:rFonts w:ascii="Tahoma" w:hAnsi="Tahoma"/>
      <w:sz w:val="24"/>
      <w:szCs w:val="20"/>
    </w:rPr>
  </w:style>
  <w:style w:type="paragraph" w:styleId="1357" w:customStyle="1">
    <w:name w:val="_Style 160"/>
    <w:qFormat/>
    <w:rPr>
      <w:sz w:val="21"/>
      <w:szCs w:val="24"/>
    </w:rPr>
  </w:style>
  <w:style w:type="paragraph" w:styleId="1358" w:customStyle="1">
    <w:name w:val="项目编号3"/>
    <w:basedOn w:val="1318"/>
    <w:qFormat/>
    <w:pPr>
      <w:numPr>
        <w:numId w:val="6"/>
      </w:numPr>
    </w:pPr>
  </w:style>
  <w:style w:type="paragraph" w:styleId="1359" w:customStyle="1">
    <w:name w:val="Char21"/>
    <w:basedOn w:val="1010"/>
    <w:qFormat/>
    <w:rPr>
      <w:rFonts w:ascii="Tahoma" w:hAnsi="Tahoma"/>
      <w:sz w:val="24"/>
      <w:szCs w:val="20"/>
    </w:rPr>
  </w:style>
  <w:style w:type="paragraph" w:styleId="1360" w:customStyle="1">
    <w:name w:val="表格文字"/>
    <w:basedOn w:val="1206"/>
    <w:qFormat/>
    <w:pPr>
      <w:ind w:firstLine="0"/>
      <w:spacing w:before="20" w:after="20" w:line="240" w:lineRule="auto"/>
    </w:pPr>
    <w:rPr>
      <w:rFonts w:ascii="Century Gothic" w:hAnsi="Century Gothic"/>
      <w:sz w:val="20"/>
      <w:szCs w:val="20"/>
    </w:rPr>
  </w:style>
  <w:style w:type="paragraph" w:styleId="1361" w:customStyle="1">
    <w:name w:val="Char Char Char Char Char Char Char Char Char Char1"/>
    <w:basedOn w:val="1010"/>
    <w:qFormat/>
    <w:rPr>
      <w:rFonts w:ascii="宋体" w:hAnsi="宋体" w:cs="Courier New"/>
      <w:sz w:val="32"/>
      <w:szCs w:val="32"/>
    </w:rPr>
  </w:style>
  <w:style w:type="paragraph" w:styleId="1362" w:customStyle="1">
    <w:name w:val="正文文本样式 加粗"/>
    <w:basedOn w:val="1318"/>
    <w:qFormat/>
    <w:rPr>
      <w:b/>
    </w:rPr>
  </w:style>
  <w:style w:type="paragraph" w:styleId="1363" w:customStyle="1">
    <w:name w:val="Char2 Char Char Char Char Char Char"/>
    <w:basedOn w:val="1010"/>
    <w:qFormat/>
    <w:pPr>
      <w:jc w:val="center"/>
      <w:spacing w:line="400" w:lineRule="exact"/>
      <w:widowControl/>
    </w:pPr>
  </w:style>
  <w:style w:type="paragraph" w:styleId="1364" w:customStyle="1">
    <w:name w:val="Char Char4"/>
    <w:basedOn w:val="1010"/>
    <w:qFormat/>
    <w:pPr>
      <w:jc w:val="center"/>
      <w:spacing w:line="400" w:lineRule="exact"/>
      <w:widowControl/>
    </w:pPr>
  </w:style>
  <w:style w:type="paragraph" w:styleId="1365" w:customStyle="1">
    <w:name w:val="Char3 Char Char Char1"/>
    <w:basedOn w:val="1010"/>
    <w:qFormat/>
    <w:rPr>
      <w:rFonts w:ascii="Tahoma" w:hAnsi="Tahoma"/>
      <w:sz w:val="24"/>
      <w:szCs w:val="20"/>
    </w:rPr>
  </w:style>
  <w:style w:type="paragraph" w:styleId="1366" w:customStyle="1">
    <w:name w:val="22222222222222"/>
    <w:basedOn w:val="1010"/>
    <w:qFormat/>
    <w:pPr>
      <w:ind w:firstLine="480"/>
      <w:jc w:val="left"/>
      <w:spacing w:line="360" w:lineRule="auto"/>
      <w:widowControl/>
    </w:pPr>
    <w:rPr>
      <w:color w:val="ff0000"/>
      <w:sz w:val="24"/>
      <w:szCs w:val="20"/>
    </w:rPr>
  </w:style>
  <w:style w:type="character" w:styleId="1367" w:customStyle="1">
    <w:name w:val="中等深浅网格 1 - 强调文字颜色 2 Char"/>
    <w:link w:val="1368"/>
    <w:qFormat/>
    <w:rPr>
      <w:sz w:val="21"/>
      <w:szCs w:val="24"/>
      <w:lang w:val="zh-CN" w:eastAsia="zh-CN" w:bidi="ar-SA"/>
    </w:rPr>
  </w:style>
  <w:style w:type="paragraph" w:styleId="1368" w:customStyle="1">
    <w:name w:val="1"/>
    <w:link w:val="1367"/>
    <w:qFormat/>
    <w:rPr>
      <w:sz w:val="21"/>
      <w:szCs w:val="24"/>
      <w:lang w:val="zh-CN"/>
    </w:rPr>
  </w:style>
  <w:style w:type="paragraph" w:styleId="1369" w:customStyle="1">
    <w:name w:val="图文"/>
    <w:basedOn w:val="1010"/>
    <w:qFormat/>
    <w:pPr>
      <w:spacing w:after="50" w:line="360" w:lineRule="auto"/>
    </w:pPr>
    <w:rPr>
      <w:sz w:val="24"/>
    </w:rPr>
  </w:style>
  <w:style w:type="paragraph" w:styleId="1370" w:customStyle="1">
    <w:name w:val="xl23"/>
    <w:basedOn w:val="1010"/>
    <w:qFormat/>
    <w:pPr>
      <w:spacing w:before="100" w:beforeAutospacing="1" w:after="100" w:afterAutospacing="1" w:line="360" w:lineRule="auto"/>
      <w:widowControl/>
    </w:pPr>
    <w:rPr>
      <w:sz w:val="24"/>
      <w:szCs w:val="20"/>
    </w:rPr>
  </w:style>
  <w:style w:type="paragraph" w:styleId="1371" w:customStyle="1">
    <w:name w:val="正文表格"/>
    <w:basedOn w:val="1010"/>
    <w:link w:val="1372"/>
    <w:qFormat/>
    <w:pPr>
      <w:jc w:val="left"/>
    </w:pPr>
    <w:rPr>
      <w:rFonts w:ascii="宋体" w:hAnsi="宋体"/>
      <w:color w:val="000000"/>
      <w:szCs w:val="21"/>
    </w:rPr>
  </w:style>
  <w:style w:type="character" w:styleId="1372" w:customStyle="1">
    <w:name w:val="正文表格 Char"/>
    <w:link w:val="1371"/>
    <w:qFormat/>
    <w:rPr>
      <w:rFonts w:ascii="宋体" w:hAnsi="宋体"/>
      <w:color w:val="000000"/>
      <w:sz w:val="21"/>
      <w:szCs w:val="21"/>
    </w:rPr>
  </w:style>
  <w:style w:type="paragraph" w:styleId="1373" w:customStyle="1">
    <w:name w:val="正文重点"/>
    <w:basedOn w:val="1010"/>
    <w:link w:val="1374"/>
    <w:qFormat/>
    <w:pPr>
      <w:ind w:firstLine="482"/>
      <w:jc w:val="left"/>
      <w:spacing w:line="360" w:lineRule="auto"/>
    </w:pPr>
    <w:rPr>
      <w:b/>
      <w:sz w:val="24"/>
      <w:szCs w:val="20"/>
    </w:rPr>
  </w:style>
  <w:style w:type="character" w:styleId="1374" w:customStyle="1">
    <w:name w:val="正文重点 Char"/>
    <w:link w:val="1373"/>
    <w:qFormat/>
    <w:rPr>
      <w:b/>
      <w:sz w:val="24"/>
    </w:rPr>
  </w:style>
  <w:style w:type="paragraph" w:styleId="1375" w:customStyle="1">
    <w:name w:val="标题1-附件"/>
    <w:basedOn w:val="1011"/>
    <w:qFormat/>
    <w:pPr>
      <w:jc w:val="left"/>
    </w:pPr>
    <w:rPr>
      <w:sz w:val="24"/>
      <w:szCs w:val="24"/>
    </w:rPr>
  </w:style>
  <w:style w:type="paragraph" w:styleId="1376" w:customStyle="1">
    <w:name w:val="正文小标题"/>
    <w:basedOn w:val="1010"/>
    <w:next w:val="1189"/>
    <w:link w:val="1377"/>
    <w:qFormat/>
    <w:pPr>
      <w:ind w:firstLine="482"/>
      <w:jc w:val="left"/>
      <w:spacing w:before="312" w:after="312"/>
    </w:pPr>
    <w:rPr>
      <w:rFonts w:ascii="宋体" w:hAnsi="宋体"/>
      <w:b/>
      <w:i/>
      <w:color w:val="ff0000"/>
      <w:sz w:val="24"/>
      <w:szCs w:val="20"/>
    </w:rPr>
  </w:style>
  <w:style w:type="character" w:styleId="1377" w:customStyle="1">
    <w:name w:val="正文小标题 Char"/>
    <w:link w:val="1376"/>
    <w:qFormat/>
    <w:rPr>
      <w:rFonts w:ascii="宋体" w:hAnsi="宋体"/>
      <w:b/>
      <w:i/>
      <w:color w:val="ff0000"/>
      <w:sz w:val="24"/>
    </w:rPr>
  </w:style>
  <w:style w:type="paragraph" w:styleId="1378" w:customStyle="1">
    <w:name w:val="正文大标题"/>
    <w:basedOn w:val="1376"/>
    <w:next w:val="1189"/>
    <w:link w:val="1379"/>
    <w:qFormat/>
    <w:pPr>
      <w:jc w:val="center"/>
    </w:pPr>
    <w:rPr>
      <w:i w:val="0"/>
      <w:color w:val="000000"/>
      <w:sz w:val="28"/>
      <w:szCs w:val="21"/>
    </w:rPr>
  </w:style>
  <w:style w:type="character" w:styleId="1379" w:customStyle="1">
    <w:name w:val="正文大标题 Char"/>
    <w:link w:val="1378"/>
    <w:qFormat/>
    <w:rPr>
      <w:rFonts w:ascii="宋体" w:hAnsi="宋体"/>
      <w:b/>
      <w:color w:val="000000"/>
      <w:sz w:val="28"/>
      <w:szCs w:val="21"/>
    </w:rPr>
  </w:style>
  <w:style w:type="paragraph" w:styleId="1380" w:customStyle="1">
    <w:name w:val="注释"/>
    <w:basedOn w:val="1010"/>
    <w:link w:val="1381"/>
    <w:qFormat/>
    <w:pPr>
      <w:ind w:left="420" w:hanging="420"/>
      <w:jc w:val="left"/>
    </w:pPr>
    <w:rPr>
      <w:rFonts w:ascii="宋体" w:hAnsi="宋体"/>
      <w:szCs w:val="21"/>
    </w:rPr>
  </w:style>
  <w:style w:type="character" w:styleId="1381" w:customStyle="1">
    <w:name w:val="注释 Char"/>
    <w:link w:val="1380"/>
    <w:qFormat/>
    <w:rPr>
      <w:rFonts w:ascii="宋体" w:hAnsi="宋体"/>
      <w:sz w:val="21"/>
      <w:szCs w:val="21"/>
    </w:rPr>
  </w:style>
  <w:style w:type="paragraph" w:styleId="1382" w:customStyle="1">
    <w:name w:val="正文须知-1级"/>
    <w:basedOn w:val="1010"/>
    <w:next w:val="1010"/>
    <w:qFormat/>
    <w:pPr>
      <w:numPr>
        <w:numId w:val="7"/>
      </w:numPr>
      <w:spacing w:line="300" w:lineRule="auto"/>
    </w:pPr>
    <w:rPr>
      <w:rFonts w:ascii="宋体" w:hAnsi="Calibri"/>
      <w:sz w:val="24"/>
      <w:szCs w:val="21"/>
    </w:rPr>
  </w:style>
  <w:style w:type="paragraph" w:styleId="1383" w:customStyle="1">
    <w:name w:val="正文须知-2级"/>
    <w:basedOn w:val="1010"/>
    <w:qFormat/>
    <w:pPr>
      <w:numPr>
        <w:ilvl w:val="1"/>
        <w:numId w:val="7"/>
      </w:numPr>
      <w:spacing w:line="300" w:lineRule="auto"/>
    </w:pPr>
    <w:rPr>
      <w:rFonts w:ascii="宋体" w:hAnsi="Calibri"/>
      <w:sz w:val="24"/>
      <w:szCs w:val="21"/>
    </w:rPr>
  </w:style>
  <w:style w:type="paragraph" w:styleId="1384" w:customStyle="1">
    <w:name w:val="正文须知-3级"/>
    <w:basedOn w:val="1010"/>
    <w:qFormat/>
    <w:pPr>
      <w:numPr>
        <w:ilvl w:val="2"/>
        <w:numId w:val="7"/>
      </w:numPr>
      <w:ind w:hanging="355"/>
      <w:spacing w:line="300" w:lineRule="auto"/>
    </w:pPr>
    <w:rPr>
      <w:rFonts w:ascii="宋体" w:hAnsi="Calibri"/>
      <w:sz w:val="24"/>
      <w:szCs w:val="21"/>
    </w:rPr>
  </w:style>
  <w:style w:type="character" w:styleId="1385" w:customStyle="1">
    <w:name w:val="纯文本 字符"/>
    <w:uiPriority w:val="99"/>
    <w:qFormat/>
    <w:rPr>
      <w:rFonts w:ascii="宋体" w:hAnsi="Courier New" w:eastAsia="宋体" w:cs="Times New Roman"/>
      <w:sz w:val="21"/>
      <w:szCs w:val="21"/>
      <w:lang w:val="en-US" w:eastAsia="zh-CN" w:bidi="ar-SA"/>
    </w:rPr>
  </w:style>
  <w:style w:type="paragraph" w:styleId="1386" w:customStyle="1">
    <w:name w:val="表格1"/>
    <w:basedOn w:val="1010"/>
    <w:qFormat/>
    <w:pPr>
      <w:ind w:firstLine="480"/>
      <w:jc w:val="center"/>
    </w:pPr>
    <w:rPr>
      <w:sz w:val="24"/>
      <w:szCs w:val="20"/>
    </w:rPr>
  </w:style>
  <w:style w:type="character" w:styleId="1387" w:customStyle="1">
    <w:name w:val="纯文本 字符1"/>
    <w:qFormat/>
    <w:rPr>
      <w:rFonts w:ascii="宋体" w:hAnsi="Courier New"/>
    </w:rPr>
  </w:style>
  <w:style w:type="character" w:styleId="1388" w:customStyle="1">
    <w:name w:val="bjh-p"/>
    <w:qFormat/>
  </w:style>
  <w:style w:type="paragraph" w:styleId="1389" w:customStyle="1">
    <w:name w:val="无标题条"/>
    <w:next w:val="1010"/>
    <w:qFormat/>
    <w:pPr>
      <w:jc w:val="both"/>
    </w:pPr>
    <w:rPr>
      <w:sz w:val="21"/>
    </w:rPr>
  </w:style>
  <w:style w:type="character" w:styleId="1390" w:customStyle="1">
    <w:name w:val="正文格式 Char"/>
    <w:link w:val="1391"/>
    <w:qFormat/>
    <w:rPr>
      <w:rFonts w:ascii="宋体" w:hAnsi="宋体"/>
      <w:sz w:val="24"/>
      <w:szCs w:val="24"/>
      <w:lang w:val="en-GB"/>
    </w:rPr>
  </w:style>
  <w:style w:type="paragraph" w:styleId="1391" w:customStyle="1">
    <w:name w:val="正文格式"/>
    <w:basedOn w:val="1010"/>
    <w:link w:val="1390"/>
    <w:qFormat/>
    <w:pPr>
      <w:ind w:firstLine="480"/>
      <w:spacing w:line="360" w:lineRule="auto"/>
    </w:pPr>
    <w:rPr>
      <w:rFonts w:ascii="宋体" w:hAnsi="宋体"/>
      <w:sz w:val="24"/>
      <w:lang w:val="en-GB"/>
    </w:rPr>
  </w:style>
  <w:style w:type="character" w:styleId="1392" w:customStyle="1">
    <w:name w:val="标题 3 Char"/>
    <w:qFormat/>
    <w:rPr>
      <w:rFonts w:ascii="宋体" w:eastAsia="宋体"/>
      <w:b/>
      <w:sz w:val="24"/>
      <w:u w:val="single"/>
      <w:lang w:val="en-US" w:eastAsia="zh-CN" w:bidi="ar-SA"/>
    </w:rPr>
  </w:style>
  <w:style w:type="character" w:styleId="1393" w:customStyle="1">
    <w:name w:val="正文缩进 Char"/>
    <w:qFormat/>
    <w:rPr>
      <w:rFonts w:ascii="宋体" w:eastAsia="宋体"/>
      <w:sz w:val="24"/>
      <w:szCs w:val="24"/>
      <w:lang w:val="en-US" w:eastAsia="zh-CN" w:bidi="ar-SA"/>
    </w:rPr>
  </w:style>
  <w:style w:type="character" w:styleId="1394" w:customStyle="1">
    <w:name w:val="Char Char111"/>
    <w:qFormat/>
    <w:rPr>
      <w:rFonts w:ascii="宋体" w:eastAsia="宋体"/>
      <w:b/>
      <w:sz w:val="24"/>
      <w:u w:val="single"/>
      <w:lang w:val="en-US" w:eastAsia="zh-CN" w:bidi="ar-SA"/>
    </w:rPr>
  </w:style>
  <w:style w:type="character" w:styleId="1395" w:customStyle="1">
    <w:name w:val="正文文本缩进 Char"/>
    <w:uiPriority w:val="99"/>
    <w:qFormat/>
    <w:rPr>
      <w:rFonts w:eastAsia="宋体"/>
      <w:sz w:val="24"/>
      <w:szCs w:val="24"/>
      <w:lang w:val="en-US" w:eastAsia="zh-CN" w:bidi="ar-SA"/>
    </w:rPr>
  </w:style>
  <w:style w:type="character" w:styleId="1396" w:customStyle="1">
    <w:name w:val="列出段落 Char"/>
    <w:qFormat/>
    <w:rPr>
      <w:rFonts w:ascii="Calibri" w:hAnsi="Calibri" w:eastAsia="宋体"/>
      <w:sz w:val="21"/>
      <w:szCs w:val="22"/>
      <w:lang w:val="en-US" w:eastAsia="zh-CN" w:bidi="ar-SA"/>
    </w:rPr>
  </w:style>
  <w:style w:type="character" w:styleId="1397" w:customStyle="1">
    <w:name w:val="页眉 Char"/>
    <w:qFormat/>
    <w:rPr>
      <w:rFonts w:eastAsia="宋体"/>
      <w:sz w:val="18"/>
      <w:szCs w:val="18"/>
      <w:lang w:val="en-US" w:eastAsia="zh-CN" w:bidi="ar-SA"/>
    </w:rPr>
  </w:style>
  <w:style w:type="character" w:styleId="1398" w:customStyle="1">
    <w:name w:val="标题 2 Char"/>
    <w:uiPriority w:val="9"/>
    <w:qFormat/>
    <w:rPr>
      <w:rFonts w:ascii="Arial" w:hAnsi="Arial" w:eastAsia="黑体"/>
      <w:b/>
      <w:sz w:val="30"/>
      <w:lang w:val="en-US" w:eastAsia="zh-CN" w:bidi="ar-SA"/>
    </w:rPr>
  </w:style>
  <w:style w:type="paragraph" w:styleId="1399" w:customStyle="1">
    <w:name w:val="字元 字元2"/>
    <w:basedOn w:val="1010"/>
    <w:qFormat/>
    <w:rPr>
      <w:rFonts w:ascii="Tahoma" w:hAnsi="Tahoma"/>
      <w:sz w:val="24"/>
      <w:szCs w:val="20"/>
    </w:rPr>
  </w:style>
  <w:style w:type="paragraph" w:styleId="1400" w:customStyle="1">
    <w:name w:val="Char3 Char Char Char2"/>
    <w:basedOn w:val="1010"/>
    <w:qFormat/>
    <w:rPr>
      <w:rFonts w:ascii="Tahoma" w:hAnsi="Tahoma"/>
      <w:sz w:val="24"/>
      <w:szCs w:val="20"/>
    </w:rPr>
  </w:style>
  <w:style w:type="paragraph" w:styleId="1401" w:customStyle="1">
    <w:name w:val="正文文本缩进2"/>
    <w:basedOn w:val="1010"/>
    <w:qFormat/>
    <w:pPr>
      <w:ind w:firstLine="480"/>
      <w:spacing w:line="480" w:lineRule="exact"/>
    </w:pPr>
    <w:rPr>
      <w:rFonts w:ascii="宋体" w:hAnsi="宋体"/>
      <w:sz w:val="24"/>
      <w:lang w:val="zh-CN"/>
    </w:rPr>
  </w:style>
  <w:style w:type="paragraph" w:styleId="1402" w:customStyle="1">
    <w:name w:val="Char3"/>
    <w:basedOn w:val="1010"/>
    <w:qFormat/>
    <w:pPr>
      <w:tabs>
        <w:tab w:val="left" w:pos="360" w:leader="none"/>
      </w:tabs>
    </w:pPr>
    <w:rPr>
      <w:sz w:val="24"/>
    </w:rPr>
  </w:style>
  <w:style w:type="paragraph" w:styleId="1403" w:customStyle="1">
    <w:name w:val="Char Char Char Char Char Char Char Char Char Char Char Char Char Char Char Char1"/>
    <w:basedOn w:val="1010"/>
    <w:qFormat/>
    <w:pPr>
      <w:jc w:val="center"/>
      <w:spacing w:after="160" w:line="240" w:lineRule="exact"/>
      <w:widowControl/>
    </w:pPr>
    <w:rPr>
      <w:rFonts w:ascii="宋体" w:hAnsi="宋体"/>
      <w:b/>
      <w:sz w:val="30"/>
      <w:szCs w:val="30"/>
      <w:lang w:eastAsia="en-US"/>
    </w:rPr>
  </w:style>
  <w:style w:type="paragraph" w:styleId="1404" w:customStyle="1">
    <w:name w:val="Char Char1 Char Char Char Char Char Char1"/>
    <w:basedOn w:val="1010"/>
    <w:qFormat/>
    <w:pPr>
      <w:jc w:val="left"/>
      <w:spacing w:after="160" w:line="240" w:lineRule="exact"/>
      <w:widowControl/>
    </w:pPr>
    <w:rPr>
      <w:rFonts w:ascii="Verdana" w:hAnsi="Verdana" w:eastAsia="仿宋_GB2312"/>
      <w:sz w:val="24"/>
      <w:szCs w:val="20"/>
      <w:lang w:eastAsia="en-US"/>
    </w:rPr>
  </w:style>
  <w:style w:type="paragraph" w:styleId="1405" w:customStyle="1">
    <w:name w:val="列出段落2"/>
    <w:basedOn w:val="1010"/>
    <w:qFormat/>
    <w:pPr>
      <w:ind w:firstLine="420"/>
    </w:pPr>
    <w:rPr>
      <w:rFonts w:ascii="Calibri" w:hAnsi="Calibri"/>
      <w:szCs w:val="22"/>
    </w:rPr>
  </w:style>
  <w:style w:type="paragraph" w:styleId="1406" w:customStyle="1">
    <w:name w:val="Char Char Char1 Char2"/>
    <w:basedOn w:val="1010"/>
    <w:uiPriority w:val="99"/>
    <w:qFormat/>
    <w:rPr>
      <w:rFonts w:ascii="Tahoma" w:hAnsi="Tahoma"/>
      <w:sz w:val="24"/>
      <w:szCs w:val="20"/>
    </w:rPr>
  </w:style>
  <w:style w:type="paragraph" w:styleId="1407" w:customStyle="1">
    <w:name w:val="Char Char Char2"/>
    <w:basedOn w:val="1010"/>
    <w:qFormat/>
    <w:rPr>
      <w:rFonts w:ascii="Tahoma" w:hAnsi="Tahoma"/>
      <w:sz w:val="24"/>
      <w:szCs w:val="20"/>
    </w:rPr>
  </w:style>
  <w:style w:type="paragraph" w:styleId="1408" w:customStyle="1">
    <w:name w:val="Char Char Char Char Char Char Char2"/>
    <w:basedOn w:val="1010"/>
    <w:qFormat/>
    <w:pPr>
      <w:ind w:firstLine="200"/>
      <w:spacing w:line="360" w:lineRule="auto"/>
    </w:pPr>
    <w:rPr>
      <w:rFonts w:eastAsia="仿宋_GB2312"/>
      <w:sz w:val="24"/>
    </w:rPr>
  </w:style>
  <w:style w:type="paragraph" w:styleId="1409" w:customStyle="1">
    <w:name w:val="正文缩进2"/>
    <w:basedOn w:val="1010"/>
    <w:qFormat/>
    <w:pPr>
      <w:ind w:firstLine="567"/>
      <w:spacing w:line="480" w:lineRule="exact"/>
      <w:widowControl/>
    </w:pPr>
    <w:rPr>
      <w:rFonts w:ascii="宋体"/>
      <w:color w:val="000000"/>
      <w:sz w:val="28"/>
      <w:szCs w:val="20"/>
      <w:lang w:val="zh-CN"/>
    </w:rPr>
  </w:style>
  <w:style w:type="paragraph" w:styleId="1410">
    <w:name w:val="Revision"/>
    <w:uiPriority w:val="99"/>
    <w:unhideWhenUsed/>
    <w:rPr>
      <w:sz w:val="21"/>
      <w:szCs w:val="24"/>
    </w:rPr>
  </w:style>
  <w:style w:type="paragraph" w:styleId="1411" w:customStyle="1">
    <w:name w:val="Char22"/>
    <w:basedOn w:val="1010"/>
    <w:qFormat/>
    <w:rPr>
      <w:rFonts w:ascii="Tahoma" w:hAnsi="Tahoma"/>
      <w:sz w:val="24"/>
      <w:szCs w:val="20"/>
    </w:rPr>
  </w:style>
  <w:style w:type="paragraph" w:styleId="1412" w:customStyle="1">
    <w:name w:val="Char Char Char Char Char Char Char Char Char Char2"/>
    <w:basedOn w:val="1010"/>
    <w:qFormat/>
    <w:rPr>
      <w:rFonts w:ascii="宋体" w:hAnsi="宋体" w:cs="Courier New"/>
      <w:sz w:val="32"/>
      <w:szCs w:val="32"/>
    </w:rPr>
  </w:style>
  <w:style w:type="paragraph" w:styleId="1413" w:customStyle="1">
    <w:name w:val="Char2 Char Char Char Char Char Char1"/>
    <w:basedOn w:val="1010"/>
    <w:qFormat/>
    <w:pPr>
      <w:jc w:val="center"/>
      <w:spacing w:line="400" w:lineRule="exact"/>
      <w:widowControl/>
    </w:pPr>
  </w:style>
  <w:style w:type="character" w:styleId="1414" w:customStyle="1">
    <w:name w:val="页脚 Char"/>
    <w:qFormat/>
    <w:rPr>
      <w:rFonts w:ascii="宋体" w:eastAsia="宋体"/>
      <w:sz w:val="18"/>
      <w:lang w:val="en-US" w:eastAsia="zh-CN" w:bidi="ar-SA"/>
    </w:rPr>
  </w:style>
  <w:style w:type="paragraph" w:styleId="1415" w:customStyle="1">
    <w:name w:val="Char Char41"/>
    <w:basedOn w:val="1010"/>
    <w:qFormat/>
    <w:pPr>
      <w:jc w:val="center"/>
      <w:spacing w:line="400" w:lineRule="exact"/>
      <w:widowControl/>
    </w:pPr>
  </w:style>
  <w:style w:type="character" w:styleId="1416" w:customStyle="1">
    <w:name w:val="批注文字 Char"/>
    <w:uiPriority w:val="99"/>
    <w:qFormat/>
    <w:rPr>
      <w:sz w:val="21"/>
      <w:szCs w:val="24"/>
    </w:rPr>
  </w:style>
  <w:style w:type="character" w:styleId="1417" w:customStyle="1">
    <w:name w:val="标题 Char"/>
    <w:qFormat/>
    <w:rPr>
      <w:b/>
      <w:sz w:val="32"/>
    </w:rPr>
  </w:style>
  <w:style w:type="paragraph" w:styleId="1418" w:customStyle="1">
    <w:name w:val="图例"/>
    <w:basedOn w:val="1010"/>
    <w:qFormat/>
    <w:pPr>
      <w:jc w:val="center"/>
      <w:spacing w:before="120" w:after="120" w:line="360" w:lineRule="auto"/>
    </w:pPr>
    <w:rPr>
      <w:rFonts w:eastAsia="仿宋_GB2312"/>
      <w:b/>
      <w:sz w:val="24"/>
      <w:szCs w:val="20"/>
    </w:rPr>
  </w:style>
  <w:style w:type="table" w:styleId="141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20" w:customStyle="1">
    <w:name w:val="Table Paragraph"/>
    <w:basedOn w:val="1010"/>
    <w:uiPriority w:val="1"/>
    <w:qFormat/>
    <w:pPr>
      <w:jc w:val="left"/>
    </w:pPr>
    <w:rPr>
      <w:rFonts w:ascii="宋体" w:hAnsi="宋体" w:cs="宋体"/>
      <w:sz w:val="22"/>
      <w:szCs w:val="22"/>
      <w:lang w:eastAsia="en-US"/>
    </w:rPr>
  </w:style>
  <w:style w:type="paragraph" w:styleId="1421" w:customStyle="1">
    <w:name w:val="成文日期"/>
    <w:basedOn w:val="1010"/>
    <w:link w:val="1422"/>
    <w:qFormat/>
    <w:pPr>
      <w:ind w:right="400" w:firstLine="200"/>
      <w:jc w:val="right"/>
      <w:spacing w:line="570" w:lineRule="exact"/>
    </w:pPr>
    <w:rPr>
      <w:rFonts w:ascii="仿宋_GB2312" w:eastAsia="仿宋_GB2312"/>
      <w:sz w:val="32"/>
      <w:szCs w:val="20"/>
    </w:rPr>
  </w:style>
  <w:style w:type="character" w:styleId="1422" w:customStyle="1">
    <w:name w:val="成文日期 Char"/>
    <w:link w:val="1421"/>
    <w:qFormat/>
    <w:rPr>
      <w:rFonts w:ascii="仿宋_GB2312" w:eastAsia="仿宋_GB2312"/>
      <w:sz w:val="32"/>
    </w:rPr>
  </w:style>
  <w:style w:type="character" w:styleId="1423">
    <w:name w:val="Unresolved Mention"/>
    <w:uiPriority w:val="99"/>
    <w:unhideWhenUsed/>
    <w:rPr>
      <w:color w:val="605e5c"/>
      <w:shd w:val="clear" w:color="auto" w:fill="e1dfdd"/>
    </w:rPr>
  </w:style>
  <w:style w:type="character" w:styleId="1424" w:customStyle="1">
    <w:name w:val="尾注文本 字符"/>
    <w:qFormat/>
    <w:rPr>
      <w:sz w:val="21"/>
      <w:szCs w:val="24"/>
    </w:rPr>
  </w:style>
  <w:style w:type="character" w:styleId="1425" w:customStyle="1">
    <w:name w:val="脚注文本 字符"/>
    <w:qFormat/>
    <w:rPr>
      <w:sz w:val="18"/>
      <w:szCs w:val="18"/>
    </w:rPr>
  </w:style>
  <w:style w:type="character" w:styleId="1426" w:customStyle="1">
    <w:name w:val="正文文本 2 字符"/>
    <w:qFormat/>
    <w:rPr>
      <w:sz w:val="21"/>
      <w:szCs w:val="24"/>
    </w:rPr>
  </w:style>
  <w:style w:type="character" w:styleId="1427" w:customStyle="1">
    <w:name w:val="标题 1 字符"/>
    <w:uiPriority w:val="99"/>
    <w:qFormat/>
    <w:rPr>
      <w:rFonts w:ascii="黑体" w:hAnsi="Times New Roman" w:eastAsia="宋体" w:cs="Times New Roman"/>
      <w:b/>
      <w:sz w:val="32"/>
      <w:szCs w:val="24"/>
    </w:rPr>
  </w:style>
  <w:style w:type="character" w:styleId="1428" w:customStyle="1">
    <w:name w:val="标题 2 字符"/>
    <w:uiPriority w:val="99"/>
    <w:qFormat/>
    <w:rPr>
      <w:rFonts w:ascii="Arial" w:hAnsi="Arial" w:eastAsia="黑体" w:cs="Times New Roman"/>
      <w:b/>
      <w:sz w:val="32"/>
      <w:szCs w:val="20"/>
    </w:rPr>
  </w:style>
  <w:style w:type="character" w:styleId="1429" w:customStyle="1">
    <w:name w:val="标题 3 字符"/>
    <w:uiPriority w:val="99"/>
    <w:qFormat/>
    <w:rPr>
      <w:rFonts w:ascii="Times New Roman" w:hAnsi="Times New Roman" w:eastAsia="宋体" w:cs="Times New Roman"/>
      <w:b/>
      <w:sz w:val="32"/>
      <w:szCs w:val="20"/>
    </w:rPr>
  </w:style>
  <w:style w:type="character" w:styleId="1430" w:customStyle="1">
    <w:name w:val="文档结构图 字符"/>
    <w:qFormat/>
    <w:rPr>
      <w:rFonts w:ascii="宋体" w:hAnsi="Times New Roman" w:eastAsia="宋体" w:cs="Times New Roman"/>
      <w:sz w:val="18"/>
      <w:szCs w:val="18"/>
    </w:rPr>
  </w:style>
  <w:style w:type="character" w:styleId="1431" w:customStyle="1">
    <w:name w:val="批注主题 字符"/>
    <w:qFormat/>
    <w:rPr>
      <w:rFonts w:ascii="Times New Roman" w:hAnsi="Times New Roman" w:eastAsia="宋体" w:cs="Times New Roman"/>
      <w:b/>
      <w:bCs/>
      <w:sz w:val="24"/>
      <w:szCs w:val="20"/>
      <w:lang w:val="en-US" w:eastAsia="zh-CN" w:bidi="ar-SA"/>
    </w:rPr>
  </w:style>
  <w:style w:type="character" w:styleId="1432" w:customStyle="1">
    <w:name w:val="正文文本 字符"/>
    <w:qFormat/>
    <w:rPr>
      <w:rFonts w:ascii="Times New Roman" w:hAnsi="Times New Roman" w:eastAsia="宋体" w:cs="Times New Roman"/>
      <w:szCs w:val="24"/>
    </w:rPr>
  </w:style>
  <w:style w:type="character" w:styleId="1433" w:customStyle="1">
    <w:name w:val="正文文本缩进 字符"/>
    <w:qFormat/>
    <w:rPr>
      <w:rFonts w:ascii="宋体" w:hAnsi="Times New Roman" w:eastAsia="宋体" w:cs="Century"/>
      <w:spacing w:val="2"/>
      <w:szCs w:val="24"/>
    </w:rPr>
  </w:style>
  <w:style w:type="character" w:styleId="1434" w:customStyle="1">
    <w:name w:val="日期 字符"/>
    <w:uiPriority w:val="99"/>
    <w:qFormat/>
    <w:rPr>
      <w:rFonts w:ascii="宋体" w:hAnsi="宋体" w:eastAsia="宋体" w:cs="Times New Roman"/>
      <w:sz w:val="24"/>
      <w:szCs w:val="20"/>
    </w:rPr>
  </w:style>
  <w:style w:type="character" w:styleId="1435" w:customStyle="1">
    <w:name w:val="正文文本缩进 2 字符"/>
    <w:qFormat/>
    <w:rPr>
      <w:rFonts w:ascii="Times New Roman" w:hAnsi="Times New Roman" w:eastAsia="宋体" w:cs="Times New Roman"/>
      <w:szCs w:val="24"/>
    </w:rPr>
  </w:style>
  <w:style w:type="character" w:styleId="1436" w:customStyle="1">
    <w:name w:val="批注框文本 字符"/>
    <w:uiPriority w:val="99"/>
    <w:qFormat/>
    <w:rPr>
      <w:rFonts w:ascii="Times New Roman" w:hAnsi="Times New Roman" w:eastAsia="宋体" w:cs="Times New Roman"/>
      <w:sz w:val="18"/>
      <w:szCs w:val="18"/>
    </w:rPr>
  </w:style>
  <w:style w:type="character" w:styleId="1437" w:customStyle="1">
    <w:name w:val="页脚 字符"/>
    <w:uiPriority w:val="99"/>
    <w:qFormat/>
    <w:rPr>
      <w:rFonts w:ascii="Times New Roman" w:hAnsi="Times New Roman" w:eastAsia="宋体" w:cs="Times New Roman"/>
      <w:sz w:val="18"/>
      <w:szCs w:val="18"/>
    </w:rPr>
  </w:style>
  <w:style w:type="character" w:styleId="1438" w:customStyle="1">
    <w:name w:val="页眉 字符"/>
    <w:uiPriority w:val="99"/>
    <w:qFormat/>
    <w:rPr>
      <w:rFonts w:ascii="Times New Roman" w:hAnsi="Times New Roman" w:eastAsia="宋体" w:cs="Times New Roman"/>
      <w:sz w:val="18"/>
      <w:szCs w:val="20"/>
    </w:rPr>
  </w:style>
  <w:style w:type="paragraph" w:styleId="1439" w:customStyle="1">
    <w:name w:val="纯文本1"/>
    <w:next w:val="1225"/>
    <w:link w:val="1440"/>
    <w:qFormat/>
    <w:pPr>
      <w:jc w:val="both"/>
      <w:widowControl w:val="off"/>
    </w:pPr>
    <w:rPr>
      <w:rFonts w:ascii="宋体" w:hAnsi="宋体"/>
      <w:sz w:val="26"/>
    </w:rPr>
  </w:style>
  <w:style w:type="character" w:styleId="1440" w:customStyle="1">
    <w:name w:val="Plain Text Char"/>
    <w:link w:val="1439"/>
    <w:qFormat/>
    <w:rPr>
      <w:rFonts w:ascii="宋体" w:hAnsi="宋体"/>
      <w:sz w:val="26"/>
    </w:rPr>
  </w:style>
  <w:style w:type="paragraph" w:styleId="1441" w:customStyle="1">
    <w:name w:val="列出段落11"/>
    <w:basedOn w:val="1010"/>
    <w:uiPriority w:val="99"/>
    <w:qFormat/>
    <w:pPr>
      <w:ind w:firstLine="420"/>
    </w:pPr>
    <w:rPr>
      <w:szCs w:val="20"/>
    </w:rPr>
  </w:style>
  <w:style w:type="character" w:styleId="1442" w:customStyle="1">
    <w:name w:val="页码1"/>
    <w:link w:val="1443"/>
    <w:qFormat/>
  </w:style>
  <w:style w:type="paragraph" w:styleId="1443" w:customStyle="1">
    <w:name w:val="正文11"/>
    <w:next w:val="1010"/>
    <w:link w:val="1442"/>
    <w:qFormat/>
    <w:pPr>
      <w:jc w:val="both"/>
    </w:pPr>
  </w:style>
  <w:style w:type="paragraph" w:styleId="1444" w:customStyle="1">
    <w:name w:val="正文文本缩进21"/>
    <w:basedOn w:val="1010"/>
    <w:qFormat/>
    <w:pPr>
      <w:ind w:firstLine="301"/>
      <w:spacing w:line="200" w:lineRule="exact"/>
    </w:pPr>
    <w:rPr>
      <w:rFonts w:ascii="宋体" w:hAnsi="Courier New"/>
      <w:spacing w:val="-4"/>
      <w:sz w:val="18"/>
      <w:szCs w:val="20"/>
    </w:rPr>
  </w:style>
  <w:style w:type="paragraph" w:styleId="1445" w:customStyle="1">
    <w:name w:val="修订1"/>
    <w:uiPriority w:val="99"/>
    <w:semiHidden/>
    <w:qFormat/>
    <w:rPr>
      <w:sz w:val="21"/>
    </w:rPr>
  </w:style>
  <w:style w:type="character" w:styleId="1446" w:customStyle="1">
    <w:name w:val="正文缩进 字符"/>
    <w:uiPriority w:val="99"/>
    <w:qFormat/>
    <w:rPr>
      <w:rFonts w:ascii="宋体" w:hAnsi="Times New Roman" w:eastAsia="宋体" w:cs="Times New Roman"/>
      <w:sz w:val="24"/>
    </w:rPr>
  </w:style>
  <w:style w:type="paragraph" w:styleId="1447" w:customStyle="1">
    <w:name w:val="Í¼±íÕýÎÄ"/>
    <w:basedOn w:val="1010"/>
    <w:next w:val="1189"/>
    <w:qFormat/>
    <w:pPr>
      <w:ind w:firstLine="420"/>
    </w:pPr>
    <w:rPr>
      <w:sz w:val="24"/>
      <w:szCs w:val="20"/>
    </w:rPr>
  </w:style>
  <w:style w:type="character" w:styleId="1448" w:customStyle="1">
    <w:name w:val="font01"/>
    <w:qFormat/>
    <w:rPr>
      <w:rFonts w:hint="eastAsia" w:ascii="宋体" w:hAnsi="宋体" w:eastAsia="宋体" w:cs="宋体"/>
      <w:color w:val="000000"/>
      <w:sz w:val="24"/>
      <w:szCs w:val="24"/>
      <w:u w:val="none"/>
    </w:rPr>
  </w:style>
  <w:style w:type="paragraph" w:styleId="1449" w:customStyle="1">
    <w:name w:val="纯文本2"/>
    <w:next w:val="1225"/>
    <w:link w:val="1450"/>
    <w:qFormat/>
    <w:pPr>
      <w:jc w:val="both"/>
      <w:widowControl w:val="off"/>
    </w:pPr>
    <w:rPr>
      <w:rFonts w:ascii="宋体"/>
      <w:sz w:val="26"/>
      <w:szCs w:val="22"/>
    </w:rPr>
  </w:style>
  <w:style w:type="character" w:styleId="1450" w:customStyle="1">
    <w:name w:val="纯文本 Char2"/>
    <w:link w:val="1449"/>
    <w:qFormat/>
    <w:rPr>
      <w:rFonts w:ascii="宋体"/>
      <w:sz w:val="26"/>
      <w:szCs w:val="22"/>
    </w:rPr>
  </w:style>
  <w:style w:type="paragraph" w:styleId="1451" w:customStyle="1">
    <w:name w:val="TOC 标题1"/>
    <w:basedOn w:val="1011"/>
    <w:next w:val="1010"/>
    <w:unhideWhenUsed/>
    <w:qFormat/>
    <w:pPr>
      <w:jc w:val="left"/>
      <w:spacing w:before="480" w:after="0" w:line="276" w:lineRule="auto"/>
      <w:widowControl/>
      <w:outlineLvl w:val="9"/>
    </w:pPr>
    <w:rPr>
      <w:rFonts w:ascii="Cambria" w:hAnsi="Cambria"/>
      <w:bCs/>
      <w:color w:val="365f91"/>
      <w:sz w:val="28"/>
      <w:szCs w:val="28"/>
    </w:rPr>
  </w:style>
  <w:style w:type="character" w:styleId="1452" w:customStyle="1">
    <w:name w:val="标题 4 字符"/>
    <w:uiPriority w:val="9"/>
    <w:qFormat/>
    <w:rPr>
      <w:rFonts w:ascii="Cambria" w:hAnsi="Cambria" w:eastAsia="宋体" w:cs="Times New Roman"/>
      <w:b/>
      <w:bCs/>
      <w:sz w:val="28"/>
      <w:szCs w:val="28"/>
    </w:rPr>
  </w:style>
  <w:style w:type="character" w:styleId="1453" w:customStyle="1">
    <w:name w:val="标题 5 字符"/>
    <w:uiPriority w:val="9"/>
    <w:qFormat/>
    <w:rPr>
      <w:rFonts w:ascii="Times New Roman" w:hAnsi="Times New Roman" w:eastAsia="宋体" w:cs="Times New Roman"/>
      <w:b/>
      <w:bCs/>
      <w:sz w:val="28"/>
      <w:szCs w:val="28"/>
    </w:rPr>
  </w:style>
  <w:style w:type="character" w:styleId="1454" w:customStyle="1">
    <w:name w:val="标题 6 字符"/>
    <w:uiPriority w:val="9"/>
    <w:qFormat/>
    <w:rPr>
      <w:rFonts w:ascii="Cambria" w:hAnsi="Cambria" w:eastAsia="宋体" w:cs="Times New Roman"/>
      <w:b/>
      <w:bCs/>
      <w:sz w:val="24"/>
      <w:szCs w:val="24"/>
    </w:rPr>
  </w:style>
  <w:style w:type="character" w:styleId="1455" w:customStyle="1">
    <w:name w:val="标题 7 字符"/>
    <w:uiPriority w:val="9"/>
    <w:qFormat/>
    <w:rPr>
      <w:rFonts w:ascii="Times New Roman" w:hAnsi="Times New Roman" w:eastAsia="宋体" w:cs="Times New Roman"/>
      <w:b/>
      <w:bCs/>
      <w:sz w:val="24"/>
      <w:szCs w:val="24"/>
    </w:rPr>
  </w:style>
  <w:style w:type="character" w:styleId="1456" w:customStyle="1">
    <w:name w:val="标题 8 字符"/>
    <w:uiPriority w:val="9"/>
    <w:qFormat/>
    <w:rPr>
      <w:rFonts w:ascii="Cambria" w:hAnsi="Cambria" w:eastAsia="宋体" w:cs="Times New Roman"/>
      <w:sz w:val="24"/>
      <w:szCs w:val="24"/>
    </w:rPr>
  </w:style>
  <w:style w:type="character" w:styleId="1457" w:customStyle="1">
    <w:name w:val="标题 9 字符"/>
    <w:uiPriority w:val="9"/>
    <w:qFormat/>
    <w:rPr>
      <w:rFonts w:ascii="Cambria" w:hAnsi="Cambria" w:eastAsia="宋体" w:cs="Times New Roman"/>
      <w:sz w:val="21"/>
      <w:szCs w:val="21"/>
    </w:rPr>
  </w:style>
  <w:style w:type="character" w:styleId="1458" w:customStyle="1">
    <w:name w:val="正文文本 3 字符"/>
    <w:qFormat/>
    <w:rPr>
      <w:rFonts w:ascii="Times New Roman" w:hAnsi="Times New Roman" w:eastAsia="宋体" w:cs="Times New Roman"/>
      <w:sz w:val="16"/>
      <w:szCs w:val="16"/>
    </w:rPr>
  </w:style>
  <w:style w:type="character" w:styleId="1459" w:customStyle="1">
    <w:name w:val="正文文本缩进 3 字符"/>
    <w:qFormat/>
    <w:rPr>
      <w:rFonts w:ascii="Times New Roman" w:hAnsi="Times New Roman" w:eastAsia="宋体" w:cs="Times New Roman"/>
      <w:sz w:val="16"/>
      <w:szCs w:val="16"/>
    </w:rPr>
  </w:style>
  <w:style w:type="character" w:styleId="1460" w:customStyle="1">
    <w:name w:val="标题 字符"/>
    <w:qFormat/>
    <w:rPr>
      <w:rFonts w:ascii="Cambria" w:hAnsi="Cambria" w:eastAsia="宋体" w:cs="Times New Roman"/>
      <w:b/>
      <w:bCs/>
      <w:sz w:val="32"/>
      <w:szCs w:val="32"/>
    </w:rPr>
  </w:style>
  <w:style w:type="character" w:styleId="1461" w:customStyle="1">
    <w:name w:val="正文文本首行缩进 2 字符"/>
    <w:uiPriority w:val="99"/>
    <w:qFormat/>
    <w:rPr>
      <w:rFonts w:ascii="Times New Roman" w:hAnsi="Times New Roman" w:eastAsia="宋体" w:cs="Times New Roman"/>
      <w:spacing w:val="2"/>
      <w:sz w:val="21"/>
      <w:szCs w:val="24"/>
    </w:rPr>
  </w:style>
  <w:style w:type="paragraph" w:styleId="1462" w:customStyle="1">
    <w:name w:val="p0"/>
    <w:basedOn w:val="1010"/>
    <w:uiPriority w:val="99"/>
    <w:qFormat/>
    <w:pPr>
      <w:widowControl/>
    </w:pPr>
    <w:rPr>
      <w:szCs w:val="21"/>
    </w:rPr>
  </w:style>
  <w:style w:type="character" w:styleId="1463" w:customStyle="1">
    <w:name w:val="font91"/>
    <w:qFormat/>
    <w:rPr>
      <w:rFonts w:ascii="Times New Roman" w:hAnsi="Times New Roman" w:cs="Times New Roman"/>
      <w:color w:val="000000"/>
      <w:sz w:val="21"/>
      <w:szCs w:val="21"/>
    </w:rPr>
  </w:style>
  <w:style w:type="character" w:styleId="1464" w:customStyle="1">
    <w:name w:val="页眉 字符1"/>
    <w:qFormat/>
    <w:rPr>
      <w:rFonts w:eastAsia="宋体"/>
      <w:sz w:val="18"/>
      <w:lang w:val="en-US" w:eastAsia="zh-CN"/>
    </w:rPr>
  </w:style>
  <w:style w:type="character" w:styleId="1465" w:customStyle="1">
    <w:name w:val="正文缩进 字符1"/>
    <w:qFormat/>
    <w:rPr>
      <w:sz w:val="24"/>
    </w:rPr>
  </w:style>
  <w:style w:type="character" w:styleId="1466" w:customStyle="1">
    <w:name w:val="正文文本缩进 3 Char1"/>
    <w:qFormat/>
    <w:rPr>
      <w:sz w:val="16"/>
    </w:rPr>
  </w:style>
  <w:style w:type="character" w:styleId="1467" w:customStyle="1">
    <w:name w:val="正文文本 3 Char1"/>
    <w:semiHidden/>
    <w:qFormat/>
    <w:rPr>
      <w:rFonts w:ascii="Times New Roman" w:hAnsi="Times New Roman" w:eastAsia="宋体" w:cs="Times New Roman"/>
      <w:sz w:val="16"/>
      <w:szCs w:val="16"/>
    </w:rPr>
  </w:style>
  <w:style w:type="paragraph" w:styleId="1468" w:customStyle="1">
    <w:name w:val="正文文本缩进 Char Char"/>
    <w:basedOn w:val="1010"/>
    <w:uiPriority w:val="99"/>
    <w:qFormat/>
    <w:pPr>
      <w:ind w:left="420"/>
      <w:spacing w:after="120"/>
    </w:pPr>
    <w:rPr>
      <w:rFonts w:hAnsi="Calibri"/>
      <w:szCs w:val="20"/>
    </w:rPr>
  </w:style>
  <w:style w:type="character" w:styleId="1469" w:customStyle="1">
    <w:name w:val="批注框文本 Char1"/>
    <w:semiHidden/>
    <w:qFormat/>
    <w:rPr>
      <w:sz w:val="18"/>
    </w:rPr>
  </w:style>
  <w:style w:type="character" w:styleId="1470" w:customStyle="1">
    <w:name w:val="info1"/>
    <w:uiPriority w:val="99"/>
    <w:qFormat/>
    <w:rPr>
      <w:sz w:val="29"/>
    </w:rPr>
  </w:style>
  <w:style w:type="character" w:styleId="1471" w:customStyle="1">
    <w:name w:val="正文文本 3 字符1"/>
    <w:qFormat/>
    <w:rPr>
      <w:rFonts w:ascii="Times New Roman" w:hAnsi="Times New Roman"/>
      <w:b/>
      <w:sz w:val="24"/>
    </w:rPr>
  </w:style>
  <w:style w:type="character" w:styleId="1472" w:customStyle="1">
    <w:name w:val="font21"/>
    <w:qFormat/>
    <w:rPr>
      <w:rFonts w:ascii="宋体" w:hAnsi="宋体" w:eastAsia="宋体" w:cs="宋体"/>
      <w:color w:val="000000"/>
      <w:sz w:val="24"/>
      <w:szCs w:val="24"/>
    </w:rPr>
  </w:style>
  <w:style w:type="character" w:styleId="1473" w:customStyle="1">
    <w:name w:val="标题 字符1"/>
    <w:uiPriority w:val="10"/>
    <w:qFormat/>
    <w:rPr>
      <w:rFonts w:ascii="Arial" w:hAnsi="Arial"/>
      <w:b/>
      <w:sz w:val="32"/>
    </w:rPr>
  </w:style>
  <w:style w:type="character" w:styleId="1474" w:customStyle="1">
    <w:name w:val="正文文本 字符1"/>
    <w:qFormat/>
  </w:style>
  <w:style w:type="character" w:styleId="1475" w:customStyle="1">
    <w:name w:val="font101"/>
    <w:qFormat/>
    <w:rPr>
      <w:rFonts w:ascii="宋体" w:hAnsi="宋体" w:eastAsia="宋体" w:cs="宋体"/>
      <w:b/>
      <w:color w:val="000000"/>
      <w:sz w:val="24"/>
      <w:szCs w:val="24"/>
    </w:rPr>
  </w:style>
  <w:style w:type="character" w:styleId="1476" w:customStyle="1">
    <w:name w:val="font31"/>
    <w:qFormat/>
    <w:rPr>
      <w:rFonts w:ascii="宋体" w:hAnsi="宋体" w:eastAsia="宋体" w:cs="宋体"/>
      <w:b/>
      <w:color w:val="000000"/>
      <w:sz w:val="24"/>
      <w:szCs w:val="24"/>
    </w:rPr>
  </w:style>
  <w:style w:type="character" w:styleId="1477" w:customStyle="1">
    <w:name w:val="标题 7 字符1"/>
    <w:qFormat/>
    <w:rPr>
      <w:rFonts w:ascii="Courier New" w:hAnsi="Courier New" w:eastAsia="宋体" w:cs="Times New Roman"/>
      <w:b/>
      <w:bCs/>
      <w:sz w:val="21"/>
      <w:szCs w:val="21"/>
    </w:rPr>
  </w:style>
  <w:style w:type="character" w:styleId="1478" w:customStyle="1">
    <w:name w:val="页脚 字符1"/>
    <w:qFormat/>
    <w:rPr>
      <w:rFonts w:eastAsia="宋体"/>
      <w:sz w:val="18"/>
      <w:lang w:val="en-US" w:eastAsia="zh-CN"/>
    </w:rPr>
  </w:style>
  <w:style w:type="character" w:styleId="1479" w:customStyle="1">
    <w:name w:val="正文文本缩进 字符1"/>
    <w:qFormat/>
    <w:rPr>
      <w:rFonts w:ascii="宋体" w:hAnsi="宋体" w:cs="Century"/>
      <w:spacing w:val="2"/>
      <w:sz w:val="24"/>
      <w:szCs w:val="24"/>
    </w:rPr>
  </w:style>
  <w:style w:type="character" w:styleId="1480" w:customStyle="1">
    <w:name w:val="font81"/>
    <w:qFormat/>
    <w:rPr>
      <w:rFonts w:ascii="宋体" w:hAnsi="宋体" w:eastAsia="宋体" w:cs="宋体"/>
      <w:b/>
      <w:color w:val="000000"/>
      <w:sz w:val="24"/>
      <w:szCs w:val="24"/>
    </w:rPr>
  </w:style>
  <w:style w:type="character" w:styleId="1481" w:customStyle="1">
    <w:name w:val="font51"/>
    <w:qFormat/>
    <w:rPr>
      <w:rFonts w:ascii="Times New Roman" w:hAnsi="Times New Roman" w:cs="Times New Roman"/>
      <w:color w:val="000000"/>
      <w:sz w:val="24"/>
      <w:szCs w:val="24"/>
    </w:rPr>
  </w:style>
  <w:style w:type="character" w:styleId="1482" w:customStyle="1">
    <w:name w:val="正文文本 Char1"/>
    <w:semiHidden/>
    <w:qFormat/>
    <w:rPr>
      <w:sz w:val="24"/>
    </w:rPr>
  </w:style>
  <w:style w:type="character" w:styleId="1483" w:customStyle="1">
    <w:name w:val="引用 Char"/>
    <w:link w:val="1484"/>
    <w:uiPriority w:val="99"/>
    <w:qFormat/>
    <w:rPr>
      <w:rFonts w:eastAsia="仿宋_GB2312"/>
      <w:color w:val="000000"/>
      <w:sz w:val="24"/>
    </w:rPr>
  </w:style>
  <w:style w:type="paragraph" w:styleId="1484" w:customStyle="1">
    <w:name w:val="引用1"/>
    <w:basedOn w:val="1010"/>
    <w:next w:val="1010"/>
    <w:link w:val="1483"/>
    <w:uiPriority w:val="99"/>
    <w:qFormat/>
    <w:rPr>
      <w:rFonts w:eastAsia="仿宋_GB2312"/>
      <w:color w:val="000000"/>
      <w:sz w:val="24"/>
      <w:szCs w:val="20"/>
    </w:rPr>
  </w:style>
  <w:style w:type="character" w:styleId="1485" w:customStyle="1">
    <w:name w:val="font71"/>
    <w:qFormat/>
    <w:rPr>
      <w:rFonts w:ascii="宋体" w:hAnsi="宋体" w:eastAsia="宋体" w:cs="宋体"/>
      <w:b/>
      <w:color w:val="000000"/>
      <w:sz w:val="18"/>
      <w:szCs w:val="18"/>
      <w:vertAlign w:val="superscript"/>
    </w:rPr>
  </w:style>
  <w:style w:type="character" w:styleId="1486" w:customStyle="1">
    <w:name w:val="标题 9 字符1"/>
    <w:qFormat/>
    <w:rPr>
      <w:rFonts w:ascii="Arial" w:hAnsi="Arial" w:eastAsia="黑体" w:cs="Times New Roman"/>
    </w:rPr>
  </w:style>
  <w:style w:type="character" w:styleId="1487" w:customStyle="1">
    <w:name w:val="标题 6 字符1"/>
    <w:qFormat/>
    <w:rPr>
      <w:rFonts w:ascii="Arial" w:hAnsi="Arial" w:eastAsia="宋体" w:cs="Times New Roman"/>
      <w:bCs/>
      <w:sz w:val="24"/>
      <w:szCs w:val="24"/>
    </w:rPr>
  </w:style>
  <w:style w:type="character" w:styleId="1488" w:customStyle="1">
    <w:name w:val="日期 字符1"/>
    <w:qFormat/>
    <w:rPr>
      <w:szCs w:val="20"/>
    </w:rPr>
  </w:style>
  <w:style w:type="character" w:styleId="1489" w:customStyle="1">
    <w:name w:val="Char Char17"/>
    <w:qFormat/>
    <w:rPr>
      <w:rFonts w:ascii="Arial" w:hAnsi="Arial" w:eastAsia="黑体"/>
      <w:b/>
      <w:sz w:val="32"/>
    </w:rPr>
  </w:style>
  <w:style w:type="character" w:styleId="1490" w:customStyle="1">
    <w:name w:val="articlecontent"/>
    <w:qFormat/>
    <w:rPr>
      <w:rFonts w:cs="Times New Roman"/>
    </w:rPr>
  </w:style>
  <w:style w:type="character" w:styleId="1491" w:customStyle="1">
    <w:name w:val="批注主题 字符1"/>
    <w:qFormat/>
    <w:rPr>
      <w:b/>
      <w:bCs/>
      <w:sz w:val="24"/>
      <w:szCs w:val="24"/>
    </w:rPr>
  </w:style>
  <w:style w:type="character" w:styleId="1492" w:customStyle="1">
    <w:name w:val="标题 2 字符1"/>
    <w:qFormat/>
    <w:rPr>
      <w:rFonts w:ascii="Arial" w:hAnsi="Arial" w:eastAsia="黑体" w:cs="Arial"/>
      <w:sz w:val="28"/>
    </w:rPr>
  </w:style>
  <w:style w:type="character" w:styleId="1493" w:customStyle="1">
    <w:name w:val="标题 8 字符1"/>
    <w:qFormat/>
    <w:rPr>
      <w:rFonts w:ascii="Arial" w:hAnsi="Arial" w:eastAsia="黑体" w:cs="Times New Roman"/>
    </w:rPr>
  </w:style>
  <w:style w:type="character" w:styleId="1494" w:customStyle="1">
    <w:name w:val="font161"/>
    <w:qFormat/>
    <w:rPr>
      <w:b/>
      <w:sz w:val="32"/>
    </w:rPr>
  </w:style>
  <w:style w:type="character" w:styleId="1495" w:customStyle="1">
    <w:name w:val="标题 1 Char1"/>
    <w:qFormat/>
    <w:rPr>
      <w:rFonts w:ascii="Times New Roman" w:hAnsi="Times New Roman" w:eastAsia="黑体" w:cs="Times New Roman"/>
      <w:sz w:val="30"/>
      <w:szCs w:val="20"/>
    </w:rPr>
  </w:style>
  <w:style w:type="character" w:styleId="1496" w:customStyle="1">
    <w:name w:val="正文文本 字符2"/>
    <w:qFormat/>
    <w:rPr>
      <w:rFonts w:ascii="Times New Roman" w:hAnsi="Times New Roman"/>
    </w:rPr>
  </w:style>
  <w:style w:type="character" w:styleId="1497" w:customStyle="1">
    <w:name w:val="标题 4 字符1"/>
    <w:qFormat/>
    <w:rPr>
      <w:rFonts w:ascii="Arial" w:hAnsi="Arial" w:eastAsia="黑体" w:cs="Times New Roman"/>
      <w:b/>
      <w:bCs/>
      <w:sz w:val="28"/>
      <w:szCs w:val="28"/>
    </w:rPr>
  </w:style>
  <w:style w:type="character" w:styleId="1498" w:customStyle="1">
    <w:name w:val="批注文字 字符1"/>
    <w:uiPriority w:val="99"/>
    <w:qFormat/>
    <w:rPr>
      <w:sz w:val="21"/>
    </w:rPr>
  </w:style>
  <w:style w:type="character" w:styleId="1499" w:customStyle="1">
    <w:name w:val="标题 1 字符1"/>
    <w:qFormat/>
    <w:rPr>
      <w:rFonts w:eastAsia="黑体"/>
      <w:sz w:val="30"/>
    </w:rPr>
  </w:style>
  <w:style w:type="character" w:styleId="1500" w:customStyle="1">
    <w:name w:val="apple-converted-space"/>
    <w:qFormat/>
    <w:rPr>
      <w:rFonts w:cs="Times New Roman"/>
    </w:rPr>
  </w:style>
  <w:style w:type="character" w:styleId="1501" w:customStyle="1">
    <w:name w:val="正文文本缩进 3 字符1"/>
    <w:qFormat/>
    <w:rPr>
      <w:rFonts w:ascii="Times New Roman" w:hAnsi="Times New Roman"/>
      <w:sz w:val="16"/>
      <w:szCs w:val="16"/>
    </w:rPr>
  </w:style>
  <w:style w:type="character" w:styleId="1502" w:customStyle="1">
    <w:name w:val="标题 3 字符1"/>
    <w:qFormat/>
    <w:rPr>
      <w:rFonts w:eastAsia="宋体"/>
      <w:b/>
      <w:sz w:val="32"/>
      <w:lang w:val="en-US" w:eastAsia="zh-CN"/>
    </w:rPr>
  </w:style>
  <w:style w:type="character" w:styleId="1503" w:customStyle="1">
    <w:name w:val="文档结构图 Char1"/>
    <w:semiHidden/>
    <w:qFormat/>
    <w:rPr>
      <w:rFonts w:ascii="Microsoft YaHei UI" w:eastAsia="Microsoft YaHei UI"/>
      <w:sz w:val="18"/>
    </w:rPr>
  </w:style>
  <w:style w:type="character" w:styleId="1504" w:customStyle="1">
    <w:name w:val="font11"/>
    <w:qFormat/>
    <w:rPr>
      <w:rFonts w:ascii="宋体" w:hAnsi="宋体" w:eastAsia="宋体" w:cs="宋体"/>
      <w:b/>
      <w:color w:val="000000"/>
      <w:sz w:val="18"/>
      <w:szCs w:val="18"/>
    </w:rPr>
  </w:style>
  <w:style w:type="character" w:styleId="1505" w:customStyle="1">
    <w:name w:val="正文文本 2 Char1"/>
    <w:semiHidden/>
    <w:qFormat/>
    <w:rPr>
      <w:rFonts w:ascii="Times New Roman" w:hAnsi="Times New Roman" w:eastAsia="宋体" w:cs="Times New Roman"/>
      <w:sz w:val="24"/>
      <w:szCs w:val="24"/>
    </w:rPr>
  </w:style>
  <w:style w:type="character" w:styleId="1506" w:customStyle="1">
    <w:name w:val="正文文本缩进 2 字符1"/>
    <w:qFormat/>
    <w:rPr>
      <w:rFonts w:ascii="Courier New" w:hAnsi="Courier New"/>
    </w:rPr>
  </w:style>
  <w:style w:type="character" w:styleId="1507" w:customStyle="1">
    <w:name w:val="脚注文本 Char1"/>
    <w:semiHidden/>
    <w:qFormat/>
    <w:rPr>
      <w:rFonts w:ascii="Times New Roman" w:hAnsi="Times New Roman" w:eastAsia="宋体" w:cs="Times New Roman"/>
      <w:sz w:val="18"/>
      <w:szCs w:val="18"/>
    </w:rPr>
  </w:style>
  <w:style w:type="character" w:styleId="1508" w:customStyle="1">
    <w:name w:val="标题 5 字符1"/>
    <w:qFormat/>
    <w:rPr>
      <w:rFonts w:ascii="Times New Roman" w:hAnsi="Times New Roman" w:eastAsia="宋体" w:cs="Times New Roman"/>
      <w:b/>
      <w:sz w:val="28"/>
      <w:szCs w:val="28"/>
    </w:rPr>
  </w:style>
  <w:style w:type="character" w:styleId="1509" w:customStyle="1">
    <w:name w:val="正文文本缩进 2 Char1"/>
    <w:semiHidden/>
    <w:qFormat/>
    <w:rPr>
      <w:rFonts w:ascii="Times New Roman" w:hAnsi="Times New Roman" w:eastAsia="宋体" w:cs="Times New Roman"/>
      <w:sz w:val="24"/>
      <w:szCs w:val="24"/>
    </w:rPr>
  </w:style>
  <w:style w:type="character" w:styleId="1510" w:customStyle="1">
    <w:name w:val="Placeholder Text1"/>
    <w:uiPriority w:val="99"/>
    <w:semiHidden/>
    <w:qFormat/>
    <w:rPr>
      <w:rFonts w:cs="Times New Roman"/>
      <w:color w:val="808080"/>
    </w:rPr>
  </w:style>
  <w:style w:type="character" w:styleId="1511" w:customStyle="1">
    <w:name w:val="批注框文本 字符1"/>
    <w:qFormat/>
    <w:rPr>
      <w:sz w:val="18"/>
    </w:rPr>
  </w:style>
  <w:style w:type="character" w:styleId="1512" w:customStyle="1">
    <w:name w:val="font61"/>
    <w:qFormat/>
    <w:rPr>
      <w:rFonts w:ascii="宋体" w:hAnsi="宋体" w:eastAsia="宋体" w:cs="宋体"/>
      <w:b/>
      <w:color w:val="000000"/>
      <w:sz w:val="24"/>
      <w:szCs w:val="24"/>
      <w:vertAlign w:val="superscript"/>
    </w:rPr>
  </w:style>
  <w:style w:type="character" w:styleId="1513" w:customStyle="1">
    <w:name w:val="批注主题 字符2"/>
    <w:qFormat/>
    <w:rPr>
      <w:b/>
      <w:bCs/>
      <w:sz w:val="21"/>
    </w:rPr>
  </w:style>
  <w:style w:type="character" w:styleId="1514" w:customStyle="1">
    <w:name w:val="已访问的超链接1"/>
    <w:uiPriority w:val="99"/>
    <w:qFormat/>
    <w:rPr>
      <w:rFonts w:ascii="Times New Roman"/>
    </w:rPr>
  </w:style>
  <w:style w:type="paragraph" w:styleId="1515" w:customStyle="1">
    <w:name w:val="_Style 49"/>
    <w:basedOn w:val="1010"/>
    <w:next w:val="1212"/>
    <w:uiPriority w:val="99"/>
    <w:qFormat/>
    <w:rPr>
      <w:rFonts w:ascii="宋体" w:hAnsi="Courier New"/>
      <w:sz w:val="24"/>
      <w:szCs w:val="20"/>
    </w:rPr>
  </w:style>
  <w:style w:type="paragraph" w:styleId="1516" w:customStyle="1">
    <w:name w:val="_Style 90"/>
    <w:qFormat/>
    <w:pPr>
      <w:jc w:val="both"/>
      <w:widowControl w:val="off"/>
    </w:pPr>
    <w:rPr>
      <w:sz w:val="21"/>
    </w:rPr>
  </w:style>
  <w:style w:type="paragraph" w:styleId="1517" w:customStyle="1">
    <w:name w:val="Char Char Char1 Char8"/>
    <w:basedOn w:val="1010"/>
    <w:uiPriority w:val="99"/>
    <w:qFormat/>
    <w:pPr>
      <w:numPr>
        <w:numId w:val="8"/>
      </w:numPr>
      <w:ind w:firstLine="200"/>
      <w:spacing w:line="360" w:lineRule="auto"/>
    </w:pPr>
    <w:rPr>
      <w:rFonts w:ascii="Calibri" w:hAnsi="Calibri"/>
      <w:szCs w:val="20"/>
    </w:rPr>
  </w:style>
  <w:style w:type="character" w:styleId="1518" w:customStyle="1">
    <w:name w:val="正文文本首行缩进 字符1"/>
    <w:uiPriority w:val="99"/>
    <w:semiHidden/>
    <w:qFormat/>
    <w:rPr>
      <w:rFonts w:ascii="Times New Roman" w:hAnsi="Times New Roman" w:eastAsia="宋体" w:cs="Times New Roman"/>
      <w:sz w:val="21"/>
      <w:szCs w:val="24"/>
    </w:rPr>
  </w:style>
  <w:style w:type="paragraph" w:styleId="1519" w:customStyle="1">
    <w:name w:val="样式 标题 3 + (中文) 黑体 小四 非加粗 段前: 7.8 磅 段后: 0 磅 行距: 固定值 20 磅"/>
    <w:basedOn w:val="1013"/>
    <w:qFormat/>
    <w:pPr>
      <w:jc w:val="both"/>
      <w:spacing w:before="0" w:after="0" w:line="400" w:lineRule="exact"/>
    </w:pPr>
    <w:rPr>
      <w:rFonts w:ascii="Calibri" w:hAnsi="Calibri" w:eastAsia="黑体"/>
      <w:b w:val="0"/>
      <w:szCs w:val="24"/>
      <w:u w:val="none"/>
    </w:rPr>
  </w:style>
  <w:style w:type="paragraph" w:styleId="1520" w:customStyle="1">
    <w:name w:val="6'"/>
    <w:basedOn w:val="1010"/>
    <w:qFormat/>
    <w:pPr>
      <w:jc w:val="center"/>
      <w:spacing w:line="320" w:lineRule="exact"/>
    </w:pPr>
    <w:rPr>
      <w:spacing w:val="20"/>
      <w:szCs w:val="20"/>
    </w:rPr>
  </w:style>
  <w:style w:type="character" w:styleId="1521" w:customStyle="1">
    <w:name w:val="脚注文本 字符2"/>
    <w:uiPriority w:val="99"/>
    <w:semiHidden/>
    <w:qFormat/>
    <w:rPr>
      <w:rFonts w:ascii="Times New Roman" w:hAnsi="Times New Roman" w:eastAsia="宋体" w:cs="Times New Roman"/>
      <w:sz w:val="18"/>
      <w:szCs w:val="18"/>
    </w:rPr>
  </w:style>
  <w:style w:type="paragraph" w:styleId="1522" w:customStyle="1">
    <w:name w:val="默认段落字体 Para Char Char Char Char Char Char Char Char Char1 Char Char Char Char Char Char Char Char"/>
    <w:basedOn w:val="1198"/>
    <w:qFormat/>
  </w:style>
  <w:style w:type="paragraph" w:styleId="1523" w:customStyle="1">
    <w:name w:val="样式 标题 1 + 黑体 三号 非加粗 居中 段前: 6 磅 段后: 6 磅 行距: 固定值 20 磅"/>
    <w:basedOn w:val="1011"/>
    <w:qFormat/>
    <w:pPr>
      <w:spacing w:before="120" w:line="400" w:lineRule="exact"/>
    </w:pPr>
    <w:rPr>
      <w:rFonts w:ascii="黑体" w:hAnsi="黑体" w:eastAsia="黑体" w:cs="宋体"/>
      <w:b w:val="0"/>
    </w:rPr>
  </w:style>
  <w:style w:type="paragraph" w:styleId="1524" w:customStyle="1">
    <w:name w:val="myparagraph"/>
    <w:basedOn w:val="1010"/>
    <w:qFormat/>
    <w:pPr>
      <w:ind w:firstLine="480"/>
      <w:jc w:val="left"/>
      <w:spacing w:before="100" w:beforeAutospacing="1" w:after="100" w:afterAutospacing="1"/>
      <w:widowControl/>
    </w:pPr>
    <w:rPr>
      <w:rFonts w:ascii="宋体" w:hAnsi="宋体"/>
      <w:sz w:val="28"/>
      <w:szCs w:val="28"/>
    </w:rPr>
  </w:style>
  <w:style w:type="paragraph" w:styleId="1525" w:customStyle="1">
    <w:name w:val="xl57"/>
    <w:basedOn w:val="101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26" w:customStyle="1">
    <w:name w:val="标题 字符2"/>
    <w:uiPriority w:val="10"/>
    <w:qFormat/>
    <w:rPr>
      <w:rFonts w:ascii="Cambria" w:hAnsi="Cambria" w:eastAsia="宋体" w:cs="Times New Roman"/>
      <w:b/>
      <w:bCs/>
      <w:sz w:val="32"/>
      <w:szCs w:val="32"/>
    </w:rPr>
  </w:style>
  <w:style w:type="paragraph" w:styleId="1527" w:customStyle="1">
    <w:name w:val="标题3"/>
    <w:basedOn w:val="1010"/>
    <w:next w:val="1010"/>
    <w:qFormat/>
    <w:pPr>
      <w:keepNext/>
      <w:spacing w:before="50" w:after="50" w:line="440" w:lineRule="atLeast"/>
      <w:outlineLvl w:val="2"/>
    </w:pPr>
    <w:rPr>
      <w:rFonts w:ascii="宋体" w:hAnsi="宋体"/>
      <w:b/>
      <w:sz w:val="24"/>
      <w:szCs w:val="20"/>
    </w:rPr>
  </w:style>
  <w:style w:type="paragraph" w:styleId="1528" w:customStyle="1">
    <w:name w:val="xl56"/>
    <w:basedOn w:val="101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9" w:customStyle="1">
    <w:name w:val="格式10"/>
    <w:basedOn w:val="1010"/>
    <w:qFormat/>
    <w:pPr>
      <w:ind w:left="480"/>
      <w:spacing w:line="360" w:lineRule="exact"/>
    </w:pPr>
    <w:rPr>
      <w:sz w:val="24"/>
    </w:rPr>
  </w:style>
  <w:style w:type="paragraph" w:styleId="1530" w:customStyle="1">
    <w:name w:val="xl54"/>
    <w:basedOn w:val="101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1" w:customStyle="1">
    <w:name w:val="表格文字居中"/>
    <w:basedOn w:val="1010"/>
    <w:next w:val="1010"/>
    <w:qFormat/>
    <w:pPr>
      <w:jc w:val="center"/>
      <w:spacing w:line="360" w:lineRule="auto"/>
      <w:tabs>
        <w:tab w:val="left" w:pos="720" w:leader="none"/>
        <w:tab w:val="left" w:pos="900" w:leader="none"/>
      </w:tabs>
    </w:pPr>
    <w:rPr>
      <w:rFonts w:ascii="宋体" w:hAnsi="Arial"/>
      <w:sz w:val="18"/>
      <w:szCs w:val="20"/>
    </w:rPr>
  </w:style>
  <w:style w:type="paragraph" w:styleId="1532" w:customStyle="1">
    <w:name w:val="xl61"/>
    <w:basedOn w:val="101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33" w:customStyle="1">
    <w:name w:val="正文文本 2 字符2"/>
    <w:uiPriority w:val="99"/>
    <w:semiHidden/>
    <w:rPr>
      <w:rFonts w:ascii="Times New Roman" w:hAnsi="Times New Roman" w:eastAsia="宋体" w:cs="Times New Roman"/>
      <w:sz w:val="21"/>
    </w:rPr>
  </w:style>
  <w:style w:type="paragraph" w:styleId="1534" w:customStyle="1">
    <w:name w:val="Char Char Char1 Char6"/>
    <w:basedOn w:val="1010"/>
    <w:uiPriority w:val="99"/>
    <w:qFormat/>
    <w:pPr>
      <w:ind w:firstLine="200"/>
      <w:spacing w:line="360" w:lineRule="auto"/>
    </w:pPr>
    <w:rPr>
      <w:rFonts w:ascii="宋体" w:hAnsi="宋体"/>
      <w:sz w:val="24"/>
      <w:szCs w:val="20"/>
    </w:rPr>
  </w:style>
  <w:style w:type="paragraph" w:styleId="1535" w:customStyle="1">
    <w:name w:val="正文文本缩进 3 Char Char"/>
    <w:basedOn w:val="1010"/>
    <w:qFormat/>
    <w:pPr>
      <w:ind w:firstLine="479"/>
      <w:spacing w:line="400" w:lineRule="exact"/>
    </w:pPr>
    <w:rPr>
      <w:rFonts w:ascii="仿宋_GB2312" w:hAnsi="Calibri" w:eastAsia="仿宋_GB2312"/>
      <w:szCs w:val="20"/>
    </w:rPr>
  </w:style>
  <w:style w:type="paragraph" w:styleId="1536" w:customStyle="1">
    <w:name w:val="2"/>
    <w:basedOn w:val="1010"/>
    <w:qFormat/>
    <w:pPr>
      <w:numPr>
        <w:numId w:val="9"/>
      </w:numPr>
      <w:spacing w:line="460" w:lineRule="exact"/>
      <w:tabs>
        <w:tab w:val="left" w:pos="1955" w:leader="none"/>
      </w:tabs>
    </w:pPr>
    <w:rPr>
      <w:sz w:val="28"/>
    </w:rPr>
  </w:style>
  <w:style w:type="paragraph" w:styleId="1537" w:customStyle="1">
    <w:name w:val="xl60"/>
    <w:basedOn w:val="101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38" w:customStyle="1">
    <w:name w:val="正文文本 3 字符2"/>
    <w:uiPriority w:val="99"/>
    <w:semiHidden/>
    <w:qFormat/>
    <w:rPr>
      <w:rFonts w:ascii="Times New Roman" w:hAnsi="Times New Roman" w:eastAsia="宋体" w:cs="Times New Roman"/>
      <w:sz w:val="16"/>
      <w:szCs w:val="16"/>
    </w:rPr>
  </w:style>
  <w:style w:type="paragraph" w:styleId="1539" w:customStyle="1">
    <w:name w:val="Char Char Char1 Char3"/>
    <w:basedOn w:val="1010"/>
    <w:uiPriority w:val="99"/>
    <w:qFormat/>
    <w:pPr>
      <w:ind w:firstLine="200"/>
      <w:spacing w:line="360" w:lineRule="auto"/>
    </w:pPr>
    <w:rPr>
      <w:rFonts w:ascii="宋体" w:hAnsi="宋体"/>
      <w:sz w:val="24"/>
      <w:szCs w:val="20"/>
    </w:rPr>
  </w:style>
  <w:style w:type="paragraph" w:styleId="1540" w:customStyle="1">
    <w:name w:val="xl55"/>
    <w:basedOn w:val="1010"/>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41" w:customStyle="1">
    <w:name w:val="xl58"/>
    <w:basedOn w:val="101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42" w:customStyle="1">
    <w:name w:val="公文标题"/>
    <w:basedOn w:val="1010"/>
    <w:qFormat/>
    <w:pPr>
      <w:jc w:val="center"/>
    </w:pPr>
    <w:rPr>
      <w:rFonts w:eastAsia="仿宋_GB2312"/>
      <w:sz w:val="44"/>
      <w:szCs w:val="20"/>
    </w:rPr>
  </w:style>
  <w:style w:type="character" w:styleId="1543" w:customStyle="1">
    <w:name w:val="尾注文本 字符2"/>
    <w:uiPriority w:val="99"/>
    <w:semiHidden/>
    <w:rPr>
      <w:rFonts w:ascii="Times New Roman" w:hAnsi="Times New Roman" w:eastAsia="宋体" w:cs="Times New Roman"/>
      <w:sz w:val="21"/>
    </w:rPr>
  </w:style>
  <w:style w:type="paragraph" w:styleId="1544" w:customStyle="1">
    <w:name w:val="普通(网站)1"/>
    <w:basedOn w:val="1010"/>
    <w:uiPriority w:val="99"/>
    <w:qFormat/>
    <w:pPr>
      <w:jc w:val="left"/>
      <w:spacing w:before="100" w:beforeAutospacing="1" w:after="100" w:afterAutospacing="1"/>
      <w:widowControl/>
    </w:pPr>
    <w:rPr>
      <w:rFonts w:ascii="宋体" w:hAnsi="宋体"/>
      <w:sz w:val="24"/>
      <w:szCs w:val="20"/>
    </w:rPr>
  </w:style>
  <w:style w:type="paragraph" w:styleId="1545" w:customStyle="1">
    <w:name w:val="洗"/>
    <w:basedOn w:val="1010"/>
    <w:qFormat/>
    <w:pPr>
      <w:spacing w:line="360" w:lineRule="auto"/>
    </w:pPr>
    <w:rPr>
      <w:rFonts w:ascii="宋体"/>
      <w:sz w:val="28"/>
      <w:szCs w:val="20"/>
    </w:rPr>
  </w:style>
  <w:style w:type="character" w:styleId="1546" w:customStyle="1">
    <w:name w:val="正文文本缩进 3 字符2"/>
    <w:uiPriority w:val="99"/>
    <w:semiHidden/>
    <w:rPr>
      <w:rFonts w:ascii="Times New Roman" w:hAnsi="Times New Roman" w:eastAsia="宋体" w:cs="Times New Roman"/>
      <w:sz w:val="16"/>
      <w:szCs w:val="16"/>
    </w:rPr>
  </w:style>
  <w:style w:type="paragraph" w:styleId="1547" w:customStyle="1">
    <w:name w:val="Char Char Char1 Char7"/>
    <w:basedOn w:val="1010"/>
    <w:uiPriority w:val="99"/>
    <w:qFormat/>
    <w:pPr>
      <w:ind w:firstLine="200"/>
      <w:spacing w:line="360" w:lineRule="auto"/>
    </w:pPr>
    <w:rPr>
      <w:rFonts w:ascii="宋体" w:hAnsi="宋体"/>
      <w:sz w:val="24"/>
      <w:szCs w:val="20"/>
    </w:rPr>
  </w:style>
  <w:style w:type="paragraph" w:styleId="1548" w:customStyle="1">
    <w:name w:val="xl59"/>
    <w:basedOn w:val="101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49" w:customStyle="1">
    <w:name w:val="样式 标题 2 + Times New Roman 四号 非加粗 段前: 5 磅 段后: 0 磅 行距: 固定值 20..."/>
    <w:basedOn w:val="1012"/>
    <w:qFormat/>
    <w:pPr>
      <w:jc w:val="both"/>
      <w:spacing w:before="100" w:line="400" w:lineRule="exact"/>
    </w:pPr>
    <w:rPr>
      <w:rFonts w:ascii="Times New Roman" w:hAnsi="Times New Roman" w:cs="宋体"/>
      <w:b w:val="0"/>
      <w:sz w:val="24"/>
    </w:rPr>
  </w:style>
  <w:style w:type="paragraph" w:styleId="1550" w:customStyle="1">
    <w:name w:val="Char Char Char Char1"/>
    <w:basedOn w:val="1010"/>
    <w:uiPriority w:val="99"/>
    <w:qFormat/>
    <w:pPr>
      <w:ind w:firstLine="200"/>
      <w:spacing w:line="360" w:lineRule="auto"/>
    </w:pPr>
    <w:rPr>
      <w:rFonts w:ascii="Calibri" w:hAnsi="Calibri"/>
      <w:szCs w:val="20"/>
    </w:rPr>
  </w:style>
  <w:style w:type="paragraph" w:styleId="1551" w:customStyle="1">
    <w:name w:val="主送机关"/>
    <w:basedOn w:val="1010"/>
    <w:qFormat/>
    <w:rPr>
      <w:rFonts w:eastAsia="仿宋_GB2312"/>
      <w:sz w:val="32"/>
      <w:szCs w:val="20"/>
    </w:rPr>
  </w:style>
  <w:style w:type="paragraph" w:styleId="1552" w:customStyle="1">
    <w:name w:val="样式4"/>
    <w:basedOn w:val="1012"/>
    <w:uiPriority w:val="99"/>
    <w:qFormat/>
    <w:pPr>
      <w:spacing w:before="0" w:line="240" w:lineRule="auto"/>
    </w:pPr>
    <w:rPr>
      <w:b w:val="0"/>
      <w:sz w:val="28"/>
    </w:rPr>
  </w:style>
  <w:style w:type="paragraph" w:styleId="1553" w:customStyle="1">
    <w:name w:val="格式2"/>
    <w:qFormat/>
    <w:pPr>
      <w:jc w:val="both"/>
      <w:spacing w:before="50" w:line="440" w:lineRule="exact"/>
      <w:widowControl w:val="off"/>
    </w:pPr>
    <w:rPr>
      <w:sz w:val="24"/>
    </w:rPr>
  </w:style>
  <w:style w:type="paragraph" w:styleId="1554" w:customStyle="1">
    <w:name w:val="font0"/>
    <w:basedOn w:val="1010"/>
    <w:qFormat/>
    <w:pPr>
      <w:jc w:val="left"/>
      <w:spacing w:before="100" w:beforeAutospacing="1" w:after="100" w:afterAutospacing="1"/>
      <w:widowControl/>
    </w:pPr>
    <w:rPr>
      <w:rFonts w:ascii="宋体" w:hAnsi="宋体" w:cs="宋体"/>
      <w:sz w:val="24"/>
    </w:rPr>
  </w:style>
  <w:style w:type="paragraph" w:styleId="1555" w:customStyle="1">
    <w:name w:val="格式３"/>
    <w:basedOn w:val="1010"/>
    <w:qFormat/>
    <w:pPr>
      <w:ind w:left="600" w:hanging="600"/>
      <w:spacing w:line="420" w:lineRule="exact"/>
    </w:pPr>
    <w:rPr>
      <w:rFonts w:ascii="宋体" w:hAnsi="宋体"/>
      <w:color w:val="000000"/>
      <w:sz w:val="24"/>
      <w:szCs w:val="20"/>
    </w:rPr>
  </w:style>
  <w:style w:type="paragraph" w:styleId="1556" w:customStyle="1">
    <w:name w:val="正文样式"/>
    <w:basedOn w:val="1010"/>
    <w:qFormat/>
    <w:pPr>
      <w:ind w:firstLine="680"/>
      <w:jc w:val="center"/>
      <w:spacing w:line="360" w:lineRule="auto"/>
    </w:pPr>
    <w:rPr>
      <w:rFonts w:ascii="宋体"/>
      <w:sz w:val="28"/>
      <w:szCs w:val="20"/>
    </w:rPr>
  </w:style>
  <w:style w:type="paragraph" w:styleId="1557" w:customStyle="1">
    <w:name w:val="样式3"/>
    <w:basedOn w:val="1012"/>
    <w:uiPriority w:val="99"/>
    <w:qFormat/>
    <w:pPr>
      <w:spacing w:before="0" w:line="240" w:lineRule="auto"/>
    </w:pPr>
    <w:rPr>
      <w:b w:val="0"/>
      <w:sz w:val="28"/>
    </w:rPr>
  </w:style>
  <w:style w:type="paragraph" w:styleId="1558" w:customStyle="1">
    <w:name w:val="列表段落1"/>
    <w:basedOn w:val="1010"/>
    <w:uiPriority w:val="34"/>
    <w:qFormat/>
    <w:pPr>
      <w:ind w:firstLine="420"/>
    </w:pPr>
    <w:rPr>
      <w:rFonts w:ascii="Calibri" w:hAnsi="Calibri"/>
      <w:szCs w:val="22"/>
    </w:rPr>
  </w:style>
  <w:style w:type="paragraph" w:styleId="1559" w:customStyle="1">
    <w:name w:val="格式1"/>
    <w:basedOn w:val="1010"/>
    <w:qFormat/>
    <w:pPr>
      <w:jc w:val="center"/>
    </w:pPr>
    <w:rPr>
      <w:rFonts w:ascii="黑体" w:hAnsi="宋体" w:eastAsia="黑体"/>
      <w:b/>
      <w:bCs/>
      <w:color w:val="000000"/>
      <w:sz w:val="32"/>
      <w:szCs w:val="20"/>
    </w:rPr>
  </w:style>
  <w:style w:type="paragraph" w:styleId="1560" w:customStyle="1">
    <w:name w:val="样式1"/>
    <w:basedOn w:val="1012"/>
    <w:uiPriority w:val="99"/>
    <w:qFormat/>
    <w:pPr>
      <w:spacing w:before="0" w:line="415" w:lineRule="auto"/>
    </w:pPr>
    <w:rPr>
      <w:b w:val="0"/>
      <w:sz w:val="28"/>
    </w:rPr>
  </w:style>
  <w:style w:type="paragraph" w:styleId="1561" w:customStyle="1">
    <w:name w:val="Char Char Char1 Char Char Char Char"/>
    <w:basedOn w:val="1010"/>
    <w:uiPriority w:val="99"/>
    <w:qFormat/>
    <w:rPr>
      <w:rFonts w:ascii="宋体" w:hAnsi="宋体" w:cs="Courier New"/>
      <w:sz w:val="32"/>
      <w:szCs w:val="32"/>
    </w:rPr>
  </w:style>
  <w:style w:type="paragraph" w:styleId="1562" w:customStyle="1">
    <w:name w:val="格式3"/>
    <w:basedOn w:val="1010"/>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63" w:customStyle="1">
    <w:name w:val="表1"/>
    <w:basedOn w:val="1010"/>
    <w:qFormat/>
    <w:pPr>
      <w:ind w:left="1965" w:hanging="705"/>
      <w:spacing w:before="200" w:line="320" w:lineRule="atLeast"/>
      <w:tabs>
        <w:tab w:val="left" w:pos="1965" w:leader="none"/>
      </w:tabs>
    </w:pPr>
    <w:rPr>
      <w:sz w:val="24"/>
      <w:szCs w:val="20"/>
    </w:rPr>
  </w:style>
  <w:style w:type="paragraph" w:styleId="1564" w:customStyle="1">
    <w:name w:val="表格3"/>
    <w:basedOn w:val="1010"/>
    <w:qFormat/>
    <w:pPr>
      <w:spacing w:line="420" w:lineRule="atLeast"/>
    </w:pPr>
    <w:rPr>
      <w:rFonts w:eastAsia="楷体"/>
      <w:szCs w:val="20"/>
    </w:rPr>
  </w:style>
  <w:style w:type="paragraph" w:styleId="1565" w:customStyle="1">
    <w:name w:val="表格"/>
    <w:basedOn w:val="1010"/>
    <w:qFormat/>
    <w:pPr>
      <w:jc w:val="center"/>
    </w:pPr>
    <w:rPr>
      <w:rFonts w:ascii="华文细黑" w:hAnsi="华文细黑"/>
      <w:szCs w:val="20"/>
    </w:rPr>
  </w:style>
  <w:style w:type="paragraph" w:styleId="1566" w:customStyle="1">
    <w:name w:val="Char Char Char1 Char5"/>
    <w:basedOn w:val="1010"/>
    <w:uiPriority w:val="99"/>
    <w:qFormat/>
    <w:pPr>
      <w:ind w:firstLine="200"/>
      <w:spacing w:line="360" w:lineRule="auto"/>
    </w:pPr>
    <w:rPr>
      <w:rFonts w:ascii="宋体" w:hAnsi="宋体"/>
      <w:sz w:val="24"/>
      <w:szCs w:val="20"/>
    </w:rPr>
  </w:style>
  <w:style w:type="paragraph" w:styleId="1567" w:customStyle="1">
    <w:name w:val="纯文本3"/>
    <w:next w:val="1225"/>
    <w:qFormat/>
    <w:pPr>
      <w:jc w:val="both"/>
      <w:widowControl w:val="off"/>
    </w:pPr>
    <w:rPr>
      <w:rFonts w:ascii="宋体" w:hAnsi="Calibri" w:cs="宋体"/>
      <w:sz w:val="26"/>
      <w:szCs w:val="26"/>
    </w:rPr>
  </w:style>
  <w:style w:type="paragraph" w:styleId="1568" w:customStyle="1">
    <w:name w:val="默认段落字体 Para Char"/>
    <w:basedOn w:val="1010"/>
    <w:qFormat/>
  </w:style>
  <w:style w:type="paragraph" w:styleId="1569" w:customStyle="1">
    <w:name w:val="Char Char Char Char"/>
    <w:basedOn w:val="1010"/>
    <w:qFormat/>
    <w:rPr>
      <w:rFonts w:ascii="Calibri" w:hAnsi="Calibri"/>
      <w:szCs w:val="20"/>
    </w:rPr>
  </w:style>
  <w:style w:type="paragraph" w:styleId="1570" w:customStyle="1">
    <w:name w:val="Char Char Char1 Char4"/>
    <w:basedOn w:val="1010"/>
    <w:uiPriority w:val="99"/>
    <w:qFormat/>
    <w:pPr>
      <w:ind w:firstLine="200"/>
      <w:spacing w:line="360" w:lineRule="auto"/>
    </w:pPr>
    <w:rPr>
      <w:rFonts w:ascii="宋体" w:hAnsi="宋体"/>
      <w:sz w:val="24"/>
      <w:szCs w:val="20"/>
    </w:rPr>
  </w:style>
  <w:style w:type="paragraph" w:styleId="1571" w:customStyle="1">
    <w:name w:val="正文1"/>
    <w:basedOn w:val="1010"/>
    <w:qFormat/>
    <w:pPr>
      <w:contextualSpacing/>
      <w:ind w:firstLine="200"/>
      <w:jc w:val="left"/>
      <w:spacing w:before="120" w:after="120"/>
      <w:widowControl/>
    </w:pPr>
    <w:rPr>
      <w:rFonts w:ascii="Calibri" w:hAnsi="Calibri" w:eastAsia="Adobe 仿宋 Std R"/>
      <w:sz w:val="20"/>
      <w:szCs w:val="21"/>
    </w:rPr>
  </w:style>
  <w:style w:type="paragraph" w:styleId="1572" w:customStyle="1">
    <w:name w:val="msonormal"/>
    <w:basedOn w:val="1010"/>
    <w:pPr>
      <w:jc w:val="left"/>
      <w:spacing w:before="100" w:beforeAutospacing="1" w:after="100" w:afterAutospacing="1"/>
      <w:widowControl/>
    </w:pPr>
    <w:rPr>
      <w:rFonts w:ascii="宋体" w:hAnsi="宋体" w:cs="宋体"/>
      <w:sz w:val="24"/>
    </w:rPr>
  </w:style>
  <w:style w:type="paragraph" w:styleId="1573" w:customStyle="1">
    <w:name w:val="xl125"/>
    <w:basedOn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4" w:customStyle="1">
    <w:name w:val="xl126"/>
    <w:basedOn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5" w:customStyle="1">
    <w:name w:val="xl127"/>
    <w:basedOn w:val="1010"/>
    <w:pPr>
      <w:jc w:val="left"/>
      <w:spacing w:before="100" w:beforeAutospacing="1" w:after="100" w:afterAutospacing="1"/>
      <w:widowControl/>
    </w:pPr>
    <w:rPr>
      <w:rFonts w:ascii="新宋体" w:hAnsi="新宋体" w:eastAsia="新宋体" w:cs="宋体"/>
      <w:sz w:val="28"/>
      <w:szCs w:val="28"/>
    </w:rPr>
  </w:style>
  <w:style w:type="paragraph" w:styleId="1576" w:customStyle="1">
    <w:name w:val="xl128"/>
    <w:basedOn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7" w:customStyle="1">
    <w:name w:val="xl129"/>
    <w:basedOn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8" w:customStyle="1">
    <w:name w:val="xl130"/>
    <w:basedOn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9" w:customStyle="1">
    <w:name w:val="xl131"/>
    <w:basedOn w:val="101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0" w:customStyle="1">
    <w:name w:val="xl132"/>
    <w:basedOn w:val="101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81" w:customStyle="1">
    <w:name w:val="xl133"/>
    <w:basedOn w:val="101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82" w:customStyle="1">
    <w:name w:val="xl134"/>
    <w:basedOn w:val="101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3" w:customStyle="1">
    <w:name w:val="xl135"/>
    <w:basedOn w:val="101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4" w:customStyle="1">
    <w:name w:val="xl136"/>
    <w:basedOn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5" w:customStyle="1">
    <w:name w:val="xl137"/>
    <w:basedOn w:val="10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86" w:customStyle="1">
    <w:name w:val="xl138"/>
    <w:basedOn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7" w:customStyle="1">
    <w:name w:val="xl139"/>
    <w:basedOn w:val="1010"/>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88" w:customStyle="1">
    <w:name w:val="xl140"/>
    <w:basedOn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9" w:customStyle="1">
    <w:name w:val="xl141"/>
    <w:basedOn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0" w:customStyle="1">
    <w:name w:val="xl142"/>
    <w:basedOn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1" w:customStyle="1">
    <w:name w:val="xl143"/>
    <w:basedOn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2" w:customStyle="1">
    <w:name w:val="xl144"/>
    <w:basedOn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3" w:customStyle="1">
    <w:name w:val="xl145"/>
    <w:basedOn w:val="101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94" w:customStyle="1">
    <w:name w:val="xl146"/>
    <w:basedOn w:val="101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5" w:customStyle="1">
    <w:name w:val="xl147"/>
    <w:basedOn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6" w:customStyle="1">
    <w:name w:val="xl148"/>
    <w:basedOn w:val="101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97" w:customStyle="1">
    <w:name w:val="xl149"/>
    <w:basedOn w:val="101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98" w:customStyle="1">
    <w:name w:val="xl150"/>
    <w:basedOn w:val="101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99" w:customStyle="1">
    <w:name w:val="xl151"/>
    <w:basedOn w:val="10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00" w:customStyle="1">
    <w:name w:val="xl152"/>
    <w:basedOn w:val="101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01" w:customStyle="1">
    <w:name w:val="xl153"/>
    <w:basedOn w:val="1010"/>
    <w:pPr>
      <w:jc w:val="left"/>
      <w:spacing w:before="100" w:beforeAutospacing="1" w:after="100" w:afterAutospacing="1"/>
      <w:widowControl/>
    </w:pPr>
    <w:rPr>
      <w:rFonts w:ascii="新宋体" w:hAnsi="新宋体" w:eastAsia="新宋体" w:cs="宋体"/>
      <w:sz w:val="28"/>
      <w:szCs w:val="28"/>
    </w:rPr>
  </w:style>
  <w:style w:type="paragraph" w:styleId="1602" w:customStyle="1">
    <w:name w:val="xl154"/>
    <w:basedOn w:val="1010"/>
    <w:pPr>
      <w:jc w:val="center"/>
      <w:spacing w:before="100" w:beforeAutospacing="1" w:after="100" w:afterAutospacing="1"/>
      <w:widowControl/>
    </w:pPr>
    <w:rPr>
      <w:rFonts w:ascii="新宋体" w:hAnsi="新宋体" w:eastAsia="新宋体" w:cs="宋体"/>
      <w:sz w:val="28"/>
      <w:szCs w:val="28"/>
    </w:rPr>
  </w:style>
  <w:style w:type="paragraph" w:styleId="1603" w:customStyle="1">
    <w:name w:val="_Style 305"/>
    <w:basedOn w:val="1010"/>
    <w:next w:val="1035"/>
    <w:qFormat/>
    <w:pPr>
      <w:ind w:firstLine="420"/>
    </w:pPr>
    <w:rPr>
      <w:rFonts w:cs="宋体"/>
      <w:sz w:val="20"/>
      <w:szCs w:val="21"/>
    </w:rPr>
  </w:style>
  <w:style w:type="character" w:styleId="1604" w:customStyle="1">
    <w:name w:val="列出段落3 Char"/>
    <w:link w:val="1605"/>
    <w:qFormat/>
    <w:rPr>
      <w:rFonts w:ascii="Calibri" w:hAnsi="Calibri"/>
      <w:sz w:val="21"/>
      <w:szCs w:val="21"/>
    </w:rPr>
  </w:style>
  <w:style w:type="paragraph" w:styleId="1605" w:customStyle="1">
    <w:name w:val="列出段落3"/>
    <w:basedOn w:val="1010"/>
    <w:link w:val="1604"/>
    <w:qFormat/>
    <w:pPr>
      <w:ind w:firstLine="420"/>
    </w:pPr>
    <w:rPr>
      <w:rFonts w:ascii="Calibri" w:hAnsi="Calibri"/>
      <w:szCs w:val="21"/>
    </w:rPr>
  </w:style>
  <w:style w:type="paragraph" w:styleId="1606" w:customStyle="1">
    <w:name w:val="样式 标题 1 + 宋体 居中 段前: 17 磅 段后: 16.5 磅"/>
    <w:basedOn w:val="1011"/>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07" w:customStyle="1">
    <w:name w:val="段"/>
    <w:next w:val="1010"/>
    <w:qFormat/>
    <w:pPr>
      <w:ind w:firstLine="200"/>
      <w:jc w:val="both"/>
    </w:pPr>
    <w:rPr>
      <w:rFonts w:ascii="宋体"/>
      <w:sz w:val="21"/>
    </w:rPr>
  </w:style>
  <w:style w:type="paragraph" w:styleId="1608" w:customStyle="1">
    <w:name w:val="首行缩进"/>
    <w:basedOn w:val="1010"/>
    <w:qFormat/>
    <w:pPr>
      <w:ind w:firstLine="480"/>
      <w:jc w:val="left"/>
      <w:spacing w:line="360" w:lineRule="auto"/>
    </w:pPr>
    <w:rPr>
      <w:rFonts w:ascii="宋体" w:hAnsi="宋体"/>
      <w:sz w:val="24"/>
      <w:szCs w:val="22"/>
    </w:rPr>
  </w:style>
  <w:style w:type="paragraph" w:styleId="1609" w:customStyle="1">
    <w:name w:val="GP正文(无首行缩进)"/>
    <w:basedOn w:val="1010"/>
    <w:qFormat/>
    <w:pPr>
      <w:ind w:firstLine="480"/>
      <w:jc w:val="left"/>
      <w:spacing w:line="360" w:lineRule="auto"/>
    </w:pPr>
    <w:rPr>
      <w:rFonts w:hAnsi="宋体"/>
      <w:sz w:val="24"/>
    </w:rPr>
  </w:style>
  <w:style w:type="character" w:styleId="1610" w:customStyle="1">
    <w:name w:val="font131"/>
    <w:qFormat/>
    <w:rPr>
      <w:rFonts w:hint="eastAsia" w:ascii="宋体" w:hAnsi="宋体" w:eastAsia="宋体" w:cs="宋体"/>
      <w:color w:val="000000"/>
      <w:sz w:val="20"/>
      <w:szCs w:val="20"/>
      <w:u w:val="none"/>
    </w:rPr>
  </w:style>
  <w:style w:type="character" w:styleId="1611" w:customStyle="1">
    <w:name w:val="标题 字符3"/>
    <w:uiPriority w:val="10"/>
    <w:qFormat/>
    <w:rPr>
      <w:rFonts w:ascii="Arial" w:hAnsi="Arial"/>
      <w:b/>
      <w:sz w:val="32"/>
    </w:rPr>
  </w:style>
  <w:style w:type="character" w:styleId="1612" w:customStyle="1">
    <w:name w:val="材料标题 Char"/>
    <w:link w:val="1613"/>
    <w:qFormat/>
    <w:rPr>
      <w:rFonts w:ascii="方正小标宋简体" w:eastAsia="方正小标宋简体"/>
      <w:color w:val="000000"/>
      <w:sz w:val="44"/>
      <w:szCs w:val="44"/>
    </w:rPr>
  </w:style>
  <w:style w:type="paragraph" w:styleId="1613" w:customStyle="1">
    <w:name w:val="材料标题"/>
    <w:basedOn w:val="1010"/>
    <w:link w:val="1612"/>
    <w:qFormat/>
    <w:pPr>
      <w:jc w:val="center"/>
      <w:spacing w:line="700" w:lineRule="exact"/>
    </w:pPr>
    <w:rPr>
      <w:rFonts w:ascii="方正小标宋简体" w:eastAsia="方正小标宋简体"/>
      <w:color w:val="000000"/>
      <w:sz w:val="44"/>
      <w:szCs w:val="44"/>
    </w:rPr>
  </w:style>
  <w:style w:type="character" w:styleId="1614" w:customStyle="1">
    <w:name w:val="标题 6 Char1"/>
    <w:uiPriority w:val="99"/>
    <w:semiHidden/>
    <w:qFormat/>
    <w:rPr>
      <w:rFonts w:ascii="Cambria" w:hAnsi="Cambria" w:eastAsia="宋体"/>
      <w:b/>
      <w:sz w:val="24"/>
    </w:rPr>
  </w:style>
  <w:style w:type="character" w:styleId="1615" w:customStyle="1">
    <w:name w:val="明显参考1"/>
    <w:uiPriority w:val="99"/>
    <w:qFormat/>
    <w:rPr>
      <w:b/>
      <w:color w:val="000000"/>
      <w:sz w:val="21"/>
    </w:rPr>
  </w:style>
  <w:style w:type="character" w:styleId="1616" w:customStyle="1">
    <w:name w:val="不明显参考1"/>
    <w:uiPriority w:val="99"/>
    <w:qFormat/>
    <w:rPr>
      <w:color w:val="000000"/>
      <w:sz w:val="21"/>
    </w:rPr>
  </w:style>
  <w:style w:type="character" w:styleId="1617" w:customStyle="1">
    <w:name w:val="书籍标题1"/>
    <w:uiPriority w:val="99"/>
    <w:qFormat/>
    <w:rPr>
      <w:b/>
      <w:i/>
      <w:sz w:val="21"/>
    </w:rPr>
  </w:style>
  <w:style w:type="character" w:styleId="1618" w:customStyle="1">
    <w:name w:val="不明显强调1"/>
    <w:uiPriority w:val="99"/>
    <w:qFormat/>
    <w:rPr>
      <w:i/>
      <w:color w:val="000000"/>
      <w:sz w:val="21"/>
    </w:rPr>
  </w:style>
  <w:style w:type="character" w:styleId="1619" w:customStyle="1">
    <w:name w:val="明显强调1"/>
    <w:uiPriority w:val="99"/>
    <w:qFormat/>
    <w:rPr>
      <w:i/>
      <w:color w:val="000000"/>
      <w:sz w:val="21"/>
    </w:rPr>
  </w:style>
  <w:style w:type="paragraph" w:styleId="1620" w:customStyle="1">
    <w:name w:val="xl71"/>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621" w:customStyle="1">
    <w:name w:val="xl69"/>
    <w:basedOn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2" w:customStyle="1">
    <w:name w:val="正文字缩2字"/>
    <w:basedOn w:val="1010"/>
    <w:qFormat/>
    <w:pPr>
      <w:ind w:left="200" w:firstLine="200"/>
      <w:spacing w:before="60" w:after="60" w:line="360" w:lineRule="auto"/>
    </w:pPr>
    <w:rPr>
      <w:sz w:val="20"/>
    </w:rPr>
  </w:style>
  <w:style w:type="paragraph" w:styleId="1623" w:customStyle="1">
    <w:name w:val="xl63"/>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24" w:customStyle="1">
    <w:name w:val="xl66"/>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5" w:customStyle="1">
    <w:name w:val="xl67"/>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6" w:customStyle="1">
    <w:name w:val="xl75"/>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27" w:customStyle="1">
    <w:name w:val="xl68"/>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8" w:customStyle="1">
    <w:name w:val="xl73"/>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29" w:customStyle="1">
    <w:name w:val="xl72"/>
    <w:basedOn w:val="101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0" w:customStyle="1">
    <w:name w:val="xl76"/>
    <w:basedOn w:val="1010"/>
    <w:qFormat/>
    <w:pPr>
      <w:jc w:val="left"/>
      <w:spacing w:before="100" w:beforeAutospacing="1" w:after="100" w:afterAutospacing="1"/>
      <w:widowControl/>
    </w:pPr>
    <w:rPr>
      <w:rFonts w:ascii="宋体" w:hAnsi="宋体" w:cs="宋体"/>
      <w:sz w:val="24"/>
    </w:rPr>
  </w:style>
  <w:style w:type="paragraph" w:styleId="1631" w:customStyle="1">
    <w:name w:val="xl74"/>
    <w:basedOn w:val="101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2" w:customStyle="1">
    <w:name w:val="xl70"/>
    <w:basedOn w:val="1010"/>
    <w:qFormat/>
    <w:pPr>
      <w:jc w:val="center"/>
      <w:spacing w:before="100" w:beforeAutospacing="1" w:after="100" w:afterAutospacing="1"/>
      <w:widowControl/>
    </w:pPr>
    <w:rPr>
      <w:rFonts w:ascii="宋体" w:hAnsi="宋体" w:cs="宋体"/>
      <w:b/>
      <w:bCs/>
      <w:color w:val="000000"/>
      <w:sz w:val="40"/>
      <w:szCs w:val="40"/>
    </w:rPr>
  </w:style>
  <w:style w:type="paragraph" w:styleId="1633" w:customStyle="1">
    <w:name w:val="xl65"/>
    <w:basedOn w:val="1010"/>
    <w:qFormat/>
    <w:pPr>
      <w:jc w:val="center"/>
      <w:spacing w:before="100" w:beforeAutospacing="1" w:after="100" w:afterAutospacing="1"/>
      <w:widowControl/>
    </w:pPr>
    <w:rPr>
      <w:rFonts w:ascii="宋体" w:hAnsi="宋体" w:cs="宋体"/>
      <w:sz w:val="24"/>
    </w:rPr>
  </w:style>
  <w:style w:type="paragraph" w:styleId="1634" w:customStyle="1">
    <w:name w:val="正文 New"/>
    <w:uiPriority w:val="99"/>
    <w:qFormat/>
    <w:pPr>
      <w:jc w:val="both"/>
      <w:widowControl w:val="off"/>
    </w:pPr>
    <w:rPr>
      <w:sz w:val="21"/>
      <w:szCs w:val="24"/>
    </w:rPr>
  </w:style>
  <w:style w:type="paragraph" w:styleId="1635" w:customStyle="1">
    <w:name w:val="xl64"/>
    <w:basedOn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36" w:customStyle="1">
    <w:name w:val="批注框文本 Char2"/>
    <w:uiPriority w:val="99"/>
    <w:qFormat/>
    <w:rPr>
      <w:sz w:val="18"/>
    </w:rPr>
  </w:style>
  <w:style w:type="character" w:styleId="1637" w:customStyle="1">
    <w:name w:val="文档结构图 Char2"/>
    <w:qFormat/>
    <w:rPr>
      <w:rFonts w:ascii="宋体"/>
      <w:sz w:val="18"/>
      <w:szCs w:val="18"/>
    </w:rPr>
  </w:style>
  <w:style w:type="character" w:styleId="1638" w:customStyle="1">
    <w:name w:val="批注文字 Char2"/>
    <w:qFormat/>
    <w:rPr>
      <w:sz w:val="21"/>
    </w:rPr>
  </w:style>
  <w:style w:type="paragraph" w:styleId="1639" w:customStyle="1">
    <w:name w:val="xl77"/>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0" w:customStyle="1">
    <w:name w:val="xl78"/>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41" w:customStyle="1">
    <w:name w:val="xl79"/>
    <w:basedOn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42" w:customStyle="1">
    <w:name w:val="xl80"/>
    <w:basedOn w:val="101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3" w:customStyle="1">
    <w:name w:val="xl81"/>
    <w:basedOn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4" w:customStyle="1">
    <w:name w:val="xl82"/>
    <w:basedOn w:val="10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5" w:customStyle="1">
    <w:name w:val="xl83"/>
    <w:basedOn w:val="10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6" w:customStyle="1">
    <w:name w:val="xl84"/>
    <w:basedOn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47" w:customStyle="1">
    <w:name w:val="xl85"/>
    <w:basedOn w:val="10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8" w:customStyle="1">
    <w:name w:val="xl86"/>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9" w:customStyle="1">
    <w:name w:val="xl87"/>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0" w:customStyle="1">
    <w:name w:val="xl88"/>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1" w:customStyle="1">
    <w:name w:val="xl89"/>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2" w:customStyle="1">
    <w:name w:val="xl90"/>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3" w:customStyle="1">
    <w:name w:val="xl91"/>
    <w:basedOn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4" w:customStyle="1">
    <w:name w:val="xl92"/>
    <w:basedOn w:val="10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55" w:customStyle="1">
    <w:name w:val="xl93"/>
    <w:basedOn w:val="10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56" w:customStyle="1">
    <w:name w:val="xl94"/>
    <w:basedOn w:val="101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57" w:customStyle="1">
    <w:name w:val="xl95"/>
    <w:basedOn w:val="10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58" w:customStyle="1">
    <w:name w:val="xl96"/>
    <w:basedOn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9" w:customStyle="1">
    <w:name w:val="xl97"/>
    <w:basedOn w:val="101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60" w:customStyle="1">
    <w:name w:val="xl98"/>
    <w:basedOn w:val="1010"/>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61" w:customStyle="1">
    <w:name w:val="xl99"/>
    <w:basedOn w:val="101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62" w:customStyle="1">
    <w:name w:val="xl100"/>
    <w:basedOn w:val="101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63" w:customStyle="1">
    <w:name w:val="xl101"/>
    <w:basedOn w:val="1010"/>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64" w:customStyle="1">
    <w:name w:val="xl102"/>
    <w:basedOn w:val="101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65" w:customStyle="1">
    <w:name w:val="xl103"/>
    <w:basedOn w:val="101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66" w:customStyle="1">
    <w:name w:val="xl104"/>
    <w:basedOn w:val="10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67" w:customStyle="1">
    <w:name w:val="xl105"/>
    <w:basedOn w:val="101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68" w:customStyle="1">
    <w:name w:val="xl106"/>
    <w:basedOn w:val="10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69" w:customStyle="1">
    <w:name w:val="xl107"/>
    <w:basedOn w:val="101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70" w:customStyle="1">
    <w:name w:val="xl108"/>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1" w:customStyle="1">
    <w:name w:val="xl109"/>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2" w:customStyle="1">
    <w:name w:val="xl110"/>
    <w:basedOn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3" w:customStyle="1">
    <w:name w:val="xl111"/>
    <w:basedOn w:val="1010"/>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674" w:customStyle="1">
    <w:name w:val="xl112"/>
    <w:basedOn w:val="1010"/>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675" w:customStyle="1">
    <w:name w:val="xl113"/>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76" w:customStyle="1">
    <w:name w:val="xl114"/>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7" w:customStyle="1">
    <w:name w:val="xl115"/>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78" w:customStyle="1">
    <w:name w:val="xl116"/>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9" w:customStyle="1">
    <w:name w:val="xl117"/>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80" w:customStyle="1">
    <w:name w:val="xl118"/>
    <w:basedOn w:val="10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81" w:customStyle="1">
    <w:name w:val="xl119"/>
    <w:basedOn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82" w:customStyle="1">
    <w:name w:val="xl120"/>
    <w:basedOn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683" w:customStyle="1">
    <w:name w:val="NormalCharacter1"/>
    <w:semiHidden/>
    <w:qFormat/>
  </w:style>
  <w:style w:type="table" w:styleId="1684" w:customStyle="1">
    <w:name w:val="TableGrid1"/>
    <w:rPr>
      <w:rFonts w:ascii="等线" w:hAnsi="等线" w:eastAsia="等线"/>
      <w:sz w:val="21"/>
      <w:szCs w:val="22"/>
    </w:rPr>
    <w:tblPr>
      <w:tblCellMar>
        <w:left w:w="0" w:type="dxa"/>
        <w:top w:w="0" w:type="dxa"/>
        <w:right w:w="0" w:type="dxa"/>
        <w:bottom w:w="0" w:type="dxa"/>
      </w:tblCellMar>
    </w:tblPr>
  </w:style>
  <w:style w:type="table" w:styleId="1685" w:customStyle="1">
    <w:name w:val="TableGrid11"/>
    <w:rPr>
      <w:rFonts w:ascii="等线" w:hAnsi="等线" w:eastAsia="等线"/>
      <w:sz w:val="21"/>
      <w:szCs w:val="22"/>
    </w:rPr>
    <w:tblPr>
      <w:tblCellMar>
        <w:left w:w="0" w:type="dxa"/>
        <w:top w:w="0" w:type="dxa"/>
        <w:right w:w="0" w:type="dxa"/>
        <w:bottom w:w="0" w:type="dxa"/>
      </w:tblCellMar>
    </w:tblPr>
  </w:style>
  <w:style w:type="character" w:styleId="1686" w:customStyle="1">
    <w:name w:val="列出段落 Char1"/>
    <w:link w:val="1687"/>
    <w:uiPriority w:val="34"/>
    <w:qFormat/>
    <w:rPr>
      <w:rFonts w:ascii="Calibri" w:hAnsi="Calibri" w:eastAsia="宋体"/>
      <w:sz w:val="21"/>
      <w:szCs w:val="22"/>
      <w:lang w:val="en-US" w:eastAsia="zh-CN" w:bidi="ar-SA"/>
    </w:rPr>
  </w:style>
  <w:style w:type="paragraph" w:styleId="1687" w:customStyle="1">
    <w:name w:val="_Style 528"/>
    <w:basedOn w:val="1010"/>
    <w:next w:val="1035"/>
    <w:link w:val="1686"/>
    <w:uiPriority w:val="34"/>
    <w:qFormat/>
    <w:pPr>
      <w:ind w:firstLine="420"/>
    </w:pPr>
    <w:rPr>
      <w:rFonts w:ascii="Calibri" w:hAnsi="Calibri"/>
      <w:szCs w:val="22"/>
    </w:rPr>
  </w:style>
  <w:style w:type="paragraph" w:styleId="1688" w:customStyle="1">
    <w:name w:val="_Style 529"/>
    <w:basedOn w:val="1010"/>
    <w:next w:val="1035"/>
    <w:uiPriority w:val="34"/>
    <w:qFormat/>
    <w:pPr>
      <w:ind w:firstLine="420"/>
    </w:pPr>
    <w:rPr>
      <w:rFonts w:ascii="Calibri" w:hAnsi="Calibri"/>
      <w:szCs w:val="22"/>
    </w:rPr>
  </w:style>
  <w:style w:type="character" w:styleId="1689" w:customStyle="1">
    <w:name w:val="标题 2 Char1"/>
    <w:qFormat/>
    <w:rPr>
      <w:rFonts w:ascii="Arial" w:hAnsi="Arial" w:eastAsia="黑体"/>
      <w:b/>
      <w:sz w:val="30"/>
      <w:lang w:val="en-US" w:eastAsia="zh-CN" w:bidi="ar-SA"/>
    </w:rPr>
  </w:style>
  <w:style w:type="paragraph" w:styleId="1690" w:customStyle="1">
    <w:name w:val="_Style 531"/>
    <w:basedOn w:val="1010"/>
    <w:next w:val="1035"/>
    <w:uiPriority w:val="34"/>
    <w:qFormat/>
    <w:pPr>
      <w:ind w:firstLine="420"/>
    </w:pPr>
    <w:rPr>
      <w:rFonts w:ascii="Calibri" w:hAnsi="Calibri"/>
      <w:szCs w:val="22"/>
    </w:rPr>
  </w:style>
  <w:style w:type="paragraph" w:styleId="1691" w:customStyle="1">
    <w:name w:val="Table Text"/>
    <w:basedOn w:val="1010"/>
    <w:semiHidden/>
    <w:qFormat/>
    <w:pPr>
      <w:jc w:val="left"/>
      <w:widowControl/>
    </w:pPr>
    <w:rPr>
      <w:rFonts w:ascii="宋体" w:hAnsi="宋体" w:cs="宋体"/>
      <w:color w:val="000000"/>
      <w:szCs w:val="21"/>
      <w:lang w:eastAsia="en-US"/>
    </w:rPr>
  </w:style>
  <w:style w:type="character" w:styleId="1692" w:customStyle="1">
    <w:name w:val="NormalCharacter1"/>
    <w:semiHidden/>
    <w:qFormat/>
    <w:rPr>
      <w:rFonts w:ascii="Times New Roman" w:hAnsi="Times New Roman" w:eastAsia="宋体" w:cs="Times New Roman"/>
      <w:sz w:val="21"/>
      <w:szCs w:val="24"/>
    </w:rPr>
  </w:style>
  <w:style w:type="paragraph" w:styleId="1693" w:customStyle="1">
    <w:name w:val="正文文本1"/>
    <w:basedOn w:val="1010"/>
    <w:link w:val="1694"/>
    <w:qFormat/>
    <w:pPr>
      <w:spacing w:before="120" w:line="22" w:lineRule="atLeast"/>
      <w:tabs>
        <w:tab w:val="left" w:pos="567" w:leader="none"/>
      </w:tabs>
    </w:pPr>
    <w:rPr>
      <w:rFonts w:ascii="宋体" w:hAnsi="宋体"/>
      <w:sz w:val="24"/>
    </w:rPr>
  </w:style>
  <w:style w:type="character" w:styleId="1694" w:customStyle="1">
    <w:name w:val="正文文本 Char"/>
    <w:link w:val="1693"/>
    <w:qFormat/>
    <w:rPr>
      <w:rFonts w:ascii="宋体" w:hAnsi="宋体"/>
      <w:sz w:val="24"/>
      <w:szCs w:val="24"/>
    </w:rPr>
  </w:style>
  <w:style w:type="character" w:styleId="1695" w:customStyle="1">
    <w:name w:val="标题 1 Char"/>
    <w:qFormat/>
    <w:rPr>
      <w:rFonts w:ascii="宋体"/>
      <w:b/>
      <w:sz w:val="32"/>
    </w:rPr>
  </w:style>
  <w:style w:type="character" w:styleId="1696" w:customStyle="1">
    <w:name w:val="正文缩进 Char1"/>
    <w:uiPriority w:val="99"/>
    <w:qFormat/>
    <w:rPr>
      <w:rFonts w:ascii="宋体" w:eastAsia="宋体"/>
      <w:sz w:val="24"/>
      <w:szCs w:val="24"/>
      <w:lang w:val="en-US" w:eastAsia="zh-CN" w:bidi="ar-SA"/>
    </w:rPr>
  </w:style>
  <w:style w:type="character" w:styleId="1697" w:customStyle="1">
    <w:name w:val="标题 3 Char1"/>
    <w:qFormat/>
    <w:rPr>
      <w:rFonts w:ascii="宋体" w:eastAsia="宋体"/>
      <w:b/>
      <w:sz w:val="24"/>
      <w:u w:val="single"/>
      <w:lang w:val="en-US" w:eastAsia="zh-CN" w:bidi="ar-SA"/>
    </w:rPr>
  </w:style>
  <w:style w:type="character" w:styleId="1698" w:customStyle="1">
    <w:name w:val="标题 4 Char"/>
    <w:qFormat/>
    <w:rPr>
      <w:rFonts w:ascii="Arial" w:hAnsi="Arial" w:eastAsia="黑体"/>
      <w:b/>
      <w:sz w:val="28"/>
    </w:rPr>
  </w:style>
  <w:style w:type="character" w:styleId="1699" w:customStyle="1">
    <w:name w:val="标题 5 Char"/>
    <w:qFormat/>
    <w:rPr>
      <w:b/>
      <w:sz w:val="28"/>
    </w:rPr>
  </w:style>
  <w:style w:type="character" w:styleId="1700" w:customStyle="1">
    <w:name w:val="标题 6 Char"/>
    <w:qFormat/>
    <w:rPr>
      <w:rFonts w:ascii="Arial" w:hAnsi="Arial" w:eastAsia="黑体"/>
      <w:b/>
      <w:sz w:val="24"/>
    </w:rPr>
  </w:style>
  <w:style w:type="character" w:styleId="1701" w:customStyle="1">
    <w:name w:val="标题 7 Char"/>
    <w:qFormat/>
    <w:rPr>
      <w:b/>
      <w:sz w:val="24"/>
    </w:rPr>
  </w:style>
  <w:style w:type="character" w:styleId="1702" w:customStyle="1">
    <w:name w:val="标题 8 Char"/>
    <w:qFormat/>
    <w:rPr>
      <w:rFonts w:ascii="Arial" w:hAnsi="Arial" w:eastAsia="黑体"/>
      <w:sz w:val="24"/>
    </w:rPr>
  </w:style>
  <w:style w:type="character" w:styleId="1703" w:customStyle="1">
    <w:name w:val="标题 9 Char"/>
    <w:qFormat/>
    <w:rPr>
      <w:rFonts w:ascii="Arial" w:hAnsi="Arial" w:eastAsia="黑体"/>
      <w:sz w:val="21"/>
    </w:rPr>
  </w:style>
  <w:style w:type="paragraph" w:styleId="1704" w:customStyle="1">
    <w:name w:val="_Style 546"/>
    <w:link w:val="1705"/>
    <w:qFormat/>
    <w:rPr>
      <w:sz w:val="24"/>
      <w:szCs w:val="24"/>
    </w:rPr>
  </w:style>
  <w:style w:type="character" w:styleId="1705" w:customStyle="1">
    <w:name w:val="正文首行缩进 2 Char"/>
    <w:link w:val="1704"/>
    <w:qFormat/>
    <w:rPr>
      <w:sz w:val="24"/>
      <w:szCs w:val="24"/>
    </w:rPr>
  </w:style>
  <w:style w:type="character" w:styleId="1706" w:customStyle="1">
    <w:name w:val="文档结构图 Char"/>
    <w:qFormat/>
    <w:rPr>
      <w:sz w:val="21"/>
      <w:szCs w:val="24"/>
      <w:shd w:val="clear" w:color="auto" w:fill="000080"/>
    </w:rPr>
  </w:style>
  <w:style w:type="character" w:styleId="1707" w:customStyle="1">
    <w:name w:val="批注文字 Char1"/>
    <w:qFormat/>
    <w:rPr>
      <w:sz w:val="21"/>
      <w:szCs w:val="24"/>
    </w:rPr>
  </w:style>
  <w:style w:type="character" w:styleId="1708" w:customStyle="1">
    <w:name w:val="正文文本 3 Char"/>
    <w:qFormat/>
    <w:rPr>
      <w:sz w:val="16"/>
      <w:szCs w:val="16"/>
    </w:rPr>
  </w:style>
  <w:style w:type="character" w:styleId="1709" w:customStyle="1">
    <w:name w:val="正文文本缩进 Char2"/>
    <w:qFormat/>
    <w:rPr>
      <w:rFonts w:eastAsia="宋体"/>
      <w:sz w:val="24"/>
      <w:szCs w:val="24"/>
      <w:lang w:val="en-US" w:eastAsia="zh-CN" w:bidi="ar-SA"/>
    </w:rPr>
  </w:style>
  <w:style w:type="character" w:styleId="1710" w:customStyle="1">
    <w:name w:val="纯文本 Char"/>
    <w:qFormat/>
    <w:rPr>
      <w:rFonts w:hint="eastAsia" w:ascii="宋体" w:hAnsi="Courier New" w:eastAsia="宋体" w:cs="宋体"/>
      <w:sz w:val="21"/>
    </w:rPr>
  </w:style>
  <w:style w:type="character" w:styleId="1711" w:customStyle="1">
    <w:name w:val="日期 Char"/>
    <w:qFormat/>
    <w:rPr>
      <w:rFonts w:ascii="仿宋_GB2312" w:hAnsi="宋体" w:eastAsia="仿宋_GB2312"/>
      <w:color w:val="000000"/>
      <w:sz w:val="24"/>
      <w:szCs w:val="24"/>
    </w:rPr>
  </w:style>
  <w:style w:type="character" w:styleId="1712" w:customStyle="1">
    <w:name w:val="正文文本缩进 2 Char"/>
    <w:qFormat/>
    <w:rPr>
      <w:rFonts w:ascii="仿宋_GB2312" w:eastAsia="仿宋_GB2312"/>
      <w:sz w:val="24"/>
      <w:szCs w:val="24"/>
    </w:rPr>
  </w:style>
  <w:style w:type="character" w:styleId="1713" w:customStyle="1">
    <w:name w:val="批注框文本 Char"/>
    <w:uiPriority w:val="99"/>
    <w:qFormat/>
    <w:rPr>
      <w:sz w:val="18"/>
      <w:szCs w:val="18"/>
    </w:rPr>
  </w:style>
  <w:style w:type="character" w:styleId="1714" w:customStyle="1">
    <w:name w:val="页脚 Char1"/>
    <w:uiPriority w:val="99"/>
    <w:qFormat/>
    <w:rPr>
      <w:rFonts w:ascii="宋体" w:eastAsia="宋体"/>
      <w:sz w:val="18"/>
      <w:lang w:val="en-US" w:eastAsia="zh-CN" w:bidi="ar-SA"/>
    </w:rPr>
  </w:style>
  <w:style w:type="character" w:styleId="1715" w:customStyle="1">
    <w:name w:val="页眉 Char1"/>
    <w:qFormat/>
    <w:rPr>
      <w:rFonts w:eastAsia="宋体"/>
      <w:sz w:val="18"/>
      <w:szCs w:val="18"/>
      <w:lang w:val="en-US" w:eastAsia="zh-CN" w:bidi="ar-SA"/>
    </w:rPr>
  </w:style>
  <w:style w:type="character" w:styleId="1716" w:customStyle="1">
    <w:name w:val="正文文本缩进 3 Char"/>
    <w:qFormat/>
    <w:rPr>
      <w:rFonts w:ascii="宋体"/>
      <w:sz w:val="24"/>
    </w:rPr>
  </w:style>
  <w:style w:type="character" w:styleId="1717" w:customStyle="1">
    <w:name w:val="HTML 预设格式 Char"/>
    <w:qFormat/>
    <w:rPr>
      <w:rFonts w:ascii="宋体" w:hAnsi="宋体" w:cs="宋体"/>
      <w:sz w:val="24"/>
      <w:szCs w:val="24"/>
    </w:rPr>
  </w:style>
  <w:style w:type="character" w:styleId="1718" w:customStyle="1">
    <w:name w:val="标题 Char1"/>
    <w:qFormat/>
    <w:rPr>
      <w:b/>
      <w:sz w:val="32"/>
    </w:rPr>
  </w:style>
  <w:style w:type="character" w:styleId="1719" w:customStyle="1">
    <w:name w:val="批注主题 Char"/>
    <w:uiPriority w:val="99"/>
    <w:qFormat/>
    <w:rPr>
      <w:rFonts w:ascii="Times New Roman" w:hAnsi="Times New Roman" w:eastAsia="宋体" w:cs="Times New Roman"/>
      <w:b/>
      <w:bCs/>
      <w:sz w:val="21"/>
      <w:szCs w:val="24"/>
      <w:lang w:val="en-US" w:eastAsia="zh-CN" w:bidi="ar-SA"/>
    </w:rPr>
  </w:style>
  <w:style w:type="paragraph" w:styleId="1720" w:customStyle="1">
    <w:name w:val="_Style 459"/>
    <w:basedOn w:val="1010"/>
    <w:next w:val="1035"/>
    <w:uiPriority w:val="1"/>
    <w:qFormat/>
    <w:pPr>
      <w:ind w:firstLine="420"/>
    </w:pPr>
    <w:rPr>
      <w:rFonts w:ascii="Calibri" w:hAnsi="Calibri"/>
      <w:szCs w:val="22"/>
    </w:rPr>
  </w:style>
  <w:style w:type="paragraph" w:styleId="1721" w:customStyle="1">
    <w:name w:val="ÕýÎÄ"/>
    <w:qFormat/>
    <w:pPr>
      <w:jc w:val="both"/>
      <w:spacing w:line="357" w:lineRule="atLeast"/>
      <w:widowControl w:val="off"/>
    </w:pPr>
    <w:rPr>
      <w:color w:val="000000"/>
      <w:sz w:val="21"/>
    </w:rPr>
  </w:style>
  <w:style w:type="character" w:styleId="1722" w:customStyle="1">
    <w:name w:val="Default Char"/>
    <w:link w:val="1353"/>
    <w:qFormat/>
    <w:rPr>
      <w:rFonts w:ascii="Symbol" w:hAnsi="Symbol" w:cs="Symbol"/>
      <w:color w:val="000000"/>
      <w:sz w:val="24"/>
      <w:szCs w:val="24"/>
    </w:rPr>
  </w:style>
  <w:style w:type="paragraph" w:styleId="1723" w:customStyle="1">
    <w:name w:val="p"/>
    <w:basedOn w:val="1010"/>
    <w:qFormat/>
  </w:style>
  <w:style w:type="character" w:styleId="1724" w:customStyle="1">
    <w:name w:val="题注 字符"/>
    <w:link w:val="1049"/>
    <w:rPr>
      <w:rFonts w:ascii="华文中宋" w:hAnsi="华文中宋" w:eastAsia="华文中宋"/>
      <w:sz w:val="3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hyperlink" Target="mailto:394676860@qq.com" TargetMode="External"/><Relationship Id="rId26" Type="http://schemas.openxmlformats.org/officeDocument/2006/relationships/hyperlink" Target="http://gks.mof.gov.cn/ztztz/zhengfucaigouguanli/201802/t20180201_2804589.htm" TargetMode="External"/><Relationship Id="rId27"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tao</dc:creator>
  <cp:lastModifiedBy>何奕韬</cp:lastModifiedBy>
  <cp:revision>21</cp:revision>
  <dcterms:created xsi:type="dcterms:W3CDTF">2026-05-06T07:37:00Z</dcterms:created>
  <dcterms:modified xsi:type="dcterms:W3CDTF">2026-05-07T07:36:12Z</dcterms:modified>
  <cp:version>1048576</cp:version>
</cp:coreProperties>
</file>