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72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苏州工业园区政府采购</w:t>
      </w:r>
      <w:r/>
    </w:p>
    <w:p>
      <w:pPr>
        <w:ind w:left="0" w:right="0" w:firstLine="72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竞争性磋商文件</w:t>
      </w:r>
      <w:r/>
    </w:p>
    <w:p>
      <w:pPr>
        <w:ind w:left="0" w:right="0" w:firstLine="2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2904" w:right="0" w:hanging="153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采购编号:JSZC-320591-PMJS-C2026-0013</w:t>
      </w:r>
      <w:r/>
    </w:p>
    <w:p>
      <w:pPr>
        <w:ind w:left="2904" w:right="0" w:hanging="153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采购项目：2026年上市苗圃服务项目（第一批）</w:t>
      </w:r>
      <w:r/>
    </w:p>
    <w:p>
      <w:pPr>
        <w:ind w:left="0" w:right="0" w:firstLine="13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采购人：苏州工业园区企业发展服务中心</w:t>
      </w:r>
      <w:r/>
    </w:p>
    <w:p>
      <w:pPr>
        <w:ind w:left="0" w:right="0" w:firstLine="13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采购类别：服务类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mc:AlternateContent>
          <mc:Choice Requires="wpg">
            <w:drawing>
              <wp:inline xmlns:wp="http://schemas.openxmlformats.org/drawingml/2006/wordprocessingDrawing" distT="0" distB="0" distL="0" distR="0">
                <wp:extent cx="1562100" cy="120015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659918" name=""/>
                        <pic:cNvPicPr>
                          <a:picLocks noChangeAspect="1"/>
                        </pic:cNvPicPr>
                        <pic:nvPr/>
                      </pic:nvPicPr>
                      <pic:blipFill>
                        <a:blip r:embed="rId12"/>
                        <a:stretch/>
                      </pic:blipFill>
                      <pic:spPr bwMode="auto">
                        <a:xfrm>
                          <a:off x="0" y="0"/>
                          <a:ext cx="1562099" cy="12001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3.0pt;height:94.5pt;mso-wrap-distance-left:0.0pt;mso-wrap-distance-top:0.0pt;mso-wrap-distance-right:0.0pt;mso-wrap-distance-bottom:0.0pt;" stroked="false">
                <v:path textboxrect="0,0,0,0"/>
                <v:imagedata r:id="rId12" o:title=""/>
              </v:shape>
            </w:pict>
          </mc:Fallback>
        </mc:AlternateContent>
      </w:r>
      <w:r/>
      <w:r>
        <w:rPr>
          <w:rFonts w:ascii="SimSun" w:hAnsi="SimSun" w:eastAsia="SimSun" w:cs="SimSun"/>
          <w:b/>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江苏京苏项目管理咨询有限公司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2026年04月</w:t>
      </w:r>
      <w:r/>
    </w:p>
    <w:p>
      <w:pPr>
        <w:ind w:left="52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5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总目录</w:t>
      </w:r>
      <w:r/>
    </w:p>
    <w:p>
      <w:pPr>
        <w:ind w:left="0" w:right="0" w:firstLine="30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前附表</w:t>
        <w:tab/>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第一章竞争性磋商公告</w:t>
        <w:tab/>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第二章 磋商供应商须知</w:t>
        <w:tab/>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 响应文件格式</w:t>
        <w:tab/>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 磋商采购内容</w:t>
        <w:tab/>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第五章 合同条款</w:t>
        <w:tab/>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第六章 评审办法</w:t>
        <w:tab/>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21"/>
        <w:jc w:val="both"/>
        <w:spacing w:before="0" w:after="0"/>
        <w:pBdr>
          <w:top w:val="none" w:color="000000" w:sz="4" w:space="0"/>
          <w:left w:val="none" w:color="000000" w:sz="4" w:space="0"/>
          <w:bottom w:val="none" w:color="000000" w:sz="4" w:space="0"/>
          <w:right w:val="none" w:color="000000" w:sz="4" w:space="0"/>
        </w:pBdr>
      </w:pPr>
      <w:r>
        <w:br w:type="page" w:clear="all"/>
      </w:r>
      <w:r/>
    </w:p>
    <w:p>
      <w:pPr>
        <w:pStyle w:val="1026"/>
        <w:ind w:left="0" w:right="0" w:firstLine="44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前附表</w:t>
      </w:r>
      <w:r/>
    </w:p>
    <w:tbl>
      <w:tblPr>
        <w:tblStyle w:val="105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83"/>
        <w:gridCol w:w="7564"/>
      </w:tblGrid>
      <w:tr>
        <w:trPr>
          <w:trHeight w:val="4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241"/>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241"/>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内容规定</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采购内容：2026年上市苗圃服务项目（第一批）</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标段数：4个标段</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响应文件有效期为90天（日历日）</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服务时间：一年，以合同签订日期为准。</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磋商保证金：不提交，本项目磋商文件内关于磋商保证金的相关规定均不适用。</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签订合同：成交通知书发出之日起30日内</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现场考察：不组织。</w:t>
            </w:r>
            <w:r/>
          </w:p>
        </w:tc>
      </w:tr>
      <w:tr>
        <w:trPr>
          <w:trHeight w:val="8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响应文件：应使用“苏采云”系统制作并提交电子版响应文件，未按要求线上递交电子响应文件将被拒收。供应商成交后须提供4套响应文件。</w:t>
            </w:r>
            <w:r/>
          </w:p>
        </w:tc>
      </w:tr>
      <w:tr>
        <w:trPr>
          <w:trHeight w:val="21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电子响应文件上传截止时间：2026年05月11日09:30（北京时间）</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上传地点：苏采云政府采购一体化平台</w:t>
            </w:r>
            <w:r/>
          </w:p>
          <w:p>
            <w:pPr>
              <w:ind w:left="0" w:right="0" w:firstLine="0"/>
              <w:jc w:val="both"/>
              <w:spacing w:before="0" w:after="0" w:line="40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本项目为不见面开标项目，开标阶段供应商在【供应商解密】环节必须使用 CA证书解密电子投标文件，如在系统规定的解密时间内未能完成解密的视为放弃投标（响应）。</w:t>
            </w:r>
            <w:r/>
          </w:p>
        </w:tc>
      </w:tr>
      <w:tr>
        <w:trPr>
          <w:trHeight w:val="7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询问：获取磋商文件成功的磋商供应商在下载磋商文件后，对磋商文件有疑问的，可通过邮件（1214506206@qq.com）进行询问。采购代理机构通过邮件予以解答，询问人自行在邮件中查看解答信息。</w:t>
            </w:r>
            <w:r/>
          </w:p>
        </w:tc>
      </w:tr>
      <w:tr>
        <w:trPr>
          <w:trHeight w:val="2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w:t>
            </w:r>
            <w:r/>
          </w:p>
          <w:p>
            <w:pPr>
              <w:ind w:left="0" w:right="0" w:firstLine="60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认为本采购文件条款使自己的权益受到损害的，应在知道或者应知权益受到损害之日起七个工作日内，以书面形式向采购单位提出质疑。采购人应当在收到磋商供应商书面质疑后七个工作日内作出答复。质疑应符合政府采购质疑和投诉办法(中华人民共和国财政部令第94号)。</w:t>
            </w:r>
            <w:r/>
          </w:p>
          <w:p>
            <w:pPr>
              <w:ind w:left="0" w:right="0" w:firstLine="60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未依照磋商公告要求依法获取磋商文件的供应商，视为未参加该项政府采购活动，不具备对该政府采购项目提出质疑的法定权利。</w:t>
            </w:r>
            <w:r/>
          </w:p>
          <w:p>
            <w:pPr>
              <w:ind w:left="0" w:right="0" w:firstLine="60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接受质疑函的方式：当场送达或邮寄方式。</w:t>
            </w:r>
            <w:r/>
          </w:p>
        </w:tc>
      </w:tr>
      <w:tr>
        <w:trPr>
          <w:trHeight w:val="11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24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代理服务费收费标准，由成交供应商在领取成交通知书时付清：</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预算金额100万元以下部分，费率为该部分预算金额的1.5%；</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预算金额100万元（含）－500万元部分，费率为该部分预算金额的1.1%；</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代理服务费以采购预算金额为基数依据，按以上规定的标准和差额定率累进法进行计算收取。例：如预算金额为150万元，则代理服务费＝100万元×1.5%＋（150万元－100万元）×1.1%。如按上述方法计算的金额低于人民币3000元整的，则本项目代理服务费按人民币3000元整计收，最低不低于3000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代理服务费：23800元</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中标原则：综合评分法</w:t>
            </w:r>
            <w:r/>
          </w:p>
        </w:tc>
      </w:tr>
      <w:tr>
        <w:trPr>
          <w:trHeight w:val="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评审办法：详见第六章</w:t>
            </w:r>
            <w:r/>
          </w:p>
        </w:tc>
      </w:tr>
      <w:tr>
        <w:trPr>
          <w:trHeight w:val="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特别提醒：</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1、本项目支持网上不见面开标，供应商不需到现场参加磋商会。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本项目采用线上二次报价(及时关注系统，以防错过二次报价)，供应商应登录采购系统并在规定时间内进行线上二次报价。此处规定时间的计算以采购系统中的倒计时间为准。因供应商自身原因导致线上二次报价失败的后果由供应商自行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3、请供应商确保电脑、系统及其他设备（视频输入输出设备等）无误，且开标直至项目结束始终保持系统在线状态。</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pStyle w:val="1026"/>
        <w:ind w:left="0" w:right="0" w:firstLine="52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u w:val="none"/>
        </w:rPr>
        <w:t xml:space="preserve">第一章竞争性磋商</w:t>
      </w:r>
      <w:r>
        <w:rPr>
          <w:rFonts w:ascii="SimSun" w:hAnsi="SimSun" w:eastAsia="SimSun" w:cs="SimSun"/>
          <w:b/>
          <w:color w:val="000000"/>
          <w:sz w:val="52"/>
        </w:rPr>
        <w:t xml:space="preserve">公告</w:t>
      </w:r>
      <w:r/>
    </w:p>
    <w:p>
      <w:pPr>
        <w:ind w:left="0" w:right="0" w:firstLine="2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一、竞争性磋商公告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2026年上市苗圃服务项目（第一批）的潜在磋商供应商应在“苏采云政府采购一体化平台”自行免费下载磋商文件，并于2026年05月11日09点30分（北京时间）前提交响应文件。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采购编号：JSZC-320591-PMJS-C2026-0013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项目名称：2026年上市苗圃服务项目（第一批）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预算金额：180.000000万元（采购包1：60.000000万元；采购包2：40.000000万元；采购包3：50.000000万元；采购包4：30.000000万元）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最高限价：180.000000万元（采购包1：60.000000万元；采购包2：40.000000万元；采购包3：50.000000万元；采购包4：30.000000万元）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1、标段号及采购目标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采购包1（2026年上市苗圃领创营）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了促进园区企业高质量发展，聚焦培育苗圃企业正确的上市价值观，梳理企业上市前合规经营脉络，协助苗圃企业拓展产业、融资渠道，拟联合IPO专业机构、高校院所、龙头企业等顶尖资源，推出系统化、专业性的苗圃核心高管课程；通过主题交流活动搭建经验共享与资源对接平台，为企业带来全方位、多维度的资本市场规划指引、产业协同链接赋能，助力企业茁壮成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采购包2（2026年上市苗圃金牌董秘班）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市苗圃工程聚焦企业上市培育，优选主营业务突出、核心竞争力显著、上市意愿强烈的潜力企业为培育对象，整合关键优质资源，提升企业资本市场认知，引导企业规范经营，加速企业业务发展，夯实可持续的上市后备梯队，助力更多优质企业登陆资本市场实现更高质量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采购包3（2026年上市苗圃团队训战营）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为提高苗圃企业高管团队协作能力，增加企业核心竞争力。拟面向企业核心高管团队开设团队训战营，并组织开展高管交流会，针对企业重要问题及堵点，促进跨部门合作，形成解决问题的结构化思维工具。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采购包4（2026年上市苗圃AI实战班）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加强苗圃企业的AI技术与主营业务深度融合，并协助企业解决技术应用落地、经营管理赋能、智能工具合规运用等实际问题，开展本次上市苗圃AI实战班项目，助力企业掌握AI核心应用技术，实现AI技术与企业经营管理及发展的深度结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标段划分及中标原则：本项目采购分为四个标段，磋商响应单位可以选择多个标段进行响应，成交标段数量不超过一个。本项目按标段号顺序磋商，确定响应单位的成交标段。已确定成交标段的响应单位，其余标段将自动失去成交资格且不再参加下一个标段的评审。在合同签订之前，若某标段因质疑、投诉等事项导致成交结果改变的，不影响其它任何标段的成交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3、合同履行期限：</w:t>
      </w:r>
      <w:r>
        <w:rPr>
          <w:rFonts w:ascii="SimSun" w:hAnsi="SimSun" w:eastAsia="SimSun" w:cs="SimSun"/>
          <w:color w:val="000000"/>
          <w:sz w:val="24"/>
          <w:u w:val="none"/>
        </w:rPr>
        <w:t xml:space="preserve">一年，以合同签订日期为准</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1.1具有独立承担民事责任的能力；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1.2具有良好的商业信誉和健全的财务会计制度；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1.3具有履行合同所必须的设备和专业技术能力；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1.4具有依法缴纳税收和社会保障资金的良好记录；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1.5参加政府采购活动前三年内，在经营活动中没有重大违法记录；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落实政府采购政策需满足的资格要求：</w:t>
      </w:r>
      <w:r>
        <w:rPr>
          <w:rFonts w:ascii="SimSun" w:hAnsi="SimSun" w:eastAsia="SimSun" w:cs="SimSun"/>
          <w:b/>
          <w:color w:val="000000"/>
          <w:sz w:val="24"/>
        </w:rPr>
        <w:t xml:space="preserve">本项目专门面向中小企业采购，所属行业为其他未列明行业，投标单位须为中小微企业或监狱企业或残疾人福利性单位。</w:t>
      </w:r>
      <w:r/>
    </w:p>
    <w:p>
      <w:pPr>
        <w:numPr>
          <w:ilvl w:val="0"/>
          <w:numId w:val="16"/>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合格磋商磋商响应单位的特殊条件：无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注：（1）根据政府采购法及相关法规，招标代理人将对供应商进行信用查询。对列入失信被执行人、重大税收违法案件当事人名单、政府采购严重违法失信行为记录名单的供应商，拒绝其参与政府采购活动；</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（2）为采购项目提供整体设计、规范编制或者项目管理、监理、监测等服务的磋商供应商，不得再参加该采购项目的其他采购活动；</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（3）单位负责人为同一人或者存在直接控股、管理关系的不同磋商供应商，不得参加同一合同项下的政府采购活动。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三、获取采购文件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时间：磋商公告之日起5个工作日。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地点：供应商登录苏州市政府采购网站首页下侧 “苏采云-已参与项目”中，根据提示，下载招标（采购）文件。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方式：网上报名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截止时间：2026年05月11日09：30（北京时间）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地点：苏州市政府采购网站-苏采云系统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时间：2026年05月11日09：30（北京时间）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地点：苏州工业园区公共资源交易中心新场地-开标室（六）</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w:t>
      </w:r>
      <w:r>
        <w:rPr>
          <w:rFonts w:ascii="SimSun" w:hAnsi="SimSun" w:eastAsia="SimSun" w:cs="SimSun"/>
          <w:b/>
          <w:color w:val="000000"/>
          <w:sz w:val="24"/>
        </w:rPr>
        <w:t xml:space="preserve">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为网上招投标项目，供应商应在“苏州市政府采购网-苏采云-项目参与-采购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2、本项目支持网上不见面开标，</w:t>
      </w:r>
      <w:r>
        <w:rPr>
          <w:rFonts w:ascii="SimSun" w:hAnsi="SimSun" w:eastAsia="SimSun" w:cs="SimSun"/>
          <w:b/>
          <w:color w:val="000000"/>
          <w:sz w:val="24"/>
        </w:rPr>
        <w:t xml:space="preserve">供应商不需到现场参加磋商会，开标阶段供应商在【供应商解密】环节必须使用 CA证书解密电子投标（响应）文件，如在系统规定的解密时间内未能完成解密的视为放弃投标（响应）。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4、线上参加（观看）开标会方式：苏州市政府采购网点击“苏采云”进入交易系统，点击“开标大厅-我的项目”，找到对应项目</w:t>
      </w:r>
      <w:r>
        <w:rPr>
          <w:rFonts w:ascii="SimSun" w:hAnsi="SimSun" w:eastAsia="SimSun" w:cs="SimSun"/>
          <w:color w:val="000000"/>
          <w:sz w:val="24"/>
          <w:highlight w:val="white"/>
        </w:rPr>
        <w:t xml:space="preserve">进入不见面开标系统</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5、请供应商确保电脑、系统及其他设备（视频输入输出设备等）无误，且开标直至项目结束始终保持系统在线状态。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6、CA办理及使用指南： 根据省财政厅《关于更换全省政府采购交易系统C A数字证书和电子签章的通知》（苏财购〔2023〕101号），“苏采云”政府采购交易系统（以下简称苏采云系统）的CA数字证书、电子签章为江苏省电子政务证书认证中心CA和方正国际软件（北京）有限公司电子签章。具体办理指南和操作手册见苏州市政府采购网苏采云登陆页面右下角点击【新CA办理指南】--江苏省政府采购数字证书（供应商)数字证书CA及电子签章办理指南。苏州现场办理地址：苏州高新区邓尉路105号狮山科技馆1楼服务大厅，咨询电话：0512-</w:t>
      </w:r>
      <w:r>
        <w:rPr>
          <w:rFonts w:ascii="SimSun" w:hAnsi="SimSun" w:eastAsia="SimSun" w:cs="SimSun"/>
          <w:color w:val="000000"/>
          <w:sz w:val="24"/>
        </w:rPr>
        <w:t xml:space="preserve">65737699。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入“苏采云”政府采购交易系统后按照《苏采云系统供应商操作手册》（以下简称《操作手册》）、进行注册并按《操作手册》要求制作、上传电子响应文件。供应商可在采购系统中下载《苏采云系统供应商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7、考虑到熟悉苏采云系统操作需要一定的时间，请提早准备以免耽误采购活动。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应及时关注政府采购信息发布媒体上发布的更正（补充）公告，同时在苏采云系统中下载更正（补充）资料，如有遗漏（包括但不限于文件未下载或下载不完整），所造成的投标失败或损失由供应商自行负责。</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9、投标人（供应商）应自行在苏采云政府采购一体化平台上下载/获取招标（采购）文件及其澄清（答疑）等相关招标（采购）资料，恕不另行通知。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10、采购项目需要落实的政府采购政策：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（1）财政部、工业和信息化部《政府采购促进中小企业发展管理办法》。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（2）苏州市财政局《关于贯彻执行绿色采购、促进残疾人就业和支持监狱企业发展有关政策的通知（苏财购〔2020〕10号）》。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（3）财库【2022】19号关于进一步加大政府采购支持中小企业力度的通知。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（4）苏财购【2022】16号关于印发《苏州市政府采购促进中小企业发展实施意见》的通知。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（5）国办发〔2025〕34号《国务院办公厅关于在政府采购中实施本国产品标准及相关政策的通知》。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11、成交供应商可凭政府采购合同办理融资贷款，详情请见江苏政府采购网“政采贷”专栏。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12、请贵单位领取本次采购文件后，认真阅读各项内容，进行必要的磋商准备，按文件的要求详细填写和编制响应文件。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13、苏州工业园区政府采购监督电话：0512-66681110。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14、本次采购的有关信息将在苏州市政府采购网、江苏政府采购网、中国政府采购网</w:t>
      </w:r>
      <w:hyperlink r:id="rId13" w:tooltip="http://www.szweikang.xn--com-6y3ba7cbgc4097e4kax19cqoerohxod7w1bva254sga6035lg4sc/" w:history="1">
        <w:r>
          <w:rPr>
            <w:rStyle w:val="1062"/>
            <w:rFonts w:ascii="SimSun" w:hAnsi="SimSun" w:eastAsia="SimSun" w:cs="SimSun"/>
            <w:color w:val="0000ee"/>
            <w:sz w:val="24"/>
            <w:u w:val="single"/>
          </w:rPr>
          <w:t xml:space="preserve">上发布</w:t>
        </w:r>
      </w:hyperlink>
      <w:r>
        <w:rPr>
          <w:rFonts w:ascii="SimSun" w:hAnsi="SimSun" w:eastAsia="SimSun" w:cs="SimSun"/>
          <w:color w:val="000000"/>
          <w:sz w:val="24"/>
        </w:rPr>
        <w:t xml:space="preserve">，敬请留意。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15、技术支持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注册咨询：18261002950；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系统使用指导与咨询：联系电话：13914088964、18261002950；QQ：3048755361、1315179389、895706745。</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八、凡对本次采购提出询问，请按以下方式联系。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名称：</w:t>
      </w:r>
      <w:r>
        <w:rPr>
          <w:rFonts w:ascii="SimSun" w:hAnsi="SimSun" w:eastAsia="SimSun" w:cs="SimSun"/>
          <w:color w:val="000000"/>
          <w:sz w:val="24"/>
        </w:rPr>
        <w:t xml:space="preserve">苏州工业园区企业发展服务中心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联系地址：苏州工业园区旺墩路168号市场大厦东2F</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电话：0512-67068010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人：姜一晶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名称：江苏京苏项目管理咨询有限公司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址：苏州工业园区东环路1400号综艺开元大厦15楼会议室1502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联系方式：0512-67256848-1647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3.项目联系方式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项目联系人：顾苏芯（项目负责人）、周东星、俞莉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话：0512-67256848-1647</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026"/>
        <w:ind w:left="0" w:right="0" w:firstLine="52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第二章 磋商供应商须知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说明</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1.1本磋商采购文件仅适用于江苏京苏项目管理咨询有限公司组织的采购活动。</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1.2本次采购活动及因本次采购产生的合同受中国法律制约和保护。</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1.3本磋商采购文件的解释权属于江苏京苏项目管理咨询有限公司。</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词语释义</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2.1采购人：依法进行政府采购的各级国家机关、事业单位、团体组织。</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2.2磋商供应商：指向采购人提供货物、工程或服务的法人、其他组织或者自然人。</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2.3采购代理机构：指依法接受采购人委托，从事货物、工程和服务等政府采购代理业务的社会中介机构。</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2.4磋商采购单位：采购人及采购代理机构的统称，具体组织实施磋商采购活动。</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2.5响应：磋商供应商根据采购人发布的磋商文件，编制响应文件并按规定参与磋商的行为。</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2.6知识产权：指专利权、商标权、著作权等无形财产专有权的统称。</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2.7天：日历日。</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2.8服务地点：合同中明确约定的乙方服务的最终地点。</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2.9不可抗力：不能预见、不能避免并且不能克服的客观情况。</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2.10实质性响应：满足有关本次采购标的、数量、质量、价款或者报酬、履行期限、履行地点和方式、违约责任和解决争议方法等要求。</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2.11书面形式：指书面文字、合同书、信件和传真等可以有形地表现所载内容的形式。</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2.12扫描件：指原件的各种彩色复制件，包括扫描、照片等。</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3.合格磋商供应商的一般条件</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按磋商公告</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4.合格磋商供应商的特殊条件</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按磋商公告</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磋商供应商代表</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5.1指全权代表磋商供应商参加磋商采购活动并签署响应文件的人，如果磋商供应商代表不是法人代表，须持有《法人代表授权委托书》（详见附件格式）。</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 磋商费用</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6.1无论磋商过程中的做法和结果如何，磋商供应商自行承担所有与参加磋商有关的全部费用。</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联合体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本项目不接受联合体投标。</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磋商采购文件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供应商获取磋商文件后，应仔细检查磋商文件的所有内容，如有残缺等问题应向磋商采购单位提出，否则，由此产生的影响由供应商自己承担。供应商同时应认真审阅磋商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8.2供应商如有疑问需要澄清，请按照前附表进行询问，代理机构收到询问后应在三个工作日内予以解答。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磋商文件及其补充文件不是直接从苏采云系统处获得的，磋商采购单位对磋商文件及其补遗的真实性、完整性不承担任何责任。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9.现场考察：本项目不组织，相关条款均不适用。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9.1供应商应按磋商文件中所述时间和方式对有关现场和周围环境进行考察，以获取编制响应文件和签署合同所需的信息。考察现场所发生的费用由供应商自己承担。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9.2磋商采购单位向供应商提供的有关现场的资料和数据，是磋商采购单位现有的并认为能使供应商可利用的资料。磋商采购单位对供应商由此而做出的推论、理解和结论概不负责。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经磋商采购单位允许，供应商可为考察目的进入磋商采购单位的项目现场，但供应商不得因此使磋商采购单位承担有关的责任和蒙受损失。供应商应承担考察现场的责任和风险。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供应商应在现场考察时，熟悉现场及周围交通道路等情况，以获得一切可能影响其投标的直接资料。供应商成交后，不得以不完全了解现场情况为理由而向磋商采购单位提出任何索赔的要求，对此磋商采购单位不承担任何责任并将不作任何答复与考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 磋商采购文件的澄清和修改</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10.1在递交响应文件截止时间前，采购人、采购代理机构无论出于自己的考虑，还是出于对磋商供应商提问的澄清，均可对磋商文件用更正（补充）文件的方式进行修改。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10.2采购人、采购代理机构对磋商文件的修改，将以更正（补充）文件的方式在苏州政府采购网上进行发布。更正（补充）文件将作为磋商文件的组成部分，对所有磋商供应商有约束力。</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10.3为使磋商供应商有足够的时间按磋商文件的修改要求考虑修正响应文件，或出于其他原因，采购人、采购代理机构有权推迟截止日期和磋商日期。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10.4磋商文件的澄清、修改、补充等内容均以网上发布的内容为准。当磋商文件、磋商文件的澄清、修改、补充等在同一内容的表述上不一致时，以网上发布的为准。</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响应文件计量单位和使用文字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11.1响应文件中所使用的计量单位，除磋商文件中有特殊要求外，均应使用中华人民共和国法定计量单位。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响应文件应使用中文编制，响应文件中必须使用其他文字的，必须附有中文译本，且以中文译本为准。对于未附有中文译本和中文译本不准确的响应文件可能引起的对供应商不利的后果，磋商采购单位概不负责。</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 响应文件的组成</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12.1响应文件一（报价部分）(格式见第三章)：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12.1.1授权委托书（非法定代表人参加磋商的提供）；</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12.1.2响应函；</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12.1.3响应报价表；</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12.2响应文件二（资格及技术部分）：</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 关于资格文件的声明函（格式见第三章）；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12.2.2 磋商供应商情况表，供应商与其他单位存在控股、管理关系情况表（格式见第三章）；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12.2.3磋商供应商法定代表人身份证扫描件；</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12.2.4磋商供应商代理人身份证扫描件（非法定代表人参加磋商的提供）；</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12.2.5磋商供应商证明其满足合格磋商供应商资格基本条件的证明材料:</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（1）具有独立承担民事责任的能力证明：包括法人或者其他组织的营业执照等证明文件，自然人身份证明扫描件；</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（2）具有良好的商业信誉和健全的财务会计制度证明：最近一期财务报表或其基本开户银行出具的资信证明扫描件；</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（3）具备履行合同所必需的设备和专业技术能力的证明材料扫描件或承诺函；</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包括税务登记证（如有）和近三个月内依法缴纳税收的凭据，如为依法免税或不需要缴纳的，供应商则须提供对应证明资料；提供近三个月内依法缴纳社会保险的凭据（专用收据或社会保险缴纳清单）的相关材料扫描件；</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（5）参加政府采购活动前三年内在经营活动中没有重大违法记录的书面声明函；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12.2.6偏离表；</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12.2.7中小企业声明函（格式见第三章）或残疾人福利性单位声明函（格式见第三章）或监狱企业证明文件；</w:t>
      </w:r>
      <w:r>
        <w:rPr>
          <w:rFonts w:ascii="SimSun" w:hAnsi="SimSun" w:eastAsia="SimSun" w:cs="SimSun"/>
          <w:b/>
          <w:color w:val="000000"/>
          <w:sz w:val="24"/>
          <w:u w:val="single"/>
        </w:rPr>
        <w:t xml:space="preserve">(注：若提供中小企业声明函或残疾人福利性单位声明函或监狱企业证明文件须加盖有公章的彩色扫描件上传至电子投标文件。)</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12.2.8《关于符合本国产品标准的声明函》</w:t>
      </w:r>
      <w:r>
        <w:rPr>
          <w:rFonts w:ascii="SimSun" w:hAnsi="SimSun" w:eastAsia="SimSun" w:cs="SimSun"/>
          <w:color w:val="000000"/>
          <w:sz w:val="24"/>
          <w:u w:val="none"/>
        </w:rPr>
        <w:t xml:space="preserve">或财政部会同有关部门规定的有关证明文件扫描件</w:t>
      </w:r>
      <w:r>
        <w:rPr>
          <w:rFonts w:ascii="SimSun" w:hAnsi="SimSun" w:eastAsia="SimSun" w:cs="SimSun"/>
          <w:color w:val="000000"/>
          <w:sz w:val="24"/>
        </w:rPr>
        <w:t xml:space="preserve">（如有）；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12.2.9服务方案；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12.2.10《人员配备一览表》（格式见第三章）及服务期间人员配备方案；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12.2.11《类似业绩一览表》（格式见第三章）；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12.2.12磋商供应商证明其为合格磋商供应商及评分标准中涉及的证书、证明、文件等资料。</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注：供应商应提交以上12.1.1-12.2.7条完整响应文件。否则，响应文件将因资格条件不符或未实质响应磋商文件而被拒绝。</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响应文件由12.1、12.2款规定的内容共同组成。</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电子响应文件编制及提交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本项目为网上招投标项目，供应商应登陆苏采云系统、线上获取招标（采购）文件，线上获取更正（补充）文件、对投标（响应）文件进行电子签章、线上递交投标（响应）文件；应使用电子投标文件制作工具制作电子版投标（响应）文件。</w:t>
      </w:r>
      <w:r>
        <w:rPr>
          <w:rFonts w:ascii="SimSun" w:hAnsi="SimSun" w:eastAsia="SimSun" w:cs="SimSun"/>
          <w:b/>
          <w:color w:val="000000"/>
          <w:sz w:val="24"/>
        </w:rPr>
        <w:t xml:space="preserve">电子投标（响应）文件分标段制作完成后请于上传截止前按标段成功上传，未按要求线上递交电子投标（响应）文件将被拒收。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13.2电子投标（响应）文件制作工具下载：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电子投标文件制作工具下载：详见苏州市政府采购网-苏采云登陆页面右下角点击驱动下载。使用指南见《苏采云系统供应商操作手册》。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13.3电子投标（响应）文件制作与提交：</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供应商根据《苏采云系统供应商操作手册》进行操作。制作电子投标文件时必须与投标文件制作软件目录一一对应，将相关资料上传至相应模块。</w:t>
      </w:r>
      <w:r>
        <w:rPr>
          <w:rFonts w:ascii="SimSun" w:hAnsi="SimSun" w:eastAsia="SimSun" w:cs="SimSun"/>
          <w:b/>
          <w:color w:val="000000"/>
          <w:sz w:val="24"/>
        </w:rPr>
        <w:t xml:space="preserve">需对投标（响应）文件中涉及的扫描件（复印件）及需要加盖公章的部分进行签章，否则视为未提供相对应项。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13.4投标（响应）文件制作完成后导出投标（响应）文件，在“参与详情”页面上传已制作完成的投标（响应）文件。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13.5投标（响应）文件提交后，供应商可通过模拟解密操作检测投标（响应）文件是否可以正常解密。</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13.6</w:t>
      </w:r>
      <w:r>
        <w:rPr>
          <w:rFonts w:ascii="SimSun" w:hAnsi="SimSun" w:eastAsia="SimSun" w:cs="SimSun"/>
          <w:b/>
          <w:color w:val="000000"/>
          <w:sz w:val="24"/>
          <w:u w:val="single"/>
        </w:rPr>
        <w:t xml:space="preserve">因本章“12.响应文件的组成及要求”要求的中小企业声明函、残疾人福利性单位声明函要求的文件需在成交公告时对外公示，故磋商供应商如涉及需要提供“12.响应文件的组成及要求”要求的中小企业声明函、残疾人福利性单位声明函的文件时，必须将签章上传至电子投标文件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13.7供应商应在采购系统中选择已制作好的响应文件进行上传，上传必须在投标（响应）截止时间前完成。</w:t>
      </w:r>
      <w:r>
        <w:rPr>
          <w:rFonts w:ascii="SimSun" w:hAnsi="SimSun" w:eastAsia="SimSun" w:cs="SimSun"/>
          <w:b/>
          <w:color w:val="000000"/>
          <w:sz w:val="24"/>
        </w:rPr>
        <w:t xml:space="preserve">未按要求成功上传的投标（响应）文件视为未递交。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13.8联合体投标：本项目不涉及，相关条款均不适用。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如招标（采购）公告中允许联合体投标，联合体投标的投标（响应）文件制作上传操作如下：</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第一步：在投标（响应）文件中上传联合体投标协议书。</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第二步：在投标（响应）文件中，由联合体中的牵头人制作投标（响应）文件。</w:t>
      </w:r>
      <w:r/>
    </w:p>
    <w:p>
      <w:pPr>
        <w:ind w:left="0" w:right="0" w:firstLine="482"/>
        <w:jc w:val="both"/>
        <w:spacing w:before="0" w:after="0" w:line="85" w:lineRule="atLeast"/>
        <w:tabs>
          <w:tab w:val="left" w:pos="5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备注：响应文件中的CA证书签章为有效签名章。</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报价（编制）要求的说明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除非合同中另有规定，磋商供应商对《响应报价表》中的报价应包括但不限于完成本项目所需全部费用，报价包括但不限于人工、策划、场地、设计制作、推广费、风险费、材料、利润、税金及政策性文件规定费用等一切费用，报价中还包括耗材、劳保、各种税费及政策性文件规定及合同包含的所有风险、责任等各项应有费用。除非合同条款中另有规定，否则合同价格在合同实施期间不因市场因素、政策规定变更因素等任何因素调整。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14.2磋商报价编制要求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14.2.1根据提供的磋商文件及有关资料单独编制相关的磋商报价并汇总填入《响应报价表》；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14.3磋商供应商应按《响应报价表》中的全部服务计算单价和总价。《响应报价表》中的每一单项均应计算并填写单价和总价。如发现响应报价中有错算现象，一旦成交，供应商自行承担错算这部分的经济损失。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磋商供应商应对磋商文件内所要采购的全部内容进行报价，只响应其中部分内容者，其响应文件将被拒绝。但如果磋商文件要求分标段磋商的，则磋商供应商可以有选择地只响应其中一个或几个标段，也可以投全部标段，但各标段应分别计算填写单价和总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14.5一项内容只允许一个报价，采购人不接受任何有选择性的报价。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14.6响应文件报价中的单价和总价全部采用人民币表示，除非合同的特殊条款另有规定。</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 磋商保证金（本项目无需提交磋商保证金，本磋商文件内磋商保证金相关规定均不适用）。</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 响应文件的有效期</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16.1响应文件的有效期见前附表，在此期间内，响应文件应保持有效。有效期短于这个规定期限的响应，将被拒绝。</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在特殊情况下，磋商采购单位可与磋商供应商协商延长响应文件的有效期。这种要求和答复都应以书面的形式进行。同意延长有效期的磋商供应商不能修改响应文件。拒绝接受延期要求的磋商供应商的投标将被拒绝。</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 响应文件的标记</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17.1磋商供应商应根据《苏采云系统供应商操作手册》进行操作。制作电子投标文件时必须与投标文件制作软件目录一一对应，将相关资料上传至相应模块。</w:t>
      </w:r>
      <w:r>
        <w:rPr>
          <w:rFonts w:ascii="SimSun" w:hAnsi="SimSun" w:eastAsia="SimSun" w:cs="SimSun"/>
          <w:b/>
          <w:color w:val="000000"/>
          <w:sz w:val="24"/>
        </w:rPr>
        <w:t xml:space="preserve">需对投标（响应）文件中涉及的扫描件（复印件）及需要加盖公章的部分进行签章，否则视为未提供相对应项。</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18.1电子响应文件按照制作要求在响应文件提交截止时间前分标段分别上传系统提交。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18.2磋商供应商应当在磋商文件要求的截止时间前，将响应文件上传系统，未按要求线上递交电子响应文件，采购人、采购代理机构或者磋商小组应当拒收。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18.3在响应文件截止时间止采购人收到的响应文件递交份数少于三份，采购人有权宣布本次采购失败。</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 响应文件的修改和撤回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19.1磋商供应商在提交响应文件后可在系统中对其响应文件进行修改或撤销。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开启后磋商供应商不得撤回响应文件。</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 磋商程序</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w:t>
      </w:r>
      <w:r>
        <w:rPr>
          <w:rFonts w:ascii="SimSun" w:hAnsi="SimSun" w:eastAsia="SimSun" w:cs="SimSun"/>
          <w:b/>
          <w:color w:val="000000"/>
          <w:sz w:val="24"/>
        </w:rPr>
        <w:t xml:space="preserve">供应商不需到现场参加开标会</w:t>
      </w:r>
      <w:r>
        <w:rPr>
          <w:rFonts w:ascii="SimSun" w:hAnsi="SimSun" w:eastAsia="SimSun" w:cs="SimSun"/>
          <w:b/>
          <w:color w:val="000000"/>
          <w:sz w:val="24"/>
          <w:u w:val="single"/>
        </w:rPr>
        <w:t xml:space="preserve">(但请及时关注系统公告栏及语音播报，以防错过二次报价)。</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20.2线上参加（观看）开标会方式：苏州市政府采购网点击“苏采云”进入交易系统，点击“开标大厅-我的项目”，找到对应项目进行线上参加（观看）。</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20.3开标时，供应商的响应文件须在供应商解密环节进行解密，在解密时长倒计时结束前，供应商需解密完成，否则视为放弃本次投标（磋商）。</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解密完成后，供应商可通过查看“磋商响应”菜单查看是否被邀请磋商。供应商进入采购包磋商列表界面，点击【响应】按钮进行响应。供应商需点击【我知道了】，完善磋商回复栏内容后，进行签章提交。在15分钟内未进行磋商响应的供应商，默认已响应。开标大厅显示“立即报价”后，供应商须在报价结束时间前进行报价，报价结束时间未进行报价，则视为放弃报价。报价结束时间前可修改最后报价，点击【修改报价】按钮进行修改，倒计时结束后，点击我知道了。最后报价结束，若需要修改报价信息，可在剩余时间之内进行撤销，重新报价。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20.5成交结果会在苏州政府采购网上公布，请供应商及时查看，否则导致的对供应商不利的后果由供应商自行承担。</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20.6本项目采用线上澄清：</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评审中需要供应商进行澄清的通知会通过苏采云系统发出，供应商应及时登录采购系统查看澄清要求并在规定的时间内按要求进行线上答复，供应商未按上述要求答复引起的不利后果，由供应商自行承担。</w:t>
      </w:r>
      <w:r/>
    </w:p>
    <w:p>
      <w:pPr>
        <w:ind w:left="0" w:right="0" w:firstLine="480"/>
        <w:jc w:val="both"/>
        <w:spacing w:before="26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有关澄清的答复应在系统内采用书面形式，该书面签复应有投标人签(盖)章，并将作为投标内容的一部分。</w:t>
      </w:r>
      <w:r/>
    </w:p>
    <w:p>
      <w:pPr>
        <w:ind w:left="0" w:right="0" w:firstLine="480"/>
        <w:jc w:val="both"/>
        <w:spacing w:before="26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线上澄清答复的方式：当发起答疑澄清时，页面弹出处理答疑澄清消息菜单，点击反馈进入-点击【响应】-填写询问响应内容后，进行询问响应函签章。</w:t>
      </w:r>
      <w:r/>
    </w:p>
    <w:p>
      <w:pPr>
        <w:ind w:left="0" w:right="0" w:firstLine="480"/>
        <w:jc w:val="both"/>
        <w:spacing w:before="26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评审结束后系统公告中会提示评审流程结束，供应商可离开电脑。</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20.7本项目采用线上二次报价</w:t>
      </w:r>
      <w:r>
        <w:rPr>
          <w:rFonts w:ascii="SimSun" w:hAnsi="SimSun" w:eastAsia="SimSun" w:cs="SimSun"/>
          <w:b/>
          <w:color w:val="000000"/>
          <w:sz w:val="24"/>
          <w:u w:val="single"/>
        </w:rPr>
        <w:t xml:space="preserve">(及时关注“苏采云”系统公告栏和语音播报信息，以防错过二次报价)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20.8供应商未按规定时间及要求递交二次报价的，视为放弃本次投标（响应）。</w:t>
      </w:r>
      <w:r/>
    </w:p>
    <w:p>
      <w:pPr>
        <w:ind w:left="0" w:right="0" w:firstLine="518"/>
        <w:jc w:val="both"/>
        <w:spacing w:before="0" w:after="0" w:line="85" w:lineRule="atLeast"/>
        <w:tabs>
          <w:tab w:val="left" w:pos="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20.9磋商结束后，磋商小组要求所有实质性响应的供应商应登录采购系统并在规定时间内进行线上二次报价即最后报价，提交最后报价的供应商不足3家的，磋商采购失败。除因磋商文件修改导致成本增加外，</w:t>
      </w:r>
      <w:r>
        <w:rPr>
          <w:rFonts w:ascii="SimSun" w:hAnsi="SimSun" w:eastAsia="SimSun" w:cs="SimSun"/>
          <w:b/>
          <w:color w:val="000000"/>
          <w:sz w:val="24"/>
        </w:rPr>
        <w:t xml:space="preserve">最后报价不得高于一次报价，否则为无效响应报价。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20.10经磋商确定最终采购需求和提交最后报价的供应商后，由磋商小组采用综合评分法对提交最后报价的供应商的响应文件和最后报价进行综合评分。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20.11异常低价投标审查</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20.11.1 评标过程中出现下列情形之一的，评标委员会应当启动异常低价投标审查程序：</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（3）投标报价低于采购项目最高限价45%的，即投标报价＜采购项目最高限价×45%（优惠率低于55%）；</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（4）评标委员会认定的供应商报价过低、有可能影响产品质量或者不能诚信履约的其他情形。</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20.11.2启动异常低价投标审查后，评标委员会应当要求相关供应商在评标现场合理的时间内，提供项目具体成本测算等与报价合理性相关的书面说明材料及相关证明材料，对投标价格作出解释，包括但不限于原材料成本、人工成本、制造费用等；评审委员会依投标（响应）供应商不能提供书面说明、证明材料，或者提供的书面说明、证明材料不能证明其 报价合理性的，评审委员会应当将其作为无效投标（响应）处理。由评标委员会根据专业经验，参考同类项目中标（成交）价格、类似产品市场价格水平、行业人工费用标准、国家有关部门指导行业协会发布的行业平</w:t>
      </w:r>
      <w:r>
        <w:rPr>
          <w:rFonts w:ascii="SimSun" w:hAnsi="SimSun" w:eastAsia="SimSun" w:cs="SimSun"/>
          <w:b/>
          <w:color w:val="000000"/>
          <w:sz w:val="24"/>
        </w:rPr>
        <w:t xml:space="preserve">均成本等情况，对报价合理性进行判断。投标供应商不提供书面说明、证明材料，或者提供的书面说明、证明材料不能证明其报价合理性的，评标委员会应当将其作为无效投标处理。审查相关情况应当在评标报告中进行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20.11经磋商确定最终采购需求和提交最后报价的供应商后，由磋商小组采用综合评分法对提交最后报价的供应商的响应文件和最后报价进行综合评分。</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20.12由于开标现场监控传输路径与开标信息传输路径不同，会造成网页显示时间与监控图像显示时间不同。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20.13技术支持</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系统使用指导与咨询：联系电话：13914088964、18261002950；QQ：3048755361、1315179389、895706745。</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 磋商小组</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21.1磋商小组由采购人依法组建，由采购人代表、专家评委组成。</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21.2磋商小组与参加采购活动的供应商存在下列利害关系之一的，应当回避：</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（一）参加采购活动前三年内，与投标人存在劳动关系、或者担任过投标人的董事、监事，或者是投标人的控股股东或实际控制人；</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（二）与投标人的法定代表人或者负责人有夫妻、直系血亲、三代以内旁系血亲或者近姻亲关系；</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（三）与投标人有其他影响政府采购活动公平、公正进行的关系。</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磋商小组发现本人与参加采购活动的供应商有利害关系的，应当主动提出回避。采购人或采购代理机构发现评审专家与参加采购活动的供应商有利害关系的，应当要求其回避。</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21.3磋商小组负责具体的磋商事务，并独立履行以下职责：</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21.3.1审查响应文件是否符合磋商采购文件的要求，并作出评价；</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21.3.2可以要求磋商供应商对响应文件有关事项作出解释或澄清；</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21.3.3推荐成交候选磋商供应商名单；</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21.3.4向采购人或者有关部门报告非法干预磋商工作的行为。</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21.4磋商小组成员应当履行下列义务：</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21.4.1遵纪守法，客观、公正、廉洁地履行职责；</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21.4.2按照磋商采购文件规定的评审办法和评分标准进行评审，对评审意见承担个人责任；</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21.4.3对磋商过程和结果，以及磋商供应商的商业秘密保密；</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21.4.4参与评审报告的起草；</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21.4.5配合相关部门的投诉处理工作；</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21.4.6配合采购人答复磋商供应商提出的质疑。</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评审内容的保密</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22.1磋商开始后，直到宣布授予成交单位合同为止，凡属于审查、澄清、评价和比较响应文件的所有资料，有关授予合同的信息都不应向磋商供应商或与评审无关的其他人泄露。</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22.2在响应文件的审查、澄清、评价和比较以及授予合同的过程中，磋商供应商对采购人和磋商小组施加影响的任何行为，都将取消其成交资格。</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22.3在评审期间，采购人将通过指定联络人与磋商供应商进行联系。</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 对响应文件初审</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开始磋商后，磋商小组将审查响应文件是否实质性响应磋商采购文件的要求、内容是否完整、价格构成有无计算错误、文件签署是否齐全等，响应文件有下列情况之一者，且磋商小组认为在磋商承诺函中无法修正的则有权将其拒绝：</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23.1.1磋商供应商的响应文件未按照本须知规定制作的；</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23.1.2未按本须知规定提交资格文件；</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23.1.3与磋商采购文件有重大偏离；</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23.1.4磋商供应商拒绝修正错误；</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23.1.5磋商供应商的报价是选择性的；</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23.1.6磋商供应商的报价只投了部分内容；</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23.1.7 磋商供应商的响应文件出现了评标委员会认为不应当雷同的情况；</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23.1.8 经磋商小组认定磋商供应商的报价低于成本价的；</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23.1.9不同供应商的机器码一致的情形；</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23.1.10 其他被磋商小组认定无效的情况。</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23.2磋商采购文件提供的工艺、材料、设备、参考的商标或样本目录号码等仅作为说明并没有限制性，磋商供应商在磋商中可以选用替代标准，但这些替代标准要优于或相当于技术规格中要求的标准，以满足采购人的需要。</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23.3磋商小组将对确定为实质性响应的文件进行审核，看其是否有计算上或累加上的算术错误，修正错误的原则如下：</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23.3.1响应文件的大写金额与小写金额不一致的，以大写金额为准；</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23.3.2如果单价乘数量不等于总价，数量符合磋商采购文件要求，以单价计算金额为准；单价金额小数点有明细错位的，应以总价为准，并修改单价；数量不符合磋商采购文件要求的作为未实质性响应磋商采购文件处理，该响应文件将不予以详细评审，也不成交；</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23.3.3对不同文字文本响应文件的解释发生异议的，以中文文本为准；</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23.3.4磋商供应商不同意以上修正，则其响应文件将被拒绝。</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24．项目的终止</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24.1出现下列情形之一的，将终止竞争性磋商采购活动：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24.1.1因情况变化，不再符合规定的竞争性磋商采购方式适用情形的；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24.1.2出现影响采购公正的违法、违规行为的；</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24.1.3实质性响应磋商文件不满三家或进入二次报价的不满三家或二次报价在采购预算或最高限价内不满三家的。</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 响应文件的评价和比较</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25.1磋商小组将仅对按照本须知有关规定确定为实质性响应磋商采购文件要求的响应文件进行评价和比较。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25.2评审办法</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采购人授权磋商小组根据本文件规定的成交原则，在响应文件满足磋商文件全部实质性要求且按评审因素的量化指标评审得分最高的磋商供应商为成交供应商。</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评标委员会严格按照磋商采购文件的要求、条件、合格性评审办法，对磋商供应商所提供的服务内容进行比较，同时考虑以下因素：</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25.2.1磋商供应商的资信情况和履约能力；</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25.2.2磋商供应商提供的其他优惠条件；</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25.2.3磋商供应商的服务方案；</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25.3评标委员会各成员独立对每个进入合格性评审程序的磋商供应商的响应文件按评审办法进行评审和评价。</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 成交单位的确认</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26.1磋商小组根据磋商供应商资格审查情况，对响应文件进行评价和比较，按照评审办法和标准进行评审，并按采购人的委托向采购人推荐成交候选单位。</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26.2确定成交供应商后，磋商采购单位将在规定的时间内将成交结果在相关媒体上予以公告。</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 合同授予标准</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27.1采购人将把合同授予其响应文件在实质上响应磋商文件要求和按本须知规定评选出的磋商供应商。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政府采购合同履行中，采购人需追加与合同标的物相同的货物、工程或者服务的，在不改变合同其他条款的前提下，可以与成交供应商签订补充合同，但所有补充合同的采购金额不得超过原合同采购金额的百分之十。</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 成交通知书</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28.1磋商采购单位应在规定的时间向成交供应商发出成交通知书。成交通知书发出后，采购人改变成交结果，或者成交供应商放弃成交，应当承担相应的法律责任。</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28.2成交通知书将成为合同的组成部分。</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28.3磋商采购单位对未成交供应商不承担解释未成交原因的义务。</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29.告知成交结果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29.1发出成交通知书。在发布成交公告的同时，向成交磋商供应商发出成交通知书。</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参与项目评审的未成交磋商供应商可在成交公告发布之日起2个工作日内向采购代理机构另行提供用以接收《未成交通知书》的电子邮件地址，未按时提供电子邮件地址或提供信息有误的，视为自动放弃并自行承担相应后果。</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 合同的签订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30.1成交单位应按规定的时间和地点，由法定代表人或代理人与甲方代表签订合同。否则按放弃处理。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30.2签订合同及合同条款应以磋商采购文件和成交单位的响应文件及其澄清文件为依据。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30.3本项目各单项报价二次报价中未明确的，按照磋商总价（最终报价）/第一次总价*响应文件中列明单价（第一次）执行。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30.4合同签订后，将在苏州政府采购网上公示。</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履约保证金：</w:t>
      </w:r>
      <w:r>
        <w:rPr>
          <w:rFonts w:ascii="SimSun" w:hAnsi="SimSun" w:eastAsia="SimSun" w:cs="SimSun"/>
          <w:color w:val="000000"/>
          <w:sz w:val="24"/>
        </w:rPr>
        <w:t xml:space="preserve">本项目无需缴纳，相关条款均不适用。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履约保证金在签订本合同前缴纳，履约保证金可采用支票、本票、汇票、电子履约保函，或者金融机构、担保机构出具的银行保函等非现金形式。如递交电子履约保函的，中标单位在江苏政府采购电子履约保函（保险）平台开具履约保函，按履约要求准时提供有关材料。开具电子保函路径：1、苏采云（江苏政府采购一体化平台）--政策支持--保险保函；2、江苏政府采购网-－保险保函；3、PC端登录 https://www.jsdzbh.com 直接开具。咨询电话：4006800040。</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代理服务费</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32.1成交单位须按前附表的规定计算并支付服务费，该费用应在领取成交通知书时向采购代理机构一次性付清。</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32.2成交单位如果未按规定缴纳服务费，磋商采购单位将保留诉讼的权利。</w:t>
      </w:r>
      <w:r/>
    </w:p>
    <w:p>
      <w:pPr>
        <w:ind w:left="0" w:right="0" w:firstLine="46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33.采购文件的质疑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 根据《政府采购质疑和投诉办法》财政部第94号令，供应商认为采购文件、采购过程、成交结果使自己的权益受到损害的，可以在知道或者应知其权益受到损害之日起7个工作日内，以书面形式向采购人、采购代理机构提出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33.2本次采购文件要求供应商在法定质疑期内一次性提出针对同一采购程序环节的质疑。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33.3采购人、采购代理机构收到质疑供应商在法定质疑期内发出的质疑函，应当在收到质疑函后7个工作日内作出答复，并以书面形式通知质疑供应商和其他有关供应商。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33.4供应商提出质疑应当提交质疑函、报名确认单和必要的证明材料。质疑函应当包括下列内容：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33.4.1供应商的姓名或者名称、地址、邮编、联系人及联系电话；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33.4.2质疑项目的名称、编号；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33.4.3具体、明确的质疑事项和与质疑事项相关的请求；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33.4.4事实依据；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33.4.5必要的法律依据；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33.4.6提出质疑的日期。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33.5质疑联系方式详见采购公告。</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34.政府采购政策</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34.1关于节能环保产品政府采购要求：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项目为服务类项目，不涉及属于《节能产品政府采购品目清单》中强制采购范围内产品，不涉及属于《节能产品政府采购品目清单》中优先采购范围内的产品及《环境标志产品政府采购品目清单》范围内的产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34.2针对中小型企业的评审：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（1）本项目为专门面向中小企业采购。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财库〔2020〕46号）及《关于做好政府采购支持企业发展有关事项的通知》（苏财购〔2020〕52号）的相关规定，对于专门面向中小微企业的项目，如供应商认定本企业提供的工程或服务符合上述文件规定情形，可以享受中小企业扶持政策的，则需根据《中小企业划型标准规定》（工信部联企业〔2011〕300号）提交《中小企业声明函》并加盖公章，</w:t>
      </w:r>
      <w:r>
        <w:rPr>
          <w:rFonts w:ascii="SimSun" w:hAnsi="SimSun" w:eastAsia="SimSun" w:cs="SimSun"/>
          <w:b/>
          <w:color w:val="000000"/>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服务类项目中供应商若使用退休人员，将不享受相关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在政府采购活动中，供应商提供的服务符合下列情形的，享受《政府采购促进中小企业发展管理办法》规定的中小企业扶持政策：在服务项目中，项目由中小微企业承接。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根据《政府采购促进中小企业发展管理办法》（财库〔2020〕46号）及《中小企业划型标准规定》（工信部联企业〔2011〕300号），本采购项目对应的中小企业划分标准所属行业为：其他未列明行业。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若中小微企业提供的 “中小企业声明函” 或认定证明为虚假声明则视同提供虚假材料，按政府采购相关规定处理并报请政府监管部门给予行政处罚。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未尽事宜按照《苏州市政府采购促进中小企业发展实施意见》执行。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（2）残疾人福利性单位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（3）监狱企业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34.3实施本国产品标准及相关政策</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本项目为服务类项目，如提供服务中需提供货物，</w:t>
      </w:r>
      <w:r>
        <w:rPr>
          <w:rFonts w:ascii="SimSun" w:hAnsi="SimSun" w:eastAsia="SimSun" w:cs="SimSun"/>
          <w:b/>
          <w:color w:val="000000"/>
          <w:sz w:val="24"/>
        </w:rPr>
        <w:t xml:space="preserve">根据《国务院办公厅关于在政府采购中实施本国产品标准及相关政策的通知》（国办发（2025）34号）的规定，本项目对采购本国产品给予政策支持。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34.3.3本项目政府采购活动中既有本国产品又有非本国产品参与竞争的，依法对本国产品给予价格评审优惠，对本国产品的报价给予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当采购项目或者采购包中含有多种产品，供应商为该采购项目或者采购包提供的符合本国产品标准的产品成本之和占该供应商提供的全部产品成本之和的比例达到</w:t>
      </w:r>
      <w:r>
        <w:rPr>
          <w:rFonts w:ascii="SimSun" w:hAnsi="SimSun" w:eastAsia="SimSun" w:cs="SimSun"/>
          <w:color w:val="000000"/>
          <w:sz w:val="24"/>
          <w:u w:val="single"/>
        </w:rPr>
        <w:t xml:space="preserve">80%</w:t>
      </w:r>
      <w:r>
        <w:rPr>
          <w:rFonts w:ascii="SimSun" w:hAnsi="SimSun" w:eastAsia="SimSun" w:cs="SimSun"/>
          <w:color w:val="000000"/>
          <w:sz w:val="24"/>
        </w:rPr>
        <w:t xml:space="preserve">以上时（供应商需在“分项报价表”中填写比例数值），依法对该供应商提供的全部产品给予价格评审优惠，即对该供应商提供的全部产品的总报价给予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rPr>
          <w:rFonts w:ascii="SimSun" w:hAnsi="SimSun" w:eastAsia="SimSun" w:cs="SimSun"/>
          <w:b/>
          <w:color w:val="000000"/>
          <w:sz w:val="24"/>
        </w:rPr>
        <w:t xml:space="preserve">供应商未填写比例数值，或比例数值未达到</w:t>
      </w:r>
      <w:r>
        <w:rPr>
          <w:rFonts w:ascii="SimSun" w:hAnsi="SimSun" w:eastAsia="SimSun" w:cs="SimSun"/>
          <w:b/>
          <w:color w:val="000000"/>
          <w:sz w:val="24"/>
          <w:u w:val="single"/>
        </w:rPr>
        <w:t xml:space="preserve">80%</w:t>
      </w:r>
      <w:r>
        <w:rPr>
          <w:rFonts w:ascii="SimSun" w:hAnsi="SimSun" w:eastAsia="SimSun" w:cs="SimSun"/>
          <w:b/>
          <w:color w:val="000000"/>
          <w:sz w:val="24"/>
        </w:rPr>
        <w:t xml:space="preserve">的，将不享受本国产品价格评审优惠。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34.3.4供应商需按照招标文件的要求提供《关于符合本国产品标准的声明函》（以下简称《声明函》）或财政部会同有关部门规定的有关证明文件的，</w:t>
      </w:r>
      <w:r>
        <w:rPr>
          <w:rFonts w:ascii="SimSun" w:hAnsi="SimSun" w:eastAsia="SimSun" w:cs="SimSun"/>
          <w:b/>
          <w:color w:val="000000"/>
          <w:sz w:val="24"/>
        </w:rPr>
        <w:t xml:space="preserve">如不提供或提供不符要求的将不享受本国产品价格评审优惠。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34.3.5供应商需在《声明函》中逐一、准确填写产品名称、厂名、生产厂址三项信息（《声明函》中用斜线划除的地方无需填写），</w:t>
      </w:r>
      <w:r>
        <w:rPr>
          <w:rFonts w:ascii="SimSun" w:hAnsi="SimSun" w:eastAsia="SimSun" w:cs="SimSun"/>
          <w:b/>
          <w:color w:val="000000"/>
          <w:sz w:val="24"/>
        </w:rPr>
        <w:t xml:space="preserve">三项信息中任意一项未填写的视为该项产品不符合本国产品标准，不享受本国产品价格评审优惠。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34.3.6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ascii="SimSun" w:hAnsi="SimSun" w:eastAsia="SimSun" w:cs="SimSun"/>
          <w:b/>
          <w:color w:val="000000"/>
          <w:sz w:val="24"/>
        </w:rPr>
        <w:t xml:space="preserve">供应商提供的相关产品视为不符合本国产品标准。</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34.4信用记录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34.3.1查询截止时点：响应文件递交截止时间。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34.3.2查询渠道：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采购代理机构将通过，在中国政府采购网（http://www.ccgp.gov.cn）、信用中国（www.creditchina.gov.cn）的网站输入供应商全称或统一社会信用代码查询信用记录，并将查询结果递交评审小组。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34.3.3信用记录使用规则：对响应单位进行资格性审查时，应根据查询结果对供应商的不良信用记录逐项甄别确认。按照《中华人民共和国政府采购法》第二十二条规定，下列信用记录属于应依法拒绝供应商参加政府采购的失信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（一）政府采购严重违法记录，即供应商被全国各级财政部门列入“政府采购严重违法失信行为记录名单”，且在处罚有效期内的。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（二）财政部门与法院、工商、税务等部门联合惩戒的失信信息，包括：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（1）被列入失信被执行人名单；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（2）被列入重大税收违法案件当事人名单；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投标（响应）文件日未满三年的。</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 未尽事宜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按《中华人民共和国政府采购法》、《中华人民共和国政府采购法实施条例》及其他有关的法律法规的规定执行。</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026"/>
        <w:ind w:left="0" w:right="0" w:firstLine="52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第三章 响应文件格式</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对本章所有的格式，磋商供应商可根据自身情况进行补充和修改，但补充和修改不得造成与本格式内容有实质性的违背。</w:t>
      </w:r>
      <w:r/>
    </w:p>
    <w:p>
      <w:pPr>
        <w:ind w:left="0" w:right="0" w:firstLine="281"/>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28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1、（供应方）法定代表人授权委托书</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01"/>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法定代表人授权委托书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本授权委托书声明：我</w:t>
      </w:r>
      <w:r>
        <w:rPr>
          <w:rFonts w:ascii="SimSun" w:hAnsi="SimSun" w:eastAsia="SimSun" w:cs="SimSun"/>
          <w:color w:val="000000"/>
          <w:sz w:val="24"/>
          <w:u w:val="single"/>
        </w:rPr>
        <w:t xml:space="preserve">  （姓名）</w:t>
      </w:r>
      <w:r>
        <w:rPr>
          <w:rFonts w:ascii="SimSun" w:hAnsi="SimSun" w:eastAsia="SimSun" w:cs="SimSun"/>
          <w:color w:val="000000"/>
          <w:sz w:val="24"/>
        </w:rPr>
        <w:t xml:space="preserve">系</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的法定代表人，现授权委托</w:t>
      </w:r>
      <w:r>
        <w:rPr>
          <w:rFonts w:ascii="SimSun" w:hAnsi="SimSun" w:eastAsia="SimSun" w:cs="SimSun"/>
          <w:color w:val="000000"/>
          <w:sz w:val="24"/>
          <w:u w:val="single"/>
        </w:rPr>
        <w:t xml:space="preserve"> （姓名）</w:t>
      </w:r>
      <w:r>
        <w:rPr>
          <w:rFonts w:ascii="SimSun" w:hAnsi="SimSun" w:eastAsia="SimSun" w:cs="SimSun"/>
          <w:color w:val="000000"/>
          <w:sz w:val="24"/>
        </w:rPr>
        <w:t xml:space="preserve">为我公司授权代表（即代理人），以本公司的名义参加 组织实施的编号为</w:t>
      </w:r>
      <w:r>
        <w:rPr>
          <w:rFonts w:ascii="SimSun" w:hAnsi="SimSun" w:eastAsia="SimSun" w:cs="SimSun"/>
          <w:color w:val="000000"/>
          <w:sz w:val="24"/>
          <w:u w:val="single"/>
        </w:rPr>
        <w:t xml:space="preserve">JSZC-320500-PMJS-C2025-0023</w:t>
      </w:r>
      <w:r>
        <w:rPr>
          <w:rFonts w:ascii="SimSun" w:hAnsi="SimSun" w:eastAsia="SimSun" w:cs="SimSun"/>
          <w:color w:val="000000"/>
          <w:sz w:val="24"/>
        </w:rPr>
        <w:t xml:space="preserve">号</w:t>
      </w:r>
      <w:r>
        <w:rPr>
          <w:rFonts w:ascii="SimSun" w:hAnsi="SimSun" w:eastAsia="SimSun" w:cs="SimSun"/>
          <w:color w:val="000000"/>
          <w:sz w:val="24"/>
          <w:u w:val="single"/>
        </w:rPr>
        <w:t xml:space="preserve">采购包       </w:t>
      </w:r>
      <w:r>
        <w:rPr>
          <w:rFonts w:ascii="SimSun" w:hAnsi="SimSun" w:eastAsia="SimSun" w:cs="SimSun"/>
          <w:color w:val="000000"/>
          <w:sz w:val="24"/>
        </w:rPr>
        <w:t xml:space="preserve">的磋商活动。授权代表在磋商活动过程中所签署的一切文件和处理与这有关的一切事务，我均予以承认。</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授权代表在授权委托书有效期内签署的所有文件不因授权委托的撤销而失效，除非有撤销授权委托的书面通知，本授权委托书自磋商活动开始至合同履行完毕止。</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授权代表无转委托权。特此委托。</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响应供应商：（单位公章）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代理人：（签字或盖章）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2、响应函</w:t>
      </w:r>
      <w:r/>
    </w:p>
    <w:p>
      <w:pPr>
        <w:ind w:left="0" w:right="0" w:firstLine="241"/>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响应函</w:t>
      </w:r>
      <w:r/>
    </w:p>
    <w:p>
      <w:pPr>
        <w:ind w:left="260" w:right="0" w:firstLine="9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26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我们收到贵公司</w:t>
      </w:r>
      <w:r>
        <w:rPr>
          <w:rFonts w:ascii="SimSun" w:hAnsi="SimSun" w:eastAsia="SimSun" w:cs="SimSun"/>
          <w:color w:val="000000"/>
          <w:sz w:val="24"/>
          <w:u w:val="single"/>
        </w:rPr>
        <w:t xml:space="preserve">      </w:t>
      </w:r>
      <w:r>
        <w:rPr>
          <w:rFonts w:ascii="SimSun" w:hAnsi="SimSun" w:eastAsia="SimSun" w:cs="SimSun"/>
          <w:color w:val="000000"/>
          <w:sz w:val="24"/>
        </w:rPr>
        <w:t xml:space="preserve">号磋商文件，经仔细阅读和研究，我们决定参加磋商活动。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1、我们愿意按照磋商文件的一切要求，完成该项目的全部内容。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2、如果我们的磋商响应文件被接受，我们将严格履行磋商文件中规定的每一项要求，按期、按质、按量履行合同的义务。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3、我们已详细阅读全部磋商文件，包括更正公告(如有)，对磋商文件及更正公告(如有)无任何异议。我们完全理解并同意放弃对这方面有不明及误解的权力。</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4、我们同意按磋商文件中的规定，本响应文件的有效期限自提交响应文件截止时间之日起</w:t>
      </w:r>
      <w:r>
        <w:rPr>
          <w:rFonts w:ascii="SimSun" w:hAnsi="SimSun" w:eastAsia="SimSun" w:cs="SimSun"/>
          <w:color w:val="000000"/>
          <w:sz w:val="24"/>
          <w:u w:val="single"/>
        </w:rPr>
        <w:t xml:space="preserve">    </w:t>
      </w:r>
      <w:r>
        <w:rPr>
          <w:rFonts w:ascii="SimSun" w:hAnsi="SimSun" w:eastAsia="SimSun" w:cs="SimSun"/>
          <w:color w:val="000000"/>
          <w:sz w:val="24"/>
        </w:rPr>
        <w:t xml:space="preserve">天。</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5、我们愿意提供磋商采购单位在磋商文件中要求的所有资料。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6、我们愿意遵守磋商文件中所列的收费标准。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7、我们承诺该响应文件在磋商开始后的全过程中保持有效，不作任何更改和变动。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8、我们承诺我公司符合磋商文件供应商须知中“合格供应商的基本、特殊条件”的要求，若与真实情况不符，本公司愿意承担由此而产生的一切后果。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9、我们声明：我们在参加本次政府采购活动前3年内在经营活动中没有重大违法记录。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所有有关响应文件的函电，可按下列地址联系：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联系电话（手机）：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地址：邮政编码：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电子邮箱：</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响应供应商：（单位公章）</w:t>
      </w:r>
      <w:r/>
    </w:p>
    <w:p>
      <w:pPr>
        <w:ind w:left="0" w:right="0" w:firstLine="24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3、响应报价表</w:t>
      </w:r>
      <w:r/>
    </w:p>
    <w:p>
      <w:pPr>
        <w:ind w:left="0" w:right="0" w:firstLine="241"/>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响应报价表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tbl>
      <w:tblPr>
        <w:tblStyle w:val="105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3"/>
        <w:gridCol w:w="2249"/>
        <w:gridCol w:w="2647"/>
        <w:gridCol w:w="1591"/>
        <w:gridCol w:w="2164"/>
      </w:tblGrid>
      <w:tr>
        <w:trPr>
          <w:trHeight w:val="73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响应价格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w:t>
            </w:r>
            <w:r/>
          </w:p>
        </w:tc>
      </w:tr>
      <w:tr>
        <w:trPr>
          <w:trHeight w:val="12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2026年上市苗圃服务项目（第一批）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4"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4" w:space="0"/>
              <w:right w:val="single" w:color="000000" w:sz="8" w:space="0"/>
            </w:tcBorders>
            <w:tcMar>
              <w:left w:w="108" w:type="dxa"/>
              <w:top w:w="0" w:type="dxa"/>
              <w:right w:w="108" w:type="dxa"/>
              <w:bottom w:w="0" w:type="dxa"/>
            </w:tcMar>
            <w:tcW w:w="2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6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响应总价：大写    （小写：   元）</w:t>
            </w:r>
            <w:r/>
          </w:p>
        </w:tc>
      </w:tr>
      <w:tr>
        <w:trPr>
          <w:trHeight w:val="861"/>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中型企业（  ） 小型企业（  ）  微型企业（  ）监狱企业 （  ） 残疾人福利性企业(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1"/>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分项报价表</w:t>
      </w:r>
      <w:r/>
    </w:p>
    <w:tbl>
      <w:tblPr>
        <w:tblStyle w:val="105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84"/>
        <w:gridCol w:w="1799"/>
        <w:gridCol w:w="1568"/>
        <w:gridCol w:w="1568"/>
        <w:gridCol w:w="1568"/>
        <w:gridCol w:w="1568"/>
      </w:tblGrid>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52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52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52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52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52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52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52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52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52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52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52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52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52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52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52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52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52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52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52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60"/>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52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总价：</w:t>
            </w:r>
            <w:r/>
          </w:p>
        </w:tc>
      </w:tr>
      <w:tr>
        <w:trPr>
          <w:trHeight w:val="533"/>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符合本国产品标准的产品成本之和占本项目提供的全部产品成本之和的比例：</w:t>
            </w:r>
            <w:r>
              <w:rPr>
                <w:rFonts w:ascii="SimSun" w:hAnsi="SimSun" w:eastAsia="SimSun" w:cs="SimSun"/>
                <w:color w:val="000000"/>
                <w:sz w:val="24"/>
                <w:u w:val="single"/>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注：如不涉及则在比例中填写“/”。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响应供应商：（单位公章）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4、人员配备一览表</w:t>
      </w:r>
      <w:r/>
    </w:p>
    <w:p>
      <w:pPr>
        <w:ind w:left="0" w:right="0" w:firstLine="24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（1）人员配备一览表</w:t>
      </w:r>
      <w:r/>
    </w:p>
    <w:p>
      <w:pPr>
        <w:ind w:left="0" w:right="0" w:firstLine="211"/>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bl>
      <w:tblPr>
        <w:tblStyle w:val="105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76"/>
        <w:gridCol w:w="637"/>
        <w:gridCol w:w="652"/>
        <w:gridCol w:w="652"/>
        <w:gridCol w:w="803"/>
        <w:gridCol w:w="687"/>
        <w:gridCol w:w="629"/>
        <w:gridCol w:w="803"/>
        <w:gridCol w:w="931"/>
        <w:gridCol w:w="1083"/>
        <w:gridCol w:w="1328"/>
        <w:gridCol w:w="674"/>
      </w:tblGrid>
      <w:tr>
        <w:trPr>
          <w:trHeight w:val="1086"/>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4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63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学历</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68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毕业院校</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6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所学专业</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93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专业资格证书</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0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从业年限</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3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67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r>
      <w:tr>
        <w:trPr>
          <w:trHeight w:val="59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47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3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47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3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47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3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210"/>
        <w:jc w:val="both"/>
        <w:spacing w:before="240" w:after="6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响应供应商：（单位公章）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（2）拟投入本项目的负责人简历表</w:t>
      </w:r>
      <w:r/>
    </w:p>
    <w:tbl>
      <w:tblPr>
        <w:tblStyle w:val="105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00"/>
        <w:gridCol w:w="1189"/>
        <w:gridCol w:w="808"/>
        <w:gridCol w:w="1428"/>
        <w:gridCol w:w="1181"/>
        <w:gridCol w:w="1491"/>
        <w:gridCol w:w="1481"/>
      </w:tblGrid>
      <w:tr>
        <w:trPr>
          <w:trHeight w:val="6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  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 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出生日期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毕业院校</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5"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毕业时间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45"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w:t>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从事本专业时间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执业资格</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6"/>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8"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  要  经  历</w:t>
            </w:r>
            <w:r/>
          </w:p>
        </w:tc>
      </w:tr>
      <w:tr>
        <w:trPr>
          <w:trHeight w:val="9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   间</w:t>
            </w:r>
            <w:r/>
          </w:p>
        </w:tc>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参加过的项目名称及规模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该项目中任职</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21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响应供应商：（单位公章）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3400" w:right="0" w:firstLine="210"/>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5、类似业绩一览表</w:t>
      </w:r>
      <w:r/>
    </w:p>
    <w:p>
      <w:pPr>
        <w:ind w:left="0" w:right="0" w:firstLine="2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28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类似业绩一览表</w:t>
      </w:r>
      <w:r/>
    </w:p>
    <w:tbl>
      <w:tblPr>
        <w:tblStyle w:val="105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1"/>
        <w:gridCol w:w="1916"/>
        <w:gridCol w:w="1750"/>
        <w:gridCol w:w="1750"/>
        <w:gridCol w:w="1395"/>
      </w:tblGrid>
      <w:tr>
        <w:trPr>
          <w:trHeight w:val="12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50" w:type="dxa"/>
            <w:vAlign w:val="center"/>
            <w:textDirection w:val="lrTb"/>
            <w:noWrap w:val="false"/>
          </w:tcPr>
          <w:p>
            <w:pPr>
              <w:ind w:left="0" w:right="0" w:firstLine="210"/>
              <w:jc w:val="center"/>
              <w:spacing w:before="0" w:after="0"/>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50" w:type="dxa"/>
            <w:vAlign w:val="center"/>
            <w:textDirection w:val="lrTb"/>
            <w:noWrap w:val="false"/>
          </w:tcPr>
          <w:p>
            <w:pPr>
              <w:ind w:left="0" w:right="0" w:firstLine="21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合同金额</w:t>
            </w:r>
            <w:r/>
          </w:p>
          <w:p>
            <w:pPr>
              <w:ind w:left="0" w:right="0" w:firstLine="21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响应供应商：（单位公章）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　　月　　日</w:t>
      </w:r>
      <w:r/>
    </w:p>
    <w:p>
      <w:pPr>
        <w:ind w:left="0" w:right="0" w:firstLine="2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5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6、</w:t>
      </w:r>
      <w:r>
        <w:rPr>
          <w:rFonts w:ascii="SimSun" w:hAnsi="SimSun" w:eastAsia="SimSun" w:cs="SimSun"/>
          <w:b/>
          <w:color w:val="000000"/>
          <w:sz w:val="24"/>
        </w:rPr>
        <w:t xml:space="preserve">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服务要求偏离表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tbl>
      <w:tblPr>
        <w:tblStyle w:val="105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8"/>
        <w:gridCol w:w="1800"/>
        <w:gridCol w:w="1620"/>
        <w:gridCol w:w="1440"/>
        <w:gridCol w:w="1699"/>
        <w:gridCol w:w="1757"/>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偏离/响应</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7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28"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28"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28"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28"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28"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828"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80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6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44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699"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75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注：1、磋商响应单位应对照竞争性磋商文件技术要求等要求，所响应标的物与竞争性磋商文件的规定有偏离的，应在此表中申明与技术要求条文的偏差和例外。</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在上表中说明的，如在响应文件其他内容中已有文字说明的，则以已有文字说明为准，否则，将被认为完全响应竞争性磋商文件的规定。但该表不作为磋商响应单位对所响应标的物关于服务要求等详细描述和说明的替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磋商响应单位（公章）：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商务条款偏离表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tbl>
      <w:tblPr>
        <w:tblStyle w:val="105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7"/>
        <w:gridCol w:w="2479"/>
        <w:gridCol w:w="2650"/>
        <w:gridCol w:w="2362"/>
        <w:gridCol w:w="1166"/>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697" w:type="dxa"/>
            <w:vAlign w:val="top"/>
            <w:textDirection w:val="lrTb"/>
            <w:noWrap/>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479" w:type="dxa"/>
            <w:vAlign w:val="top"/>
            <w:textDirection w:val="lrTb"/>
            <w:noWrap/>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竞争性磋商文件条目号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650" w:type="dxa"/>
            <w:vAlign w:val="top"/>
            <w:textDirection w:val="lrTb"/>
            <w:noWrap/>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竞争性磋商文件的商务条款</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362" w:type="dxa"/>
            <w:vAlign w:val="top"/>
            <w:textDirection w:val="lrTb"/>
            <w:noWrap/>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磋商响应文件的商务条款</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166" w:type="dxa"/>
            <w:vAlign w:val="top"/>
            <w:textDirection w:val="lrTb"/>
            <w:noWrap/>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97"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9"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0"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2"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166"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97"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9"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0"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2"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166"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97"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9"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0"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2"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166"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97"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9"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0"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2"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166"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97"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9"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0"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2"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166"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97"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9"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0"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2"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166"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697"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479"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650"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362"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166"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磋商响应单位的磋商响应文件（除服务要求部分）与竞争性磋商文件规定的有偏离的，应在此表中说明。未在上表中说明的，如在响应文件其他内容中已有文字说明的，则以已有文字说明为准，否则，将被认为完全响应竞争性磋商文件的规定。但该表不作为磋商响应单位对所投标服务关于商务条款等详细描述和说明的替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磋商响应单位（公章）：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7、资格证明文件</w:t>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(1)、关于资格文件的声明函</w:t>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关于资格文件的声明函</w:t>
      </w:r>
      <w:r/>
    </w:p>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本公司愿就由贵公司组织实施的采购编号为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号的磋商采购活动进行响应。本公司所提交的响应文件中所有关于磋商资格的文件、证明和陈述均是真实的、准确的。若与真实情况不符，本公司愿意承担由此而产生的一切后果。</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ab/>
        <w:tab/>
        <w:tab/>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响应供应商：（单位公章）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(2)、磋商供应商情况表</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105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10"/>
        <w:gridCol w:w="2005"/>
        <w:gridCol w:w="1461"/>
        <w:gridCol w:w="2056"/>
        <w:gridCol w:w="123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1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center"/>
            <w:textDirection w:val="lrTb"/>
            <w:noWrap w:val="false"/>
          </w:tcPr>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center"/>
            <w:textDirection w:val="lrTb"/>
            <w:noWrap w:val="false"/>
          </w:tcPr>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自有面积平方米</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承租面积平方米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单位简历及内设机构情况</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单位优势及特长</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近三年来完成或正在履行的重大合同情况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最近2年内在经营过程中受到何种奖励或处分（包括稽查情况和结果）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响应供应商：（单位公章）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（3）供应商与其他单位存在控股、管理关系情况表</w:t>
      </w:r>
      <w:r/>
    </w:p>
    <w:p>
      <w:pPr>
        <w:ind w:left="0" w:right="0" w:firstLine="0"/>
        <w:jc w:val="center"/>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供应商与其他单位存在控股、管理关系情况表</w:t>
      </w:r>
      <w:r/>
    </w:p>
    <w:tbl>
      <w:tblPr>
        <w:tblStyle w:val="105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09"/>
        <w:gridCol w:w="3946"/>
      </w:tblGrid>
      <w:tr>
        <w:trPr>
          <w:trHeight w:val="6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供应商与其他单位存在控股、管理关系的单位名称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控股、管理关系情况说明</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r>
    </w:tbl>
    <w:p>
      <w:pPr>
        <w:ind w:left="0" w:right="0" w:firstLine="241"/>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注：响应单位应当按实填写所有与之有控股、管理关系的情况。</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响应供应商：（单位公章）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1027"/>
        <w:ind w:left="0" w:right="0" w:firstLine="241"/>
        <w:jc w:val="both"/>
        <w:spacing w:before="120" w:after="12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8、中小企业声明函</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中小企业声明函（工程、服务）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 </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其他未列明行业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480" w:firstLine="5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480" w:firstLine="7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1、提供的中小企业声明函须加盖有公章的彩色扫描件上传至电子投标文件中（如属于）。否则不可享受相应扶持政策。</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2、如供应商认定本企业为小型或微型企业，则需根据“工信部联企业〔2011〕300号”通知中的《中小企业划型标准规定》填报“中小企业声明函”。</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3、从业人员、营业收入、资产总额填报上一年度数据，无上一年度数据的新成立企业可不填报。</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4、中小企业划分标准详见“工信部联企业〔2011〕300号通知中的《中小企业划型标准规定》”。</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5、《中小企业声明函》中所填的行业应与本采购标的对应的中小企业划分标准所属行业一致，不一致的不可享受相应政策优惠。</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6、如未对（中型企业、小型企业、微型企业）进行勾选，视同非小微企业，不可享受相应扶持政策。</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7、成交单位为中小微企业的，《中小企业声明函》将随成交结果同时公告。</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8、未尽事宜按照《苏州市政府采购促进中小企业发展实施意见》执行。</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9、若供应商提供的“中小企业声明函”内容不实的，属于提供虚假材料谋取中标、成交，依照《中华人民共和国政府采购法》等国家有关规定追究相应责任。</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6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9、残疾人福利性单位声明函</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1"/>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残疾人福利性单位声明函</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本单位郑重声明，根据《财政部民政部中国残疾人联合会关于促进残疾人就业政府采购政策的通知》（财库〔2017〕141号）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本单位对上述声明的真实性负责。如有虚假，将依法承担相应责任。</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480" w:firstLine="5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480" w:firstLine="7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注：提供的</w:t>
      </w:r>
      <w:r>
        <w:rPr>
          <w:rFonts w:ascii="SimSun" w:hAnsi="SimSun" w:eastAsia="SimSun" w:cs="SimSun"/>
          <w:b/>
          <w:color w:val="000000"/>
          <w:sz w:val="26"/>
          <w:u w:val="single"/>
        </w:rPr>
        <w:t xml:space="preserve">残疾人福利性单位声明函</w:t>
      </w:r>
      <w:r>
        <w:rPr>
          <w:rFonts w:ascii="SimSun" w:hAnsi="SimSun" w:eastAsia="SimSun" w:cs="SimSun"/>
          <w:b/>
          <w:color w:val="000000"/>
          <w:sz w:val="24"/>
          <w:u w:val="single"/>
        </w:rPr>
        <w:t xml:space="preserve">须加盖有公章的彩色扫描件上传至电子投标文件中（如属于）。否则不可享受相应扶持政策。</w:t>
      </w:r>
      <w:r/>
    </w:p>
    <w:p>
      <w:pPr>
        <w:ind w:left="0" w:right="0" w:firstLine="96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5" w:after="1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rPr>
          <w:rFonts w:ascii="SimSun" w:hAnsi="SimSun" w:eastAsia="SimSun" w:cs="SimSun"/>
          <w:b/>
          <w:color w:val="333333"/>
          <w:sz w:val="30"/>
          <w:highlight w:val="white"/>
        </w:rPr>
        <w:t xml:space="preserve">关于符合本国产品标准的声明函</w:t>
      </w:r>
      <w:r/>
    </w:p>
    <w:p>
      <w:pPr>
        <w:ind w:left="0" w:right="0" w:firstLine="420"/>
        <w:spacing w:before="15" w:after="1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right"/>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公司（单位）名称（加盖CA电子公章）：         </w:t>
      </w:r>
      <w:r/>
    </w:p>
    <w:p>
      <w:pPr>
        <w:ind w:left="0" w:right="0" w:firstLine="0"/>
        <w:jc w:val="cente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6.《声明函》中标注“</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”的地方无需填写。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pStyle w:val="1026"/>
        <w:ind w:left="0" w:right="0" w:firstLine="44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none"/>
        </w:rPr>
        <w:t xml:space="preserve"> </w:t>
      </w:r>
      <w:r/>
    </w:p>
    <w:p>
      <w:pPr>
        <w:pStyle w:val="1026"/>
        <w:ind w:left="0" w:right="0" w:firstLine="44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pStyle w:val="1026"/>
        <w:ind w:left="0" w:right="0" w:firstLine="44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pStyle w:val="1026"/>
        <w:ind w:left="0" w:right="0" w:firstLine="44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pStyle w:val="1026"/>
        <w:ind w:left="0" w:right="0" w:firstLine="44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第四章 磋商采购内容</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8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磋商采购内容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江苏京苏项目管理咨询有限公司受苏州工业园区企业发展服务中心的委托，就其所需的2026年上市苗圃服务项目（第一批）采用竞争性磋商方式进行采购，欢迎有资格的磋商供应商前来参加本次磋商采购。</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采购编号：</w:t>
      </w:r>
      <w:r>
        <w:rPr>
          <w:rFonts w:ascii="SimSun" w:hAnsi="SimSun" w:eastAsia="SimSun" w:cs="SimSun"/>
          <w:color w:val="000000"/>
          <w:sz w:val="24"/>
        </w:rPr>
        <w:t xml:space="preserve">JSZC-320591-PMJS-C2026-0013</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二、采购内容及要求：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采购包1：2026年上市苗圃领创营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（一）服务需求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面向苗圃企业核心高管，组织2026年《苗圃领创营》课程，围绕宏观经济走势、资本运作、商业管理策略等角度推出课程，授课对象不少于40人，课时8天；根据招标方的要求完成项目的统筹运营管理及落地执行。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打造核心高管交流平台，组织不少于5场（0.5天/场）核心高管交流活动，根据招标方的要求完成项目的统筹运营管理及落地执行。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主要内容有：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课程方案设计、课研、组织形式设计及讲师资源输入、对接等，提供符合苗圃企业定位、发展需求的总体课程及讲师方案，邀请知名经济学者、资深投资人、高校院所教授、龙头企业高管、经营管理实操专家等具有丰富经验讲师进行授课，促进各类资源对接，增强企业与优质资源的交往与合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课程整体的运营、执行交付：按招标方要求完成班级开营、结营、课程组织实施等内容，包括但不限于组织策划、场地布置、嘉宾邀请、学员通知及需求跟踪、课程总结整理等工作。投标人可提供公开课程或电子课程的时长在整体课程中占比不低于20%，其中，公开课程是指面向对象不限于领创营授课对象，电子课程是指领创营课程中可在线直播或可录播的课程，录播课程由投标人录制剪辑后交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3.项目课程全阶段宣传方案策划及执行：项目宣传物料设计及制作、项目前期、中期、后期宣传文案撰写及推广，现场照片及影像素材等多媒体素材整理制作。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4.提供5场活动方案策划、执行落地；提供所需要的物料及资料；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5.配置一名项目总负责人，组建项目服务团队，按照招标方的要求开展相关工作。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（二）验收材料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1.项目实施情况总结：课程实施方案（含课程设计、导师清单、开结营仪式等）、学员手册、学员名单、签到表、其他物料清单等；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2.项目评估情况总结：课程总结报告、满意度调查等；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3.项目宣传情况总结：物料设计及制作、招募通知、摄影摄像素材等；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4.课程运营情况总结：组织实施完成情况等；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5.主题活动实施情况总结：活动策划方案、签到表、物料设计及制作、照片素材等。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采购包2：2026年上市苗圃金牌董秘班</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面向苗圃企业“董监高”管理人员，策划及组织2026年《金牌董秘班》课程，围绕上市筹备规划、合规管理、资本运作、品牌打造等角度，推出IPO专业实操课程，授课对象不少于40人，课时8天。组织董秘交流闭门会不少于3场（0.5天/场），参与人员不少于50人次。根据招标方的要求完成项目的统筹运营管理及落地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主要内容有：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课程方案设计、课研、组织形式设计及讲师资源输入、对接等，提供符合苗圃企业定位、发展需求的总体课程及讲师方案，邀请IPO领域具有丰富实操经验讲师进行授课；促进各类资源对接，增强企业与优质资本市场资源的交往与合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课程整体的运营、执行交付：按招标方要求完成班级开营、结营、课程组织实施等内容，包括但不限于组织策划、场地布置、嘉宾邀请、学员通知及需求跟踪、课程总结整理等工作。投标人可提供公开课程或电子课程的时长在整体课程中占比不低于20%，其中，公开课程是指面向对象不限于董秘班授课对象，电子课程是指董秘班课程中可在线直播或可录播的课程，录播课程由投标人录制剪辑后交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3.项目课程全阶段宣传方案策划及执行：项目宣传物料设计及制作、项目前期、中期、后期宣传文案撰写及推广，现场照片及影像素材等多媒体素材整理制作。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4.提供3场交流闭门会方案策划、执行落地；提供所需要的物料及资料。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5.配置一名项目总负责人，组建项目服务团队，按照招标方的要求开展相关工作。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（二）验收材料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1.项目实施情况总结：课程实施方案（含课程设计、导师清单、开结营仪式等）、学员手册、学员名单、签到表、其他物料清单等；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2.项目评估情况总结：课程总结报告、满意度调查等；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3.项目宣传情况总结：物料设计及制作、招募通知、摄影摄像素材等；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4.课程运营情况总结：组织实施完成情况等；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5.交流闭门会实施情况总结：活动策划方案、签到表、物料设计及制作、照片素材等。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采购包3：2026年上市苗圃团队训战营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（一）服务需求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面向苗圃企业核心高管团队，策划及组织2026年《团队训战营》课程，围绕业务流程梳理、跨部门沟通、研产销供高效协同等角度，推出企业经营实操课程，授课对象不少于40人，服务企业不少于12家，课时9天，根据招标方的要求完成项目的统筹运营管理及落地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为凝聚团队共识与促进跨部门协同，组织不少于5场（0.5天/场）的高管交流活动，根据招标方的要求完成项目的统筹运营管理及落地执行。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主要内容有：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课程方案设计、课研、组织形式设计及讲师资源输入、对接等，提供符合苗圃企业定位、发展需求的总体课程及讲师方案，邀请具备大厂企业高管经验，有相关管理、研发背景的讲师进行授课，促进各类资源对接，增强企业与优质资源的交往与合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课程整体的运营、执行交付：按招标方要求完成班级开营、结营、课程组织实施等内容，包括但不限于组织策划、场地布置、嘉宾邀请、学员通知及需求跟踪、课程总结整理等工作。投标人可提供公开课程或电子课程的时长在整体课程中占比不低于20%，其中，公开课程是指面向对象不限于团队训战营授课对象，电子课程是指团队训战营课程中可在线直播或可录播的课程，录播课程由投标人录制剪辑后交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3.项目课程全阶段宣传方案策划及执行：项目宣传物料设计及制作、项目前期、中期、后期宣传文案撰写及推广，现场照片及影像素材等多媒体素材整理制作。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4.提供5场活动方案策划、执行落地；提供所需要的物料及资料；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5.配置一名项目总负责人，组建项目服务团队，按照招标方的要求开展相关工作。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（二）验收材料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1.项目实施情况总结：课程实施方案（含课程设计、导师清单、开结营仪式等）、学员手册、学员名单、签到表、其他物料清单等；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2.项目评估情况总结：课程总结报告、满意度调查等；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3.项目宣传情况总结：物料设计及制作、招募通知、摄影摄像素材等；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4.课程运营情况总结：组织实施完成情况等；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5.主题活动实施情况总结：活动策划方案、签到表、物料设计及制作、照片素材等。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采购包4：2026年上市苗圃AI实战班</w:t>
      </w:r>
      <w:r/>
    </w:p>
    <w:p>
      <w:pPr>
        <w:numPr>
          <w:ilvl w:val="0"/>
          <w:numId w:val="2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服务需求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面向苗圃企业实控人及企业高管，组织开展《AI实战班》课程，围绕AI行业应用、实操技能、落地执行三大核心，推出企业AI落地课程，授课对象不少于40人，服务企业不少于12家，课时4天，根据招标方的要求完成项目的统筹运营管理及落地执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搭建AI技术落地与产业交流平台，组织2场AI专题活动（0.5天/场），助力企业链接优质AI资源与产业伙伴，根据招标方的要求完成项目的统筹运营管理及落地执行。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主要内容有：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课程方案设计、课研、组织形式设计及讲师资源输入、对接等，提供符合苗圃企业定位、发展需求的总体课程及讲师方案，邀请具有丰富AI行业经验的讲师及专业落地团队进行授课及现场辅导，促进各类资源对接，增强企业与优质资源的交往与合作；</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课程整体的运营、执行交付：按招标方要求完成课程组织实施等内容，包括但不限于组织策划、场地布置、嘉宾邀请、学员通知及需求跟踪、课程总结整理等工作。投标人可提供公开课程或电子课程的时长在整体课程中占比不低于20%，其中，公开课程是指面向对象不限于AI实战班授课对象，电子课程是指AI实战班课程中可在线直播或可录播的课程，录播课程由投标人录制剪辑后交付。</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3.项目课程全阶段宣传方案策划及执行：项目宣传物料设计及制作、项目前期、中期、后期宣传文案撰写及推广，现场照片及影像素材等多媒体素材整理制作。</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4.提供2场活动方案策划、执行落地；提供所需要的物料及资料；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5.配置一名项目总负责人，组建项目服务团队，按照招标方的要求开展相关工作。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（二）验收材料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1.项目实施情况总结：课程实施方案（含课程设计、导师清单等）、学员手册、学员名单、签到表、其他物料清单等；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2.项目评估情况总结：课程总结报告、满意度调查等；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3.项目宣传情况总结：物料设计及制作、招募通知、摄影摄像素材等；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4.课程运营情况总结：组织实施完成情况等。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三、综合说明及其他要求：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1、投标人应对招标文件提出的全部服务要求进行响应投标，如果其中某些条款不响应时，应在文件中逐条列出，未列出的视同响应。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3、如发生工伤、疾病乃至死亡的一切责任及费用由成交单位全部负责；应严格遵守国家有关的法律、法规及行业标准。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4、如涉及分包：小型、微型企业不得分包或转包给大型、中型企业，中型企业不得分包或转包给大型企业。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5、凡涉及招标文件的补充说明和修改，均以苏州市政府采购网公示的补充通知为准。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第五章 合同条款</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乙方（供应方）：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合同打印日期：年月日</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依据甲方委托江苏京苏项目管理咨询有限公司进行2026年上市苗圃服务项目（第一批）采购编号的采购结果，确定乙方为本次成交供应商，现依照采购文件、乙方的响应文件及相关文件的内容，签订本合同书。</w:t>
      </w:r>
      <w:r/>
    </w:p>
    <w:p>
      <w:pPr>
        <w:numPr>
          <w:ilvl w:val="0"/>
          <w:numId w:val="21"/>
        </w:numPr>
        <w:jc w:val="both"/>
        <w:spacing w:before="0" w:after="0" w:line="85" w:lineRule="atLeast"/>
        <w:tabs>
          <w:tab w:val="left" w:pos="43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
          <w:sz w:val="24"/>
        </w:rPr>
        <w:t xml:space="preserve">合同一般条款：</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（一）合同文件</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1、合同文件适用法律</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适用于合同文件的法律是中华人民共和国现行法律、法规及甲方所在地的地方性法规。</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2、合同文件组成和解释顺序</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合同文件的组成和解释顺序如下：</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合同的一般性条款</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合同的特殊性条款</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洽商、变更等明确双方权利义务的纪要、协议</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成交通知书、招标文件和投标文件</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 标准、规范和其它有关技术资料、技术要求</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合同的特殊性条款的效力优于合同的一般性条款的效力</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3、合同文件使用文字</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合同文件使用中文书写、解释和说明</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合同文件使用特殊性条款约定的国家标准和规范；国家没有相应标准、规范时，可使用特殊性条款约定的行业或甲方所在地地方的标准、规范。</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（二）标的物的一般条款</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完整物权</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对于提供的服务，乙方应当拥有完整物权，并且乙方负有保证第三人不得向甲方主张任何权利（包括知识产权）的义务。</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5、质量保证</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由乙方按采购文件要求自行制定服务方案，并提供服务质量、标准、合同执行期间按此服务标准（参考采购文件要求）执行。</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（三）对服务质量提出异议的时间和办法</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6、提出异议的时间和办法</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乙方在服务期间，若甲方认为乙方的服务质量未达到合同规定的。</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甲方应在验收期满后的【10】个工作日内出具验收合格证明又或提出书面异议。如甲方在上述期限内未出具验收合格证明且未提出书面异议的，视为乙方所提供的服务成果符合合同规定。若甲方在验收过程中发现问题，应在发现问题后的【10】个工作日内书面通知乙方，并暂停验收流程直至问题解决。同时，在验收期满后的【10】个工作日内，甲方仍有权对服务成果进行进一步检验。如在此期间发现服务成果不符合合同规定，甲方应及时通知乙方，并有权要求乙方在【10】个工作日内进行整改。整改完成后，重新进入验收流程。</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（四）合同价款和支付</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7、合同价款和支付</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本合同的结算货币为人民币，单位元。</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乙方应按照双方签订的合同规定提供服务，并在合同特殊条款规定的期限内持下列单据结算合同款项。服务不合格或影响甲方按期正常使用的情形包括但不限于：服务质量未达到合同约定的标准、服务进度延误超过【20】个工作日、服务成果未能通过甲方验收等。</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7.2.1 合格的发票。</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7.2.2 由甲乙双方及采购代理机构签章的《政府采购履约验收书（服务类）》。</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7.2.3 项目总结报告。</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7.2.4 由会计师事务所出具的审计报告。</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甲方应按合同特殊条款规定的期限和方式付款。</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根据现行税法对甲方征收的与本合同有关的一切税费均由甲方承担；根据现行税法对乙方征收的与本合同有关的一切税费均由乙方承担。</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（五）违约责任</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8、违约责任</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特殊条款违约责任优先于一般条款；</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合同一方不履行合同义务或者履行合同义务不符合约定的，应当承担继续履行、采取补救措施或者赔偿损失等违约责任。具体违约情形以及赔偿计算方式如下：</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（1）乙方未能按时提供服务的，每逾期一天，应按合同总价款的万分之四支付逾期违约金。</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（2）乙方提供的服务质量不达标的，甲方有权要求乙方重新提供服务，如乙方未能在甲方指定时间内改正，应按合同总价款的10%支付违约金。</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（3）乙方未能完成合同约定的部分服务内容的，甲方有权按未完成部分服务价值的比例扣除相应合同款项。</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（4）乙方未经甲方同意随意更换服务人员的，甲方有权解除合同，并要求乙方向甲方偿付合同总价款20%的违约金。</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（5）其他违约情形，双方应根据实际情况协商确定赔偿金额，但乙方应至少支付合同总价款5%的违约金。</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8.1、不可抗力</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8.1.1 因不可抗力不能履行合同的，根据不可抗力的影响，部分或者全部免除责任。但合同一方迟延履行后发生不可抗力的，不能免除责任。</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8.1.2 合同一方因不可抗力不能履行合同的，应当及时通知对方，以减轻可能给对方造成的损失，并应当在合理期限内提供证明。</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（六）合同的解除和转让</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9、合同的解除</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有下列情形之一，合同一方可以解除合同：</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9.1.1 因不可抗力致使不能实现合同目的，且不可抗力事件持续超过【30】天，未受不可抗力影响的一方有权解除合同；</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9.1.2 因合同一方违约导致合同不能履行，且违约方在收到守约方书面通知后【30】天内未能纠正违约行为，另一方有权解除合同，并且违约方应向非违约方支付相当于合同总价款的20%作为违约金，若该违约金不足以弥补非违约方的实际损失，则违约方还需赔偿非违约方因此遭受的全部直接和间接经济损失；</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9.1.3 若乙方严重违反服务标准或多次未能按时提供服务，严重影响合同目的实现，甲方有权解除合同。</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有权解除合同的一方，应当在违约事实或不可抗力发生之后三十天内书面通知对方以主张解除合同，合同在书面通知到达对方时解除。</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10、合同的转让</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合同的部分和全部都不得转让。</w:t>
      </w:r>
      <w:r/>
    </w:p>
    <w:p>
      <w:pPr>
        <w:numPr>
          <w:ilvl w:val="0"/>
          <w:numId w:val="21"/>
        </w:numPr>
        <w:jc w:val="both"/>
        <w:spacing w:before="0" w:after="0" w:line="85" w:lineRule="atLeast"/>
        <w:tabs>
          <w:tab w:val="left" w:pos="43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
          <w:sz w:val="24"/>
        </w:rPr>
        <w:t xml:space="preserve">合同特殊条款</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采购编号【JSZC-320591-PMJS-C2026-0013】号的政府采购招标文件（下称政府采购招标文件）及成交单位的投标文件和中标通知书，各方就此次中标的【2026年上市苗圃服务项目（第一批）】的采购事宜，签订本合同书。</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1.合同价格</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1.1合同价格（大写）人民币</w:t>
      </w:r>
      <w:r>
        <w:rPr>
          <w:rFonts w:ascii="SimSun" w:hAnsi="SimSun" w:eastAsia="SimSun" w:cs="SimSun"/>
          <w:color w:val="000000"/>
          <w:sz w:val="24"/>
          <w:u w:val="single"/>
        </w:rPr>
        <w:t xml:space="preserve">                  圆整（￥.00）</w:t>
      </w:r>
      <w:r>
        <w:rPr>
          <w:rFonts w:ascii="SimSun" w:hAnsi="SimSun" w:eastAsia="SimSun" w:cs="SimSun"/>
          <w:color w:val="000000"/>
          <w:sz w:val="24"/>
        </w:rPr>
        <w:t xml:space="preserve">。合同价格包括完成本项目所有服务产生的物料等费用、所有服务人员的工勤管理费用（包括工资、福利、交通、食宿、通讯等费用）、税费、利润、税金、政策性文件规定及合同实施过程中的不可预见的各项费用。除非经甲方书面同意，乙方不得以任何理由要求额外支付其他费用。</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1.2根据现行税法对甲方征收的与本合同有关的一切税费均由甲方承担；根据现行税法对乙方征收的与本合同有关的一切税费均由乙方承担。</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2.服务范围</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2.1甲方聘请乙方提供以下服务：</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（1）服务内容：（详见采购文件）。</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（2）服务期限：1年，</w:t>
      </w:r>
      <w:r>
        <w:rPr>
          <w:rFonts w:ascii="SimSun" w:hAnsi="SimSun" w:eastAsia="SimSun" w:cs="SimSun"/>
          <w:color w:val="000000"/>
          <w:sz w:val="24"/>
          <w:u w:val="single"/>
        </w:rPr>
        <w:t xml:space="preserve">自2026年  月  日至2027年  月  日</w:t>
      </w:r>
      <w:r>
        <w:rPr>
          <w:rFonts w:ascii="SimSun" w:hAnsi="SimSun" w:eastAsia="SimSun" w:cs="SimSun"/>
          <w:color w:val="000000"/>
          <w:sz w:val="24"/>
        </w:rPr>
        <w:t xml:space="preserve">。如遇特殊情况需延长服务期限，双方应另行协商并签订补充协议。</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3.合同价格支付</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3.1支付步骤：</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（1）合同签订后，在乙方提交包括但不限于合格的发票等支付申请材料后30个工作日内，甲方向乙方支付合同总金额的40%作为预付款；</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（2）服务期满后10个工作日内，甲乙双方对合同约定服务内容的实际完成情况进行核算并组织验收;验收通过并经第三方审计机构审计后，（第三方审计应在验收合格后 30 个工作日内完成，逾期未出具报告视同审计通过，甲方按合同价支付尾款。）在乙方提交支付申请及验收材料后，甲方应在【30】个工作日内按照审计结果向乙方支付剩余款项。</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3.2尾款支付应提供以下资料：</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（1）合格的发票。</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（2）由甲乙双方及采购代理机构签章的《政府采购履约验收书（服务类）》。</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（3）项目总结报告。</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（4）由双方共同认可的第三方审计机构出具的审计报告。</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3.3支付方式：转账（具体支付方式甲方有权根据财务安排自主选择）。</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3.4乙方开户银行名称、地址、账号为：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户名：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3.5乙方数字人民币账号：</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4.服务要求</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4.1乙方应按招标采购文件的有关规定提供合格的服务。</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在合同履行过程中，甲方如需对项目需求进行变更，应及时向乙方提出变更申请，详细说明变更的内容、理由，乙方应提供相应合同价款的服务，需求变更须经双方协商一致，并签订书面变更协议作为本协议之附件执行。</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4.3在合同履行过程中，乙方如需变更讲师或者项目工作人员，应及时向甲方提出变更申请，详细说明变更的内容、理由，经过双方友好沟通在甲方同意后，签订书面变更协议作为本协议之附件执行。</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4.4本项目实施过程中乙方基于甲方提供的原始数据和资料提供合同约定服务后形成的对应电子数据、文件等，所有权和使用权均属于甲方；未经甲方授权许可，乙方不得擅自使用和传播。</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乙方应保证甲方免除且因使用乙方提供的服务或产品时而引起的任何第三方关于知识产权（包括但不限于专利权、商标权或设计权）的侵权索赔并承担由此产生的一切损失、损害、费用和支出，包括律师费用。此外，乙方应提供合法来源证明，并承诺在发生知识产权侵权纠纷时，乙方将承担全部侵权赔偿责任。一旦发生此类侵权纠纷，乙方应在接到甲方通知后的【10】个工作日内启动调查，并在【10】个工作日内向甲方提供详细的侵权责任界定报告。</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5合同履行验收：</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5.1本合同验收适用《江苏省政府采购履约验收管理办法》及《关于进一步加强履约验收管理的通知》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5.2履约验收主体：由采购人组织人员进行验收；</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履约验收时间：甲方将定期（每月/每季度）和不定期地按照预先设定的标准（包括但不限于人员资质、工作经验、服务时间等）抽查乙方实际投入服务人员情况，抽查方式包括但不限于现场检查、电话访谈和服务记录审核。如若发现乙方未经甲方同意，实际人员安排与响应承诺存在不符，甲方有权解除合同，并依据违约条款约定内容执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5.4履约验收方式：根据磋商文件及磋商响应文件要求由甲方到场，并按本磋商文件及相关法律、法规及行业规定进行验收；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5.5履约验收程序及内容：根据磋商文件的有关要求、相关考核标准及相关法律、法规及行业规定；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5.6履约验收标准：严格按照本合同约定对每一项技术、服务、安全标准的履约情况进行确认，验收结束后，出具验收结果，列明各分项标准的验收情况，由验收双方共同签署。</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5.7甲方在验收过程中，应当于双方约定的检验期间内将服务质量等不符合约定的情况及处理方式以书面方式通知乙方；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5.8如果甲方在验收期满后既不出具验收合格证明又未提出书面异议的视为乙方所提供服务符合合同规定；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5.9乙方应在收到甲方书面异议后七个日历天内负责处理问题并书面回复甲方，否则将视为默认甲方提出的异议和处理意见。</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6.保密</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乙方应将本项目中的保密资料作为商业秘密予以保护。保密期限为自本合同生效之日起【X】年。如发生泄密，甲方有权追究乙方泄密责任。保密资料是指本项目中不为公众所知悉、能为权利人带来经济利益、具有实用性并经权利人采取保密措施的技术信息和经营信息。包括但不限于：本项目的交付物及交付物中所涉及的版权、专利权、设计、方法、技术、工艺及文档材料，但不包括已公开或可通过公开渠道获取的信息。如发生泄密，甲方有权追究乙方泄密责任，并要求乙方支付相当于合同总价款20%的违约金，或按照实际损失的双倍进行赔偿，以较高者为准。实际</w:t>
      </w:r>
      <w:r>
        <w:rPr>
          <w:rFonts w:ascii="SimSun" w:hAnsi="SimSun" w:eastAsia="SimSun" w:cs="SimSun"/>
          <w:color w:val="000000"/>
          <w:sz w:val="24"/>
        </w:rPr>
        <w:t xml:space="preserve">损失包括但不限于直接经济损失、间接经济损失、律师费、诉讼费等。</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6.2甲方提供/披露的各类技术、信息数据、商业资料、规格说明、图纸、文件及专有技术等。</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6.3乙方不得以任何形式侵害甲方的知识产权。</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7.违约责任</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7.1甲方违约责任及违约金支付：</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（1）在合同生效后，甲方无理由要求终止服务的，应向乙方偿付合同总价款的5%，作为违约金，违约金不足以补偿损失的，乙方有权要求甲方补足。</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（2）甲方逾期付款的应按照逾期付款金额的每天万分之四支付逾期付款违约金，但违约金总额不超过合同总价款的5%。</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（3）甲方违反合同规定，拒绝接受乙方提供服务，应当承担乙方由此造成的直接损失。</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7.2乙方违约责任及违约金支付：</w:t>
      </w:r>
      <w:r/>
    </w:p>
    <w:p>
      <w:pPr>
        <w:numPr>
          <w:ilvl w:val="0"/>
          <w:numId w:val="2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w:t>
      </w:r>
      <w:r>
        <w:rPr>
          <w:rFonts w:ascii="SimSun" w:hAnsi="SimSun" w:eastAsia="SimSun" w:cs="SimSun"/>
          <w:color w:val="060607"/>
          <w:spacing w:val="4"/>
          <w:sz w:val="24"/>
          <w:highlight w:val="white"/>
        </w:rPr>
        <w:t xml:space="preserve">方</w:t>
      </w:r>
      <w:r>
        <w:rPr>
          <w:rFonts w:ascii="SimSun" w:hAnsi="SimSun" w:eastAsia="SimSun" w:cs="SimSun"/>
          <w:color w:val="000000"/>
          <w:sz w:val="24"/>
        </w:rPr>
        <w:t xml:space="preserve">未按合同约定的时间、方式、内容等提供服务，甲方有权要求解除合同，乙方需退还已收取的费用，并偿付合同总价款30%的违约金。</w:t>
      </w:r>
      <w:r/>
    </w:p>
    <w:p>
      <w:pPr>
        <w:numPr>
          <w:ilvl w:val="0"/>
          <w:numId w:val="2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w:t>
      </w:r>
      <w:r>
        <w:rPr>
          <w:rFonts w:ascii="SimSun" w:hAnsi="SimSun" w:eastAsia="SimSun" w:cs="SimSun"/>
          <w:color w:val="060607"/>
          <w:spacing w:val="4"/>
          <w:sz w:val="24"/>
          <w:highlight w:val="white"/>
        </w:rPr>
        <w:t xml:space="preserve">方未经甲方同意擅自将甲方转交给第三方进行服务的，</w:t>
      </w:r>
      <w:r>
        <w:rPr>
          <w:rFonts w:ascii="SimSun" w:hAnsi="SimSun" w:eastAsia="SimSun" w:cs="SimSun"/>
          <w:color w:val="000000"/>
          <w:sz w:val="24"/>
        </w:rPr>
        <w:t xml:space="preserve">甲方有权要求解除合同，乙方需退还已收取的费用，并偿付合同总价款30%的违约金。</w:t>
      </w:r>
      <w:r/>
    </w:p>
    <w:p>
      <w:pPr>
        <w:numPr>
          <w:ilvl w:val="0"/>
          <w:numId w:val="2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w:t>
      </w:r>
      <w:r>
        <w:rPr>
          <w:rFonts w:ascii="SimSun" w:hAnsi="SimSun" w:eastAsia="SimSun" w:cs="SimSun"/>
          <w:color w:val="060607"/>
          <w:spacing w:val="4"/>
          <w:sz w:val="24"/>
          <w:highlight w:val="white"/>
        </w:rPr>
        <w:t xml:space="preserve">方未经甲方同意</w:t>
      </w:r>
      <w:r>
        <w:rPr>
          <w:rFonts w:ascii="SimSun" w:hAnsi="SimSun" w:eastAsia="SimSun" w:cs="SimSun"/>
          <w:color w:val="000000"/>
          <w:sz w:val="24"/>
        </w:rPr>
        <w:t xml:space="preserve">擅自调换讲师或服务人员的，甲方有权解除合同履行，并要求乙方向甲方偿付合同总价款30%的违约金。</w:t>
      </w:r>
      <w:r/>
    </w:p>
    <w:p>
      <w:pPr>
        <w:ind w:left="0" w:right="-159"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以上如果违约金不足以补偿损失的，甲方有权要求乙方补足。</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8.不可抗力</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8.1因不可抗力不能履行合同的，根据不可抗力的影响，部分或者全部免除责任。但合同一方延迟履行后发生不可抗力的，不能免除责任。</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8.2合同一方因不可抗力不能履行合同的，应当及时通知对方，以减轻可能给对方造成的损失，并应当在合理期限内提供证明。</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9.合同修改</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9.1甲方和乙方都不得擅自变更本合同，但合同继续履行将损害国家和社会公共利益的除外。如必须对合同条款进行改动时，当事人双方须共同签署书面文件，做为合同的补充。</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10.转让和分包</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10.1政府采购合同的部分和全部都不得转让。</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11.合同的解除</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11.1有下列情形之一，合同一方可以解除合同：</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（1）因不可抗力致使不能实现合同目的，且不可抗力事件持续超过【15】天，甲方可单方解除并互不承担违约责任。</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（2）因合同一方违约导致合同不能履行，且违约方在收到守约方书面通知后【30】天内未能纠正违约行为，另一方有权解除合同。</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（3）如因本合同继续履行将损害国家利益和社会公共利益，采购人在获得相关部门批准后有权变更、中止或者终止、解除合同。</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11.2有权解除合同的一方，应当在违约事实或不可抗力发生之后三十天内书面通知对方以主张解除合同，合同在书面通知到达对方时解除。</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12.争议解决办法</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因本合同或与本合同有关的一切事项发生争议，由双方友好协商解决。协商不成的可向甲方所在地的人民法院起诉。 </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13.合同生效及其他</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13.1本合同经双方签字并盖公章后生效。</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13.2下列文件为本合同不可分割部分：</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（1）成交通知书；</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（2）乙方投标文件；</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（3）招标文件；</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（4）乙方在投标过程中所作的其他承诺、声明、书面澄清等。</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14.未尽事宜</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未尽事宜应按照《中华人民共和国民法典》、《中华人民共和国政府采购法》等相关法律法规之规定解释。</w:t>
      </w:r>
      <w:r/>
    </w:p>
    <w:p>
      <w:pPr>
        <w:ind w:left="0" w:right="0" w:firstLine="48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双方协商一致同意，在本合同签订后，若因乙方办理“园采贷”信用融资的需要，本合同第二条第3.4、3.5款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15.附则</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合同份数：本合同一式【叁】份，甲乙两方各执【一】份，采购代理机构执【一】份。</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甲方（盖章）：乙方（盖章）：</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法定代表人或受委托人法定代表人或受委托人代表人：</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（签字）：（签字）：</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电话：电话：</w:t>
      </w:r>
      <w:r/>
    </w:p>
    <w:p>
      <w:pPr>
        <w:ind w:left="0" w:right="-159"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传真：传真：</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tbl>
      <w:tblPr>
        <w:tblStyle w:val="105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68"/>
        <w:gridCol w:w="1249"/>
        <w:gridCol w:w="1888"/>
        <w:gridCol w:w="1245"/>
        <w:gridCol w:w="1312"/>
        <w:gridCol w:w="1410"/>
        <w:gridCol w:w="1080"/>
      </w:tblGrid>
      <w:tr>
        <w:trPr>
          <w:trHeight w:val="641"/>
        </w:trPr>
        <w:tc>
          <w:tcPr>
            <w:gridSpan w:val="7"/>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政府采购履约验收书（服务类）</w:t>
            </w:r>
            <w:r/>
          </w:p>
        </w:tc>
      </w:tr>
      <w:tr>
        <w:trPr>
          <w:trHeight w:val="4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83" w:type="dxa"/>
            <w:vAlign w:val="center"/>
            <w:textDirection w:val="lrTb"/>
            <w:noWrap/>
          </w:tcPr>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（姓名+职务+单位）</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采购代理机构</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3" w:type="dxa"/>
            <w:vAlign w:val="center"/>
            <w:textDirection w:val="lrTb"/>
            <w:noWrap/>
          </w:tcPr>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验收日期和地点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0" w:type="dxa"/>
            <w:vAlign w:val="center"/>
            <w:textDirection w:val="lrTb"/>
            <w:noWrap/>
          </w:tcPr>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项目名称和编号</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3" w:type="dxa"/>
            <w:vAlign w:val="center"/>
            <w:textDirection w:val="lrTb"/>
            <w:noWrap/>
          </w:tcPr>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合同金额</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0" w:type="dxa"/>
            <w:vAlign w:val="center"/>
            <w:textDirection w:val="lrTb"/>
            <w:noWrap/>
          </w:tcPr>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验收组织形式</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□采购人自行组织验收          □委托代理机构验收</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是否日常检查/分段验收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      □否</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8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日常检查/分段验收情况</w:t>
            </w:r>
            <w:r/>
          </w:p>
        </w:tc>
        <w:tc>
          <w:tcPr>
            <w:gridSpan w:val="4"/>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5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本项目验收共分        期，本次为第        期</w:t>
            </w:r>
            <w:r/>
          </w:p>
        </w:tc>
      </w:tr>
      <w:tr>
        <w:trPr>
          <w:trHeight w:val="49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验收人员</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验收方式（结合验收方案多选）</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验收意见</w:t>
            </w:r>
            <w:r/>
          </w:p>
        </w:tc>
      </w:tr>
      <w:tr>
        <w:trPr>
          <w:trHeight w:val="499"/>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168"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验收小组成员（最终验收成员人数为3人以上单数，组成根据实际情况选择）</w:t>
            </w:r>
            <w:r/>
          </w:p>
        </w:tc>
        <w:tc>
          <w:tcPr>
            <w:gridSpan w:val="2"/>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138" w:type="dxa"/>
            <w:vAlign w:val="top"/>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（姓名+所属部门）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*最终验收时必有，若经办采购的人员与采购需求人员分属不同部门，二者应同时参与验收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□代建单位（如有）：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（姓名+单位+所属部门）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□采购人委托的代理机构（如有）：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6"/>
              </w:rPr>
              <w:t xml:space="preserve"> </w:t>
            </w:r>
            <w:r>
              <w:rPr>
                <w:rFonts w:ascii="SimSun" w:hAnsi="SimSun" w:eastAsia="SimSun" w:cs="SimSun"/>
                <w:color w:val="000000"/>
                <w:sz w:val="22"/>
              </w:rPr>
              <w:t xml:space="preserve">(姓名）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*前期参与采购活动的采购代理机构工作人员不得参与验收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□采购人委托的专家（如有）：  （姓名+单位）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*前期参与采购活动的评审专家不得参与验收</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□服务时间、进度是否足额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  格         □不合格</w:t>
            </w:r>
            <w:r/>
          </w:p>
        </w:tc>
      </w:tr>
      <w:tr>
        <w:trPr>
          <w:trHeight w:val="499"/>
        </w:trPr>
        <w:tc>
          <w:tcPr>
            <w:vMerge w:val="continue"/>
            <w:textDirection w:val="lrTb"/>
            <w:noWrap w:val="false"/>
          </w:tcPr>
          <w:p>
            <w:r/>
            <w:r/>
          </w:p>
        </w:tc>
        <w:tc>
          <w:tcPr>
            <w:gridSpan w:val="2"/>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□服务范围是否完整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  格         □不合格</w:t>
            </w:r>
            <w:r/>
          </w:p>
        </w:tc>
      </w:tr>
      <w:tr>
        <w:trPr>
          <w:trHeight w:val="499"/>
        </w:trPr>
        <w:tc>
          <w:tcPr>
            <w:vMerge w:val="continue"/>
            <w:textDirection w:val="lrTb"/>
            <w:noWrap w:val="false"/>
          </w:tcPr>
          <w:p>
            <w:r/>
            <w:r/>
          </w:p>
        </w:tc>
        <w:tc>
          <w:tcPr>
            <w:gridSpan w:val="2"/>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□服务要求、行业和安全标准是否达标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  格         □不合格</w:t>
            </w:r>
            <w:r/>
          </w:p>
        </w:tc>
      </w:tr>
      <w:tr>
        <w:trPr>
          <w:trHeight w:val="499"/>
        </w:trPr>
        <w:tc>
          <w:tcPr>
            <w:vMerge w:val="continue"/>
            <w:textDirection w:val="lrTb"/>
            <w:noWrap w:val="false"/>
          </w:tcPr>
          <w:p>
            <w:r/>
            <w:r/>
          </w:p>
        </w:tc>
        <w:tc>
          <w:tcPr>
            <w:gridSpan w:val="2"/>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□项目需求、服务承诺是否实现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  格         □不合格</w:t>
            </w:r>
            <w:r/>
          </w:p>
        </w:tc>
      </w:tr>
      <w:tr>
        <w:trPr>
          <w:trHeight w:val="499"/>
        </w:trPr>
        <w:tc>
          <w:tcPr>
            <w:vMerge w:val="continue"/>
            <w:textDirection w:val="lrTb"/>
            <w:noWrap w:val="false"/>
          </w:tcPr>
          <w:p>
            <w:r/>
            <w:r/>
          </w:p>
        </w:tc>
        <w:tc>
          <w:tcPr>
            <w:gridSpan w:val="2"/>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□核查服务人员、设备是否一致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  格         □不合格</w:t>
            </w:r>
            <w:r/>
          </w:p>
        </w:tc>
      </w:tr>
      <w:tr>
        <w:trPr>
          <w:trHeight w:val="499"/>
        </w:trPr>
        <w:tc>
          <w:tcPr>
            <w:vMerge w:val="continue"/>
            <w:textDirection w:val="lrTb"/>
            <w:noWrap w:val="false"/>
          </w:tcPr>
          <w:p>
            <w:r/>
            <w:r/>
          </w:p>
        </w:tc>
        <w:tc>
          <w:tcPr>
            <w:gridSpan w:val="2"/>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□对照采购人需求，对服务内容中涉及专业领域的部分进行复核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  格         □不合格</w:t>
            </w:r>
            <w:r/>
          </w:p>
        </w:tc>
      </w:tr>
      <w:tr>
        <w:trPr>
          <w:trHeight w:val="499"/>
        </w:trPr>
        <w:tc>
          <w:tcPr>
            <w:vMerge w:val="continue"/>
            <w:textDirection w:val="lrTb"/>
            <w:noWrap w:val="false"/>
          </w:tcPr>
          <w:p>
            <w:r/>
            <w:r/>
          </w:p>
        </w:tc>
        <w:tc>
          <w:tcPr>
            <w:gridSpan w:val="2"/>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□合同履约时间、地点、方式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  格         □不合格</w:t>
            </w:r>
            <w:r/>
          </w:p>
        </w:tc>
      </w:tr>
      <w:tr>
        <w:trPr>
          <w:trHeight w:val="499"/>
        </w:trPr>
        <w:tc>
          <w:tcPr>
            <w:vMerge w:val="continue"/>
            <w:textDirection w:val="lrTb"/>
            <w:noWrap w:val="false"/>
          </w:tcPr>
          <w:p>
            <w:r/>
            <w:r/>
          </w:p>
        </w:tc>
        <w:tc>
          <w:tcPr>
            <w:gridSpan w:val="2"/>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  格         □不合格</w:t>
            </w:r>
            <w:r/>
          </w:p>
        </w:tc>
      </w:tr>
      <w:tr>
        <w:trPr>
          <w:trHeight w:val="499"/>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1168"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验收参与人员 （如有）</w:t>
            </w:r>
            <w:r/>
          </w:p>
        </w:tc>
        <w:tc>
          <w:tcPr>
            <w:gridSpan w:val="2"/>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313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□服务对象：</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服务对象满意度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  格         □不合格</w:t>
            </w:r>
            <w:r/>
          </w:p>
        </w:tc>
      </w:tr>
      <w:tr>
        <w:trPr>
          <w:trHeight w:val="667"/>
        </w:trPr>
        <w:tc>
          <w:tcPr>
            <w:vMerge w:val="continue"/>
            <w:textDirection w:val="lrTb"/>
            <w:noWrap w:val="false"/>
          </w:tcPr>
          <w:p>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13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□第三方专业机构：</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对照采购文件中服务需求，出具加盖公章的评估报告等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  格         □不合格</w:t>
            </w:r>
            <w:r/>
          </w:p>
        </w:tc>
      </w:tr>
      <w:tr>
        <w:trPr>
          <w:trHeight w:val="499"/>
        </w:trPr>
        <w:tc>
          <w:tcPr>
            <w:vMerge w:val="continue"/>
            <w:textDirection w:val="lrTb"/>
            <w:noWrap w:val="false"/>
          </w:tcPr>
          <w:p>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13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□专家：</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出具书面意见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  格         □不合格</w:t>
            </w:r>
            <w:r/>
          </w:p>
        </w:tc>
      </w:tr>
      <w:tr>
        <w:trPr>
          <w:trHeight w:val="499"/>
        </w:trPr>
        <w:tc>
          <w:tcPr>
            <w:vMerge w:val="continue"/>
            <w:textDirection w:val="lrTb"/>
            <w:noWrap w:val="false"/>
          </w:tcPr>
          <w:p>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13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□其他供应商：</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  格         □不合格</w:t>
            </w:r>
            <w:r/>
          </w:p>
        </w:tc>
      </w:tr>
      <w:tr>
        <w:trPr>
          <w:trHeight w:val="11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验收意见</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6"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（如意见一致，请全体验收小组成员分别签名，如有异议，请分别签署意见并签名）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全体验收小组成员签字：                                             </w:t>
            </w:r>
            <w:r/>
          </w:p>
        </w:tc>
      </w:tr>
      <w:tr>
        <w:trPr>
          <w:trHeight w:val="1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异议复核</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异议事项：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复核意见：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签字：</w:t>
            </w:r>
            <w:r/>
          </w:p>
        </w:tc>
      </w:tr>
      <w:tr>
        <w:trPr>
          <w:trHeight w:val="9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验收结论</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6" w:type="dxa"/>
            <w:vAlign w:val="center"/>
            <w:textDirection w:val="lrTb"/>
            <w:noWrap/>
          </w:tcPr>
          <w:p>
            <w:pPr>
              <w:ind w:left="0" w:right="0" w:firstLine="4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（采购人签署验收意见并盖章）</w:t>
            </w:r>
            <w:r/>
          </w:p>
        </w:tc>
      </w:tr>
      <w:tr>
        <w:trPr>
          <w:trHeight w:val="8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验收依据和过程（可附件）</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6" w:type="dxa"/>
            <w:vAlign w:val="center"/>
            <w:textDirection w:val="lrTb"/>
            <w:noWrap/>
          </w:tcPr>
          <w:p>
            <w:pPr>
              <w:ind w:left="0" w:right="0" w:firstLine="4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520" w:right="0" w:firstLine="0"/>
        <w:jc w:val="both"/>
        <w:spacing w:before="26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pStyle w:val="1026"/>
        <w:ind w:left="0" w:right="0" w:firstLine="44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none"/>
        </w:rPr>
        <w:t xml:space="preserve">第六章评</w:t>
      </w:r>
      <w:r>
        <w:rPr>
          <w:rFonts w:ascii="SimSun" w:hAnsi="SimSun" w:eastAsia="SimSun" w:cs="SimSun"/>
          <w:b/>
          <w:color w:val="000000"/>
          <w:sz w:val="44"/>
        </w:rPr>
        <w:t xml:space="preserve">审办法</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1、评价和比较采用综合评分法，即指响应文件满足采购文件全部实质性要求，且按照评审因素的量化指标评审得分最高的供应商为排名第一的成交候选人的评审方法。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2、评审小组各成员独立对每个进入打分程序的有效磋商供应商的响应文件技术和资质部分以打分的形式进行评审和评价。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评委的评分(除价格分外)进行统计汇总，直接算术平均，计算出每个磋商供应商的得分，加上价格得分即为每个磋商供应商的综合得分。评审结果按评审后得分由高到低顺序排列。得分相同的，按磋商报价由低到高顺序排列。得分且磋商报价相同的并列。响应文件满足采购文件全部实质性要求，且按照前述综合评审得分由高到低的排序选择前三名供应商作为成交候选人。如选取成交候选人时出现评审得分相同，且磋商报价也相同的并列情况的，则由采购人组织以抽签方式确定优先选取顺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4、评审小组根据采购人的授权，按照成交候选人的顺序在成交候选人中直接确定成交供应商。</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二、评分标准：</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本项目采购包1-4价格分均为20分，技术方案及投标人综合实力详见下列各标段。</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(一）价格分（20分）</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第一步：投标报价低于或等于最高单价限价的，为有效投标报价；超最高单价限价为无效投标报价。无效投标报价的投标文件不进行评审，也不得标。</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在所有有效投标报价中满足招标文件要求，且评审价格最低（响应单价）的评审报价为评标基准价，其价格分为20分，其他投标单位的价格（响应单价）分按照下列公式计算（计算结果四舍五入保留两位小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投标报价得分＝（评标基准价/投标单价）×20×100％</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采购包1：上市苗圃领创营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（二）技术方案（60分）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1、项目理解分析比较（10分）：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投标人需根据苗圃核心高管能力提升需求，阐述本项目核心服务目标及内容。评标委员会根据分析科学合理性，结构严谨性，针对性，相关建议可行性等内容进行综合比较。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内容清晰合理、相关建议可行性较高的得10分；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内容较为清晰合理、相关建议可行性较高的得7分；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分析不够清晰，相关建议可行性不高的得4分；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无具体内容不得分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2、课程内容方案比较（15分）：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围绕苗圃核心高管能力（宏观战略、资本运作、商业管理策略等）提升需求，阐述课程内容方案。评标委员会根据课程内容与企业需求匹配度、体系完整性、形式丰富度、落地实操性等内容进行综合比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课程内容高度匹配企业需求、体系完整、形式丰富、落地性强的得15分；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内容贴合需求、体系较完整、形式较多元的得10分；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内容基本匹配、体系一般、形式单一的得5分；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无具体方案不得分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3、课程师资配置方案比较（15分）：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围绕苗圃企业资本市场宏观战略、资本运作、商业管理策略等课程需求，提交师资配备及授课实施方案。评标委员会根据师资结构完整性（覆盖课程内容目标领域）、专业能力、实战经验、与课程主题匹配度等内容进行综合比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师资结构完整、专业性强、实战经验丰富、与课程主题高度匹配的得15分；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结构较完整、专业性较强、匹配度较高的得10分；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结构一般、专业性一般、基本匹配的得5分；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无具体配置不得分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4、课程运营管理方案比较（10分）：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投标人需结合项目服务要求，制定课程全流程运营管理实施方案。评标委员会根据方案完整性、服务机制完善度、评估措施合理性等内容进行综合比较。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方案覆盖全流程、反馈与跟踪机制完善、评估措施科学合理的得10分；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方案较完整、机制较完善的得7分；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方案基本完整、机制一般的得4分；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无具体方案不得分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5、主题交流活动方案比较（10分）：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投标人需根据核心高管交流需求综合分析，阐述活动定位精准度、内容科学性、组织方案完善度及落地性强弱。评标委员会根据活动定位精准度、内容科学性、组织方案完善度、落地性强弱等内容进行综合比较。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5场合规辅导活动定位精准、内容科学、组织方案完善、落地性强的得10分；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定位较精准、内容较科学、方案较完善的得7分；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定位一般、内容一般、方案基本可行的得4分；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无具体方案不得分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（三）投标人综合实力（20分）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1、服务团队比较：（14分）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1.1项目总负责人，此项最高得6分，承诺委派公司中高层管理人员担任本项目负责人，须提供项目经理工作履历及单位参保证明扫描件，否则不得分。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承诺委派的项目总负责人：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拥有10年及以上与本项目相关的服务工作经验的得6分；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拥有5年及以上但不足10年相关服务工作经验的得3分；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工作经验不足5年的得0分；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没有具体内容或证明材料不齐全的不得分。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项目服务人员配置，此项最高得8分。投标单位需承诺配备总数不少于3人及以上的项目团队。提供团队名单及参保证明得4分；服务人员具有本科及以上学历且有同类项目服务经验，每有1人得2分，最多得4分。须提供服务人员工作履历、毕业证书、学位证书以及单位参保证明扫描件、参与同类项目经验描述。</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2、类似服务经验（6分）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2022年1月1日以来（以合同签订时间为准）具有类似服务项目合同：提供合同扫描件、合同内容说明、服务成果等证明材料，每有1项得2分，最高得6分。须提供证明材料扫描件。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类似项目指：项目内容为类似资本市场或商学课程运营服务、大型活动服务、参访交流及产业对接等与本项目服务内容相关的服务。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采购包2：上市苗圃金牌董秘班</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（二）技术方案（60分）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1、项目理解分析比较（15分）：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投标人需根据企业董秘能力提升需求，阐述本项目核心服务目标及内容。评标委员会根据分析科学合理性，结构严谨性，针对性，相关建议可行性等内容进行综合比较。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内容清晰合理、相关建议可行性较高的得15分；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内容较为清晰合理、相关建议可行性较高的得10分；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分析不够清晰，相关建议可行性不高的得5分；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无具体内容不得分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2、课程内容方案比较（15分）：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投标人需围绕苗圃企业董秘岗位能力提升需求，阐述课程内容方案。评标委员会根据课程内容与企业需求匹配度、体系完整性、形式丰富度、落地实操性等内容进行综合比较。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课程内容高度匹配企业需求、体系完整、形式丰富、落地性强的得15分；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内容贴合需求、体系较完整、形式较多元的得10分；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内容基本匹配、体系一般、形式单一的得5分；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无具体方案不得分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3、课程师资配置方案比较（15分）：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投标人需围绕董秘能力提升课程需求，提交师资配备及授课实施方案。评标委员会根据讲师资本市场实战经验、从业资格完备性、案例贴合度、方案详细程度等内容进行综合比较。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讲师具备丰富资本市场实战经验，从业资格齐全、案例贴合董秘工作场景、方案详细的得15分；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讲师有相关经验、资格齐全、案例较贴合的得10分；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讲师基本符合要求、案例匹配度一般的得5分；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无具体方案不得分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4、课程运营管理方案比较（10分）：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投标人需结合项目服务要求，制定课程全流程运营管理实施方案。评标委员会根据方案完整性、服务机制完善度、评估措施合理性等内容进行综合比较。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方案覆盖全流程、反馈与跟踪机制完善、评估措施科学合理的得10分；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方案较完整、机制较完善的得7分；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方案基本完整、机制一般的得4分；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无具体方案不得分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5、闭门交流会方案比较（5分）：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根据董秘工作实际需求综合分析，阐述交流会定位精准度、内容科学性、组织方案完善度及落地性强弱。评标委员会根据交流会定位精准度、内容科学性、组织方案完善度、落地性强弱等内容进行综合比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3场董秘闭门交流会定位精准、内容科学、组织方案完善、落地性强的得5分；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定位较精准、内容较科学、方案较完善的得3分；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定位一般、内容一般、方案基本可行的得1分；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无具体方案不得分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（三）投标人综合实力（20分）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1、服务团队比较：（14分）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1.1项目总负责人，此项最高得6分，承诺委派公司中高层管理人员担任本项目负责人，须提供项目经理工作履历及单位参保证明扫描件，否则不得分。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承诺委派的项目总负责人：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拥有10年及以上与本项目相关的服务工作经验的得6分；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拥有5年及以上但不足10年相关服务工作经验的得3分；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工作经验不足5年的得0分；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没有具体内容或证明材料不齐全的不得分。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项目服务人员配置，此项最高得8分。投标单位需承诺配备总数不少于3人及以上的项目团队。提供团队名单及参保证明得4分；服务人员具有本科及以上学历且有同类项目服务经验，每有1人得2分，最多得4分。须提供服务人员工作履历、毕业证书、学位证书以及单位参保证明扫描件、参与同类项目经验描述。</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2、类似服务经验（6分）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2022年1月1日以来（以合同签订时间为准）具有类似服务项目合同：提供合同扫描件、合同内容说明、服务成果等证明材料，每有1项得2分，最高得6分。须提供证明材料扫描件。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类似项目指：项目内容为类似资本市场课程运营服务、大型论坛活动服务、参访交流及产业对接等与本项目服务内容相关的服务。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采购包3：上市苗圃团队训战营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（二）技术方案（60分）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1、项目理解分析比较（10分）：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投标人需根据企业发展与团队能力提升需求综合分析，阐述本项目核心服务目标及内容。评标委员会根据分析科学合理性，结构严谨性，针对性，相关建议可行性等内容进行综合比较。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内容清晰合理、相关建议可行性较高的得10分；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内容较为清晰合理、相关建议可行性较高的得7分；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分析不够清晰，相关建议可行性不高的得4分；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无具体内容不得分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2、课程内容方案比较（15分）：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投标人需围绕苗圃企业业务流程梳理、跨部门沟通、研产销供高效协同等内容，阐述课程内容方案。评标委员会根据课程内容与企业需求匹配度、体系完整性、形式丰富度、落地实操性等内容进行综合比较。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课程内容高度匹配企业需求、体系完整、形式丰富、落地性强的得 15 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内容贴合需求、体系较完整、形式较多元的得 10 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内容基本匹配、体系一般、形式单一的得 5 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无具体方案不得分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3、课程师资配置方案比较（15分）：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投标人需围绕苗圃企业业务流程梳理、跨部门沟通、研产销供高效协同等课程需求，提交师资配备及授课实施方案。评标委员会根据师资专业能力、实战经验、与课程主题匹配度等内容进行综合比较。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师资专业性强、实战经验丰富、课程主题高度匹配、有研发背景及标杆企业管理经验的得 15 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专业性较强、匹配度较高的得 10 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专业性一般、基本匹配、无标杆企业管理经验的得 5 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无具体配置不得分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4、课程运营管理方案比较（10分）：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投标人需结合项目服务要求，制定课程全流程运营管理实施方案。评标委员会根据方案完整性、服务机制完善度、评估措施合理性等内容进行综合比较。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方案覆盖全流程、反馈与跟踪机制完善、评估措施科学合理的得10分；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方案较完整、机制较完善的得7分；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方案基本完整、机制一般的得4分；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无具体方案不得分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5、主题交流活动方案比较（10分）：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投标人需根据高管主题交流需求综合分析，阐述活动主题、流程设计及组织保障措施。评标委员会根据方案科学合理性，结构严谨性，针对性，相关建议可行性等内容进行综合比较。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内容清晰合理、相关建议可行性较高的得10分；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内容较为清晰合理、相关建议可行性较高的得7分；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分析不够清晰，相关建议可行性不高的得4分；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无具体内容不得分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（三）投标人综合实力（20分）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1、服务团队比较：（14分）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1.1项目总负责人，此项最高得6分，承诺委派公司中高层管理人员担任本项目负责人，须提供项目经理工作履历及单位参保证明扫描件，否则不得分。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承诺委派的项目总负责人：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拥有10年及以上与本项目相关的服务工作经验的得6分；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拥有5年及以上但不足10年相关服务工作经验的得3分；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工作经验不足5年的得0分；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没有具体内容或证明材料不齐全的不得分。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项目服务人员配置，此项最高得8分。投标单位需承诺配备总数不少于3人及以上的项目团队。提供团队名单及参保证明得4分；服务人员具有本科及以上学历且有同类项目服务经验，每有1人得2分，最多得4分。须提供服务人员工作履历、毕业证书、学位证书以及单位参保证明扫描件、参与同类项目经验描述。</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2、类似服务经验（6分）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2022年1月1日以来（以合同签订时间为准）具有类似服务项目合同：提供合同扫描件、合同内容说明、服务成果等证明材料，每有1项得2分，最高得6分。须提供证明材料扫描件。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类似项目指：项目内容为类似课程运营服务、高管交流活动等与本项目服务内容相关的服务。</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采购包4：上市苗圃AI实战班</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（二）技术方案（60分）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1、项目理解分析比较（10分）：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投标人需全面分析AI+制造场景特点，阐述本项目核心服务目标及内容。评标委员会根据分析科学合理性，结构严谨性，针对性，相关建议可行性等内容进行综合比较。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内容清晰合理、相关建议可行性较高的得10分；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内容较为清晰合理、相关建议可行性较高的得7分；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分析不够清晰，相关建议可行性不高的得4分；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无具体内容不得分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2、课程内容方案比较（15分）：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围绕苗圃企业AI+制造落地场景，构建“授课+咨询+实操+路演”闭环，阐述课程及2场AI主题活动内容方案。评标委员会根据内容与企业需求匹配度、体系完整性、形式丰富度、落地实操性等内容进行综合比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课程内容高度匹配企业需求、体系完整、形式丰富、落地性强的得 15 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内容贴合需求、体系较完整、形式较多元的得 10 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内容基本匹配、体系一般、形式单一的得 5 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无具体方案不得分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3、课程师资配置方案比较（15分）：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投标人需提供专业师资配备方案，明确讲师兼具理论与实战经验、案例资源丰富且贴合AI+制造方向，评标委员会根据方案科学合理性，结构严谨性，针对性，相关建议可行性等内容进行综合比较。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讲师经验资深、案例贴合AI落地场景、方案详细完善的得 15 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讲师具备相关经验、案例较贴合场景的得 10 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讲师基本符合要求、案例匹配度一般的得 5 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无具体方案不得分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4、课程运营管理方案比较（10分）：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投标人需结合项目服务要求，制定课程全流程运营管理实施方案。评标委员会根据方案完整性、服务机制完善度、评估措施合理性等内容进行综合比较。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方案覆盖全流程、反馈与跟踪机制完善、评估措施科学合理的得10分；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方案较完整、机制较完善的得7分；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方案基本完整、机制一般的得4分；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无具体方案不得分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5、课程成果展示方案设计比较（10分）：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投标人需制定完整的课程成果展示方案，明确企业落地方案输出形式及展示方法。评标委员会根据方案科学性、输出方式清晰度、专业规范性等内容进行综合比较。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方案科学合理、成果输出方式清晰、专业性强的得10分；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方案较科学、输出方式较清晰的得7分；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方案基本可行、输出方式一般的得4分；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无具体方案不得分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（三）投标人综合实力（20分）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1、服务团队比较：（14分）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1.1项目总负责人，此项最高得6分，承诺委派公司中高层管理人员担任本项目负责人，须提供项目经理工作履历及单位参保证明扫描件，否则不得分。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承诺委派的项目总负责人：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拥有10年及以上与本项目相关的服务工作经验的得6分；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拥有5年及以上但不足10年相关服务工作经验的得3分；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工作经验不足5年的得0分；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没有具体内容或证明材料不齐全的不得分。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项目服务人员配置，此项最高得8分。投标单位需承诺配备总数不少于3人及以上的项目团队。提供团队名单及参保证明得4分；服务人员具有本科及以上学历且有同类项目服务经验，每有1人得2分，最多得4分。须提供服务人员工作履历、毕业证书、学位证书以及单位参保证明扫描件、参与同类项目经验描述。</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2、类似服务经验（6分）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2022年1月1日以来（以合同签订时间为准）具有类似服务项目合同：提供合同扫描件、合同内容说明、服务成果等证明材料，每有1项得2分，最高得6分。须提供证明材料扫描件。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类似项目指：项目内容为类似课程运营服务、活动服务、信息化运营服务等与本项目服务内容相关的服务。</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1、以上评分标准中的得分要素，均须由磋商供应商在响应文件中提供相应的证明资料，否则视为其不具备该条得分条件。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2、报价超过最高单价限价的将不进入综合评审程序，也不得标。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3、付款方式、服务期如有负偏离的不得成交。</w:t>
      </w:r>
      <w:r/>
    </w:p>
    <w:p>
      <w:pPr>
        <w:ind w:left="502"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4、所有扫描件必须字迹清晰可见，字迹不清晰不得分。扫描件：指原件或者复印件的复制件，包括扫描、照片等。</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96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（全文完）</w:t>
      </w:r>
      <w:r/>
    </w:p>
    <w:p>
      <w:r/>
      <w:r/>
    </w:p>
    <w:sectPr>
      <w:headerReference w:type="default" r:id="rId9"/>
      <w:footerReference w:type="default" r:id="rId10"/>
      <w:footnotePr/>
      <w:endnotePr/>
      <w:type w:val="nextPage"/>
      <w:pgSz w:w="11906" w:h="16838" w:orient="portrait"/>
      <w:pgMar w:top="1417" w:right="1417" w:bottom="1417" w:left="1417"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Tahoma">
    <w:panose1 w:val="020B0604030504040204"/>
  </w:font>
  <w:font w:name="宋体糭.飬..">
    <w:panose1 w:val="02010600030101010101"/>
  </w:font>
  <w:font w:name="ヒラギノ角ゴ Pro W3">
    <w:panose1 w:val="020B0503020202020204"/>
  </w:font>
  <w:font w:name="Calibri">
    <w:panose1 w:val="020F0502020204030204"/>
  </w:font>
  <w:font w:name="微软雅黑">
    <w:panose1 w:val="020B0503020204020204"/>
  </w:font>
  <w:font w:name="方正大黑简体">
    <w:panose1 w:val="020B0503020202020204"/>
  </w:font>
  <w:font w:name="Cambria">
    <w:panose1 w:val="02040503050406030204"/>
  </w:font>
  <w:font w:name="Adobe 宋体 Std L">
    <w:panose1 w:val="020B0503020202020204"/>
  </w:font>
  <w:font w:name="Courier New">
    <w:panose1 w:val="02070309020205020404"/>
  </w:font>
  <w:font w:name="仿宋_GB2312">
    <w:panose1 w:val="020106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ind w:firstLine="18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ind w:firstLine="180"/>
                            <w:jc w:val="center"/>
                          </w:pPr>
                          <w:r>
                            <w:fldChar w:fldCharType="begin"/>
                          </w:r>
                          <w:r>
                            <w:instrText xml:space="preserve"> PAGE   \* MERGEFORMAT </w:instrText>
                          </w:r>
                          <w:r>
                            <w:fldChar w:fldCharType="separate"/>
                          </w:r>
                          <w:r>
                            <w:rPr>
                              <w:lang w:val="zh-CN"/>
                            </w:rPr>
                            <w:t xml:space="preserve">62</w:t>
                          </w:r>
                          <w:r>
                            <w:rPr>
                              <w:lang w:val="zh-CN"/>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ind w:firstLine="180"/>
                      <w:jc w:val="center"/>
                    </w:pPr>
                    <w:r>
                      <w:fldChar w:fldCharType="begin"/>
                    </w:r>
                    <w:r>
                      <w:instrText xml:space="preserve"> PAGE   \* MERGEFORMAT </w:instrText>
                    </w:r>
                    <w:r>
                      <w:fldChar w:fldCharType="separate"/>
                    </w:r>
                    <w:r>
                      <w:rPr>
                        <w:lang w:val="zh-CN"/>
                      </w:rPr>
                      <w:t xml:space="preserve">62</w:t>
                    </w:r>
                    <w:r>
                      <w:rPr>
                        <w:lang w:val="zh-CN"/>
                      </w:rPr>
                      <w:fldChar w:fldCharType="end"/>
                    </w:r>
                    <w:r/>
                  </w:p>
                </w:txbxContent>
              </v:textbox>
            </v:shape>
          </w:pict>
        </mc:Fallback>
      </mc:AlternateContent>
    </w:r>
    <w:r/>
  </w:p>
  <w:p>
    <w:pPr>
      <w:ind w:firstLine="2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035"/>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1"/>
      <w:numFmt w:val="decimal"/>
      <w:isLgl w:val="false"/>
      <w:suff w:val="space"/>
      <w:lvlText w:val="%1."/>
      <w:lvlJc w:val="left"/>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432" w:hanging="432"/>
        <w:tabs>
          <w:tab w:val="left" w:pos="432"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1"/>
      <w:numFmt w:val="decimal"/>
      <w:isLgl w:val="false"/>
      <w:suff w:val="tab"/>
      <w:lvlText w:val="%1."/>
      <w:lvlJc w:val="left"/>
      <w:pPr>
        <w:ind w:left="0" w:firstLine="0"/>
      </w:pPr>
      <w:rPr>
        <w:b/>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32" w:hanging="432"/>
      </w:pPr>
      <w:rPr>
        <w:rFonts w:ascii="SimSun" w:hAnsi="SimSun" w:eastAsia="SimSun" w:cs="SimSun"/>
      </w:r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31"/>
      <w:numFmt w:val="decimal"/>
      <w:isLgl w:val="false"/>
      <w:suff w:val="tab"/>
      <w:lvlText w:val="%1."/>
      <w:lvlJc w:val="left"/>
      <w:pPr>
        <w:ind w:left="0" w:firstLine="0"/>
      </w:pPr>
      <w:rPr>
        <w:b/>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432" w:hanging="432"/>
      </w:pPr>
      <w:rPr>
        <w:rFonts w:ascii="SimSun" w:hAnsi="SimSun" w:eastAsia="SimSun" w:cs="SimSun"/>
      </w:r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6"/>
  </w:num>
  <w:num w:numId="4">
    <w:abstractNumId w:val="2"/>
  </w:num>
  <w:num w:numId="5">
    <w:abstractNumId w:val="3"/>
  </w:num>
  <w:num w:numId="6">
    <w:abstractNumId w:val="0"/>
  </w:num>
  <w:num w:numId="7">
    <w:abstractNumId w:val="7"/>
  </w:num>
  <w:num w:numId="8">
    <w:abstractNumId w:val="1"/>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0">
    <w:name w:val="Heading 1 Char"/>
    <w:basedOn w:val="1031"/>
    <w:link w:val="1026"/>
    <w:uiPriority w:val="9"/>
    <w:rPr>
      <w:rFonts w:ascii="Arial" w:hAnsi="Arial" w:eastAsia="Arial" w:cs="Arial"/>
      <w:sz w:val="40"/>
      <w:szCs w:val="40"/>
    </w:rPr>
  </w:style>
  <w:style w:type="character" w:styleId="861">
    <w:name w:val="Heading 2 Char"/>
    <w:basedOn w:val="1031"/>
    <w:link w:val="1027"/>
    <w:uiPriority w:val="9"/>
    <w:rPr>
      <w:rFonts w:ascii="Arial" w:hAnsi="Arial" w:eastAsia="Arial" w:cs="Arial"/>
      <w:sz w:val="34"/>
    </w:rPr>
  </w:style>
  <w:style w:type="character" w:styleId="862">
    <w:name w:val="Heading 3 Char"/>
    <w:basedOn w:val="1031"/>
    <w:link w:val="1028"/>
    <w:uiPriority w:val="9"/>
    <w:rPr>
      <w:rFonts w:ascii="Arial" w:hAnsi="Arial" w:eastAsia="Arial" w:cs="Arial"/>
      <w:sz w:val="30"/>
      <w:szCs w:val="30"/>
    </w:rPr>
  </w:style>
  <w:style w:type="character" w:styleId="863">
    <w:name w:val="Heading 4 Char"/>
    <w:basedOn w:val="1031"/>
    <w:link w:val="1029"/>
    <w:uiPriority w:val="9"/>
    <w:rPr>
      <w:rFonts w:ascii="Arial" w:hAnsi="Arial" w:eastAsia="Arial" w:cs="Arial"/>
      <w:b/>
      <w:bCs/>
      <w:sz w:val="26"/>
      <w:szCs w:val="26"/>
    </w:rPr>
  </w:style>
  <w:style w:type="character" w:styleId="864">
    <w:name w:val="Heading 5 Char"/>
    <w:basedOn w:val="1031"/>
    <w:link w:val="1030"/>
    <w:uiPriority w:val="9"/>
    <w:rPr>
      <w:rFonts w:ascii="Arial" w:hAnsi="Arial" w:eastAsia="Arial" w:cs="Arial"/>
      <w:b/>
      <w:bCs/>
      <w:sz w:val="24"/>
      <w:szCs w:val="24"/>
    </w:rPr>
  </w:style>
  <w:style w:type="paragraph" w:styleId="865">
    <w:name w:val="Heading 6"/>
    <w:basedOn w:val="1025"/>
    <w:next w:val="1025"/>
    <w:link w:val="866"/>
    <w:uiPriority w:val="9"/>
    <w:unhideWhenUsed/>
    <w:qFormat/>
    <w:pPr>
      <w:keepLines/>
      <w:keepNext/>
      <w:spacing w:before="320" w:after="200"/>
      <w:outlineLvl w:val="5"/>
    </w:pPr>
    <w:rPr>
      <w:rFonts w:ascii="Arial" w:hAnsi="Arial" w:eastAsia="Arial" w:cs="Arial"/>
      <w:b/>
      <w:bCs/>
      <w:sz w:val="22"/>
      <w:szCs w:val="22"/>
    </w:rPr>
  </w:style>
  <w:style w:type="character" w:styleId="866">
    <w:name w:val="Heading 6 Char"/>
    <w:basedOn w:val="1031"/>
    <w:link w:val="865"/>
    <w:uiPriority w:val="9"/>
    <w:rPr>
      <w:rFonts w:ascii="Arial" w:hAnsi="Arial" w:eastAsia="Arial" w:cs="Arial"/>
      <w:b/>
      <w:bCs/>
      <w:sz w:val="22"/>
      <w:szCs w:val="22"/>
    </w:rPr>
  </w:style>
  <w:style w:type="paragraph" w:styleId="867">
    <w:name w:val="Heading 7"/>
    <w:basedOn w:val="1025"/>
    <w:next w:val="1025"/>
    <w:link w:val="868"/>
    <w:uiPriority w:val="9"/>
    <w:unhideWhenUsed/>
    <w:qFormat/>
    <w:pPr>
      <w:keepLines/>
      <w:keepNext/>
      <w:spacing w:before="320" w:after="200"/>
      <w:outlineLvl w:val="6"/>
    </w:pPr>
    <w:rPr>
      <w:rFonts w:ascii="Arial" w:hAnsi="Arial" w:eastAsia="Arial" w:cs="Arial"/>
      <w:b/>
      <w:bCs/>
      <w:i/>
      <w:iCs/>
      <w:sz w:val="22"/>
      <w:szCs w:val="22"/>
    </w:rPr>
  </w:style>
  <w:style w:type="character" w:styleId="868">
    <w:name w:val="Heading 7 Char"/>
    <w:basedOn w:val="1031"/>
    <w:link w:val="867"/>
    <w:uiPriority w:val="9"/>
    <w:rPr>
      <w:rFonts w:ascii="Arial" w:hAnsi="Arial" w:eastAsia="Arial" w:cs="Arial"/>
      <w:b/>
      <w:bCs/>
      <w:i/>
      <w:iCs/>
      <w:sz w:val="22"/>
      <w:szCs w:val="22"/>
    </w:rPr>
  </w:style>
  <w:style w:type="paragraph" w:styleId="869">
    <w:name w:val="Heading 8"/>
    <w:basedOn w:val="1025"/>
    <w:next w:val="1025"/>
    <w:link w:val="870"/>
    <w:uiPriority w:val="9"/>
    <w:unhideWhenUsed/>
    <w:qFormat/>
    <w:pPr>
      <w:keepLines/>
      <w:keepNext/>
      <w:spacing w:before="320" w:after="200"/>
      <w:outlineLvl w:val="7"/>
    </w:pPr>
    <w:rPr>
      <w:rFonts w:ascii="Arial" w:hAnsi="Arial" w:eastAsia="Arial" w:cs="Arial"/>
      <w:i/>
      <w:iCs/>
      <w:sz w:val="22"/>
      <w:szCs w:val="22"/>
    </w:rPr>
  </w:style>
  <w:style w:type="character" w:styleId="870">
    <w:name w:val="Heading 8 Char"/>
    <w:basedOn w:val="1031"/>
    <w:link w:val="869"/>
    <w:uiPriority w:val="9"/>
    <w:rPr>
      <w:rFonts w:ascii="Arial" w:hAnsi="Arial" w:eastAsia="Arial" w:cs="Arial"/>
      <w:i/>
      <w:iCs/>
      <w:sz w:val="22"/>
      <w:szCs w:val="22"/>
    </w:rPr>
  </w:style>
  <w:style w:type="paragraph" w:styleId="871">
    <w:name w:val="Heading 9"/>
    <w:basedOn w:val="1025"/>
    <w:next w:val="1025"/>
    <w:link w:val="872"/>
    <w:uiPriority w:val="9"/>
    <w:unhideWhenUsed/>
    <w:qFormat/>
    <w:pPr>
      <w:keepLines/>
      <w:keepNext/>
      <w:spacing w:before="320" w:after="200"/>
      <w:outlineLvl w:val="8"/>
    </w:pPr>
    <w:rPr>
      <w:rFonts w:ascii="Arial" w:hAnsi="Arial" w:eastAsia="Arial" w:cs="Arial"/>
      <w:i/>
      <w:iCs/>
      <w:sz w:val="21"/>
      <w:szCs w:val="21"/>
    </w:rPr>
  </w:style>
  <w:style w:type="character" w:styleId="872">
    <w:name w:val="Heading 9 Char"/>
    <w:basedOn w:val="1031"/>
    <w:link w:val="871"/>
    <w:uiPriority w:val="9"/>
    <w:rPr>
      <w:rFonts w:ascii="Arial" w:hAnsi="Arial" w:eastAsia="Arial" w:cs="Arial"/>
      <w:i/>
      <w:iCs/>
      <w:sz w:val="21"/>
      <w:szCs w:val="21"/>
    </w:rPr>
  </w:style>
  <w:style w:type="paragraph" w:styleId="873">
    <w:name w:val="Title"/>
    <w:basedOn w:val="1025"/>
    <w:next w:val="1025"/>
    <w:link w:val="874"/>
    <w:uiPriority w:val="10"/>
    <w:qFormat/>
    <w:pPr>
      <w:contextualSpacing/>
      <w:spacing w:before="300" w:after="200"/>
    </w:pPr>
    <w:rPr>
      <w:sz w:val="48"/>
      <w:szCs w:val="48"/>
    </w:rPr>
  </w:style>
  <w:style w:type="character" w:styleId="874">
    <w:name w:val="Title Char"/>
    <w:basedOn w:val="1031"/>
    <w:link w:val="873"/>
    <w:uiPriority w:val="10"/>
    <w:rPr>
      <w:sz w:val="48"/>
      <w:szCs w:val="48"/>
    </w:rPr>
  </w:style>
  <w:style w:type="character" w:styleId="875">
    <w:name w:val="Subtitle Char"/>
    <w:basedOn w:val="1031"/>
    <w:link w:val="1050"/>
    <w:uiPriority w:val="11"/>
    <w:rPr>
      <w:sz w:val="24"/>
      <w:szCs w:val="24"/>
    </w:rPr>
  </w:style>
  <w:style w:type="paragraph" w:styleId="876">
    <w:name w:val="Quote"/>
    <w:basedOn w:val="1025"/>
    <w:next w:val="1025"/>
    <w:link w:val="877"/>
    <w:uiPriority w:val="29"/>
    <w:qFormat/>
    <w:pPr>
      <w:ind w:left="720" w:right="720"/>
    </w:pPr>
    <w:rPr>
      <w:i/>
    </w:rPr>
  </w:style>
  <w:style w:type="character" w:styleId="877">
    <w:name w:val="Quote Char"/>
    <w:link w:val="876"/>
    <w:uiPriority w:val="29"/>
    <w:rPr>
      <w:i/>
    </w:rPr>
  </w:style>
  <w:style w:type="paragraph" w:styleId="878">
    <w:name w:val="Intense Quote"/>
    <w:basedOn w:val="1025"/>
    <w:next w:val="1025"/>
    <w:link w:val="8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9">
    <w:name w:val="Intense Quote Char"/>
    <w:link w:val="878"/>
    <w:uiPriority w:val="30"/>
    <w:rPr>
      <w:i/>
    </w:rPr>
  </w:style>
  <w:style w:type="character" w:styleId="880">
    <w:name w:val="Header Char"/>
    <w:basedOn w:val="1031"/>
    <w:link w:val="1048"/>
    <w:uiPriority w:val="99"/>
  </w:style>
  <w:style w:type="character" w:styleId="881">
    <w:name w:val="Footer Char"/>
    <w:basedOn w:val="1031"/>
    <w:link w:val="1046"/>
    <w:uiPriority w:val="99"/>
  </w:style>
  <w:style w:type="paragraph" w:styleId="882">
    <w:name w:val="Caption"/>
    <w:basedOn w:val="1025"/>
    <w:next w:val="1025"/>
    <w:uiPriority w:val="35"/>
    <w:semiHidden/>
    <w:unhideWhenUsed/>
    <w:qFormat/>
    <w:pPr>
      <w:spacing w:line="276" w:lineRule="auto"/>
    </w:pPr>
    <w:rPr>
      <w:b/>
      <w:bCs/>
      <w:color w:val="4f81bd" w:themeColor="accent1"/>
      <w:sz w:val="18"/>
      <w:szCs w:val="18"/>
    </w:rPr>
  </w:style>
  <w:style w:type="character" w:styleId="883">
    <w:name w:val="Caption Char"/>
    <w:basedOn w:val="882"/>
    <w:link w:val="1046"/>
    <w:uiPriority w:val="99"/>
  </w:style>
  <w:style w:type="table" w:styleId="884">
    <w:name w:val="Table Grid Light"/>
    <w:basedOn w:val="10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5">
    <w:name w:val="Plain Table 1"/>
    <w:basedOn w:val="10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6">
    <w:name w:val="Plain Table 2"/>
    <w:basedOn w:val="10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7">
    <w:name w:val="Plain Table 3"/>
    <w:basedOn w:val="10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8">
    <w:name w:val="Plain Table 4"/>
    <w:basedOn w:val="10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9">
    <w:name w:val="Plain Table 5"/>
    <w:basedOn w:val="10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0">
    <w:name w:val="Grid Table 1 Light"/>
    <w:basedOn w:val="10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1">
    <w:name w:val="Grid Table 1 Light - Accent 1"/>
    <w:basedOn w:val="10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2">
    <w:name w:val="Grid Table 1 Light - Accent 2"/>
    <w:basedOn w:val="10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3">
    <w:name w:val="Grid Table 1 Light - Accent 3"/>
    <w:basedOn w:val="10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4">
    <w:name w:val="Grid Table 1 Light - Accent 4"/>
    <w:basedOn w:val="10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5">
    <w:name w:val="Grid Table 1 Light - Accent 5"/>
    <w:basedOn w:val="10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6">
    <w:name w:val="Grid Table 1 Light - Accent 6"/>
    <w:basedOn w:val="10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7">
    <w:name w:val="Grid Table 2"/>
    <w:basedOn w:val="10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8">
    <w:name w:val="Grid Table 2 - Accent 1"/>
    <w:basedOn w:val="10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9">
    <w:name w:val="Grid Table 2 - Accent 2"/>
    <w:basedOn w:val="10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0">
    <w:name w:val="Grid Table 2 - Accent 3"/>
    <w:basedOn w:val="10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1">
    <w:name w:val="Grid Table 2 - Accent 4"/>
    <w:basedOn w:val="10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2">
    <w:name w:val="Grid Table 2 - Accent 5"/>
    <w:basedOn w:val="10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3">
    <w:name w:val="Grid Table 2 - Accent 6"/>
    <w:basedOn w:val="10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4">
    <w:name w:val="Grid Table 3"/>
    <w:basedOn w:val="10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1"/>
    <w:basedOn w:val="10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2"/>
    <w:basedOn w:val="10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3"/>
    <w:basedOn w:val="10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4"/>
    <w:basedOn w:val="10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5"/>
    <w:basedOn w:val="10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6"/>
    <w:basedOn w:val="10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4"/>
    <w:basedOn w:val="10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2">
    <w:name w:val="Grid Table 4 - Accent 1"/>
    <w:basedOn w:val="103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3">
    <w:name w:val="Grid Table 4 - Accent 2"/>
    <w:basedOn w:val="103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4">
    <w:name w:val="Grid Table 4 - Accent 3"/>
    <w:basedOn w:val="103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5">
    <w:name w:val="Grid Table 4 - Accent 4"/>
    <w:basedOn w:val="103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6">
    <w:name w:val="Grid Table 4 - Accent 5"/>
    <w:basedOn w:val="103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7">
    <w:name w:val="Grid Table 4 - Accent 6"/>
    <w:basedOn w:val="103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8">
    <w:name w:val="Grid Table 5 Dark"/>
    <w:basedOn w:val="10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9">
    <w:name w:val="Grid Table 5 Dark- Accent 1"/>
    <w:basedOn w:val="10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0">
    <w:name w:val="Grid Table 5 Dark - Accent 2"/>
    <w:basedOn w:val="10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1">
    <w:name w:val="Grid Table 5 Dark - Accent 3"/>
    <w:basedOn w:val="10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2">
    <w:name w:val="Grid Table 5 Dark- Accent 4"/>
    <w:basedOn w:val="10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3">
    <w:name w:val="Grid Table 5 Dark - Accent 5"/>
    <w:basedOn w:val="10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4">
    <w:name w:val="Grid Table 5 Dark - Accent 6"/>
    <w:basedOn w:val="10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5">
    <w:name w:val="Grid Table 6 Colorful"/>
    <w:basedOn w:val="10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6">
    <w:name w:val="Grid Table 6 Colorful - Accent 1"/>
    <w:basedOn w:val="103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7">
    <w:name w:val="Grid Table 6 Colorful - Accent 2"/>
    <w:basedOn w:val="10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8">
    <w:name w:val="Grid Table 6 Colorful - Accent 3"/>
    <w:basedOn w:val="103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9">
    <w:name w:val="Grid Table 6 Colorful - Accent 4"/>
    <w:basedOn w:val="10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0">
    <w:name w:val="Grid Table 6 Colorful - Accent 5"/>
    <w:basedOn w:val="103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1">
    <w:name w:val="Grid Table 6 Colorful - Accent 6"/>
    <w:basedOn w:val="103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2">
    <w:name w:val="Grid Table 7 Colorful"/>
    <w:basedOn w:val="10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3">
    <w:name w:val="Grid Table 7 Colorful - Accent 1"/>
    <w:basedOn w:val="103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4">
    <w:name w:val="Grid Table 7 Colorful - Accent 2"/>
    <w:basedOn w:val="103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5">
    <w:name w:val="Grid Table 7 Colorful - Accent 3"/>
    <w:basedOn w:val="103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6">
    <w:name w:val="Grid Table 7 Colorful - Accent 4"/>
    <w:basedOn w:val="103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7">
    <w:name w:val="Grid Table 7 Colorful - Accent 5"/>
    <w:basedOn w:val="103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8">
    <w:name w:val="Grid Table 7 Colorful - Accent 6"/>
    <w:basedOn w:val="103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9">
    <w:name w:val="List Table 1 Light"/>
    <w:basedOn w:val="10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0">
    <w:name w:val="List Table 1 Light - Accent 1"/>
    <w:basedOn w:val="103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1">
    <w:name w:val="List Table 1 Light - Accent 2"/>
    <w:basedOn w:val="103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2">
    <w:name w:val="List Table 1 Light - Accent 3"/>
    <w:basedOn w:val="103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3">
    <w:name w:val="List Table 1 Light - Accent 4"/>
    <w:basedOn w:val="103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4">
    <w:name w:val="List Table 1 Light - Accent 5"/>
    <w:basedOn w:val="103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5">
    <w:name w:val="List Table 1 Light - Accent 6"/>
    <w:basedOn w:val="103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6">
    <w:name w:val="List Table 2"/>
    <w:basedOn w:val="10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7">
    <w:name w:val="List Table 2 - Accent 1"/>
    <w:basedOn w:val="103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8">
    <w:name w:val="List Table 2 - Accent 2"/>
    <w:basedOn w:val="103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9">
    <w:name w:val="List Table 2 - Accent 3"/>
    <w:basedOn w:val="103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0">
    <w:name w:val="List Table 2 - Accent 4"/>
    <w:basedOn w:val="103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1">
    <w:name w:val="List Table 2 - Accent 5"/>
    <w:basedOn w:val="103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2">
    <w:name w:val="List Table 2 - Accent 6"/>
    <w:basedOn w:val="103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3">
    <w:name w:val="List Table 3"/>
    <w:basedOn w:val="10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4">
    <w:name w:val="List Table 3 - Accent 1"/>
    <w:basedOn w:val="103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5">
    <w:name w:val="List Table 3 - Accent 2"/>
    <w:basedOn w:val="10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6">
    <w:name w:val="List Table 3 - Accent 3"/>
    <w:basedOn w:val="103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7">
    <w:name w:val="List Table 3 - Accent 4"/>
    <w:basedOn w:val="10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8">
    <w:name w:val="List Table 3 - Accent 5"/>
    <w:basedOn w:val="103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9">
    <w:name w:val="List Table 3 - Accent 6"/>
    <w:basedOn w:val="103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0">
    <w:name w:val="List Table 4"/>
    <w:basedOn w:val="10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1">
    <w:name w:val="List Table 4 - Accent 1"/>
    <w:basedOn w:val="103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2">
    <w:name w:val="List Table 4 - Accent 2"/>
    <w:basedOn w:val="103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3">
    <w:name w:val="List Table 4 - Accent 3"/>
    <w:basedOn w:val="103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4">
    <w:name w:val="List Table 4 - Accent 4"/>
    <w:basedOn w:val="103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5">
    <w:name w:val="List Table 4 - Accent 5"/>
    <w:basedOn w:val="103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6">
    <w:name w:val="List Table 4 - Accent 6"/>
    <w:basedOn w:val="103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7">
    <w:name w:val="List Table 5 Dark"/>
    <w:basedOn w:val="10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1"/>
    <w:basedOn w:val="103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2"/>
    <w:basedOn w:val="103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3"/>
    <w:basedOn w:val="103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4"/>
    <w:basedOn w:val="103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5"/>
    <w:basedOn w:val="103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6"/>
    <w:basedOn w:val="103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6 Colorful"/>
    <w:basedOn w:val="10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5">
    <w:name w:val="List Table 6 Colorful - Accent 1"/>
    <w:basedOn w:val="103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6">
    <w:name w:val="List Table 6 Colorful - Accent 2"/>
    <w:basedOn w:val="103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7">
    <w:name w:val="List Table 6 Colorful - Accent 3"/>
    <w:basedOn w:val="103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8">
    <w:name w:val="List Table 6 Colorful - Accent 4"/>
    <w:basedOn w:val="103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9">
    <w:name w:val="List Table 6 Colorful - Accent 5"/>
    <w:basedOn w:val="103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0">
    <w:name w:val="List Table 6 Colorful - Accent 6"/>
    <w:basedOn w:val="103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1">
    <w:name w:val="List Table 7 Colorful"/>
    <w:basedOn w:val="10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2">
    <w:name w:val="List Table 7 Colorful - Accent 1"/>
    <w:basedOn w:val="103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3">
    <w:name w:val="List Table 7 Colorful - Accent 2"/>
    <w:basedOn w:val="103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4">
    <w:name w:val="List Table 7 Colorful - Accent 3"/>
    <w:basedOn w:val="103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5">
    <w:name w:val="List Table 7 Colorful - Accent 4"/>
    <w:basedOn w:val="103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6">
    <w:name w:val="List Table 7 Colorful - Accent 5"/>
    <w:basedOn w:val="103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7">
    <w:name w:val="List Table 7 Colorful - Accent 6"/>
    <w:basedOn w:val="103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8">
    <w:name w:val="Lined - Accent"/>
    <w:basedOn w:val="10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9">
    <w:name w:val="Lined - Accent 1"/>
    <w:basedOn w:val="10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0">
    <w:name w:val="Lined - Accent 2"/>
    <w:basedOn w:val="10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1">
    <w:name w:val="Lined - Accent 3"/>
    <w:basedOn w:val="10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2">
    <w:name w:val="Lined - Accent 4"/>
    <w:basedOn w:val="10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3">
    <w:name w:val="Lined - Accent 5"/>
    <w:basedOn w:val="10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4">
    <w:name w:val="Lined - Accent 6"/>
    <w:basedOn w:val="10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5">
    <w:name w:val="Bordered &amp; Lined - Accent"/>
    <w:basedOn w:val="103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6">
    <w:name w:val="Bordered &amp; Lined - Accent 1"/>
    <w:basedOn w:val="103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7">
    <w:name w:val="Bordered &amp; Lined - Accent 2"/>
    <w:basedOn w:val="103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8">
    <w:name w:val="Bordered &amp; Lined - Accent 3"/>
    <w:basedOn w:val="103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9">
    <w:name w:val="Bordered &amp; Lined - Accent 4"/>
    <w:basedOn w:val="103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0">
    <w:name w:val="Bordered &amp; Lined - Accent 5"/>
    <w:basedOn w:val="103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1">
    <w:name w:val="Bordered &amp; Lined - Accent 6"/>
    <w:basedOn w:val="103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2">
    <w:name w:val="Bordered"/>
    <w:basedOn w:val="103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3">
    <w:name w:val="Bordered - Accent 1"/>
    <w:basedOn w:val="10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4">
    <w:name w:val="Bordered - Accent 2"/>
    <w:basedOn w:val="10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5">
    <w:name w:val="Bordered - Accent 3"/>
    <w:basedOn w:val="10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6">
    <w:name w:val="Bordered - Accent 4"/>
    <w:basedOn w:val="10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7">
    <w:name w:val="Bordered - Accent 5"/>
    <w:basedOn w:val="10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8">
    <w:name w:val="Bordered - Accent 6"/>
    <w:basedOn w:val="10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09">
    <w:name w:val="footnote text"/>
    <w:basedOn w:val="1025"/>
    <w:link w:val="1010"/>
    <w:uiPriority w:val="99"/>
    <w:semiHidden/>
    <w:unhideWhenUsed/>
    <w:pPr>
      <w:spacing w:after="40" w:line="240" w:lineRule="auto"/>
    </w:pPr>
    <w:rPr>
      <w:sz w:val="18"/>
    </w:rPr>
  </w:style>
  <w:style w:type="character" w:styleId="1010">
    <w:name w:val="Footnote Text Char"/>
    <w:link w:val="1009"/>
    <w:uiPriority w:val="99"/>
    <w:rPr>
      <w:sz w:val="18"/>
    </w:rPr>
  </w:style>
  <w:style w:type="character" w:styleId="1011">
    <w:name w:val="footnote reference"/>
    <w:basedOn w:val="1031"/>
    <w:uiPriority w:val="99"/>
    <w:unhideWhenUsed/>
    <w:rPr>
      <w:vertAlign w:val="superscript"/>
    </w:rPr>
  </w:style>
  <w:style w:type="paragraph" w:styleId="1012">
    <w:name w:val="endnote text"/>
    <w:basedOn w:val="1025"/>
    <w:link w:val="1013"/>
    <w:uiPriority w:val="99"/>
    <w:semiHidden/>
    <w:unhideWhenUsed/>
    <w:pPr>
      <w:spacing w:after="0" w:line="240" w:lineRule="auto"/>
    </w:pPr>
    <w:rPr>
      <w:sz w:val="20"/>
    </w:rPr>
  </w:style>
  <w:style w:type="character" w:styleId="1013">
    <w:name w:val="Endnote Text Char"/>
    <w:link w:val="1012"/>
    <w:uiPriority w:val="99"/>
    <w:rPr>
      <w:sz w:val="20"/>
    </w:rPr>
  </w:style>
  <w:style w:type="character" w:styleId="1014">
    <w:name w:val="endnote reference"/>
    <w:basedOn w:val="1031"/>
    <w:uiPriority w:val="99"/>
    <w:semiHidden/>
    <w:unhideWhenUsed/>
    <w:rPr>
      <w:vertAlign w:val="superscript"/>
    </w:rPr>
  </w:style>
  <w:style w:type="paragraph" w:styleId="1015">
    <w:name w:val="toc 2"/>
    <w:basedOn w:val="1025"/>
    <w:next w:val="1025"/>
    <w:uiPriority w:val="39"/>
    <w:unhideWhenUsed/>
    <w:pPr>
      <w:ind w:left="283" w:right="0" w:firstLine="0"/>
      <w:spacing w:after="57"/>
    </w:pPr>
  </w:style>
  <w:style w:type="paragraph" w:styleId="1016">
    <w:name w:val="toc 3"/>
    <w:basedOn w:val="1025"/>
    <w:next w:val="1025"/>
    <w:uiPriority w:val="39"/>
    <w:unhideWhenUsed/>
    <w:pPr>
      <w:ind w:left="567" w:right="0" w:firstLine="0"/>
      <w:spacing w:after="57"/>
    </w:pPr>
  </w:style>
  <w:style w:type="paragraph" w:styleId="1017">
    <w:name w:val="toc 4"/>
    <w:basedOn w:val="1025"/>
    <w:next w:val="1025"/>
    <w:uiPriority w:val="39"/>
    <w:unhideWhenUsed/>
    <w:pPr>
      <w:ind w:left="850" w:right="0" w:firstLine="0"/>
      <w:spacing w:after="57"/>
    </w:pPr>
  </w:style>
  <w:style w:type="paragraph" w:styleId="1018">
    <w:name w:val="toc 5"/>
    <w:basedOn w:val="1025"/>
    <w:next w:val="1025"/>
    <w:uiPriority w:val="39"/>
    <w:unhideWhenUsed/>
    <w:pPr>
      <w:ind w:left="1134" w:right="0" w:firstLine="0"/>
      <w:spacing w:after="57"/>
    </w:pPr>
  </w:style>
  <w:style w:type="paragraph" w:styleId="1019">
    <w:name w:val="toc 6"/>
    <w:basedOn w:val="1025"/>
    <w:next w:val="1025"/>
    <w:uiPriority w:val="39"/>
    <w:unhideWhenUsed/>
    <w:pPr>
      <w:ind w:left="1417" w:right="0" w:firstLine="0"/>
      <w:spacing w:after="57"/>
    </w:pPr>
  </w:style>
  <w:style w:type="paragraph" w:styleId="1020">
    <w:name w:val="toc 7"/>
    <w:basedOn w:val="1025"/>
    <w:next w:val="1025"/>
    <w:uiPriority w:val="39"/>
    <w:unhideWhenUsed/>
    <w:pPr>
      <w:ind w:left="1701" w:right="0" w:firstLine="0"/>
      <w:spacing w:after="57"/>
    </w:pPr>
  </w:style>
  <w:style w:type="paragraph" w:styleId="1021">
    <w:name w:val="toc 8"/>
    <w:basedOn w:val="1025"/>
    <w:next w:val="1025"/>
    <w:uiPriority w:val="39"/>
    <w:unhideWhenUsed/>
    <w:pPr>
      <w:ind w:left="1984" w:right="0" w:firstLine="0"/>
      <w:spacing w:after="57"/>
    </w:pPr>
  </w:style>
  <w:style w:type="paragraph" w:styleId="1022">
    <w:name w:val="toc 9"/>
    <w:basedOn w:val="1025"/>
    <w:next w:val="1025"/>
    <w:uiPriority w:val="39"/>
    <w:unhideWhenUsed/>
    <w:pPr>
      <w:ind w:left="2268" w:right="0" w:firstLine="0"/>
      <w:spacing w:after="57"/>
    </w:pPr>
  </w:style>
  <w:style w:type="paragraph" w:styleId="1023">
    <w:name w:val="TOC Heading"/>
    <w:uiPriority w:val="39"/>
    <w:unhideWhenUsed/>
  </w:style>
  <w:style w:type="paragraph" w:styleId="1024">
    <w:name w:val="table of figures"/>
    <w:basedOn w:val="1025"/>
    <w:next w:val="1025"/>
    <w:uiPriority w:val="99"/>
    <w:unhideWhenUsed/>
    <w:pPr>
      <w:spacing w:after="0" w:afterAutospacing="0"/>
    </w:pPr>
  </w:style>
  <w:style w:type="paragraph" w:styleId="1025"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1026">
    <w:name w:val="Heading 1"/>
    <w:basedOn w:val="1025"/>
    <w:next w:val="1025"/>
    <w:link w:val="1071"/>
    <w:uiPriority w:val="0"/>
    <w:qFormat/>
    <w:pPr>
      <w:keepLines/>
      <w:keepNext/>
      <w:spacing w:before="340" w:after="330" w:line="578" w:lineRule="auto"/>
      <w:outlineLvl w:val="0"/>
    </w:pPr>
    <w:rPr>
      <w:b/>
      <w:sz w:val="44"/>
    </w:rPr>
  </w:style>
  <w:style w:type="paragraph" w:styleId="1027">
    <w:name w:val="Heading 2"/>
    <w:basedOn w:val="1025"/>
    <w:next w:val="1025"/>
    <w:link w:val="1072"/>
    <w:uiPriority w:val="0"/>
    <w:qFormat/>
    <w:pPr>
      <w:keepLines/>
      <w:keepNext/>
      <w:spacing w:before="260" w:after="260" w:line="416" w:lineRule="auto"/>
      <w:outlineLvl w:val="1"/>
    </w:pPr>
    <w:rPr>
      <w:rFonts w:ascii="Arial" w:hAnsi="Arial" w:eastAsia="黑体"/>
      <w:b/>
      <w:bCs/>
      <w:sz w:val="32"/>
      <w:szCs w:val="32"/>
    </w:rPr>
  </w:style>
  <w:style w:type="paragraph" w:styleId="1028">
    <w:name w:val="Heading 3"/>
    <w:basedOn w:val="1025"/>
    <w:next w:val="1025"/>
    <w:link w:val="1073"/>
    <w:uiPriority w:val="0"/>
    <w:qFormat/>
    <w:pPr>
      <w:keepLines/>
      <w:keepNext/>
      <w:spacing w:before="260" w:after="260" w:line="416" w:lineRule="auto"/>
      <w:outlineLvl w:val="2"/>
    </w:pPr>
    <w:rPr>
      <w:b/>
      <w:bCs/>
      <w:sz w:val="32"/>
      <w:szCs w:val="32"/>
    </w:rPr>
  </w:style>
  <w:style w:type="paragraph" w:styleId="1029">
    <w:name w:val="Heading 4"/>
    <w:basedOn w:val="1025"/>
    <w:next w:val="1025"/>
    <w:link w:val="1074"/>
    <w:uiPriority w:val="0"/>
    <w:qFormat/>
    <w:pPr>
      <w:keepLines/>
      <w:keepNext/>
      <w:spacing w:before="280" w:after="290" w:line="376" w:lineRule="auto"/>
      <w:outlineLvl w:val="3"/>
    </w:pPr>
    <w:rPr>
      <w:rFonts w:ascii="Arial" w:hAnsi="Arial" w:eastAsia="黑体"/>
      <w:b/>
      <w:bCs/>
      <w:sz w:val="28"/>
      <w:szCs w:val="28"/>
    </w:rPr>
  </w:style>
  <w:style w:type="paragraph" w:styleId="1030">
    <w:name w:val="Heading 5"/>
    <w:basedOn w:val="1025"/>
    <w:next w:val="1025"/>
    <w:uiPriority w:val="1"/>
    <w:qFormat/>
    <w:pPr>
      <w:ind w:left="721"/>
      <w:outlineLvl w:val="4"/>
    </w:pPr>
    <w:rPr>
      <w:b/>
      <w:bCs/>
      <w:sz w:val="21"/>
      <w:szCs w:val="21"/>
    </w:rPr>
  </w:style>
  <w:style w:type="character" w:styleId="1031" w:default="1">
    <w:name w:val="Default Paragraph Font"/>
    <w:uiPriority w:val="1"/>
    <w:semiHidden/>
    <w:unhideWhenUsed/>
    <w:qFormat/>
  </w:style>
  <w:style w:type="table" w:styleId="1032"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1033">
    <w:name w:val="List Number"/>
    <w:basedOn w:val="1025"/>
    <w:uiPriority w:val="0"/>
    <w:qFormat/>
    <w:pPr>
      <w:ind w:left="1125" w:hanging="555"/>
      <w:tabs>
        <w:tab w:val="left" w:pos="1125" w:leader="none"/>
      </w:tabs>
    </w:pPr>
    <w:rPr>
      <w:rFonts w:eastAsia="宋体"/>
      <w:sz w:val="21"/>
      <w:szCs w:val="24"/>
    </w:rPr>
  </w:style>
  <w:style w:type="paragraph" w:styleId="1034">
    <w:name w:val="Normal Indent"/>
    <w:basedOn w:val="1025"/>
    <w:link w:val="1075"/>
    <w:uiPriority w:val="99"/>
    <w:qFormat/>
    <w:pPr>
      <w:ind w:firstLine="420"/>
      <w:jc w:val="left"/>
    </w:pPr>
    <w:rPr>
      <w:sz w:val="24"/>
    </w:rPr>
  </w:style>
  <w:style w:type="paragraph" w:styleId="1035">
    <w:name w:val="List Bullet"/>
    <w:basedOn w:val="1026"/>
    <w:next w:val="1025"/>
    <w:uiPriority w:val="99"/>
    <w:semiHidden/>
    <w:unhideWhenUsed/>
    <w:qFormat/>
    <w:pPr>
      <w:numPr>
        <w:ilvl w:val="0"/>
        <w:numId w:val="1"/>
      </w:numPr>
    </w:pPr>
  </w:style>
  <w:style w:type="paragraph" w:styleId="1036">
    <w:name w:val="Document Map"/>
    <w:basedOn w:val="1025"/>
    <w:uiPriority w:val="0"/>
    <w:qFormat/>
    <w:rPr>
      <w:rFonts w:ascii="宋体"/>
      <w:sz w:val="18"/>
      <w:szCs w:val="18"/>
    </w:rPr>
  </w:style>
  <w:style w:type="paragraph" w:styleId="1037">
    <w:name w:val="annotation text"/>
    <w:basedOn w:val="1025"/>
    <w:link w:val="1088"/>
    <w:uiPriority w:val="99"/>
    <w:qFormat/>
    <w:pPr>
      <w:jc w:val="left"/>
    </w:pPr>
  </w:style>
  <w:style w:type="paragraph" w:styleId="1038">
    <w:name w:val="Body Text"/>
    <w:basedOn w:val="1025"/>
    <w:link w:val="1080"/>
    <w:uiPriority w:val="0"/>
    <w:qFormat/>
    <w:pPr>
      <w:spacing w:line="400" w:lineRule="exact"/>
    </w:pPr>
    <w:rPr>
      <w:rFonts w:ascii="楷体_GB2312"/>
      <w:sz w:val="28"/>
    </w:rPr>
  </w:style>
  <w:style w:type="paragraph" w:styleId="1039">
    <w:name w:val="Body Text Indent"/>
    <w:basedOn w:val="1025"/>
    <w:link w:val="1091"/>
    <w:uiPriority w:val="0"/>
    <w:qFormat/>
    <w:pPr>
      <w:ind w:left="420"/>
      <w:spacing w:after="120"/>
    </w:pPr>
  </w:style>
  <w:style w:type="paragraph" w:styleId="1040">
    <w:name w:val="Block Text"/>
    <w:basedOn w:val="1025"/>
    <w:uiPriority w:val="0"/>
    <w:qFormat/>
    <w:pPr>
      <w:ind w:left="147" w:right="246" w:firstLine="480"/>
      <w:spacing w:line="360" w:lineRule="auto"/>
    </w:pPr>
    <w:rPr>
      <w:rFonts w:ascii="宋体" w:hAnsi="宋体" w:eastAsia="宋体"/>
      <w:sz w:val="24"/>
      <w:szCs w:val="24"/>
    </w:rPr>
  </w:style>
  <w:style w:type="paragraph" w:styleId="1041">
    <w:name w:val="index 4"/>
    <w:next w:val="1025"/>
    <w:uiPriority w:val="0"/>
    <w:qFormat/>
    <w:pPr>
      <w:ind w:left="1260"/>
      <w:jc w:val="both"/>
      <w:widowControl w:val="off"/>
    </w:pPr>
    <w:rPr>
      <w:rFonts w:ascii="Times New Roman" w:hAnsi="Times New Roman" w:eastAsia="楷体_GB2312" w:cs="Times New Roman"/>
      <w:sz w:val="26"/>
      <w:lang w:val="en-US" w:eastAsia="zh-CN" w:bidi="ar-SA"/>
    </w:rPr>
  </w:style>
  <w:style w:type="paragraph" w:styleId="1042">
    <w:name w:val="Plain Text"/>
    <w:basedOn w:val="1025"/>
    <w:link w:val="1078"/>
    <w:uiPriority w:val="99"/>
    <w:qFormat/>
    <w:rPr>
      <w:rFonts w:ascii="宋体" w:hAnsi="Courier New"/>
    </w:rPr>
  </w:style>
  <w:style w:type="paragraph" w:styleId="1043">
    <w:name w:val="Date"/>
    <w:basedOn w:val="1025"/>
    <w:next w:val="1025"/>
    <w:link w:val="1079"/>
    <w:uiPriority w:val="0"/>
    <w:qFormat/>
    <w:rPr>
      <w:rFonts w:ascii="宋体" w:hAnsi="宋体"/>
      <w:sz w:val="24"/>
    </w:rPr>
  </w:style>
  <w:style w:type="paragraph" w:styleId="1044">
    <w:name w:val="Body Text Indent 2"/>
    <w:basedOn w:val="1025"/>
    <w:link w:val="1081"/>
    <w:uiPriority w:val="0"/>
    <w:qFormat/>
    <w:pPr>
      <w:ind w:firstLine="502"/>
      <w:spacing w:line="360" w:lineRule="auto"/>
      <w:tabs>
        <w:tab w:val="left" w:pos="0" w:leader="none"/>
      </w:tabs>
    </w:pPr>
    <w:rPr>
      <w:rFonts w:ascii="宋体" w:eastAsia="宋体"/>
      <w:b/>
      <w:bCs/>
      <w:sz w:val="24"/>
    </w:rPr>
  </w:style>
  <w:style w:type="paragraph" w:styleId="1045">
    <w:name w:val="Balloon Text"/>
    <w:basedOn w:val="1025"/>
    <w:link w:val="1082"/>
    <w:uiPriority w:val="0"/>
    <w:semiHidden/>
    <w:qFormat/>
    <w:rPr>
      <w:sz w:val="18"/>
      <w:szCs w:val="18"/>
    </w:rPr>
  </w:style>
  <w:style w:type="paragraph" w:styleId="1046">
    <w:name w:val="Footer"/>
    <w:basedOn w:val="1025"/>
    <w:link w:val="1070"/>
    <w:uiPriority w:val="99"/>
    <w:unhideWhenUsed/>
    <w:qFormat/>
    <w:pPr>
      <w:jc w:val="left"/>
      <w:tabs>
        <w:tab w:val="center" w:pos="4153" w:leader="none"/>
        <w:tab w:val="right" w:pos="8306" w:leader="none"/>
      </w:tabs>
    </w:pPr>
    <w:rPr>
      <w:sz w:val="18"/>
      <w:szCs w:val="18"/>
    </w:rPr>
  </w:style>
  <w:style w:type="paragraph" w:styleId="1047">
    <w:name w:val="envelope return"/>
    <w:basedOn w:val="1025"/>
    <w:uiPriority w:val="0"/>
    <w:qFormat/>
    <w:rPr>
      <w:rFonts w:ascii="Arial" w:hAnsi="Arial"/>
    </w:rPr>
  </w:style>
  <w:style w:type="paragraph" w:styleId="1048">
    <w:name w:val="Header"/>
    <w:basedOn w:val="1025"/>
    <w:link w:val="1069"/>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1049">
    <w:name w:val="toc 1"/>
    <w:basedOn w:val="1025"/>
    <w:next w:val="1025"/>
    <w:uiPriority w:val="39"/>
    <w:qFormat/>
    <w:pPr>
      <w:jc w:val="left"/>
    </w:pPr>
    <w:rPr>
      <w:sz w:val="24"/>
    </w:rPr>
  </w:style>
  <w:style w:type="paragraph" w:styleId="1050">
    <w:name w:val="Subtitle"/>
    <w:basedOn w:val="1025"/>
    <w:next w:val="1025"/>
    <w:link w:val="1107"/>
    <w:uiPriority w:val="0"/>
    <w:qFormat/>
    <w:pPr>
      <w:jc w:val="center"/>
      <w:spacing w:before="240" w:after="60" w:line="312" w:lineRule="auto"/>
      <w:outlineLvl w:val="1"/>
    </w:pPr>
    <w:rPr>
      <w:rFonts w:ascii="Cambria" w:hAnsi="Cambria" w:eastAsia="宋体"/>
      <w:b/>
      <w:bCs/>
      <w:sz w:val="32"/>
      <w:szCs w:val="32"/>
    </w:rPr>
  </w:style>
  <w:style w:type="paragraph" w:styleId="1051">
    <w:name w:val="Body Text Indent 3"/>
    <w:basedOn w:val="1025"/>
    <w:link w:val="1083"/>
    <w:uiPriority w:val="0"/>
    <w:qFormat/>
    <w:pPr>
      <w:ind w:left="420"/>
      <w:spacing w:after="120"/>
    </w:pPr>
    <w:rPr>
      <w:sz w:val="16"/>
      <w:szCs w:val="16"/>
    </w:rPr>
  </w:style>
  <w:style w:type="paragraph" w:styleId="1052">
    <w:name w:val="Body Text 2"/>
    <w:basedOn w:val="1026"/>
    <w:next w:val="1035"/>
    <w:uiPriority w:val="0"/>
    <w:qFormat/>
    <w:pPr>
      <w:spacing w:after="120" w:line="480" w:lineRule="auto"/>
    </w:pPr>
  </w:style>
  <w:style w:type="paragraph" w:styleId="1053">
    <w:name w:val="Normal (Web)"/>
    <w:basedOn w:val="1025"/>
    <w:uiPriority w:val="99"/>
    <w:qFormat/>
    <w:pPr>
      <w:jc w:val="left"/>
      <w:spacing w:before="100" w:beforeAutospacing="1" w:after="100" w:afterAutospacing="1"/>
      <w:widowControl/>
    </w:pPr>
    <w:rPr>
      <w:rFonts w:ascii="宋体" w:hAnsi="宋体" w:eastAsia="宋体" w:cs="宋体"/>
      <w:sz w:val="24"/>
      <w:szCs w:val="24"/>
    </w:rPr>
  </w:style>
  <w:style w:type="paragraph" w:styleId="1054">
    <w:name w:val="index 1"/>
    <w:basedOn w:val="1025"/>
    <w:next w:val="1025"/>
    <w:uiPriority w:val="0"/>
    <w:semiHidden/>
    <w:qFormat/>
  </w:style>
  <w:style w:type="paragraph" w:styleId="1055">
    <w:name w:val="annotation subject"/>
    <w:basedOn w:val="1037"/>
    <w:next w:val="1037"/>
    <w:link w:val="1089"/>
    <w:uiPriority w:val="0"/>
    <w:semiHidden/>
    <w:qFormat/>
    <w:rPr>
      <w:b/>
      <w:bCs/>
    </w:rPr>
  </w:style>
  <w:style w:type="paragraph" w:styleId="1056">
    <w:name w:val="Body Text First Indent 2"/>
    <w:basedOn w:val="1039"/>
    <w:next w:val="1025"/>
    <w:link w:val="1103"/>
    <w:uiPriority w:val="0"/>
    <w:qFormat/>
    <w:pPr>
      <w:ind w:firstLine="420"/>
    </w:pPr>
    <w:rPr>
      <w:rFonts w:eastAsia="宋体"/>
      <w:sz w:val="21"/>
      <w:szCs w:val="24"/>
    </w:rPr>
  </w:style>
  <w:style w:type="table" w:styleId="1057">
    <w:name w:val="Table Grid"/>
    <w:basedOn w:val="103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58">
    <w:name w:val="Strong"/>
    <w:basedOn w:val="1031"/>
    <w:uiPriority w:val="22"/>
    <w:qFormat/>
    <w:rPr>
      <w:b/>
    </w:rPr>
  </w:style>
  <w:style w:type="character" w:styleId="1059">
    <w:name w:val="page number"/>
    <w:basedOn w:val="1031"/>
    <w:uiPriority w:val="0"/>
    <w:qFormat/>
  </w:style>
  <w:style w:type="character" w:styleId="1060">
    <w:name w:val="FollowedHyperlink"/>
    <w:basedOn w:val="1031"/>
    <w:uiPriority w:val="99"/>
    <w:semiHidden/>
    <w:unhideWhenUsed/>
    <w:qFormat/>
    <w:rPr>
      <w:color w:val="333333"/>
      <w:u w:val="none"/>
    </w:rPr>
  </w:style>
  <w:style w:type="character" w:styleId="1061">
    <w:name w:val="Emphasis"/>
    <w:basedOn w:val="1031"/>
    <w:uiPriority w:val="20"/>
    <w:qFormat/>
  </w:style>
  <w:style w:type="character" w:styleId="1062">
    <w:name w:val="Hyperlink"/>
    <w:basedOn w:val="1031"/>
    <w:uiPriority w:val="0"/>
    <w:qFormat/>
    <w:rPr>
      <w:color w:val="333333"/>
      <w:u w:val="none"/>
    </w:rPr>
  </w:style>
  <w:style w:type="character" w:styleId="1063">
    <w:name w:val="annotation reference"/>
    <w:uiPriority w:val="99"/>
    <w:qFormat/>
    <w:rPr>
      <w:sz w:val="21"/>
      <w:szCs w:val="21"/>
    </w:rPr>
  </w:style>
  <w:style w:type="paragraph" w:styleId="1064" w:customStyle="1">
    <w:name w:val="目录 51"/>
    <w:next w:val="1025"/>
    <w:uiPriority w:val="0"/>
    <w:qFormat/>
    <w:pPr>
      <w:ind w:left="1275"/>
      <w:jc w:val="both"/>
    </w:pPr>
    <w:rPr>
      <w:rFonts w:ascii="Times New Roman" w:hAnsi="Times New Roman" w:eastAsia="宋体" w:cs="Times New Roman"/>
      <w:sz w:val="21"/>
      <w:lang w:val="en-US" w:eastAsia="zh-CN" w:bidi="ar-SA"/>
    </w:rPr>
  </w:style>
  <w:style w:type="paragraph" w:styleId="1065" w:customStyle="1">
    <w:name w:val="段"/>
    <w:next w:val="1025"/>
    <w:uiPriority w:val="0"/>
    <w:qFormat/>
    <w:pPr>
      <w:ind w:firstLine="200"/>
      <w:jc w:val="both"/>
    </w:pPr>
    <w:rPr>
      <w:rFonts w:ascii="宋体" w:hAnsi="Times New Roman" w:eastAsia="宋体" w:cs="Times New Roman"/>
      <w:sz w:val="21"/>
      <w:lang w:val="en-US" w:eastAsia="zh-CN" w:bidi="ar-SA"/>
    </w:rPr>
  </w:style>
  <w:style w:type="paragraph" w:styleId="1066" w:customStyle="1">
    <w:name w:val="首行缩进"/>
    <w:basedOn w:val="1025"/>
    <w:uiPriority w:val="0"/>
    <w:qFormat/>
    <w:pPr>
      <w:ind w:firstLine="480"/>
    </w:pPr>
    <w:rPr>
      <w:lang w:val="zh-CN"/>
    </w:rPr>
  </w:style>
  <w:style w:type="paragraph" w:styleId="1067" w:customStyle="1">
    <w:name w:val="正文文本1"/>
    <w:basedOn w:val="1025"/>
    <w:uiPriority w:val="0"/>
    <w:qFormat/>
    <w:pPr>
      <w:jc w:val="center"/>
    </w:pPr>
    <w:rPr>
      <w:rFonts w:ascii="方正大黑简体" w:hAnsi="Tahoma" w:eastAsia="方正大黑简体"/>
      <w:position w:val="6"/>
      <w:sz w:val="30"/>
      <w:lang w:eastAsia="en-US"/>
    </w:rPr>
  </w:style>
  <w:style w:type="paragraph" w:styleId="1068" w:customStyle="1">
    <w:name w:val="Default"/>
    <w:next w:val="1025"/>
    <w:uiPriority w:val="0"/>
    <w:qFormat/>
    <w:pPr>
      <w:widowControl w:val="off"/>
    </w:pPr>
    <w:rPr>
      <w:rFonts w:ascii="宋体糭.飬.." w:hAnsi="Times New Roman" w:eastAsia="宋体糭.飬.." w:cs="宋体糭.飬.."/>
      <w:color w:val="000000"/>
      <w:sz w:val="24"/>
      <w:szCs w:val="24"/>
      <w:lang w:val="en-US" w:eastAsia="zh-CN" w:bidi="ar-SA"/>
    </w:rPr>
  </w:style>
  <w:style w:type="character" w:styleId="1069" w:customStyle="1">
    <w:name w:val="页眉 Char"/>
    <w:basedOn w:val="1031"/>
    <w:link w:val="1048"/>
    <w:uiPriority w:val="0"/>
    <w:qFormat/>
    <w:rPr>
      <w:sz w:val="18"/>
      <w:szCs w:val="18"/>
    </w:rPr>
  </w:style>
  <w:style w:type="character" w:styleId="1070" w:customStyle="1">
    <w:name w:val="页脚 Char"/>
    <w:basedOn w:val="1031"/>
    <w:link w:val="1046"/>
    <w:uiPriority w:val="99"/>
    <w:qFormat/>
    <w:rPr>
      <w:sz w:val="18"/>
      <w:szCs w:val="18"/>
    </w:rPr>
  </w:style>
  <w:style w:type="character" w:styleId="1071" w:customStyle="1">
    <w:name w:val="标题 1 Char"/>
    <w:basedOn w:val="1031"/>
    <w:link w:val="1026"/>
    <w:uiPriority w:val="0"/>
    <w:qFormat/>
    <w:rPr>
      <w:rFonts w:ascii="Times New Roman" w:hAnsi="Times New Roman" w:eastAsia="楷体_GB2312" w:cs="Times New Roman"/>
      <w:b/>
      <w:sz w:val="44"/>
      <w:szCs w:val="20"/>
    </w:rPr>
  </w:style>
  <w:style w:type="character" w:styleId="1072" w:customStyle="1">
    <w:name w:val="标题 2 Char"/>
    <w:basedOn w:val="1031"/>
    <w:link w:val="1027"/>
    <w:uiPriority w:val="0"/>
    <w:qFormat/>
    <w:rPr>
      <w:rFonts w:ascii="Arial" w:hAnsi="Arial" w:eastAsia="黑体" w:cs="Times New Roman"/>
      <w:b/>
      <w:bCs/>
      <w:sz w:val="32"/>
      <w:szCs w:val="32"/>
    </w:rPr>
  </w:style>
  <w:style w:type="character" w:styleId="1073" w:customStyle="1">
    <w:name w:val="标题 3 Char"/>
    <w:basedOn w:val="1031"/>
    <w:link w:val="1028"/>
    <w:uiPriority w:val="0"/>
    <w:qFormat/>
    <w:rPr>
      <w:rFonts w:ascii="Times New Roman" w:hAnsi="Times New Roman" w:eastAsia="楷体_GB2312" w:cs="Times New Roman"/>
      <w:b/>
      <w:bCs/>
      <w:sz w:val="32"/>
      <w:szCs w:val="32"/>
    </w:rPr>
  </w:style>
  <w:style w:type="character" w:styleId="1074" w:customStyle="1">
    <w:name w:val="标题 4 Char"/>
    <w:basedOn w:val="1031"/>
    <w:link w:val="1029"/>
    <w:uiPriority w:val="0"/>
    <w:qFormat/>
    <w:rPr>
      <w:rFonts w:ascii="Arial" w:hAnsi="Arial" w:eastAsia="黑体" w:cs="Times New Roman"/>
      <w:b/>
      <w:bCs/>
      <w:sz w:val="28"/>
      <w:szCs w:val="28"/>
    </w:rPr>
  </w:style>
  <w:style w:type="character" w:styleId="1075" w:customStyle="1">
    <w:name w:val="正文缩进 Char1"/>
    <w:link w:val="1034"/>
    <w:uiPriority w:val="0"/>
    <w:qFormat/>
    <w:rPr>
      <w:rFonts w:ascii="Times New Roman" w:hAnsi="Times New Roman" w:eastAsia="楷体_GB2312" w:cs="Times New Roman"/>
      <w:sz w:val="24"/>
      <w:szCs w:val="20"/>
    </w:rPr>
  </w:style>
  <w:style w:type="paragraph" w:styleId="1076" w:customStyle="1">
    <w:name w:val="纯文本1"/>
    <w:basedOn w:val="1025"/>
    <w:link w:val="1077"/>
    <w:uiPriority w:val="0"/>
    <w:qFormat/>
    <w:rPr>
      <w:rFonts w:ascii="宋体" w:hAnsi="Courier New"/>
    </w:rPr>
  </w:style>
  <w:style w:type="character" w:styleId="1077" w:customStyle="1">
    <w:name w:val="Plain Text Char Char"/>
    <w:link w:val="1076"/>
    <w:uiPriority w:val="0"/>
    <w:qFormat/>
    <w:rPr>
      <w:rFonts w:ascii="宋体" w:hAnsi="Courier New" w:eastAsia="楷体_GB2312" w:cs="Times New Roman"/>
      <w:sz w:val="26"/>
      <w:szCs w:val="20"/>
    </w:rPr>
  </w:style>
  <w:style w:type="character" w:styleId="1078" w:customStyle="1">
    <w:name w:val="纯文本 Char"/>
    <w:basedOn w:val="1031"/>
    <w:link w:val="1042"/>
    <w:uiPriority w:val="99"/>
    <w:qFormat/>
    <w:rPr>
      <w:rFonts w:ascii="宋体" w:hAnsi="Courier New" w:eastAsia="楷体_GB2312" w:cs="Times New Roman"/>
      <w:sz w:val="26"/>
      <w:szCs w:val="20"/>
    </w:rPr>
  </w:style>
  <w:style w:type="character" w:styleId="1079" w:customStyle="1">
    <w:name w:val="日期 Char"/>
    <w:basedOn w:val="1031"/>
    <w:link w:val="1043"/>
    <w:uiPriority w:val="0"/>
    <w:qFormat/>
    <w:rPr>
      <w:rFonts w:ascii="宋体" w:hAnsi="宋体" w:eastAsia="楷体_GB2312" w:cs="Times New Roman"/>
      <w:sz w:val="24"/>
      <w:szCs w:val="20"/>
    </w:rPr>
  </w:style>
  <w:style w:type="character" w:styleId="1080" w:customStyle="1">
    <w:name w:val="正文文本 Char"/>
    <w:basedOn w:val="1031"/>
    <w:link w:val="1038"/>
    <w:uiPriority w:val="0"/>
    <w:qFormat/>
    <w:rPr>
      <w:rFonts w:ascii="楷体_GB2312" w:hAnsi="Times New Roman" w:eastAsia="楷体_GB2312" w:cs="Times New Roman"/>
      <w:sz w:val="28"/>
      <w:szCs w:val="20"/>
    </w:rPr>
  </w:style>
  <w:style w:type="character" w:styleId="1081" w:customStyle="1">
    <w:name w:val="正文文本缩进 2 Char"/>
    <w:basedOn w:val="1031"/>
    <w:link w:val="1044"/>
    <w:uiPriority w:val="0"/>
    <w:qFormat/>
    <w:rPr>
      <w:rFonts w:ascii="宋体" w:hAnsi="Times New Roman" w:eastAsia="宋体" w:cs="Times New Roman"/>
      <w:b/>
      <w:bCs/>
      <w:sz w:val="24"/>
      <w:szCs w:val="20"/>
    </w:rPr>
  </w:style>
  <w:style w:type="character" w:styleId="1082" w:customStyle="1">
    <w:name w:val="批注框文本 Char"/>
    <w:basedOn w:val="1031"/>
    <w:link w:val="1045"/>
    <w:uiPriority w:val="0"/>
    <w:semiHidden/>
    <w:qFormat/>
    <w:rPr>
      <w:rFonts w:ascii="Times New Roman" w:hAnsi="Times New Roman" w:eastAsia="楷体_GB2312" w:cs="Times New Roman"/>
      <w:sz w:val="18"/>
      <w:szCs w:val="18"/>
    </w:rPr>
  </w:style>
  <w:style w:type="character" w:styleId="1083" w:customStyle="1">
    <w:name w:val="正文文本缩进 3 Char"/>
    <w:basedOn w:val="1031"/>
    <w:link w:val="1051"/>
    <w:uiPriority w:val="0"/>
    <w:qFormat/>
    <w:rPr>
      <w:rFonts w:ascii="Times New Roman" w:hAnsi="Times New Roman" w:eastAsia="楷体_GB2312" w:cs="Times New Roman"/>
      <w:sz w:val="16"/>
      <w:szCs w:val="16"/>
    </w:rPr>
  </w:style>
  <w:style w:type="character" w:styleId="1084" w:customStyle="1">
    <w:name w:val="正文首行缩进 Char Char"/>
    <w:link w:val="1085"/>
    <w:uiPriority w:val="0"/>
    <w:qFormat/>
    <w:rPr>
      <w:szCs w:val="24"/>
    </w:rPr>
  </w:style>
  <w:style w:type="paragraph" w:styleId="1085" w:customStyle="1">
    <w:name w:val="正文首行缩进1"/>
    <w:basedOn w:val="1038"/>
    <w:link w:val="1084"/>
    <w:uiPriority w:val="0"/>
    <w:qFormat/>
    <w:pPr>
      <w:ind w:firstLine="420"/>
      <w:spacing w:after="120" w:line="240" w:lineRule="auto"/>
    </w:pPr>
    <w:rPr>
      <w:rFonts w:asciiTheme="minorHAnsi" w:hAnsiTheme="minorHAnsi" w:eastAsiaTheme="minorEastAsia" w:cstheme="minorBidi"/>
      <w:sz w:val="21"/>
      <w:szCs w:val="24"/>
    </w:rPr>
  </w:style>
  <w:style w:type="paragraph" w:styleId="1086" w:customStyle="1">
    <w:name w:val="_Style 24"/>
    <w:basedOn w:val="1025"/>
    <w:uiPriority w:val="0"/>
    <w:qFormat/>
    <w:rPr>
      <w:rFonts w:eastAsia="宋体"/>
      <w:sz w:val="21"/>
      <w:szCs w:val="24"/>
    </w:rPr>
  </w:style>
  <w:style w:type="character" w:styleId="1087" w:customStyle="1">
    <w:name w:val="Char Char1"/>
    <w:uiPriority w:val="0"/>
    <w:qFormat/>
    <w:rPr>
      <w:rFonts w:ascii="宋体" w:hAnsi="Courier New" w:eastAsia="楷体_GB2312"/>
      <w:sz w:val="26"/>
      <w:lang w:val="en-US" w:eastAsia="zh-CN" w:bidi="ar-SA"/>
    </w:rPr>
  </w:style>
  <w:style w:type="character" w:styleId="1088" w:customStyle="1">
    <w:name w:val="批注文字 Char"/>
    <w:basedOn w:val="1031"/>
    <w:link w:val="1037"/>
    <w:uiPriority w:val="99"/>
    <w:qFormat/>
    <w:rPr>
      <w:rFonts w:ascii="Times New Roman" w:hAnsi="Times New Roman" w:eastAsia="楷体_GB2312" w:cs="Times New Roman"/>
      <w:sz w:val="26"/>
      <w:szCs w:val="20"/>
    </w:rPr>
  </w:style>
  <w:style w:type="character" w:styleId="1089" w:customStyle="1">
    <w:name w:val="批注主题 Char"/>
    <w:basedOn w:val="1088"/>
    <w:link w:val="1055"/>
    <w:uiPriority w:val="0"/>
    <w:semiHidden/>
    <w:qFormat/>
    <w:rPr>
      <w:rFonts w:ascii="Times New Roman" w:hAnsi="Times New Roman" w:eastAsia="楷体_GB2312" w:cs="Times New Roman"/>
      <w:b/>
      <w:bCs/>
      <w:sz w:val="26"/>
      <w:szCs w:val="20"/>
    </w:rPr>
  </w:style>
  <w:style w:type="paragraph" w:styleId="1090" w:customStyle="1">
    <w:name w:val="纯文本111"/>
    <w:basedOn w:val="1025"/>
    <w:uiPriority w:val="0"/>
    <w:qFormat/>
    <w:rPr>
      <w:rFonts w:ascii="宋体" w:hAnsi="Courier New"/>
      <w:sz w:val="28"/>
    </w:rPr>
  </w:style>
  <w:style w:type="character" w:styleId="1091" w:customStyle="1">
    <w:name w:val="正文文本缩进 Char"/>
    <w:basedOn w:val="1031"/>
    <w:link w:val="1039"/>
    <w:uiPriority w:val="0"/>
    <w:qFormat/>
    <w:rPr>
      <w:rFonts w:ascii="Times New Roman" w:hAnsi="Times New Roman" w:eastAsia="楷体_GB2312" w:cs="Times New Roman"/>
      <w:sz w:val="26"/>
      <w:szCs w:val="20"/>
    </w:rPr>
  </w:style>
  <w:style w:type="character" w:styleId="1092" w:customStyle="1">
    <w:name w:val="ca-221"/>
    <w:uiPriority w:val="0"/>
    <w:qFormat/>
    <w:rPr>
      <w:rFonts w:hint="eastAsia" w:ascii="宋体" w:hAnsi="宋体" w:eastAsia="宋体"/>
      <w:color w:val="ff0000"/>
      <w:sz w:val="24"/>
      <w:szCs w:val="24"/>
    </w:rPr>
  </w:style>
  <w:style w:type="paragraph" w:styleId="1093" w:customStyle="1">
    <w:name w:val="p0"/>
    <w:basedOn w:val="1025"/>
    <w:uiPriority w:val="0"/>
    <w:qFormat/>
    <w:pPr>
      <w:jc w:val="left"/>
      <w:spacing w:before="100" w:beforeAutospacing="1" w:after="100" w:afterAutospacing="1"/>
      <w:widowControl/>
    </w:pPr>
    <w:rPr>
      <w:rFonts w:ascii="宋体" w:hAnsi="宋体" w:eastAsia="宋体" w:cs="宋体"/>
      <w:sz w:val="24"/>
      <w:szCs w:val="24"/>
    </w:rPr>
  </w:style>
  <w:style w:type="paragraph" w:styleId="1094" w:customStyle="1">
    <w:name w:val="正文 Char Char"/>
    <w:uiPriority w:val="0"/>
    <w:qFormat/>
    <w:pPr>
      <w:jc w:val="both"/>
      <w:widowControl w:val="off"/>
    </w:pPr>
    <w:rPr>
      <w:rFonts w:ascii="Times New Roman" w:hAnsi="Times New Roman" w:eastAsia="ヒラギノ角ゴ Pro W3" w:cs="Times New Roman"/>
      <w:color w:val="000000"/>
      <w:sz w:val="26"/>
      <w:lang w:val="en-US" w:eastAsia="en-US" w:bidi="ar-SA"/>
    </w:rPr>
  </w:style>
  <w:style w:type="paragraph" w:styleId="1095" w:customStyle="1">
    <w:name w:val="文字"/>
    <w:basedOn w:val="1025"/>
    <w:uiPriority w:val="0"/>
    <w:qFormat/>
    <w:pPr>
      <w:ind w:firstLine="420"/>
      <w:spacing w:line="360" w:lineRule="auto"/>
      <w:widowControl/>
    </w:pPr>
    <w:rPr>
      <w:rFonts w:eastAsia="宋体"/>
      <w:sz w:val="24"/>
      <w:szCs w:val="24"/>
    </w:rPr>
  </w:style>
  <w:style w:type="character" w:styleId="1096" w:customStyle="1">
    <w:name w:val="正文缩进 Char"/>
    <w:uiPriority w:val="0"/>
    <w:qFormat/>
    <w:rPr>
      <w:rFonts w:eastAsia="楷体_GB2312"/>
      <w:sz w:val="24"/>
      <w:lang w:val="en-US" w:eastAsia="zh-CN" w:bidi="ar-SA"/>
    </w:rPr>
  </w:style>
  <w:style w:type="paragraph" w:styleId="1097">
    <w:name w:val="List Paragraph"/>
    <w:basedOn w:val="1025"/>
    <w:uiPriority w:val="34"/>
    <w:qFormat/>
    <w:pPr>
      <w:ind w:firstLine="420"/>
    </w:pPr>
    <w:rPr>
      <w:rFonts w:eastAsia="宋体"/>
      <w:sz w:val="21"/>
      <w:szCs w:val="24"/>
    </w:rPr>
  </w:style>
  <w:style w:type="paragraph" w:styleId="1098" w:customStyle="1">
    <w:name w:val="xl91"/>
    <w:basedOn w:val="1026"/>
    <w:next w:val="1099"/>
    <w:uiPriority w:val="0"/>
    <w:qFormat/>
    <w:pPr>
      <w:ind w:firstLine="3584"/>
      <w:spacing w:before="280" w:after="280" w:line="240" w:lineRule="auto"/>
    </w:pPr>
  </w:style>
  <w:style w:type="paragraph" w:styleId="1099" w:customStyle="1">
    <w:name w:val="xl76"/>
    <w:basedOn w:val="1026"/>
    <w:next w:val="1052"/>
    <w:uiPriority w:val="0"/>
    <w:qFormat/>
    <w:pPr>
      <w:ind w:firstLine="3584"/>
      <w:jc w:val="center"/>
      <w:spacing w:before="280" w:after="280" w:line="240" w:lineRule="auto"/>
    </w:pPr>
  </w:style>
  <w:style w:type="paragraph" w:styleId="1100" w:customStyle="1">
    <w:name w:val="正文_0_0"/>
    <w:uiPriority w:val="0"/>
    <w:qFormat/>
    <w:pPr>
      <w:jc w:val="both"/>
      <w:widowControl w:val="off"/>
    </w:pPr>
    <w:rPr>
      <w:rFonts w:ascii="Calibri" w:hAnsi="Calibri" w:eastAsia="宋体" w:cs="Times New Roman"/>
      <w:lang w:val="en-US" w:eastAsia="zh-CN" w:bidi="ar-SA"/>
    </w:rPr>
  </w:style>
  <w:style w:type="paragraph" w:styleId="1101" w:customStyle="1">
    <w:name w:val="正文1"/>
    <w:uiPriority w:val="0"/>
    <w:qFormat/>
    <w:pPr>
      <w:ind w:firstLine="200"/>
      <w:jc w:val="both"/>
      <w:spacing w:line="360" w:lineRule="auto"/>
      <w:widowControl w:val="off"/>
    </w:pPr>
    <w:rPr>
      <w:rFonts w:ascii="Calibri" w:hAnsi="Calibri" w:eastAsia="仿宋_GB2312" w:cs="Times New Roman"/>
      <w:sz w:val="24"/>
      <w:szCs w:val="22"/>
      <w:lang w:val="en-US" w:eastAsia="zh-CN" w:bidi="ar-SA"/>
    </w:rPr>
  </w:style>
  <w:style w:type="paragraph" w:styleId="1102" w:customStyle="1">
    <w:name w:val="修订1"/>
    <w:hidden/>
    <w:uiPriority w:val="99"/>
    <w:semiHidden/>
    <w:qFormat/>
    <w:rPr>
      <w:rFonts w:ascii="Times New Roman" w:hAnsi="Times New Roman" w:eastAsia="楷体_GB2312" w:cs="Times New Roman"/>
      <w:sz w:val="26"/>
      <w:lang w:val="en-US" w:eastAsia="zh-CN" w:bidi="ar-SA"/>
    </w:rPr>
  </w:style>
  <w:style w:type="character" w:styleId="1103" w:customStyle="1">
    <w:name w:val="正文首行缩进 2 Char"/>
    <w:basedOn w:val="1091"/>
    <w:link w:val="1056"/>
    <w:uiPriority w:val="0"/>
    <w:qFormat/>
    <w:rPr>
      <w:rFonts w:ascii="Times New Roman" w:hAnsi="Times New Roman" w:eastAsia="宋体" w:cs="Times New Roman"/>
      <w:sz w:val="26"/>
      <w:szCs w:val="24"/>
    </w:rPr>
  </w:style>
  <w:style w:type="paragraph" w:styleId="1104" w:customStyle="1">
    <w:name w:val="b4一级标题"/>
    <w:basedOn w:val="1025"/>
    <w:uiPriority w:val="0"/>
    <w:qFormat/>
    <w:pPr>
      <w:jc w:val="center"/>
      <w:spacing w:line="360" w:lineRule="auto"/>
      <w:outlineLvl w:val="0"/>
    </w:pPr>
    <w:rPr>
      <w:rFonts w:ascii="宋体" w:hAnsi="宋体" w:eastAsia="宋体"/>
      <w:b/>
      <w:sz w:val="36"/>
      <w:szCs w:val="36"/>
    </w:rPr>
  </w:style>
  <w:style w:type="paragraph" w:styleId="1105" w:customStyle="1">
    <w:name w:val="标题3"/>
    <w:basedOn w:val="1028"/>
    <w:uiPriority w:val="0"/>
    <w:qFormat/>
    <w:pPr>
      <w:contextualSpacing/>
      <w:jc w:val="center"/>
      <w:spacing w:line="240" w:lineRule="auto"/>
    </w:pPr>
    <w:rPr>
      <w:rFonts w:eastAsia="黑体" w:cs="宋体"/>
      <w:sz w:val="28"/>
      <w:szCs w:val="20"/>
    </w:rPr>
  </w:style>
  <w:style w:type="paragraph" w:styleId="1106" w:customStyle="1">
    <w:name w:val="No Spacing1"/>
    <w:uiPriority w:val="0"/>
    <w:qFormat/>
    <w:pPr>
      <w:jc w:val="both"/>
      <w:widowControl w:val="off"/>
    </w:pPr>
    <w:rPr>
      <w:rFonts w:ascii="Calibri" w:hAnsi="Calibri" w:eastAsia="宋体" w:cs="Times New Roman"/>
      <w:sz w:val="21"/>
      <w:szCs w:val="22"/>
      <w:lang w:val="en-US" w:eastAsia="zh-CN" w:bidi="ar-SA"/>
    </w:rPr>
  </w:style>
  <w:style w:type="character" w:styleId="1107" w:customStyle="1">
    <w:name w:val="副标题 Char"/>
    <w:basedOn w:val="1031"/>
    <w:link w:val="1050"/>
    <w:uiPriority w:val="0"/>
    <w:qFormat/>
    <w:rPr>
      <w:rFonts w:ascii="Cambria" w:hAnsi="Cambria" w:eastAsia="宋体" w:cs="Times New Roman"/>
      <w:b/>
      <w:bCs/>
      <w:sz w:val="32"/>
      <w:szCs w:val="32"/>
    </w:rPr>
  </w:style>
  <w:style w:type="paragraph" w:styleId="1108">
    <w:name w:val="No Spacing"/>
    <w:link w:val="1109"/>
    <w:uiPriority w:val="1"/>
    <w:qFormat/>
    <w:rPr>
      <w:rFonts w:asciiTheme="minorHAnsi" w:hAnsiTheme="minorHAnsi" w:eastAsiaTheme="minorEastAsia" w:cstheme="minorBidi"/>
      <w:sz w:val="22"/>
      <w:szCs w:val="22"/>
      <w:lang w:val="en-US" w:eastAsia="zh-CN" w:bidi="ar-SA"/>
    </w:rPr>
  </w:style>
  <w:style w:type="character" w:styleId="1109" w:customStyle="1">
    <w:name w:val="无间隔 Char"/>
    <w:basedOn w:val="1031"/>
    <w:link w:val="1108"/>
    <w:uiPriority w:val="1"/>
    <w:qFormat/>
    <w:rPr>
      <w:sz w:val="22"/>
    </w:rPr>
  </w:style>
  <w:style w:type="character" w:styleId="1110" w:customStyle="1">
    <w:name w:val="ask-title"/>
    <w:basedOn w:val="1031"/>
    <w:uiPriority w:val="0"/>
    <w:qFormat/>
  </w:style>
  <w:style w:type="paragraph" w:styleId="1111" w:customStyle="1">
    <w:name w:val="hidinshow"/>
    <w:basedOn w:val="1025"/>
    <w:uiPriority w:val="0"/>
    <w:qFormat/>
    <w:pPr>
      <w:jc w:val="left"/>
      <w:spacing w:before="100" w:beforeAutospacing="1" w:after="100" w:afterAutospacing="1"/>
      <w:widowControl/>
    </w:pPr>
    <w:rPr>
      <w:rFonts w:ascii="宋体" w:hAnsi="宋体" w:eastAsia="宋体" w:cs="宋体"/>
      <w:sz w:val="24"/>
      <w:szCs w:val="24"/>
    </w:rPr>
  </w:style>
  <w:style w:type="paragraph" w:styleId="1112" w:customStyle="1">
    <w:name w:val="纯文本2"/>
    <w:basedOn w:val="1025"/>
    <w:uiPriority w:val="0"/>
    <w:qFormat/>
    <w:rPr>
      <w:rFonts w:ascii="宋体" w:hAnsi="Courier New"/>
    </w:rPr>
  </w:style>
  <w:style w:type="paragraph" w:styleId="1113" w:customStyle="1">
    <w:name w:val="Plain Text1"/>
    <w:basedOn w:val="1025"/>
    <w:uiPriority w:val="0"/>
    <w:qFormat/>
    <w:rPr>
      <w:rFonts w:hint="eastAsia" w:ascii="宋体" w:hAnsi="Courier New"/>
      <w:sz w:val="28"/>
    </w:rPr>
  </w:style>
  <w:style w:type="table" w:styleId="1114" w:customStyle="1">
    <w:name w:val="网格型1"/>
    <w:basedOn w:val="1032"/>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15" w:customStyle="1">
    <w:name w:val="*正文"/>
    <w:basedOn w:val="1025"/>
    <w:uiPriority w:val="0"/>
    <w:qFormat/>
    <w:pPr>
      <w:ind w:firstLine="200"/>
      <w:spacing w:line="360" w:lineRule="auto"/>
      <w:widowControl/>
    </w:pPr>
    <w:rPr>
      <w:rFonts w:ascii="仿宋_GB2312" w:hAnsi="Calibri" w:eastAsia="仿宋_GB2312"/>
      <w:sz w:val="24"/>
      <w:szCs w:val="28"/>
    </w:rPr>
  </w:style>
  <w:style w:type="paragraph" w:styleId="1116" w:customStyle="1">
    <w:name w:val="p25"/>
    <w:basedOn w:val="1025"/>
    <w:uiPriority w:val="0"/>
    <w:qFormat/>
    <w:rPr>
      <w:rFonts w:ascii="黑体" w:hAnsi="黑体" w:eastAsia="宋体" w:cs="黑体"/>
      <w:sz w:val="21"/>
      <w:szCs w:val="26"/>
    </w:rPr>
  </w:style>
  <w:style w:type="paragraph" w:styleId="1117" w:customStyle="1">
    <w:name w:val="纯文本11"/>
    <w:basedOn w:val="1025"/>
    <w:uiPriority w:val="0"/>
    <w:qFormat/>
    <w:rPr>
      <w:rFonts w:ascii="宋体" w:hAnsi="Courier New"/>
      <w:sz w:val="28"/>
    </w:rPr>
  </w:style>
  <w:style w:type="paragraph" w:styleId="1118" w:customStyle="1">
    <w:name w:val="修订11"/>
    <w:hidden/>
    <w:uiPriority w:val="99"/>
    <w:semiHidden/>
    <w:qFormat/>
    <w:rPr>
      <w:rFonts w:ascii="Times New Roman" w:hAnsi="Times New Roman" w:eastAsia="楷体_GB2312" w:cs="Times New Roman"/>
      <w:sz w:val="26"/>
      <w:lang w:val="en-US" w:eastAsia="zh-CN" w:bidi="ar-SA"/>
    </w:rPr>
  </w:style>
  <w:style w:type="paragraph" w:styleId="1119"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120" w:customStyle="1">
    <w:name w:val="格式３"/>
    <w:basedOn w:val="1025"/>
    <w:uiPriority w:val="0"/>
    <w:qFormat/>
    <w:pPr>
      <w:ind w:left="600" w:hanging="600"/>
      <w:spacing w:line="420" w:lineRule="exact"/>
    </w:pPr>
    <w:rPr>
      <w:rFonts w:ascii="宋体" w:hAnsi="宋体" w:eastAsia="宋体"/>
      <w:color w:val="000000"/>
      <w:sz w:val="24"/>
    </w:rPr>
  </w:style>
  <w:style w:type="character" w:styleId="1121" w:customStyle="1">
    <w:name w:val="font71"/>
    <w:basedOn w:val="1031"/>
    <w:uiPriority w:val="0"/>
    <w:qFormat/>
    <w:rPr>
      <w:rFonts w:hint="eastAsia" w:ascii="宋体" w:hAnsi="宋体" w:eastAsia="宋体" w:cs="宋体"/>
      <w:color w:val="000000"/>
      <w:sz w:val="21"/>
      <w:szCs w:val="21"/>
      <w:u w:val="none"/>
    </w:rPr>
  </w:style>
  <w:style w:type="character" w:styleId="1122" w:customStyle="1">
    <w:name w:val="font61"/>
    <w:basedOn w:val="1031"/>
    <w:uiPriority w:val="0"/>
    <w:qFormat/>
    <w:rPr>
      <w:rFonts w:hint="eastAsia" w:ascii="宋体" w:hAnsi="宋体" w:eastAsia="宋体" w:cs="宋体"/>
      <w:color w:val="ff0000"/>
      <w:sz w:val="21"/>
      <w:szCs w:val="21"/>
      <w:u w:val="none"/>
    </w:rPr>
  </w:style>
  <w:style w:type="character" w:styleId="1123" w:customStyle="1">
    <w:name w:val="font41"/>
    <w:basedOn w:val="1031"/>
    <w:uiPriority w:val="0"/>
    <w:qFormat/>
    <w:rPr>
      <w:rFonts w:hint="eastAsia" w:ascii="宋体" w:hAnsi="宋体" w:eastAsia="宋体" w:cs="宋体"/>
      <w:color w:val="000000"/>
      <w:sz w:val="21"/>
      <w:szCs w:val="21"/>
      <w:u w:val="none"/>
    </w:rPr>
  </w:style>
  <w:style w:type="character" w:styleId="1124" w:customStyle="1">
    <w:name w:val="font101"/>
    <w:basedOn w:val="1031"/>
    <w:uiPriority w:val="0"/>
    <w:qFormat/>
    <w:rPr>
      <w:rFonts w:ascii="微软雅黑" w:hAnsi="微软雅黑" w:eastAsia="微软雅黑" w:cs="微软雅黑"/>
      <w:color w:val="000000"/>
      <w:sz w:val="22"/>
      <w:szCs w:val="22"/>
      <w:u w:val="none"/>
    </w:rPr>
  </w:style>
  <w:style w:type="character" w:styleId="1125" w:customStyle="1">
    <w:name w:val="font81"/>
    <w:basedOn w:val="1031"/>
    <w:uiPriority w:val="0"/>
    <w:qFormat/>
    <w:rPr>
      <w:rFonts w:hint="eastAsia" w:ascii="宋体" w:hAnsi="宋体" w:eastAsia="宋体" w:cs="宋体"/>
      <w:color w:val="ff0000"/>
      <w:sz w:val="21"/>
      <w:szCs w:val="21"/>
      <w:u w:val="none"/>
    </w:rPr>
  </w:style>
  <w:style w:type="character" w:styleId="1126" w:customStyle="1">
    <w:name w:val="font111"/>
    <w:basedOn w:val="1031"/>
    <w:uiPriority w:val="0"/>
    <w:qFormat/>
    <w:rPr>
      <w:rFonts w:hint="eastAsia" w:ascii="微软雅黑" w:hAnsi="微软雅黑" w:eastAsia="微软雅黑" w:cs="微软雅黑"/>
      <w:color w:val="ff0000"/>
      <w:sz w:val="22"/>
      <w:szCs w:val="22"/>
      <w:u w:val="none"/>
    </w:rPr>
  </w:style>
  <w:style w:type="character" w:styleId="1127" w:customStyle="1">
    <w:name w:val="font122"/>
    <w:basedOn w:val="1031"/>
    <w:uiPriority w:val="0"/>
    <w:qFormat/>
    <w:rPr>
      <w:rFonts w:hint="eastAsia" w:ascii="宋体" w:hAnsi="宋体" w:eastAsia="宋体" w:cs="宋体"/>
      <w:color w:val="000000"/>
      <w:sz w:val="18"/>
      <w:szCs w:val="18"/>
      <w:u w:val="none"/>
    </w:rPr>
  </w:style>
  <w:style w:type="paragraph" w:styleId="1128" w:customStyle="1">
    <w:name w:val="[基本段落]"/>
    <w:basedOn w:val="1025"/>
    <w:uiPriority w:val="99"/>
    <w:qFormat/>
    <w:pPr>
      <w:spacing w:line="288" w:lineRule="auto"/>
    </w:pPr>
    <w:rPr>
      <w:rFonts w:ascii="Adobe 宋体 Std L" w:eastAsia="Adobe 宋体 Std L" w:cs="Adobe 宋体 Std L" w:hAnsiTheme="minorHAnsi"/>
      <w:color w:val="000000"/>
      <w:sz w:val="24"/>
      <w:szCs w:val="24"/>
      <w:lang w:val="zh-CN"/>
    </w:rPr>
  </w:style>
  <w:style w:type="paragraph" w:styleId="1129" w:customStyle="1">
    <w:name w:val="列表段落1"/>
    <w:basedOn w:val="1025"/>
    <w:uiPriority w:val="34"/>
    <w:qFormat/>
    <w:pPr>
      <w:ind w:firstLine="420"/>
    </w:pPr>
  </w:style>
  <w:style w:type="paragraph" w:styleId="1130" w:customStyle="1">
    <w:name w:val="列出段落1"/>
    <w:basedOn w:val="1025"/>
    <w:uiPriority w:val="34"/>
    <w:qFormat/>
    <w:pPr>
      <w:ind w:firstLine="420"/>
    </w:pPr>
    <w:rPr>
      <w:rFonts w:ascii="Calibri" w:hAnsi="Calibri" w:eastAsia="宋体"/>
      <w:sz w:val="21"/>
      <w:szCs w:val="22"/>
    </w:rPr>
  </w:style>
  <w:style w:type="paragraph" w:styleId="1131" w:customStyle="1">
    <w:name w:val="_正文段落"/>
    <w:basedOn w:val="1025"/>
    <w:uiPriority w:val="0"/>
    <w:qFormat/>
    <w:pPr>
      <w:ind w:firstLine="480"/>
      <w:spacing w:line="360" w:lineRule="auto"/>
    </w:pPr>
    <w:rPr>
      <w:rFonts w:ascii="宋体" w:hAnsi="宋体" w:eastAsia="宋体"/>
      <w:sz w:val="24"/>
      <w:szCs w:val="24"/>
    </w:rPr>
  </w:style>
  <w:style w:type="paragraph" w:styleId="1132" w:customStyle="1">
    <w:name w:val="纯文本3"/>
    <w:basedOn w:val="1025"/>
    <w:uiPriority w:val="0"/>
    <w:qFormat/>
    <w:rPr>
      <w:rFonts w:ascii="宋体" w:hAnsi="Courier New"/>
    </w:rPr>
  </w:style>
  <w:style w:type="character" w:styleId="1133" w:customStyle="1">
    <w:name w:val="NormalCharacter"/>
    <w:uiPriority w:val="0"/>
    <w:qFormat/>
  </w:style>
  <w:style w:type="table" w:styleId="1134" w:customStyle="1">
    <w:name w:val="Table Normal"/>
    <w:uiPriority w:val="0"/>
    <w:semiHidden/>
    <w:unhideWhenUsed/>
    <w:qFormat/>
    <w:tblPr>
      <w:tblCellMar>
        <w:left w:w="0" w:type="dxa"/>
        <w:top w:w="0" w:type="dxa"/>
        <w:right w:w="0" w:type="dxa"/>
        <w:bottom w:w="0" w:type="dxa"/>
      </w:tblCellMar>
    </w:tblPr>
  </w:style>
  <w:style w:type="paragraph" w:styleId="1135" w:customStyle="1">
    <w:name w:val="Table Text"/>
    <w:basedOn w:val="1025"/>
    <w:uiPriority w:val="0"/>
    <w:semiHidden/>
    <w:qFormat/>
    <w:rPr>
      <w:rFonts w:ascii="宋体" w:hAnsi="宋体" w:eastAsia="宋体" w:cs="宋体"/>
      <w:sz w:val="24"/>
      <w:szCs w:val="24"/>
      <w:lang w:eastAsia="en-US"/>
    </w:rPr>
  </w:style>
  <w:style w:type="character" w:styleId="1136" w:customStyle="1">
    <w:name w:val="font01"/>
    <w:basedOn w:val="1031"/>
    <w:uiPriority w:val="0"/>
    <w:qFormat/>
    <w:rPr>
      <w:rFonts w:hint="eastAsia" w:ascii="宋体" w:hAnsi="宋体" w:eastAsia="宋体" w:cs="宋体"/>
      <w:color w:val="000000"/>
      <w:sz w:val="22"/>
      <w:szCs w:val="22"/>
      <w:u w:val="none"/>
    </w:rPr>
  </w:style>
  <w:style w:type="character" w:styleId="1137" w:customStyle="1">
    <w:name w:val="font91"/>
    <w:basedOn w:val="1031"/>
    <w:uiPriority w:val="0"/>
    <w:qFormat/>
    <w:rPr>
      <w:rFonts w:hint="eastAsia" w:ascii="宋体" w:hAnsi="宋体" w:eastAsia="宋体" w:cs="宋体"/>
      <w:color w:val="000000"/>
      <w:sz w:val="22"/>
      <w:szCs w:val="22"/>
      <w:u w:val="none"/>
      <w:vertAlign w:val="superscript"/>
    </w:rPr>
  </w:style>
  <w:style w:type="character" w:styleId="1138" w:customStyle="1">
    <w:name w:val="font11"/>
    <w:basedOn w:val="1031"/>
    <w:uiPriority w:val="0"/>
    <w:qFormat/>
    <w:rPr>
      <w:rFonts w:hint="eastAsia" w:ascii="宋体" w:hAnsi="宋体" w:eastAsia="宋体" w:cs="宋体"/>
      <w:color w:val="000000"/>
      <w:sz w:val="20"/>
      <w:szCs w:val="20"/>
      <w:u w:val="none"/>
    </w:rPr>
  </w:style>
  <w:style w:type="paragraph" w:styleId="1139" w:customStyle="1">
    <w:name w:val="纯文本4"/>
    <w:basedOn w:val="1025"/>
    <w:uiPriority w:val="0"/>
    <w:qFormat/>
    <w:rPr>
      <w:rFonts w:ascii="宋体" w:hAnsi="Courier New"/>
    </w:rPr>
  </w:style>
  <w:style w:type="paragraph" w:styleId="1140" w:customStyle="1">
    <w:name w:val="标题 11"/>
    <w:next w:val="1141"/>
    <w:uiPriority w:val="0"/>
    <w:qFormat/>
    <w:pPr>
      <w:jc w:val="both"/>
      <w:keepLines/>
      <w:keepNext/>
      <w:spacing w:before="340" w:after="330" w:line="578" w:lineRule="auto"/>
      <w:widowControl w:val="off"/>
      <w:outlineLvl w:val="0"/>
    </w:pPr>
    <w:rPr>
      <w:rFonts w:ascii="Arial Unicode MS" w:hAnsi="Arial Unicode MS" w:eastAsia="Arial Unicode MS" w:cs="Arial Unicode MS"/>
      <w:color w:val="000000"/>
      <w:sz w:val="44"/>
      <w:szCs w:val="44"/>
      <w:lang w:val="en-US" w:eastAsia="zh-CN" w:bidi="ar-SA"/>
    </w:rPr>
  </w:style>
  <w:style w:type="paragraph" w:styleId="1141" w:customStyle="1">
    <w:name w:val="正文 A"/>
    <w:uiPriority w:val="0"/>
    <w:qFormat/>
    <w:pPr>
      <w:jc w:val="both"/>
      <w:widowControl w:val="off"/>
      <w:framePr w:wrap="around" w:vAnchor="margin" w:hAnchor="text" w:yAlign="top"/>
    </w:pPr>
    <w:rPr>
      <w:rFonts w:ascii="Calibri" w:hAnsi="Calibri" w:eastAsia="Calibri" w:cs="Calibri"/>
      <w:color w:val="000000"/>
      <w:sz w:val="21"/>
      <w:szCs w:val="21"/>
      <w:lang w:val="en-US" w:eastAsia="zh-CN" w:bidi="ar-SA"/>
    </w:rPr>
  </w:style>
  <w:style w:type="paragraph" w:styleId="1142" w:customStyle="1">
    <w:name w:val="纯文本41"/>
    <w:basedOn w:val="1025"/>
    <w:uiPriority w:val="0"/>
    <w:qFormat/>
    <w:rPr>
      <w:rFonts w:ascii="宋体" w:hAnsi="Courier New"/>
      <w:sz w:val="28"/>
    </w:rPr>
  </w:style>
  <w:style w:type="numbering" w:styleId="11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hyperlink" Target="http://www.szweikang.xn--com-6y3ba7cbgc4097e4kax19cqoerohxod7w1bva254sga6035lg4sc/"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51" textRotate="1"/>
    <customShpInfo spid="_x0000_s2052" textRotate="1"/>
    <customShpInfo spid="_x0000_s2049"/>
    <customShpInfo spid="_x0000_s2053" textRotate="1"/>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顾苏芯</cp:lastModifiedBy>
  <cp:revision>473</cp:revision>
  <dcterms:created xsi:type="dcterms:W3CDTF">2022-06-20T04:01:00Z</dcterms:created>
  <dcterms:modified xsi:type="dcterms:W3CDTF">2026-04-28T03:58:38Z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70A5FCA2F24E450CB53662234DA4CD2C_13</vt:lpwstr>
  </property>
  <property fmtid="{D5CDD505-2E9C-101B-9397-08002B2CF9AE}" pid="4" name="KSOTemplateDocerSaveRecord">
    <vt:lpwstr>eyJoZGlkIjoiZTljYzUxZDIxMjIyOTQ5MTdiMjczMzEzYTBjYzFjZGEiLCJ1c2VySWQiOiIyOTQ1NzYwNTUifQ==</vt:lpwstr>
  </property>
</Properties>
</file>