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color w:val="auto"/>
          <w:sz w:val="24"/>
          <w:szCs w:val="18"/>
          <w:highlight w:val="none"/>
        </w:rPr>
      </w:pPr>
      <w:r/>
      <w:bookmarkStart w:id="133" w:name="_GoBack"/>
      <w:r>
        <w:rPr>
          <w:rFonts w:hint="eastAsia" w:ascii="宋体" w:hAnsi="宋体" w:eastAsia="宋体" w:cs="宋体"/>
          <w:b/>
          <w:color w:val="auto"/>
          <w:sz w:val="24"/>
          <w:szCs w:val="18"/>
          <w:highlight w:val="none"/>
          <w:lang w:eastAsia="zh-CN"/>
        </w:rPr>
        <w:t xml:space="preserve">项目编号：</w:t>
      </w:r>
      <w:r>
        <w:rPr>
          <w:rFonts w:hint="eastAsia" w:ascii="宋体" w:hAnsi="宋体" w:cs="宋体"/>
          <w:b/>
          <w:color w:val="auto"/>
          <w:sz w:val="24"/>
          <w:szCs w:val="18"/>
          <w:highlight w:val="none"/>
          <w:lang w:eastAsia="zh-CN"/>
        </w:rPr>
        <w:t xml:space="preserve">JSZC-320000-JSWD-C2026-0016</w:t>
      </w:r>
      <w:r/>
    </w:p>
    <w:p>
      <w:pPr>
        <w:ind w:firstLine="3614"/>
        <w:jc w:val="left"/>
        <w:spacing w:before="120" w:after="120" w:line="360" w:lineRule="auto"/>
        <w:tabs>
          <w:tab w:val="left" w:pos="5766" w:leader="none"/>
          <w:tab w:val="left" w:pos="6344" w:leader="none"/>
        </w:tabs>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cs="宋体"/>
          <w:b/>
          <w:color w:val="auto"/>
          <w:sz w:val="36"/>
          <w:highlight w:val="none"/>
          <w:lang w:eastAsia="zh-CN"/>
        </w:rPr>
        <w:t xml:space="preserve">扬州大学兽医学科生命科学大楼各团队实验室改造工程</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7960" cy="3733165"/>
                <wp:effectExtent l="0" t="0" r="5080" b="635"/>
                <wp:docPr id="8"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41f51d74f3b3cf4a4c9ebd768e2f8ce"/>
                        <pic:cNvPicPr>
                          <a:picLocks noChangeAspect="1"/>
                        </pic:cNvPicPr>
                        <pic:nvPr/>
                      </pic:nvPicPr>
                      <pic:blipFill>
                        <a:blip r:embed="rId22"/>
                        <a:stretch/>
                      </pic:blipFill>
                      <pic:spPr bwMode="auto">
                        <a:xfrm>
                          <a:off x="0" y="0"/>
                          <a:ext cx="526796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3.9pt;mso-wrap-distance-left:0.0pt;mso-wrap-distance-top:0.0pt;mso-wrap-distance-right:0.0pt;mso-wrap-distance-bottom:0.0pt;" stroked="f">
                <v:path textboxrect="0,0,0,0"/>
                <v:imagedata r:id="rId22" o:title=""/>
              </v:shape>
            </w:pict>
          </mc:Fallback>
        </mc:AlternateConten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shd w:val="clear" w:color="auto" w:fill="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江苏万达工程造价事务所有限公司</w:t>
      </w:r>
      <w:r/>
    </w:p>
    <w:p>
      <w:pPr>
        <w:jc w:val="center"/>
        <w:spacing w:line="360" w:lineRule="auto"/>
        <w:shd w:val="clear" w:color="auto" w:fill="auto"/>
        <w:rPr>
          <w:rFonts w:hint="eastAsia" w:ascii="宋体" w:hAnsi="宋体" w:eastAsia="宋体" w:cs="宋体"/>
          <w:b/>
          <w:bCs/>
          <w:color w:val="auto"/>
          <w:sz w:val="32"/>
          <w:szCs w:val="32"/>
          <w:highlight w:val="none"/>
        </w:rPr>
      </w:pPr>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18</w:t>
      </w:r>
      <w:r>
        <w:rPr>
          <w:rFonts w:hint="eastAsia" w:ascii="宋体" w:hAnsi="宋体" w:eastAsia="宋体" w:cs="宋体"/>
          <w:b/>
          <w:bCs/>
          <w:color w:val="auto"/>
          <w:sz w:val="32"/>
          <w:szCs w:val="32"/>
          <w:highlight w:val="none"/>
        </w:rPr>
        <w:t xml:space="preserve">日</w:t>
      </w:r>
      <w:bookmarkEnd w:id="0"/>
      <w:r/>
      <w:r/>
    </w:p>
    <w:p>
      <w:pPr>
        <w:jc w:val="center"/>
        <w:spacing w:line="480" w:lineRule="auto"/>
        <w:rPr>
          <w:rFonts w:hint="eastAsia" w:ascii="宋体" w:hAnsi="宋体" w:eastAsia="宋体" w:cs="宋体"/>
          <w:b/>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479757206"/>
      <w:r/>
      <w:bookmarkStart w:id="3" w:name="_Toc20823272"/>
      <w:r/>
      <w:bookmarkStart w:id="4" w:name="_Toc513029200"/>
      <w:r/>
      <w:bookmarkStart w:id="5" w:name="_Toc16938516"/>
      <w:r/>
      <w:bookmarkStart w:id="6" w:name="_Toc523127445"/>
      <w:r/>
      <w:r/>
    </w:p>
    <w:p>
      <w:pPr>
        <w:pStyle w:val="1231"/>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录</w:t>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"_Toc165197237"</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第一章  </w:t>
      </w:r>
      <w:r>
        <w:rPr>
          <w:rStyle w:val="1234"/>
          <w:rFonts w:hint="eastAsia" w:ascii="宋体" w:hAnsi="宋体" w:eastAsia="宋体" w:cs="宋体"/>
          <w:color w:val="auto"/>
          <w:sz w:val="24"/>
          <w:szCs w:val="24"/>
          <w:highlight w:val="none"/>
          <w:u w:val="none"/>
          <w:lang w:eastAsia="zh-CN"/>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"_Toc165197238"</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第二章  </w:t>
      </w:r>
      <w:r>
        <w:rPr>
          <w:rStyle w:val="1234"/>
          <w:rFonts w:hint="eastAsia" w:ascii="宋体" w:hAnsi="宋体" w:eastAsia="宋体" w:cs="宋体"/>
          <w:color w:val="auto"/>
          <w:sz w:val="24"/>
          <w:szCs w:val="24"/>
          <w:highlight w:val="none"/>
          <w:u w:val="none"/>
          <w:lang w:val="en-US" w:eastAsia="zh-CN"/>
        </w:rPr>
        <w:t xml:space="preserve">磋商</w:t>
      </w:r>
      <w:r>
        <w:rPr>
          <w:rStyle w:val="1234"/>
          <w:rFonts w:hint="eastAsia" w:ascii="宋体" w:hAnsi="宋体" w:eastAsia="宋体" w:cs="宋体"/>
          <w:color w:val="auto"/>
          <w:sz w:val="24"/>
          <w:szCs w:val="24"/>
          <w:highlight w:val="none"/>
          <w:u w:val="none"/>
        </w:rPr>
        <w:t xml:space="preserve">须知</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"_Toc165197239"</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u w:val="none"/>
        </w:rPr>
        <w:t xml:space="preserve">合同</w:t>
      </w:r>
      <w:r>
        <w:rPr>
          <w:rFonts w:hint="eastAsia" w:cs="宋体"/>
          <w:color w:val="auto"/>
          <w:sz w:val="24"/>
          <w:szCs w:val="24"/>
          <w:highlight w:val="none"/>
          <w:u w:val="none"/>
          <w:lang w:val="en-US" w:eastAsia="zh-CN"/>
        </w:rPr>
        <w:t xml:space="preserve">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"_Toc165197240"</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第四章 </w:t>
      </w:r>
      <w:r>
        <w:rPr>
          <w:rStyle w:val="1234"/>
          <w:rFonts w:hint="eastAsia" w:ascii="宋体" w:hAnsi="宋体" w:eastAsia="宋体" w:cs="宋体"/>
          <w:color w:val="auto"/>
          <w:sz w:val="24"/>
          <w:szCs w:val="24"/>
          <w:highlight w:val="none"/>
          <w:lang w:val="en-US" w:eastAsia="zh-CN"/>
        </w:rPr>
        <w:t xml:space="preserve"> </w:t>
      </w:r>
      <w:r>
        <w:rPr>
          <w:rStyle w:val="1234"/>
          <w:rFonts w:hint="eastAsia" w:ascii="宋体" w:hAnsi="宋体" w:eastAsia="宋体" w:cs="宋体"/>
          <w:color w:val="auto"/>
          <w:sz w:val="24"/>
          <w:szCs w:val="24"/>
          <w:highlight w:val="none"/>
          <w:u w:val="none"/>
          <w:lang w:val="en-US" w:eastAsia="zh-CN"/>
        </w:rPr>
        <w:t xml:space="preserve">采购</w:t>
      </w:r>
      <w:r>
        <w:rPr>
          <w:rStyle w:val="1234"/>
          <w:rFonts w:hint="eastAsia" w:ascii="宋体" w:hAnsi="宋体" w:eastAsia="宋体" w:cs="宋体"/>
          <w:color w:val="auto"/>
          <w:sz w:val="24"/>
          <w:szCs w:val="24"/>
          <w:highlight w:val="none"/>
          <w:u w:val="none"/>
        </w:rPr>
        <w:t xml:space="preserve">需求</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6</w:t>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"_Toc165197241"</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第五章  评审方法与评审标准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_Toc165197241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"_Toc165197242"</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u w:val="none"/>
        </w:rPr>
        <w:t xml:space="preserve">竞争性磋商响应文件格式</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fldChar w:fldCharType="end"/>
      </w:r>
      <w:r/>
    </w:p>
    <w:p>
      <w:pPr>
        <w:jc w:val="center"/>
        <w:keepNext/>
        <w:rPr>
          <w:rFonts w:hint="eastAsia" w:ascii="宋体" w:hAnsi="宋体" w:eastAsia="宋体" w:cs="宋体"/>
          <w:color w:val="auto"/>
          <w:sz w:val="44"/>
          <w:szCs w:val="44"/>
          <w:highlight w:val="none"/>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keepNext/>
        <w:rPr>
          <w:rFonts w:hint="eastAsia" w:ascii="宋体" w:hAnsi="宋体" w:cs="宋体"/>
          <w:color w:val="auto"/>
          <w:sz w:val="44"/>
          <w:szCs w:val="44"/>
          <w:highlight w:val="none"/>
          <w:lang w:eastAsia="zh-CN"/>
        </w:rPr>
        <w:outlineLvl w:val="0"/>
      </w:pPr>
      <w:r/>
      <w:bookmarkStart w:id="7" w:name="_Toc165197237"/>
      <w:r>
        <w:rPr>
          <w:rFonts w:hint="eastAsia" w:ascii="宋体" w:hAnsi="宋体" w:eastAsia="宋体" w:cs="宋体"/>
          <w:color w:val="auto"/>
          <w:sz w:val="44"/>
          <w:szCs w:val="44"/>
          <w:highlight w:val="none"/>
        </w:rPr>
        <w:t xml:space="preserve">第一章  </w:t>
      </w:r>
      <w:bookmarkEnd w:id="1"/>
      <w:r/>
      <w:bookmarkEnd w:id="7"/>
      <w:r>
        <w:rPr>
          <w:rFonts w:hint="eastAsia" w:ascii="宋体" w:hAnsi="宋体" w:cs="宋体"/>
          <w:color w:val="auto"/>
          <w:sz w:val="44"/>
          <w:szCs w:val="44"/>
          <w:highlight w:val="none"/>
          <w:lang w:eastAsia="zh-CN"/>
        </w:rPr>
        <w:t xml:space="preserve">扬州大学兽医学科生命科学大楼各团队实验室改造工程</w:t>
      </w:r>
      <w:r/>
    </w:p>
    <w:p>
      <w:pPr>
        <w:jc w:val="center"/>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lang w:val="en-US" w:eastAsia="zh-CN"/>
        </w:rPr>
        <w:t xml:space="preserve">竞争性磋商公告</w:t>
      </w:r>
      <w:r>
        <w:rPr>
          <w:rFonts w:hint="eastAsia" w:ascii="宋体" w:hAnsi="宋体" w:eastAsia="宋体" w:cs="宋体"/>
          <w:color w:val="auto"/>
          <w:sz w:val="44"/>
          <w:szCs w:val="44"/>
          <w:highlight w:val="none"/>
          <w:lang w:val="en-US" w:eastAsia="zh-CN"/>
        </w:rPr>
        <w:br/>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扬州大学兽医学科生命科学大楼各团队实验室改造工程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 xml:space="preserve">JSZC-320000-JSWD-C2026-0016</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采购项目的潜在供应商应在</w:t>
      </w:r>
      <w:r>
        <w:rPr>
          <w:rFonts w:hint="eastAsia" w:ascii="宋体" w:hAnsi="宋体" w:cs="宋体"/>
          <w:bCs/>
          <w:color w:val="auto"/>
          <w:sz w:val="21"/>
          <w:szCs w:val="21"/>
          <w:highlight w:val="none"/>
          <w:u w:val="single"/>
          <w:lang w:eastAsia="zh-CN"/>
        </w:rPr>
        <w:t xml:space="preserve">“江苏政府采购网”</w:t>
      </w: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val="en-US" w:eastAsia="zh-CN"/>
        </w:rPr>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09：30</w:t>
      </w:r>
      <w:r>
        <w:rPr>
          <w:rFonts w:hint="eastAsia" w:ascii="宋体" w:hAnsi="宋体" w:eastAsia="宋体" w:cs="宋体"/>
          <w:bCs/>
          <w:color w:val="auto"/>
          <w:sz w:val="21"/>
          <w:szCs w:val="21"/>
          <w:highlight w:val="none"/>
        </w:rPr>
        <w:t xml:space="preserve">（北京时间）前提交响应文件。</w:t>
      </w:r>
      <w:bookmarkStart w:id="9" w:name="_Toc38985263"/>
      <w:r/>
      <w:bookmarkStart w:id="10" w:name="_Toc28359002"/>
      <w:r/>
      <w:bookmarkStart w:id="11" w:name="_Toc28359079"/>
      <w:r/>
      <w:bookmarkStart w:id="12" w:name="_Toc35393621"/>
      <w:r/>
      <w:bookmarkStart w:id="13" w:name="_Toc35393790"/>
      <w:r/>
      <w:bookmarkStart w:id="14" w:name="_Hlk24379207"/>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JSZC-320000-JSWD-C2026-0016</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扬州大学兽医学科生命科学大楼各团队实验室改造工程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200.4</w:t>
      </w:r>
      <w:r>
        <w:rPr>
          <w:rFonts w:hint="eastAsia" w:ascii="宋体" w:hAnsi="宋体" w:cs="宋体"/>
          <w:color w:val="auto"/>
          <w:sz w:val="21"/>
          <w:szCs w:val="21"/>
          <w:highlight w:val="none"/>
          <w:lang w:eastAsia="zh-CN"/>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5.最高限价：本项目设置最高限价，最高限价为</w:t>
      </w:r>
      <w:r>
        <w:rPr>
          <w:rFonts w:hint="eastAsia" w:ascii="宋体" w:hAnsi="宋体" w:cs="宋体"/>
          <w:color w:val="auto"/>
          <w:sz w:val="21"/>
          <w:szCs w:val="21"/>
          <w:highlight w:val="none"/>
          <w:lang w:val="en-US" w:eastAsia="zh-CN"/>
        </w:rPr>
        <w:t xml:space="preserve">200.4万元</w:t>
      </w:r>
      <w:r>
        <w:rPr>
          <w:rFonts w:hint="eastAsia" w:ascii="宋体" w:hAnsi="宋体" w:eastAsia="宋体" w:cs="宋体"/>
          <w:color w:val="auto"/>
          <w:sz w:val="21"/>
          <w:szCs w:val="21"/>
          <w:highlight w:val="none"/>
          <w:lang w:eastAsia="zh-CN"/>
        </w:rPr>
        <w:t xml:space="preserve">（超过最高限价的报价为无效报价，按照无效响应处理）</w:t>
      </w:r>
      <w:r/>
    </w:p>
    <w:p>
      <w:pPr>
        <w:ind w:firstLine="420"/>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rPr>
        <w:t xml:space="preserve">6.采购需求：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扬州大学兽医学科生命科学大楼各团队实验室改造工程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包含但不限于本项目施工图纸及工程量清单范围内的所有施工内容。具体详见</w:t>
      </w:r>
      <w:r>
        <w:rPr>
          <w:rFonts w:hint="eastAsia" w:ascii="宋体" w:hAnsi="宋体" w:cs="宋体"/>
          <w:color w:val="auto"/>
          <w:szCs w:val="21"/>
          <w:highlight w:val="none"/>
          <w:lang w:val="en-US" w:eastAsia="zh-CN"/>
        </w:rPr>
        <w:t xml:space="preserve">磋商文件需求</w:t>
      </w:r>
      <w:r>
        <w:rPr>
          <w:rFonts w:hint="eastAsia" w:ascii="宋体" w:hAnsi="宋体" w:cs="宋体"/>
          <w:color w:val="auto"/>
          <w:szCs w:val="21"/>
          <w:highlight w:val="none"/>
        </w:rPr>
        <w:t xml:space="preserve">、图纸及工程量清单；</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7.合同履行期限：</w:t>
      </w:r>
      <w:bookmarkStart w:id="15" w:name="_Toc35393622"/>
      <w:r/>
      <w:bookmarkStart w:id="16" w:name="_Toc35393791"/>
      <w:r/>
      <w:bookmarkStart w:id="17" w:name="_Toc38985264"/>
      <w:r/>
      <w:bookmarkStart w:id="18" w:name="_Toc28359080"/>
      <w:r/>
      <w:bookmarkStart w:id="19" w:name="_Toc28359003"/>
      <w:r>
        <w:rPr>
          <w:rFonts w:hint="eastAsia" w:ascii="宋体" w:hAnsi="宋体" w:cs="宋体"/>
          <w:color w:val="auto"/>
          <w:sz w:val="21"/>
          <w:szCs w:val="21"/>
          <w:highlight w:val="none"/>
          <w:lang w:val="en-US" w:eastAsia="zh-CN" w:bidi="ar-SA"/>
        </w:rPr>
        <w:t xml:space="preserve">合同签订后100日历天内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eastAsia="宋体" w:cs="宋体"/>
          <w:color w:val="auto"/>
          <w:sz w:val="21"/>
          <w:szCs w:val="21"/>
          <w:highlight w:val="none"/>
        </w:rPr>
        <w:t xml:space="preserve">计划开工日期：2026年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日，计划竣工日期：2026年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23日</w:t>
      </w:r>
      <w:r>
        <w:rPr>
          <w:rFonts w:hint="eastAsia" w:ascii="宋体" w:hAnsi="宋体" w:eastAsia="宋体" w:cs="宋体"/>
          <w:color w:val="auto"/>
          <w:sz w:val="21"/>
          <w:szCs w:val="21"/>
          <w:highlight w:val="none"/>
        </w:rPr>
        <w:t xml:space="preserve">。（具体开工日期以甲方签发的书面开工通知为准）；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8.本项目（是/否）接受联合体：</w:t>
      </w:r>
      <w:r>
        <w:rPr>
          <w:rFonts w:hint="eastAsia" w:ascii="宋体" w:hAnsi="宋体" w:cs="宋体"/>
          <w:b/>
          <w:bCs/>
          <w:color w:val="auto"/>
          <w:sz w:val="21"/>
          <w:szCs w:val="21"/>
          <w:highlight w:val="none"/>
          <w:lang w:val="en-US" w:eastAsia="zh-CN"/>
        </w:rPr>
        <w:t xml:space="preserve">是</w:t>
      </w:r>
      <w:r/>
    </w:p>
    <w:p>
      <w:pPr>
        <w:ind w:left="0"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)若以联合体形式参加</w:t>
      </w:r>
      <w:r>
        <w:rPr>
          <w:rFonts w:hint="eastAsia" w:ascii="宋体" w:hAnsi="宋体" w:cs="宋体"/>
          <w:i w:val="0"/>
          <w:iCs w:val="0"/>
          <w:color w:val="auto"/>
          <w:sz w:val="21"/>
          <w:szCs w:val="21"/>
          <w:highlight w:val="none"/>
          <w:u w:val="none"/>
          <w:lang w:eastAsia="zh-CN"/>
        </w:rPr>
        <w:t xml:space="preserve">投标（响应）</w:t>
      </w:r>
      <w:r>
        <w:rPr>
          <w:rFonts w:hint="eastAsia" w:ascii="宋体" w:hAnsi="宋体" w:eastAsia="宋体" w:cs="宋体"/>
          <w:i w:val="0"/>
          <w:iCs w:val="0"/>
          <w:color w:val="auto"/>
          <w:sz w:val="21"/>
          <w:szCs w:val="21"/>
          <w:highlight w:val="none"/>
          <w:u w:val="none"/>
        </w:rPr>
        <w:t xml:space="preserve">的，参加联合体的供应商均应当具备《中华人民共和国政府采购法》第二十二条规定的条件，并应当向采购人提交联合协议，载明联合体各方承担的工作和义务。</w:t>
      </w:r>
      <w:r/>
    </w:p>
    <w:p>
      <w:pPr>
        <w:ind w:left="0"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rPr>
        <w:t xml:space="preserve">联合体各方必须指定一方作为联合体的牵头单位，授权其代表所有联合体成员负责</w:t>
      </w:r>
      <w:r>
        <w:rPr>
          <w:rFonts w:hint="eastAsia" w:ascii="宋体" w:hAnsi="宋体" w:cs="宋体"/>
          <w:i w:val="0"/>
          <w:iCs w:val="0"/>
          <w:color w:val="auto"/>
          <w:sz w:val="21"/>
          <w:szCs w:val="21"/>
          <w:highlight w:val="none"/>
          <w:u w:val="none"/>
          <w:lang w:eastAsia="zh-CN"/>
        </w:rPr>
        <w:t xml:space="preserve">投标（响应）</w:t>
      </w:r>
      <w:r>
        <w:rPr>
          <w:rFonts w:hint="eastAsia" w:ascii="宋体" w:hAnsi="宋体" w:eastAsia="宋体" w:cs="宋体"/>
          <w:i w:val="0"/>
          <w:iCs w:val="0"/>
          <w:color w:val="auto"/>
          <w:sz w:val="21"/>
          <w:szCs w:val="21"/>
          <w:highlight w:val="none"/>
          <w:u w:val="none"/>
        </w:rPr>
        <w:t xml:space="preserve">和合同实施阶段的主办、协调工作，并应当向采购人提交由所有联合体成员法定代表人签署的授权书</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aps w:val="0"/>
          <w:color w:val="060a26"/>
          <w:spacing w:val="0"/>
          <w:sz w:val="21"/>
          <w:szCs w:val="21"/>
          <w:highlight w:val="none"/>
          <w:shd w:val="clear" w:color="auto" w:fill="ffffff"/>
        </w:rPr>
        <w:t xml:space="preserve">拟派项目经理需由牵头</w:t>
      </w:r>
      <w:r>
        <w:rPr>
          <w:rFonts w:hint="eastAsia" w:ascii="宋体" w:hAnsi="宋体" w:eastAsia="宋体" w:cs="宋体"/>
          <w:i w:val="0"/>
          <w:iCs w:val="0"/>
          <w:caps w:val="0"/>
          <w:color w:val="060a26"/>
          <w:spacing w:val="0"/>
          <w:sz w:val="21"/>
          <w:szCs w:val="21"/>
          <w:highlight w:val="none"/>
          <w:shd w:val="clear" w:color="auto" w:fill="ffffff"/>
          <w:lang w:val="en-US" w:eastAsia="zh-CN"/>
        </w:rPr>
        <w:t xml:space="preserve">方</w:t>
      </w:r>
      <w:r>
        <w:rPr>
          <w:rFonts w:hint="eastAsia" w:ascii="宋体" w:hAnsi="宋体" w:eastAsia="宋体" w:cs="宋体"/>
          <w:i w:val="0"/>
          <w:iCs w:val="0"/>
          <w:caps w:val="0"/>
          <w:color w:val="060a26"/>
          <w:spacing w:val="0"/>
          <w:sz w:val="21"/>
          <w:szCs w:val="21"/>
          <w:highlight w:val="none"/>
          <w:shd w:val="clear" w:color="auto" w:fill="ffffff"/>
        </w:rPr>
        <w:t xml:space="preserve">派遣并为牵头方在职员工</w:t>
      </w:r>
      <w:r>
        <w:rPr>
          <w:rFonts w:hint="eastAsia" w:ascii="宋体" w:hAnsi="宋体" w:eastAsia="宋体" w:cs="宋体"/>
          <w:i w:val="0"/>
          <w:iCs w:val="0"/>
          <w:caps w:val="0"/>
          <w:color w:val="060a26"/>
          <w:spacing w:val="0"/>
          <w:sz w:val="21"/>
          <w:szCs w:val="21"/>
          <w:highlight w:val="none"/>
          <w:shd w:val="clear" w:color="auto" w:fill="ffffff"/>
          <w:lang w:eastAsia="zh-CN"/>
        </w:rPr>
        <w:t xml:space="preserve">。</w:t>
      </w:r>
      <w:r>
        <w:rPr>
          <w:rFonts w:hint="eastAsia" w:ascii="宋体" w:hAnsi="宋体" w:eastAsia="宋体" w:cs="宋体"/>
          <w:i w:val="0"/>
          <w:iCs w:val="0"/>
          <w:color w:val="auto"/>
          <w:sz w:val="21"/>
          <w:szCs w:val="21"/>
          <w:highlight w:val="none"/>
          <w:u w:val="none"/>
        </w:rPr>
        <w:t xml:space="preserve">联合体各成员与采购人之间的往来信函将通过牵头单位传递。</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rPr>
        <w:t xml:space="preserve">联合体各方应明确联合体主体单位，</w:t>
      </w:r>
      <w:r>
        <w:rPr>
          <w:rFonts w:hint="eastAsia" w:ascii="宋体" w:hAnsi="宋体" w:eastAsia="宋体" w:cs="宋体"/>
          <w:i w:val="0"/>
          <w:iCs w:val="0"/>
          <w:color w:val="auto"/>
          <w:sz w:val="21"/>
          <w:szCs w:val="21"/>
          <w:highlight w:val="none"/>
          <w:u w:val="none"/>
          <w:lang w:val="en-US" w:eastAsia="zh-CN"/>
        </w:rPr>
        <w:t xml:space="preserve">响应</w:t>
      </w:r>
      <w:r>
        <w:rPr>
          <w:rFonts w:hint="eastAsia" w:ascii="宋体" w:hAnsi="宋体" w:eastAsia="宋体" w:cs="宋体"/>
          <w:i w:val="0"/>
          <w:iCs w:val="0"/>
          <w:color w:val="auto"/>
          <w:sz w:val="21"/>
          <w:szCs w:val="21"/>
          <w:highlight w:val="none"/>
          <w:u w:val="none"/>
        </w:rPr>
        <w:t xml:space="preserve">文件内容可由联合体主体单位加盖单位公章，并由其法定代表人或授权代表签字。</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15"/>
      <w:r/>
      <w:bookmarkEnd w:id="16"/>
      <w:r/>
      <w:bookmarkEnd w:id="17"/>
      <w:r/>
      <w:bookmarkEnd w:id="18"/>
      <w:r/>
      <w:bookmarkEnd w:id="19"/>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bookmarkStart w:id="20" w:name="_Toc28359004"/>
      <w:r/>
      <w:bookmarkStart w:id="21" w:name="_Toc35393792"/>
      <w:r/>
      <w:bookmarkStart w:id="22" w:name="_Toc35393623"/>
      <w:r/>
      <w:bookmarkStart w:id="23" w:name="_Toc28359081"/>
      <w:r/>
      <w:bookmarkStart w:id="24" w:name="_Toc38985265"/>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一</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满足《中华人民共和国政府采购法》第二十二条规定：</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2024年度或2025年度</w:t>
      </w:r>
      <w:r>
        <w:rPr>
          <w:rFonts w:hint="eastAsia" w:ascii="宋体" w:hAnsi="宋体" w:eastAsia="宋体" w:cs="宋体"/>
          <w:i/>
          <w:iCs/>
          <w:color w:val="auto"/>
          <w:sz w:val="21"/>
          <w:szCs w:val="21"/>
          <w:highlight w:val="none"/>
          <w:u w:val="single"/>
        </w:rPr>
        <w:t xml:space="preserve">的财务报告情况（成立不满一年不需提供）</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文件截止时间前一年内任意一个月依法缴纳税收及缴纳社会保障资金的证明材料。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在“信用中国”网站（www.creditchina.gov.cn）、“中国政府采购网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numPr>
          <w:ilvl w:val="0"/>
          <w:numId w:val="2"/>
        </w:numPr>
        <w:ind w:firstLine="210"/>
        <w:keepLines w:val="0"/>
        <w:keepNext w:val="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cs="宋体"/>
          <w:i/>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numPr>
          <w:ilvl w:val="0"/>
          <w:numId w:val="0"/>
        </w:numPr>
        <w:ind w:firstLine="420"/>
        <w:keepLines w:val="0"/>
        <w:keepNext w:val="0"/>
        <w:pageBreakBefore w:val="0"/>
        <w:spacing w:line="360" w:lineRule="auto"/>
        <w:rPr>
          <w:rFonts w:hint="eastAsia" w:ascii="宋体" w:hAnsi="宋体" w:eastAsia="宋体" w:cs="宋体"/>
          <w:i/>
          <w:color w:val="auto"/>
          <w:sz w:val="21"/>
          <w:szCs w:val="21"/>
          <w:highlight w:val="none"/>
          <w:lang w:val="en-US" w:eastAsia="zh-CN"/>
        </w:rPr>
      </w:pPr>
      <w:r>
        <w:rPr>
          <w:rFonts w:hint="eastAsia" w:ascii="宋体" w:hAnsi="宋体" w:eastAsia="宋体" w:cs="宋体"/>
          <w:i/>
          <w:color w:val="auto"/>
          <w:sz w:val="21"/>
          <w:szCs w:val="21"/>
          <w:highlight w:val="none"/>
          <w:u w:val="single"/>
        </w:rPr>
        <w:t xml:space="preserve">注：本项目中小企业划分标准参照《关于印发中小企业划型标准规定的通知》（工信部联企</w:t>
      </w:r>
      <w:r>
        <w:rPr>
          <w:rFonts w:hint="eastAsia" w:ascii="宋体" w:hAnsi="宋体" w:eastAsia="宋体" w:cs="宋体"/>
          <w:i/>
          <w:color w:val="auto"/>
          <w:sz w:val="21"/>
          <w:szCs w:val="21"/>
          <w:highlight w:val="none"/>
          <w:u w:val="single"/>
          <w:lang w:eastAsia="zh-CN"/>
        </w:rPr>
        <w:t xml:space="preserve">〔2011〕300号</w:t>
      </w:r>
      <w:r>
        <w:rPr>
          <w:rFonts w:hint="eastAsia" w:ascii="宋体" w:hAnsi="宋体" w:eastAsia="宋体" w:cs="宋体"/>
          <w:i/>
          <w:color w:val="auto"/>
          <w:sz w:val="21"/>
          <w:szCs w:val="21"/>
          <w:highlight w:val="none"/>
          <w:u w:val="single"/>
        </w:rPr>
        <w:t xml:space="preserve">）中（三）条：建筑业</w:t>
      </w:r>
      <w:r>
        <w:rPr>
          <w:rFonts w:hint="eastAsia" w:ascii="宋体" w:hAnsi="宋体" w:cs="宋体"/>
          <w:i/>
          <w:color w:val="auto"/>
          <w:sz w:val="21"/>
          <w:szCs w:val="21"/>
          <w:highlight w:val="none"/>
          <w:u w:val="single"/>
          <w:lang w:val="en-US" w:eastAsia="zh-CN"/>
        </w:rPr>
        <w:t xml:space="preserve">  </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（三）本项目的特定资格要求：</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1、供应商</w:t>
      </w:r>
      <w:r>
        <w:rPr>
          <w:rFonts w:hint="eastAsia" w:ascii="宋体" w:hAnsi="宋体" w:cs="宋体"/>
          <w:i/>
          <w:color w:val="auto"/>
          <w:szCs w:val="21"/>
          <w:highlight w:val="none"/>
          <w:u w:val="single"/>
        </w:rPr>
        <w:t xml:space="preserve">具有</w:t>
      </w:r>
      <w:r>
        <w:rPr>
          <w:rFonts w:hint="eastAsia" w:ascii="宋体" w:hAnsi="宋体" w:cs="宋体"/>
          <w:i/>
          <w:color w:val="auto"/>
          <w:szCs w:val="21"/>
          <w:highlight w:val="none"/>
          <w:u w:val="single"/>
          <w:lang w:val="en-US" w:eastAsia="zh-CN"/>
        </w:rPr>
        <w:t xml:space="preserve">有效期内</w:t>
      </w:r>
      <w:r>
        <w:rPr>
          <w:rFonts w:hint="eastAsia" w:ascii="宋体" w:hAnsi="宋体" w:cs="宋体"/>
          <w:i/>
          <w:color w:val="auto"/>
          <w:szCs w:val="21"/>
          <w:highlight w:val="none"/>
          <w:u w:val="single"/>
          <w:lang w:val="en-US" w:eastAsia="zh-CN"/>
        </w:rPr>
        <w:t xml:space="preserve">的</w:t>
      </w:r>
      <w:r>
        <w:rPr>
          <w:rFonts w:hint="eastAsia" w:ascii="宋体" w:hAnsi="宋体" w:eastAsia="宋体" w:cs="宋体"/>
          <w:i/>
          <w:iCs/>
          <w:sz w:val="21"/>
          <w:szCs w:val="21"/>
          <w:highlight w:val="none"/>
          <w:u w:val="single"/>
          <w:rtl w:val="0"/>
        </w:rPr>
        <w:t xml:space="preserve">建筑装饰装修专业承包二级及以上资质并且有消防设施工程专业承包二级及以上资质</w:t>
      </w:r>
      <w:r>
        <w:rPr>
          <w:rFonts w:hint="eastAsia" w:ascii="宋体" w:hAnsi="宋体" w:cs="宋体"/>
          <w:i/>
          <w:iCs/>
          <w:color w:val="auto"/>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default"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color w:val="auto"/>
          <w:szCs w:val="21"/>
          <w:highlight w:val="none"/>
          <w:u w:val="single"/>
        </w:rPr>
        <w:t xml:space="preserve">供应商具备安全生产条件，并取得有效期内的安全生产许可证</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、供应商拟派项目经理为</w:t>
      </w:r>
      <w:r>
        <w:rPr>
          <w:rFonts w:hint="eastAsia" w:ascii="宋体" w:hAnsi="宋体" w:cs="宋体"/>
          <w:i/>
          <w:iCs/>
          <w:color w:val="auto"/>
          <w:sz w:val="21"/>
          <w:szCs w:val="21"/>
          <w:highlight w:val="none"/>
          <w:u w:val="single"/>
          <w:lang w:val="en-US" w:eastAsia="zh-CN"/>
        </w:rPr>
        <w:t xml:space="preserve">牵头</w:t>
      </w:r>
      <w:r>
        <w:rPr>
          <w:rFonts w:hint="eastAsia" w:ascii="宋体" w:hAnsi="宋体" w:eastAsia="宋体" w:cs="宋体"/>
          <w:i/>
          <w:iCs/>
          <w:color w:val="auto"/>
          <w:sz w:val="21"/>
          <w:szCs w:val="21"/>
          <w:highlight w:val="none"/>
          <w:u w:val="single"/>
        </w:rPr>
        <w:t xml:space="preserve">公司正式员工，具备</w:t>
      </w:r>
      <w:r>
        <w:rPr>
          <w:rFonts w:hint="eastAsia" w:ascii="宋体" w:hAnsi="宋体" w:eastAsia="宋体" w:cs="宋体"/>
          <w:i/>
          <w:iCs/>
          <w:color w:val="auto"/>
          <w:sz w:val="21"/>
          <w:szCs w:val="21"/>
          <w:highlight w:val="none"/>
          <w:u w:val="single"/>
          <w:rtl w:val="0"/>
        </w:rPr>
        <w:t xml:space="preserve">建筑工程</w:t>
      </w:r>
      <w:r>
        <w:rPr>
          <w:rFonts w:hint="eastAsia" w:ascii="宋体" w:hAnsi="宋体" w:eastAsia="宋体" w:cs="宋体"/>
          <w:i/>
          <w:iCs/>
          <w:color w:val="auto"/>
          <w:sz w:val="21"/>
          <w:szCs w:val="21"/>
          <w:highlight w:val="none"/>
          <w:u w:val="single"/>
          <w:rtl w:val="0"/>
          <w:lang w:val="en-US" w:eastAsia="zh-CN"/>
        </w:rPr>
        <w:t xml:space="preserve">或机电工程</w:t>
      </w:r>
      <w:r>
        <w:rPr>
          <w:rFonts w:hint="eastAsia" w:ascii="宋体" w:hAnsi="宋体" w:eastAsia="宋体" w:cs="宋体"/>
          <w:i/>
          <w:iCs/>
          <w:color w:val="auto"/>
          <w:sz w:val="21"/>
          <w:szCs w:val="21"/>
          <w:highlight w:val="none"/>
          <w:u w:val="single"/>
          <w:rtl w:val="0"/>
        </w:rPr>
        <w:t xml:space="preserve">专业二级及以上注册建造师执业资格</w:t>
      </w:r>
      <w:r>
        <w:rPr>
          <w:rFonts w:hint="eastAsia" w:ascii="宋体" w:hAnsi="宋体" w:cs="宋体"/>
          <w:i/>
          <w:color w:val="auto"/>
          <w:szCs w:val="21"/>
          <w:highlight w:val="none"/>
          <w:u w:val="single"/>
        </w:rPr>
        <w:t xml:space="preserve">，</w:t>
      </w:r>
      <w:r>
        <w:rPr>
          <w:rFonts w:hint="eastAsia" w:ascii="宋体" w:hAnsi="宋体" w:cs="宋体"/>
          <w:i/>
          <w:color w:val="auto"/>
          <w:szCs w:val="21"/>
          <w:highlight w:val="none"/>
          <w:u w:val="single"/>
          <w:lang w:val="en-US" w:eastAsia="zh-CN"/>
        </w:rPr>
        <w:t xml:space="preserve">并</w:t>
      </w:r>
      <w:r>
        <w:rPr>
          <w:rFonts w:hint="eastAsia" w:ascii="宋体" w:hAnsi="宋体" w:cs="宋体"/>
          <w:i/>
          <w:color w:val="auto"/>
          <w:szCs w:val="21"/>
          <w:highlight w:val="none"/>
          <w:u w:val="single"/>
        </w:rPr>
        <w:t xml:space="preserve">具备有效的安全生产考核合格证B证</w:t>
      </w:r>
      <w:r>
        <w:rPr>
          <w:rFonts w:hint="eastAsia" w:ascii="宋体" w:hAnsi="宋体" w:eastAsia="宋体" w:cs="宋体"/>
          <w:i/>
          <w:iCs/>
          <w:color w:val="auto"/>
          <w:sz w:val="21"/>
          <w:szCs w:val="21"/>
          <w:highlight w:val="none"/>
          <w:u w:val="single"/>
        </w:rPr>
        <w:t xml:space="preserve">(提供证书、</w:t>
      </w:r>
      <w:r>
        <w:rPr>
          <w:rFonts w:hint="eastAsia" w:ascii="宋体" w:hAnsi="宋体" w:eastAsia="宋体" w:cs="宋体"/>
          <w:i/>
          <w:iCs/>
          <w:color w:val="auto"/>
          <w:sz w:val="21"/>
          <w:szCs w:val="21"/>
          <w:highlight w:val="none"/>
          <w:u w:val="single"/>
          <w:lang w:eastAsia="zh-CN"/>
        </w:rPr>
        <w:t xml:space="preserve">供应商近</w:t>
      </w:r>
      <w:r>
        <w:rPr>
          <w:rFonts w:hint="eastAsia" w:ascii="宋体" w:hAnsi="宋体" w:cs="宋体"/>
          <w:i/>
          <w:iCs/>
          <w:color w:val="auto"/>
          <w:sz w:val="21"/>
          <w:szCs w:val="21"/>
          <w:highlight w:val="none"/>
          <w:u w:val="single"/>
          <w:lang w:val="en-US" w:eastAsia="zh-CN"/>
        </w:rPr>
        <w:t xml:space="preserve">一年</w:t>
      </w:r>
      <w:r>
        <w:rPr>
          <w:rFonts w:hint="eastAsia" w:ascii="宋体" w:hAnsi="宋体" w:eastAsia="宋体" w:cs="宋体"/>
          <w:i/>
          <w:iCs/>
          <w:color w:val="auto"/>
          <w:sz w:val="21"/>
          <w:szCs w:val="21"/>
          <w:highlight w:val="none"/>
          <w:u w:val="single"/>
          <w:lang w:eastAsia="zh-CN"/>
        </w:rPr>
        <w:t xml:space="preserve">内</w:t>
      </w:r>
      <w:r>
        <w:rPr>
          <w:rFonts w:hint="eastAsia" w:ascii="宋体" w:hAnsi="宋体" w:eastAsia="宋体" w:cs="宋体"/>
          <w:i/>
          <w:iCs/>
          <w:color w:val="auto"/>
          <w:sz w:val="21"/>
          <w:szCs w:val="21"/>
          <w:highlight w:val="none"/>
          <w:u w:val="single"/>
          <w:lang w:val="en-US" w:eastAsia="zh-CN"/>
        </w:rPr>
        <w:t xml:space="preserve">任意一个月</w:t>
      </w:r>
      <w:r>
        <w:rPr>
          <w:rFonts w:hint="eastAsia" w:ascii="宋体" w:hAnsi="宋体" w:eastAsia="宋体" w:cs="宋体"/>
          <w:i/>
          <w:iCs/>
          <w:color w:val="auto"/>
          <w:sz w:val="21"/>
          <w:szCs w:val="21"/>
          <w:highlight w:val="none"/>
          <w:u w:val="single"/>
          <w:lang w:eastAsia="zh-CN"/>
        </w:rPr>
        <w:t xml:space="preserve">为其缴纳社保的证明</w:t>
      </w:r>
      <w:r>
        <w:rPr>
          <w:rFonts w:hint="eastAsia" w:ascii="宋体" w:hAnsi="宋体" w:eastAsia="宋体" w:cs="宋体"/>
          <w:i/>
          <w:iCs/>
          <w:color w:val="auto"/>
          <w:sz w:val="21"/>
          <w:szCs w:val="21"/>
          <w:highlight w:val="none"/>
          <w:u w:val="single"/>
          <w:lang w:val="en-US" w:eastAsia="zh-CN"/>
        </w:rPr>
        <w:t xml:space="preserve">材料，</w:t>
      </w:r>
      <w:r>
        <w:rPr>
          <w:rFonts w:hint="eastAsia" w:ascii="宋体" w:hAnsi="宋体" w:eastAsia="宋体" w:cs="宋体"/>
          <w:b/>
          <w:bCs/>
          <w:i/>
          <w:iCs/>
          <w:color w:val="auto"/>
          <w:sz w:val="21"/>
          <w:szCs w:val="21"/>
          <w:highlight w:val="none"/>
          <w:u w:val="single"/>
          <w:lang w:val="en-US" w:eastAsia="zh-CN"/>
        </w:rPr>
        <w:t xml:space="preserve">原件扫描上传</w:t>
      </w:r>
      <w:r>
        <w:rPr>
          <w:rFonts w:hint="eastAsia" w:ascii="宋体" w:hAnsi="宋体" w:eastAsia="宋体" w:cs="宋体"/>
          <w:i/>
          <w:iCs/>
          <w:color w:val="auto"/>
          <w:sz w:val="21"/>
          <w:szCs w:val="21"/>
          <w:highlight w:val="none"/>
          <w:u w:val="single"/>
          <w:lang w:val="en-US" w:eastAsia="zh-CN"/>
        </w:rPr>
        <w:t xml:space="preserve">）</w:t>
      </w:r>
      <w:r/>
    </w:p>
    <w:p>
      <w:pPr>
        <w:ind w:firstLine="420"/>
        <w:keepLines w:val="0"/>
        <w:keepNext w:val="0"/>
        <w:pageBreakBefore w:val="0"/>
        <w:spacing w:line="360" w:lineRule="auto"/>
        <w:shd w:val="clear" w:color="auto" w:fill="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供应商拟派项目经理不得同时在两个或者两个以上单位受聘或者执业；不得在其他工程项目上担任项目经理、施工项目负责人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lang w:val="en-US" w:eastAsia="zh-CN"/>
        </w:rPr>
        <w:t xml:space="preserve">（提供承诺书加盖供应商公章，原件扫描上传</w:t>
      </w:r>
      <w:r>
        <w:rPr>
          <w:rFonts w:hint="eastAsia" w:ascii="宋体" w:hAnsi="宋体" w:eastAsia="宋体" w:cs="宋体"/>
          <w:b/>
          <w:bCs/>
          <w:i/>
          <w:iCs/>
          <w:color w:val="auto"/>
          <w:sz w:val="21"/>
          <w:szCs w:val="21"/>
          <w:highlight w:val="none"/>
          <w:u w:val="single"/>
        </w:rPr>
        <w:t xml:space="preserve">)</w:t>
      </w:r>
      <w:r/>
    </w:p>
    <w:p>
      <w:pPr>
        <w:ind w:firstLine="420"/>
        <w:keepLines w:val="0"/>
        <w:keepNext w:val="0"/>
        <w:pageBreakBefore w:val="0"/>
        <w:spacing w:line="360" w:lineRule="auto"/>
        <w:shd w:val="clear" w:color="auto" w:fill="auto"/>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cs="宋体"/>
          <w:i/>
          <w:iCs/>
          <w:color w:val="auto"/>
          <w:sz w:val="21"/>
          <w:szCs w:val="21"/>
          <w:highlight w:val="none"/>
          <w:u w:val="single"/>
          <w:lang w:val="en-US" w:eastAsia="zh-CN"/>
        </w:rPr>
        <w:t xml:space="preserve">供应商</w:t>
      </w:r>
      <w:r>
        <w:rPr>
          <w:rFonts w:hint="eastAsia" w:ascii="宋体" w:hAnsi="宋体" w:eastAsia="宋体" w:cs="宋体"/>
          <w:i/>
          <w:iCs/>
          <w:color w:val="auto"/>
          <w:sz w:val="21"/>
          <w:szCs w:val="21"/>
          <w:highlight w:val="none"/>
          <w:u w:val="single"/>
          <w:lang w:val="en-US" w:eastAsia="zh-CN"/>
        </w:rPr>
        <w:t xml:space="preserve">在</w:t>
      </w:r>
      <w:r>
        <w:rPr>
          <w:rFonts w:hint="eastAsia" w:ascii="宋体" w:hAnsi="宋体" w:cs="宋体"/>
          <w:i/>
          <w:iCs/>
          <w:color w:val="auto"/>
          <w:sz w:val="21"/>
          <w:szCs w:val="21"/>
          <w:highlight w:val="none"/>
          <w:u w:val="single"/>
          <w:lang w:val="en-US" w:eastAsia="zh-CN"/>
        </w:rPr>
        <w:t xml:space="preserve">投标（响应）</w:t>
      </w:r>
      <w:r>
        <w:rPr>
          <w:rFonts w:hint="eastAsia" w:ascii="宋体" w:hAnsi="宋体" w:eastAsia="宋体" w:cs="宋体"/>
          <w:i/>
          <w:iCs/>
          <w:color w:val="auto"/>
          <w:sz w:val="21"/>
          <w:szCs w:val="21"/>
          <w:highlight w:val="none"/>
          <w:u w:val="single"/>
          <w:lang w:val="en-US" w:eastAsia="zh-CN"/>
        </w:rPr>
        <w:t xml:space="preserve">文件递交截止时间当日，建筑业企业资质动态监管结果不处于不合格状态</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20"/>
      <w:r/>
      <w:bookmarkEnd w:id="21"/>
      <w:r/>
      <w:bookmarkEnd w:id="22"/>
      <w:r/>
      <w:bookmarkEnd w:id="23"/>
      <w:r/>
      <w:bookmarkEnd w:id="24"/>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5" w:name="_Toc28359005"/>
      <w:r/>
      <w:bookmarkStart w:id="26" w:name="_Toc28359082"/>
      <w:r/>
      <w:bookmarkStart w:id="27" w:name="_Toc38985266"/>
      <w:r/>
      <w:bookmarkStart w:id="28" w:name="_Toc35393624"/>
      <w:r/>
      <w:bookmarkStart w:id="29" w:name="_Toc35393793"/>
      <w:r>
        <w:rPr>
          <w:rFonts w:hint="eastAsia" w:ascii="宋体" w:hAnsi="宋体" w:eastAsia="宋体" w:cs="宋体"/>
          <w:color w:val="auto"/>
          <w:sz w:val="21"/>
          <w:szCs w:val="21"/>
          <w:highlight w:val="none"/>
        </w:rPr>
        <w:t xml:space="preserve">时间：自磋商文件公告发布之日起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eastAsia="zh-CN"/>
        </w:rPr>
        <w:t xml:space="preserve">。</w:t>
      </w:r>
      <w:bookmarkEnd w:id="25"/>
      <w:r/>
      <w:bookmarkEnd w:id="26"/>
      <w:r/>
      <w:bookmarkEnd w:id="27"/>
      <w:r/>
      <w:bookmarkEnd w:id="28"/>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方式：自行下载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6</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w:t>
      </w:r>
      <w:r>
        <w:rPr>
          <w:rFonts w:hint="eastAsia" w:ascii="Calibri" w:hAnsi="Calibri" w:cs="Calibri"/>
          <w:color w:val="000000"/>
          <w:sz w:val="21"/>
          <w:highlight w:val="none"/>
          <w:lang w:val="en-US" w:eastAsia="zh-CN"/>
        </w:rPr>
      </w:r>
      <w:r>
        <w:rPr>
          <w:rFonts w:ascii="Calibri" w:hAnsi="Calibri" w:eastAsia="Calibri" w:cs="Calibri"/>
          <w:color w:val="000000"/>
          <w:sz w:val="21"/>
          <w:highlight w:val="none"/>
        </w:rPr>
        <w:t xml:space="preserve"> </w:t>
      </w:r>
      <w:r>
        <w:rPr>
          <w:rFonts w:hint="eastAsia" w:ascii="Calibri" w:hAnsi="Calibri" w:eastAsia="宋体" w:cs="Calibri"/>
          <w:color w:val="000000"/>
          <w:sz w:val="21"/>
          <w:highlight w:val="none"/>
          <w:lang w:val="en-US" w:eastAsia="zh-CN"/>
        </w:rPr>
        <w:t xml:space="preserve"> </w:t>
      </w:r>
      <w:r>
        <w:rPr>
          <w:rFonts w:hint="eastAsia" w:ascii="Calibri" w:hAnsi="Calibri" w:cs="Calibri"/>
          <w:color w:val="000000"/>
          <w:sz w:val="21"/>
          <w:highlight w:val="none"/>
          <w:lang w:val="en-US" w:eastAsia="zh-CN"/>
        </w:rPr>
        <w:t xml:space="preserve">9：30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w:t>
      </w:r>
      <w:r>
        <w:rPr>
          <w:rFonts w:ascii="Calibri" w:hAnsi="Calibri" w:eastAsia="Calibri" w:cs="Calibri"/>
          <w:color w:val="000000"/>
          <w:sz w:val="21"/>
          <w:highlight w:val="none"/>
        </w:rPr>
        <w:t xml:space="preserve">http://jszfcg.jsczt.cn/</w:t>
      </w:r>
      <w:r>
        <w:rPr>
          <w:rFonts w:ascii="宋体" w:hAnsi="宋体" w:eastAsia="宋体" w:cs="宋体"/>
          <w:color w:val="000000"/>
          <w:sz w:val="21"/>
          <w:highlight w:val="none"/>
        </w:rPr>
        <w:t xml:space="preserve">）</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6</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w:t>
      </w:r>
      <w:r>
        <w:rPr>
          <w:rFonts w:hint="eastAsia" w:ascii="Calibri" w:hAnsi="Calibri" w:cs="Calibri"/>
          <w:color w:val="000000"/>
          <w:sz w:val="21"/>
          <w:highlight w:val="none"/>
          <w:lang w:val="en-US" w:eastAsia="zh-CN"/>
        </w:rPr>
      </w:r>
      <w:r>
        <w:rPr>
          <w:rFonts w:hint="eastAsia" w:ascii="Calibri" w:hAnsi="Calibri" w:cs="Calibri"/>
          <w:color w:val="000000"/>
          <w:sz w:val="21"/>
          <w:highlight w:val="none"/>
          <w:lang w:val="en-US" w:eastAsia="zh-CN"/>
        </w:rPr>
        <w:t xml:space="preserve"> </w:t>
      </w:r>
      <w:r>
        <w:rPr>
          <w:rFonts w:ascii="Calibri" w:hAnsi="Calibri" w:eastAsia="Calibri" w:cs="Calibri"/>
          <w:color w:val="000000"/>
          <w:sz w:val="21"/>
          <w:highlight w:val="none"/>
        </w:rPr>
        <w:t xml:space="preserve"> </w:t>
      </w:r>
      <w:r>
        <w:rPr>
          <w:rFonts w:hint="eastAsia" w:ascii="Calibri" w:hAnsi="Calibri" w:cs="Calibri"/>
          <w:color w:val="000000"/>
          <w:sz w:val="21"/>
          <w:highlight w:val="none"/>
          <w:lang w:val="en-US" w:eastAsia="zh-CN"/>
        </w:rPr>
        <w:t xml:space="preserve">9：30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w:t>
      </w:r>
      <w:r>
        <w:rPr>
          <w:rFonts w:ascii="Calibri" w:hAnsi="Calibri" w:eastAsia="Calibri" w:cs="Calibri"/>
          <w:color w:val="000000"/>
          <w:sz w:val="21"/>
          <w:highlight w:val="none"/>
        </w:rPr>
        <w:t xml:space="preserve">3</w:t>
      </w:r>
      <w:r>
        <w:rPr>
          <w:rFonts w:ascii="宋体" w:hAnsi="宋体" w:eastAsia="宋体" w:cs="宋体"/>
          <w:color w:val="000000"/>
          <w:sz w:val="21"/>
          <w:highlight w:val="none"/>
        </w:rPr>
        <w:t xml:space="preserve">个工作日。</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firstLine="422"/>
        <w:jc w:val="left"/>
        <w:spacing w:line="360" w:lineRule="auto"/>
        <w:rPr>
          <w:rFonts w:hint="eastAsia" w:ascii="Times New Roman" w:hAnsi="Times New Roman" w:eastAsia="宋体" w:cs="宋体"/>
          <w:b/>
          <w:bCs/>
          <w:color w:val="auto"/>
          <w:highlight w:val="none"/>
        </w:rPr>
      </w:pPr>
      <w:r/>
      <w:bookmarkStart w:id="30" w:name="_Toc38985269"/>
      <w:r/>
      <w:bookmarkStart w:id="31" w:name="_Toc28359008"/>
      <w:r/>
      <w:bookmarkStart w:id="32" w:name="_Toc35393627"/>
      <w:r/>
      <w:bookmarkStart w:id="33" w:name="_Toc28359085"/>
      <w:r/>
      <w:bookmarkStart w:id="34" w:name="_Toc35393796"/>
      <w:r>
        <w:rPr>
          <w:rFonts w:hint="eastAsia" w:ascii="宋体" w:hAnsi="宋体" w:eastAsia="宋体" w:cs="宋体"/>
          <w:b/>
          <w:bCs/>
          <w:color w:val="auto"/>
          <w:sz w:val="21"/>
          <w:szCs w:val="21"/>
          <w:highlight w:val="none"/>
        </w:rPr>
        <w:t xml:space="preserve">1.</w:t>
      </w:r>
      <w:r>
        <w:rPr>
          <w:rFonts w:hint="eastAsia" w:ascii="Times New Roman" w:hAnsi="Times New Roman" w:eastAsia="宋体" w:cs="宋体"/>
          <w:b/>
          <w:bCs/>
          <w:color w:val="auto"/>
          <w:highlight w:val="none"/>
        </w:rPr>
        <w:t xml:space="preserve">本次采购采用“政府采购管理交易系统（苏采云）”，招标、</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、评标和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活动。如供应商未按要求操作，由此所产生的风险由供应商自行承担。</w:t>
      </w:r>
      <w:r/>
    </w:p>
    <w:p>
      <w:pPr>
        <w:ind w:firstLine="422"/>
        <w:jc w:val="left"/>
        <w:spacing w:line="360" w:lineRule="auto"/>
        <w:rPr>
          <w:rFonts w:hint="eastAsia" w:ascii="Times New Roman" w:hAnsi="Times New Roman" w:eastAsia="宋体" w:cs="宋体"/>
          <w:b/>
          <w:bCs/>
          <w:color w:val="auto"/>
          <w:highlight w:val="none"/>
          <w:lang w:eastAsia="zh-CN"/>
        </w:rPr>
      </w:pPr>
      <w:r>
        <w:rPr>
          <w:rFonts w:hint="eastAsia" w:ascii="Times New Roman" w:hAnsi="Times New Roman" w:eastAsia="宋体" w:cs="宋体"/>
          <w:b/>
          <w:bCs/>
          <w:color w:val="auto"/>
          <w:highlight w:val="none"/>
        </w:rPr>
        <w:t xml:space="preserve">2.供应商如确定参加</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，可自行下载</w:t>
      </w:r>
      <w:r>
        <w:rPr>
          <w:rFonts w:hint="eastAsia" w:cs="宋体"/>
          <w:b/>
          <w:bCs/>
          <w:color w:val="auto"/>
          <w:highlight w:val="none"/>
          <w:lang w:val="en-US" w:eastAsia="zh-CN"/>
        </w:rPr>
        <w:t xml:space="preserve">采购</w:t>
      </w:r>
      <w:r>
        <w:rPr>
          <w:rFonts w:hint="eastAsia" w:ascii="Times New Roman" w:hAnsi="Times New Roman" w:eastAsia="宋体" w:cs="宋体"/>
          <w:b/>
          <w:bCs/>
          <w:color w:val="auto"/>
          <w:highlight w:val="none"/>
        </w:rPr>
        <w:t xml:space="preserve">文件及有关资料，按照《操作手册》进行注册，领取CA和办理电子签章，并按《操作手册》要求制作、上传电子</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文件</w:t>
      </w:r>
      <w:r>
        <w:rPr>
          <w:rFonts w:hint="eastAsia" w:ascii="Times New Roman" w:hAnsi="Times New Roman" w:eastAsia="宋体" w:cs="宋体"/>
          <w:b/>
          <w:bCs/>
          <w:color w:val="auto"/>
          <w:highlight w:val="none"/>
          <w:lang w:eastAsia="zh-CN"/>
        </w:rPr>
        <w:t xml:space="preserve">。</w:t>
      </w:r>
      <w:r>
        <w:rPr>
          <w:rFonts w:hint="eastAsia" w:ascii="Times New Roman" w:hAnsi="Times New Roman" w:eastAsia="宋体" w:cs="宋体"/>
          <w:b/>
          <w:bCs/>
          <w:color w:val="auto"/>
          <w:highlight w:val="none"/>
        </w:rPr>
        <w:t xml:space="preserve">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.本项目</w:t>
      </w:r>
      <w:r>
        <w:rPr>
          <w:rFonts w:hint="eastAsia" w:ascii="宋体" w:hAnsi="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文件中所有斜体下划线部分为实质性条款，如不满足，则为无效</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w:t>
      </w:r>
      <w:r/>
    </w:p>
    <w:p>
      <w:pPr>
        <w:pStyle w:val="1242"/>
        <w:ind w:firstLine="42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供应商可自行勘查，请务必对项目现场和周围环境进行仔细认真查勘，在随后的采购中，对现场资料和数据所作出的推论、解释和结论及由此造成的后果由供应商负责。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有关本次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发布的更正公告。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不收取</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保证金。</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7</w:t>
      </w:r>
      <w:r>
        <w:rPr>
          <w:rFonts w:hint="eastAsia" w:ascii="Times New Roman" w:hAnsi="Times New Roman" w:eastAsia="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8</w:t>
      </w:r>
      <w:r>
        <w:rPr>
          <w:rFonts w:hint="eastAsia" w:ascii="Times New Roman" w:hAnsi="Times New Roman" w:eastAsia="宋体" w:cs="宋体"/>
          <w:bCs/>
          <w:color w:val="auto"/>
          <w:highlight w:val="none"/>
        </w:rPr>
        <w:t xml:space="preserve">.为落实好政府采购履约资金扶持政策，中标/成交人可凭政府采购合同办理融资贷款，详见江苏政府采购网“政采贷”专栏。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9</w:t>
      </w:r>
      <w:r>
        <w:rPr>
          <w:rFonts w:hint="eastAsia" w:ascii="Times New Roman" w:hAnsi="Times New Roman" w:eastAsia="宋体" w:cs="宋体"/>
          <w:bCs/>
          <w:color w:val="auto"/>
          <w:highlight w:val="none"/>
        </w:rPr>
        <w:t xml:space="preserve">.本项目严格执行政府采购关于支持节能产品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cs="宋体"/>
          <w:bCs/>
          <w:color w:val="auto"/>
          <w:highlight w:val="none"/>
          <w:lang w:val="en-US" w:eastAsia="zh-CN"/>
        </w:rPr>
        <w:t xml:space="preserve">10</w:t>
      </w:r>
      <w:r>
        <w:rPr>
          <w:rFonts w:hint="eastAsia" w:ascii="Times New Roman" w:hAnsi="Times New Roman" w:eastAsia="宋体" w:cs="宋体"/>
          <w:bCs/>
          <w:color w:val="auto"/>
          <w:highlight w:val="none"/>
        </w:rPr>
        <w:t xml:space="preserve">.供应商对于所投产品的包装应按照“财办库〔2020〕123号《关于印发《商品包装政府采购需求标准（试行）》、《快递包装政府采购需求标准（试行）》的通知》”执行。</w:t>
      </w:r>
      <w:bookmarkEnd w:id="30"/>
      <w:r/>
      <w:bookmarkEnd w:id="31"/>
      <w:r/>
      <w:bookmarkEnd w:id="32"/>
      <w:r/>
      <w:bookmarkEnd w:id="33"/>
      <w:r/>
      <w:bookmarkEnd w:id="34"/>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址：扬州市大学南路88号</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钱晨</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r>
        <w:rPr>
          <w:rFonts w:hint="eastAsia" w:ascii="宋体" w:hAnsi="宋体" w:cs="宋体"/>
          <w:color w:val="auto"/>
          <w:szCs w:val="21"/>
          <w:highlight w:val="none"/>
          <w:lang w:val="en-US" w:eastAsia="zh-CN"/>
        </w:rPr>
        <w:t xml:space="preserve">13905271422</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称：江苏万达工程造价事务所有限公司</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址：扬州市邗江北路中石化南侧邗文化博物馆1号院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联系人：肖红红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联系方式：17368903512</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项目联系人：肖红红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电话：17368903512</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35" w:name="_Toc120614211"/>
      <w:r>
        <w:rPr>
          <w:rFonts w:hint="eastAsia" w:ascii="宋体" w:hAnsi="宋体" w:eastAsia="宋体" w:cs="宋体"/>
          <w:color w:val="auto"/>
          <w:highlight w:val="none"/>
        </w:rPr>
        <w:br w:type="page" w:clear="all"/>
      </w:r>
      <w:bookmarkEnd w:id="8"/>
      <w:r/>
      <w:bookmarkStart w:id="36" w:name="_Toc165197238"/>
      <w:r>
        <w:rPr>
          <w:rFonts w:hint="eastAsia" w:ascii="宋体" w:hAnsi="宋体" w:eastAsia="宋体" w:cs="宋体"/>
          <w:color w:val="auto"/>
          <w:sz w:val="44"/>
          <w:szCs w:val="44"/>
          <w:highlight w:val="none"/>
        </w:rPr>
        <w:t xml:space="preserve">第二章  </w:t>
      </w:r>
      <w:bookmarkEnd w:id="2"/>
      <w:r/>
      <w:bookmarkEnd w:id="3"/>
      <w:r/>
      <w:bookmarkEnd w:id="4"/>
      <w:r/>
      <w:bookmarkEnd w:id="5"/>
      <w:r/>
      <w:bookmarkEnd w:id="6"/>
      <w:r/>
      <w:bookmarkEnd w:id="35"/>
      <w:r>
        <w:rPr>
          <w:rFonts w:hint="eastAsia" w:ascii="宋体" w:hAnsi="宋体" w:eastAsia="宋体" w:cs="宋体"/>
          <w:color w:val="auto"/>
          <w:sz w:val="44"/>
          <w:szCs w:val="44"/>
          <w:highlight w:val="none"/>
          <w:lang w:val="en-US" w:eastAsia="zh-CN"/>
        </w:rPr>
        <w:t xml:space="preserve">磋商</w:t>
      </w:r>
      <w:r>
        <w:rPr>
          <w:rFonts w:hint="eastAsia" w:ascii="宋体" w:hAnsi="宋体" w:eastAsia="宋体" w:cs="宋体"/>
          <w:color w:val="auto"/>
          <w:sz w:val="44"/>
          <w:szCs w:val="44"/>
          <w:highlight w:val="none"/>
        </w:rPr>
        <w:t xml:space="preserve">须知</w:t>
      </w:r>
      <w:bookmarkEnd w:id="36"/>
      <w:r/>
      <w:r/>
    </w:p>
    <w:p>
      <w:pPr>
        <w:ind w:firstLine="420"/>
        <w:spacing w:line="360" w:lineRule="auto"/>
        <w:rPr>
          <w:rFonts w:hint="eastAsia" w:ascii="宋体" w:hAnsi="宋体" w:cs="宋体"/>
          <w:color w:val="auto"/>
          <w:szCs w:val="21"/>
          <w:highlight w:val="none"/>
        </w:rPr>
      </w:pPr>
      <w:r/>
      <w:bookmarkStart w:id="37" w:name="_Toc513029242"/>
      <w:r/>
      <w:bookmarkStart w:id="38" w:name="_Toc20823314"/>
      <w:r/>
      <w:bookmarkStart w:id="39" w:name="_Toc16938558"/>
      <w:r/>
      <w:bookmarkStart w:id="40" w:name="_Toc479757207"/>
      <w:r/>
      <w:bookmarkStart w:id="41" w:name="_Toc120614221"/>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文件仅适用于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供应商应自行承担所有与参加</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有关的费用，无论</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过程中的做法和结果如何，采购人及代理机构在任何情况下均无义务和责任承担这些费用。</w:t>
      </w:r>
      <w:r/>
    </w:p>
    <w:p>
      <w:pPr>
        <w:pStyle w:val="1044"/>
        <w:ind w:left="0" w:firstLine="420"/>
        <w:keepLines w:val="0"/>
        <w:keepNext w:val="0"/>
        <w:pageBreakBefore w:val="0"/>
        <w:spacing w:before="0" w:after="0" w:line="360" w:lineRule="auto"/>
        <w:widowControl w:val="off"/>
        <w:rPr>
          <w:rFonts w:hint="eastAsia" w:ascii="Times New Roman" w:hAnsi="Times New Roman" w:eastAsia="宋体"/>
          <w:i/>
          <w:iCs/>
          <w:color w:val="auto"/>
          <w:szCs w:val="21"/>
          <w:highlight w:val="none"/>
          <w:u w:val="single"/>
        </w:rPr>
      </w:pPr>
      <w:r>
        <w:rPr>
          <w:rFonts w:hint="eastAsia" w:ascii="宋体" w:hAnsi="宋体" w:eastAsia="宋体" w:cs="宋体"/>
          <w:b w:val="0"/>
          <w:bCs w:val="0"/>
          <w:color w:val="auto"/>
          <w:sz w:val="21"/>
          <w:szCs w:val="21"/>
          <w:highlight w:val="none"/>
        </w:rPr>
        <w:t xml:space="preserve">4.2 </w:t>
      </w:r>
      <w:r>
        <w:rPr>
          <w:rFonts w:hint="eastAsia" w:ascii="宋体" w:hAnsi="宋体" w:eastAsia="宋体" w:cs="宋体"/>
          <w:b/>
          <w:bCs/>
          <w:i/>
          <w:iCs/>
          <w:color w:val="auto"/>
          <w:sz w:val="21"/>
          <w:szCs w:val="21"/>
          <w:highlight w:val="none"/>
          <w:u w:val="single"/>
        </w:rPr>
        <w:t xml:space="preserve">本次采购（招标）收取清标费50元，递交电子版清标材料时按要求缴纳，如未按要求操作，导致投标（响应）无效，由此产生的风险自行承担。</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4.3</w:t>
      </w:r>
      <w:r>
        <w:rPr>
          <w:rFonts w:hint="eastAsia" w:ascii="宋体" w:hAnsi="宋体" w:eastAsia="宋体" w:cs="宋体"/>
          <w:b w:val="0"/>
          <w:bCs w:val="0"/>
          <w:color w:val="auto"/>
          <w:sz w:val="21"/>
          <w:szCs w:val="21"/>
          <w:highlight w:val="none"/>
        </w:rPr>
        <w:t xml:space="preserve">本次采购由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供应商在领取</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通知书前一次性支付给招标代理机构代理服务费，招标代理服务费参照国家计委计价格〔2002〕1980号文规定标准*27%计算（具体计算方式详见下表）。</w:t>
      </w:r>
      <w:r/>
    </w:p>
    <w:tbl>
      <w:tblPr>
        <w:tblStyle w:val="1051"/>
        <w:tblW w:w="8519" w:type="dxa"/>
        <w:jc w:val="center"/>
        <w:tblLayout w:type="autofit"/>
        <w:tblCellMar>
          <w:left w:w="0" w:type="dxa"/>
          <w:top w:w="0" w:type="dxa"/>
          <w:right w:w="0" w:type="dxa"/>
          <w:bottom w:w="0" w:type="dxa"/>
        </w:tblCellMar>
        <w:tblLook w:val="04A0" w:firstRow="1" w:lastRow="0" w:firstColumn="1" w:lastColumn="0" w:noHBand="0" w:noVBand="1"/>
      </w:tblPr>
      <w:tblGrid>
        <w:gridCol w:w="1658"/>
        <w:gridCol w:w="2365"/>
        <w:gridCol w:w="2130"/>
        <w:gridCol w:w="2366"/>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服务项目类型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1044"/>
              <w:ind w:left="0" w:firstLine="422"/>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代理费（单位：元）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27.17%</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10000元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104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left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Style w:val="104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基准费率表</w:t>
      </w:r>
      <w:r/>
    </w:p>
    <w:tbl>
      <w:tblPr>
        <w:tblStyle w:val="1051"/>
        <w:tblW w:w="8423" w:type="dxa"/>
        <w:jc w:val="center"/>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jc w:val="cente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工程采购</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r>
    </w:tbl>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（1）代理服务费以人民币支付；</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（2）代理服务费支付方式：一次性以电汇或转账等形式支付。</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（3）代理服务费不在报价中单列，但包含在总价中，由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供应商支付给代理机构。</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专家评审费参考《关于规范江苏省政府采购专家评审费标准的通知》（苏财购〔2016〕48号）执行，由采购人支付。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文件进行修改。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的修改将在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公布，补充文件将作为</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的组成部分，并对</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编写的投标文件应包括资格证明文件、符合性证明文件、投标分项报价表、技术要求响应及偏离表、商务要求响应及偏离表、其他证明文件、投标函等部分。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不一致，请以“江苏政府采购网”发布的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、规章和规范性文件以及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要求提交证明文件，证明其及投标标的符合</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对证明文件无明确形式要求的，证明文件可以以文字资料、图纸和数据等形式提交。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规定格式填报投标分项报价表</w:t>
      </w:r>
      <w:bookmarkStart w:id="42" w:name="_Hlt26670399"/>
      <w:r/>
      <w:bookmarkEnd w:id="42"/>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12.2投标货币。投标文件中的单价和总价无特殊规定的采用人民币报价，以元为单位标注。</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供应商认为需要的其他技术文件或说明。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供应商应按照系统提供的格式完整、正确填写磋商响应函。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磋商响应有效期为代理机构规定的响应文件接收截止时间后</w:t>
      </w:r>
      <w:r>
        <w:rPr>
          <w:rFonts w:hint="eastAsia" w:ascii="宋体" w:hAnsi="宋体" w:cs="宋体"/>
          <w:color w:val="auto"/>
          <w:szCs w:val="21"/>
          <w:highlight w:val="none"/>
          <w:u w:val="single"/>
        </w:rPr>
        <w:t xml:space="preserve"> 六十（60）天</w:t>
      </w:r>
      <w:r>
        <w:rPr>
          <w:rFonts w:hint="eastAsia" w:ascii="宋体" w:hAnsi="宋体" w:cs="宋体"/>
          <w:color w:val="auto"/>
          <w:szCs w:val="21"/>
          <w:highlight w:val="none"/>
        </w:rPr>
        <w:t xml:space="preserve">。磋商响应有效期比规定短的将被视为非实质性</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16、投标有效期的延长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43" w:name="_Toc20823297"/>
      <w:r/>
      <w:bookmarkStart w:id="44" w:name="_Toc16938541"/>
      <w:r>
        <w:rPr>
          <w:rFonts w:hint="eastAsia" w:ascii="宋体" w:hAnsi="宋体" w:cs="宋体"/>
          <w:color w:val="auto"/>
          <w:szCs w:val="21"/>
          <w:highlight w:val="none"/>
        </w:rPr>
        <w:t xml:space="preserve">17、响应文件</w:t>
      </w:r>
      <w:bookmarkEnd w:id="43"/>
      <w:r/>
      <w:bookmarkEnd w:id="44"/>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bookmarkStart w:id="45" w:name="_Toc20823298"/>
      <w:r/>
      <w:bookmarkStart w:id="46" w:name="_Toc169385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bookmarkEnd w:id="45"/>
      <w:r/>
      <w:bookmarkEnd w:id="46"/>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w:t>
      </w:r>
      <w:r>
        <w:rPr>
          <w:rFonts w:hint="eastAsia" w:ascii="宋体" w:hAnsi="宋体" w:cs="宋体"/>
          <w:color w:val="auto"/>
          <w:szCs w:val="21"/>
          <w:highlight w:val="none"/>
          <w:lang w:eastAsia="zh-CN"/>
        </w:rPr>
        <w:t xml:space="preserve">充分考虑</w:t>
      </w:r>
      <w:r>
        <w:rPr>
          <w:rFonts w:hint="eastAsia" w:ascii="宋体" w:hAnsi="宋体" w:cs="宋体"/>
          <w:color w:val="auto"/>
          <w:szCs w:val="21"/>
          <w:highlight w:val="none"/>
        </w:rPr>
        <w:t xml:space="preserve">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自身原因造成的电子投标文件上传不成功的按照本</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第二章第27.1.2条 规定做无效投标处理。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47" w:name="_Toc20823299"/>
      <w:r/>
      <w:bookmarkStart w:id="48" w:name="_Toc16938543"/>
      <w:r>
        <w:rPr>
          <w:rFonts w:hint="eastAsia" w:ascii="宋体" w:hAnsi="宋体" w:cs="宋体"/>
          <w:color w:val="auto"/>
          <w:szCs w:val="21"/>
          <w:highlight w:val="none"/>
        </w:rPr>
        <w:t xml:space="preserve">19、响应文件</w:t>
      </w:r>
      <w:bookmarkEnd w:id="47"/>
      <w:r/>
      <w:bookmarkEnd w:id="48"/>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49" w:name="_Toc16938544"/>
      <w:r/>
      <w:bookmarkStart w:id="50" w:name="_Toc20823300"/>
      <w:r>
        <w:rPr>
          <w:rFonts w:hint="eastAsia" w:ascii="宋体" w:hAnsi="宋体" w:cs="宋体"/>
          <w:color w:val="auto"/>
          <w:szCs w:val="21"/>
          <w:highlight w:val="none"/>
        </w:rPr>
        <w:t xml:space="preserve">20、响应文件的撤回和修改</w:t>
      </w:r>
      <w:bookmarkEnd w:id="49"/>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代理机构将在采购公告中规定的时间和地点组织磋商开始仪式。供应商应当按照《操作手册》规定，参加磋商活动和在苏采云系统规定的时间内对投标文件进行解密。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21.2开标仪式由代理机构组织。苏采云系统将自动对项目进行开标，并宣布各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名称和投标价格。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21.3供应商在磋商过程中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的响应文件解密等工作，应按照《操作手册》规定执行。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如果对开标过程和开标记录有疑义，应当根据《操作手册》规定提出，如 苏采云系统中《开标记录表》宣布后5分钟内未提出的，视同认可开标结果。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23.1凡是与审查、澄清、评价和比较投标的有关资料以及授标建议等，采购人、评委、代理机构均不得向</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或与评标无关的其他人员透露。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23.2在评标过程中，</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不得以任何行为影响评标过程，否则其投标文件将被作为无效投标文件。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代理机构和评标委员会不向未中标的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解释未中标原因，也不公布评标过程中的相关细节。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采用综合评分法的项目，未中标的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可于中标结果公告期限届满之日起通过苏采云系统查看自己的评审得分及排序情况。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(www.ccgp.gov.cn)查询</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的信用记录，以确定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是否具备投标资格,查询结果留存并归档。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评委会将按上述修正错误的方法调整投标文件中的投标报价，并通过苏采云系统告知</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，调整后的价格</w:t>
      </w:r>
      <w:r>
        <w:rPr>
          <w:rFonts w:hint="eastAsia" w:ascii="宋体" w:hAnsi="宋体" w:cs="宋体"/>
          <w:color w:val="auto"/>
          <w:szCs w:val="21"/>
          <w:highlight w:val="none"/>
          <w:lang w:eastAsia="zh-CN"/>
        </w:rPr>
        <w:t xml:space="preserve">对供应商</w:t>
      </w:r>
      <w:r>
        <w:rPr>
          <w:rFonts w:hint="eastAsia" w:ascii="宋体" w:hAnsi="宋体" w:cs="宋体"/>
          <w:color w:val="auto"/>
          <w:szCs w:val="21"/>
          <w:highlight w:val="none"/>
        </w:rPr>
        <w:t xml:space="preserve">具有约束力。如果</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不接受修正后的价格，则其投标将被拒绝。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在开、评标全过程中应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，及时登录苏采云系统查阅、答复相关信息，并安排专人与代理机构及评标委员会联系。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color w:val="auto"/>
          <w:szCs w:val="21"/>
          <w:highlight w:val="none"/>
          <w:lang w:eastAsia="zh-CN"/>
        </w:rPr>
        <w:t xml:space="preserve">〔2015〕124号</w:t>
      </w:r>
      <w:r>
        <w:rPr>
          <w:rFonts w:hint="eastAsia" w:ascii="宋体" w:hAnsi="宋体" w:cs="宋体"/>
          <w:color w:val="auto"/>
          <w:szCs w:val="21"/>
          <w:highlight w:val="none"/>
        </w:rPr>
        <w:t xml:space="preserve">）规定情形的，提交最后报价的供应商可以为2家。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27.1无效响应条款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供应商在苏采云系统规定的时间内未成功解密电子投标文件的。</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27.1.2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要求上传电子投标文件的</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未按要求递交电子清标文件的。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同一供应商提交两个（含两个）以上不同的投标报价的。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的报价超过了采购预算或最高限价的。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未通过符合性审查的。</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27.1.7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文件含有采购人不能接受的附加条件的。</w:t>
      </w:r>
      <w:r/>
    </w:p>
    <w:p>
      <w:pPr>
        <w:ind w:firstLine="422"/>
        <w:spacing w:line="360" w:lineRule="auto"/>
        <w:rPr>
          <w:rFonts w:ascii="Calibri" w:hAnsi="Calibri" w:cs="Calibri"/>
          <w:b/>
          <w:bCs/>
          <w:i w:val="0"/>
          <w:iCs w:val="0"/>
          <w:caps w:val="0"/>
          <w:color w:val="auto"/>
          <w:spacing w:val="0"/>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 异常低价投标（响应）</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1.投标（响应）报价低于全部通过符合性审查供应商投标（响应）报价平均值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2.投标（响应）报价低于通过符合性审查的次低报价供应商投标（响应）报价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3.投标（响应）报价低于采购项目最高限价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2"/>
        <w:jc w:val="both"/>
        <w:keepLines w:val="0"/>
        <w:keepNext w:val="0"/>
        <w:spacing w:before="0" w:beforeAutospacing="0" w:after="0" w:afterAutospacing="0" w:line="360" w:lineRule="auto"/>
        <w:shd w:val="clear" w:color="auto" w:fill="ffffff"/>
        <w:widowControl/>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7.</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27.1.11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27.1.12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废标条款：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出现影响采购公正的违法、违规行为的；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27.2.3 因重大变故，采购任务取消的。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27.2.4 评标委员会认定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的供应商不足三家的处理：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27.3.1如出现</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的供应商或者在评标期间对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宋体" w:hAnsi="宋体" w:eastAsia="宋体" w:cs="宋体"/>
          <w:color w:val="auto"/>
          <w:sz w:val="21"/>
          <w:szCs w:val="21"/>
          <w:highlight w:val="none"/>
        </w:rPr>
        <w:t xml:space="preserve">评审结果按评审后得分由高到低顺序排列。得分相同的，按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报价由低到高顺序排列。得分且</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报价相同的并列，</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文件满足</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全部实质性要求，且按照评审因素的量化指标评审得分最高的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为</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w:t>
      </w:r>
      <w:r>
        <w:rPr>
          <w:rFonts w:hint="eastAsia" w:ascii="宋体" w:hAnsi="宋体" w:cs="宋体"/>
          <w:color w:val="auto"/>
          <w:szCs w:val="21"/>
          <w:highlight w:val="none"/>
          <w:lang w:eastAsia="zh-CN"/>
        </w:rPr>
        <w:t xml:space="preserve">原则</w:t>
      </w:r>
      <w:r>
        <w:rPr>
          <w:rFonts w:hint="eastAsia" w:ascii="宋体" w:hAnsi="宋体" w:cs="宋体"/>
          <w:color w:val="auto"/>
          <w:szCs w:val="21"/>
          <w:highlight w:val="none"/>
        </w:rPr>
        <w:t xml:space="preserve">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 有下列情形之一的，视为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串通</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28.5.1不同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28.5.2不同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委托同一单位或者个人办理</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28.5.3 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28.5.4不同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文件异常一致或者</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代理机构质疑接受人及联系方式详见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29.5.4 未参加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活动的供应商或在</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29.5.5供应商组成联合体参加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 成交结果确定后，代理机构将向成交供应商发出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签订合同</w:t>
      </w:r>
      <w:r/>
    </w:p>
    <w:p>
      <w:pPr>
        <w:ind w:lef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确定的事项与采购人签订政府采购合同。</w:t>
      </w:r>
      <w:r>
        <w:rPr>
          <w:rFonts w:hint="eastAsia" w:ascii="宋体" w:hAnsi="宋体" w:eastAsia="宋体" w:cs="宋体"/>
          <w:color w:val="auto"/>
          <w:sz w:val="21"/>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列入</w:t>
      </w:r>
      <w:r>
        <w:rPr>
          <w:rFonts w:hint="eastAsia" w:ascii="宋体" w:hAnsi="宋体" w:eastAsia="宋体" w:cs="宋体"/>
          <w:color w:val="auto"/>
          <w:sz w:val="21"/>
          <w:szCs w:val="21"/>
          <w:highlight w:val="none"/>
          <w:lang w:val="en-US" w:eastAsia="zh-CN"/>
        </w:rPr>
        <w:t xml:space="preserve">校内</w:t>
      </w:r>
      <w:r>
        <w:rPr>
          <w:rFonts w:hint="eastAsia" w:ascii="宋体" w:hAnsi="宋体" w:eastAsia="宋体" w:cs="宋体"/>
          <w:color w:val="auto"/>
          <w:sz w:val="21"/>
          <w:szCs w:val="21"/>
          <w:highlight w:val="none"/>
        </w:rPr>
        <w:t xml:space="preserve">不良行为记录名单，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auto"/>
          <w:sz w:val="21"/>
          <w:szCs w:val="21"/>
          <w:highlight w:val="none"/>
          <w:lang w:eastAsia="zh-CN"/>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的响应文件及采购过程中有关澄清、承诺文件均应作为合同附件。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 合同在“政府采购管理交易系统（苏采云）”中签订，签订合同后，</w:t>
      </w:r>
      <w:r>
        <w:rPr>
          <w:rFonts w:hint="eastAsia" w:ascii="宋体" w:hAnsi="宋体" w:cs="宋体"/>
          <w:i w:val="0"/>
          <w:iCs w:val="0"/>
          <w:color w:val="auto"/>
          <w:sz w:val="21"/>
          <w:szCs w:val="21"/>
          <w:highlight w:val="none"/>
          <w:u w:val="none"/>
          <w:lang w:eastAsia="zh-CN"/>
        </w:rPr>
        <w:t xml:space="preserve">成交</w:t>
      </w:r>
      <w:r>
        <w:rPr>
          <w:rFonts w:hint="eastAsia" w:ascii="宋体" w:hAnsi="宋体" w:eastAsia="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不得将货物或服务及其他服务进行转包。</w:t>
      </w:r>
      <w:r>
        <w:rPr>
          <w:rFonts w:hint="eastAsia" w:ascii="宋体" w:hAnsi="宋体" w:eastAsia="宋体" w:cs="宋体"/>
          <w:color w:val="auto"/>
          <w:sz w:val="21"/>
          <w:szCs w:val="21"/>
          <w:highlight w:val="none"/>
        </w:rPr>
        <w:t xml:space="preserve">未经采购人同意，</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也不得采用分包的形式履行合同，否则采购人有权终止合同，</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的履约保证金将不予退还。转包或分包造成采购人损失的，</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应承担赔偿责任。</w:t>
      </w:r>
      <w:r/>
    </w:p>
    <w:p>
      <w:pPr>
        <w:ind w:left="0" w:firstLine="420"/>
        <w:pageBreakBefore w:val="0"/>
        <w:spacing w:line="360" w:lineRule="auto"/>
        <w:widowControl w:val="off"/>
        <w:rPr>
          <w:rFonts w:hint="eastAsia" w:ascii="Times New Roman" w:hAnsi="Times New Roman" w:eastAsia="宋体"/>
          <w:b/>
          <w:color w:val="auto"/>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.4采购人不得向</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提出任何不合理的要求作为签订合同的条件，不得与</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私下订立</w:t>
      </w:r>
      <w:r>
        <w:rPr>
          <w:rFonts w:hint="eastAsia" w:ascii="Times New Roman" w:hAnsi="Times New Roman" w:eastAsia="宋体"/>
          <w:color w:val="auto"/>
          <w:szCs w:val="21"/>
          <w:highlight w:val="none"/>
        </w:rPr>
        <w:t xml:space="preserve">背离合同实质性内容的协议。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32.1成交供应商可凭政府采购合同办理融资贷款，详情请见</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Cs w:val="21"/>
          <w:highlight w:val="none"/>
          <w:lang w:val="en-US" w:eastAsia="zh-CN"/>
        </w:rPr>
        <w:t xml:space="preserve">“政采贷”专栏。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33、其他</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33.1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51" w:name="_Toc165197239"/>
      <w:r>
        <w:rPr>
          <w:rFonts w:hint="eastAsia" w:ascii="宋体" w:hAnsi="宋体" w:eastAsia="宋体" w:cs="宋体"/>
          <w:color w:val="auto"/>
          <w:sz w:val="44"/>
          <w:szCs w:val="44"/>
          <w:highlight w:val="none"/>
        </w:rPr>
        <w:t xml:space="preserve">第三章  </w:t>
      </w:r>
      <w:bookmarkEnd w:id="37"/>
      <w:r/>
      <w:bookmarkEnd w:id="38"/>
      <w:r/>
      <w:bookmarkEnd w:id="39"/>
      <w:r/>
      <w:bookmarkEnd w:id="40"/>
      <w:r/>
      <w:bookmarkEnd w:id="41"/>
      <w:r/>
      <w:bookmarkEnd w:id="51"/>
      <w:r>
        <w:rPr>
          <w:rFonts w:hint="eastAsia" w:ascii="宋体" w:hAnsi="宋体" w:eastAsia="宋体" w:cs="宋体"/>
          <w:color w:val="auto"/>
          <w:sz w:val="44"/>
          <w:szCs w:val="44"/>
          <w:highlight w:val="none"/>
        </w:rPr>
        <w:t xml:space="preserve">合同条款及格式</w:t>
      </w:r>
      <w:r/>
    </w:p>
    <w:p>
      <w:pPr>
        <w:ind w:firstLine="420"/>
        <w:spacing w:line="360" w:lineRule="auto"/>
        <w:rPr>
          <w:rFonts w:hint="eastAsia" w:ascii="宋体" w:hAnsi="宋体" w:eastAsia="宋体" w:cs="宋体"/>
          <w:color w:val="auto"/>
          <w:szCs w:val="21"/>
          <w:highlight w:val="none"/>
        </w:rPr>
      </w:pPr>
      <w:r/>
      <w:bookmarkStart w:id="52" w:name="_Toc513029243"/>
      <w:r/>
      <w:bookmarkStart w:id="53" w:name="_Toc16938559"/>
      <w:r/>
      <w:bookmarkStart w:id="54" w:name="_Toc2082331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SA"/>
        </w:rPr>
        <w:t xml:space="preserve">以下为成交后</w:t>
      </w:r>
      <w:r>
        <w:rPr>
          <w:rFonts w:hint="eastAsia" w:ascii="宋体" w:hAnsi="宋体" w:eastAsia="宋体" w:cs="宋体"/>
          <w:color w:val="auto"/>
          <w:szCs w:val="21"/>
          <w:highlight w:val="none"/>
          <w:lang w:eastAsia="zh-CN" w:bidi="ar-SA"/>
        </w:rPr>
        <w:t xml:space="preserve">签订</w:t>
      </w:r>
      <w:r>
        <w:rPr>
          <w:rFonts w:hint="eastAsia" w:ascii="宋体" w:hAnsi="宋体" w:eastAsia="宋体" w:cs="宋体"/>
          <w:color w:val="auto"/>
          <w:szCs w:val="21"/>
          <w:highlight w:val="none"/>
          <w:lang w:bidi="ar-SA"/>
        </w:rPr>
        <w:t xml:space="preserve">本项目合同的通用条款，成交供应商不得提出实质性的修改，关于专用条款将由采购人与成交供应商结合本项目具体情况协商后签订。</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bookmarkEnd w:id="52"/>
      <w:r/>
      <w:bookmarkEnd w:id="53"/>
      <w:r/>
      <w:bookmarkEnd w:id="54"/>
      <w:r/>
      <w:r/>
    </w:p>
    <w:p>
      <w:pPr>
        <w:pStyle w:val="1059"/>
        <w:ind w:firstLine="402"/>
        <w:jc w:val="center"/>
        <w:spacing w:before="120" w:after="120" w:line="360" w:lineRule="auto"/>
        <w:rPr>
          <w:rFonts w:hAnsi="宋体" w:cs="宋体"/>
          <w:b/>
          <w:bCs/>
          <w:color w:val="auto"/>
          <w:szCs w:val="21"/>
          <w:highlight w:val="none"/>
        </w:rPr>
      </w:pPr>
      <w:r/>
      <w:bookmarkStart w:id="55" w:name="_Hlt16619350"/>
      <w:r/>
      <w:bookmarkStart w:id="56" w:name="_Toc165197240"/>
      <w:r/>
      <w:bookmarkStart w:id="57" w:name="_Toc16938590"/>
      <w:r/>
      <w:bookmarkStart w:id="58" w:name="_Toc20823346"/>
      <w:r/>
      <w:bookmarkStart w:id="59" w:name="_Toc120614244"/>
      <w:r/>
      <w:bookmarkStart w:id="60" w:name="_Toc479757211"/>
      <w:r/>
      <w:bookmarkStart w:id="61" w:name="_Toc462564139"/>
      <w:r>
        <w:rPr>
          <w:rFonts w:hint="eastAsia" w:hAnsi="宋体" w:cs="宋体"/>
          <w:b/>
          <w:bCs/>
          <w:color w:val="auto"/>
          <w:szCs w:val="21"/>
          <w:highlight w:val="none"/>
        </w:rPr>
        <w:t xml:space="preserve">政府采购合同（工程）（合同编号：          ）</w:t>
      </w:r>
      <w:r/>
    </w:p>
    <w:p>
      <w:pPr>
        <w:pStyle w:val="1042"/>
        <w:jc w:val="center"/>
        <w:rPr>
          <w:rFonts w:ascii="宋体" w:hAnsi="宋体" w:eastAsia="宋体" w:cs="宋体"/>
          <w:b/>
          <w:bCs/>
          <w:color w:val="auto"/>
          <w:sz w:val="21"/>
          <w:szCs w:val="21"/>
          <w:highlight w:val="none"/>
        </w:rPr>
      </w:pPr>
      <w:r/>
      <w:bookmarkStart w:id="62" w:name="_Toc3340"/>
      <w:r/>
      <w:bookmarkStart w:id="63" w:name="_Toc21949"/>
      <w:r/>
      <w:bookmarkStart w:id="64" w:name="_Toc22326"/>
      <w:r/>
      <w:bookmarkStart w:id="65" w:name="_Toc22349"/>
      <w:r/>
      <w:bookmarkStart w:id="66" w:name="_Toc25679"/>
      <w:r/>
      <w:bookmarkStart w:id="67" w:name="_Toc27482"/>
      <w:r/>
      <w:bookmarkStart w:id="68" w:name="_Toc18079"/>
      <w:r/>
      <w:bookmarkStart w:id="69" w:name="_Toc32047"/>
      <w:r/>
      <w:bookmarkStart w:id="70" w:name="_Toc29974"/>
      <w:r/>
      <w:bookmarkStart w:id="71" w:name="_Toc28993"/>
      <w:r/>
      <w:bookmarkStart w:id="72" w:name="_Toc3668"/>
      <w:r>
        <w:rPr>
          <w:rFonts w:hint="eastAsia" w:ascii="宋体" w:hAnsi="宋体" w:eastAsia="宋体" w:cs="宋体"/>
          <w:b/>
          <w:bCs/>
          <w:color w:val="auto"/>
          <w:sz w:val="21"/>
          <w:szCs w:val="21"/>
          <w:highlight w:val="none"/>
        </w:rPr>
        <w:t xml:space="preserve">第一部分</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合同协议书</w:t>
      </w:r>
      <w:bookmarkEnd w:id="62"/>
      <w:r/>
      <w:bookmarkEnd w:id="63"/>
      <w:r/>
      <w:bookmarkEnd w:id="64"/>
      <w:r/>
      <w:bookmarkEnd w:id="65"/>
      <w:r/>
      <w:bookmarkEnd w:id="66"/>
      <w:r/>
      <w:bookmarkEnd w:id="67"/>
      <w:r/>
      <w:bookmarkEnd w:id="68"/>
      <w:r/>
      <w:bookmarkEnd w:id="69"/>
      <w:r/>
      <w:bookmarkEnd w:id="70"/>
      <w:r/>
      <w:bookmarkEnd w:id="71"/>
      <w:r/>
      <w:bookmarkEnd w:id="72"/>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工程施工及有关事项协商一致，共同达成如下协议：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一、工程概况</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图纸及工程量清单确定的工程</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群体工程应附《承包人承揽工程项目一览表》（附件1）。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图纸及工程量清单确定的工程施工</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二、合同工期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天。工期总日历天数与根据前述计划开竣工日期计算的工期天数不一致的，以工期总日历天数为准。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三、质量标准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合格</w:t>
      </w:r>
      <w:r>
        <w:rPr>
          <w:rFonts w:hint="eastAsia" w:ascii="宋体" w:hAnsi="宋体" w:cs="宋体"/>
          <w:color w:val="auto"/>
          <w:szCs w:val="21"/>
          <w:highlight w:val="none"/>
        </w:rPr>
        <w:t xml:space="preserve">标准。</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四、签约合同价与合同价格形式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（1）安全文明施工费：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（2）材料和工程设备暂估价金额：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（3）专业工程暂估价金额：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固定单价</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六、合同文件构成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通知书；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投标（响应）</w:t>
      </w:r>
      <w:r>
        <w:rPr>
          <w:rFonts w:hint="eastAsia" w:ascii="宋体" w:hAnsi="宋体" w:cs="宋体"/>
          <w:color w:val="auto"/>
          <w:szCs w:val="21"/>
          <w:highlight w:val="none"/>
        </w:rPr>
        <w:t xml:space="preserve">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（3）专用合同条款及其附件；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（4）通用合同条款；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（5）技术标准和要求；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（6）图纸；</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（7）已标价工程量清单或预算书；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（8）其他合同文件。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七、承诺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1.发包人承诺按照法律规定履行项目审批手续、筹集工程建设资金并按照合同约定的期限和方式支付合同价款。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3.发包人和承包人通过</w:t>
      </w:r>
      <w:r>
        <w:rPr>
          <w:rFonts w:hint="eastAsia" w:ascii="宋体" w:hAnsi="宋体" w:cs="宋体"/>
          <w:color w:val="auto"/>
          <w:szCs w:val="21"/>
          <w:highlight w:val="none"/>
          <w:lang w:val="en-US" w:eastAsia="zh-CN"/>
        </w:rPr>
        <w:t xml:space="preserve">政府采购</w:t>
      </w:r>
      <w:r>
        <w:rPr>
          <w:rFonts w:hint="eastAsia" w:ascii="宋体" w:hAnsi="宋体" w:cs="宋体"/>
          <w:color w:val="auto"/>
          <w:szCs w:val="21"/>
          <w:highlight w:val="none"/>
        </w:rPr>
        <w:t xml:space="preserve">形式签订合同的，双方理解并承诺不再就同一工程另行签订与合同实质性内容相背离的协议。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八、词语含义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本协议书中词语含义与第二部分通用合同条款中赋予的含义相同。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九、签订时间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日签订。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十、签订地点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本合同在</w:t>
      </w:r>
      <w:r>
        <w:rPr>
          <w:rFonts w:hint="eastAsia" w:ascii="宋体" w:hAnsi="宋体" w:cs="宋体"/>
          <w:color w:val="auto"/>
          <w:szCs w:val="21"/>
          <w:highlight w:val="none"/>
          <w:u w:val="single"/>
        </w:rPr>
        <w:t xml:space="preserve">扬州大学</w:t>
      </w:r>
      <w:r>
        <w:rPr>
          <w:rFonts w:hint="eastAsia" w:ascii="宋体" w:hAnsi="宋体" w:cs="宋体"/>
          <w:color w:val="auto"/>
          <w:szCs w:val="21"/>
          <w:highlight w:val="none"/>
        </w:rPr>
        <w:t xml:space="preserve">签订。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十一、补充协议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合同未尽事宜，合同当事人另行签订补充协议，补充协议是合同的组成部分。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十二、合同生效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本合同自</w:t>
      </w:r>
      <w:r>
        <w:rPr>
          <w:rFonts w:hint="eastAsia" w:ascii="宋体" w:hAnsi="宋体" w:cs="宋体"/>
          <w:color w:val="auto"/>
          <w:szCs w:val="21"/>
          <w:highlight w:val="none"/>
          <w:u w:val="single"/>
        </w:rPr>
        <w:t xml:space="preserve">双方法定代表人或其合法代理人签署，并加盖单位公章或合同专用章后</w:t>
      </w:r>
      <w:r>
        <w:rPr>
          <w:rFonts w:hint="eastAsia" w:ascii="宋体" w:hAnsi="宋体" w:cs="宋体"/>
          <w:color w:val="auto"/>
          <w:szCs w:val="21"/>
          <w:highlight w:val="none"/>
        </w:rPr>
        <w:t xml:space="preserve">生效。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十三、合同份数</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份，均具有同等法律效力，发包人执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份，承包人执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p>
      <w:pPr>
        <w:ind w:firstLine="600"/>
        <w:rPr>
          <w:rFonts w:ascii="宋体" w:hAnsi="宋体" w:cs="宋体"/>
          <w:color w:val="auto"/>
          <w:szCs w:val="21"/>
          <w:highlight w:val="none"/>
        </w:rPr>
      </w:pPr>
      <w:r>
        <w:rPr>
          <w:rFonts w:ascii="宋体" w:hAnsi="宋体" w:cs="宋体"/>
          <w:color w:val="auto"/>
          <w:szCs w:val="21"/>
          <w:highlight w:val="none"/>
        </w:rPr>
      </w:r>
      <w:r/>
    </w:p>
    <w:tbl>
      <w:tblPr>
        <w:tblStyle w:val="1051"/>
        <w:tblW w:w="0" w:type="auto"/>
        <w:jc w:val="center"/>
        <w:tblLayout w:type="fixed"/>
        <w:tblCellMar>
          <w:left w:w="108" w:type="dxa"/>
          <w:top w:w="0" w:type="dxa"/>
          <w:right w:w="108" w:type="dxa"/>
          <w:bottom w:w="0" w:type="dxa"/>
        </w:tblCellMar>
        <w:tblLook w:val="04A0" w:firstRow="1" w:lastRow="0" w:firstColumn="1" w:lastColumn="0" w:noHBand="0" w:noVBand="1"/>
      </w:tblPr>
      <w:tblGrid>
        <w:gridCol w:w="4700"/>
        <w:gridCol w:w="4701"/>
      </w:tblGrid>
      <w:tr>
        <w:trPr>
          <w:jc w:val="cente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tc>
      </w:tr>
    </w:tbl>
    <w:p>
      <w:pPr>
        <w:ind w:firstLine="560"/>
        <w:rPr>
          <w:rFonts w:eastAsia="方正仿宋_GBK"/>
          <w:color w:val="auto"/>
          <w:sz w:val="28"/>
          <w:szCs w:val="28"/>
          <w:highlight w:val="none"/>
        </w:rPr>
        <w:sectPr>
          <w:footerReference w:type="default" r:id="rId19"/>
          <w:footnotePr/>
          <w:endnotePr/>
          <w:type w:val="nextPage"/>
          <w:pgSz w:w="11905" w:h="16838" w:orient="portrait"/>
          <w:pgMar w:top="1417" w:right="1247" w:bottom="1247" w:left="1553" w:header="737" w:footer="510" w:gutter="0"/>
          <w:cols w:num="1" w:sep="0" w:space="720" w:equalWidth="1"/>
          <w:docGrid w:linePitch="360"/>
        </w:sectPr>
      </w:pPr>
      <w:r>
        <w:rPr>
          <w:rFonts w:eastAsia="方正仿宋_GBK"/>
          <w:color w:val="auto"/>
          <w:sz w:val="28"/>
          <w:szCs w:val="28"/>
          <w:highlight w:val="none"/>
        </w:rPr>
      </w:r>
      <w:r/>
    </w:p>
    <w:p>
      <w:pPr>
        <w:pStyle w:val="1261"/>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第二部分　　通用条款（略）</w:t>
      </w:r>
      <w:r/>
    </w:p>
    <w:p>
      <w:pPr>
        <w:pStyle w:val="1042"/>
        <w:jc w:val="center"/>
        <w:rPr>
          <w:rFonts w:ascii="宋体" w:hAnsi="宋体" w:eastAsia="宋体" w:cs="宋体"/>
          <w:b/>
          <w:bCs/>
          <w:color w:val="auto"/>
          <w:sz w:val="21"/>
          <w:szCs w:val="21"/>
          <w:highlight w:val="none"/>
        </w:rPr>
      </w:pPr>
      <w:r/>
      <w:bookmarkStart w:id="73" w:name="_Toc11031"/>
      <w:r/>
      <w:bookmarkStart w:id="74" w:name="_Toc7127"/>
      <w:r/>
      <w:bookmarkStart w:id="75" w:name="_Toc598"/>
      <w:r/>
      <w:bookmarkStart w:id="76" w:name="_Toc24576"/>
      <w:r/>
      <w:bookmarkStart w:id="77" w:name="_Toc12965"/>
      <w:r/>
      <w:bookmarkStart w:id="78" w:name="_Toc30727"/>
      <w:r/>
      <w:bookmarkStart w:id="79" w:name="_Toc27438"/>
      <w:r/>
      <w:bookmarkStart w:id="80" w:name="_Toc16141"/>
      <w:r/>
      <w:bookmarkStart w:id="81" w:name="_Toc9097"/>
      <w:r/>
      <w:bookmarkStart w:id="82" w:name="_Toc31520"/>
      <w:r/>
      <w:bookmarkStart w:id="83" w:name="_Toc9034"/>
      <w:r>
        <w:rPr>
          <w:rFonts w:hint="eastAsia" w:ascii="宋体" w:hAnsi="宋体" w:eastAsia="宋体" w:cs="宋体"/>
          <w:b/>
          <w:bCs/>
          <w:color w:val="auto"/>
          <w:sz w:val="21"/>
          <w:szCs w:val="21"/>
          <w:highlight w:val="none"/>
        </w:rPr>
        <w:t xml:space="preserve">第三部分　专用合同条款</w:t>
      </w:r>
      <w:bookmarkEnd w:id="73"/>
      <w:r/>
      <w:bookmarkEnd w:id="74"/>
      <w:r/>
      <w:bookmarkEnd w:id="75"/>
      <w:r/>
      <w:bookmarkEnd w:id="76"/>
      <w:r/>
      <w:bookmarkEnd w:id="77"/>
      <w:r/>
      <w:bookmarkEnd w:id="78"/>
      <w:r/>
      <w:bookmarkEnd w:id="79"/>
      <w:r/>
      <w:bookmarkEnd w:id="80"/>
      <w:r/>
      <w:bookmarkEnd w:id="81"/>
      <w:r/>
      <w:bookmarkEnd w:id="82"/>
      <w:r/>
      <w:bookmarkEnd w:id="83"/>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1.一般约定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1.1词语定义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1.1.2合同当事人及其他相关方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1.1.2.5设计人：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1.1.3工程和设备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1.1.3.7作为施工现场组成部分的其他场所包括：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1.1.3.9永久占地包括：</w:t>
      </w:r>
      <w:r>
        <w:rPr>
          <w:rFonts w:hint="eastAsia" w:ascii="宋体" w:hAnsi="宋体" w:cs="宋体"/>
          <w:color w:val="auto"/>
          <w:szCs w:val="21"/>
          <w:highlight w:val="none"/>
          <w:u w:val="single"/>
        </w:rPr>
        <w:t xml:space="preserve">按照设计图纸确定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1.1.3.10临时占地包括：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1.4标准和规范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1.5合同文件的优先顺序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1.6图纸和承包人文件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1.6.1图纸的提供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6套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与工程承包范围相适应的</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1.6.4承包人文件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1.6.5现场图纸准备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1.7联络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1.7.2发包人接收文件的地点：</w:t>
      </w:r>
      <w:r>
        <w:rPr>
          <w:rFonts w:hint="eastAsia" w:ascii="宋体" w:hAnsi="宋体" w:cs="宋体"/>
          <w:color w:val="auto"/>
          <w:szCs w:val="21"/>
          <w:highlight w:val="none"/>
          <w:u w:val="single"/>
        </w:rPr>
        <w:t xml:space="preserve">施工现场发包人办公室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施工现场承包人办公室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施工现场监理人办公室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总监理工程师</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1.10交通运输</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1.10.1出入现场的权利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1.10.3场内交通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以施工围挡为边界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1.11知识产权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1.11.2关于承包人为实施工程所编制文件的著作权的归属：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1.11.4承包人在施工过程中所采用的专利、专有技术、技术秘密的使用费的承担方式：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工程量清单计量偏差按实调整，相应的综合单价不调整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2.2发包人代表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发包人另行授权</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2.4施工现场、施工条件和基础资料的提供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2.4.1提供施工现场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2.4.2提供施工条件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2.5资金来源证明及支付担保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3.1承包人的一般义务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（9）承包人提交的竣工资料的内容：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竣工资料2套，竣工图4套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竣工验收合格后42天内，每逾期1天，承担5000元/天的违约金</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除纸质资料外，另提供电子版1套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每月不得少于26天，每周不得少于5天，每天不少于8小时。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3.2.3承包人擅自更换项目经理的违约责任：</w:t>
      </w:r>
      <w:r>
        <w:rPr>
          <w:rFonts w:hint="eastAsia" w:ascii="宋体" w:hAnsi="宋体" w:cs="宋体"/>
          <w:color w:val="auto"/>
          <w:szCs w:val="21"/>
          <w:highlight w:val="none"/>
          <w:u w:val="single"/>
        </w:rPr>
        <w:t xml:space="preserve">承包人承担</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万的违约金，并改正违约行为，发包人有权解除合同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3.2.4承包人无正当理由拒绝更换项目经理的违约责任：</w:t>
      </w:r>
      <w:r>
        <w:rPr>
          <w:rFonts w:hint="eastAsia" w:ascii="宋体" w:hAnsi="宋体" w:cs="宋体"/>
          <w:color w:val="auto"/>
          <w:szCs w:val="21"/>
          <w:highlight w:val="none"/>
          <w:u w:val="single"/>
        </w:rPr>
        <w:t xml:space="preserve">承包人承担</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万的</w:t>
      </w:r>
      <w:r>
        <w:rPr>
          <w:rFonts w:hint="eastAsia" w:ascii="宋体" w:hAnsi="宋体" w:cs="宋体"/>
          <w:color w:val="auto"/>
          <w:szCs w:val="21"/>
          <w:highlight w:val="none"/>
          <w:u w:val="single"/>
        </w:rPr>
        <w:t xml:space="preserve">违约金，并改正违约行为，发包人有权解除合同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3.3承包人人员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签订合同前</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3.3.3承包人无正当理由拒绝撤换主要施工管理人员的违约责任：</w:t>
      </w:r>
      <w:r>
        <w:rPr>
          <w:rFonts w:hint="eastAsia" w:ascii="宋体" w:hAnsi="宋体" w:cs="宋体"/>
          <w:color w:val="auto"/>
          <w:szCs w:val="21"/>
          <w:highlight w:val="none"/>
          <w:u w:val="single"/>
        </w:rPr>
        <w:t xml:space="preserve">承包人承担2万元/人的违约金，发包人有权解除合同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3.3.4承包人主要施工管理人员离开施工现场的批准要求：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承包人承担2万元/人的违约金，并改正违约行为，同时发包人有权解除合同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3.5分包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3.5.1分包的一般约定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按法律规定确定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3.5.2分包的确定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详合同附言21.1</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3.5.4分包合同价款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3.6工程照管与成品、半成品保护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承包人负责照管工程及工程相关的材料、工程设备的起始时间：[按通用条款执行]。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3.7履约担保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4.监理人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详见合同附言21.2</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4.2监理人员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4.4商定或确定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5.工程质量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5.1质量要求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5.1.1特殊质量标准和要求：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发包人鼓励承包人争创工程奖项，但不承担相关费用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5.3隐蔽工程检查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6.安全文明施工与环境保护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rPr>
          <w:rFonts w:hint="eastAsia" w:ascii="宋体" w:hAnsi="宋体" w:cs="宋体"/>
          <w:color w:val="auto"/>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6.1.4关于治安保卫的特别约定：</w:t>
      </w:r>
      <w:r>
        <w:rPr>
          <w:rFonts w:hint="eastAsia" w:ascii="宋体" w:hAnsi="宋体" w:cs="宋体"/>
          <w:color w:val="auto"/>
          <w:szCs w:val="21"/>
          <w:highlight w:val="none"/>
          <w:u w:val="single"/>
        </w:rPr>
        <w:t xml:space="preserve">承包人还应遵守扬州大学校园治安保卫相关规章制度，具体要求由发包人代表明确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6.1.5文明施工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承包人还应遵守扬州大学校园文明施工相关规章制度，具体要求由发包人代表明确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按工程所在地建设行政管理部门的规定执行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7.工期和进度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7.1施工组织设计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7.1.1合同当事人约定的施工组织设计应包括的其他内容：</w:t>
      </w:r>
      <w:r>
        <w:rPr>
          <w:rFonts w:hint="eastAsia" w:ascii="宋体" w:hAnsi="宋体" w:cs="宋体"/>
          <w:color w:val="auto"/>
          <w:szCs w:val="21"/>
          <w:highlight w:val="none"/>
          <w:u w:val="single"/>
        </w:rPr>
        <w:t xml:space="preserve">由发包人代表另行明确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7.1.2施工组织设计的提交和修改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7.2施工进度计划</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7.2.2施工进度计划的修订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7.3开工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7.3.1开工准备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7.4测量放线</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7.5.1因发包人原因导致工期延误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7.5.2因承包人原因导致工期延误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每延误1天，按签约合同价的万分之五计算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签约合同价的10%</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7.6不利物质条件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工程所在地气象行政管理部门认定的情形</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7.9提前竣工的奖励</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提前竣工无奖励</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8.材料与设备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8.6样品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主要材料和工程设备均要求报送，具体要求由发包人代表明确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8.8施工设备和临时设施</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8.8.1承包人提供的施工设备和临时设施</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9.试验与检验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9.4现场工艺试验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按监理人指示</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10.变更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10.4变更估价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10.4.1变更估价原则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详见合同附言21.4</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甲乙双方另行协商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10.7暂估价</w:t>
      </w:r>
      <w:r>
        <w:rPr>
          <w:rFonts w:hint="eastAsia" w:ascii="宋体" w:hAnsi="宋体" w:cs="宋体"/>
          <w:color w:val="auto"/>
          <w:szCs w:val="21"/>
          <w:highlight w:val="none"/>
          <w:u w:val="single"/>
        </w:rPr>
        <w:t xml:space="preserve">（详见合同附言21.5）</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暂估价材料和工程设备的明细详见附件11：《暂估价一览表》。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10.7.1依法必须招标的暂估价项目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10.7.2不属于依法必须招标的暂估价项目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10.8暂列金额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11.1市场价格波动引起的调整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种方式对合同价格进行调整：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以</w:t>
      </w:r>
      <w:r>
        <w:rPr>
          <w:rFonts w:hint="eastAsia" w:ascii="宋体" w:hAnsi="宋体" w:cs="宋体"/>
          <w:color w:val="auto"/>
          <w:szCs w:val="21"/>
          <w:highlight w:val="none"/>
          <w:u w:val="single"/>
          <w:lang w:val="en-US" w:eastAsia="zh-CN"/>
        </w:rPr>
        <w:t xml:space="preserve">采购</w:t>
      </w:r>
      <w:r>
        <w:rPr>
          <w:rFonts w:hint="eastAsia" w:ascii="宋体" w:hAnsi="宋体" w:cs="宋体"/>
          <w:color w:val="auto"/>
          <w:szCs w:val="21"/>
          <w:highlight w:val="none"/>
          <w:u w:val="single"/>
          <w:lang w:eastAsia="zh-CN"/>
        </w:rPr>
        <w:t xml:space="preserve">文件</w:t>
      </w:r>
      <w:r>
        <w:rPr>
          <w:rFonts w:hint="eastAsia" w:ascii="宋体" w:hAnsi="宋体" w:cs="宋体"/>
          <w:color w:val="auto"/>
          <w:szCs w:val="21"/>
          <w:highlight w:val="none"/>
          <w:u w:val="single"/>
        </w:rPr>
        <w:t xml:space="preserve">中《承包人提供主要材料和工程设备一览表（适用于造价信息差额调整法）》所列价格为基准价格，未列出者不予调整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12.合同价格、计量与支付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12.1合同价格形式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①专用条款第11.1款市场价格波动②工程变更③政策性调整④</w:t>
      </w:r>
      <w:r>
        <w:rPr>
          <w:rFonts w:hint="eastAsia" w:ascii="宋体" w:hAnsi="宋体" w:cs="宋体"/>
          <w:color w:val="auto"/>
          <w:szCs w:val="21"/>
          <w:highlight w:val="none"/>
          <w:u w:val="single"/>
          <w:lang w:eastAsia="zh-CN"/>
        </w:rPr>
        <w:t xml:space="preserve">采购</w:t>
      </w:r>
      <w:r>
        <w:rPr>
          <w:rFonts w:hint="eastAsia" w:ascii="宋体" w:hAnsi="宋体" w:cs="宋体"/>
          <w:color w:val="auto"/>
          <w:szCs w:val="21"/>
          <w:highlight w:val="none"/>
          <w:u w:val="single"/>
        </w:rPr>
        <w:t xml:space="preserve">清单错误或漏项，除上述4点外均为风险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风险费用含在承包人投标报价内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详见合同附言21.6</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12.2预付款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12.2.1预付款的支付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除按照第6.1.6款支付安全文明措施费外，无其它预付款</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安全文明措施费按相关规定执行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按照合同附言21.7付款周期相关条款执行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12.2.2预付款担保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12.3.1计量原则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国家计量规范规定的工程量计算规则</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12.3.2计量周期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12.3.3单价合同的计量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12.3.4总价合同的计量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12.3.6其他价格形式合同的计量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12.4工程进度款支付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12.4.1付款周期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按工程形象进度付款，具体详见合同附言21.7</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12.4.2进度付款申请单的编制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12.4.3进度付款申请单的提交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按付款周期提交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12.4.4进度款审核和支付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28天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发包人不支付违约金</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12.4.6支付分解表的编制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13.验收和工程试车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13.1分部分项工程验收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13.2竣工验收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13.2.2竣工验收程序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每逾期1天，按签约合同价的千分之一计算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13.3工程试车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13.3.1试车程序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13.3.3投料试车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13.6竣工退场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13.6.1竣工退场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颁发工程接收证书后30天内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14.1竣工结算申请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14.2竣工结算审核</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14.4最终结清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14.4.1最终结清申请单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6份</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14.4.2最终结清证书和支付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56天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15.缺陷责任期与保修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15.2缺陷责任期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24个月</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15.3.1承包人提供质量保证金的方式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15.3.2质量保证金的扣留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发包人在退还质量保证金时不计息</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15.4.1保修责任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详见附件《工程质量保修书》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15.4.3修复通知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3天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16.1发包人违约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16.1.2发包人违约的责任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16.1.3因发包人违约解除合同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16.2承包人违约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16.2.1承包人违约的情形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16.2.3因承包人违约解除合同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17.不可抗力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17.1不可抗力的确认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17.4因不可抗力解除合同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天内完成款项的支付。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18.1工程保险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18.7通知义务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20.争议解决</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20.3争议评审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种方式解决：</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rPr>
          <w:rFonts w:hint="eastAsia" w:ascii="宋体" w:hAnsi="宋体" w:cs="宋体"/>
          <w:color w:val="auto"/>
          <w:szCs w:val="21"/>
          <w:highlight w:val="none"/>
        </w:rPr>
        <w:br/>
      </w:r>
      <w:r>
        <w:rPr>
          <w:rFonts w:hint="eastAsia" w:ascii="宋体" w:hAnsi="宋体" w:cs="宋体"/>
          <w:color w:val="auto"/>
          <w:szCs w:val="21"/>
          <w:highlight w:val="none"/>
        </w:rPr>
        <w:t xml:space="preserve">21.合同附言</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本合同附言如与通用条款和专用条款前述相关内容表述不一致的，以本合同附言为准。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21.1分包（专用条款3.5）</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（1）根据分包项目的具体情况，按下列标准计算总承包服务费：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①发包人仅要求对分包的专业工程进行总承包管理和协调时，按分包的专业工程结算价的1%计算总承包服务费；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②发包人要求对分包的专业工程进行总承包管理和协调，同时要求提供配合服务时，按分包的专业工程结算价的2%计算总承包服务费；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（2）上述费用在分包合同中明确，承包人不得再向发包人收取。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（3）渣土运输由承包人自行管理和协调，发包人不承担承包人总包服务费。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21.2发包人及监理人在现场的办公场所、生活场所（专用条款4.1）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发包人、监理人以及发包人委托的与本工程建设相关的其他咨询人员在施工现场的办公场所由承包人提供，所发生的费用由承包人承担。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21.3甲供材料和工程设备（专用条款8.1）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（1）发包人提供的材料和工程设备，承包人应提前60天（特殊材料和工程设备应提前90天）填报《扬州大学基建工程甲供货物计划单》通知发包人。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（2）如因承包人计划错误或不及时，造成发包人提供的材料和工程设备的品种、规格、数量、供应时间等与工程实际需求不符，由此增加的费用和（或）延误的工期，由承包人承担。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（4）承包人应在通过竣工验收之日后14天内与发包人完成甲供材对账工作。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（5）发包人提供的材料和工程设备未经检验或检验不合格的，承包人不得使用，否则，由此产生的后果由承包人承担。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21.4变更估价的约定（专用条款10.4.1）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（1）已标价工程量清单中有适用于变更工程项目的，应采用该项目的单价；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（2）已标价工程量清单没有适用但有类似于变更工程项目的，可在合理范围内参照类似项目的单价；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承包人报价浮动率L=[1－（</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价－暂估价－暂列金额）/（招标控制价－暂估价－暂列金额）]×100%</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工程造价管理机构发布的信息价格缺价的，应通过市场调查等取得有合法依据的市场价格；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（4）工程变更引起施工方案改变并使措施项目发生变化</w:t>
      </w:r>
      <w:r>
        <w:rPr>
          <w:rFonts w:hint="eastAsia" w:ascii="宋体" w:hAnsi="宋体" w:cs="宋体"/>
          <w:color w:val="auto"/>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（5）变更导致实际完成的工程量与已标价工程量清单中列明的该项目工程量有变化的，综合单价不调整；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（6）通过以上调整原则，发包人和承包人之间仍存在异议的，由合同当事人按照第4.4款[商定与确定]确定变更工作的单价。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21.5专业工程暂估价项目（专用条款10.7）</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（1）依法必须招标的专业工程暂估价项目由发包人和承包人共同依法招标。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（2）不属于依法必须招标的专业工程暂估价项目由发包人和承包人参照现行的《扬州大学采购管理办法（试行）》共同确定分包人。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（3）发包人、承包人与分包人共同签订专业工程暂估价项目分包合同（合同价中含总承包服务费，分包合同中应明确费率）。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（4）分包人向发包人进行分包合同的价款结算；承包人进行总承包管理，并向分包人收取总承包服务费。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21.6风险范围以外合同价格的调整方法（专用条款12.1）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（2）工程变更按第21.4款执行。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（4）清单错误或漏项，前述专用条款已有约定的按约定执行；无约定的按国家相关规定执行。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21.7付款周期（专用条款12.4.1）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（1）农民工工资</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农民工工资支付要求：农民工工资支付按有关文件规定执行。因承包人拖欠农民工工资所造成的一切后果均由其全部承担。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（2）工程进度款付款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发包人按工程进度付款：每月按应予计量的已完工程合同价格的</w:t>
      </w:r>
      <w:r>
        <w:rPr>
          <w:rFonts w:hint="eastAsia" w:ascii="宋体" w:hAnsi="宋体" w:cs="宋体"/>
          <w:color w:val="auto"/>
          <w:szCs w:val="21"/>
          <w:highlight w:val="none"/>
          <w:lang w:val="en-US" w:eastAsia="zh-CN"/>
        </w:rPr>
        <w:t xml:space="preserve">80</w:t>
      </w:r>
      <w:r>
        <w:rPr>
          <w:rFonts w:hint="eastAsia" w:ascii="宋体" w:hAnsi="宋体" w:cs="宋体"/>
          <w:color w:val="auto"/>
          <w:szCs w:val="21"/>
          <w:highlight w:val="none"/>
        </w:rPr>
        <w:t xml:space="preserve">%支付（不包含设计变更、签证等合同价以外调整费用）。付款时，发包人还应扣除①发包人代缴的相关费用；②计入合同价格的甲供材料和设备费用；③暂列金额。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工程竣工，付至应予计量的已完工程合同价格的</w:t>
      </w:r>
      <w:r>
        <w:rPr>
          <w:rFonts w:hint="eastAsia" w:ascii="宋体" w:hAnsi="宋体" w:cs="宋体"/>
          <w:color w:val="auto"/>
          <w:szCs w:val="21"/>
          <w:highlight w:val="none"/>
          <w:lang w:val="en-US" w:eastAsia="zh-CN"/>
        </w:rPr>
        <w:t xml:space="preserve">80</w:t>
      </w:r>
      <w:r>
        <w:rPr>
          <w:rFonts w:hint="eastAsia" w:ascii="宋体" w:hAnsi="宋体" w:cs="宋体"/>
          <w:color w:val="auto"/>
          <w:szCs w:val="21"/>
          <w:highlight w:val="none"/>
        </w:rPr>
        <w:t xml:space="preserve">%（不包含设计变更、签证等合同价以外调整费用），同时扣清预付的安全文明措施费用。发包人和监理人对进度款的审核仅作为进度付款依据。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发包人审计完成后，结付至审计价的97%。余款3%作为工程质量保证金，待工程缺陷责任期满且履行了缺陷修复义务后一次性结清（不计利息）。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上述款项的支付，须以承包人提供合法票据为前提。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21.8竣工结算审核和审计（专用条款14.2）</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1）发包人委托监理人对承包人的竣工结算进行初步审核，监理人初审时间为</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p>
    <w:p>
      <w:pPr>
        <w:ind w:firstLine="56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（3）承包人应积极配合初审和审计工作，如因承包人送审资料不完整、配合工作不力、双方达不成一致性意见，造成初审和审计工作延后，发包人不承担相应责任。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（4）为加强结算审计的严肃性，避免承包人虚报结算价款，对净核减率在5%及以上的单项工程，发包人将向承包人收取一定的审计费，具体收费标准及规则明确如下：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①审计净核减率在5%以内的，不收取审计费用；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②净核减率在5%~10%的（含5%），按净核减额的5%收取审计费；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③净核减率在10%以上（含10%），按净核减额的10%收取审计费。</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净核减额=送审金额－审定金额；净核减率=[净核减额/送审金额]×100%</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对净核减率达到30%及以上，或经司法部门确认有触犯法律构成犯罪行为的，学校可取消该承包人及项目经理1~3年参加学校工程项目投标资格。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21.9甲供材退价及水电费结算办法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本条款所指“甲供材”，是指发包人提供用于本工程的材料和工程设备。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（1）甲供材结算要求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承包人在竣工结算时应编制“甲供材退价表”并报发包人审核。承包人应保证甲供材退价资料齐全、手续完备。发包人在收到甲供材退价资料后将及时审核并出具审核意见。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（2）甲供材结算方法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应退甲供材金额=超（欠）供数量×超（欠）供单价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超（欠）供数量=实供数量－结算数量。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注：超供（实供数量&gt;结算数量）时，超供单价取结算单价与实供单价中的较高者；欠供（实供数量&lt;结算数量）时，欠供单价取结算单价与实供单价中的较低者。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甲供材应当计算现场保管费，现场保管费按下列公式计算：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甲供材现场保管费＝甲供材实供单价×实供数量×1%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发包人按应退甲供材金额扣除甲供材现场保管费后结算。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（3）水电费结算办法和程序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承包人使用的水电由发包人供应，承包人必须挂表计量，生活用水电与施工用水电分开计量和结算。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①施工用水电，按水、电表读数乘以结算单价计算扣回；</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②生活用水电，按水、电表读数乘以市场价格计算扣回。</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承包人应当填写“工程施工用水电费结算表”，送发包人审核，未经审核，发包人不办理竣工结算。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21.10跟踪审计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本工程发包人委托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作为审计代表参与本工程的跟踪审计工作。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21.11其他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（1）周边关系协调、噪音污染等辅助工作由承包人负责，发包人不另外支付费用。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（2）如图纸与工程量清单出现矛盾，以图纸为准。</w:t>
      </w:r>
      <w:r/>
    </w:p>
    <w:p>
      <w:pPr>
        <w:ind w:firstLine="560"/>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jc w:val="left"/>
        <w:spacing w:line="360" w:lineRule="auto"/>
        <w:rPr>
          <w:rFonts w:ascii="宋体" w:hAnsi="宋体" w:cs="宋体"/>
          <w:b/>
          <w:color w:val="auto"/>
          <w:szCs w:val="21"/>
          <w:highlight w:val="none"/>
        </w:rPr>
      </w:pPr>
      <w:r/>
      <w:bookmarkStart w:id="84" w:name="_Toc351203652"/>
      <w:r>
        <w:rPr>
          <w:rFonts w:hint="eastAsia" w:ascii="宋体" w:hAnsi="宋体" w:cs="宋体"/>
          <w:b/>
          <w:color w:val="auto"/>
          <w:szCs w:val="21"/>
          <w:highlight w:val="none"/>
        </w:rPr>
        <w:t xml:space="preserve">附件</w:t>
      </w:r>
      <w:bookmarkEnd w:id="84"/>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协议书附件：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附件1：承包人承揽工程项目一览表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专用合同条款附件：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附件2：发包人供应材料设备一览表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附件3：工程质量保修书</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附件4：主要建设工程文件目录</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附件5：承包人用于本工程施工的机械设备表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附件6：承包人主要施工管理人员表</w:t>
      </w:r>
      <w:r/>
    </w:p>
    <w:p>
      <w:pPr>
        <w:jc w:val="left"/>
        <w:spacing w:line="360" w:lineRule="auto"/>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附件1：</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承包人承揽工程项目一览表</w:t>
      </w:r>
      <w:r/>
    </w:p>
    <w:tbl>
      <w:tblPr>
        <w:tblStyle w:val="105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8"/>
        <w:gridCol w:w="956"/>
        <w:gridCol w:w="1459"/>
        <w:gridCol w:w="927"/>
        <w:gridCol w:w="543"/>
        <w:gridCol w:w="977"/>
        <w:gridCol w:w="912"/>
        <w:gridCol w:w="1300"/>
        <w:gridCol w:w="544"/>
        <w:gridCol w:w="544"/>
      </w:tblGrid>
      <w:tr>
        <w:trPr>
          <w:jc w:val="center"/>
        </w:trPr>
        <w:tc>
          <w:tcPr>
            <w:tcBorders>
              <w:top w:val="single" w:color="auto" w:sz="12" w:space="0"/>
              <w:bottom w:val="single" w:color="auto" w:sz="6" w:space="0"/>
            </w:tcBorders>
            <w:tcW w:w="998"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单位工程名称</w:t>
            </w:r>
            <w:r/>
          </w:p>
        </w:tc>
        <w:tc>
          <w:tcPr>
            <w:tcBorders>
              <w:top w:val="single" w:color="auto" w:sz="12" w:space="0"/>
              <w:bottom w:val="single" w:color="auto" w:sz="6" w:space="0"/>
            </w:tcBorders>
            <w:tcW w:w="956"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建设规模</w:t>
            </w:r>
            <w:r/>
          </w:p>
        </w:tc>
        <w:tc>
          <w:tcPr>
            <w:tcBorders>
              <w:top w:val="single" w:color="auto" w:sz="12" w:space="0"/>
              <w:bottom w:val="single" w:color="auto" w:sz="6" w:space="0"/>
            </w:tcBorders>
            <w:tcW w:w="1459" w:type="dxa"/>
            <w:vAlign w:val="center"/>
            <w:textDirection w:val="lrTb"/>
            <w:noWrap w:val="false"/>
          </w:tcPr>
          <w:p>
            <w:pPr>
              <w:pStyle w:val="1055"/>
              <w:jc w:val="center"/>
              <w:keepNex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建筑面积</w:t>
            </w:r>
            <w:r/>
          </w:p>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(平方米)</w:t>
            </w:r>
            <w:r/>
          </w:p>
        </w:tc>
        <w:tc>
          <w:tcPr>
            <w:tcBorders>
              <w:top w:val="single" w:color="auto" w:sz="12" w:space="0"/>
              <w:bottom w:val="single" w:color="auto" w:sz="6" w:space="0"/>
            </w:tcBorders>
            <w:tcW w:w="927"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结构形式</w:t>
            </w:r>
            <w:r/>
          </w:p>
        </w:tc>
        <w:tc>
          <w:tcPr>
            <w:tcBorders>
              <w:top w:val="single" w:color="auto" w:sz="12" w:space="0"/>
              <w:bottom w:val="single" w:color="auto" w:sz="6" w:space="0"/>
            </w:tcBorders>
            <w:tcW w:w="543"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层数</w:t>
            </w:r>
            <w:r/>
          </w:p>
        </w:tc>
        <w:tc>
          <w:tcPr>
            <w:tcBorders>
              <w:top w:val="single" w:color="auto" w:sz="12" w:space="0"/>
              <w:bottom w:val="single" w:color="auto" w:sz="6" w:space="0"/>
            </w:tcBorders>
            <w:tcW w:w="977"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生产能力</w:t>
            </w:r>
            <w:r/>
          </w:p>
        </w:tc>
        <w:tc>
          <w:tcPr>
            <w:tcBorders>
              <w:top w:val="single" w:color="auto" w:sz="12" w:space="0"/>
              <w:bottom w:val="single" w:color="auto" w:sz="6" w:space="0"/>
            </w:tcBorders>
            <w:tcW w:w="913"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设备安装内容</w:t>
            </w:r>
            <w:r/>
          </w:p>
        </w:tc>
        <w:tc>
          <w:tcPr>
            <w:tcBorders>
              <w:top w:val="single" w:color="auto" w:sz="12" w:space="0"/>
              <w:bottom w:val="single" w:color="auto" w:sz="6" w:space="0"/>
            </w:tcBorders>
            <w:tcW w:w="1300"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合同价格（元）</w:t>
            </w:r>
            <w:r/>
          </w:p>
        </w:tc>
        <w:tc>
          <w:tcPr>
            <w:tcBorders>
              <w:top w:val="single" w:color="auto" w:sz="12" w:space="0"/>
              <w:bottom w:val="single" w:color="auto" w:sz="6" w:space="0"/>
            </w:tcBorders>
            <w:tcW w:w="544"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开工日期</w:t>
            </w:r>
            <w:r/>
          </w:p>
        </w:tc>
        <w:tc>
          <w:tcPr>
            <w:tcBorders>
              <w:top w:val="single" w:color="auto" w:sz="12" w:space="0"/>
              <w:bottom w:val="single" w:color="auto" w:sz="6" w:space="0"/>
            </w:tcBorders>
            <w:tcW w:w="544"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竣工日期</w:t>
            </w:r>
            <w:r/>
          </w:p>
        </w:tc>
      </w:tr>
      <w:tr>
        <w:trPr>
          <w:jc w:val="center"/>
          <w:trHeight w:val="567"/>
        </w:trPr>
        <w:tc>
          <w:tcPr>
            <w:tcBorders>
              <w:top w:val="single" w:color="auto" w:sz="6" w:space="0"/>
              <w:bottom w:val="single" w:color="auto" w:sz="6"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bl>
    <w:p>
      <w:pPr>
        <w:spacing w:line="440" w:lineRule="exact"/>
        <w:rPr>
          <w:rFonts w:ascii="宋体" w:hAnsi="宋体" w:cs="宋体"/>
          <w:b/>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b/>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w:t>
      </w:r>
      <w:bookmarkStart w:id="85" w:name="_Toc296891053"/>
      <w:r/>
      <w:bookmarkStart w:id="86" w:name="_Toc296346726"/>
      <w:r/>
      <w:bookmarkStart w:id="87" w:name="_Toc296891265"/>
      <w:r/>
      <w:bookmarkStart w:id="88" w:name="_Toc296347224"/>
      <w:r/>
      <w:bookmarkStart w:id="89" w:name="_Toc267261692"/>
      <w:r/>
      <w:bookmarkStart w:id="90" w:name="_Toc296944564"/>
      <w:r/>
      <w:bookmarkStart w:id="91" w:name="_Toc296503225"/>
      <w:r>
        <w:rPr>
          <w:rFonts w:hint="eastAsia" w:ascii="宋体" w:hAnsi="宋体" w:cs="宋体"/>
          <w:color w:val="auto"/>
          <w:szCs w:val="21"/>
          <w:highlight w:val="none"/>
        </w:rPr>
        <w:t xml:space="preserve">件2：</w:t>
      </w:r>
      <w:bookmarkEnd w:id="85"/>
      <w:r/>
      <w:bookmarkEnd w:id="86"/>
      <w:r/>
      <w:bookmarkEnd w:id="87"/>
      <w:r/>
      <w:bookmarkEnd w:id="88"/>
      <w:r/>
      <w:bookmarkEnd w:id="89"/>
      <w:r/>
      <w:bookmarkEnd w:id="90"/>
      <w:r/>
      <w:bookmarkEnd w:id="91"/>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发包人供应材料设备一览表</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100"/>
        <w:gridCol w:w="1221"/>
        <w:gridCol w:w="813"/>
        <w:gridCol w:w="737"/>
        <w:gridCol w:w="902"/>
        <w:gridCol w:w="958"/>
        <w:gridCol w:w="958"/>
        <w:gridCol w:w="958"/>
        <w:gridCol w:w="857"/>
      </w:tblGrid>
      <w:tr>
        <w:trPr>
          <w:jc w:val="center"/>
        </w:trPr>
        <w:tc>
          <w:tcPr>
            <w:tcBorders>
              <w:top w:val="single" w:color="auto" w:sz="12" w:space="0"/>
              <w:bottom w:val="single" w:color="auto" w:sz="6" w:space="0"/>
            </w:tcBorders>
            <w:tcW w:w="737"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12" w:space="0"/>
              <w:bottom w:val="single" w:color="auto" w:sz="6" w:space="0"/>
            </w:tcBorders>
            <w:tcW w:w="1100"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材料、</w:t>
            </w:r>
            <w:r/>
          </w:p>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设备品种</w:t>
            </w:r>
            <w:r/>
          </w:p>
        </w:tc>
        <w:tc>
          <w:tcPr>
            <w:tcBorders>
              <w:top w:val="single" w:color="auto" w:sz="12" w:space="0"/>
              <w:bottom w:val="single" w:color="auto" w:sz="6" w:space="0"/>
            </w:tcBorders>
            <w:tcW w:w="1221"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tcBorders>
              <w:top w:val="single" w:color="auto" w:sz="12" w:space="0"/>
              <w:bottom w:val="single" w:color="auto" w:sz="6" w:space="0"/>
            </w:tcBorders>
            <w:tcW w:w="813"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auto" w:sz="12" w:space="0"/>
              <w:bottom w:val="single" w:color="auto" w:sz="6" w:space="0"/>
            </w:tcBorders>
            <w:tcW w:w="737"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12" w:space="0"/>
              <w:bottom w:val="single" w:color="auto" w:sz="6" w:space="0"/>
            </w:tcBorders>
            <w:tcW w:w="902"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单价（元）</w:t>
            </w:r>
            <w:r/>
          </w:p>
        </w:tc>
        <w:tc>
          <w:tcPr>
            <w:tcBorders>
              <w:top w:val="single" w:color="auto" w:sz="12" w:space="0"/>
              <w:bottom w:val="single" w:color="auto" w:sz="6" w:space="0"/>
            </w:tcBorders>
            <w:tcW w:w="958"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质量等级</w:t>
            </w:r>
            <w:r/>
          </w:p>
        </w:tc>
        <w:tc>
          <w:tcPr>
            <w:tcBorders>
              <w:top w:val="single" w:color="auto" w:sz="12" w:space="0"/>
              <w:bottom w:val="single" w:color="auto" w:sz="6" w:space="0"/>
            </w:tcBorders>
            <w:tcW w:w="958"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供应时间</w:t>
            </w:r>
            <w:r/>
          </w:p>
        </w:tc>
        <w:tc>
          <w:tcPr>
            <w:tcBorders>
              <w:top w:val="single" w:color="auto" w:sz="12" w:space="0"/>
              <w:bottom w:val="single" w:color="auto" w:sz="6" w:space="0"/>
            </w:tcBorders>
            <w:tcW w:w="958"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送达地点</w:t>
            </w:r>
            <w:r/>
          </w:p>
        </w:tc>
        <w:tc>
          <w:tcPr>
            <w:tcBorders>
              <w:top w:val="single" w:color="auto" w:sz="12" w:space="0"/>
              <w:bottom w:val="single" w:color="auto" w:sz="6" w:space="0"/>
            </w:tcBorders>
            <w:tcW w:w="857"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trPr>
        <w:tc>
          <w:tcPr>
            <w:tcBorders>
              <w:top w:val="single" w:color="auto" w:sz="6" w:space="0"/>
              <w:bottom w:val="single" w:color="auto" w:sz="6"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w:t>
      </w:r>
      <w:bookmarkStart w:id="92" w:name="_Toc296503226"/>
      <w:r/>
      <w:bookmarkStart w:id="93" w:name="_Toc296944565"/>
      <w:r/>
      <w:bookmarkStart w:id="94" w:name="_Toc296347225"/>
      <w:r/>
      <w:bookmarkStart w:id="95" w:name="_Toc296891266"/>
      <w:r/>
      <w:bookmarkStart w:id="96" w:name="_Toc296891054"/>
      <w:r/>
      <w:bookmarkStart w:id="97" w:name="_Toc296346727"/>
      <w:r/>
      <w:bookmarkStart w:id="98" w:name="_Toc267261693"/>
      <w:r>
        <w:rPr>
          <w:rFonts w:hint="eastAsia" w:ascii="宋体" w:hAnsi="宋体" w:cs="宋体"/>
          <w:color w:val="auto"/>
          <w:szCs w:val="21"/>
          <w:highlight w:val="none"/>
        </w:rPr>
        <w:t xml:space="preserve">件3：</w:t>
      </w:r>
      <w:bookmarkEnd w:id="92"/>
      <w:r/>
      <w:bookmarkEnd w:id="93"/>
      <w:r/>
      <w:bookmarkEnd w:id="94"/>
      <w:r/>
      <w:bookmarkEnd w:id="95"/>
      <w:r/>
      <w:bookmarkEnd w:id="96"/>
      <w:r/>
      <w:bookmarkEnd w:id="97"/>
      <w:r/>
      <w:bookmarkEnd w:id="98"/>
      <w:r/>
      <w:r/>
    </w:p>
    <w:p>
      <w:pPr>
        <w:ind w:firstLine="6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（工程全称）签订工程质量保修书。</w:t>
      </w:r>
      <w:r/>
    </w:p>
    <w:p>
      <w:pPr>
        <w:ind w:firstLine="600"/>
        <w:spacing w:line="360" w:lineRule="auto"/>
        <w:rPr>
          <w:rFonts w:ascii="宋体" w:hAnsi="宋体" w:cs="宋体"/>
          <w:color w:val="auto"/>
          <w:szCs w:val="21"/>
          <w:highlight w:val="none"/>
        </w:rPr>
        <w:outlineLvl w:val="9"/>
      </w:pPr>
      <w:r/>
      <w:bookmarkStart w:id="99" w:name="_Toc19432"/>
      <w:r/>
      <w:bookmarkStart w:id="100" w:name="_Toc31283"/>
      <w:r>
        <w:rPr>
          <w:rFonts w:hint="eastAsia" w:ascii="宋体" w:hAnsi="宋体" w:cs="宋体"/>
          <w:color w:val="auto"/>
          <w:szCs w:val="21"/>
          <w:highlight w:val="none"/>
        </w:rPr>
        <w:t xml:space="preserve">一、工程质量保修范围和内容</w:t>
      </w:r>
      <w:bookmarkEnd w:id="99"/>
      <w:r/>
      <w:bookmarkEnd w:id="100"/>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承包人工程承包范围内的所有工程（含分包工程）</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outlineLvl w:val="9"/>
      </w:pPr>
      <w:r/>
      <w:bookmarkStart w:id="101" w:name="_Toc32027"/>
      <w:r/>
      <w:bookmarkStart w:id="102" w:name="_Toc14197"/>
      <w:r>
        <w:rPr>
          <w:rFonts w:hint="eastAsia" w:ascii="宋体" w:hAnsi="宋体" w:cs="宋体"/>
          <w:color w:val="auto"/>
          <w:szCs w:val="21"/>
          <w:highlight w:val="none"/>
        </w:rPr>
        <w:t xml:space="preserve">二、质量保修期</w:t>
      </w:r>
      <w:bookmarkEnd w:id="101"/>
      <w:r/>
      <w:bookmarkEnd w:id="102"/>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个采暖期、供冷期；</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600"/>
        <w:spacing w:line="360" w:lineRule="auto"/>
        <w:rPr>
          <w:rFonts w:ascii="宋体" w:hAnsi="宋体" w:cs="宋体"/>
          <w:color w:val="auto"/>
          <w:szCs w:val="21"/>
          <w:highlight w:val="none"/>
        </w:rPr>
        <w:outlineLvl w:val="9"/>
      </w:pPr>
      <w:r/>
      <w:bookmarkStart w:id="103" w:name="_Toc3619"/>
      <w:r/>
      <w:bookmarkStart w:id="104" w:name="_Toc31306"/>
      <w:r>
        <w:rPr>
          <w:rFonts w:hint="eastAsia" w:ascii="宋体" w:hAnsi="宋体" w:cs="宋体"/>
          <w:color w:val="auto"/>
          <w:szCs w:val="21"/>
          <w:highlight w:val="none"/>
        </w:rPr>
        <w:t xml:space="preserve">三、缺陷责任期</w:t>
      </w:r>
      <w:bookmarkEnd w:id="103"/>
      <w:r/>
      <w:bookmarkEnd w:id="104"/>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600"/>
        <w:spacing w:line="360" w:lineRule="auto"/>
        <w:rPr>
          <w:rFonts w:ascii="宋体" w:hAnsi="宋体" w:cs="宋体"/>
          <w:color w:val="auto"/>
          <w:szCs w:val="21"/>
          <w:highlight w:val="none"/>
        </w:rPr>
        <w:outlineLvl w:val="9"/>
      </w:pPr>
      <w:r/>
      <w:bookmarkStart w:id="105" w:name="_Toc7404"/>
      <w:r/>
      <w:bookmarkStart w:id="106" w:name="_Toc13267"/>
      <w:r>
        <w:rPr>
          <w:rFonts w:hint="eastAsia" w:ascii="宋体" w:hAnsi="宋体" w:cs="宋体"/>
          <w:color w:val="auto"/>
          <w:szCs w:val="21"/>
          <w:highlight w:val="none"/>
        </w:rPr>
        <w:t xml:space="preserve">四、质量保修责任</w:t>
      </w:r>
      <w:bookmarkEnd w:id="105"/>
      <w:r/>
      <w:bookmarkEnd w:id="106"/>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600"/>
        <w:spacing w:line="360" w:lineRule="auto"/>
        <w:rPr>
          <w:rFonts w:ascii="宋体" w:hAnsi="宋体" w:cs="宋体"/>
          <w:color w:val="auto"/>
          <w:szCs w:val="21"/>
          <w:highlight w:val="none"/>
        </w:rPr>
        <w:outlineLvl w:val="9"/>
      </w:pPr>
      <w:r/>
      <w:bookmarkStart w:id="107" w:name="_Toc8913"/>
      <w:r/>
      <w:bookmarkStart w:id="108" w:name="_Toc9301"/>
      <w:r>
        <w:rPr>
          <w:rFonts w:hint="eastAsia" w:ascii="宋体" w:hAnsi="宋体" w:cs="宋体"/>
          <w:color w:val="auto"/>
          <w:szCs w:val="21"/>
          <w:highlight w:val="none"/>
        </w:rPr>
        <w:t xml:space="preserve">五、保修费用</w:t>
      </w:r>
      <w:bookmarkEnd w:id="107"/>
      <w:r/>
      <w:bookmarkEnd w:id="108"/>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600"/>
        <w:spacing w:line="360" w:lineRule="auto"/>
        <w:rPr>
          <w:rFonts w:ascii="宋体" w:hAnsi="宋体" w:cs="宋体"/>
          <w:color w:val="auto"/>
          <w:szCs w:val="21"/>
          <w:highlight w:val="none"/>
        </w:rPr>
        <w:outlineLvl w:val="9"/>
      </w:pPr>
      <w:r>
        <w:rPr>
          <w:rFonts w:hint="eastAsia" w:ascii="宋体" w:hAnsi="宋体" w:cs="宋体"/>
          <w:b w:val="0"/>
          <w:color w:val="auto"/>
          <w:szCs w:val="21"/>
          <w:highlight w:val="none"/>
        </w:rPr>
        <w:t xml:space="preserve">六</w:t>
      </w:r>
      <w:r>
        <w:rPr>
          <w:rFonts w:hint="eastAsia" w:ascii="宋体" w:hAnsi="宋体" w:cs="宋体"/>
          <w:color w:val="auto"/>
          <w:szCs w:val="21"/>
          <w:highlight w:val="none"/>
        </w:rPr>
        <w:t xml:space="preserve">、双方约定的其他工程质量保修事项：</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6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附件4：</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主要建设工程文件目录</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附</w:t>
      </w:r>
      <w:bookmarkStart w:id="109" w:name="_Toc296891055"/>
      <w:r/>
      <w:bookmarkStart w:id="110" w:name="_Toc267261698"/>
      <w:r/>
      <w:bookmarkStart w:id="111" w:name="_Toc296347226"/>
      <w:r/>
      <w:bookmarkStart w:id="112" w:name="_Toc296503227"/>
      <w:r/>
      <w:bookmarkStart w:id="113" w:name="_Toc296346728"/>
      <w:r/>
      <w:bookmarkStart w:id="114" w:name="_Toc296891267"/>
      <w:r/>
      <w:bookmarkStart w:id="115" w:name="_Toc296944566"/>
      <w:r>
        <w:rPr>
          <w:rFonts w:hint="eastAsia" w:ascii="宋体" w:hAnsi="宋体" w:cs="宋体"/>
          <w:color w:val="auto"/>
          <w:szCs w:val="21"/>
          <w:highlight w:val="none"/>
        </w:rPr>
        <w:t xml:space="preserve">件5：</w:t>
      </w:r>
      <w:bookmarkEnd w:id="109"/>
      <w:r/>
      <w:bookmarkEnd w:id="110"/>
      <w:r/>
      <w:bookmarkEnd w:id="111"/>
      <w:r/>
      <w:bookmarkEnd w:id="112"/>
      <w:r/>
      <w:bookmarkEnd w:id="113"/>
      <w:r/>
      <w:bookmarkEnd w:id="114"/>
      <w:r/>
      <w:bookmarkEnd w:id="115"/>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承包人用于本工程施工的机械设备表</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1"/>
        <w:gridCol w:w="1281"/>
        <w:gridCol w:w="771"/>
        <w:gridCol w:w="958"/>
        <w:gridCol w:w="798"/>
        <w:gridCol w:w="1020"/>
        <w:gridCol w:w="1239"/>
        <w:gridCol w:w="1071"/>
        <w:gridCol w:w="687"/>
      </w:tblGrid>
      <w:tr>
        <w:trPr>
          <w:jc w:val="center"/>
        </w:trPr>
        <w:tc>
          <w:tcPr>
            <w:tcBorders>
              <w:top w:val="single" w:color="auto" w:sz="12" w:space="0"/>
              <w:bottom w:val="single" w:color="auto" w:sz="6" w:space="0"/>
            </w:tcBorders>
            <w:tcW w:w="105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12" w:space="0"/>
              <w:bottom w:val="single" w:color="auto" w:sz="6" w:space="0"/>
            </w:tcBorders>
            <w:tcW w:w="128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机械或设备名称</w:t>
            </w:r>
            <w:r/>
          </w:p>
        </w:tc>
        <w:tc>
          <w:tcPr>
            <w:tcBorders>
              <w:top w:val="single" w:color="auto" w:sz="12" w:space="0"/>
              <w:bottom w:val="single" w:color="auto" w:sz="6" w:space="0"/>
            </w:tcBorders>
            <w:tcW w:w="77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tcBorders>
              <w:top w:val="single" w:color="auto" w:sz="12" w:space="0"/>
              <w:bottom w:val="single" w:color="auto" w:sz="6" w:space="0"/>
            </w:tcBorders>
            <w:tcW w:w="958"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12" w:space="0"/>
              <w:bottom w:val="single" w:color="auto" w:sz="6" w:space="0"/>
            </w:tcBorders>
            <w:tcW w:w="798"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制造年份</w:t>
            </w:r>
            <w:r/>
          </w:p>
        </w:tc>
        <w:tc>
          <w:tcPr>
            <w:tcBorders>
              <w:top w:val="single" w:color="auto" w:sz="12" w:space="0"/>
              <w:bottom w:val="single" w:color="auto" w:sz="6" w:space="0"/>
            </w:tcBorders>
            <w:tcW w:w="1239"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额定功率(kW)</w:t>
            </w:r>
            <w:r/>
          </w:p>
        </w:tc>
        <w:tc>
          <w:tcPr>
            <w:tcBorders>
              <w:top w:val="single" w:color="auto" w:sz="12" w:space="0"/>
              <w:bottom w:val="single" w:color="auto" w:sz="6" w:space="0"/>
            </w:tcBorders>
            <w:tcW w:w="107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生产能力</w:t>
            </w:r>
            <w:r/>
          </w:p>
        </w:tc>
        <w:tc>
          <w:tcPr>
            <w:tcBorders>
              <w:top w:val="single" w:color="auto" w:sz="12" w:space="0"/>
              <w:bottom w:val="single" w:color="auto" w:sz="6" w:space="0"/>
            </w:tcBorders>
            <w:tcW w:w="687"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trPr>
        <w:tc>
          <w:tcPr>
            <w:tcBorders>
              <w:top w:val="single" w:color="auto" w:sz="6" w:space="0"/>
              <w:bottom w:val="single" w:color="auto" w:sz="6" w:space="0"/>
            </w:tcBorders>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w:t>
      </w:r>
      <w:bookmarkStart w:id="116" w:name="_Toc296503228"/>
      <w:r/>
      <w:bookmarkStart w:id="117" w:name="_Toc296891268"/>
      <w:r/>
      <w:bookmarkStart w:id="118" w:name="_Toc296944567"/>
      <w:r/>
      <w:bookmarkStart w:id="119" w:name="_Toc267261699"/>
      <w:r/>
      <w:bookmarkStart w:id="120" w:name="_Toc296347227"/>
      <w:r/>
      <w:bookmarkStart w:id="121" w:name="_Toc296891056"/>
      <w:r/>
      <w:bookmarkStart w:id="122" w:name="_Toc296346729"/>
      <w:r>
        <w:rPr>
          <w:rFonts w:hint="eastAsia" w:ascii="宋体" w:hAnsi="宋体" w:cs="宋体"/>
          <w:color w:val="auto"/>
          <w:szCs w:val="21"/>
          <w:highlight w:val="none"/>
        </w:rPr>
        <w:t xml:space="preserve">件6：</w:t>
      </w:r>
      <w:bookmarkEnd w:id="116"/>
      <w:r/>
      <w:bookmarkEnd w:id="117"/>
      <w:r/>
      <w:bookmarkEnd w:id="118"/>
      <w:r/>
      <w:bookmarkEnd w:id="119"/>
      <w:r/>
      <w:bookmarkEnd w:id="120"/>
      <w:r/>
      <w:bookmarkEnd w:id="121"/>
      <w:r/>
      <w:bookmarkEnd w:id="122"/>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承包人主要施工管理人员表</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93"/>
        <w:gridCol w:w="1283"/>
        <w:gridCol w:w="1026"/>
        <w:gridCol w:w="1026"/>
        <w:gridCol w:w="3848"/>
      </w:tblGrid>
      <w:tr>
        <w:trPr>
          <w:jc w:val="center"/>
        </w:trPr>
        <w:tc>
          <w:tcPr>
            <w:tcBorders>
              <w:top w:val="single" w:color="auto" w:sz="12"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    称</w:t>
            </w:r>
            <w:r/>
          </w:p>
        </w:tc>
        <w:tc>
          <w:tcPr>
            <w:tcBorders>
              <w:top w:val="single" w:color="auto" w:sz="12" w:space="0"/>
              <w:bottom w:val="single" w:color="auto" w:sz="6"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姓名</w:t>
            </w:r>
            <w:r/>
          </w:p>
        </w:tc>
        <w:tc>
          <w:tcPr>
            <w:tcBorders>
              <w:top w:val="single" w:color="auto" w:sz="12" w:space="0"/>
              <w:bottom w:val="single" w:color="auto" w:sz="6"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职务</w:t>
            </w:r>
            <w:r/>
          </w:p>
        </w:tc>
        <w:tc>
          <w:tcPr>
            <w:tcBorders>
              <w:top w:val="single" w:color="auto" w:sz="12" w:space="0"/>
              <w:bottom w:val="single" w:color="auto" w:sz="6"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职称</w:t>
            </w:r>
            <w:r/>
          </w:p>
        </w:tc>
        <w:tc>
          <w:tcPr>
            <w:tcBorders>
              <w:top w:val="single" w:color="auto" w:sz="12" w:space="0"/>
              <w:bottom w:val="single" w:color="auto" w:sz="6"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主要资历、经验及承担过的项目</w:t>
            </w:r>
            <w:r/>
          </w:p>
        </w:tc>
      </w:tr>
      <w:tr>
        <w:trPr>
          <w:jc w:val="center"/>
        </w:trPr>
        <w:tc>
          <w:tcPr>
            <w:gridSpan w:val="5"/>
            <w:tcBorders>
              <w:top w:val="single" w:color="auto" w:sz="6" w:space="0"/>
              <w:bottom w:val="single" w:color="auto" w:sz="6" w:space="0"/>
            </w:tcBorders>
            <w:tcW w:w="887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一、总部人员</w:t>
            </w:r>
            <w:r/>
          </w:p>
        </w:tc>
      </w:tr>
      <w:tr>
        <w:trPr>
          <w:jc w:val="center"/>
        </w:trPr>
        <w:tc>
          <w:tcPr>
            <w:tcBorders>
              <w:top w:val="none" w:color="000000" w:sz="4"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项目主管</w:t>
            </w:r>
            <w:r/>
          </w:p>
        </w:tc>
        <w:tc>
          <w:tcPr>
            <w:tcBorders>
              <w:top w:val="none" w:color="000000" w:sz="4"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none" w:color="000000" w:sz="4"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其他人员</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none" w:color="000000" w:sz="4"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gridSpan w:val="5"/>
            <w:tcBorders>
              <w:top w:val="single" w:color="auto" w:sz="6" w:space="0"/>
              <w:bottom w:val="single" w:color="auto" w:sz="6" w:space="0"/>
            </w:tcBorders>
            <w:tcW w:w="887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二、现场人员</w:t>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项目副经理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造价管理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质量管理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材料管理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计划管理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安全管理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tcBorders>
            <w:tcW w:w="1693" w:type="dxa"/>
            <w:vAlign w:val="center"/>
            <w:vMerge w:val="restart"/>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其他人员</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bottom w:val="none" w:color="000000" w:sz="4"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bottom w:val="single" w:color="auto" w:sz="12" w:space="0"/>
            </w:tcBorders>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12"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bl>
    <w:p>
      <w:pPr>
        <w:jc w:val="center"/>
        <w:keepNext/>
        <w:rPr>
          <w:rFonts w:hint="eastAsia" w:ascii="宋体" w:hAnsi="宋体" w:eastAsia="宋体" w:cs="宋体"/>
          <w:color w:val="auto"/>
          <w:sz w:val="44"/>
          <w:szCs w:val="44"/>
          <w:highlight w:val="none"/>
        </w:rPr>
        <w:outlineLvl w:val="0"/>
      </w:pPr>
      <w:r>
        <w:rPr>
          <w:rFonts w:eastAsia="仿宋_GB2312"/>
          <w:b/>
          <w:color w:val="auto"/>
          <w:sz w:val="30"/>
          <w:szCs w:val="30"/>
          <w:highlight w:val="none"/>
        </w:rPr>
        <w:br w:type="page" w:clear="all"/>
      </w:r>
      <w:r>
        <w:rPr>
          <w:rFonts w:hint="eastAsia" w:ascii="宋体" w:hAnsi="宋体" w:eastAsia="宋体" w:cs="宋体"/>
          <w:color w:val="auto"/>
          <w:sz w:val="44"/>
          <w:szCs w:val="44"/>
          <w:highlight w:val="none"/>
        </w:rPr>
        <w:t xml:space="preserve">第</w:t>
      </w:r>
      <w:bookmarkEnd w:id="55"/>
      <w:r>
        <w:rPr>
          <w:rFonts w:hint="eastAsia" w:ascii="宋体" w:hAnsi="宋体" w:eastAsia="宋体" w:cs="宋体"/>
          <w:color w:val="auto"/>
          <w:sz w:val="44"/>
          <w:szCs w:val="44"/>
          <w:highlight w:val="none"/>
        </w:rPr>
        <w:t xml:space="preserve">四章 采购需求</w:t>
      </w:r>
      <w:bookmarkEnd w:id="56"/>
      <w:r/>
      <w:bookmarkEnd w:id="57"/>
      <w:r/>
      <w:bookmarkEnd w:id="58"/>
      <w:r/>
      <w:bookmarkEnd w:id="59"/>
      <w:r/>
      <w:bookmarkStart w:id="123" w:name="_Toc49090575"/>
      <w:r/>
      <w:bookmarkStart w:id="124" w:name="_Toc26554093"/>
      <w:r/>
      <w:r/>
    </w:p>
    <w:p>
      <w:pPr>
        <w:ind w:firstLine="422"/>
        <w:pageBreakBefore w:val="0"/>
        <w:spacing w:line="360" w:lineRule="auto"/>
        <w:rPr>
          <w:rFonts w:hint="eastAsia" w:ascii="宋体" w:hAnsi="宋体" w:eastAsia="宋体" w:cs="宋体"/>
          <w:b/>
          <w:i/>
          <w:color w:val="auto"/>
          <w:sz w:val="21"/>
          <w:szCs w:val="21"/>
          <w:highlight w:val="none"/>
          <w:u w:val="single"/>
        </w:rPr>
        <w:outlineLvl w:val="1"/>
      </w:pPr>
      <w:r>
        <w:rPr>
          <w:rFonts w:hint="eastAsia" w:ascii="宋体" w:hAnsi="宋体" w:eastAsia="宋体" w:cs="宋体"/>
          <w:b/>
          <w:i/>
          <w:color w:val="auto"/>
          <w:sz w:val="21"/>
          <w:szCs w:val="21"/>
          <w:highlight w:val="none"/>
          <w:u w:val="single"/>
        </w:rPr>
        <w:t xml:space="preserve">注： 本章内容里斜体且有下划线部分为实质性要求和条件，</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文件不满足的，视为无效</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处理。请各供应商制作</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文件时，将实质性响应的内容在“符合证明文件格式”中准确填写。</w:t>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扬州大学兽医学科生命科学大楼各团队实验室改造工程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200.4</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，报价超过最高限价的视为无效响应文件</w:t>
      </w:r>
      <w:r/>
    </w:p>
    <w:p>
      <w:pPr>
        <w:ind w:firstLine="420"/>
        <w:spacing w:line="360" w:lineRule="auto"/>
        <w:rPr>
          <w:rFonts w:ascii="宋体" w:hAnsi="宋体" w:cs="宋体"/>
          <w:color w:val="auto"/>
          <w:szCs w:val="21"/>
          <w:highlight w:val="none"/>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扬州大学兽医学科生命科学大楼各团队实验室改造工程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包含但不限于本项目施工图纸及工程量清单范围内的所有施工内容。具体详见</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、图纸及工程量清单；</w:t>
      </w:r>
      <w:r/>
    </w:p>
    <w:p>
      <w:pPr>
        <w:numPr>
          <w:ilvl w:val="0"/>
          <w:numId w:val="0"/>
        </w:numPr>
        <w:ind w:firstLine="420"/>
        <w:spacing w:line="360" w:lineRule="auto"/>
        <w:rPr>
          <w:rFonts w:hint="eastAsia" w:ascii="宋体" w:hAnsi="宋体" w:eastAsia="宋体" w:cs="宋体"/>
          <w:sz w:val="21"/>
          <w:szCs w:val="21"/>
          <w:highlight w:val="none"/>
          <w:rtl w:val="0"/>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质量等级要求：</w:t>
      </w:r>
      <w:r>
        <w:rPr>
          <w:rFonts w:hint="eastAsia" w:ascii="宋体" w:hAnsi="宋体" w:eastAsia="宋体" w:cs="宋体"/>
          <w:sz w:val="21"/>
          <w:szCs w:val="21"/>
          <w:highlight w:val="none"/>
          <w:rtl w:val="0"/>
        </w:rPr>
        <w:t xml:space="preserve">按GB 50300-2013《建筑工程施工质量验收统一标准》、《建设工程质量管理条例》 及住建部《竣工验收规定》等国家规定验收，需达合格。</w:t>
      </w:r>
      <w:r/>
    </w:p>
    <w:p>
      <w:p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二、技术要求</w:t>
      </w:r>
      <w:r/>
    </w:p>
    <w:p>
      <w:pPr>
        <w:numPr>
          <w:ilvl w:val="0"/>
          <w:numId w:val="0"/>
        </w:numPr>
        <w:ind w:left="0" w:firstLine="0"/>
        <w:jc w:val="left"/>
        <w:spacing w:line="360" w:lineRule="auto"/>
        <w:rPr>
          <w:rFonts w:hint="eastAsia" w:ascii="宋体" w:hAnsi="宋体" w:cs="宋体"/>
          <w:color w:val="auto"/>
          <w:szCs w:val="21"/>
          <w:highlight w:val="none"/>
          <w:rtl w:val="0"/>
          <w:lang w:val="en-US" w:eastAsia="zh-CN"/>
        </w:rPr>
      </w:pPr>
      <w:r>
        <w:rPr>
          <w:rFonts w:hint="eastAsia" w:ascii="宋体" w:hAnsi="宋体" w:cs="宋体"/>
          <w:b/>
          <w:bCs/>
          <w:color w:val="auto"/>
          <w:szCs w:val="21"/>
          <w:highlight w:val="none"/>
          <w:rtl w:val="0"/>
          <w:lang w:val="en-US" w:eastAsia="zh-CN"/>
        </w:rPr>
        <w:t xml:space="preserve">一）装修部分施工要求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1、玻璃隔断要求：所有玻璃隔断均为不锈钢包边框钢化玻璃隔断，所有配套的五金拉手等齐全。部分实验室是磨砂玻璃隔断以及顶面350mm镂空玻璃隔断，按照图纸布置。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2、石膏板隔断要求：所有石膏板隔断下口均双面不锈钢踢脚线，高度十公分；所有石膏板隔断上均为配套成品套装门。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w:t>
      </w:r>
      <w:r>
        <w:rPr>
          <w:rFonts w:hint="eastAsia" w:ascii="宋体" w:hAnsi="宋体" w:cs="宋体"/>
          <w:color w:val="auto"/>
          <w:szCs w:val="21"/>
          <w:highlight w:val="none"/>
          <w:rtl w:val="0"/>
          <w:lang w:val="en-US" w:eastAsia="zh-CN"/>
        </w:rPr>
        <w:t xml:space="preserve"> 3、净化板隔断要求：所有净化板隔断分隔均为细胞实验室，隔断为50厚净化岩棉板，钢板厚度不小于0.5mm，钢板表面颜色为白色，复合彩钢板双面贴厚膜保护。其耐火极限应不低于 1.0小时，并提供由国家认可的检测机构依据 GB/T 9978.1 和 GB/T 9978.8 出具的耐火性能检测报告。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4、</w:t>
      </w:r>
      <w:r>
        <w:rPr>
          <w:rFonts w:hint="eastAsia"/>
          <w:highlight w:val="none"/>
          <w:lang w:val="en-US" w:eastAsia="zh-CN"/>
        </w:rPr>
        <w:t xml:space="preserve">铝扣板要求：</w:t>
      </w:r>
      <w:r>
        <w:rPr>
          <w:rFonts w:hint="eastAsia" w:ascii="宋体" w:hAnsi="宋体" w:cs="宋体"/>
          <w:color w:val="auto"/>
          <w:szCs w:val="21"/>
          <w:highlight w:val="none"/>
          <w:rtl w:val="0"/>
          <w:lang w:val="en-US" w:eastAsia="zh-CN"/>
        </w:rPr>
        <w:t xml:space="preserve">外观质量合格，附着力0级，漆膜硬度大于等于HB，耐酸性2%HCl(V/V) ，24h无变化，耐碱性饱和 Ca(OH)2 ，24H无变化，提供由国家认可的检测机构依据 GB/T23444-2024 出具的检测报告。 </w:t>
      </w:r>
      <w:r/>
    </w:p>
    <w:p>
      <w:pPr>
        <w:numPr>
          <w:ilvl w:val="0"/>
          <w:numId w:val="0"/>
        </w:numPr>
        <w:ind w:left="0" w:firstLine="210"/>
        <w:jc w:val="left"/>
        <w:spacing w:line="360" w:lineRule="auto"/>
        <w:rPr>
          <w:rFonts w:hint="eastAsia" w:ascii="宋体" w:hAnsi="宋体" w:cs="宋体"/>
          <w:color w:val="auto"/>
          <w:szCs w:val="21"/>
          <w:highlight w:val="none"/>
          <w:rtl w:val="0"/>
          <w:lang w:val="en-US" w:eastAsia="zh-CN"/>
        </w:rPr>
      </w:pPr>
      <w:r>
        <w:rPr>
          <w:rFonts w:hint="eastAsia" w:ascii="宋体" w:hAnsi="宋体" w:cs="宋体"/>
          <w:color w:val="auto"/>
          <w:szCs w:val="21"/>
          <w:highlight w:val="none"/>
          <w:rtl w:val="0"/>
          <w:lang w:val="en-US" w:eastAsia="zh-CN"/>
        </w:rPr>
        <w:t xml:space="preserve">5、钢化净化门要求：防尘试验（IP5X）被试外壳按正常工作位置放入试验箱内，不与真空泵连接，持续8h，内部无尘进入合格。防水试验（IPX6）喷水口直径12.5 mm，喷水距离2.5m~3m水流量100 L/min试验时间3min，试验后样品内部无水进入判定符合。</w:t>
      </w:r>
      <w:r>
        <w:rPr>
          <w:rFonts w:hint="eastAsia" w:ascii="宋体" w:hAnsi="宋体" w:cs="宋体"/>
          <w:color w:val="auto"/>
          <w:szCs w:val="21"/>
          <w:highlight w:val="none"/>
          <w:rtl w:val="0"/>
          <w:lang w:val="en-US" w:eastAsia="zh-CN"/>
        </w:rPr>
        <w:t xml:space="preserve">提供由国家认可的检测机构依据 GB/T4208-2017 13.5和14.2.6出具的检测报告。</w:t>
      </w:r>
      <w:r/>
    </w:p>
    <w:p>
      <w:pPr>
        <w:numPr>
          <w:ilvl w:val="0"/>
          <w:numId w:val="0"/>
        </w:numPr>
        <w:ind w:left="0" w:firstLine="210"/>
        <w:jc w:val="left"/>
        <w:spacing w:line="360" w:lineRule="auto"/>
        <w:rPr>
          <w:rFonts w:hint="eastAsia" w:ascii="宋体" w:hAnsi="宋体" w:cs="宋体"/>
          <w:color w:val="auto"/>
          <w:szCs w:val="21"/>
          <w:highlight w:val="none"/>
          <w:rtl w:val="0"/>
          <w:lang w:val="en-US" w:eastAsia="zh-CN"/>
        </w:rPr>
      </w:pPr>
      <w:r>
        <w:rPr>
          <w:rFonts w:hint="eastAsia" w:ascii="宋体" w:hAnsi="宋体" w:cs="宋体"/>
          <w:color w:val="auto"/>
          <w:szCs w:val="21"/>
          <w:highlight w:val="none"/>
          <w:rtl w:val="0"/>
          <w:lang w:val="en-US" w:eastAsia="zh-CN"/>
        </w:rPr>
        <w:t xml:space="preserve">6、吊顶做法：按照图纸要求做600*600*0.8铝板吊顶或者净化板吊顶。轻钢龙骨铝板吊顶施工时注意顶面各种实验管道的避让。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7、所有的空调通风及各种管道的出风口及回风口均下移与吊顶统一水平面上。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8、所有隔断施工前均需放线定位由双方书面确定好位置才可施工。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9、所有隔断上插座位置均为示意位置，具体高度及位置可能会根据现场实际略有调整。现场接线从就近的插座或者实验台接入。</w:t>
      </w:r>
      <w:r/>
    </w:p>
    <w:p>
      <w:pPr>
        <w:ind w:firstLine="21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宋体" w:hAnsi="宋体" w:cs="宋体"/>
          <w:color w:val="auto"/>
          <w:szCs w:val="21"/>
          <w:highlight w:val="none"/>
          <w:rtl w:val="0"/>
          <w:lang w:val="en-US" w:eastAsia="zh-CN"/>
        </w:rPr>
        <w:t xml:space="preserve">10、</w:t>
      </w:r>
      <w:r>
        <w:rPr>
          <w:rFonts w:hint="eastAsia" w:asciiTheme="minorEastAsia" w:hAnsiTheme="minorEastAsia" w:cstheme="minorEastAsia"/>
          <w:sz w:val="21"/>
          <w:szCs w:val="21"/>
          <w:highlight w:val="none"/>
          <w:lang w:val="en-US" w:eastAsia="zh-CN" w:bidi="ar"/>
        </w:rPr>
        <w:t xml:space="preserve">所有室内装修材料（包括隔断、吊顶、地面、墙面装饰材料等）的燃烧性能等级，应符合现行国家标准《建筑内部装修设计防火规范 GB 50222-2017》中对“教学、科研场所”的相关规定。</w:t>
      </w:r>
      <w:r/>
    </w:p>
    <w:p>
      <w:pPr>
        <w:numPr>
          <w:ilvl w:val="0"/>
          <w:numId w:val="0"/>
        </w:numPr>
        <w:ind w:left="0" w:firstLine="211"/>
        <w:jc w:val="left"/>
        <w:spacing w:line="360" w:lineRule="auto"/>
        <w:rPr>
          <w:rFonts w:hint="default"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rtl w:val="0"/>
          <w:lang w:val="en-US" w:eastAsia="zh-CN"/>
        </w:rPr>
        <w:t xml:space="preserve">二）</w:t>
      </w:r>
      <w:r>
        <w:rPr>
          <w:rFonts w:hint="eastAsia" w:ascii="宋体" w:hAnsi="宋体" w:eastAsia="宋体" w:cs="宋体"/>
          <w:b/>
          <w:bCs/>
          <w:color w:val="auto"/>
          <w:sz w:val="21"/>
          <w:szCs w:val="21"/>
          <w:highlight w:val="none"/>
          <w:rtl w:val="0"/>
          <w:lang w:val="en-US" w:eastAsia="zh-CN"/>
        </w:rPr>
        <w:t xml:space="preserve">消防方面技术要求</w:t>
      </w:r>
      <w:r>
        <w:rPr>
          <w:rFonts w:hint="eastAsia" w:ascii="宋体" w:hAnsi="宋体" w:eastAsia="宋体" w:cs="宋体"/>
          <w:color w:val="auto"/>
          <w:sz w:val="21"/>
          <w:szCs w:val="21"/>
          <w:highlight w:val="none"/>
          <w:rtl w:val="0"/>
          <w:lang w:val="en-US" w:eastAsia="zh-CN"/>
        </w:rPr>
        <w:t xml:space="preserve"> </w:t>
      </w:r>
      <w:r>
        <w:rPr>
          <w:rFonts w:hint="eastAsia" w:ascii="宋体" w:hAnsi="宋体" w:eastAsia="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1.</w:t>
      </w:r>
      <w:r>
        <w:rPr>
          <w:rFonts w:hint="eastAsia" w:ascii="宋体" w:hAnsi="宋体" w:cs="宋体"/>
          <w:i/>
          <w:iCs/>
          <w:color w:val="auto"/>
          <w:sz w:val="21"/>
          <w:szCs w:val="21"/>
          <w:highlight w:val="none"/>
          <w:u w:val="single"/>
          <w:rtl w:val="0"/>
          <w:lang w:val="en-US" w:eastAsia="zh-CN"/>
        </w:rPr>
        <w:t xml:space="preserve">响应供应商须承诺成交后所有进场的消防材料、设备均需为国家消防产品认证目录内产品，且具备3C认证证书、产品合格证。</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2.消防管网（消火栓管、喷淋管）施工需避让实验室气管、水管、仪器设备管道，且与实验室管道保持不小于300mm的安全距离。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3.P2净化实验室所有消防管线需采用暗敷或半暗敷方式，与净化板吊顶、墙面衔接处需用防火中性密封胶严密处理，消防管线的检修口需与净化工程检修口统一规划，且满足净化实验室使用要求；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4.</w:t>
      </w:r>
      <w:r>
        <w:rPr>
          <w:rFonts w:hint="eastAsia" w:ascii="宋体" w:hAnsi="宋体" w:cs="宋体"/>
          <w:i/>
          <w:iCs/>
          <w:color w:val="auto"/>
          <w:sz w:val="21"/>
          <w:szCs w:val="21"/>
          <w:highlight w:val="none"/>
          <w:u w:val="single"/>
          <w:rtl w:val="0"/>
          <w:lang w:val="en-US" w:eastAsia="zh-CN"/>
        </w:rPr>
        <w:t xml:space="preserve">响应供应商须承诺消防施工完成后，需委托国家认可的第三方机构进行全面检测，出具合格的检测报告，检测标准需符合《建筑消防设施检测技术规程》（XF503 - 2004）消防要求，检测费用双方另行商议。</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cs="宋体"/>
          <w:color w:val="auto"/>
          <w:sz w:val="21"/>
          <w:szCs w:val="21"/>
          <w:highlight w:val="none"/>
          <w:rtl w:val="0"/>
          <w:lang w:val="en-US" w:eastAsia="zh-CN"/>
        </w:rPr>
        <w:t xml:space="preserve">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5.响应供应商须承诺组织消防系统联动调试。调试记录需经采购人、消防监理、第三方检测机构共同签字确认，调试或检测不合格的，整改费用由成交人承担。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w:t>
      </w:r>
      <w:r>
        <w:rPr>
          <w:rFonts w:hint="eastAsia" w:ascii="宋体" w:hAnsi="宋体" w:cs="宋体"/>
          <w:b/>
          <w:bCs/>
          <w:color w:val="auto"/>
          <w:sz w:val="21"/>
          <w:szCs w:val="21"/>
          <w:highlight w:val="none"/>
          <w:lang w:val="en-US" w:eastAsia="zh-CN" w:bidi="ar-SA"/>
        </w:rPr>
        <w:t xml:space="preserve">三、商务要求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工期：</w:t>
      </w:r>
      <w:r>
        <w:rPr>
          <w:rFonts w:hint="eastAsia" w:ascii="宋体" w:hAnsi="宋体" w:cs="宋体"/>
          <w:color w:val="auto"/>
          <w:sz w:val="21"/>
          <w:szCs w:val="21"/>
          <w:highlight w:val="none"/>
          <w:lang w:val="en-US" w:eastAsia="zh-CN" w:bidi="ar-SA"/>
        </w:rPr>
        <w:t xml:space="preserve">合同签订后100日历天内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eastAsia="宋体" w:cs="宋体"/>
          <w:color w:val="auto"/>
          <w:sz w:val="21"/>
          <w:szCs w:val="21"/>
          <w:highlight w:val="none"/>
        </w:rPr>
        <w:t xml:space="preserve">计划开工日期：2026年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日，计划竣工日期：2026年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23日</w:t>
      </w:r>
      <w:r>
        <w:rPr>
          <w:rFonts w:hint="eastAsia" w:ascii="宋体" w:hAnsi="宋体" w:eastAsia="宋体" w:cs="宋体"/>
          <w:color w:val="auto"/>
          <w:sz w:val="21"/>
          <w:szCs w:val="21"/>
          <w:highlight w:val="none"/>
        </w:rPr>
        <w:t xml:space="preserve">。（具体开工日期以甲方签发的书面开工通知为准）；</w:t>
      </w:r>
      <w:r/>
    </w:p>
    <w:p>
      <w:p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2、建设地点：</w:t>
      </w:r>
      <w:r>
        <w:rPr>
          <w:rFonts w:hint="eastAsia" w:ascii="宋体" w:hAnsi="宋体" w:cs="宋体"/>
          <w:color w:val="auto"/>
          <w:sz w:val="21"/>
          <w:szCs w:val="21"/>
          <w:highlight w:val="none"/>
          <w:rtl w:val="0"/>
          <w:lang w:val="en-US" w:eastAsia="zh-CN" w:bidi="ar-SA"/>
        </w:rPr>
        <w:t xml:space="preserve">扬州大学文汇路校区生命科学大楼内</w:t>
      </w:r>
      <w:r>
        <w:rPr>
          <w:rFonts w:hint="eastAsia" w:ascii="宋体" w:hAnsi="宋体" w:cs="宋体"/>
          <w:color w:val="auto"/>
          <w:sz w:val="21"/>
          <w:szCs w:val="21"/>
          <w:highlight w:val="none"/>
          <w:lang w:val="en-US" w:eastAsia="zh-CN" w:bidi="ar-SA"/>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报价应按照采购人提供的工程量清单的格式，不得改变工程量清单。供应商首轮报价应有详细的报价组成，应按采购人提供的工程量清单及相关费用、费率报价。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、最终以总价方式报价，成交价即合同价为最终报价。首轮报价明细仍为合同价的组成部分，总价汇总表在</w:t>
      </w:r>
      <w:r>
        <w:rPr>
          <w:rFonts w:hint="eastAsia"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、本工程结算价需经有关部门审定确认。</w:t>
      </w:r>
      <w:r/>
    </w:p>
    <w:p>
      <w:pPr>
        <w:pStyle w:val="124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w:t>
      </w:r>
      <w:r/>
    </w:p>
    <w:p>
      <w:pPr>
        <w:pStyle w:val="1242"/>
        <w:ind w:firstLine="422"/>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hAnsi="宋体" w:cs="宋体"/>
          <w:b/>
          <w:bCs/>
          <w:i/>
          <w:color w:val="auto"/>
          <w:sz w:val="21"/>
          <w:szCs w:val="21"/>
          <w:highlight w:val="none"/>
          <w:u w:val="single"/>
          <w:lang w:val="en-US" w:eastAsia="zh-CN"/>
        </w:rPr>
        <w:t xml:space="preserve">7</w:t>
      </w:r>
      <w:r>
        <w:rPr>
          <w:rFonts w:hint="eastAsia" w:ascii="宋体" w:hAnsi="宋体" w:eastAsia="宋体" w:cs="宋体"/>
          <w:b/>
          <w:bCs/>
          <w:i/>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本项目承包范围为</w:t>
      </w:r>
      <w:r>
        <w:rPr>
          <w:rFonts w:hint="eastAsia" w:hAnsi="宋体" w:cs="宋体"/>
          <w:i/>
          <w:iCs/>
          <w:color w:val="auto"/>
          <w:sz w:val="21"/>
          <w:szCs w:val="21"/>
          <w:highlight w:val="none"/>
          <w:u w:val="single"/>
          <w:lang w:val="en-US" w:eastAsia="zh-CN"/>
        </w:rPr>
        <w:t xml:space="preserve">采购</w:t>
      </w:r>
      <w:r>
        <w:rPr>
          <w:rFonts w:hint="eastAsia" w:ascii="宋体" w:hAnsi="宋体" w:eastAsia="宋体" w:cs="宋体"/>
          <w:i/>
          <w:iCs/>
          <w:color w:val="auto"/>
          <w:sz w:val="21"/>
          <w:szCs w:val="21"/>
          <w:highlight w:val="none"/>
          <w:u w:val="single"/>
        </w:rPr>
        <w:t xml:space="preserve">文件、工程量清单、图纸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eastAsia="宋体" w:cs="宋体"/>
          <w:i/>
          <w:iCs/>
          <w:color w:val="auto"/>
          <w:sz w:val="21"/>
          <w:szCs w:val="21"/>
          <w:highlight w:val="none"/>
          <w:u w:val="single"/>
          <w:lang w:val="en-US" w:eastAsia="zh-CN" w:bidi="en-US"/>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bookmarkStart w:id="125" w:name="_Toc120614281"/>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、磋商报价编制要求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.1所有磋商报价以人民币表示，供应商报价单位为元，保留小数点后两位。</w:t>
      </w:r>
      <w:r/>
    </w:p>
    <w:p>
      <w:pPr>
        <w:pStyle w:val="124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.2供应商在磋商截止时间前修改磋商函中的磋商总报价，应同时修改“工程量清单”中的相应报价。</w:t>
      </w:r>
      <w:r/>
    </w:p>
    <w:p>
      <w:pPr>
        <w:pStyle w:val="1242"/>
        <w:ind w:firstLine="420"/>
        <w:jc w:val="left"/>
        <w:keepLines w:val="0"/>
        <w:keepNext w:val="0"/>
        <w:pageBreakBefore w:val="0"/>
        <w:spacing w:line="360" w:lineRule="auto"/>
        <w:rPr>
          <w:rFonts w:hint="eastAsia" w:asciiTheme="minorEastAsia" w:hAnsiTheme="minorEastAsia" w:cstheme="minorEastAsia"/>
          <w:sz w:val="21"/>
          <w:szCs w:val="21"/>
          <w:highlight w:val="none"/>
          <w:lang w:val="en-US" w:eastAsia="zh-CN" w:bidi="ar"/>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.3除磋商文件有强制性规定以及不可竞争部分以外，磋商报价应根据磋商文件中的有关要求，并依据供应商根据工程实际情况和本企业经营管理水平自主合理报价，但不得低于企业成本价。</w:t>
      </w:r>
      <w:r/>
    </w:p>
    <w:p>
      <w:pPr>
        <w:numPr>
          <w:ilvl w:val="0"/>
          <w:numId w:val="0"/>
        </w:numPr>
        <w:ind w:left="0" w:firstLine="211"/>
        <w:jc w:val="left"/>
        <w:spacing w:line="360" w:lineRule="auto"/>
        <w:rPr>
          <w:rFonts w:hint="default" w:ascii="宋体" w:hAnsi="宋体" w:eastAsia="宋体" w:cs="宋体"/>
          <w:b/>
          <w:bCs/>
          <w:color w:val="auto"/>
          <w:sz w:val="21"/>
          <w:szCs w:val="21"/>
          <w:highlight w:val="none"/>
          <w:rtl w:val="0"/>
          <w:lang w:val="en-US" w:eastAsia="zh-CN"/>
        </w:rPr>
      </w:pPr>
      <w:r>
        <w:rPr>
          <w:rFonts w:hint="eastAsia" w:ascii="宋体" w:hAnsi="宋体" w:eastAsia="宋体" w:cs="宋体"/>
          <w:b/>
          <w:bCs/>
          <w:color w:val="auto"/>
          <w:sz w:val="21"/>
          <w:szCs w:val="21"/>
          <w:highlight w:val="none"/>
          <w:rtl w:val="0"/>
          <w:lang w:val="en-US" w:eastAsia="zh-CN"/>
        </w:rPr>
        <w:t xml:space="preserve">四、其他要求</w:t>
      </w:r>
      <w:r/>
    </w:p>
    <w:p>
      <w:pPr>
        <w:ind w:firstLine="42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Theme="minorEastAsia" w:hAnsiTheme="minorEastAsia" w:cstheme="minorEastAsia"/>
          <w:sz w:val="21"/>
          <w:szCs w:val="21"/>
          <w:highlight w:val="none"/>
          <w:lang w:val="en-US" w:eastAsia="zh-CN" w:bidi="ar"/>
        </w:rPr>
        <w:t xml:space="preserve">1、</w:t>
      </w:r>
      <w:r>
        <w:rPr>
          <w:rFonts w:hint="eastAsia" w:asciiTheme="minorEastAsia" w:hAnsiTheme="minorEastAsia" w:cstheme="minorEastAsia"/>
          <w:sz w:val="21"/>
          <w:szCs w:val="21"/>
          <w:highlight w:val="none"/>
          <w:lang w:bidi="ar"/>
        </w:rPr>
        <w:t xml:space="preserve">资料提交：</w:t>
      </w:r>
      <w:r>
        <w:rPr>
          <w:rFonts w:hint="eastAsia" w:ascii="宋体" w:hAnsi="宋体" w:cs="宋体"/>
          <w:color w:val="auto"/>
          <w:sz w:val="21"/>
          <w:szCs w:val="21"/>
          <w:highlight w:val="none"/>
          <w:rtl w:val="0"/>
          <w:lang w:val="en-US" w:eastAsia="zh-CN"/>
        </w:rPr>
        <w:t xml:space="preserve">施工完成后，施工方需向采购人提交完整的施工技术资料，包括</w:t>
      </w:r>
      <w:r>
        <w:rPr>
          <w:rFonts w:hint="eastAsia" w:asciiTheme="minorEastAsia" w:hAnsiTheme="minorEastAsia" w:cstheme="minorEastAsia"/>
          <w:sz w:val="21"/>
          <w:szCs w:val="21"/>
          <w:highlight w:val="none"/>
          <w:lang w:bidi="ar"/>
        </w:rPr>
        <w:t xml:space="preserve">加盖竣工图章的竣工图纸质版</w:t>
      </w:r>
      <w:r>
        <w:rPr>
          <w:rFonts w:hint="eastAsia" w:asciiTheme="minorEastAsia" w:hAnsiTheme="minorEastAsia" w:cstheme="minorEastAsia"/>
          <w:sz w:val="21"/>
          <w:szCs w:val="21"/>
          <w:highlight w:val="none"/>
          <w:lang w:val="en-US" w:eastAsia="zh-CN" w:bidi="ar"/>
        </w:rPr>
        <w:t xml:space="preserve">2</w:t>
      </w:r>
      <w:r>
        <w:rPr>
          <w:rFonts w:hint="eastAsia" w:asciiTheme="minorEastAsia" w:hAnsiTheme="minorEastAsia" w:cstheme="minorEastAsia"/>
          <w:sz w:val="21"/>
          <w:szCs w:val="21"/>
          <w:highlight w:val="none"/>
          <w:lang w:bidi="ar"/>
        </w:rPr>
        <w:t xml:space="preserve">套，电子版PDF及CAD格式</w:t>
      </w:r>
      <w:r>
        <w:rPr>
          <w:rFonts w:hint="eastAsia" w:asciiTheme="minorEastAsia" w:hAnsiTheme="minorEastAsia" w:cstheme="minorEastAsia"/>
          <w:sz w:val="21"/>
          <w:szCs w:val="21"/>
          <w:highlight w:val="none"/>
          <w:lang w:val="en-US" w:eastAsia="zh-CN" w:bidi="ar"/>
        </w:rPr>
        <w:t xml:space="preserve">各1套</w:t>
      </w:r>
      <w:r>
        <w:rPr>
          <w:rFonts w:hint="eastAsia" w:asciiTheme="minorEastAsia" w:hAnsiTheme="minorEastAsia" w:cstheme="minorEastAsia"/>
          <w:sz w:val="21"/>
          <w:szCs w:val="21"/>
          <w:highlight w:val="none"/>
          <w:lang w:bidi="ar"/>
        </w:rPr>
        <w:t xml:space="preserve">；消防产品、材料的合格证、强制性认证（CCC）证书及型式检验报告汇编册；施工过程质量检查记录、隐蔽工程验收记录；消防系统调试报告；第三方消防检测合格报告</w:t>
      </w:r>
      <w:r>
        <w:rPr>
          <w:rFonts w:hint="eastAsia" w:asciiTheme="minorEastAsia" w:hAnsiTheme="minorEastAsia" w:cstheme="minorEastAsia"/>
          <w:sz w:val="21"/>
          <w:szCs w:val="21"/>
          <w:highlight w:val="none"/>
          <w:lang w:val="en-US" w:eastAsia="zh-CN" w:bidi="ar"/>
        </w:rPr>
        <w:t xml:space="preserve">等。</w:t>
      </w:r>
      <w:r/>
    </w:p>
    <w:p>
      <w:pPr>
        <w:ind w:firstLine="420"/>
        <w:jc w:val="left"/>
        <w:spacing w:line="360" w:lineRule="auto"/>
        <w:widowControl/>
        <w:rPr>
          <w:rFonts w:hint="eastAsia" w:asciiTheme="minorEastAsia" w:hAnsiTheme="minorEastAsia" w:cstheme="minorEastAsia"/>
          <w:sz w:val="21"/>
          <w:szCs w:val="21"/>
          <w:highlight w:val="none"/>
          <w:lang w:bidi="ar"/>
        </w:rPr>
      </w:pPr>
      <w:r>
        <w:rPr>
          <w:rFonts w:hint="eastAsia" w:asciiTheme="minorEastAsia" w:hAnsiTheme="minorEastAsia" w:cstheme="minorEastAsia"/>
          <w:sz w:val="21"/>
          <w:szCs w:val="21"/>
          <w:highlight w:val="none"/>
          <w:lang w:val="en-US" w:eastAsia="zh-CN" w:bidi="ar"/>
        </w:rPr>
        <w:t xml:space="preserve">2、</w:t>
      </w:r>
      <w:r>
        <w:rPr>
          <w:rFonts w:hint="eastAsia" w:eastAsia="宋体" w:asciiTheme="minorEastAsia" w:hAnsiTheme="minorEastAsia" w:cstheme="minorEastAsia"/>
          <w:sz w:val="21"/>
          <w:szCs w:val="21"/>
          <w:highlight w:val="none"/>
          <w:lang w:val="en-US" w:eastAsia="zh-CN" w:bidi="ar"/>
        </w:rPr>
        <w:t xml:space="preserve">施工前，成交人须会同采购人、现有设施设备管理方对施工区域内及可能受影响区域的现有设施设备</w:t>
      </w:r>
      <w:r>
        <w:rPr>
          <w:rFonts w:hint="eastAsia" w:asciiTheme="minorEastAsia" w:hAnsiTheme="minorEastAsia" w:cstheme="minorEastAsia"/>
          <w:sz w:val="21"/>
          <w:szCs w:val="21"/>
          <w:highlight w:val="none"/>
          <w:lang w:bidi="ar"/>
        </w:rPr>
        <w:t xml:space="preserve">（包括但不限于管道、线路、仪器、装修）进行共同勘查、拍照并形成《现场状况确认清单》，作为基准。施工期间，</w:t>
      </w:r>
      <w:r>
        <w:rPr>
          <w:rFonts w:hint="eastAsia" w:asciiTheme="minorEastAsia" w:hAnsiTheme="minorEastAsia" w:cstheme="minorEastAsia"/>
          <w:sz w:val="21"/>
          <w:szCs w:val="21"/>
          <w:highlight w:val="none"/>
          <w:lang w:val="en-US" w:eastAsia="zh-CN" w:bidi="ar"/>
        </w:rPr>
        <w:t xml:space="preserve">成交人</w:t>
      </w:r>
      <w:r>
        <w:rPr>
          <w:rFonts w:hint="eastAsia" w:asciiTheme="minorEastAsia" w:hAnsiTheme="minorEastAsia" w:cstheme="minorEastAsia"/>
          <w:sz w:val="21"/>
          <w:szCs w:val="21"/>
          <w:highlight w:val="none"/>
          <w:lang w:bidi="ar"/>
        </w:rPr>
        <w:t xml:space="preserve">须采取有效包裹、遮挡、隔离等保护措施。如有损坏，</w:t>
      </w:r>
      <w:r>
        <w:rPr>
          <w:rFonts w:hint="eastAsia" w:asciiTheme="minorEastAsia" w:hAnsiTheme="minorEastAsia" w:cstheme="minorEastAsia"/>
          <w:sz w:val="21"/>
          <w:szCs w:val="21"/>
          <w:highlight w:val="none"/>
          <w:lang w:val="en-US" w:eastAsia="zh-CN" w:bidi="ar"/>
        </w:rPr>
        <w:t xml:space="preserve">成交人</w:t>
      </w:r>
      <w:r>
        <w:rPr>
          <w:rFonts w:hint="eastAsia" w:asciiTheme="minorEastAsia" w:hAnsiTheme="minorEastAsia" w:cstheme="minorEastAsia"/>
          <w:sz w:val="21"/>
          <w:szCs w:val="21"/>
          <w:highlight w:val="none"/>
          <w:lang w:bidi="ar"/>
        </w:rPr>
        <w:t xml:space="preserve">应立即通知采购人，双方依据《现场状况确认清单》共同确认损坏事实与责任。赔偿金额按恢复原状所需的市场维修费用或经评估后的费用计算，具体由双方协商或委托第三方评估确定，从工程款中扣除。</w:t>
      </w:r>
      <w:r/>
    </w:p>
    <w:p>
      <w:pPr>
        <w:ind w:firstLine="42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宋体" w:hAnsi="宋体" w:cs="宋体"/>
          <w:color w:val="auto"/>
          <w:szCs w:val="21"/>
          <w:highlight w:val="none"/>
          <w:rtl w:val="0"/>
          <w:lang w:val="en-US" w:eastAsia="zh-CN"/>
        </w:rPr>
        <w:t xml:space="preserve">3</w:t>
      </w:r>
      <w:r>
        <w:rPr>
          <w:rFonts w:hint="eastAsia" w:ascii="宋体" w:hAnsi="宋体" w:eastAsia="宋体" w:cs="宋体"/>
          <w:color w:val="auto"/>
          <w:szCs w:val="21"/>
          <w:highlight w:val="none"/>
          <w:rtl w:val="0"/>
          <w:lang w:val="en-US" w:eastAsia="zh-CN"/>
        </w:rPr>
        <w:t xml:space="preserve">、</w:t>
      </w:r>
      <w:r>
        <w:rPr>
          <w:rFonts w:hint="eastAsia" w:asciiTheme="minorEastAsia" w:hAnsiTheme="minorEastAsia" w:cstheme="minorEastAsia"/>
          <w:sz w:val="21"/>
          <w:szCs w:val="21"/>
          <w:highlight w:val="none"/>
          <w:lang w:val="en-US" w:eastAsia="zh-CN" w:bidi="ar"/>
        </w:rPr>
        <w:t xml:space="preserve">建筑垃圾与施工环保：要求承包商制定建筑垃圾清运方案，运输至指定合法消纳场所，严禁随意倾倒。施工期间需采取降尘、降噪措施，遵守校园管理规定。</w:t>
      </w:r>
      <w:r/>
    </w:p>
    <w:p>
      <w:pPr>
        <w:ind w:firstLine="420"/>
        <w:jc w:val="left"/>
        <w:spacing w:line="360" w:lineRule="auto"/>
        <w:widowControl/>
        <w:rPr>
          <w:rFonts w:hint="default" w:asciiTheme="minorEastAsia" w:hAnsiTheme="minorEastAsia" w:cstheme="minorEastAsia"/>
          <w:sz w:val="21"/>
          <w:szCs w:val="21"/>
          <w:highlight w:val="none"/>
          <w:lang w:val="en-US" w:eastAsia="zh-CN" w:bidi="ar"/>
        </w:rPr>
      </w:pPr>
      <w:r>
        <w:rPr>
          <w:rFonts w:hint="default" w:asciiTheme="minorEastAsia" w:hAnsiTheme="minorEastAsia" w:cstheme="minorEastAsia"/>
          <w:sz w:val="21"/>
          <w:szCs w:val="21"/>
          <w:highlight w:val="none"/>
          <w:lang w:val="en-US" w:eastAsia="zh-CN" w:bidi="ar"/>
        </w:rPr>
      </w:r>
      <w:r/>
    </w:p>
    <w:p>
      <w:pPr>
        <w:pStyle w:val="1242"/>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2"/>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242"/>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242"/>
        <w:ind w:firstLine="420"/>
        <w:jc w:val="center"/>
        <w:keepLines w:val="0"/>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br w:type="page" w:clear="all"/>
      </w:r>
      <w:bookmarkStart w:id="126" w:name="_Toc165197241"/>
      <w:r>
        <w:rPr>
          <w:rFonts w:hint="eastAsia" w:ascii="宋体" w:hAnsi="宋体" w:eastAsia="宋体" w:cs="宋体"/>
          <w:color w:val="auto"/>
          <w:sz w:val="44"/>
          <w:szCs w:val="44"/>
          <w:highlight w:val="none"/>
        </w:rPr>
        <w:t xml:space="preserve">第五章  评审方法与评审标准</w:t>
      </w:r>
      <w:bookmarkEnd w:id="126"/>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本项目采用综合评分法，磋商小组将对确定为实质性响应采购文件要求的响应文件进行评价和比较。评审结果按评审后得分由高到低顺序排列。</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w:t>
      </w:r>
      <w:r>
        <w:rPr>
          <w:rFonts w:hint="eastAsia" w:ascii="宋体" w:hAnsi="宋体" w:cs="宋体"/>
          <w:color w:val="auto"/>
          <w:sz w:val="21"/>
          <w:szCs w:val="21"/>
          <w:highlight w:val="none"/>
          <w:lang w:val="en-US" w:eastAsia="zh-CN"/>
        </w:rPr>
        <w:t xml:space="preserve">推荐</w:t>
      </w:r>
      <w:r>
        <w:rPr>
          <w:rFonts w:hint="eastAsia" w:ascii="宋体" w:hAnsi="宋体" w:eastAsia="宋体" w:cs="宋体"/>
          <w:color w:val="auto"/>
          <w:sz w:val="21"/>
          <w:szCs w:val="21"/>
          <w:highlight w:val="none"/>
        </w:rPr>
        <w:t xml:space="preserve">排列。</w:t>
      </w:r>
      <w:r>
        <w:rPr>
          <w:rFonts w:hint="eastAsia" w:ascii="宋体" w:hAnsi="宋体" w:cs="宋体"/>
          <w:color w:val="auto"/>
          <w:sz w:val="21"/>
          <w:szCs w:val="21"/>
          <w:highlight w:val="none"/>
          <w:lang w:val="en-US" w:eastAsia="zh-CN"/>
        </w:rPr>
        <w:t xml:space="preserve">评审得分且最后报价相同的，按照技术</w:t>
      </w:r>
      <w:r>
        <w:rPr>
          <w:rFonts w:hint="eastAsia" w:ascii="宋体" w:hAnsi="宋体" w:cs="宋体"/>
          <w:color w:val="auto"/>
          <w:sz w:val="21"/>
          <w:szCs w:val="21"/>
          <w:highlight w:val="none"/>
          <w:lang w:val="en-US" w:eastAsia="zh-CN"/>
        </w:rPr>
        <w:t xml:space="preserve">指标</w:t>
      </w:r>
      <w:r>
        <w:rPr>
          <w:rFonts w:hint="eastAsia" w:ascii="宋体" w:hAnsi="宋体" w:cs="宋体"/>
          <w:color w:val="auto"/>
          <w:sz w:val="21"/>
          <w:szCs w:val="21"/>
          <w:highlight w:val="none"/>
          <w:lang w:val="en-US" w:eastAsia="zh-CN"/>
        </w:rPr>
        <w:t xml:space="preserve">优劣</w:t>
      </w:r>
      <w:r>
        <w:rPr>
          <w:rFonts w:hint="eastAsia" w:ascii="宋体" w:hAnsi="宋体" w:cs="宋体"/>
          <w:color w:val="auto"/>
          <w:sz w:val="21"/>
          <w:szCs w:val="21"/>
          <w:highlight w:val="none"/>
          <w:lang w:val="en-US" w:eastAsia="zh-CN"/>
        </w:rPr>
        <w:t xml:space="preserve">顺序</w:t>
      </w:r>
      <w:r>
        <w:rPr>
          <w:rFonts w:hint="eastAsia" w:ascii="宋体" w:hAnsi="宋体" w:cs="宋体"/>
          <w:color w:val="auto"/>
          <w:sz w:val="21"/>
          <w:szCs w:val="21"/>
          <w:highlight w:val="none"/>
          <w:lang w:val="en-US" w:eastAsia="zh-CN"/>
        </w:rPr>
        <w:t xml:space="preserve">排序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rPr>
        <w:t xml:space="preserve">技术</w:t>
      </w:r>
      <w:r>
        <w:rPr>
          <w:rFonts w:hint="eastAsia" w:ascii="宋体" w:hAnsi="宋体" w:eastAsia="宋体" w:cs="宋体"/>
          <w:color w:val="auto"/>
          <w:sz w:val="21"/>
          <w:szCs w:val="21"/>
          <w:highlight w:val="none"/>
        </w:rPr>
        <w:t xml:space="preserve">指标</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rPr>
        <w:t xml:space="preserve">也</w:t>
      </w:r>
      <w:r>
        <w:rPr>
          <w:rFonts w:hint="eastAsia" w:ascii="宋体" w:hAnsi="宋体" w:eastAsia="宋体" w:cs="宋体"/>
          <w:color w:val="auto"/>
          <w:sz w:val="21"/>
          <w:szCs w:val="21"/>
          <w:highlight w:val="none"/>
        </w:rPr>
        <w:t xml:space="preserve">相同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rPr>
        <w:t xml:space="preserve">小组</w:t>
      </w:r>
      <w:r>
        <w:rPr>
          <w:rFonts w:hint="eastAsia" w:ascii="宋体" w:hAnsi="宋体" w:eastAsia="宋体" w:cs="宋体"/>
          <w:color w:val="auto"/>
          <w:sz w:val="21"/>
          <w:szCs w:val="21"/>
          <w:highlight w:val="none"/>
        </w:rPr>
        <w:t xml:space="preserve">随机</w:t>
      </w:r>
      <w:r>
        <w:rPr>
          <w:rFonts w:hint="eastAsia" w:ascii="宋体" w:hAnsi="宋体" w:eastAsia="宋体" w:cs="宋体"/>
          <w:color w:val="auto"/>
          <w:sz w:val="21"/>
          <w:szCs w:val="21"/>
          <w:highlight w:val="none"/>
        </w:rPr>
        <w:t xml:space="preserve">抽取</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rPr>
        <w:t xml:space="preserve">排序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本项目选取3名</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政府采购政策功能落实</w:t>
      </w:r>
      <w:r/>
    </w:p>
    <w:p>
      <w:pPr>
        <w:ind w:left="0" w:right="0" w:firstLine="441"/>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p>
    <w:tbl>
      <w:tblPr>
        <w:tblStyle w:val="1074"/>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专门面向中小企业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r>
    </w:tbl>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1、小微型企业价格扣除</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360"/>
        <w:jc w:val="both"/>
        <w:keepLines w:val="0"/>
        <w:keepNext w:val="0"/>
        <w:pageBreakBefore w:val="0"/>
        <w:spacing w:before="240" w:after="24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2、残疾人福利单位价格扣除</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3、监狱和戒毒企业价格扣除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5、如本项目同意联合体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ind w:firstLine="420"/>
        <w:jc w:val="left"/>
        <w:spacing w:before="120" w:after="120" w:line="0" w:lineRule="atLeas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t xml:space="preserve">三、</w:t>
      </w:r>
      <w:r>
        <w:rPr>
          <w:rFonts w:hint="eastAsia" w:ascii="宋体" w:hAnsi="宋体" w:eastAsia="宋体" w:cs="宋体"/>
          <w:b/>
          <w:color w:val="auto"/>
          <w:sz w:val="24"/>
          <w:szCs w:val="24"/>
          <w:highlight w:val="none"/>
        </w:rPr>
        <w:t xml:space="preserve">评审标准</w:t>
      </w:r>
      <w:r/>
    </w:p>
    <w:tbl>
      <w:tblPr>
        <w:tblStyle w:val="1051"/>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7"/>
        <w:gridCol w:w="990"/>
        <w:gridCol w:w="850"/>
        <w:gridCol w:w="6055"/>
      </w:tblGrid>
      <w:tr>
        <w:trPr>
          <w:jc w:val="center"/>
          <w:trHeight w:val="737"/>
        </w:trPr>
        <w:tc>
          <w:tcPr>
            <w:gridSpan w:val="2"/>
            <w:tcW w:w="920"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502"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c>
          <w:tcPr>
            <w:tcW w:w="3576"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评分要点及说明</w:t>
            </w:r>
            <w:r/>
          </w:p>
        </w:tc>
      </w:tr>
      <w:tr>
        <w:trPr>
          <w:jc w:val="center"/>
          <w:trHeight w:val="1276"/>
        </w:trPr>
        <w:tc>
          <w:tcPr>
            <w:gridSpan w:val="2"/>
            <w:tcW w:w="920"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357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w:t>
            </w:r>
            <w:r>
              <w:rPr>
                <w:rFonts w:hint="eastAsia" w:ascii="宋体" w:hAnsi="宋体" w:cs="宋体"/>
                <w:sz w:val="21"/>
                <w:szCs w:val="21"/>
                <w:highlight w:val="none"/>
                <w:lang w:eastAsia="zh-CN"/>
              </w:rPr>
              <w:t xml:space="preserve">采购</w:t>
            </w:r>
            <w:r>
              <w:rPr>
                <w:rFonts w:hint="eastAsia" w:ascii="宋体" w:hAnsi="宋体" w:eastAsia="宋体" w:cs="宋体"/>
                <w:sz w:val="21"/>
                <w:szCs w:val="21"/>
                <w:highlight w:val="none"/>
              </w:rPr>
              <w:t xml:space="preserve">文件要求且</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价格最低的</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报价为评标基准价，其价格分为满分。其他</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的价格分统一按照下列公式计算：</w:t>
            </w:r>
            <w:r/>
          </w:p>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报价得分＝（评标基准价/</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报价）×分值。说明：此处</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报价指经过报价修正，及因落实政府采购政策进行价格调整后的报价（计算时，按四舍五入法保留两位小数）</w:t>
            </w:r>
            <w:r/>
          </w:p>
        </w:tc>
      </w:tr>
      <w:tr>
        <w:trPr>
          <w:jc w:val="center"/>
          <w:trHeight w:val="9563" w:hRule="exact"/>
        </w:trPr>
        <w:tc>
          <w:tcPr>
            <w:tcW w:w="33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主要施工方案</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W w:w="3576" w:type="pct"/>
            <w:vAlign w:val="center"/>
            <w:textDirection w:val="lrTb"/>
            <w:noWrap w:val="false"/>
          </w:tcPr>
          <w:p>
            <w:pPr>
              <w:numPr>
                <w:ilvl w:val="0"/>
                <w:numId w:val="3"/>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施工组织总体设想、方案针对性（10分）：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施工进度计划和进度的保证措施（10分）：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质量、安全保证体系及措施（10分）：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满足验收合格的承诺保证（10分）：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针对本项目实施后能满足验收合格的有效保证措施，科学、严密、合理，描述详细且具有针对性的得10分；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关键施工技术、工艺及工程项目实施的重点、难点和解决方案（10分）：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pStyle w:val="1056"/>
              <w:numPr>
                <w:ilvl w:val="0"/>
                <w:numId w:val="0"/>
              </w:num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bCs/>
                <w:i w:val="0"/>
                <w:iCs w:val="0"/>
                <w:color w:val="auto"/>
                <w:sz w:val="21"/>
                <w:szCs w:val="21"/>
                <w:highlight w:val="none"/>
                <w:u w:val="none"/>
                <w:lang w:val="en-US" w:eastAsia="zh-CN"/>
              </w:rPr>
              <w:t xml:space="preserve">注：主要施工方案总页数(指页码，包含封面，目录，图片，封底等所有页面)不得超过100页，每超过 1 页扣 0.01 分，最多扣2分，在主要施工方案总得分中作相应扣除。</w:t>
            </w:r>
            <w:r/>
          </w:p>
        </w:tc>
      </w:tr>
      <w:tr>
        <w:trPr>
          <w:jc w:val="center"/>
          <w:trHeight w:val="4390"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主材技术指标</w:t>
            </w:r>
            <w:r/>
          </w:p>
        </w:tc>
        <w:tc>
          <w:tcPr>
            <w:tcW w:w="502" w:type="pct"/>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576"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cs="宋体"/>
                <w:color w:val="auto"/>
                <w:sz w:val="21"/>
                <w:szCs w:val="21"/>
                <w:highlight w:val="none"/>
                <w:rtl w:val="0"/>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b/>
                <w:bCs/>
                <w:color w:val="auto"/>
                <w:sz w:val="21"/>
                <w:szCs w:val="21"/>
                <w:highlight w:val="none"/>
                <w:rtl w:val="0"/>
                <w:lang w:val="en-US" w:eastAsia="zh-CN"/>
              </w:rPr>
              <w:t xml:space="preserve">净化板隔断：</w:t>
            </w:r>
            <w:r>
              <w:rPr>
                <w:rFonts w:hint="eastAsia" w:ascii="宋体" w:hAnsi="宋体" w:cs="宋体"/>
                <w:color w:val="auto"/>
                <w:sz w:val="21"/>
                <w:szCs w:val="21"/>
                <w:highlight w:val="none"/>
                <w:rtl w:val="0"/>
                <w:lang w:val="en-US" w:eastAsia="zh-CN"/>
              </w:rPr>
              <w:t xml:space="preserve">隔断为50厚净化岩棉板，钢板厚度不小于0.5mm，钢板表面颜色为白色，复合彩钢板双面贴厚膜保护。其耐火极限应不低于 1.0小时，提供由国家认可的检测机构依据 GB/T 9978.1 和 GB/T 9978.8 出具的耐火性能检测报告得2分。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2、</w:t>
            </w:r>
            <w:r>
              <w:rPr>
                <w:rFonts w:hint="eastAsia" w:ascii="宋体" w:hAnsi="宋体" w:cs="宋体"/>
                <w:b/>
                <w:bCs/>
                <w:color w:val="auto"/>
                <w:sz w:val="21"/>
                <w:szCs w:val="21"/>
                <w:highlight w:val="none"/>
                <w:lang w:val="en-US" w:eastAsia="zh-CN"/>
              </w:rPr>
              <w:t xml:space="preserve">铝扣板：</w:t>
            </w:r>
            <w:r>
              <w:rPr>
                <w:rFonts w:hint="eastAsia" w:ascii="宋体" w:hAnsi="宋体" w:cs="宋体"/>
                <w:color w:val="auto"/>
                <w:sz w:val="21"/>
                <w:szCs w:val="21"/>
                <w:highlight w:val="none"/>
                <w:rtl w:val="0"/>
                <w:lang w:val="en-US" w:eastAsia="zh-CN"/>
              </w:rPr>
              <w:t xml:space="preserve">外观质量合格，附着力0级，漆膜硬度大于等于HB，耐酸性2%HCl(V/V) ，24h无变化，耐碱性饱和 Ca(OH)2 ，24H无变化，提供由国家认可的检测机构依据 GB/T23444-2024 出具的检测报告得2分。 </w:t>
            </w:r>
            <w:r/>
          </w:p>
          <w:p>
            <w:pPr>
              <w:numPr>
                <w:ilvl w:val="0"/>
                <w:numId w:val="0"/>
              </w:numPr>
              <w:jc w:val="left"/>
              <w:keepLines w:val="0"/>
              <w:keepNext w:val="0"/>
              <w:pageBreakBefore w:val="0"/>
              <w:spacing w:line="240" w:lineRule="auto"/>
              <w:widowControl/>
              <w:rPr>
                <w:rFonts w:hint="eastAsia" w:ascii="宋体" w:hAnsi="宋体" w:cs="宋体"/>
                <w:color w:val="auto"/>
                <w:sz w:val="21"/>
                <w:szCs w:val="21"/>
                <w:highlight w:val="none"/>
                <w:rtl w:val="0"/>
                <w:lang w:val="en-US" w:eastAsia="zh-CN"/>
              </w:rPr>
            </w:pPr>
            <w:r>
              <w:rPr>
                <w:rFonts w:hint="eastAsia" w:ascii="宋体" w:hAnsi="宋体" w:cs="宋体"/>
                <w:color w:val="auto"/>
                <w:sz w:val="21"/>
                <w:szCs w:val="21"/>
                <w:highlight w:val="none"/>
                <w:rtl w:val="0"/>
                <w:lang w:val="en-US" w:eastAsia="zh-CN"/>
              </w:rPr>
              <w:t xml:space="preserve">3、</w:t>
            </w:r>
            <w:r>
              <w:rPr>
                <w:rFonts w:hint="eastAsia" w:ascii="宋体" w:hAnsi="宋体" w:cs="宋体"/>
                <w:b/>
                <w:bCs/>
                <w:color w:val="auto"/>
                <w:sz w:val="21"/>
                <w:szCs w:val="21"/>
                <w:highlight w:val="none"/>
                <w:rtl w:val="0"/>
                <w:lang w:val="en-US" w:eastAsia="zh-CN"/>
              </w:rPr>
              <w:t xml:space="preserve">钢化净化门：</w:t>
            </w:r>
            <w:r>
              <w:rPr>
                <w:rFonts w:hint="eastAsia" w:ascii="宋体" w:hAnsi="宋体" w:cs="宋体"/>
                <w:color w:val="auto"/>
                <w:sz w:val="21"/>
                <w:szCs w:val="21"/>
                <w:highlight w:val="none"/>
                <w:rtl w:val="0"/>
                <w:lang w:val="en-US" w:eastAsia="zh-CN"/>
              </w:rPr>
              <w:t xml:space="preserve">防尘试验（IP5X）被试外壳按正常工作位置放入试验箱内，不与真空泵连接，持续8h，内部无尘进入合格。防水试验（IPX6）喷水口直径12.5 mm，喷水距离2.5m~3m水流量100 L/min试验时间3min，试验后样品内部无水进入判定符合。提供由国家认可的检测机构依据 GB/T4208-2017 13.5和14.2.6出具的检测报告得2分。</w:t>
            </w:r>
            <w:r/>
          </w:p>
          <w:p>
            <w:pPr>
              <w:numPr>
                <w:ilvl w:val="0"/>
                <w:numId w:val="0"/>
              </w:numPr>
              <w:jc w:val="left"/>
              <w:keepLines w:val="0"/>
              <w:keepNext w:val="0"/>
              <w:pageBreakBefore w:val="0"/>
              <w:spacing w:line="240" w:lineRule="auto"/>
              <w:widowControl/>
              <w:rPr>
                <w:rFonts w:hint="default"/>
                <w:color w:val="auto"/>
                <w:highlight w:val="none"/>
                <w:lang w:val="en-US" w:eastAsia="zh-CN"/>
              </w:rPr>
            </w:pPr>
            <w:r>
              <w:rPr>
                <w:rFonts w:hint="eastAsia" w:ascii="宋体" w:hAnsi="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en-US" w:eastAsia="zh-CN"/>
              </w:rPr>
              <w:t xml:space="preserve">检测报告原件扫描上传</w:t>
            </w:r>
            <w:r>
              <w:rPr>
                <w:rFonts w:hint="eastAsia" w:ascii="宋体" w:hAnsi="宋体" w:cs="宋体"/>
                <w:b/>
                <w:bCs/>
                <w:color w:val="auto"/>
                <w:sz w:val="21"/>
                <w:szCs w:val="21"/>
                <w:highlight w:val="none"/>
                <w:lang w:val="en-US" w:eastAsia="zh-CN"/>
              </w:rPr>
              <w:t xml:space="preserve">，检测报告中的检测项目必须包含上述技术指标，</w:t>
            </w:r>
            <w:r>
              <w:rPr>
                <w:rFonts w:hint="eastAsia" w:ascii="宋体" w:hAnsi="宋体" w:eastAsia="宋体" w:cs="宋体"/>
                <w:b/>
                <w:bCs/>
                <w:color w:val="auto"/>
                <w:sz w:val="21"/>
                <w:szCs w:val="21"/>
                <w:highlight w:val="none"/>
              </w:rPr>
              <w:t xml:space="preserve">不提供</w:t>
            </w:r>
            <w:r>
              <w:rPr>
                <w:rFonts w:hint="eastAsia" w:ascii="宋体" w:hAnsi="宋体" w:cs="宋体"/>
                <w:b/>
                <w:bCs/>
                <w:color w:val="auto"/>
                <w:sz w:val="21"/>
                <w:szCs w:val="21"/>
                <w:highlight w:val="none"/>
                <w:lang w:val="en-US" w:eastAsia="zh-CN"/>
              </w:rPr>
              <w:t xml:space="preserve">或不符合的</w:t>
            </w:r>
            <w:r>
              <w:rPr>
                <w:rFonts w:hint="eastAsia" w:ascii="宋体" w:hAnsi="宋体" w:eastAsia="宋体" w:cs="宋体"/>
                <w:b/>
                <w:bCs/>
                <w:color w:val="auto"/>
                <w:sz w:val="21"/>
                <w:szCs w:val="21"/>
                <w:highlight w:val="none"/>
              </w:rPr>
              <w:t xml:space="preserve">不得分。</w:t>
            </w:r>
            <w:r/>
          </w:p>
        </w:tc>
      </w:tr>
      <w:tr>
        <w:trPr>
          <w:jc w:val="center"/>
          <w:trHeight w:val="1857" w:hRule="exact"/>
        </w:trPr>
        <w:tc>
          <w:tcPr>
            <w:tcW w:w="33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w:t>
            </w:r>
            <w:r/>
          </w:p>
        </w:tc>
        <w:tc>
          <w:tcPr>
            <w:tcW w:w="584" w:type="pct"/>
            <w:vAlign w:val="center"/>
            <w:textDirection w:val="lrTb"/>
            <w:noWrap w:val="false"/>
          </w:tcPr>
          <w:p>
            <w:pPr>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企业实力</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3576"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拟派的项目经理具有工程类中级及以上职称证书得2分，具有工程类初级职称证书得1分，满分2分；</w:t>
            </w:r>
            <w:r/>
          </w:p>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拟派的项目组成员（除项目经理外）具有工程类中级及以上职称证书得1分，具有工程类初级职称证书得0.5分，满分2分；</w:t>
            </w:r>
            <w:r/>
          </w:p>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注：提供以上人员相关证书</w:t>
            </w:r>
            <w:r>
              <w:rPr>
                <w:rFonts w:hint="eastAsia" w:ascii="宋体" w:hAnsi="宋体" w:eastAsia="宋体" w:cs="宋体"/>
                <w:b/>
                <w:bCs/>
                <w:sz w:val="21"/>
                <w:szCs w:val="21"/>
                <w:highlight w:val="none"/>
                <w:lang w:eastAsia="zh-CN"/>
              </w:rPr>
              <w:t xml:space="preserve">以及供应商（或联合体成员方）</w:t>
            </w:r>
            <w:r>
              <w:rPr>
                <w:rFonts w:hint="eastAsia" w:ascii="宋体" w:hAnsi="宋体" w:eastAsia="宋体" w:cs="宋体"/>
                <w:b/>
                <w:bCs/>
                <w:color w:val="auto"/>
                <w:sz w:val="21"/>
                <w:szCs w:val="21"/>
                <w:highlight w:val="none"/>
                <w:lang w:eastAsia="zh-CN"/>
              </w:rPr>
              <w:t xml:space="preserve">为其缴纳的近一年</w:t>
            </w:r>
            <w:r>
              <w:rPr>
                <w:rFonts w:hint="eastAsia" w:ascii="宋体" w:hAnsi="宋体" w:eastAsia="宋体" w:cs="宋体"/>
                <w:b/>
                <w:bCs/>
                <w:color w:val="auto"/>
                <w:sz w:val="21"/>
                <w:szCs w:val="21"/>
                <w:highlight w:val="none"/>
                <w:lang w:val="en-US" w:eastAsia="zh-CN"/>
              </w:rPr>
              <w:t xml:space="preserve">任意一份</w:t>
            </w:r>
            <w:r>
              <w:rPr>
                <w:rFonts w:hint="eastAsia" w:ascii="宋体" w:hAnsi="宋体" w:eastAsia="宋体" w:cs="宋体"/>
                <w:b/>
                <w:bCs/>
                <w:color w:val="auto"/>
                <w:sz w:val="21"/>
                <w:szCs w:val="21"/>
                <w:highlight w:val="none"/>
                <w:lang w:eastAsia="zh-CN"/>
              </w:rPr>
              <w:t xml:space="preserve">社保证明</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，不提供不得分。</w:t>
            </w:r>
            <w:r/>
          </w:p>
        </w:tc>
      </w:tr>
      <w:tr>
        <w:trPr>
          <w:jc w:val="center"/>
          <w:trHeight w:val="2600"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类似业绩</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3576" w:type="pct"/>
            <w:vAlign w:val="center"/>
            <w:textDirection w:val="lrTb"/>
            <w:noWrap w:val="false"/>
          </w:tcPr>
          <w:p>
            <w:pPr>
              <w:numPr>
                <w:ilvl w:val="0"/>
                <w:numId w:val="0"/>
              </w:numPr>
              <w:ind w:firstLine="420"/>
              <w:jc w:val="left"/>
              <w:pageBreakBefore w:val="0"/>
              <w:spacing w:line="360" w:lineRule="auto"/>
              <w:rPr>
                <w:rFonts w:hint="eastAsia" w:ascii="Times New Roman" w:hAnsi="Times New Roman" w:eastAsia="宋体" w:cs="宋体"/>
                <w:color w:val="auto"/>
                <w:sz w:val="21"/>
                <w:szCs w:val="21"/>
                <w:highlight w:val="none"/>
                <w:lang w:bidi="ar"/>
              </w:rPr>
            </w:pPr>
            <w:r>
              <w:rPr>
                <w:rFonts w:hint="eastAsia" w:ascii="Times New Roman" w:hAnsi="Times New Roman" w:eastAsia="宋体" w:cs="宋体"/>
                <w:color w:val="auto"/>
                <w:sz w:val="21"/>
                <w:szCs w:val="21"/>
                <w:highlight w:val="none"/>
                <w:lang w:bidi="ar"/>
              </w:rPr>
              <w:t xml:space="preserve">供应商自202</w:t>
            </w:r>
            <w:r>
              <w:rPr>
                <w:rFonts w:hint="eastAsia" w:ascii="Times New Roman" w:hAnsi="Times New Roman" w:eastAsia="宋体" w:cs="宋体"/>
                <w:color w:val="auto"/>
                <w:sz w:val="21"/>
                <w:szCs w:val="21"/>
                <w:highlight w:val="none"/>
                <w:lang w:val="en-US" w:eastAsia="zh-CN" w:bidi="ar"/>
              </w:rPr>
              <w:t xml:space="preserve">3</w:t>
            </w:r>
            <w:r>
              <w:rPr>
                <w:rFonts w:hint="eastAsia" w:ascii="Times New Roman" w:hAnsi="Times New Roman" w:eastAsia="宋体" w:cs="宋体"/>
                <w:color w:val="auto"/>
                <w:sz w:val="21"/>
                <w:szCs w:val="21"/>
                <w:highlight w:val="none"/>
                <w:lang w:bidi="ar"/>
              </w:rPr>
              <w:t xml:space="preserve">年1月1日以来，承担过类似项目，每有一项得2分，满分</w:t>
            </w:r>
            <w:r>
              <w:rPr>
                <w:rFonts w:hint="eastAsia" w:ascii="Times New Roman" w:hAnsi="Times New Roman" w:eastAsia="宋体" w:cs="宋体"/>
                <w:color w:val="auto"/>
                <w:sz w:val="21"/>
                <w:szCs w:val="21"/>
                <w:highlight w:val="none"/>
                <w:lang w:val="en-US" w:eastAsia="zh-CN" w:bidi="ar"/>
              </w:rPr>
              <w:t xml:space="preserve">6</w:t>
            </w:r>
            <w:r>
              <w:rPr>
                <w:rFonts w:hint="eastAsia" w:ascii="Times New Roman" w:hAnsi="Times New Roman" w:eastAsia="宋体" w:cs="宋体"/>
                <w:color w:val="auto"/>
                <w:sz w:val="21"/>
                <w:szCs w:val="21"/>
                <w:highlight w:val="none"/>
                <w:lang w:bidi="ar"/>
              </w:rPr>
              <w:t xml:space="preserve">分。</w:t>
            </w:r>
            <w:r/>
          </w:p>
          <w:p>
            <w:p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Times New Roman" w:hAnsi="Times New Roman" w:eastAsia="宋体" w:cs="宋体"/>
                <w:b/>
                <w:bCs/>
                <w:color w:val="auto"/>
                <w:sz w:val="21"/>
                <w:szCs w:val="21"/>
                <w:highlight w:val="none"/>
                <w:lang w:bidi="ar"/>
              </w:rPr>
              <w:t xml:space="preserve">注：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w:t>
            </w:r>
            <w:r>
              <w:rPr>
                <w:rFonts w:hint="eastAsia" w:cs="宋体"/>
                <w:b/>
                <w:bCs/>
                <w:color w:val="auto"/>
                <w:sz w:val="21"/>
                <w:szCs w:val="21"/>
                <w:highlight w:val="none"/>
                <w:lang w:val="en-US" w:eastAsia="zh-CN" w:bidi="ar"/>
              </w:rPr>
              <w:t xml:space="preserve">采购</w:t>
            </w:r>
            <w:r>
              <w:rPr>
                <w:rFonts w:hint="eastAsia" w:ascii="Times New Roman" w:hAnsi="Times New Roman" w:eastAsia="宋体" w:cs="宋体"/>
                <w:b/>
                <w:bCs/>
                <w:color w:val="auto"/>
                <w:sz w:val="21"/>
                <w:szCs w:val="21"/>
                <w:highlight w:val="none"/>
                <w:lang w:bidi="ar"/>
              </w:rPr>
              <w:t xml:space="preserve">的项目，可以提供业主单位或招标代理机构出具的有关中标文件；</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，不提供不得分。</w:t>
            </w:r>
            <w:r/>
          </w:p>
        </w:tc>
      </w:tr>
      <w:tr>
        <w:trPr>
          <w:jc w:val="center"/>
          <w:trHeight w:val="1694"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502" w:type="pct"/>
            <w:vAlign w:val="center"/>
            <w:textDirection w:val="lrTb"/>
            <w:noWrap w:val="false"/>
          </w:tcPr>
          <w:p>
            <w:pPr>
              <w:jc w:val="center"/>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W w:w="3576"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供应商承诺的质保期需满足《建设工程质量管理条例》等国家强制性最低保修规定。承诺满足国家规定最低保修年限的，不得分；在此基础上，承诺的保修期每延长一年加2分，最高加4分。满分4分。</w:t>
            </w:r>
            <w:r/>
          </w:p>
          <w:p>
            <w:pPr>
              <w:numPr>
                <w:ilvl w:val="0"/>
                <w:numId w:val="0"/>
              </w:numPr>
              <w:ind w:left="0" w:firstLine="0"/>
              <w:jc w:val="left"/>
              <w:pageBreakBefore w:val="0"/>
              <w:spacing w:line="240" w:lineRule="auto"/>
              <w:rPr>
                <w:rFonts w:hint="eastAsia" w:ascii="Times New Roman" w:hAnsi="Times New Roman" w:eastAsia="宋体" w:cs="宋体"/>
                <w:b/>
                <w:bCs/>
                <w:color w:val="auto"/>
                <w:sz w:val="21"/>
                <w:szCs w:val="21"/>
                <w:highlight w:val="none"/>
                <w:lang w:bidi="ar"/>
              </w:rPr>
            </w:pPr>
            <w:r>
              <w:rPr>
                <w:rFonts w:hint="eastAsia" w:ascii="Times New Roman" w:hAnsi="Times New Roman" w:eastAsia="宋体" w:cs="宋体"/>
                <w:b/>
                <w:bCs/>
                <w:color w:val="auto"/>
                <w:sz w:val="21"/>
                <w:szCs w:val="21"/>
                <w:highlight w:val="none"/>
                <w:lang w:bidi="ar"/>
              </w:rPr>
              <w:t xml:space="preserve">注：提供书面承诺</w:t>
            </w:r>
            <w:r>
              <w:rPr>
                <w:rFonts w:hint="eastAsia" w:ascii="Times New Roman" w:hAnsi="Times New Roman" w:eastAsia="宋体" w:cs="宋体"/>
                <w:b/>
                <w:bCs/>
                <w:color w:val="auto"/>
                <w:sz w:val="21"/>
                <w:szCs w:val="21"/>
                <w:highlight w:val="none"/>
                <w:lang w:eastAsia="zh-CN" w:bidi="ar"/>
              </w:rPr>
              <w:t xml:space="preserve">（</w:t>
            </w:r>
            <w:r>
              <w:rPr>
                <w:rFonts w:hint="eastAsia" w:ascii="Times New Roman" w:hAnsi="Times New Roman" w:eastAsia="宋体" w:cs="宋体"/>
                <w:b/>
                <w:bCs/>
                <w:color w:val="auto"/>
                <w:sz w:val="21"/>
                <w:szCs w:val="21"/>
                <w:highlight w:val="none"/>
                <w:lang w:val="en-US" w:eastAsia="zh-CN" w:bidi="ar"/>
              </w:rPr>
              <w:t xml:space="preserve">格式自拟</w:t>
            </w:r>
            <w:r>
              <w:rPr>
                <w:rFonts w:hint="eastAsia" w:ascii="Times New Roman" w:hAnsi="Times New Roman" w:eastAsia="宋体" w:cs="宋体"/>
                <w:b/>
                <w:bCs/>
                <w:color w:val="auto"/>
                <w:sz w:val="21"/>
                <w:szCs w:val="21"/>
                <w:highlight w:val="none"/>
                <w:lang w:eastAsia="zh-CN" w:bidi="ar"/>
              </w:rPr>
              <w:t xml:space="preserve">）</w:t>
            </w:r>
            <w:r>
              <w:rPr>
                <w:rFonts w:hint="eastAsia" w:ascii="Times New Roman" w:hAnsi="Times New Roman" w:eastAsia="宋体" w:cs="宋体"/>
                <w:b/>
                <w:bCs/>
                <w:color w:val="auto"/>
                <w:sz w:val="21"/>
                <w:szCs w:val="21"/>
                <w:highlight w:val="none"/>
                <w:lang w:bidi="ar"/>
              </w:rPr>
              <w:t xml:space="preserve">加盖供应商公章</w:t>
            </w:r>
            <w:r>
              <w:rPr>
                <w:rFonts w:hint="eastAsia" w:ascii="Times New Roman" w:hAnsi="Times New Roman" w:eastAsia="宋体" w:cs="宋体"/>
                <w:b/>
                <w:bCs/>
                <w:color w:val="auto"/>
                <w:sz w:val="21"/>
                <w:szCs w:val="21"/>
                <w:highlight w:val="none"/>
                <w:lang w:val="en-US" w:eastAsia="zh-CN" w:bidi="ar"/>
              </w:rPr>
              <w:t xml:space="preserve">原件扫描上传</w:t>
            </w:r>
            <w:r>
              <w:rPr>
                <w:rFonts w:hint="eastAsia" w:ascii="Times New Roman" w:hAnsi="Times New Roman" w:eastAsia="宋体" w:cs="宋体"/>
                <w:b/>
                <w:bCs/>
                <w:color w:val="auto"/>
                <w:sz w:val="21"/>
                <w:szCs w:val="21"/>
                <w:highlight w:val="none"/>
                <w:lang w:bidi="ar"/>
              </w:rPr>
              <w:t xml:space="preserve">，未提供承诺的，本项不得分。</w:t>
            </w:r>
            <w:r/>
          </w:p>
        </w:tc>
      </w:tr>
    </w:tbl>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both"/>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w:t>
      </w:r>
      <w:bookmarkEnd w:id="123"/>
      <w:r/>
      <w:bookmarkEnd w:id="124"/>
      <w:r/>
      <w:bookmarkEnd w:id="125"/>
      <w:r>
        <w:rPr>
          <w:rFonts w:hint="eastAsia" w:ascii="宋体" w:hAnsi="宋体" w:eastAsia="宋体" w:cs="宋体"/>
          <w:color w:val="auto"/>
          <w:sz w:val="44"/>
          <w:szCs w:val="44"/>
          <w:highlight w:val="none"/>
        </w:rPr>
        <w:t xml:space="preserve">竞争性磋商响应文件格式</w:t>
      </w:r>
      <w:r/>
    </w:p>
    <w:p>
      <w:pPr>
        <w:jc w:val="center"/>
        <w:rPr>
          <w:rFonts w:hint="eastAsia" w:ascii="宋体" w:hAnsi="宋体" w:eastAsia="宋体" w:cs="宋体"/>
          <w:b/>
          <w:color w:val="auto"/>
          <w:sz w:val="72"/>
          <w:szCs w:val="21"/>
          <w:highlight w:val="none"/>
        </w:rPr>
      </w:pPr>
      <w:r/>
      <w:bookmarkStart w:id="127" w:name="_Hlt26955039"/>
      <w:r/>
      <w:bookmarkEnd w:id="127"/>
      <w:r/>
      <w:bookmarkStart w:id="128" w:name="_Hlt26671244"/>
      <w:r/>
      <w:bookmarkEnd w:id="128"/>
      <w:r/>
      <w:bookmarkStart w:id="129" w:name="_Toc120614282"/>
      <w:r/>
      <w:bookmarkStart w:id="130" w:name="_Toc49090576"/>
      <w:r/>
      <w:bookmarkStart w:id="131"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（加盖CA电子公章）</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w:t>
      </w:r>
      <w:r>
        <w:rPr>
          <w:rFonts w:hint="eastAsia" w:ascii="宋体" w:hAnsi="宋体" w:eastAsia="宋体" w:cs="宋体"/>
          <w:b/>
          <w:bCs/>
          <w:color w:val="auto"/>
          <w:sz w:val="32"/>
          <w:szCs w:val="32"/>
          <w:highlight w:val="none"/>
          <w:lang w:val="en-US" w:eastAsia="zh-CN"/>
        </w:rPr>
        <w:t xml:space="preserve">的组成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磋商响应报价表（格式见附件1）</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分项报价表（格式见附件2）</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技术要求响应及偏离表（格式见附件3）</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商务要求响应及偏离表（格式见附件4）</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法人授权书（格式见附件5）</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磋商响应函（格式见附件</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主要标的信息（格式见附件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其他</w:t>
      </w:r>
      <w:r/>
    </w:p>
    <w:p>
      <w:pPr>
        <w:ind w:left="425" w:hanging="5"/>
        <w:spacing w:line="45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****（格式见附件**）</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二、资格审查内容</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法人或者其他组织的营业执照等证明文件，自然人的身份证明</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2024年度或2025年度</w:t>
      </w:r>
      <w:r>
        <w:rPr>
          <w:rFonts w:hint="eastAsia" w:ascii="宋体" w:hAnsi="宋体" w:eastAsia="宋体" w:cs="宋体"/>
          <w:color w:val="auto"/>
          <w:sz w:val="21"/>
          <w:szCs w:val="21"/>
          <w:highlight w:val="none"/>
        </w:rPr>
        <w:t xml:space="preserve">的财务报告情况</w:t>
      </w:r>
      <w:r>
        <w:rPr>
          <w:rFonts w:hint="eastAsia" w:ascii="宋体" w:hAnsi="宋体" w:eastAsia="宋体" w:cs="宋体"/>
          <w:b/>
          <w:bCs/>
          <w:color w:val="auto"/>
          <w:sz w:val="21"/>
          <w:szCs w:val="21"/>
          <w:highlight w:val="none"/>
        </w:rPr>
        <w:t xml:space="preserve">（成立不满一年不需提供）</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依法缴纳税收和社会保障资金的相关材料（提供提交</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文件截止时间前一年内任意一个月依法缴纳税收及缴纳社会保障资金的证明材料。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依法享受缓缴、免缴税收、社会保障资金的提供证明材料）</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具备履行合同所必需的设备和专业技术能力的书面声明（格式见附件8）</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供应商信用承诺函（格式见附件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企业报价折扣证明文件：</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监狱企业的证明文件。</w:t>
      </w:r>
      <w:r/>
    </w:p>
    <w:p>
      <w:pPr>
        <w:ind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8.联合体协议（格式见附件13）。如果本项目接受联合体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是联合体的，则必须提供。</w:t>
      </w:r>
      <w:r/>
    </w:p>
    <w:p>
      <w:pPr>
        <w:ind w:left="0"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在“信用中国”网站（www.creditchina.gov.cn）、“中国政府采购网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文件中无需提供证明材料）</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三、符合性审查内容</w:t>
      </w:r>
      <w:r/>
    </w:p>
    <w:p>
      <w:pPr>
        <w:ind w:firstLine="42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w:t>
      </w:r>
      <w:r>
        <w:rPr>
          <w:rFonts w:hint="eastAsia" w:ascii="宋体" w:hAnsi="宋体" w:cs="宋体"/>
          <w:color w:val="auto"/>
          <w:sz w:val="21"/>
          <w:szCs w:val="21"/>
          <w:highlight w:val="none"/>
          <w:lang w:val="en-US" w:eastAsia="zh-CN"/>
        </w:rPr>
        <w:t xml:space="preserve">项目需</w:t>
      </w:r>
      <w:r>
        <w:rPr>
          <w:rFonts w:hint="eastAsia" w:ascii="宋体" w:hAnsi="宋体" w:eastAsia="宋体" w:cs="宋体"/>
          <w:color w:val="auto"/>
          <w:sz w:val="21"/>
          <w:szCs w:val="21"/>
          <w:highlight w:val="none"/>
        </w:rPr>
        <w:t xml:space="preserve">求中加斜体下划线的实质性要求逐条做出响应，并按照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文件要求提供证明材料，否则做无效</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处理。（格式见附件14）</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四、价格扣除证明文件</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1.中小企业声明函（格式见附件11）</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2.残疾人福利性单位声明函（格式见附件12）</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headerReference w:type="default" r:id="rId12"/>
          <w:footerReference w:type="first" r:id="rId20"/>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附件1 </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tc>
      </w:tr>
      <w:tr>
        <w:trPr>
          <w:cantSplit/>
          <w:jc w:val="center"/>
          <w:trHeight w:val="1054"/>
        </w:trPr>
        <w:tc>
          <w:tcPr>
            <w:tcW w:w="7926" w:type="dxa"/>
            <w:vAlign w:val="center"/>
            <w:textDirection w:val="lrTb"/>
            <w:noWrap w:val="false"/>
          </w:tcPr>
          <w:p>
            <w:pPr>
              <w:pStyle w:val="1247"/>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（人民币：元）</w:t>
            </w:r>
            <w:r/>
          </w:p>
          <w:p>
            <w:pPr>
              <w:pStyle w:val="1247"/>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（人民币：元）</w:t>
            </w:r>
            <w:r/>
          </w:p>
        </w:tc>
      </w:tr>
    </w:tbl>
    <w:p>
      <w:pPr>
        <w:pStyle w:val="124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投标（响应）</w:t>
      </w:r>
      <w:r>
        <w:rPr>
          <w:rFonts w:hint="eastAsia" w:ascii="宋体" w:hAnsi="宋体" w:eastAsia="宋体" w:cs="宋体"/>
          <w:b/>
          <w:color w:val="auto"/>
          <w:sz w:val="24"/>
          <w:highlight w:val="none"/>
        </w:rPr>
        <w:t xml:space="preserve">分项报价表</w:t>
      </w:r>
      <w:r/>
    </w:p>
    <w:p>
      <w:pPr>
        <w:ind w:firstLine="422"/>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w:t>
      </w:r>
      <w:r>
        <w:rPr>
          <w:rFonts w:hint="eastAsia" w:ascii="宋体" w:hAnsi="宋体" w:cs="宋体"/>
          <w:color w:val="auto"/>
          <w:sz w:val="24"/>
          <w:szCs w:val="24"/>
          <w:highlight w:val="none"/>
          <w:lang w:eastAsia="zh-CN"/>
        </w:rPr>
        <w:t xml:space="preserve">加盖CA电子签章</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400" w:lineRule="exact"/>
        <w:rPr>
          <w:rFonts w:hint="eastAsia" w:ascii="宋体" w:hAnsi="宋体" w:cs="宋体"/>
          <w:b/>
          <w:color w:val="auto"/>
          <w:sz w:val="24"/>
          <w:highlight w:val="none"/>
        </w:rPr>
      </w:pPr>
      <w:r>
        <w:rPr>
          <w:rFonts w:hint="eastAsia" w:ascii="宋体" w:hAnsi="宋体" w:cs="宋体"/>
          <w:color w:val="auto"/>
          <w:sz w:val="24"/>
          <w:szCs w:val="24"/>
          <w:highlight w:val="none"/>
        </w:rPr>
        <w:t xml:space="preserve">项目编号：                                   </w:t>
      </w:r>
      <w:r/>
    </w:p>
    <w:p>
      <w:pPr>
        <w:jc w:val="center"/>
        <w:spacing w:line="36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t xml:space="preserve">响应分项报价表</w:t>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auto"/>
          <w:szCs w:val="21"/>
          <w:highlight w:val="none"/>
        </w:rPr>
        <w:t xml:space="preserve">                </w:t>
      </w:r>
      <w:r/>
    </w:p>
    <w:p>
      <w:pPr>
        <w:ind w:firstLine="422"/>
        <w:jc w:val="left"/>
        <w:spacing w:line="360" w:lineRule="auto"/>
        <w:rPr>
          <w:rFonts w:hint="eastAsia" w:ascii="Times New Roman" w:hAnsi="Times New Roman" w:eastAsia="宋体"/>
          <w:b/>
          <w:bCs/>
          <w:color w:val="auto"/>
          <w:szCs w:val="21"/>
          <w:highlight w:val="none"/>
        </w:rPr>
      </w:pPr>
      <w:r>
        <w:rPr>
          <w:rFonts w:hint="eastAsia" w:ascii="宋体" w:hAnsi="宋体" w:cs="宋体"/>
          <w:b/>
          <w:bCs/>
          <w:color w:val="auto"/>
          <w:szCs w:val="21"/>
          <w:highlight w:val="none"/>
        </w:rPr>
        <w:t xml:space="preserve">2、特别说明：</w:t>
      </w:r>
      <w:r>
        <w:rPr>
          <w:rFonts w:hint="eastAsia" w:ascii="Times New Roman" w:hAnsi="Times New Roman" w:eastAsia="宋体" w:cs="Times New Roman"/>
          <w:b/>
          <w:bCs/>
          <w:i w:val="0"/>
          <w:iCs w:val="0"/>
          <w:color w:val="auto"/>
          <w:szCs w:val="21"/>
          <w:highlight w:val="none"/>
          <w:u w:val="none"/>
        </w:rPr>
        <w:t xml:space="preserve">本工程供应商需提供</w:t>
      </w:r>
      <w:r>
        <w:rPr>
          <w:rFonts w:hint="eastAsia" w:ascii="Times New Roman" w:hAnsi="Times New Roman" w:eastAsia="宋体" w:cs="Times New Roman"/>
          <w:b/>
          <w:bCs/>
          <w:i w:val="0"/>
          <w:iCs w:val="0"/>
          <w:color w:val="auto"/>
          <w:szCs w:val="21"/>
          <w:highlight w:val="none"/>
          <w:u w:val="none"/>
          <w:lang w:eastAsia="zh-CN"/>
        </w:rPr>
        <w:t xml:space="preserve">jsbgtb</w:t>
      </w:r>
      <w:r>
        <w:rPr>
          <w:rFonts w:hint="eastAsia" w:ascii="Times New Roman" w:hAnsi="Times New Roman" w:eastAsia="宋体" w:cs="Times New Roman"/>
          <w:b/>
          <w:bCs/>
          <w:i w:val="0"/>
          <w:iCs w:val="0"/>
          <w:color w:val="auto"/>
          <w:szCs w:val="21"/>
          <w:highlight w:val="none"/>
          <w:u w:val="none"/>
        </w:rPr>
        <w:t xml:space="preserve">格式的响应报价电子文件拷贝在U盘中，供清标时使用。供应商应在</w:t>
      </w:r>
      <w:r>
        <w:rPr>
          <w:rFonts w:hint="eastAsia" w:ascii="Times New Roman" w:hAnsi="Times New Roman" w:eastAsia="宋体" w:cs="Times New Roman"/>
          <w:b/>
          <w:bCs/>
          <w:i w:val="0"/>
          <w:iCs w:val="0"/>
          <w:color w:val="auto"/>
          <w:szCs w:val="21"/>
          <w:highlight w:val="none"/>
          <w:u w:val="none"/>
          <w:lang w:val="en-US" w:eastAsia="zh-CN"/>
        </w:rPr>
        <w:t xml:space="preserve">投标</w:t>
      </w:r>
      <w:r>
        <w:rPr>
          <w:rFonts w:hint="eastAsia" w:ascii="Times New Roman" w:hAnsi="Times New Roman" w:eastAsia="宋体" w:cs="Times New Roman"/>
          <w:b/>
          <w:bCs/>
          <w:i w:val="0"/>
          <w:iCs w:val="0"/>
          <w:color w:val="auto"/>
          <w:szCs w:val="21"/>
          <w:highlight w:val="none"/>
          <w:u w:val="none"/>
        </w:rPr>
        <w:t xml:space="preserve">响应截止时间前，</w:t>
      </w:r>
      <w:r>
        <w:rPr>
          <w:rFonts w:hint="eastAsia" w:ascii="Times New Roman" w:hAnsi="Times New Roman" w:eastAsia="宋体" w:cs="Times New Roman"/>
          <w:b/>
          <w:bCs/>
          <w:i w:val="0"/>
          <w:iCs w:val="0"/>
          <w:color w:val="auto"/>
          <w:szCs w:val="21"/>
          <w:highlight w:val="none"/>
          <w:u w:val="none"/>
          <w:lang w:val="en-US" w:eastAsia="zh-CN"/>
        </w:rPr>
        <w:t xml:space="preserve">将</w:t>
      </w:r>
      <w:r>
        <w:rPr>
          <w:rFonts w:hint="eastAsia" w:ascii="Times New Roman" w:hAnsi="Times New Roman" w:eastAsia="宋体" w:cs="Times New Roman"/>
          <w:b/>
          <w:bCs/>
          <w:i w:val="0"/>
          <w:iCs w:val="0"/>
          <w:color w:val="auto"/>
          <w:szCs w:val="21"/>
          <w:highlight w:val="none"/>
          <w:u w:val="none"/>
        </w:rPr>
        <w:t xml:space="preserve">U盘密封</w:t>
      </w:r>
      <w:r>
        <w:rPr>
          <w:rFonts w:hint="eastAsia" w:ascii="Times New Roman" w:hAnsi="Times New Roman" w:eastAsia="宋体" w:cs="Times New Roman"/>
          <w:b/>
          <w:bCs/>
          <w:i w:val="0"/>
          <w:iCs w:val="0"/>
          <w:color w:val="auto"/>
          <w:szCs w:val="21"/>
          <w:highlight w:val="none"/>
          <w:u w:val="none"/>
          <w:lang w:val="en-US" w:eastAsia="zh-CN"/>
        </w:rPr>
        <w:t xml:space="preserve">在信封内并</w:t>
      </w:r>
      <w:r>
        <w:rPr>
          <w:rFonts w:hint="eastAsia" w:ascii="Times New Roman" w:hAnsi="Times New Roman" w:eastAsia="宋体" w:cs="Times New Roman"/>
          <w:b/>
          <w:bCs/>
          <w:i w:val="0"/>
          <w:iCs w:val="0"/>
          <w:color w:val="auto"/>
          <w:szCs w:val="21"/>
          <w:highlight w:val="none"/>
          <w:u w:val="none"/>
        </w:rPr>
        <w:t xml:space="preserve">送达到指定地点</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密封</w:t>
      </w:r>
      <w:r>
        <w:rPr>
          <w:rFonts w:hint="eastAsia" w:ascii="Times New Roman" w:hAnsi="Times New Roman" w:eastAsia="宋体" w:cs="Times New Roman"/>
          <w:b/>
          <w:bCs/>
          <w:i w:val="0"/>
          <w:iCs w:val="0"/>
          <w:color w:val="auto"/>
          <w:szCs w:val="21"/>
          <w:highlight w:val="none"/>
          <w:u w:val="none"/>
        </w:rPr>
        <w:t xml:space="preserve">包装上应写明</w:t>
      </w:r>
      <w:r>
        <w:rPr>
          <w:rFonts w:hint="eastAsia" w:ascii="Times New Roman" w:hAnsi="Times New Roman" w:eastAsia="宋体" w:cs="Times New Roman"/>
          <w:b/>
          <w:bCs/>
          <w:i w:val="0"/>
          <w:iCs w:val="0"/>
          <w:color w:val="auto"/>
          <w:szCs w:val="21"/>
          <w:highlight w:val="none"/>
          <w:u w:val="none"/>
          <w:lang w:val="en-US" w:eastAsia="zh-CN"/>
        </w:rPr>
        <w:t xml:space="preserve">项目名称、</w:t>
      </w:r>
      <w:r>
        <w:rPr>
          <w:rFonts w:hint="eastAsia" w:cs="Times New Roman"/>
          <w:b/>
          <w:bCs/>
          <w:i w:val="0"/>
          <w:iCs w:val="0"/>
          <w:color w:val="auto"/>
          <w:szCs w:val="21"/>
          <w:highlight w:val="none"/>
          <w:u w:val="none"/>
          <w:lang w:val="en-US" w:eastAsia="zh-CN"/>
        </w:rPr>
        <w:t xml:space="preserve">投标（响应）</w:t>
      </w:r>
      <w:r>
        <w:rPr>
          <w:rFonts w:hint="eastAsia" w:ascii="Times New Roman" w:hAnsi="Times New Roman" w:eastAsia="宋体" w:cs="Times New Roman"/>
          <w:b/>
          <w:bCs/>
          <w:i w:val="0"/>
          <w:iCs w:val="0"/>
          <w:color w:val="auto"/>
          <w:szCs w:val="21"/>
          <w:highlight w:val="none"/>
          <w:u w:val="none"/>
        </w:rPr>
        <w:t xml:space="preserve">供应商名称</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联系人及电话并加盖公章</w:t>
      </w:r>
      <w:r>
        <w:rPr>
          <w:rFonts w:hint="eastAsia" w:ascii="Times New Roman" w:hAnsi="Times New Roman" w:eastAsia="宋体" w:cs="Times New Roman"/>
          <w:b/>
          <w:bCs/>
          <w:i w:val="0"/>
          <w:iCs w:val="0"/>
          <w:color w:val="auto"/>
          <w:szCs w:val="21"/>
          <w:highlight w:val="none"/>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contextualSpacing/>
        <w:ind w:firstLine="422"/>
        <w:spacing w:line="360" w:lineRule="auto"/>
        <w:tabs>
          <w:tab w:val="left" w:pos="-993" w:leader="none"/>
          <w:tab w:val="left" w:pos="-851" w:leader="none"/>
          <w:tab w:val="left" w:pos="0" w:leader="none"/>
        </w:tabs>
        <w:rPr>
          <w:rFonts w:ascii="宋体" w:hAnsi="宋体"/>
          <w:color w:val="auto"/>
          <w:szCs w:val="21"/>
          <w:highlight w:val="none"/>
        </w:rPr>
      </w:pPr>
      <w:r>
        <w:rPr>
          <w:rFonts w:hint="eastAsia" w:ascii="宋体" w:hAnsi="宋体" w:cs="宋体"/>
          <w:b/>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484505</wp:posOffset>
                </wp:positionH>
                <wp:positionV relativeFrom="paragraph">
                  <wp:posOffset>840740</wp:posOffset>
                </wp:positionV>
                <wp:extent cx="5211445" cy="2284730"/>
                <wp:effectExtent l="0" t="0" r="8255" b="1270"/>
                <wp:wrapTopAndBottom/>
                <wp:docPr id="9" name="图片 2" descr="fd473355216468bb0cf77a2bfcc5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fd473355216468bb0cf77a2bfcc5bd3"/>
                        <pic:cNvPicPr>
                          <a:picLocks noChangeAspect="1"/>
                        </pic:cNvPicPr>
                        <pic:nvPr/>
                      </pic:nvPicPr>
                      <pic:blipFill>
                        <a:blip r:embed="rId23"/>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38.1pt;mso-position-horizontal:absolute;mso-position-vertical-relative:text;margin-top:66.2pt;mso-position-vertical:absolute;width:410.3pt;height:179.9pt;mso-wrap-distance-left:9.0pt;mso-wrap-distance-top:0.0pt;mso-wrap-distance-right:9.0pt;mso-wrap-distance-bottom:0.0pt;" stroked="f">
                <v:path textboxrect="0,0,0,0"/>
                <w10:wrap type="topAndBottom"/>
                <v:imagedata r:id="rId23" o:title=""/>
              </v:shape>
            </w:pict>
          </mc:Fallback>
        </mc:AlternateContent>
      </w:r>
      <w:r>
        <w:rPr>
          <w:rFonts w:hint="eastAsia" w:ascii="宋体" w:hAnsi="宋体" w:cs="宋体"/>
          <w:b/>
          <w:bCs/>
          <w:color w:val="auto"/>
          <w:szCs w:val="21"/>
          <w:highlight w:val="none"/>
        </w:rPr>
        <w:t xml:space="preserve">注：本次</w:t>
      </w:r>
      <w:r>
        <w:rPr>
          <w:rFonts w:hint="eastAsia" w:ascii="宋体" w:hAnsi="宋体" w:cs="宋体"/>
          <w:b/>
          <w:bCs/>
          <w:color w:val="auto"/>
          <w:szCs w:val="21"/>
          <w:highlight w:val="none"/>
          <w:lang w:eastAsia="zh-CN"/>
        </w:rPr>
        <w:t xml:space="preserve">投标（响应）</w:t>
      </w:r>
      <w:r>
        <w:rPr>
          <w:rFonts w:hint="eastAsia" w:ascii="宋体" w:hAnsi="宋体" w:cs="宋体"/>
          <w:b/>
          <w:bCs/>
          <w:color w:val="auto"/>
          <w:szCs w:val="21"/>
          <w:highlight w:val="none"/>
        </w:rPr>
        <w:t xml:space="preserve">要使用新点2013清单造价江苏版软件生成投标文件，并且生成投标文件时要选择标管接口而非常用的省接口。</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22"/>
        <w:spacing w:line="480" w:lineRule="auto"/>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4、供应商成交后根据本单位的最终总报价和首轮明细报价，自行调整各明细单价（原则上除不可竞争费外，其他各分项报价同比例下浮）直至</w:t>
      </w:r>
      <w:r>
        <w:rPr>
          <w:rFonts w:hint="eastAsia" w:ascii="宋体" w:hAnsi="宋体" w:eastAsia="宋体" w:cs="宋体"/>
          <w:b/>
          <w:bCs/>
          <w:color w:val="auto"/>
          <w:sz w:val="22"/>
          <w:szCs w:val="24"/>
          <w:highlight w:val="none"/>
          <w:lang w:eastAsia="zh-CN"/>
        </w:rPr>
        <w:t xml:space="preserve">合计</w:t>
      </w:r>
      <w:r>
        <w:rPr>
          <w:rFonts w:hint="eastAsia" w:ascii="宋体" w:hAnsi="宋体" w:eastAsia="宋体" w:cs="宋体"/>
          <w:b/>
          <w:bCs/>
          <w:color w:val="auto"/>
          <w:sz w:val="22"/>
          <w:szCs w:val="24"/>
          <w:highlight w:val="none"/>
        </w:rPr>
        <w:t xml:space="preserve">价和最终总报价相符，报采购人和预算编制单位审核，审核通过后，后期根据审核后的明细报价，按实结算。</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附件3 </w:t>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技术要求响应及偏离表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5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需对技术要求（未加斜体下划线的非实质性要求）逐条做出明确响应。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51"/>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000000" w:sz="8"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none" w:color="000000" w:sz="4" w:space="0"/>
              <w:left w:val="none" w:color="000000" w:sz="4" w:space="0"/>
              <w:bottom w:val="single" w:color="auto" w:sz="4"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需对商务要求（未加斜体下划线的非实质性要求）逐条做出明确响应。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spacing w:line="46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5</w:t>
      </w:r>
      <w:r/>
    </w:p>
    <w:p>
      <w:pPr>
        <w:jc w:val="center"/>
        <w:spacing w:line="46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法人授权书</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本授权书声明：___________（</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名称）授权______（被授权人的姓名）为我方就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本授权书于______年____月____日起生效，特此声明。</w:t>
      </w:r>
      <w:r/>
    </w:p>
    <w:p>
      <w:pPr>
        <w:pStyle w:val="125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被授权人电子邮箱：</w:t>
      </w:r>
      <w:r>
        <w:rPr>
          <w:rFonts w:hint="eastAsia" w:ascii="宋体" w:hAnsi="宋体" w:eastAsia="宋体" w:cs="宋体"/>
          <w:color w:val="auto"/>
          <w:sz w:val="24"/>
          <w:szCs w:val="24"/>
          <w:highlight w:val="none"/>
          <w:u w:val="single"/>
        </w:rPr>
        <w:t xml:space="preserve">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附件6 </w:t>
      </w:r>
      <w:r/>
    </w:p>
    <w:p>
      <w:pPr>
        <w:jc w:val="cente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江苏万达工程造价事务所有限公司</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shd w:val="clear" w:color="auto" w:fill="auto"/>
        </w:rPr>
        <w:t xml:space="preserve">贵方的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号磋</w:t>
      </w:r>
      <w:r>
        <w:rPr>
          <w:rFonts w:hint="eastAsia" w:ascii="宋体" w:hAnsi="宋体" w:eastAsia="宋体" w:cs="宋体"/>
          <w:color w:val="auto"/>
          <w:sz w:val="24"/>
          <w:szCs w:val="24"/>
          <w:highlight w:val="none"/>
        </w:rPr>
        <w:t xml:space="preserve">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（供应商的名称），全权处理本次项目磋商的有关事宜。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1.按磋商文件规定的各项要求，向买方提供所需服务。</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2.我们已详细审核全部磋商文件及其有效补充文件，我们知道必须放弃提出含糊不清或误解问题的权利。</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3.我们同意从规定的响应文件接收截止时间起遵循本响应文件，并在规定的磋商有效期期满之前均具有约束力。</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6.遵守磋商文件中要求的收费项目和标准。</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7.与本磋商采购有关的正式通讯地址为：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2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w:t>
      </w:r>
      <w:r/>
    </w:p>
    <w:p>
      <w:pPr>
        <w:jc w:val="center"/>
        <w:spacing w:line="45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主要标的信息（</w:t>
      </w:r>
      <w:r>
        <w:rPr>
          <w:rFonts w:hint="eastAsia" w:ascii="宋体" w:hAnsi="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后将公示）</w:t>
      </w:r>
      <w:r/>
    </w:p>
    <w:p>
      <w:pPr>
        <w:spacing w:after="3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施工范围：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执业证书信息：</w:t>
            </w:r>
            <w:r/>
          </w:p>
        </w:tc>
      </w:tr>
    </w:tbl>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附件8</w:t>
      </w:r>
      <w:r/>
    </w:p>
    <w:p>
      <w:pPr>
        <w:ind w:left="0" w:right="0" w:firstLine="1205"/>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具备履行合同所必需的设备和专业技术能力的书面声明</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b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附件9</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附件10</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供应商信用承诺书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承诺主体名称：</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统一社会信用代码：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二、严格按照国家</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十、本承诺书自签订之日起生效。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承诺单位（加盖CA电子公章）：</w:t>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
          <w:bCs/>
          <w:i/>
          <w:color w:val="auto"/>
          <w:sz w:val="24"/>
          <w:szCs w:val="24"/>
          <w:highlight w:val="none"/>
          <w:u w:val="single"/>
        </w:rPr>
        <w:br w:type="page" w:clear="all"/>
      </w:r>
      <w:r>
        <w:rPr>
          <w:rFonts w:hint="eastAsia" w:ascii="宋体" w:hAnsi="宋体" w:eastAsia="宋体" w:cs="宋体"/>
          <w:b/>
          <w:color w:val="auto"/>
          <w:sz w:val="22"/>
          <w:szCs w:val="21"/>
          <w:highlight w:val="none"/>
        </w:rPr>
        <w:t xml:space="preserve">附件11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中小企业声明函（工程）</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pacing w:val="-1"/>
          <w:sz w:val="24"/>
          <w:szCs w:val="24"/>
          <w:highlight w:val="none"/>
          <w:vertAlign w:val="superscript"/>
        </w:rPr>
        <w:instrText xml:space="preserve"> HYPERLINK \l "br1"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数据，无</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数据的新成立企业可不填报。</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w:t>
      </w:r>
      <w:r>
        <w:rPr>
          <w:rFonts w:hint="eastAsia" w:ascii="宋体" w:hAnsi="宋体" w:eastAsia="宋体" w:cs="宋体"/>
          <w:b/>
          <w:color w:val="auto"/>
          <w:sz w:val="24"/>
          <w:szCs w:val="24"/>
          <w:highlight w:val="none"/>
        </w:rPr>
        <w:t xml:space="preserve">，视为无效</w:t>
      </w:r>
      <w:r>
        <w:rPr>
          <w:rFonts w:hint="eastAsia" w:ascii="宋体" w:hAnsi="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r>
        <w:rPr>
          <w:rFonts w:hint="eastAsia" w:ascii="宋体" w:hAnsi="宋体" w:eastAsia="宋体" w:cs="宋体"/>
          <w:bCs/>
          <w:color w:val="auto"/>
          <w:sz w:val="24"/>
          <w:szCs w:val="24"/>
          <w:highlight w:val="none"/>
        </w:rPr>
        <w:t xml:space="preserve">采购文件中已明确所属行业</w:t>
      </w:r>
      <w:r>
        <w:rPr>
          <w:rFonts w:hint="eastAsia" w:ascii="宋体" w:hAnsi="宋体" w:eastAsia="宋体" w:cs="宋体"/>
          <w:color w:val="auto"/>
          <w:sz w:val="24"/>
          <w:szCs w:val="24"/>
          <w:highlight w:val="none"/>
        </w:rPr>
        <w:t xml:space="preserve">的，</w:t>
      </w:r>
      <w:r>
        <w:rPr>
          <w:rFonts w:hint="eastAsia" w:ascii="宋体" w:hAnsi="宋体" w:eastAsia="宋体" w:cs="宋体"/>
          <w:b/>
          <w:color w:val="auto"/>
          <w:sz w:val="24"/>
          <w:szCs w:val="24"/>
          <w:highlight w:val="none"/>
        </w:rPr>
        <w:t xml:space="preserve">不得对行业类别修改</w:t>
      </w:r>
      <w:r>
        <w:rPr>
          <w:rFonts w:hint="eastAsia" w:ascii="宋体" w:hAnsi="宋体" w:eastAsia="宋体" w:cs="宋体"/>
          <w:color w:val="auto"/>
          <w:sz w:val="24"/>
          <w:szCs w:val="24"/>
          <w:highlight w:val="none"/>
        </w:rPr>
        <w:t xml:space="preserve">。企业声明函请完整填写，成交后将公示。</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供应商名称</w:t>
      </w:r>
      <w:r>
        <w:rPr>
          <w:rFonts w:hint="eastAsia" w:ascii="宋体" w:hAnsi="宋体" w:eastAsia="宋体" w:cs="宋体"/>
          <w:color w:val="auto"/>
          <w:szCs w:val="21"/>
          <w:highlight w:val="none"/>
        </w:rPr>
        <w:t xml:space="preserve">（加盖CA电子公章）：</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1"/>
          <w:highlight w:val="none"/>
        </w:rPr>
        <w:t xml:space="preserve">中小微企业划型标准</w:t>
      </w:r>
      <w:r/>
    </w:p>
    <w:p>
      <w:pPr>
        <w:ind w:firstLine="422"/>
        <w:rPr>
          <w:rFonts w:hint="eastAsia" w:ascii="宋体" w:hAnsi="宋体" w:eastAsia="宋体" w:cs="宋体"/>
          <w:b/>
          <w:bCs/>
          <w:color w:val="auto"/>
          <w:szCs w:val="21"/>
          <w:highlight w:val="none"/>
        </w:rPr>
      </w:pPr>
      <w:r>
        <w:rPr>
          <w:rStyle w:val="1251"/>
          <w:rFonts w:hint="eastAsia" w:ascii="宋体" w:hAnsi="宋体" w:eastAsia="宋体" w:cs="宋体"/>
          <w:color w:val="auto"/>
          <w:szCs w:val="21"/>
          <w:highlight w:val="none"/>
        </w:rPr>
        <w:t xml:space="preserve">中小微企业划型标准如下：</w:t>
      </w:r>
      <w:r/>
    </w:p>
    <w:tbl>
      <w:tblPr>
        <w:tblStyle w:val="1051"/>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82" w:type="dxa"/>
            <w:vAlign w:val="center"/>
            <w:textDirection w:val="lrTb"/>
            <w:noWrap w:val="false"/>
          </w:tcPr>
          <w:p>
            <w:pPr>
              <w:pStyle w:val="1249"/>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bl>
    <w:p>
      <w:pPr>
        <w:pStyle w:val="1235"/>
        <w:ind w:firstLine="422"/>
        <w:spacing w:line="360" w:lineRule="auto"/>
        <w:rPr>
          <w:rFonts w:hint="eastAsia" w:ascii="宋体" w:hAnsi="宋体" w:eastAsia="宋体" w:cs="宋体"/>
          <w:color w:val="auto"/>
          <w:szCs w:val="21"/>
          <w:highlight w:val="none"/>
        </w:rPr>
      </w:pPr>
      <w:r>
        <w:rPr>
          <w:rStyle w:val="1251"/>
          <w:rFonts w:hint="eastAsia" w:ascii="宋体" w:hAnsi="宋体" w:eastAsia="宋体" w:cs="宋体"/>
          <w:color w:val="auto"/>
          <w:szCs w:val="21"/>
          <w:highlight w:val="none"/>
        </w:rPr>
        <w:t xml:space="preserve">说明：上述标准参照《关于印发中小企业划型标准规定的通知》（工信部联企业</w:t>
      </w:r>
      <w:r>
        <w:rPr>
          <w:rStyle w:val="1251"/>
          <w:rFonts w:hint="eastAsia" w:ascii="宋体" w:hAnsi="宋体" w:eastAsia="宋体" w:cs="宋体"/>
          <w:color w:val="auto"/>
          <w:szCs w:val="21"/>
          <w:highlight w:val="none"/>
          <w:lang w:eastAsia="zh-CN"/>
        </w:rPr>
        <w:t xml:space="preserve">〔2011〕300号</w:t>
      </w:r>
      <w:r>
        <w:rPr>
          <w:rStyle w:val="1251"/>
          <w:rFonts w:hint="eastAsia" w:ascii="宋体" w:hAnsi="宋体" w:eastAsia="宋体" w:cs="宋体"/>
          <w:color w:val="auto"/>
          <w:szCs w:val="21"/>
          <w:highlight w:val="none"/>
        </w:rPr>
        <w:t xml:space="preserve">），大型、中型和小型企业须同时满足所列指标的下限，否则下划一档；微型企业只</w:t>
      </w:r>
      <w:r>
        <w:rPr>
          <w:rStyle w:val="1251"/>
          <w:rFonts w:hint="eastAsia" w:ascii="宋体" w:hAnsi="宋体" w:eastAsia="宋体" w:cs="宋体"/>
          <w:color w:val="auto"/>
          <w:szCs w:val="21"/>
          <w:highlight w:val="none"/>
          <w:lang w:eastAsia="zh-CN"/>
        </w:rPr>
        <w:t xml:space="preserve">需</w:t>
      </w:r>
      <w:r>
        <w:rPr>
          <w:rStyle w:val="1251"/>
          <w:rFonts w:hint="eastAsia" w:ascii="宋体" w:hAnsi="宋体" w:eastAsia="宋体" w:cs="宋体"/>
          <w:color w:val="auto"/>
          <w:szCs w:val="21"/>
          <w:highlight w:val="none"/>
        </w:rPr>
        <w:t xml:space="preserve">满足所列指标中的一项即可。</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t xml:space="preserve">附件12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（加盖CA电子公章）：</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附件13          </w:t>
      </w:r>
      <w:r/>
    </w:p>
    <w:p>
      <w:pPr>
        <w:ind w:left="0" w:right="0" w:firstLine="0"/>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联合体协议（参考格式）</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（联合体中各</w:t>
      </w: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）在此达成以下协议：</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cs="宋体"/>
          <w:color w:val="auto"/>
          <w:sz w:val="24"/>
          <w:szCs w:val="24"/>
          <w:highlight w:val="none"/>
          <w:lang w:eastAsia="zh-CN"/>
        </w:rPr>
        <w:t xml:space="preserve">江苏万达工程造价事务所有限公司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项目（采购包号：**）的政府采购活动，我联合体指定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45"/>
        <w:jc w:val="both"/>
        <w:spacing w:before="0" w:after="0" w:line="558"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46"/>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联合体中各</w:t>
      </w: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（公章）：     </w:t>
      </w:r>
      <w:r/>
    </w:p>
    <w:p>
      <w:pPr>
        <w:ind w:left="0" w:right="0" w:firstLine="646"/>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left="0" w:right="0" w:firstLine="645"/>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645"/>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备注：本</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文件中要求</w:t>
      </w:r>
      <w:r>
        <w:rPr>
          <w:rFonts w:hint="eastAsia" w:ascii="宋体" w:hAnsi="宋体" w:eastAsia="宋体" w:cs="宋体"/>
          <w:color w:val="auto"/>
          <w:sz w:val="24"/>
          <w:highlight w:val="none"/>
          <w:lang w:eastAsia="zh-CN"/>
        </w:rPr>
        <w:t xml:space="preserve">加盖CA电子公章</w:t>
      </w:r>
      <w:r>
        <w:rPr>
          <w:rFonts w:hint="eastAsia" w:ascii="宋体" w:hAnsi="宋体" w:eastAsia="宋体" w:cs="宋体"/>
          <w:color w:val="auto"/>
          <w:sz w:val="24"/>
          <w:highlight w:val="none"/>
        </w:rPr>
        <w:t xml:space="preserve">的地方，仅需加盖牵头单位的CA电子签章。</w:t>
      </w:r>
      <w:r/>
    </w:p>
    <w:p>
      <w:pPr>
        <w:spacing w:line="460" w:lineRule="exact"/>
        <w:rPr>
          <w:rFonts w:hint="eastAsia" w:ascii="宋体" w:hAnsi="宋体" w:eastAsia="宋体" w:cs="宋体"/>
          <w:b/>
          <w:color w:val="auto"/>
          <w:sz w:val="22"/>
          <w:szCs w:val="21"/>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2"/>
          <w:szCs w:val="21"/>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实质性要求响应及偏离表</w:t>
      </w:r>
      <w:r>
        <w:rPr>
          <w:rFonts w:hint="eastAsia" w:ascii="宋体" w:hAnsi="宋体" w:eastAsia="宋体" w:cs="宋体"/>
          <w:b/>
          <w:bCs/>
          <w:color w:val="auto"/>
          <w:sz w:val="24"/>
          <w:szCs w:val="24"/>
          <w:highlight w:val="none"/>
        </w:rPr>
        <w:br/>
      </w:r>
      <w:r/>
    </w:p>
    <w:tbl>
      <w:tblPr>
        <w:tblStyle w:val="10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14-1  </w:t>
      </w:r>
      <w:r>
        <w:rPr>
          <w:rFonts w:hint="eastAsia" w:ascii="宋体" w:hAnsi="宋体" w:eastAsia="宋体" w:cs="宋体"/>
          <w:color w:val="auto"/>
          <w:sz w:val="24"/>
          <w:szCs w:val="24"/>
          <w:highlight w:val="none"/>
        </w:rPr>
        <w:t xml:space="preserve">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必须对商务要求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必须将证明材料列于该表之下。</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未对实质性要求逐条作出明确响应的，或未按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文件要求提供证明材料的，该采购包作无效</w:t>
      </w:r>
      <w:r>
        <w:rPr>
          <w:rFonts w:hint="eastAsia" w:ascii="宋体" w:hAnsi="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处理。</w:t>
      </w:r>
      <w:bookmarkEnd w:id="60"/>
      <w:r/>
      <w:bookmarkEnd w:id="61"/>
      <w:r/>
      <w:bookmarkEnd w:id="129"/>
      <w:r/>
      <w:bookmarkEnd w:id="130"/>
      <w:r/>
      <w:bookmarkEnd w:id="131"/>
      <w:r/>
      <w:bookmarkStart w:id="132" w:name="_Hlt26955054"/>
      <w:r/>
      <w:bookmarkEnd w:id="132"/>
      <w:r/>
      <w:bookmarkEnd w:id="133"/>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rPr>
        <w:rStyle w:val="1258"/>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5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rPr>
        <w:rStyle w:val="1258"/>
      </w:rPr>
      <w:framePr w:wrap="around" w:vAnchor="text" w:hAnchor="margin" w:xAlign="center" w:y="1"/>
    </w:pPr>
    <w:r>
      <w:fldChar w:fldCharType="begin"/>
    </w:r>
    <w:r>
      <w:rPr>
        <w:rStyle w:val="1258"/>
      </w:rPr>
      <w:instrText xml:space="preserve">PAGE  </w:instrText>
    </w:r>
    <w:r>
      <w:fldChar w:fldCharType="separate"/>
    </w:r>
    <w:r>
      <w:rPr>
        <w:rStyle w:val="1258"/>
      </w:rPr>
      <w:t xml:space="preserve">1</w:t>
    </w:r>
    <w:r>
      <w:fldChar w:fldCharType="end"/>
    </w:r>
    <w:r/>
  </w:p>
  <w:p>
    <w:pPr>
      <w:pStyle w:val="12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57"/>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063"/>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180"/>
      <w:jc w:val="both"/>
      <w:rPr>
        <w:rFonts w:hint="eastAsia"/>
        <w:color w:val="0000ff"/>
        <w:lang w:val="en-US" w:eastAsia="zh-CN"/>
      </w:rPr>
    </w:pPr>
    <w:r>
      <w:rPr>
        <w:rFonts w:hint="eastAsia"/>
        <w:color w:val="0000ff"/>
        <w:lang w:val="en-US" w:eastAsia="zh-CN"/>
      </w:rPr>
    </w:r>
    <w:r/>
  </w:p>
  <w:p>
    <w:pPr>
      <w:pStyle w:val="1256"/>
      <w:ind w:firstLine="180"/>
      <w:jc w:val="both"/>
    </w:pPr>
    <w:r>
      <w:rPr>
        <w:rFonts w:hint="eastAsia"/>
        <w:color w:val="auto"/>
        <w:highlight w:val="none"/>
        <w:lang w:val="en-US" w:eastAsia="zh-CN"/>
      </w:rPr>
      <w:t xml:space="preserve">JSZC-320000-JSWD-C2026-0016 </w:t>
    </w:r>
    <w:r>
      <w:rPr>
        <w:rFonts w:hint="eastAsia"/>
        <w:lang w:val="en-US" w:eastAsia="zh-CN"/>
      </w:rPr>
      <w:t xml:space="preserve">                              </w:t>
    </w:r>
    <w:r>
      <w:rPr>
        <w:rFonts w:hint="eastAsia"/>
        <w:lang w:eastAsia="zh-CN"/>
      </w:rPr>
      <w:t xml:space="preserve">江苏万达工程造价事务所有限公司</w:t>
    </w:r>
    <w:r/>
  </w:p>
  <w:p>
    <w:pPr>
      <w:pStyle w:val="12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both"/>
      <w:rPr>
        <w:rFonts w:hint="eastAsia"/>
        <w:lang w:val="en-US" w:eastAsia="zh-CN"/>
      </w:rPr>
    </w:pPr>
    <w:r>
      <w:rPr>
        <w:rFonts w:hint="eastAsia"/>
        <w:lang w:val="en-US" w:eastAsia="zh-CN"/>
      </w:rPr>
    </w:r>
    <w:r/>
  </w:p>
  <w:p>
    <w:pPr>
      <w:pStyle w:val="1256"/>
      <w:ind w:firstLine="360"/>
      <w:jc w:val="both"/>
    </w:pPr>
    <w:r>
      <w:rPr>
        <w:rFonts w:hint="eastAsia"/>
        <w:color w:val="auto"/>
        <w:lang w:val="en-US" w:eastAsia="zh-CN"/>
      </w:rPr>
      <w:t xml:space="preserve">JSZC-320000-JSWD-C2026-0016  </w:t>
    </w:r>
    <w:r>
      <w:rPr>
        <w:rFonts w:hint="eastAsia"/>
        <w:lang w:val="en-US" w:eastAsia="zh-CN"/>
      </w:rPr>
      <w:t xml:space="preserve">                           </w:t>
    </w:r>
    <w:r>
      <w:rPr>
        <w:rFonts w:hint="eastAsia"/>
        <w:lang w:eastAsia="zh-CN"/>
      </w:rPr>
      <w:t xml:space="preserve">江苏万达工程造价事务所有限公司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both"/>
      <w:rPr>
        <w:rFonts w:hint="eastAsia"/>
        <w:lang w:val="en-US" w:eastAsia="zh-CN"/>
      </w:rPr>
    </w:pPr>
    <w:r>
      <w:rPr>
        <w:rFonts w:hint="eastAsia"/>
        <w:lang w:val="en-US" w:eastAsia="zh-CN"/>
      </w:rPr>
    </w:r>
    <w:r/>
  </w:p>
  <w:p>
    <w:pPr>
      <w:pStyle w:val="1256"/>
      <w:jc w:val="both"/>
    </w:pPr>
    <w:r>
      <w:rPr>
        <w:rFonts w:hint="eastAsia"/>
        <w:lang w:val="en-US" w:eastAsia="zh-CN"/>
      </w:rPr>
      <w:t xml:space="preserve">JSZC-320000-JSWD-C2026-0016                                  </w:t>
    </w:r>
    <w:r>
      <w:rPr>
        <w:rFonts w:hint="eastAsia"/>
        <w:lang w:eastAsia="zh-CN"/>
      </w:rPr>
      <w:t xml:space="preserve">江苏万达工程造价事务所有限公司</w:t>
    </w:r>
    <w:r/>
  </w:p>
  <w:p>
    <w:pPr>
      <w:pStyle w:val="12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0" w:default="1">
    <w:name w:val="Normal"/>
    <w:link w:val="12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name w:val="Heading 1"/>
    <w:basedOn w:val="1040"/>
    <w:next w:val="1040"/>
    <w:link w:val="1079"/>
    <w:uiPriority w:val="9"/>
    <w:qFormat/>
    <w:pPr>
      <w:keepLines/>
      <w:keepNext/>
      <w:spacing w:before="480" w:after="200"/>
      <w:outlineLvl w:val="0"/>
    </w:pPr>
    <w:rPr>
      <w:rFonts w:ascii="Arial" w:hAnsi="Arial" w:eastAsia="Arial" w:cs="Arial"/>
      <w:sz w:val="40"/>
      <w:szCs w:val="40"/>
    </w:rPr>
  </w:style>
  <w:style w:type="paragraph" w:styleId="1042">
    <w:name w:val="Heading 2"/>
    <w:basedOn w:val="1040"/>
    <w:next w:val="1040"/>
    <w:link w:val="1080"/>
    <w:uiPriority w:val="9"/>
    <w:unhideWhenUsed/>
    <w:qFormat/>
    <w:pPr>
      <w:keepLines/>
      <w:keepNext/>
      <w:spacing w:before="360" w:after="200"/>
      <w:outlineLvl w:val="1"/>
    </w:pPr>
    <w:rPr>
      <w:rFonts w:ascii="Arial" w:hAnsi="Arial" w:eastAsia="Arial" w:cs="Arial"/>
      <w:sz w:val="34"/>
    </w:rPr>
  </w:style>
  <w:style w:type="paragraph" w:styleId="1043">
    <w:name w:val="Heading 3"/>
    <w:basedOn w:val="1040"/>
    <w:next w:val="1040"/>
    <w:link w:val="1081"/>
    <w:uiPriority w:val="9"/>
    <w:unhideWhenUsed/>
    <w:qFormat/>
    <w:pPr>
      <w:keepLines/>
      <w:keepNext/>
      <w:spacing w:before="320" w:after="200"/>
      <w:outlineLvl w:val="2"/>
    </w:pPr>
    <w:rPr>
      <w:rFonts w:ascii="Arial" w:hAnsi="Arial" w:eastAsia="Arial" w:cs="Arial"/>
      <w:sz w:val="30"/>
      <w:szCs w:val="30"/>
    </w:rPr>
  </w:style>
  <w:style w:type="paragraph" w:styleId="1044">
    <w:name w:val="Heading 4"/>
    <w:basedOn w:val="1040"/>
    <w:next w:val="1040"/>
    <w:uiPriority w:val="9"/>
    <w:unhideWhenUsed/>
    <w:qFormat/>
    <w:pPr>
      <w:keepLines/>
      <w:keepNext/>
      <w:spacing w:before="320" w:after="200"/>
      <w:outlineLvl w:val="3"/>
    </w:pPr>
    <w:rPr>
      <w:rFonts w:ascii="Arial" w:hAnsi="Arial" w:eastAsia="Arial" w:cs="Arial"/>
      <w:b/>
      <w:bCs/>
      <w:sz w:val="26"/>
      <w:szCs w:val="26"/>
    </w:rPr>
  </w:style>
  <w:style w:type="paragraph" w:styleId="1045">
    <w:name w:val="Heading 5"/>
    <w:basedOn w:val="1040"/>
    <w:next w:val="1040"/>
    <w:link w:val="1083"/>
    <w:uiPriority w:val="9"/>
    <w:unhideWhenUsed/>
    <w:qFormat/>
    <w:pPr>
      <w:keepLines/>
      <w:keepNext/>
      <w:spacing w:before="320" w:after="200"/>
      <w:outlineLvl w:val="4"/>
    </w:pPr>
    <w:rPr>
      <w:rFonts w:ascii="Arial" w:hAnsi="Arial" w:eastAsia="Arial" w:cs="Arial"/>
      <w:b/>
      <w:bCs/>
      <w:sz w:val="24"/>
      <w:szCs w:val="24"/>
    </w:rPr>
  </w:style>
  <w:style w:type="paragraph" w:styleId="1046">
    <w:name w:val="Heading 6"/>
    <w:basedOn w:val="1040"/>
    <w:next w:val="1040"/>
    <w:link w:val="1084"/>
    <w:uiPriority w:val="9"/>
    <w:unhideWhenUsed/>
    <w:qFormat/>
    <w:pPr>
      <w:keepLines/>
      <w:keepNext/>
      <w:spacing w:before="320" w:after="200"/>
      <w:outlineLvl w:val="5"/>
    </w:pPr>
    <w:rPr>
      <w:rFonts w:ascii="Arial" w:hAnsi="Arial" w:eastAsia="Arial" w:cs="Arial"/>
      <w:b/>
      <w:bCs/>
      <w:sz w:val="22"/>
      <w:szCs w:val="22"/>
    </w:rPr>
  </w:style>
  <w:style w:type="paragraph" w:styleId="1047">
    <w:name w:val="Heading 7"/>
    <w:basedOn w:val="1040"/>
    <w:next w:val="1040"/>
    <w:link w:val="1085"/>
    <w:uiPriority w:val="9"/>
    <w:unhideWhenUsed/>
    <w:qFormat/>
    <w:pPr>
      <w:keepLines/>
      <w:keepNext/>
      <w:spacing w:before="320" w:after="200"/>
      <w:outlineLvl w:val="6"/>
    </w:pPr>
    <w:rPr>
      <w:rFonts w:ascii="Arial" w:hAnsi="Arial" w:eastAsia="Arial" w:cs="Arial"/>
      <w:b/>
      <w:bCs/>
      <w:i/>
      <w:iCs/>
      <w:sz w:val="22"/>
      <w:szCs w:val="22"/>
    </w:rPr>
  </w:style>
  <w:style w:type="paragraph" w:styleId="1048">
    <w:name w:val="Heading 8"/>
    <w:basedOn w:val="1040"/>
    <w:next w:val="1040"/>
    <w:link w:val="1086"/>
    <w:uiPriority w:val="9"/>
    <w:unhideWhenUsed/>
    <w:qFormat/>
    <w:pPr>
      <w:keepLines/>
      <w:keepNext/>
      <w:spacing w:before="320" w:after="200"/>
      <w:outlineLvl w:val="7"/>
    </w:pPr>
    <w:rPr>
      <w:rFonts w:ascii="Arial" w:hAnsi="Arial" w:eastAsia="Arial" w:cs="Arial"/>
      <w:i/>
      <w:iCs/>
      <w:sz w:val="22"/>
      <w:szCs w:val="22"/>
    </w:rPr>
  </w:style>
  <w:style w:type="paragraph" w:styleId="1049">
    <w:name w:val="Heading 9"/>
    <w:basedOn w:val="1040"/>
    <w:next w:val="1040"/>
    <w:link w:val="1087"/>
    <w:uiPriority w:val="9"/>
    <w:unhideWhenUsed/>
    <w:qFormat/>
    <w:pPr>
      <w:keepLines/>
      <w:keepNext/>
      <w:spacing w:before="320" w:after="200"/>
      <w:outlineLvl w:val="8"/>
    </w:pPr>
    <w:rPr>
      <w:rFonts w:ascii="Arial" w:hAnsi="Arial" w:eastAsia="Arial" w:cs="Arial"/>
      <w:i/>
      <w:iCs/>
      <w:sz w:val="21"/>
      <w:szCs w:val="21"/>
    </w:rPr>
  </w:style>
  <w:style w:type="character" w:styleId="1050" w:default="1">
    <w:name w:val="Default Paragraph Font"/>
    <w:uiPriority w:val="0"/>
    <w:semiHidden/>
    <w:qFormat/>
  </w:style>
  <w:style w:type="table" w:styleId="1051" w:default="1">
    <w:name w:val="Normal Table"/>
    <w:uiPriority w:val="0"/>
    <w:semiHidden/>
    <w:qFormat/>
    <w:tblPr>
      <w:tblCellMar>
        <w:left w:w="108" w:type="dxa"/>
        <w:top w:w="0" w:type="dxa"/>
        <w:right w:w="108" w:type="dxa"/>
        <w:bottom w:w="0" w:type="dxa"/>
      </w:tblCellMar>
    </w:tblPr>
  </w:style>
  <w:style w:type="paragraph" w:styleId="1052">
    <w:name w:val="toc 7"/>
    <w:basedOn w:val="1040"/>
    <w:next w:val="1040"/>
    <w:uiPriority w:val="39"/>
    <w:unhideWhenUsed/>
    <w:qFormat/>
    <w:pPr>
      <w:ind w:left="1701" w:right="0" w:firstLine="0"/>
      <w:spacing w:after="57"/>
    </w:pPr>
  </w:style>
  <w:style w:type="paragraph" w:styleId="1053">
    <w:name w:val="Normal Indent"/>
    <w:basedOn w:val="1040"/>
    <w:uiPriority w:val="0"/>
    <w:unhideWhenUsed/>
    <w:qFormat/>
    <w:pPr>
      <w:ind w:firstLine="420"/>
    </w:pPr>
  </w:style>
  <w:style w:type="paragraph" w:styleId="1054">
    <w:name w:val="Caption"/>
    <w:basedOn w:val="1040"/>
    <w:next w:val="104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55">
    <w:name w:val="Body Text"/>
    <w:basedOn w:val="1040"/>
    <w:uiPriority w:val="0"/>
    <w:qFormat/>
    <w:rPr>
      <w:rFonts w:ascii="楷体_GB2312" w:hAnsi="Arial" w:eastAsia="楷体_GB2312"/>
      <w:sz w:val="28"/>
      <w:szCs w:val="28"/>
    </w:rPr>
  </w:style>
  <w:style w:type="paragraph" w:styleId="1056">
    <w:name w:val="List Bullet 2"/>
    <w:basedOn w:val="1040"/>
    <w:uiPriority w:val="99"/>
    <w:semiHidden/>
    <w:unhideWhenUsed/>
    <w:qFormat/>
    <w:pPr>
      <w:numPr>
        <w:ilvl w:val="0"/>
        <w:numId w:val="1"/>
      </w:numPr>
    </w:pPr>
  </w:style>
  <w:style w:type="paragraph" w:styleId="1057">
    <w:name w:val="toc 5"/>
    <w:basedOn w:val="1040"/>
    <w:next w:val="1040"/>
    <w:uiPriority w:val="39"/>
    <w:unhideWhenUsed/>
    <w:qFormat/>
    <w:pPr>
      <w:ind w:left="1134" w:right="0" w:firstLine="0"/>
      <w:spacing w:after="57"/>
    </w:pPr>
  </w:style>
  <w:style w:type="paragraph" w:styleId="1058">
    <w:name w:val="toc 3"/>
    <w:basedOn w:val="1040"/>
    <w:next w:val="1040"/>
    <w:uiPriority w:val="39"/>
    <w:unhideWhenUsed/>
    <w:qFormat/>
    <w:pPr>
      <w:ind w:left="567" w:right="0" w:firstLine="0"/>
      <w:spacing w:after="57"/>
    </w:pPr>
  </w:style>
  <w:style w:type="paragraph" w:styleId="1059">
    <w:name w:val="Plain Text"/>
    <w:basedOn w:val="1040"/>
    <w:next w:val="1053"/>
    <w:uiPriority w:val="99"/>
    <w:qFormat/>
    <w:rPr>
      <w:rFonts w:ascii="宋体" w:hAnsi="Courier New"/>
      <w:sz w:val="20"/>
      <w:szCs w:val="21"/>
    </w:rPr>
  </w:style>
  <w:style w:type="paragraph" w:styleId="1060">
    <w:name w:val="toc 8"/>
    <w:basedOn w:val="1040"/>
    <w:next w:val="1040"/>
    <w:uiPriority w:val="39"/>
    <w:unhideWhenUsed/>
    <w:qFormat/>
    <w:pPr>
      <w:ind w:left="1984" w:right="0" w:firstLine="0"/>
      <w:spacing w:after="57"/>
    </w:pPr>
  </w:style>
  <w:style w:type="paragraph" w:styleId="1061">
    <w:name w:val="Body Text Indent 2"/>
    <w:basedOn w:val="1040"/>
    <w:uiPriority w:val="99"/>
    <w:unhideWhenUsed/>
    <w:qFormat/>
    <w:pPr>
      <w:ind w:firstLine="562"/>
      <w:spacing w:line="480" w:lineRule="exact"/>
    </w:pPr>
    <w:rPr>
      <w:rFonts w:ascii="楷体_GB2312" w:eastAsia="楷体_GB2312"/>
      <w:b/>
      <w:bCs/>
      <w:sz w:val="28"/>
      <w:szCs w:val="24"/>
    </w:rPr>
  </w:style>
  <w:style w:type="paragraph" w:styleId="1062">
    <w:name w:val="endnote text"/>
    <w:basedOn w:val="1040"/>
    <w:link w:val="1225"/>
    <w:uiPriority w:val="99"/>
    <w:semiHidden/>
    <w:unhideWhenUsed/>
    <w:qFormat/>
    <w:pPr>
      <w:spacing w:after="0" w:line="240" w:lineRule="auto"/>
    </w:pPr>
    <w:rPr>
      <w:sz w:val="20"/>
    </w:rPr>
  </w:style>
  <w:style w:type="paragraph" w:styleId="1063">
    <w:name w:val="Footer"/>
    <w:basedOn w:val="1040"/>
    <w:uiPriority w:val="99"/>
    <w:unhideWhenUsed/>
    <w:qFormat/>
    <w:pPr>
      <w:spacing w:after="0" w:line="240" w:lineRule="auto"/>
      <w:tabs>
        <w:tab w:val="center" w:pos="7143" w:leader="none"/>
        <w:tab w:val="right" w:pos="14287" w:leader="none"/>
      </w:tabs>
    </w:pPr>
  </w:style>
  <w:style w:type="paragraph" w:styleId="1064">
    <w:name w:val="Header"/>
    <w:basedOn w:val="1040"/>
    <w:link w:val="1096"/>
    <w:uiPriority w:val="99"/>
    <w:unhideWhenUsed/>
    <w:qFormat/>
    <w:pPr>
      <w:spacing w:after="0" w:line="240" w:lineRule="auto"/>
      <w:tabs>
        <w:tab w:val="center" w:pos="7143" w:leader="none"/>
        <w:tab w:val="right" w:pos="14287" w:leader="none"/>
      </w:tabs>
    </w:pPr>
  </w:style>
  <w:style w:type="paragraph" w:styleId="1065">
    <w:name w:val="toc 1"/>
    <w:basedOn w:val="1040"/>
    <w:next w:val="1040"/>
    <w:uiPriority w:val="39"/>
    <w:unhideWhenUsed/>
    <w:qFormat/>
    <w:rPr>
      <w:rFonts w:ascii="Calibri" w:hAnsi="Calibri"/>
    </w:rPr>
  </w:style>
  <w:style w:type="paragraph" w:styleId="1066">
    <w:name w:val="toc 4"/>
    <w:basedOn w:val="1040"/>
    <w:next w:val="1040"/>
    <w:uiPriority w:val="39"/>
    <w:unhideWhenUsed/>
    <w:qFormat/>
    <w:pPr>
      <w:ind w:left="850" w:right="0" w:firstLine="0"/>
      <w:spacing w:after="57"/>
    </w:pPr>
  </w:style>
  <w:style w:type="paragraph" w:styleId="1067">
    <w:name w:val="Subtitle"/>
    <w:basedOn w:val="1040"/>
    <w:next w:val="1040"/>
    <w:link w:val="1091"/>
    <w:uiPriority w:val="11"/>
    <w:qFormat/>
    <w:pPr>
      <w:spacing w:before="200" w:after="200"/>
    </w:pPr>
    <w:rPr>
      <w:sz w:val="24"/>
      <w:szCs w:val="24"/>
    </w:rPr>
  </w:style>
  <w:style w:type="paragraph" w:styleId="1068">
    <w:name w:val="footnote text"/>
    <w:basedOn w:val="1040"/>
    <w:link w:val="1224"/>
    <w:uiPriority w:val="99"/>
    <w:semiHidden/>
    <w:unhideWhenUsed/>
    <w:qFormat/>
    <w:pPr>
      <w:spacing w:after="40" w:line="240" w:lineRule="auto"/>
    </w:pPr>
    <w:rPr>
      <w:sz w:val="18"/>
    </w:rPr>
  </w:style>
  <w:style w:type="paragraph" w:styleId="1069">
    <w:name w:val="toc 6"/>
    <w:basedOn w:val="1040"/>
    <w:next w:val="1040"/>
    <w:uiPriority w:val="39"/>
    <w:unhideWhenUsed/>
    <w:qFormat/>
    <w:pPr>
      <w:ind w:left="1417" w:right="0" w:firstLine="0"/>
      <w:spacing w:after="57"/>
    </w:pPr>
  </w:style>
  <w:style w:type="paragraph" w:styleId="1070">
    <w:name w:val="table of figures"/>
    <w:basedOn w:val="1040"/>
    <w:next w:val="1040"/>
    <w:uiPriority w:val="99"/>
    <w:unhideWhenUsed/>
    <w:qFormat/>
    <w:pPr>
      <w:spacing w:after="0" w:afterAutospacing="0"/>
    </w:pPr>
  </w:style>
  <w:style w:type="paragraph" w:styleId="1071">
    <w:name w:val="toc 2"/>
    <w:basedOn w:val="1040"/>
    <w:next w:val="1040"/>
    <w:uiPriority w:val="39"/>
    <w:unhideWhenUsed/>
    <w:qFormat/>
    <w:pPr>
      <w:ind w:left="283" w:right="0" w:firstLine="0"/>
      <w:spacing w:after="57"/>
    </w:pPr>
  </w:style>
  <w:style w:type="paragraph" w:styleId="1072">
    <w:name w:val="toc 9"/>
    <w:basedOn w:val="1040"/>
    <w:next w:val="1040"/>
    <w:uiPriority w:val="39"/>
    <w:unhideWhenUsed/>
    <w:qFormat/>
    <w:pPr>
      <w:ind w:left="2268" w:right="0" w:firstLine="0"/>
      <w:spacing w:after="57"/>
    </w:pPr>
  </w:style>
  <w:style w:type="paragraph" w:styleId="1073">
    <w:name w:val="Title"/>
    <w:basedOn w:val="1040"/>
    <w:next w:val="1040"/>
    <w:link w:val="1090"/>
    <w:uiPriority w:val="10"/>
    <w:qFormat/>
    <w:pPr>
      <w:contextualSpacing/>
      <w:spacing w:before="300" w:after="200"/>
    </w:pPr>
    <w:rPr>
      <w:sz w:val="48"/>
      <w:szCs w:val="48"/>
    </w:rPr>
  </w:style>
  <w:style w:type="table" w:styleId="10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Strong"/>
    <w:basedOn w:val="1050"/>
    <w:uiPriority w:val="0"/>
    <w:qFormat/>
    <w:rPr>
      <w:b/>
    </w:rPr>
  </w:style>
  <w:style w:type="character" w:styleId="1076">
    <w:name w:val="endnote reference"/>
    <w:basedOn w:val="1050"/>
    <w:uiPriority w:val="99"/>
    <w:semiHidden/>
    <w:unhideWhenUsed/>
    <w:qFormat/>
    <w:rPr>
      <w:vertAlign w:val="superscript"/>
    </w:rPr>
  </w:style>
  <w:style w:type="character" w:styleId="1077">
    <w:name w:val="Hyperlink"/>
    <w:uiPriority w:val="99"/>
    <w:unhideWhenUsed/>
    <w:qFormat/>
    <w:rPr>
      <w:color w:val="0026e5" w:themeColor="hyperlink"/>
      <w:u w:val="single"/>
      <w14:textFill>
        <w14:solidFill>
          <w14:schemeClr w14:val="hlink"/>
        </w14:solidFill>
      </w14:textFill>
    </w:rPr>
  </w:style>
  <w:style w:type="character" w:styleId="1078">
    <w:name w:val="footnote reference"/>
    <w:basedOn w:val="1050"/>
    <w:uiPriority w:val="99"/>
    <w:unhideWhenUsed/>
    <w:qFormat/>
    <w:rPr>
      <w:vertAlign w:val="superscript"/>
    </w:rPr>
  </w:style>
  <w:style w:type="character" w:styleId="1079" w:customStyle="1">
    <w:name w:val="Heading 1 Char"/>
    <w:basedOn w:val="1050"/>
    <w:link w:val="1041"/>
    <w:uiPriority w:val="9"/>
    <w:qFormat/>
    <w:rPr>
      <w:rFonts w:ascii="Arial" w:hAnsi="Arial" w:eastAsia="Arial" w:cs="Arial"/>
      <w:sz w:val="40"/>
      <w:szCs w:val="40"/>
    </w:rPr>
  </w:style>
  <w:style w:type="character" w:styleId="1080" w:customStyle="1">
    <w:name w:val="Heading 2 Char"/>
    <w:basedOn w:val="1050"/>
    <w:link w:val="1042"/>
    <w:uiPriority w:val="9"/>
    <w:qFormat/>
    <w:rPr>
      <w:rFonts w:ascii="Arial" w:hAnsi="Arial" w:eastAsia="Arial" w:cs="Arial"/>
      <w:sz w:val="34"/>
    </w:rPr>
  </w:style>
  <w:style w:type="character" w:styleId="1081" w:customStyle="1">
    <w:name w:val="Heading 3 Char"/>
    <w:basedOn w:val="1050"/>
    <w:link w:val="1043"/>
    <w:uiPriority w:val="9"/>
    <w:qFormat/>
    <w:rPr>
      <w:rFonts w:ascii="Arial" w:hAnsi="Arial" w:eastAsia="Arial" w:cs="Arial"/>
      <w:sz w:val="30"/>
      <w:szCs w:val="30"/>
    </w:rPr>
  </w:style>
  <w:style w:type="character" w:styleId="1082" w:customStyle="1">
    <w:name w:val="Heading 4 Char"/>
    <w:basedOn w:val="1050"/>
    <w:uiPriority w:val="9"/>
    <w:qFormat/>
    <w:rPr>
      <w:rFonts w:ascii="Arial" w:hAnsi="Arial" w:eastAsia="Arial" w:cs="Arial"/>
      <w:b/>
      <w:bCs/>
      <w:sz w:val="26"/>
      <w:szCs w:val="26"/>
    </w:rPr>
  </w:style>
  <w:style w:type="character" w:styleId="1083" w:customStyle="1">
    <w:name w:val="Heading 5 Char"/>
    <w:basedOn w:val="1050"/>
    <w:link w:val="1045"/>
    <w:uiPriority w:val="9"/>
    <w:qFormat/>
    <w:rPr>
      <w:rFonts w:ascii="Arial" w:hAnsi="Arial" w:eastAsia="Arial" w:cs="Arial"/>
      <w:b/>
      <w:bCs/>
      <w:sz w:val="24"/>
      <w:szCs w:val="24"/>
    </w:rPr>
  </w:style>
  <w:style w:type="character" w:styleId="1084" w:customStyle="1">
    <w:name w:val="Heading 6 Char"/>
    <w:basedOn w:val="1050"/>
    <w:link w:val="1046"/>
    <w:uiPriority w:val="9"/>
    <w:qFormat/>
    <w:rPr>
      <w:rFonts w:ascii="Arial" w:hAnsi="Arial" w:eastAsia="Arial" w:cs="Arial"/>
      <w:b/>
      <w:bCs/>
      <w:sz w:val="22"/>
      <w:szCs w:val="22"/>
    </w:rPr>
  </w:style>
  <w:style w:type="character" w:styleId="1085" w:customStyle="1">
    <w:name w:val="Heading 7 Char"/>
    <w:basedOn w:val="1050"/>
    <w:link w:val="1047"/>
    <w:uiPriority w:val="9"/>
    <w:qFormat/>
    <w:rPr>
      <w:rFonts w:ascii="Arial" w:hAnsi="Arial" w:eastAsia="Arial" w:cs="Arial"/>
      <w:b/>
      <w:bCs/>
      <w:i/>
      <w:iCs/>
      <w:sz w:val="22"/>
      <w:szCs w:val="22"/>
    </w:rPr>
  </w:style>
  <w:style w:type="character" w:styleId="1086" w:customStyle="1">
    <w:name w:val="Heading 8 Char"/>
    <w:basedOn w:val="1050"/>
    <w:link w:val="1048"/>
    <w:uiPriority w:val="9"/>
    <w:qFormat/>
    <w:rPr>
      <w:rFonts w:ascii="Arial" w:hAnsi="Arial" w:eastAsia="Arial" w:cs="Arial"/>
      <w:i/>
      <w:iCs/>
      <w:sz w:val="22"/>
      <w:szCs w:val="22"/>
    </w:rPr>
  </w:style>
  <w:style w:type="character" w:styleId="1087" w:customStyle="1">
    <w:name w:val="Heading 9 Char"/>
    <w:basedOn w:val="1050"/>
    <w:link w:val="1049"/>
    <w:uiPriority w:val="9"/>
    <w:qFormat/>
    <w:rPr>
      <w:rFonts w:ascii="Arial" w:hAnsi="Arial" w:eastAsia="Arial" w:cs="Arial"/>
      <w:i/>
      <w:iCs/>
      <w:sz w:val="21"/>
      <w:szCs w:val="21"/>
    </w:rPr>
  </w:style>
  <w:style w:type="paragraph" w:styleId="1088">
    <w:name w:val="List Paragraph"/>
    <w:basedOn w:val="1040"/>
    <w:uiPriority w:val="34"/>
    <w:qFormat/>
    <w:pPr>
      <w:contextualSpacing/>
      <w:ind w:left="720"/>
    </w:pPr>
  </w:style>
  <w:style w:type="paragraph" w:styleId="1089">
    <w:name w:val="No Spacing"/>
    <w:uiPriority w:val="1"/>
    <w:qFormat/>
    <w:pPr>
      <w:spacing w:before="0" w:after="0" w:line="240" w:lineRule="auto"/>
    </w:pPr>
    <w:rPr>
      <w:rFonts w:hint="default" w:ascii="Times New Roman" w:hAnsi="Times New Roman" w:eastAsia="宋体" w:cs="Times New Roman"/>
    </w:rPr>
  </w:style>
  <w:style w:type="character" w:styleId="1090" w:customStyle="1">
    <w:name w:val="Title Char"/>
    <w:basedOn w:val="1050"/>
    <w:link w:val="1073"/>
    <w:uiPriority w:val="10"/>
    <w:qFormat/>
    <w:rPr>
      <w:sz w:val="48"/>
      <w:szCs w:val="48"/>
    </w:rPr>
  </w:style>
  <w:style w:type="character" w:styleId="1091" w:customStyle="1">
    <w:name w:val="Subtitle Char"/>
    <w:basedOn w:val="1050"/>
    <w:link w:val="1067"/>
    <w:uiPriority w:val="11"/>
    <w:qFormat/>
    <w:rPr>
      <w:sz w:val="24"/>
      <w:szCs w:val="24"/>
    </w:rPr>
  </w:style>
  <w:style w:type="paragraph" w:styleId="1092">
    <w:name w:val="Quote"/>
    <w:basedOn w:val="1040"/>
    <w:next w:val="1040"/>
    <w:link w:val="1093"/>
    <w:uiPriority w:val="29"/>
    <w:qFormat/>
    <w:pPr>
      <w:ind w:left="720" w:right="720"/>
    </w:pPr>
    <w:rPr>
      <w:i/>
    </w:rPr>
  </w:style>
  <w:style w:type="character" w:styleId="1093" w:customStyle="1">
    <w:name w:val="Quote Char"/>
    <w:link w:val="1092"/>
    <w:uiPriority w:val="29"/>
    <w:qFormat/>
    <w:rPr>
      <w:i/>
    </w:rPr>
  </w:style>
  <w:style w:type="paragraph" w:styleId="1094">
    <w:name w:val="Intense Quote"/>
    <w:basedOn w:val="1040"/>
    <w:next w:val="1040"/>
    <w:link w:val="10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Intense Quote Char"/>
    <w:link w:val="1094"/>
    <w:uiPriority w:val="30"/>
    <w:qFormat/>
    <w:rPr>
      <w:i/>
    </w:rPr>
  </w:style>
  <w:style w:type="character" w:styleId="1096" w:customStyle="1">
    <w:name w:val="Header Char"/>
    <w:basedOn w:val="1050"/>
    <w:link w:val="1064"/>
    <w:uiPriority w:val="99"/>
    <w:qFormat/>
  </w:style>
  <w:style w:type="character" w:styleId="1097" w:customStyle="1">
    <w:name w:val="Footer Char"/>
    <w:basedOn w:val="1050"/>
    <w:uiPriority w:val="99"/>
    <w:qFormat/>
  </w:style>
  <w:style w:type="character" w:styleId="1098" w:customStyle="1">
    <w:name w:val="Caption Char"/>
    <w:uiPriority w:val="99"/>
    <w:qFormat/>
  </w:style>
  <w:style w:type="table" w:styleId="1099" w:customStyle="1">
    <w:name w:val="Table Grid Light"/>
    <w:basedOn w:val="10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0" w:customStyle="1">
    <w:name w:val="Plain Table 1"/>
    <w:basedOn w:val="10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Plain Table 2"/>
    <w:basedOn w:val="10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Plain Table 3"/>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3" w:customStyle="1">
    <w:name w:val="Plain Table 4"/>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4" w:customStyle="1">
    <w:name w:val="Plain Table 5"/>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5" w:customStyle="1">
    <w:name w:val="Grid Table 1 Light"/>
    <w:basedOn w:val="10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1"/>
    <w:basedOn w:val="10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2"/>
    <w:basedOn w:val="10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3"/>
    <w:basedOn w:val="10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4"/>
    <w:basedOn w:val="10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5"/>
    <w:basedOn w:val="105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6"/>
    <w:basedOn w:val="10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12" w:customStyle="1">
    <w:name w:val="Grid Table 2"/>
    <w:basedOn w:val="10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3" w:customStyle="1">
    <w:name w:val="Grid Table 2 - Accent 1"/>
    <w:basedOn w:val="10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14" w:customStyle="1">
    <w:name w:val="Grid Table 2 - Accent 2"/>
    <w:basedOn w:val="10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15" w:customStyle="1">
    <w:name w:val="Grid Table 2 - Accent 3"/>
    <w:basedOn w:val="10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16" w:customStyle="1">
    <w:name w:val="Grid Table 2 - Accent 4"/>
    <w:basedOn w:val="10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17" w:customStyle="1">
    <w:name w:val="Grid Table 2 - Accent 5"/>
    <w:basedOn w:val="10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18" w:customStyle="1">
    <w:name w:val="Grid Table 2 - Accent 6"/>
    <w:basedOn w:val="10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19" w:customStyle="1">
    <w:name w:val="Grid Table 3"/>
    <w:basedOn w:val="10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1"/>
    <w:basedOn w:val="10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2"/>
    <w:basedOn w:val="10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3"/>
    <w:basedOn w:val="10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4"/>
    <w:basedOn w:val="10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5"/>
    <w:basedOn w:val="10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6"/>
    <w:basedOn w:val="10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4"/>
    <w:basedOn w:val="10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customStyle="1">
    <w:name w:val="Grid Table 4 - Accent 1"/>
    <w:basedOn w:val="105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28" w:customStyle="1">
    <w:name w:val="Grid Table 4 - Accent 2"/>
    <w:basedOn w:val="105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29" w:customStyle="1">
    <w:name w:val="Grid Table 4 - Accent 3"/>
    <w:basedOn w:val="105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30" w:customStyle="1">
    <w:name w:val="Grid Table 4 - Accent 4"/>
    <w:basedOn w:val="105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31" w:customStyle="1">
    <w:name w:val="Grid Table 4 - Accent 5"/>
    <w:basedOn w:val="1051"/>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32" w:customStyle="1">
    <w:name w:val="Grid Table 4 - Accent 6"/>
    <w:basedOn w:val="105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33" w:customStyle="1">
    <w:name w:val="Grid Table 5 Dark"/>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4" w:customStyle="1">
    <w:name w:val="Grid Table 5 Dark- Accent 1"/>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35" w:customStyle="1">
    <w:name w:val="Grid Table 5 Dark - Accent 2"/>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36" w:customStyle="1">
    <w:name w:val="Grid Table 5 Dark - Accent 3"/>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37" w:customStyle="1">
    <w:name w:val="Grid Table 5 Dark- Accent 4"/>
    <w:basedOn w:val="10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38" w:customStyle="1">
    <w:name w:val="Grid Table 5 Dark - Accent 5"/>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39" w:customStyle="1">
    <w:name w:val="Grid Table 5 Dark - Accent 6"/>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40" w:customStyle="1">
    <w:name w:val="Grid Table 6 Colorful"/>
    <w:basedOn w:val="10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1" w:customStyle="1">
    <w:name w:val="Grid Table 6 Colorful - Accent 1"/>
    <w:basedOn w:val="105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42" w:customStyle="1">
    <w:name w:val="Grid Table 6 Colorful - Accent 2"/>
    <w:basedOn w:val="105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43" w:customStyle="1">
    <w:name w:val="Grid Table 6 Colorful - Accent 3"/>
    <w:basedOn w:val="105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44" w:customStyle="1">
    <w:name w:val="Grid Table 6 Colorful - Accent 4"/>
    <w:basedOn w:val="10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45" w:customStyle="1">
    <w:name w:val="Grid Table 6 Colorful - Accent 5"/>
    <w:basedOn w:val="105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6" w:customStyle="1">
    <w:name w:val="Grid Table 6 Colorful - Accent 6"/>
    <w:basedOn w:val="105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7" w:customStyle="1">
    <w:name w:val="Grid Table 7 Colorful"/>
    <w:basedOn w:val="10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8" w:customStyle="1">
    <w:name w:val="Grid Table 7 Colorful - Accent 1"/>
    <w:basedOn w:val="105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49" w:customStyle="1">
    <w:name w:val="Grid Table 7 Colorful - Accent 2"/>
    <w:basedOn w:val="105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50" w:customStyle="1">
    <w:name w:val="Grid Table 7 Colorful - Accent 3"/>
    <w:basedOn w:val="105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51" w:customStyle="1">
    <w:name w:val="Grid Table 7 Colorful - Accent 4"/>
    <w:basedOn w:val="105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2" w:customStyle="1">
    <w:name w:val="Grid Table 7 Colorful - Accent 5"/>
    <w:basedOn w:val="105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53" w:customStyle="1">
    <w:name w:val="Grid Table 7 Colorful - Accent 6"/>
    <w:basedOn w:val="105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54" w:customStyle="1">
    <w:name w:val="List Table 1 Light"/>
    <w:basedOn w:val="10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5" w:customStyle="1">
    <w:name w:val="List Table 1 Light - Accent 1"/>
    <w:basedOn w:val="105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56" w:customStyle="1">
    <w:name w:val="List Table 1 Light - Accent 2"/>
    <w:basedOn w:val="1051"/>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57" w:customStyle="1">
    <w:name w:val="List Table 1 Light - Accent 3"/>
    <w:basedOn w:val="105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58" w:customStyle="1">
    <w:name w:val="List Table 1 Light - Accent 4"/>
    <w:basedOn w:val="105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59" w:customStyle="1">
    <w:name w:val="List Table 1 Light - Accent 5"/>
    <w:basedOn w:val="105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60" w:customStyle="1">
    <w:name w:val="List Table 1 Light - Accent 6"/>
    <w:basedOn w:val="105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61" w:customStyle="1">
    <w:name w:val="List Table 2"/>
    <w:basedOn w:val="10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2" w:customStyle="1">
    <w:name w:val="List Table 2 - Accent 1"/>
    <w:basedOn w:val="105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63" w:customStyle="1">
    <w:name w:val="List Table 2 - Accent 2"/>
    <w:basedOn w:val="105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64" w:customStyle="1">
    <w:name w:val="List Table 2 - Accent 3"/>
    <w:basedOn w:val="105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65" w:customStyle="1">
    <w:name w:val="List Table 2 - Accent 4"/>
    <w:basedOn w:val="105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66" w:customStyle="1">
    <w:name w:val="List Table 2 - Accent 5"/>
    <w:basedOn w:val="105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67" w:customStyle="1">
    <w:name w:val="List Table 2 - Accent 6"/>
    <w:basedOn w:val="105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68" w:customStyle="1">
    <w:name w:val="List Table 3"/>
    <w:basedOn w:val="10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3 - Accent 1"/>
    <w:basedOn w:val="105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0" w:customStyle="1">
    <w:name w:val="List Table 3 - Accent 2"/>
    <w:basedOn w:val="105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71" w:customStyle="1">
    <w:name w:val="List Table 3 - Accent 3"/>
    <w:basedOn w:val="105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72" w:customStyle="1">
    <w:name w:val="List Table 3 - Accent 4"/>
    <w:basedOn w:val="10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73" w:customStyle="1">
    <w:name w:val="List Table 3 - Accent 5"/>
    <w:basedOn w:val="1051"/>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74" w:customStyle="1">
    <w:name w:val="List Table 3 - Accent 6"/>
    <w:basedOn w:val="105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75" w:customStyle="1">
    <w:name w:val="List Table 4"/>
    <w:basedOn w:val="10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6" w:customStyle="1">
    <w:name w:val="List Table 4 - Accent 1"/>
    <w:basedOn w:val="105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7" w:customStyle="1">
    <w:name w:val="List Table 4 - Accent 2"/>
    <w:basedOn w:val="105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78" w:customStyle="1">
    <w:name w:val="List Table 4 - Accent 3"/>
    <w:basedOn w:val="105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79" w:customStyle="1">
    <w:name w:val="List Table 4 - Accent 4"/>
    <w:basedOn w:val="105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80" w:customStyle="1">
    <w:name w:val="List Table 4 - Accent 5"/>
    <w:basedOn w:val="105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81" w:customStyle="1">
    <w:name w:val="List Table 4 - Accent 6"/>
    <w:basedOn w:val="105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82" w:customStyle="1">
    <w:name w:val="List Table 5 Dark"/>
    <w:basedOn w:val="10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1"/>
    <w:basedOn w:val="105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2"/>
    <w:basedOn w:val="105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3"/>
    <w:basedOn w:val="105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4"/>
    <w:basedOn w:val="105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5"/>
    <w:basedOn w:val="105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6"/>
    <w:basedOn w:val="105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6 Colorful"/>
    <w:basedOn w:val="10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0" w:customStyle="1">
    <w:name w:val="List Table 6 Colorful - Accent 1"/>
    <w:basedOn w:val="105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91" w:customStyle="1">
    <w:name w:val="List Table 6 Colorful - Accent 2"/>
    <w:basedOn w:val="105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92" w:customStyle="1">
    <w:name w:val="List Table 6 Colorful - Accent 3"/>
    <w:basedOn w:val="105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93" w:customStyle="1">
    <w:name w:val="List Table 6 Colorful - Accent 4"/>
    <w:basedOn w:val="105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94" w:customStyle="1">
    <w:name w:val="List Table 6 Colorful - Accent 5"/>
    <w:basedOn w:val="105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95" w:customStyle="1">
    <w:name w:val="List Table 6 Colorful - Accent 6"/>
    <w:basedOn w:val="105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96" w:customStyle="1">
    <w:name w:val="List Table 7 Colorful"/>
    <w:basedOn w:val="10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7" w:customStyle="1">
    <w:name w:val="List Table 7 Colorful - Accent 1"/>
    <w:basedOn w:val="105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98" w:customStyle="1">
    <w:name w:val="List Table 7 Colorful - Accent 2"/>
    <w:basedOn w:val="105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9" w:customStyle="1">
    <w:name w:val="List Table 7 Colorful - Accent 3"/>
    <w:basedOn w:val="105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00" w:customStyle="1">
    <w:name w:val="List Table 7 Colorful - Accent 4"/>
    <w:basedOn w:val="105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01" w:customStyle="1">
    <w:name w:val="List Table 7 Colorful - Accent 5"/>
    <w:basedOn w:val="105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02" w:customStyle="1">
    <w:name w:val="List Table 7 Colorful - Accent 6"/>
    <w:basedOn w:val="105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03" w:customStyle="1">
    <w:name w:val="Lined - Accent"/>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Lined - Accent 1"/>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05" w:customStyle="1">
    <w:name w:val="Lined - Accent 2"/>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06" w:customStyle="1">
    <w:name w:val="Lined - Accent 3"/>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7" w:customStyle="1">
    <w:name w:val="Lined - Accent 4"/>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8" w:customStyle="1">
    <w:name w:val="Lined - Accent 5"/>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9" w:customStyle="1">
    <w:name w:val="Lined - Accent 6"/>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0" w:customStyle="1">
    <w:name w:val="Bordered &amp; Lined - Accent"/>
    <w:basedOn w:val="10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1" w:customStyle="1">
    <w:name w:val="Bordered &amp; Lined - Accent 1"/>
    <w:basedOn w:val="105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12" w:customStyle="1">
    <w:name w:val="Bordered &amp; Lined - Accent 2"/>
    <w:basedOn w:val="105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13" w:customStyle="1">
    <w:name w:val="Bordered &amp; Lined - Accent 3"/>
    <w:basedOn w:val="105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14" w:customStyle="1">
    <w:name w:val="Bordered &amp; Lined - Accent 4"/>
    <w:basedOn w:val="105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15" w:customStyle="1">
    <w:name w:val="Bordered &amp; Lined - Accent 5"/>
    <w:basedOn w:val="105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16" w:customStyle="1">
    <w:name w:val="Bordered &amp; Lined - Accent 6"/>
    <w:basedOn w:val="105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7" w:customStyle="1">
    <w:name w:val="Bordered"/>
    <w:basedOn w:val="10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8" w:customStyle="1">
    <w:name w:val="Bordered - Accent 1"/>
    <w:basedOn w:val="10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19" w:customStyle="1">
    <w:name w:val="Bordered - Accent 2"/>
    <w:basedOn w:val="10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20" w:customStyle="1">
    <w:name w:val="Bordered - Accent 3"/>
    <w:basedOn w:val="10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21" w:customStyle="1">
    <w:name w:val="Bordered - Accent 4"/>
    <w:basedOn w:val="10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22" w:customStyle="1">
    <w:name w:val="Bordered - Accent 5"/>
    <w:basedOn w:val="105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23" w:customStyle="1">
    <w:name w:val="Bordered - Accent 6"/>
    <w:basedOn w:val="10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24" w:customStyle="1">
    <w:name w:val="Footnote Text Char"/>
    <w:link w:val="1068"/>
    <w:uiPriority w:val="99"/>
    <w:qFormat/>
    <w:rPr>
      <w:sz w:val="18"/>
    </w:rPr>
  </w:style>
  <w:style w:type="character" w:styleId="1225" w:customStyle="1">
    <w:name w:val="Endnote Text Char"/>
    <w:link w:val="1062"/>
    <w:uiPriority w:val="99"/>
    <w:qFormat/>
    <w:rPr>
      <w:sz w:val="20"/>
    </w:rPr>
  </w:style>
  <w:style w:type="paragraph" w:styleId="1226" w:customStyle="1">
    <w:name w:val="TOC Heading"/>
    <w:uiPriority w:val="39"/>
    <w:unhideWhenUsed/>
    <w:qFormat/>
    <w:rPr>
      <w:rFonts w:hint="default" w:ascii="Times New Roman" w:hAnsi="Times New Roman" w:eastAsia="宋体" w:cs="Times New Roman"/>
    </w:rPr>
  </w:style>
  <w:style w:type="paragraph" w:styleId="122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28" w:customStyle="1">
    <w:name w:val="正文1"/>
    <w:next w:val="1229"/>
    <w:uiPriority w:val="0"/>
    <w:qFormat/>
    <w:rPr>
      <w:rFonts w:hint="default" w:ascii="Times New Roman" w:hAnsi="Times New Roman" w:eastAsia="宋体" w:cs="Times New Roman"/>
      <w:lang w:val="en-US" w:eastAsia="zh-CN" w:bidi="ar-SA"/>
    </w:rPr>
  </w:style>
  <w:style w:type="paragraph" w:styleId="1229" w:customStyle="1">
    <w:name w:val="正文文本1"/>
    <w:basedOn w:val="1228"/>
    <w:next w:val="1230"/>
    <w:uiPriority w:val="0"/>
    <w:qFormat/>
    <w:pPr>
      <w:spacing w:after="120"/>
    </w:pPr>
    <w:rPr>
      <w:lang w:eastAsia="en-US"/>
    </w:rPr>
  </w:style>
  <w:style w:type="paragraph" w:styleId="1230" w:customStyle="1">
    <w:name w:val="目录 21"/>
    <w:basedOn w:val="1040"/>
    <w:next w:val="1040"/>
    <w:uiPriority w:val="39"/>
    <w:qFormat/>
    <w:pPr>
      <w:ind w:left="210"/>
    </w:pPr>
    <w:rPr>
      <w:smallCaps/>
    </w:rPr>
  </w:style>
  <w:style w:type="paragraph" w:styleId="1231" w:customStyle="1">
    <w:name w:val="TOC 标题"/>
    <w:basedOn w:val="1232"/>
    <w:next w:val="1040"/>
    <w:uiPriority w:val="39"/>
    <w:unhideWhenUsed/>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232" w:customStyle="1">
    <w:name w:val="标题 11"/>
    <w:basedOn w:val="1040"/>
    <w:next w:val="1040"/>
    <w:uiPriority w:val="0"/>
    <w:qFormat/>
    <w:pPr>
      <w:jc w:val="center"/>
      <w:keepNext/>
      <w:outlineLvl w:val="0"/>
    </w:pPr>
    <w:rPr>
      <w:rFonts w:ascii="楷体_GB2312" w:hAnsi="Times New Roman" w:eastAsia="楷体_GB2312" w:cs="Times New Roman"/>
      <w:sz w:val="28"/>
      <w:szCs w:val="28"/>
    </w:rPr>
  </w:style>
  <w:style w:type="paragraph" w:styleId="1233" w:customStyle="1">
    <w:name w:val="目录 11"/>
    <w:basedOn w:val="1040"/>
    <w:next w:val="104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234" w:customStyle="1">
    <w:name w:val="超链接1"/>
    <w:link w:val="1040"/>
    <w:uiPriority w:val="99"/>
    <w:qFormat/>
    <w:rPr>
      <w:rFonts w:hint="default" w:ascii="Times New Roman" w:hAnsi="Times New Roman" w:eastAsia="宋体" w:cs="Times New Roman"/>
      <w:sz w:val="21"/>
      <w:szCs w:val="22"/>
      <w:lang w:val="en-US" w:eastAsia="zh-CN" w:bidi="ar-SA"/>
    </w:rPr>
  </w:style>
  <w:style w:type="paragraph" w:styleId="1235" w:customStyle="1">
    <w:name w:val="正文（缩进）"/>
    <w:basedOn w:val="1040"/>
    <w:next w:val="1236"/>
    <w:uiPriority w:val="99"/>
    <w:qFormat/>
    <w:pPr>
      <w:ind w:firstLine="480"/>
    </w:pPr>
  </w:style>
  <w:style w:type="paragraph" w:styleId="1236" w:customStyle="1">
    <w:name w:val="Char Char Char Char Char Char Char Char Char"/>
    <w:basedOn w:val="1040"/>
    <w:next w:val="1237"/>
    <w:uiPriority w:val="0"/>
    <w:qFormat/>
    <w:pPr>
      <w:ind w:left="360" w:firstLine="5784"/>
      <w:jc w:val="both"/>
      <w:spacing w:before="0" w:after="0" w:line="240" w:lineRule="auto"/>
      <w:widowControl w:val="off"/>
    </w:pPr>
  </w:style>
  <w:style w:type="paragraph" w:styleId="1237" w:customStyle="1">
    <w:name w:val="正文文本 21"/>
    <w:basedOn w:val="1040"/>
    <w:next w:val="1238"/>
    <w:uiPriority w:val="0"/>
    <w:qFormat/>
    <w:pPr>
      <w:spacing w:after="120" w:line="480" w:lineRule="auto"/>
    </w:pPr>
  </w:style>
  <w:style w:type="paragraph" w:styleId="1238" w:customStyle="1">
    <w:name w:val="默认段落字体 Para Char Char Char Char Char Char Char"/>
    <w:basedOn w:val="1040"/>
    <w:next w:val="1239"/>
    <w:uiPriority w:val="1723"/>
    <w:qFormat/>
    <w:pPr>
      <w:ind w:firstLine="200"/>
    </w:pPr>
    <w:rPr>
      <w:rFonts w:cs="Arial"/>
    </w:rPr>
  </w:style>
  <w:style w:type="paragraph" w:styleId="1239" w:customStyle="1">
    <w:name w:val="样式 首行缩进:  2 字符"/>
    <w:basedOn w:val="1040"/>
    <w:next w:val="1240"/>
    <w:uiPriority w:val="0"/>
    <w:qFormat/>
    <w:pPr>
      <w:ind w:left="480" w:firstLine="5856"/>
      <w:jc w:val="both"/>
      <w:spacing w:before="0" w:after="0" w:line="360" w:lineRule="auto"/>
      <w:widowControl w:val="off"/>
    </w:pPr>
  </w:style>
  <w:style w:type="paragraph" w:styleId="1240" w:customStyle="1">
    <w:name w:val="样式 段后: 0.25 行"/>
    <w:basedOn w:val="1040"/>
    <w:next w:val="1241"/>
    <w:uiPriority w:val="0"/>
    <w:qFormat/>
    <w:pPr>
      <w:ind w:left="420" w:firstLine="5796"/>
      <w:spacing w:before="0" w:after="0" w:line="300" w:lineRule="auto"/>
      <w:widowControl/>
    </w:pPr>
  </w:style>
  <w:style w:type="paragraph" w:styleId="1241" w:customStyle="1">
    <w:name w:val="正文 New New New New New New New New New New New New New New"/>
    <w:next w:val="1072"/>
    <w:uiPriority w:val="0"/>
    <w:qFormat/>
    <w:pPr>
      <w:ind w:firstLine="2048"/>
      <w:jc w:val="both"/>
      <w:widowControl w:val="off"/>
    </w:pPr>
    <w:rPr>
      <w:rFonts w:hint="default" w:ascii="Calibri" w:hAnsi="Calibri" w:eastAsia="宋体" w:cs="Times New Roman"/>
      <w:lang w:val="en-US" w:eastAsia="zh-CN" w:bidi="ar-SA"/>
    </w:rPr>
  </w:style>
  <w:style w:type="paragraph" w:styleId="1242" w:customStyle="1">
    <w:name w:val="纯文本1"/>
    <w:basedOn w:val="1040"/>
    <w:uiPriority w:val="99"/>
    <w:qFormat/>
    <w:rPr>
      <w:rFonts w:ascii="宋体" w:hAnsi="Courier New" w:eastAsia="宋体" w:cs="Courier New"/>
      <w:szCs w:val="21"/>
    </w:rPr>
  </w:style>
  <w:style w:type="paragraph" w:styleId="1243" w:customStyle="1">
    <w:name w:val="Table Text"/>
    <w:basedOn w:val="1040"/>
    <w:uiPriority w:val="0"/>
    <w:semiHidden/>
    <w:qFormat/>
    <w:rPr>
      <w:rFonts w:ascii="微软雅黑" w:hAnsi="微软雅黑" w:eastAsia="微软雅黑" w:cs="微软雅黑"/>
      <w:sz w:val="20"/>
      <w:szCs w:val="20"/>
      <w:lang w:val="en-US" w:eastAsia="en-US" w:bidi="ar-SA"/>
    </w:rPr>
  </w:style>
  <w:style w:type="paragraph" w:styleId="124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正文首行缩进 21"/>
    <w:basedOn w:val="1246"/>
    <w:uiPriority w:val="0"/>
    <w:qFormat/>
    <w:pPr>
      <w:ind w:left="0" w:firstLine="420"/>
      <w:spacing w:after="0" w:line="360" w:lineRule="auto"/>
    </w:pPr>
    <w:rPr>
      <w:rFonts w:ascii="宋体" w:hAnsi="宋体" w:eastAsia="宋体" w:cs="Times New Roman"/>
      <w:szCs w:val="20"/>
    </w:rPr>
  </w:style>
  <w:style w:type="paragraph" w:styleId="1246" w:customStyle="1">
    <w:name w:val="正文文本缩进1"/>
    <w:basedOn w:val="1040"/>
    <w:uiPriority w:val="0"/>
    <w:unhideWhenUsed/>
    <w:qFormat/>
    <w:pPr>
      <w:ind w:left="420"/>
      <w:spacing w:after="120"/>
    </w:pPr>
  </w:style>
  <w:style w:type="paragraph" w:styleId="1247" w:customStyle="1">
    <w:name w:val="普通正文"/>
    <w:basedOn w:val="1040"/>
    <w:uiPriority w:val="0"/>
    <w:qFormat/>
    <w:pPr>
      <w:ind w:firstLine="480"/>
      <w:jc w:val="left"/>
      <w:spacing w:before="120" w:after="120" w:line="360" w:lineRule="auto"/>
    </w:pPr>
    <w:rPr>
      <w:rFonts w:ascii="Arial" w:hAnsi="Arial" w:eastAsia="宋体" w:cs="Times New Roman"/>
      <w:sz w:val="24"/>
      <w:szCs w:val="24"/>
    </w:rPr>
  </w:style>
  <w:style w:type="paragraph" w:styleId="1248" w:customStyle="1">
    <w:name w:val="正文文本11"/>
    <w:basedOn w:val="1040"/>
    <w:uiPriority w:val="0"/>
    <w:qFormat/>
    <w:rPr>
      <w:rFonts w:ascii="楷体_GB2312" w:hAnsi="Arial" w:eastAsia="楷体_GB2312" w:cs="Times New Roman"/>
      <w:sz w:val="28"/>
      <w:szCs w:val="28"/>
    </w:rPr>
  </w:style>
  <w:style w:type="paragraph" w:styleId="1249" w:customStyle="1">
    <w:name w:val="普通(网站)1"/>
    <w:basedOn w:val="1040"/>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Char"/>
    <w:basedOn w:val="1040"/>
    <w:uiPriority w:val="0"/>
    <w:qFormat/>
    <w:pPr>
      <w:ind w:firstLine="200"/>
      <w:tabs>
        <w:tab w:val="left" w:pos="360" w:leader="none"/>
      </w:tabs>
    </w:pPr>
    <w:rPr>
      <w:rFonts w:ascii="Times New Roman" w:hAnsi="Times New Roman" w:eastAsia="宋体" w:cs="Times New Roman"/>
      <w:sz w:val="28"/>
      <w:szCs w:val="30"/>
    </w:rPr>
  </w:style>
  <w:style w:type="character" w:styleId="1251" w:customStyle="1">
    <w:name w:val="要点1"/>
    <w:link w:val="1040"/>
    <w:uiPriority w:val="0"/>
    <w:qFormat/>
    <w:rPr>
      <w:b/>
      <w:bCs/>
    </w:rPr>
  </w:style>
  <w:style w:type="paragraph" w:styleId="1252" w:customStyle="1">
    <w:name w:val="日期1"/>
    <w:basedOn w:val="1228"/>
    <w:next w:val="1228"/>
    <w:uiPriority w:val="99"/>
    <w:qFormat/>
    <w:rPr>
      <w:rFonts w:ascii="Calibri" w:hAnsi="Calibri" w:eastAsia="仿宋_GB2312"/>
      <w:sz w:val="30"/>
    </w:rPr>
  </w:style>
  <w:style w:type="paragraph" w:styleId="1253" w:customStyle="1">
    <w:name w:val="一级条标题"/>
    <w:basedOn w:val="1254"/>
    <w:next w:val="12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4" w:customStyle="1">
    <w:name w:val="章标题"/>
    <w:next w:val="10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55" w:customStyle="1">
    <w:name w:val="段"/>
    <w:basedOn w:val="1228"/>
    <w:next w:val="1040"/>
    <w:uiPriority w:val="0"/>
    <w:qFormat/>
    <w:pPr>
      <w:ind w:firstLine="200"/>
      <w:widowControl/>
    </w:pPr>
    <w:rPr>
      <w:sz w:val="20"/>
    </w:rPr>
  </w:style>
  <w:style w:type="paragraph" w:styleId="1256" w:customStyle="1">
    <w:name w:val="页眉1"/>
    <w:basedOn w:val="10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57" w:customStyle="1">
    <w:name w:val="页脚1"/>
    <w:basedOn w:val="1040"/>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58" w:customStyle="1">
    <w:name w:val="页码1"/>
    <w:link w:val="1040"/>
    <w:uiPriority w:val="0"/>
    <w:qFormat/>
  </w:style>
  <w:style w:type="paragraph" w:styleId="1259" w:customStyle="1">
    <w:name w:val="*正文"/>
    <w:basedOn w:val="1040"/>
    <w:uiPriority w:val="0"/>
    <w:qFormat/>
    <w:pPr>
      <w:ind w:firstLine="200"/>
      <w:jc w:val="left"/>
      <w:spacing w:line="360" w:lineRule="auto"/>
    </w:pPr>
    <w:rPr>
      <w:rFonts w:ascii="仿宋_GB2312"/>
      <w:color w:val="000000"/>
      <w:szCs w:val="28"/>
    </w:rPr>
  </w:style>
  <w:style w:type="paragraph" w:styleId="1260" w:customStyle="1">
    <w:name w:val="Default"/>
    <w:next w:val="1040"/>
    <w:uiPriority w:val="0"/>
    <w:qFormat/>
    <w:pPr>
      <w:widowControl w:val="off"/>
    </w:pPr>
    <w:rPr>
      <w:rFonts w:hint="default" w:ascii="宋体" w:hAnsi="宋体" w:eastAsia="宋体" w:cs="宋体"/>
      <w:color w:val="000000"/>
      <w:lang w:val="en-US" w:eastAsia="zh-CN" w:bidi="ar-SA"/>
    </w:rPr>
  </w:style>
  <w:style w:type="paragraph" w:styleId="126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262" w:customStyle="1">
    <w:name w:val="标题 31"/>
    <w:basedOn w:val="1040"/>
    <w:next w:val="1228"/>
    <w:uiPriority w:val="99"/>
    <w:qFormat/>
    <w:pPr>
      <w:keepLines/>
      <w:keepNext/>
      <w:spacing w:before="260" w:after="260" w:line="416" w:lineRule="auto"/>
      <w:outlineLvl w:val="2"/>
    </w:pPr>
    <w:rPr>
      <w:b/>
      <w:bCs/>
      <w:sz w:val="32"/>
      <w:szCs w:val="32"/>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胡祖云</cp:lastModifiedBy>
  <cp:revision>13</cp:revision>
  <dcterms:created xsi:type="dcterms:W3CDTF">2026-03-02T03:30:00Z</dcterms:created>
  <dcterms:modified xsi:type="dcterms:W3CDTF">2026-05-27T09:24:49Z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26307165F1E543E0B1637F28AC9E9237_11</vt:lpwstr>
  </property>
  <property fmtid="{D5CDD505-2E9C-101B-9397-08002B2CF9AE}" pid="4" name="KSOTemplateDocerSaveRecord">
    <vt:lpwstr>eyJoZGlkIjoiZTllYWMzNjRlYTQzZDgyYTY5Yjk4MTM4ZTAxZDYwNjIiLCJ1c2VySWQiOiI0NTMzOTAxNjAifQ==</vt:lpwstr>
  </property>
</Properties>
</file>