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04"/>
        <w:ind w:firstLine="300"/>
        <w:spacing w:line="360" w:lineRule="auto"/>
        <w:rPr>
          <w:color w:val="000000"/>
          <w:sz w:val="60"/>
          <w:szCs w:val="60"/>
          <w:highlight w:val="none"/>
        </w:rPr>
      </w:pPr>
      <w:r>
        <w:rPr>
          <w:color w:val="000000"/>
          <w:sz w:val="60"/>
          <w:szCs w:val="60"/>
          <w:highlight w:val="none"/>
        </w:rPr>
      </w:r>
      <w:r/>
    </w:p>
    <w:p>
      <w:pPr>
        <w:pStyle w:val="100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04"/>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004"/>
        <w:jc w:val="center"/>
        <w:rPr>
          <w:b/>
          <w:bCs/>
          <w:color w:val="000000"/>
          <w:sz w:val="60"/>
          <w:szCs w:val="60"/>
          <w:highlight w:val="none"/>
        </w:rPr>
      </w:pPr>
      <w:r>
        <w:rPr>
          <w:b/>
          <w:bCs/>
          <w:color w:val="000000"/>
          <w:sz w:val="60"/>
          <w:szCs w:val="60"/>
          <w:highlight w:val="none"/>
        </w:rPr>
      </w:r>
      <w:r/>
    </w:p>
    <w:p>
      <w:pPr>
        <w:pStyle w:val="1035"/>
        <w:tabs>
          <w:tab w:val="left" w:pos="567" w:leader="none"/>
        </w:tabs>
        <w:rPr>
          <w:color w:val="000000"/>
          <w:highlight w:val="none"/>
        </w:rPr>
      </w:pPr>
      <w:r>
        <w:rPr>
          <w:color w:val="000000"/>
          <w:highlight w:val="none"/>
        </w:rPr>
      </w:r>
      <w:r/>
    </w:p>
    <w:p>
      <w:pPr>
        <w:pStyle w:val="1004"/>
        <w:jc w:val="center"/>
        <w:rPr>
          <w:b/>
          <w:bCs/>
          <w:color w:val="000000"/>
          <w:sz w:val="44"/>
          <w:szCs w:val="60"/>
          <w:highlight w:val="none"/>
        </w:rPr>
      </w:pPr>
      <w:r>
        <w:rPr>
          <w:rFonts w:hint="eastAsia"/>
          <w:b/>
          <w:bCs/>
          <w:color w:val="000000"/>
          <w:sz w:val="44"/>
          <w:szCs w:val="60"/>
          <w:highlight w:val="none"/>
        </w:rPr>
        <w:t xml:space="preserve">（服务）</w:t>
      </w:r>
      <w:r>
        <w:rPr>
          <w:b/>
          <w:bCs/>
          <w:color w:val="000000"/>
          <w:sz w:val="44"/>
          <w:szCs w:val="60"/>
          <w:highlight w:val="none"/>
        </w:rPr>
      </w:r>
      <w:r/>
    </w:p>
    <w:p>
      <w:pPr>
        <w:pStyle w:val="1004"/>
        <w:jc w:val="center"/>
        <w:spacing w:line="360" w:lineRule="auto"/>
        <w:rPr>
          <w:color w:val="000000"/>
          <w:sz w:val="60"/>
          <w:szCs w:val="60"/>
          <w:highlight w:val="none"/>
        </w:rPr>
      </w:pPr>
      <w:r>
        <w:rPr>
          <w:color w:val="000000"/>
          <w:sz w:val="60"/>
          <w:szCs w:val="60"/>
          <w:highlight w:val="none"/>
        </w:rPr>
      </w:r>
      <w:r/>
    </w:p>
    <w:p>
      <w:pPr>
        <w:pStyle w:val="1004"/>
        <w:jc w:val="center"/>
        <w:spacing w:line="360" w:lineRule="auto"/>
        <w:rPr>
          <w:color w:val="000000"/>
          <w:sz w:val="60"/>
          <w:szCs w:val="60"/>
          <w:highlight w:val="none"/>
        </w:rPr>
      </w:pPr>
      <w:r>
        <w:rPr>
          <w:color w:val="000000"/>
          <w:sz w:val="60"/>
          <w:szCs w:val="60"/>
          <w:highlight w:val="none"/>
        </w:rPr>
      </w:r>
      <w:r/>
    </w:p>
    <w:p>
      <w:pPr>
        <w:pStyle w:val="1035"/>
        <w:tabs>
          <w:tab w:val="left" w:pos="567" w:leader="none"/>
        </w:tabs>
        <w:rPr>
          <w:color w:val="000000"/>
          <w:highlight w:val="none"/>
        </w:rPr>
      </w:pPr>
      <w:r>
        <w:rPr>
          <w:color w:val="000000"/>
          <w:highlight w:val="none"/>
        </w:rPr>
      </w:r>
      <w:r/>
    </w:p>
    <w:p>
      <w:pPr>
        <w:pStyle w:val="1004"/>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常州市第一人民医院医疗废物处置及运输服务项目 </w:t>
      </w:r>
      <w:r>
        <w:rPr>
          <w:rFonts w:hint="eastAsia"/>
          <w:bCs/>
          <w:color w:val="000000"/>
          <w:sz w:val="36"/>
          <w:szCs w:val="36"/>
          <w:highlight w:val="none"/>
        </w:rPr>
      </w:r>
      <w:r/>
    </w:p>
    <w:p>
      <w:pPr>
        <w:pStyle w:val="1004"/>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JSZC-320400-ZCCZ-G2026-0014</w:t>
      </w:r>
      <w:r>
        <w:rPr>
          <w:rFonts w:hint="eastAsia" w:eastAsia="宋体"/>
          <w:bCs/>
          <w:color w:val="000000"/>
          <w:sz w:val="36"/>
          <w:szCs w:val="36"/>
          <w:highlight w:val="none"/>
          <w:lang w:eastAsia="zh-CN"/>
        </w:rPr>
      </w:r>
      <w:r/>
    </w:p>
    <w:p>
      <w:pPr>
        <w:pStyle w:val="1004"/>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常州市第一人民医院 </w:t>
      </w:r>
      <w:r>
        <w:rPr>
          <w:rFonts w:hint="eastAsia"/>
          <w:bCs/>
          <w:color w:val="000000"/>
          <w:sz w:val="36"/>
          <w:szCs w:val="36"/>
          <w:highlight w:val="none"/>
        </w:rPr>
      </w:r>
      <w:r/>
    </w:p>
    <w:p>
      <w:pPr>
        <w:pStyle w:val="1004"/>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1004"/>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1004"/>
        <w:jc w:val="center"/>
        <w:spacing w:line="360" w:lineRule="auto"/>
        <w:rPr>
          <w:b/>
          <w:color w:val="000000"/>
          <w:sz w:val="36"/>
          <w:szCs w:val="36"/>
          <w:highlight w:val="none"/>
        </w:rPr>
        <w:outlineLvl w:val="0"/>
      </w:pPr>
      <w:r/>
      <w:bookmarkStart w:id="0" w:name="_Toc195013689"/>
      <w:r/>
      <w:bookmarkStart w:id="1" w:name="_Toc99301418"/>
      <w:r/>
      <w:bookmarkStart w:id="2" w:name="_Toc157413231"/>
      <w:r/>
      <w:bookmarkStart w:id="3" w:name="_Toc148102680"/>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04"/>
        <w:rPr>
          <w:color w:val="000000"/>
          <w:highlight w:val="none"/>
        </w:rPr>
      </w:pPr>
      <w:r>
        <w:rPr>
          <w:color w:val="000000"/>
          <w:highlight w:val="none"/>
        </w:rPr>
      </w:r>
      <w:r/>
    </w:p>
    <w:p>
      <w:pPr>
        <w:pStyle w:val="105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"_Toc195013690"</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第一章</w:t>
      </w:r>
      <w:r>
        <w:rPr>
          <w:rStyle w:val="1082"/>
          <w:color w:val="000000"/>
          <w:highlight w:val="none"/>
        </w:rPr>
        <w:t xml:space="preserve">   </w:t>
      </w:r>
      <w:r>
        <w:rPr>
          <w:rStyle w:val="1082"/>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"_Toc195013691"</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第二章</w:t>
      </w:r>
      <w:r>
        <w:rPr>
          <w:rStyle w:val="1082"/>
          <w:color w:val="000000"/>
          <w:highlight w:val="none"/>
        </w:rPr>
        <w:t xml:space="preserve">   </w:t>
      </w:r>
      <w:r>
        <w:rPr>
          <w:rStyle w:val="1082"/>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"_Toc195013692"</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第三章</w:t>
      </w:r>
      <w:r>
        <w:rPr>
          <w:rStyle w:val="1082"/>
          <w:color w:val="000000"/>
          <w:highlight w:val="none"/>
        </w:rPr>
        <w:t xml:space="preserve">   </w:t>
      </w:r>
      <w:r>
        <w:rPr>
          <w:rStyle w:val="1082"/>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"_Toc195013693"</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第四章</w:t>
      </w:r>
      <w:r>
        <w:rPr>
          <w:rStyle w:val="1082"/>
          <w:color w:val="000000"/>
          <w:highlight w:val="none"/>
        </w:rPr>
        <w:t xml:space="preserve">   </w:t>
      </w:r>
      <w:r>
        <w:rPr>
          <w:rStyle w:val="1082"/>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"_Toc195013694"</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第五章</w:t>
      </w:r>
      <w:r>
        <w:rPr>
          <w:rStyle w:val="1082"/>
          <w:color w:val="000000"/>
          <w:highlight w:val="none"/>
        </w:rPr>
        <w:t xml:space="preserve">   </w:t>
      </w:r>
      <w:r>
        <w:rPr>
          <w:rStyle w:val="1082"/>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35</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"_Toc195013695"</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第六章</w:t>
      </w:r>
      <w:r>
        <w:rPr>
          <w:rStyle w:val="1082"/>
          <w:color w:val="000000"/>
          <w:highlight w:val="none"/>
        </w:rPr>
        <w:t xml:space="preserve">   </w:t>
      </w:r>
      <w:r>
        <w:rPr>
          <w:rStyle w:val="1082"/>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38</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"_Toc195013696"</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第七章</w:t>
      </w:r>
      <w:r>
        <w:rPr>
          <w:rStyle w:val="1082"/>
          <w:color w:val="000000"/>
          <w:highlight w:val="none"/>
        </w:rPr>
        <w:t xml:space="preserve">   </w:t>
      </w:r>
      <w:r>
        <w:rPr>
          <w:rStyle w:val="1082"/>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43</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04"/>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br w:type="page" w:clear="all"/>
      </w:r>
      <w:r/>
    </w:p>
    <w:p>
      <w:pPr>
        <w:pStyle w:val="1004"/>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100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35393621"/>
      <w:r/>
      <w:bookmarkStart w:id="6" w:name="_Toc28359079"/>
      <w:r/>
      <w:bookmarkStart w:id="7" w:name="_Toc28359002"/>
      <w:r/>
      <w:bookmarkStart w:id="8" w:name="_Toc35393790"/>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常州市第一人民医院医疗废物处置及运输服务项目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6</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00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04"/>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JSZC-320400-ZCCZ-G2026-0014</w:t>
      </w:r>
      <w:r>
        <w:rPr>
          <w:rFonts w:hint="eastAsia" w:ascii="宋体" w:hAnsi="宋体" w:eastAsia="宋体"/>
          <w:color w:val="000000"/>
          <w:sz w:val="24"/>
          <w:highlight w:val="none"/>
          <w:lang w:eastAsia="zh-CN"/>
        </w:rPr>
      </w:r>
      <w:r/>
    </w:p>
    <w:p>
      <w:pPr>
        <w:pStyle w:val="1004"/>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rPr>
        <w:t xml:space="preserve">常州市第一人民医院医疗废物处置及运输服务项目 </w:t>
      </w:r>
      <w:r>
        <w:rPr>
          <w:rFonts w:hint="eastAsia" w:ascii="宋体" w:hAnsi="宋体"/>
          <w:color w:val="000000"/>
          <w:sz w:val="24"/>
          <w:highlight w:val="none"/>
        </w:rPr>
      </w:r>
      <w:r/>
    </w:p>
    <w:p>
      <w:pPr>
        <w:pStyle w:val="1004"/>
        <w:ind w:firstLine="480"/>
        <w:spacing w:line="360" w:lineRule="auto"/>
        <w:rPr>
          <w:rFonts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rPr>
        <w:t xml:space="preserve">1290.00万元/三年 、</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rPr>
        <w:t xml:space="preserve">医疗废物处置及运输费（不含病理性医废）最高单价限价为4300元/吨；病理性医废处置及转运费最高单价限价为62元/公斤（其中处置费不得超过50元/公斤，转运费不得超过12元/公斤）</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常州市第一人民医院医疗废物处置及运输服务项目。项目内容包括但不限于全院医疗废物的收集、运送、贮存、处置等；处置范围涵盖固体、液体、化学性、损伤性、病理性、体内植入物等多种医疗废物；年度预估处置量约950吨。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1004"/>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rPr>
        <w:t xml:space="preserve">服务期3年。合同一年一签，合同到期经采购人考核合格后签订下一期合同。 </w:t>
      </w:r>
      <w:r>
        <w:rPr>
          <w:rFonts w:hint="eastAsia" w:ascii="宋体" w:hAnsi="宋体"/>
          <w:color w:val="000000"/>
          <w:sz w:val="24"/>
          <w:highlight w:val="none"/>
        </w:rPr>
      </w:r>
      <w:r/>
    </w:p>
    <w:p>
      <w:pPr>
        <w:pStyle w:val="1004"/>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本项目是否接受联合体投标：否。</w:t>
      </w:r>
      <w:r>
        <w:rPr>
          <w:rFonts w:ascii="宋体" w:hAnsi="宋体"/>
          <w:color w:val="000000"/>
          <w:sz w:val="24"/>
          <w:highlight w:val="none"/>
        </w:rPr>
      </w:r>
      <w:r/>
    </w:p>
    <w:p>
      <w:pPr>
        <w:pStyle w:val="1004"/>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投标：否。</w:t>
      </w:r>
      <w:r>
        <w:rPr>
          <w:color w:val="000000"/>
          <w:sz w:val="24"/>
          <w:highlight w:val="none"/>
        </w:rPr>
      </w:r>
      <w:r/>
    </w:p>
    <w:p>
      <w:pPr>
        <w:pStyle w:val="1006"/>
        <w:jc w:val="left"/>
        <w:spacing w:before="0" w:line="360" w:lineRule="auto"/>
        <w:rPr>
          <w:rFonts w:ascii="Times New Roman" w:hAnsi="Times New Roman" w:eastAsia="宋体"/>
          <w:color w:val="000000"/>
          <w:sz w:val="24"/>
          <w:szCs w:val="24"/>
          <w:highlight w:val="none"/>
        </w:rPr>
      </w:pPr>
      <w:r/>
      <w:bookmarkStart w:id="10" w:name="_Toc28359003"/>
      <w:r/>
      <w:bookmarkStart w:id="11" w:name="_Toc35393622"/>
      <w:r/>
      <w:bookmarkStart w:id="12" w:name="_Toc28359080"/>
      <w:r/>
      <w:bookmarkStart w:id="13" w:name="_Toc35393791"/>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0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0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0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004"/>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100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04"/>
        <w:ind w:firstLine="482"/>
        <w:spacing w:line="360" w:lineRule="auto"/>
        <w:rPr>
          <w:color w:val="000000"/>
          <w:sz w:val="24"/>
          <w:highlight w:val="none"/>
        </w:rPr>
      </w:pPr>
      <w:r>
        <w:rPr>
          <w:b/>
          <w:color w:val="000000"/>
          <w:sz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100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100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004"/>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00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0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3.1本项目是否接受分支机构参与投标：否；</w:t>
      </w:r>
      <w:r>
        <w:rPr>
          <w:color w:val="000000"/>
          <w:sz w:val="24"/>
          <w:highlight w:val="none"/>
        </w:rPr>
      </w:r>
      <w:r/>
    </w:p>
    <w:p>
      <w:pPr>
        <w:pStyle w:val="100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0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p>
      <w:pPr>
        <w:pStyle w:val="1004"/>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004"/>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（1）投标人具备生态环境部门核发的有效《危险废物经营许可证》（经营范围包含：处置医疗废物HW01,841-001-01,841-002-01）；</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cs="宋体"/>
          <w:color w:val="000000"/>
          <w:sz w:val="24"/>
          <w:highlight w:val="none"/>
        </w:rPr>
      </w:r>
      <w:r/>
    </w:p>
    <w:p>
      <w:pPr>
        <w:pStyle w:val="1006"/>
        <w:jc w:val="left"/>
        <w:spacing w:line="360" w:lineRule="auto"/>
        <w:rPr>
          <w:rFonts w:ascii="Times New Roman" w:eastAsia="宋体"/>
          <w:color w:val="000000"/>
          <w:sz w:val="24"/>
          <w:szCs w:val="24"/>
          <w:highlight w:val="none"/>
        </w:rPr>
      </w:pPr>
      <w:r/>
      <w:bookmarkEnd w:id="16"/>
      <w:r/>
      <w:bookmarkEnd w:id="17"/>
      <w:r/>
      <w:bookmarkStart w:id="18" w:name="_Toc35393796"/>
      <w:r/>
      <w:bookmarkStart w:id="19" w:name="_Toc28359008"/>
      <w:r/>
      <w:bookmarkStart w:id="20" w:name="_Toc35393627"/>
      <w:r/>
      <w:bookmarkStart w:id="21" w:name="_Toc28359085"/>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1004"/>
        <w:ind w:firstLine="480"/>
        <w:spacing w:line="360" w:lineRule="auto"/>
        <w:rPr>
          <w:rFonts w:hint="eastAsia" w:ascii="宋体" w:hAnsi="宋体"/>
          <w:bCs/>
          <w:color w:val="000000"/>
          <w:sz w:val="24"/>
          <w:highlight w:val="none"/>
        </w:rPr>
      </w:pPr>
      <w:r/>
      <w:bookmarkStart w:id="22" w:name="_Toc28359082"/>
      <w:r/>
      <w:bookmarkStart w:id="23" w:name="_Toc35393624"/>
      <w:r/>
      <w:bookmarkStart w:id="24" w:name="_Toc35393793"/>
      <w:r/>
      <w:bookmarkStart w:id="25" w:name="_Toc28359005"/>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004"/>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0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00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100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004"/>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6</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17</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00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006"/>
        <w:jc w:val="left"/>
        <w:spacing w:line="360" w:lineRule="auto"/>
        <w:rPr>
          <w:rFonts w:ascii="Times New Roman" w:eastAsia="宋体"/>
          <w:color w:val="000000"/>
          <w:sz w:val="24"/>
          <w:szCs w:val="24"/>
          <w:highlight w:val="none"/>
        </w:rPr>
      </w:pPr>
      <w:r/>
      <w:bookmarkStart w:id="26" w:name="_Toc35393794"/>
      <w:r/>
      <w:bookmarkStart w:id="27" w:name="_Toc28359084"/>
      <w:r/>
      <w:bookmarkStart w:id="28" w:name="_Toc35393625"/>
      <w:r/>
      <w:bookmarkStart w:id="29" w:name="_Toc28359007"/>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004"/>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6</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17</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004"/>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100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06"/>
        <w:jc w:val="left"/>
        <w:spacing w:line="360" w:lineRule="auto"/>
        <w:rPr>
          <w:rFonts w:ascii="Times New Roman" w:eastAsia="宋体"/>
          <w:color w:val="000000"/>
          <w:sz w:val="24"/>
          <w:szCs w:val="24"/>
          <w:highlight w:val="none"/>
        </w:rPr>
      </w:pPr>
      <w:r/>
      <w:bookmarkStart w:id="30" w:name="_Toc35393795"/>
      <w:r/>
      <w:bookmarkStart w:id="31" w:name="_Toc35393626"/>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1065"/>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2"/>
      <w:r/>
      <w:bookmarkStart w:id="33" w:name="OLE_LINK173"/>
      <w:r/>
      <w:bookmarkStart w:id="34" w:name="OLE_LINK174"/>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7"/>
      <w:r/>
      <w:bookmarkStart w:id="36" w:name="OLE_LINK175"/>
      <w:r/>
      <w:bookmarkStart w:id="37" w:name="OLE_LINK176"/>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9"/>
      <w:r/>
      <w:bookmarkStart w:id="39" w:name="OLE_LINK178"/>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1065"/>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1006"/>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1004"/>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采购人</w:t>
      </w:r>
      <w:r>
        <w:rPr>
          <w:b/>
          <w:color w:val="000000"/>
          <w:sz w:val="24"/>
          <w:highlight w:val="none"/>
        </w:rPr>
        <w:t xml:space="preserve">信息</w:t>
      </w:r>
      <w:r>
        <w:rPr>
          <w:b/>
          <w:color w:val="000000"/>
          <w:sz w:val="24"/>
          <w:highlight w:val="none"/>
        </w:rPr>
      </w:r>
      <w:r/>
    </w:p>
    <w:p>
      <w:pPr>
        <w:pStyle w:val="1004"/>
        <w:ind w:firstLine="480"/>
        <w:jc w:val="left"/>
        <w:spacing w:line="360" w:lineRule="auto"/>
        <w:rPr>
          <w:rFonts w:hint="eastAsia" w:ascii="宋体" w:hAnsi="宋体" w:cs="宋体"/>
          <w:color w:val="000000"/>
          <w:sz w:val="24"/>
          <w:highlight w:val="none"/>
        </w:rPr>
      </w:pPr>
      <w:r/>
      <w:bookmarkStart w:id="40" w:name="_Toc28359086"/>
      <w:r/>
      <w:bookmarkStart w:id="41" w:name="_Toc28359009"/>
      <w:r>
        <w:rPr>
          <w:color w:val="000000"/>
          <w:sz w:val="24"/>
          <w:highlight w:val="none"/>
        </w:rPr>
        <w:t xml:space="preserve">名    称：</w:t>
      </w:r>
      <w:r>
        <w:rPr>
          <w:rFonts w:hint="eastAsia"/>
          <w:color w:val="000000"/>
          <w:sz w:val="24"/>
          <w:highlight w:val="none"/>
        </w:rPr>
        <w:t xml:space="preserve">常州市第一人民医院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04"/>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常州市局前街185号 </w:t>
      </w:r>
      <w:r>
        <w:rPr>
          <w:rFonts w:hint="eastAsia" w:ascii="宋体" w:hAnsi="宋体" w:cs="宋体"/>
          <w:color w:val="000000"/>
          <w:sz w:val="24"/>
          <w:highlight w:val="none"/>
        </w:rPr>
      </w:r>
      <w:r/>
    </w:p>
    <w:p>
      <w:pPr>
        <w:pStyle w:val="1004"/>
        <w:ind w:firstLine="480"/>
        <w:rPr>
          <w:rFonts w:hint="eastAsia" w:ascii="宋体" w:hAnsi="宋体"/>
          <w:color w:val="000000"/>
          <w:sz w:val="24"/>
          <w:highlight w:val="none"/>
        </w:rPr>
      </w:pPr>
      <w:r>
        <w:rPr>
          <w:color w:val="000000"/>
          <w:sz w:val="24"/>
          <w:highlight w:val="none"/>
        </w:rPr>
        <w:t xml:space="preserve">联系方式：</w:t>
      </w:r>
      <w:bookmarkStart w:id="42" w:name="OLE_LINK23"/>
      <w:r/>
      <w:bookmarkStart w:id="43" w:name="OLE_LINK14"/>
      <w:r/>
      <w:bookmarkStart w:id="44" w:name="_Hlk195012910"/>
      <w:r>
        <w:rPr>
          <w:rFonts w:hint="eastAsia" w:ascii="宋体" w:hAnsi="宋体" w:cs="宋体"/>
          <w:color w:val="000000"/>
          <w:sz w:val="24"/>
          <w:highlight w:val="none"/>
        </w:rPr>
        <w:t xml:space="preserve">蒋女士 0519-68870725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潘女士</w:t>
      </w:r>
      <w:bookmarkEnd w:id="42"/>
      <w:r/>
      <w:bookmarkEnd w:id="43"/>
      <w:r/>
      <w:bookmarkEnd w:id="44"/>
      <w:r>
        <w:rPr>
          <w:rStyle w:val="1083"/>
          <w:rFonts w:hint="eastAsia" w:ascii="宋体" w:hAnsi="宋体" w:eastAsia="宋体" w:cs="宋体"/>
          <w:color w:val="000000"/>
          <w:sz w:val="24"/>
          <w:highlight w:val="none"/>
        </w:rPr>
        <w:t xml:space="preserve"> 0519－68870413</w:t>
      </w:r>
      <w:r>
        <w:rPr>
          <w:rFonts w:hint="eastAsia" w:ascii="宋体" w:hAnsi="宋体"/>
          <w:color w:val="000000"/>
          <w:sz w:val="24"/>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1004"/>
        <w:ind w:firstLine="480"/>
        <w:jc w:val="left"/>
        <w:spacing w:line="360" w:lineRule="auto"/>
        <w:rPr>
          <w:color w:val="000000"/>
          <w:sz w:val="24"/>
          <w:highlight w:val="none"/>
        </w:rPr>
      </w:pPr>
      <w:r/>
      <w:bookmarkStart w:id="45" w:name="_Toc28359010"/>
      <w:r/>
      <w:bookmarkStart w:id="46"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004"/>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004"/>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004"/>
        <w:ind w:firstLine="482"/>
        <w:spacing w:line="360" w:lineRule="auto"/>
        <w:rPr>
          <w:rFonts w:hint="eastAsia"/>
          <w:b/>
          <w:color w:val="000000"/>
          <w:sz w:val="24"/>
          <w:highlight w:val="none"/>
        </w:rPr>
      </w:pPr>
      <w:r>
        <w:rPr>
          <w:rFonts w:hint="eastAsia"/>
          <w:b/>
          <w:color w:val="000000"/>
          <w:sz w:val="24"/>
          <w:highlight w:val="none"/>
        </w:rPr>
      </w:r>
      <w:r/>
    </w:p>
    <w:p>
      <w:pPr>
        <w:pStyle w:val="1004"/>
        <w:ind w:firstLine="482"/>
        <w:spacing w:line="360" w:lineRule="auto"/>
        <w:rPr>
          <w:b/>
          <w:color w:val="000000"/>
          <w:sz w:val="24"/>
          <w:highlight w:val="none"/>
          <w:u w:val="single"/>
        </w:rPr>
      </w:pPr>
      <w:r>
        <w:rPr>
          <w:b/>
          <w:color w:val="000000"/>
          <w:sz w:val="24"/>
          <w:highlight w:val="none"/>
        </w:rPr>
        <w:t xml:space="preserve">3.项目联系方式</w:t>
      </w:r>
      <w:bookmarkEnd w:id="45"/>
      <w:r/>
      <w:bookmarkEnd w:id="46"/>
      <w:r>
        <w:rPr>
          <w:b/>
          <w:color w:val="000000"/>
          <w:sz w:val="24"/>
          <w:highlight w:val="none"/>
          <w:u w:val="single"/>
        </w:rPr>
      </w:r>
      <w:r/>
    </w:p>
    <w:p>
      <w:pPr>
        <w:pStyle w:val="1043"/>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1043"/>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004"/>
        <w:jc w:val="center"/>
        <w:spacing w:line="360" w:lineRule="auto"/>
        <w:rPr>
          <w:b/>
          <w:color w:val="000000"/>
          <w:sz w:val="32"/>
          <w:szCs w:val="32"/>
          <w:highlight w:val="none"/>
        </w:rPr>
        <w:outlineLvl w:val="0"/>
      </w:pPr>
      <w:r>
        <w:rPr>
          <w:color w:val="000000"/>
          <w:sz w:val="24"/>
          <w:highlight w:val="none"/>
        </w:rPr>
        <w:br w:type="page" w:clear="all"/>
      </w:r>
      <w:bookmarkStart w:id="47" w:name="_Toc264969275"/>
      <w:r/>
      <w:bookmarkStart w:id="48" w:name="_Toc353873938"/>
      <w:r/>
      <w:bookmarkStart w:id="49" w:name="_Toc127161488"/>
      <w:r/>
      <w:bookmarkStart w:id="50" w:name="_Toc305158854"/>
      <w:r/>
      <w:bookmarkStart w:id="51" w:name="_Toc150774783"/>
      <w:r/>
      <w:bookmarkStart w:id="52" w:name="_Toc305158928"/>
      <w:r/>
      <w:bookmarkStart w:id="53" w:name="_Toc512937850"/>
      <w:r/>
      <w:bookmarkStart w:id="54" w:name="_Toc265228423"/>
      <w:r/>
      <w:bookmarkStart w:id="55" w:name="_Toc226965856"/>
      <w:r/>
      <w:bookmarkStart w:id="56" w:name="_Toc127151777"/>
      <w:r/>
      <w:bookmarkStart w:id="57" w:name="_Toc353825548"/>
      <w:r/>
      <w:bookmarkStart w:id="58" w:name="_Toc195842950"/>
      <w:r/>
      <w:bookmarkStart w:id="59" w:name="_Toc195013691"/>
      <w:r>
        <w:rPr>
          <w:b/>
          <w:color w:val="000000"/>
          <w:sz w:val="36"/>
          <w:szCs w:val="36"/>
          <w:highlight w:val="none"/>
        </w:rPr>
        <w:t xml:space="preserve">第二章   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z w:val="32"/>
          <w:szCs w:val="32"/>
          <w:highlight w:val="none"/>
        </w:rPr>
      </w:r>
      <w:r/>
    </w:p>
    <w:p>
      <w:pPr>
        <w:pStyle w:val="100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0" w:name="_Toc520356144"/>
      <w:r/>
      <w:bookmarkStart w:id="61" w:name="_Toc150774619"/>
      <w:r/>
      <w:bookmarkStart w:id="62" w:name="_Toc164229360"/>
      <w:r/>
      <w:bookmarkStart w:id="63" w:name="_Toc149720812"/>
      <w:r/>
      <w:bookmarkStart w:id="64" w:name="_Toc226309763"/>
      <w:r/>
      <w:bookmarkStart w:id="65" w:name="_Toc127161433"/>
      <w:r/>
      <w:bookmarkStart w:id="66" w:name="_Toc150509270"/>
      <w:r/>
      <w:bookmarkStart w:id="67" w:name="_Toc164608788"/>
      <w:r/>
      <w:bookmarkStart w:id="68" w:name="_Toc151193833"/>
      <w:r/>
      <w:bookmarkStart w:id="69" w:name="_Toc164351613"/>
      <w:r/>
      <w:bookmarkStart w:id="70" w:name="_Toc127151720"/>
      <w:r/>
      <w:bookmarkStart w:id="71" w:name="_Toc150774724"/>
      <w:r/>
      <w:bookmarkStart w:id="72" w:name="_Toc226337215"/>
      <w:r/>
      <w:bookmarkStart w:id="73" w:name="_Toc164608633"/>
      <w:r/>
      <w:bookmarkStart w:id="74" w:name="_Toc151193689"/>
      <w:r/>
      <w:bookmarkStart w:id="75" w:name="_Toc150480757"/>
      <w:r/>
      <w:bookmarkStart w:id="76" w:name="_Toc195842884"/>
      <w:r/>
      <w:bookmarkStart w:id="77" w:name="_Toc151193617"/>
      <w:r/>
      <w:bookmarkStart w:id="78" w:name="_Toc127151519"/>
      <w:r/>
      <w:bookmarkStart w:id="79" w:name="_Toc151193761"/>
      <w:r/>
      <w:bookmarkStart w:id="80" w:name="_Toc226965709"/>
      <w:r/>
      <w:bookmarkStart w:id="81" w:name="_Toc142311021"/>
      <w:r/>
      <w:bookmarkStart w:id="82" w:name="_Toc226965792"/>
      <w:r/>
      <w:bookmarkStart w:id="83" w:name="_Toc151190146"/>
      <w:r/>
      <w:bookmarkStart w:id="84" w:name="_Toc151193907"/>
      <w:r/>
      <w:bookmarkStart w:id="85" w:name="_Toc164229214"/>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04"/>
        <w:jc w:val="center"/>
        <w:rPr>
          <w:b/>
          <w:color w:val="000000"/>
          <w:sz w:val="28"/>
          <w:szCs w:val="28"/>
          <w:highlight w:val="none"/>
        </w:rPr>
      </w:pPr>
      <w:r>
        <w:rPr>
          <w:b/>
          <w:color w:val="000000"/>
          <w:sz w:val="28"/>
          <w:szCs w:val="28"/>
          <w:highlight w:val="none"/>
        </w:rPr>
      </w:r>
      <w:r/>
    </w:p>
    <w:p>
      <w:pPr>
        <w:pStyle w:val="1004"/>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04"/>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0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0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0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项目属性：</w:t>
            </w:r>
            <w:r>
              <w:rPr>
                <w:color w:val="000000"/>
                <w:sz w:val="24"/>
                <w:highlight w:val="none"/>
              </w:rPr>
            </w:r>
            <w:r/>
          </w:p>
          <w:p>
            <w:pPr>
              <w:pStyle w:val="1004"/>
              <w:jc w:val="left"/>
              <w:rPr>
                <w:color w:val="000000"/>
                <w:sz w:val="24"/>
                <w:highlight w:val="none"/>
              </w:rPr>
            </w:pPr>
            <w:r>
              <w:rPr>
                <w:b/>
                <w:color w:val="000000"/>
                <w:sz w:val="24"/>
                <w:highlight w:val="none"/>
              </w:rPr>
              <w:t xml:space="preserve">■</w:t>
            </w:r>
            <w:r>
              <w:rPr>
                <w:color w:val="000000"/>
                <w:sz w:val="24"/>
                <w:highlight w:val="none"/>
              </w:rPr>
              <w:t xml:space="preserve">服务</w:t>
            </w:r>
            <w:r>
              <w:rPr>
                <w:color w:val="000000"/>
                <w:sz w:val="24"/>
                <w:highlight w:val="none"/>
              </w:rPr>
            </w:r>
            <w:r/>
          </w:p>
          <w:p>
            <w:pPr>
              <w:pStyle w:val="1004"/>
              <w:jc w:val="left"/>
              <w:rPr>
                <w:color w:val="000000"/>
                <w:sz w:val="24"/>
                <w:highlight w:val="none"/>
              </w:rPr>
            </w:pPr>
            <w:r>
              <w:rPr>
                <w:color w:val="000000"/>
                <w:sz w:val="24"/>
                <w:highlight w:val="none"/>
              </w:rPr>
              <w:t xml:space="preserve">□货物</w:t>
            </w:r>
            <w:r>
              <w:rPr>
                <w:color w:val="000000"/>
                <w:sz w:val="24"/>
                <w:highlight w:val="none"/>
              </w:rPr>
            </w:r>
            <w:r/>
          </w:p>
          <w:p>
            <w:pPr>
              <w:pStyle w:val="1004"/>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04"/>
              <w:jc w:val="left"/>
              <w:rPr>
                <w:color w:val="000000"/>
                <w:sz w:val="24"/>
                <w:highlight w:val="none"/>
              </w:rPr>
            </w:pPr>
            <w:r>
              <w:rPr>
                <w:color w:val="000000"/>
                <w:sz w:val="24"/>
                <w:highlight w:val="none"/>
              </w:rPr>
              <w:t xml:space="preserve">□是</w:t>
            </w:r>
            <w:r>
              <w:rPr>
                <w:color w:val="000000"/>
                <w:sz w:val="24"/>
                <w:highlight w:val="none"/>
              </w:rPr>
            </w:r>
            <w:r/>
          </w:p>
          <w:p>
            <w:pPr>
              <w:pStyle w:val="1004"/>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004"/>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43"/>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004"/>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04"/>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其他未列明行业</w:t>
            </w:r>
            <w:r>
              <w:rPr>
                <w:color w:val="000000"/>
                <w:sz w:val="24"/>
                <w:highlight w:val="none"/>
              </w:rPr>
            </w:r>
            <w:r/>
          </w:p>
        </w:tc>
      </w:tr>
      <w:tr>
        <w:trPr>
          <w:trHeight w:val="738"/>
        </w:trPr>
        <w:tc>
          <w:tcPr>
            <w:tcW w:w="988" w:type="dxa"/>
            <w:vAlign w:val="center"/>
            <w:textDirection w:val="lrTb"/>
            <w:noWrap w:val="false"/>
          </w:tcPr>
          <w:p>
            <w:pPr>
              <w:pStyle w:val="1043"/>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04"/>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00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color w:val="000000"/>
                <w:sz w:val="24"/>
                <w:highlight w:val="none"/>
              </w:rPr>
              <w:t xml:space="preserve">□</w:t>
            </w:r>
            <w:r>
              <w:rPr>
                <w:rFonts w:hint="eastAsia"/>
                <w:color w:val="000000"/>
                <w:sz w:val="24"/>
                <w:highlight w:val="none"/>
              </w:rPr>
              <w:t xml:space="preserve">适用 </w:t>
            </w:r>
            <w:r>
              <w:rPr>
                <w:b/>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270"/>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报价的特殊规定：</w:t>
            </w:r>
            <w:r>
              <w:rPr>
                <w:color w:val="000000"/>
                <w:sz w:val="24"/>
                <w:highlight w:val="none"/>
              </w:rPr>
            </w:r>
            <w:r/>
          </w:p>
          <w:p>
            <w:pPr>
              <w:pStyle w:val="1004"/>
              <w:jc w:val="left"/>
              <w:rPr>
                <w:color w:val="000000"/>
                <w:sz w:val="24"/>
                <w:highlight w:val="none"/>
              </w:rPr>
            </w:pPr>
            <w:r>
              <w:rPr>
                <w:color w:val="000000"/>
                <w:sz w:val="24"/>
                <w:highlight w:val="none"/>
              </w:rPr>
              <w:t xml:space="preserve">□无</w:t>
            </w:r>
            <w:r>
              <w:rPr>
                <w:color w:val="000000"/>
                <w:sz w:val="24"/>
                <w:highlight w:val="none"/>
              </w:rPr>
            </w:r>
            <w:r/>
          </w:p>
          <w:p>
            <w:pPr>
              <w:pStyle w:val="1004"/>
              <w:jc w:val="left"/>
              <w:rPr>
                <w:rFonts w:hint="eastAsia"/>
                <w:color w:val="000000"/>
                <w:sz w:val="24"/>
                <w:highlight w:val="none"/>
              </w:rPr>
            </w:pPr>
            <w:r>
              <w:rPr>
                <w:b/>
                <w:color w:val="000000"/>
                <w:sz w:val="24"/>
                <w:highlight w:val="none"/>
              </w:rPr>
              <w:t xml:space="preserve">■</w:t>
            </w:r>
            <w:r>
              <w:rPr>
                <w:color w:val="000000"/>
                <w:sz w:val="24"/>
                <w:highlight w:val="none"/>
              </w:rPr>
              <w:t xml:space="preserve">有，具体情形：</w:t>
            </w:r>
            <w:r>
              <w:rPr>
                <w:rFonts w:hint="eastAsia"/>
                <w:b/>
                <w:bCs/>
                <w:color w:val="000000"/>
                <w:sz w:val="24"/>
                <w:highlight w:val="none"/>
              </w:rPr>
              <w:t xml:space="preserve">采用固定单价形式报价</w:t>
            </w:r>
            <w:r>
              <w:rPr>
                <w:rFonts w:hint="eastAsia"/>
                <w:b/>
                <w:bCs/>
                <w:color w:val="000000"/>
                <w:sz w:val="24"/>
                <w:highlight w:val="none"/>
              </w:rPr>
              <w:t xml:space="preserve">。</w:t>
            </w:r>
            <w:r>
              <w:rPr>
                <w:rFonts w:hint="eastAsia"/>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04"/>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004"/>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004"/>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04"/>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04"/>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04"/>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004"/>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1004"/>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收费对象：</w:t>
            </w:r>
            <w:r>
              <w:rPr>
                <w:color w:val="000000"/>
                <w:sz w:val="24"/>
                <w:highlight w:val="none"/>
              </w:rPr>
            </w:r>
            <w:r/>
          </w:p>
          <w:p>
            <w:pPr>
              <w:pStyle w:val="1004"/>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采购人</w:t>
            </w:r>
            <w:r>
              <w:rPr>
                <w:rFonts w:hint="eastAsia"/>
                <w:color w:val="000000"/>
                <w:sz w:val="24"/>
                <w:highlight w:val="none"/>
              </w:rPr>
            </w:r>
            <w:r/>
          </w:p>
          <w:p>
            <w:pPr>
              <w:pStyle w:val="1004"/>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1004"/>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004"/>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（1）代理服务费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004"/>
              <w:spacing w:line="360" w:lineRule="auto"/>
              <w:tabs>
                <w:tab w:val="left" w:pos="510" w:leader="none"/>
                <w:tab w:val="left" w:pos="73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004"/>
              <w:ind w:firstLine="480"/>
              <w:spacing w:line="360" w:lineRule="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rPr>
              <w:t xml:space="preserve">本项目代理服务费收费以一年预算金额为基数计算，按一年预算金额的0.8%收取。</w:t>
            </w:r>
            <w:r>
              <w:rPr>
                <w:rFonts w:hint="eastAsia" w:ascii="宋体" w:hAnsi="宋体"/>
                <w:strike/>
                <w:color w:val="000000"/>
                <w:sz w:val="24"/>
                <w:highlight w:val="none"/>
              </w:rPr>
            </w:r>
            <w:r/>
          </w:p>
          <w:p>
            <w:pPr>
              <w:pStyle w:val="1004"/>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1004"/>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00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00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00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rPr>
          <w:rFonts w:hint="eastAsia"/>
          <w:color w:val="000000"/>
          <w:highlight w:val="none"/>
        </w:rPr>
      </w:pPr>
      <w:r>
        <w:rPr>
          <w:rFonts w:hint="eastAsia"/>
          <w:color w:val="000000"/>
          <w:highlight w:val="none"/>
        </w:rPr>
      </w:r>
      <w:r/>
    </w:p>
    <w:p>
      <w:pPr>
        <w:pStyle w:val="1004"/>
        <w:jc w:val="center"/>
        <w:pageBreakBefore/>
        <w:spacing w:before="240" w:after="240"/>
        <w:rPr>
          <w:b/>
          <w:color w:val="000000"/>
          <w:sz w:val="28"/>
          <w:szCs w:val="28"/>
          <w:highlight w:val="none"/>
        </w:rPr>
      </w:pPr>
      <w:r/>
      <w:bookmarkStart w:id="86" w:name="_Toc142311019"/>
      <w:r/>
      <w:bookmarkStart w:id="87" w:name="_Toc150480755"/>
      <w:r/>
      <w:bookmarkStart w:id="88" w:name="_Toc150774722"/>
      <w:r/>
      <w:bookmarkStart w:id="89" w:name="_Toc127151517"/>
      <w:r/>
      <w:bookmarkStart w:id="90" w:name="_Toc264969207"/>
      <w:r/>
      <w:bookmarkStart w:id="91" w:name="_Toc353873932"/>
      <w:r/>
      <w:bookmarkStart w:id="92" w:name="_Toc195842882"/>
      <w:r/>
      <w:bookmarkStart w:id="93" w:name="_Toc265228355"/>
      <w:r/>
      <w:bookmarkStart w:id="94" w:name="_Toc305158859"/>
      <w:r/>
      <w:bookmarkStart w:id="95" w:name="_Toc305158785"/>
      <w:r/>
      <w:bookmarkStart w:id="96" w:name="_Toc353825542"/>
      <w:r/>
      <w:bookmarkStart w:id="97" w:name="_Toc226337213"/>
      <w:r/>
      <w:bookmarkStart w:id="98" w:name="_Toc226965790"/>
      <w:r/>
      <w:bookmarkStart w:id="99" w:name="_Toc353873662"/>
      <w:r>
        <w:rPr>
          <w:b/>
          <w:color w:val="000000"/>
          <w:sz w:val="28"/>
          <w:szCs w:val="28"/>
          <w:highlight w:val="none"/>
        </w:rPr>
        <w:t xml:space="preserve">投标人须知</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b/>
          <w:color w:val="000000"/>
          <w:sz w:val="28"/>
          <w:szCs w:val="28"/>
          <w:highlight w:val="none"/>
        </w:rPr>
      </w:r>
      <w:r/>
    </w:p>
    <w:p>
      <w:pPr>
        <w:pStyle w:val="100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0" w:name="_Toc127151518"/>
      <w:r/>
      <w:bookmarkStart w:id="101" w:name="_Toc520356143"/>
      <w:r>
        <w:rPr>
          <w:rFonts w:ascii="Times New Roman" w:hAnsi="Times New Roman" w:eastAsia="宋体"/>
          <w:color w:val="000000"/>
          <w:sz w:val="28"/>
          <w:highlight w:val="none"/>
        </w:rPr>
        <w:tab/>
      </w:r>
      <w:bookmarkStart w:id="102" w:name="_Toc305158786"/>
      <w:r/>
      <w:bookmarkStart w:id="103" w:name="_Toc150480756"/>
      <w:r/>
      <w:bookmarkStart w:id="104" w:name="_Toc151190145"/>
      <w:r/>
      <w:bookmarkStart w:id="105" w:name="_Toc151193832"/>
      <w:r/>
      <w:bookmarkStart w:id="106" w:name="_Toc226965708"/>
      <w:r/>
      <w:bookmarkStart w:id="107" w:name="_Toc151193906"/>
      <w:r/>
      <w:bookmarkStart w:id="108" w:name="_Toc226965791"/>
      <w:r/>
      <w:bookmarkStart w:id="109" w:name="_Toc264969208"/>
      <w:r/>
      <w:bookmarkStart w:id="110" w:name="_Toc142311020"/>
      <w:r/>
      <w:bookmarkStart w:id="111" w:name="_Toc150774618"/>
      <w:r/>
      <w:bookmarkStart w:id="112" w:name="_Toc195842883"/>
      <w:r/>
      <w:bookmarkStart w:id="113" w:name="_Toc151193616"/>
      <w:r/>
      <w:bookmarkStart w:id="114" w:name="_Toc150509269"/>
      <w:r/>
      <w:bookmarkStart w:id="115" w:name="_Toc151193688"/>
      <w:r/>
      <w:bookmarkStart w:id="116" w:name="_Toc265228356"/>
      <w:r/>
      <w:bookmarkStart w:id="117" w:name="_Toc226337214"/>
      <w:r/>
      <w:bookmarkStart w:id="118" w:name="_Toc150774723"/>
      <w:r/>
      <w:bookmarkStart w:id="119" w:name="_Toc226309762"/>
      <w:r/>
      <w:bookmarkStart w:id="120" w:name="_Toc305158860"/>
      <w:r/>
      <w:bookmarkStart w:id="121" w:name="_Toc151193760"/>
      <w:r>
        <w:rPr>
          <w:rFonts w:ascii="Times New Roman" w:hAnsi="Times New Roman" w:eastAsia="宋体"/>
          <w:color w:val="000000"/>
          <w:sz w:val="28"/>
          <w:highlight w:val="none"/>
        </w:rPr>
        <w:t xml:space="preserve">一   说  明</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122" w:name="_Toc305158787"/>
      <w:r/>
      <w:bookmarkStart w:id="123" w:name="_Toc305158861"/>
      <w:r/>
      <w:bookmarkStart w:id="124" w:name="_Toc264969209"/>
      <w:r/>
      <w:bookmarkStart w:id="125" w:name="_Toc265228357"/>
      <w:r>
        <w:rPr>
          <w:rFonts w:hint="eastAsia"/>
          <w:color w:val="000000"/>
          <w:sz w:val="24"/>
          <w:highlight w:val="none"/>
        </w:rPr>
        <w:t xml:space="preserve">采购人</w:t>
      </w:r>
      <w:r>
        <w:rPr>
          <w:color w:val="000000"/>
          <w:sz w:val="24"/>
          <w:highlight w:val="none"/>
        </w:rPr>
        <w:t xml:space="preserve">、采购代理机构、投标人</w:t>
      </w:r>
      <w:bookmarkEnd w:id="122"/>
      <w:r/>
      <w:bookmarkEnd w:id="123"/>
      <w:r/>
      <w:bookmarkEnd w:id="124"/>
      <w:r/>
      <w:bookmarkEnd w:id="125"/>
      <w:r>
        <w:rPr>
          <w:rFonts w:hint="eastAsia"/>
          <w:color w:val="000000"/>
          <w:sz w:val="24"/>
          <w:highlight w:val="none"/>
        </w:rPr>
        <w:t xml:space="preserve">、联合体</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采购人</w:t>
      </w:r>
      <w:r>
        <w:rPr>
          <w:color w:val="000000"/>
          <w:sz w:val="24"/>
          <w:highlight w:val="none"/>
        </w:rPr>
        <w:t xml:space="preserve">、采购代理机构见第一章《投标邀请》。</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采购人</w:t>
      </w:r>
      <w:r>
        <w:rPr>
          <w:color w:val="000000"/>
          <w:sz w:val="24"/>
          <w:highlight w:val="none"/>
        </w:rPr>
        <w:t xml:space="preserve">提供货物、工程或者服务的法人、其他组织或者自然人。</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126" w:name="_Toc164229361"/>
      <w:r/>
      <w:bookmarkStart w:id="127" w:name="_Toc264969210"/>
      <w:r/>
      <w:bookmarkStart w:id="128" w:name="_Toc164608789"/>
      <w:r/>
      <w:bookmarkStart w:id="129" w:name="_Toc226965710"/>
      <w:r/>
      <w:bookmarkStart w:id="130" w:name="_Toc305158788"/>
      <w:r/>
      <w:bookmarkStart w:id="131" w:name="_Toc265228358"/>
      <w:r/>
      <w:bookmarkStart w:id="132" w:name="_Toc226337216"/>
      <w:r/>
      <w:bookmarkStart w:id="133" w:name="_Toc164229215"/>
      <w:r/>
      <w:bookmarkStart w:id="134" w:name="_Toc151193618"/>
      <w:r/>
      <w:bookmarkStart w:id="135" w:name="_Toc164608634"/>
      <w:r/>
      <w:bookmarkStart w:id="136" w:name="_Toc226965793"/>
      <w:r/>
      <w:bookmarkStart w:id="137" w:name="_Toc151193908"/>
      <w:r/>
      <w:bookmarkStart w:id="138" w:name="_Toc150774725"/>
      <w:r/>
      <w:bookmarkStart w:id="139" w:name="_Toc142311022"/>
      <w:r/>
      <w:bookmarkStart w:id="140" w:name="_Toc151190147"/>
      <w:r/>
      <w:bookmarkStart w:id="141" w:name="_Toc127161434"/>
      <w:r/>
      <w:bookmarkStart w:id="142" w:name="_Toc164351614"/>
      <w:r/>
      <w:bookmarkStart w:id="143" w:name="_Toc127151721"/>
      <w:r/>
      <w:bookmarkStart w:id="144" w:name="_Toc305158862"/>
      <w:r/>
      <w:bookmarkStart w:id="145" w:name="_Toc226309764"/>
      <w:r/>
      <w:bookmarkStart w:id="146" w:name="_Toc150480758"/>
      <w:r/>
      <w:bookmarkStart w:id="147" w:name="_Toc151193690"/>
      <w:r/>
      <w:bookmarkStart w:id="148" w:name="_Toc150509271"/>
      <w:r/>
      <w:bookmarkStart w:id="149" w:name="_Toc151193834"/>
      <w:r/>
      <w:bookmarkStart w:id="150" w:name="_Toc127151520"/>
      <w:r/>
      <w:bookmarkStart w:id="151" w:name="_Toc195842885"/>
      <w:r/>
      <w:bookmarkStart w:id="152" w:name="_Toc149720813"/>
      <w:r/>
      <w:bookmarkStart w:id="153" w:name="_Toc150774620"/>
      <w:r/>
      <w:bookmarkStart w:id="154" w:name="_Toc151193762"/>
      <w:r>
        <w:rPr>
          <w:color w:val="000000"/>
          <w:sz w:val="24"/>
          <w:highlight w:val="none"/>
        </w:rPr>
        <w:t xml:space="preserve">资金来源</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color w:val="000000"/>
          <w:sz w:val="24"/>
          <w:highlight w:val="none"/>
        </w:rPr>
        <w:t xml:space="preserve">、项目属性、科研仪器设备采购、核心产品</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5" w:name="_Toc127151522"/>
      <w:r/>
      <w:bookmarkStart w:id="156" w:name="_Toc226965712"/>
      <w:r/>
      <w:bookmarkStart w:id="157" w:name="_Toc151193910"/>
      <w:r/>
      <w:bookmarkStart w:id="158" w:name="_Toc150774622"/>
      <w:r/>
      <w:bookmarkStart w:id="159" w:name="_Toc226965795"/>
      <w:r/>
      <w:bookmarkStart w:id="160" w:name="_Toc151193836"/>
      <w:r/>
      <w:bookmarkStart w:id="161" w:name="_Toc142311024"/>
      <w:r/>
      <w:bookmarkStart w:id="162" w:name="_Toc305158790"/>
      <w:r/>
      <w:bookmarkStart w:id="163" w:name="_Toc195842887"/>
      <w:r/>
      <w:bookmarkStart w:id="164" w:name="_Toc305158864"/>
      <w:r/>
      <w:bookmarkStart w:id="165" w:name="_Toc151190149"/>
      <w:r/>
      <w:bookmarkStart w:id="166" w:name="_Toc226337218"/>
      <w:r/>
      <w:bookmarkStart w:id="167" w:name="_Toc150480760"/>
      <w:r/>
      <w:bookmarkStart w:id="168" w:name="_Toc264969212"/>
      <w:r/>
      <w:bookmarkStart w:id="169" w:name="_Toc150509273"/>
      <w:r/>
      <w:bookmarkStart w:id="170" w:name="_Toc150774727"/>
      <w:r/>
      <w:bookmarkStart w:id="171" w:name="_Toc520356146"/>
      <w:r/>
      <w:bookmarkStart w:id="172" w:name="_Toc151193764"/>
      <w:r/>
      <w:bookmarkStart w:id="173" w:name="_Toc226309766"/>
      <w:r/>
      <w:bookmarkStart w:id="174" w:name="_Toc151193692"/>
      <w:r/>
      <w:bookmarkStart w:id="175" w:name="_Toc151193620"/>
      <w:r/>
      <w:bookmarkStart w:id="176" w:name="_Toc265228360"/>
      <w:r>
        <w:rPr>
          <w:color w:val="000000"/>
          <w:sz w:val="28"/>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04"/>
        <w:numPr>
          <w:ilvl w:val="1"/>
          <w:numId w:val="10"/>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04"/>
        <w:numPr>
          <w:ilvl w:val="2"/>
          <w:numId w:val="10"/>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004"/>
        <w:numPr>
          <w:ilvl w:val="2"/>
          <w:numId w:val="10"/>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04"/>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04"/>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04"/>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04"/>
        <w:numPr>
          <w:ilvl w:val="2"/>
          <w:numId w:val="10"/>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04"/>
        <w:numPr>
          <w:ilvl w:val="2"/>
          <w:numId w:val="10"/>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04"/>
        <w:numPr>
          <w:ilvl w:val="2"/>
          <w:numId w:val="10"/>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04"/>
        <w:numPr>
          <w:ilvl w:val="2"/>
          <w:numId w:val="10"/>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0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0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1004"/>
        <w:numPr>
          <w:ilvl w:val="2"/>
          <w:numId w:val="10"/>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04"/>
        <w:numPr>
          <w:ilvl w:val="2"/>
          <w:numId w:val="10"/>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04"/>
        <w:numPr>
          <w:ilvl w:val="2"/>
          <w:numId w:val="10"/>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04"/>
        <w:numPr>
          <w:ilvl w:val="2"/>
          <w:numId w:val="10"/>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拟采购的产品属于品目清单范围的，</w:t>
      </w:r>
      <w:r>
        <w:rPr>
          <w:rFonts w:hint="eastAsia"/>
          <w:color w:val="000000"/>
          <w:sz w:val="24"/>
          <w:highlight w:val="none"/>
        </w:rPr>
        <w:t xml:space="preserve">采购人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2"/>
          <w:numId w:val="10"/>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04"/>
        <w:numPr>
          <w:ilvl w:val="2"/>
          <w:numId w:val="10"/>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04"/>
        <w:numPr>
          <w:ilvl w:val="2"/>
          <w:numId w:val="10"/>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04"/>
        <w:numPr>
          <w:ilvl w:val="1"/>
          <w:numId w:val="10"/>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1004"/>
        <w:numPr>
          <w:ilvl w:val="2"/>
          <w:numId w:val="10"/>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04"/>
        <w:numPr>
          <w:ilvl w:val="1"/>
          <w:numId w:val="10"/>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004"/>
        <w:numPr>
          <w:ilvl w:val="2"/>
          <w:numId w:val="10"/>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035"/>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004"/>
        <w:numPr>
          <w:ilvl w:val="2"/>
          <w:numId w:val="10"/>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1004"/>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1004"/>
        <w:numPr>
          <w:ilvl w:val="2"/>
          <w:numId w:val="10"/>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1035"/>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1004"/>
        <w:numPr>
          <w:ilvl w:val="1"/>
          <w:numId w:val="10"/>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004"/>
        <w:numPr>
          <w:ilvl w:val="2"/>
          <w:numId w:val="10"/>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004"/>
        <w:numPr>
          <w:ilvl w:val="2"/>
          <w:numId w:val="10"/>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采购人</w:t>
      </w:r>
      <w:r>
        <w:rPr>
          <w:color w:val="000000"/>
          <w:sz w:val="24"/>
          <w:highlight w:val="none"/>
        </w:rPr>
        <w:t xml:space="preserve">或采购代理机构在任何情况下均无承担这些费用的义务和责任。</w:t>
      </w:r>
      <w:r>
        <w:rPr>
          <w:color w:val="000000"/>
          <w:sz w:val="24"/>
          <w:highlight w:val="none"/>
        </w:rPr>
      </w:r>
      <w:r/>
    </w:p>
    <w:p>
      <w:pPr>
        <w:pStyle w:val="1004"/>
        <w:ind w:left="1080"/>
        <w:spacing w:line="360" w:lineRule="auto"/>
        <w:tabs>
          <w:tab w:val="left" w:pos="1080" w:leader="none"/>
        </w:tabs>
        <w:rPr>
          <w:color w:val="000000"/>
          <w:sz w:val="28"/>
          <w:highlight w:val="none"/>
        </w:rPr>
      </w:pPr>
      <w:r/>
      <w:bookmarkStart w:id="177" w:name="_1.8_计量单位"/>
      <w:r/>
      <w:bookmarkEnd w:id="177"/>
      <w:r>
        <w:rPr>
          <w:color w:val="000000"/>
          <w:sz w:val="28"/>
          <w:highlight w:val="none"/>
        </w:rPr>
      </w:r>
      <w:r/>
    </w:p>
    <w:p>
      <w:pPr>
        <w:pStyle w:val="100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8" w:name="_Toc305158791"/>
      <w:r/>
      <w:bookmarkStart w:id="179" w:name="_Toc305158865"/>
      <w:r/>
      <w:bookmarkStart w:id="180" w:name="_Toc164608637"/>
      <w:r/>
      <w:bookmarkStart w:id="181" w:name="_Toc195842888"/>
      <w:r/>
      <w:bookmarkStart w:id="182" w:name="_Toc520356147"/>
      <w:r/>
      <w:bookmarkStart w:id="183" w:name="_Toc164229364"/>
      <w:r/>
      <w:bookmarkStart w:id="184" w:name="_Toc164608792"/>
      <w:r/>
      <w:bookmarkStart w:id="185" w:name="_Toc151190150"/>
      <w:r/>
      <w:bookmarkStart w:id="186" w:name="_Toc150774728"/>
      <w:r/>
      <w:bookmarkStart w:id="187" w:name="_Toc151193765"/>
      <w:r/>
      <w:bookmarkStart w:id="188" w:name="_Toc226965796"/>
      <w:r/>
      <w:bookmarkStart w:id="189" w:name="_Toc142311025"/>
      <w:r/>
      <w:bookmarkStart w:id="190" w:name="_Toc150480761"/>
      <w:r/>
      <w:bookmarkStart w:id="191" w:name="_Toc149720816"/>
      <w:r/>
      <w:bookmarkStart w:id="192" w:name="_Toc164229218"/>
      <w:r/>
      <w:bookmarkStart w:id="193" w:name="_Toc151193621"/>
      <w:r/>
      <w:bookmarkStart w:id="194" w:name="_Toc264969213"/>
      <w:r/>
      <w:bookmarkStart w:id="195" w:name="_Toc265228361"/>
      <w:r/>
      <w:bookmarkStart w:id="196" w:name="_Toc226309767"/>
      <w:r/>
      <w:bookmarkStart w:id="197" w:name="_Toc151193911"/>
      <w:r/>
      <w:bookmarkStart w:id="198" w:name="_Toc127161437"/>
      <w:r/>
      <w:bookmarkStart w:id="199" w:name="_Toc226965713"/>
      <w:r/>
      <w:bookmarkStart w:id="200" w:name="_Toc151193837"/>
      <w:r/>
      <w:bookmarkStart w:id="201" w:name="_Toc127151523"/>
      <w:r/>
      <w:bookmarkStart w:id="202" w:name="_Toc127151724"/>
      <w:r/>
      <w:bookmarkStart w:id="203" w:name="_Toc164351617"/>
      <w:r/>
      <w:bookmarkStart w:id="204" w:name="_Toc151193693"/>
      <w:r/>
      <w:bookmarkStart w:id="205" w:name="_Toc150509274"/>
      <w:r/>
      <w:bookmarkStart w:id="206" w:name="_Toc226337219"/>
      <w:r/>
      <w:bookmarkStart w:id="207" w:name="_Toc150774623"/>
      <w:r>
        <w:rPr>
          <w:color w:val="000000"/>
          <w:sz w:val="24"/>
          <w:highlight w:val="none"/>
        </w:rPr>
        <w:t xml:space="preserve">招标文件构</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color w:val="000000"/>
          <w:sz w:val="24"/>
          <w:highlight w:val="none"/>
        </w:rPr>
        <w:t xml:space="preserve">成</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04"/>
        <w:numPr>
          <w:ilvl w:val="1"/>
          <w:numId w:val="10"/>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04"/>
        <w:numPr>
          <w:ilvl w:val="1"/>
          <w:numId w:val="10"/>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06"/>
        <w:spacing w:before="0" w:line="360" w:lineRule="auto"/>
        <w:rPr>
          <w:rFonts w:ascii="Times New Roman" w:hAnsi="Times New Roman" w:eastAsia="宋体"/>
          <w:color w:val="000000"/>
          <w:sz w:val="28"/>
          <w:highlight w:val="none"/>
        </w:rPr>
      </w:pPr>
      <w:r/>
      <w:bookmarkStart w:id="208" w:name="_Toc516367020"/>
      <w:r/>
      <w:bookmarkStart w:id="209" w:name="_Toc305158868"/>
      <w:r/>
      <w:bookmarkStart w:id="210" w:name="_Toc151190153"/>
      <w:r/>
      <w:bookmarkStart w:id="211" w:name="_Toc305158794"/>
      <w:r/>
      <w:bookmarkStart w:id="212" w:name="_Toc142311028"/>
      <w:r/>
      <w:bookmarkStart w:id="213" w:name="_Toc264969216"/>
      <w:r/>
      <w:bookmarkStart w:id="214" w:name="_Toc151193914"/>
      <w:r/>
      <w:bookmarkStart w:id="215" w:name="_Toc151193624"/>
      <w:r/>
      <w:bookmarkStart w:id="216" w:name="_Toc265228364"/>
      <w:r/>
      <w:bookmarkStart w:id="217" w:name="_Toc226965716"/>
      <w:r/>
      <w:bookmarkStart w:id="218" w:name="_Toc150774731"/>
      <w:r/>
      <w:bookmarkStart w:id="219" w:name="_Toc151193696"/>
      <w:r/>
      <w:bookmarkStart w:id="220" w:name="_Toc520356150"/>
      <w:r/>
      <w:bookmarkStart w:id="221" w:name="_Toc127151526"/>
      <w:r/>
      <w:bookmarkStart w:id="222" w:name="_Toc226309770"/>
      <w:r/>
      <w:bookmarkStart w:id="223" w:name="_Toc150480764"/>
      <w:r/>
      <w:bookmarkStart w:id="224" w:name="_Toc151193840"/>
      <w:r/>
      <w:bookmarkStart w:id="225" w:name="_Toc151193768"/>
      <w:r/>
      <w:bookmarkStart w:id="226" w:name="_Toc150774626"/>
      <w:r/>
      <w:bookmarkStart w:id="227" w:name="_Toc226337222"/>
      <w:r/>
      <w:bookmarkStart w:id="228" w:name="_Toc226965799"/>
      <w:r/>
      <w:bookmarkStart w:id="229" w:name="_Toc195842891"/>
      <w:r/>
      <w:bookmarkStart w:id="230" w:name="_Toc150509277"/>
      <w:r>
        <w:rPr>
          <w:rFonts w:ascii="Times New Roman" w:hAnsi="Times New Roman" w:eastAsia="宋体"/>
          <w:color w:val="000000"/>
          <w:sz w:val="28"/>
          <w:highlight w:val="none"/>
        </w:rPr>
        <w:t xml:space="preserve">三   投标文件</w:t>
      </w:r>
      <w:bookmarkEnd w:id="208"/>
      <w:r>
        <w:rPr>
          <w:rFonts w:ascii="Times New Roman" w:hAnsi="Times New Roman" w:eastAsia="宋体"/>
          <w:color w:val="000000"/>
          <w:sz w:val="28"/>
          <w:highlight w:val="none"/>
        </w:rPr>
        <w:t xml:space="preserve">的编制</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1" w:name="_Toc516367021"/>
      <w:r/>
      <w:bookmarkStart w:id="232" w:name="_Toc195842892"/>
      <w:r/>
      <w:bookmarkStart w:id="233" w:name="_Toc164229222"/>
      <w:r/>
      <w:bookmarkStart w:id="234" w:name="_Toc127161441"/>
      <w:r/>
      <w:bookmarkStart w:id="235" w:name="_Toc151190154"/>
      <w:r/>
      <w:bookmarkStart w:id="236" w:name="_Toc226965717"/>
      <w:r/>
      <w:bookmarkStart w:id="237" w:name="_Toc265228365"/>
      <w:r/>
      <w:bookmarkStart w:id="238" w:name="_Toc151193841"/>
      <w:r/>
      <w:bookmarkStart w:id="239" w:name="_Toc226337223"/>
      <w:r/>
      <w:bookmarkStart w:id="240" w:name="_Toc226309771"/>
      <w:r/>
      <w:bookmarkStart w:id="241" w:name="_Toc150480765"/>
      <w:r/>
      <w:bookmarkStart w:id="242" w:name="_Toc149720820"/>
      <w:r/>
      <w:bookmarkStart w:id="243" w:name="_Toc151193697"/>
      <w:r/>
      <w:bookmarkStart w:id="244" w:name="_Toc127151527"/>
      <w:r/>
      <w:bookmarkStart w:id="245" w:name="_Toc150509278"/>
      <w:r/>
      <w:bookmarkStart w:id="246" w:name="_Toc164608796"/>
      <w:r/>
      <w:bookmarkStart w:id="247" w:name="_Toc305158795"/>
      <w:r/>
      <w:bookmarkStart w:id="248" w:name="_Toc226965800"/>
      <w:r/>
      <w:bookmarkStart w:id="249" w:name="_Toc151193625"/>
      <w:r/>
      <w:bookmarkStart w:id="250" w:name="_Toc151193915"/>
      <w:r/>
      <w:bookmarkStart w:id="251" w:name="_Toc151193769"/>
      <w:r/>
      <w:bookmarkStart w:id="252" w:name="_Toc164608641"/>
      <w:r/>
      <w:bookmarkStart w:id="253" w:name="_Toc164351621"/>
      <w:r/>
      <w:bookmarkStart w:id="254" w:name="_Toc520356151"/>
      <w:r/>
      <w:bookmarkStart w:id="255" w:name="_Toc150774732"/>
      <w:r/>
      <w:bookmarkStart w:id="256" w:name="_Toc142311029"/>
      <w:r/>
      <w:bookmarkStart w:id="257" w:name="_Toc127151728"/>
      <w:r/>
      <w:bookmarkStart w:id="258" w:name="_Toc305158869"/>
      <w:r/>
      <w:bookmarkStart w:id="259" w:name="_Toc264969217"/>
      <w:r/>
      <w:bookmarkStart w:id="260" w:name="_Toc150774627"/>
      <w:r/>
      <w:bookmarkStart w:id="261" w:name="_Toc164229368"/>
      <w:r>
        <w:rPr>
          <w:color w:val="000000"/>
          <w:sz w:val="24"/>
          <w:highlight w:val="none"/>
        </w:rPr>
        <w:t xml:space="preserve">投标范围、投标文件中计量单位的使用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color w:val="000000"/>
          <w:sz w:val="24"/>
          <w:highlight w:val="none"/>
        </w:rPr>
        <w:t xml:space="preserve">及投标语言</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2" w:name="_Toc226965801"/>
      <w:r/>
      <w:bookmarkStart w:id="263" w:name="_Toc142311030"/>
      <w:r/>
      <w:bookmarkStart w:id="264" w:name="_Toc195842893"/>
      <w:r/>
      <w:bookmarkStart w:id="265" w:name="_Toc150774628"/>
      <w:r/>
      <w:bookmarkStart w:id="266" w:name="_Toc127151528"/>
      <w:r/>
      <w:bookmarkStart w:id="267" w:name="_Toc127161442"/>
      <w:r/>
      <w:bookmarkStart w:id="268" w:name="_Toc150509279"/>
      <w:r/>
      <w:bookmarkStart w:id="269" w:name="_Toc516367022"/>
      <w:r/>
      <w:bookmarkStart w:id="270" w:name="_Ref467306676"/>
      <w:r/>
      <w:bookmarkStart w:id="271" w:name="_Ref467306195"/>
      <w:r/>
      <w:bookmarkStart w:id="272" w:name="_Toc264969218"/>
      <w:r/>
      <w:bookmarkStart w:id="273" w:name="_Toc164229223"/>
      <w:r/>
      <w:bookmarkStart w:id="274" w:name="_Toc151193842"/>
      <w:r/>
      <w:bookmarkStart w:id="275" w:name="_Toc164229369"/>
      <w:r/>
      <w:bookmarkStart w:id="276" w:name="_Toc226309772"/>
      <w:r/>
      <w:bookmarkStart w:id="277" w:name="_Toc151190155"/>
      <w:r/>
      <w:bookmarkStart w:id="278" w:name="_Toc226965718"/>
      <w:r/>
      <w:bookmarkStart w:id="279" w:name="_Toc127151729"/>
      <w:r/>
      <w:bookmarkStart w:id="280" w:name="_Toc265228366"/>
      <w:r/>
      <w:bookmarkStart w:id="281" w:name="_Toc149720821"/>
      <w:r/>
      <w:bookmarkStart w:id="282" w:name="_Toc151193770"/>
      <w:r/>
      <w:bookmarkStart w:id="283" w:name="_Toc164351622"/>
      <w:r/>
      <w:bookmarkStart w:id="284" w:name="_Toc150774733"/>
      <w:r/>
      <w:bookmarkStart w:id="285" w:name="_Toc305158870"/>
      <w:r/>
      <w:bookmarkStart w:id="286" w:name="_Toc226337224"/>
      <w:r/>
      <w:bookmarkStart w:id="287" w:name="_Toc151193916"/>
      <w:r/>
      <w:bookmarkStart w:id="288" w:name="_Toc305158796"/>
      <w:r/>
      <w:bookmarkStart w:id="289" w:name="_Toc164608642"/>
      <w:r/>
      <w:bookmarkStart w:id="290" w:name="_Toc151193698"/>
      <w:r/>
      <w:bookmarkStart w:id="291" w:name="_Toc164608797"/>
      <w:r/>
      <w:bookmarkStart w:id="292" w:name="_Toc150480766"/>
      <w:r/>
      <w:bookmarkStart w:id="293" w:name="_Toc151193626"/>
      <w:r/>
      <w:bookmarkStart w:id="294" w:name="_Toc520356152"/>
      <w:r>
        <w:rPr>
          <w:color w:val="000000"/>
          <w:sz w:val="24"/>
          <w:highlight w:val="none"/>
        </w:rPr>
        <w:t xml:space="preserve">投标文件</w:t>
      </w:r>
      <w:bookmarkEnd w:id="269"/>
      <w:r/>
      <w:bookmarkEnd w:id="270"/>
      <w:r/>
      <w:bookmarkEnd w:id="271"/>
      <w:r>
        <w:rPr>
          <w:color w:val="000000"/>
          <w:sz w:val="24"/>
          <w:highlight w:val="none"/>
        </w:rPr>
        <w:t xml:space="preserve">构成</w:t>
      </w:r>
      <w:bookmarkEnd w:id="262"/>
      <w:r/>
      <w:bookmarkEnd w:id="263"/>
      <w:r/>
      <w:bookmarkEnd w:id="264"/>
      <w:r/>
      <w:bookmarkEnd w:id="265"/>
      <w:r/>
      <w:bookmarkEnd w:id="266"/>
      <w:r/>
      <w:bookmarkEnd w:id="267"/>
      <w:r/>
      <w:bookmarkEnd w:id="268"/>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5"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5"/>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6" w:name="_Toc151193700"/>
      <w:r/>
      <w:bookmarkStart w:id="297" w:name="_Toc195842895"/>
      <w:r/>
      <w:bookmarkStart w:id="298" w:name="_Toc164229371"/>
      <w:r/>
      <w:bookmarkStart w:id="299" w:name="_Toc164608799"/>
      <w:r/>
      <w:bookmarkStart w:id="300" w:name="_Toc151190157"/>
      <w:r/>
      <w:bookmarkStart w:id="301" w:name="_Toc149720823"/>
      <w:r/>
      <w:bookmarkStart w:id="302" w:name="_Toc520356155"/>
      <w:r/>
      <w:bookmarkStart w:id="303" w:name="_Toc151193918"/>
      <w:r/>
      <w:bookmarkStart w:id="304" w:name="_Toc127151731"/>
      <w:r/>
      <w:bookmarkStart w:id="305" w:name="_Toc164229225"/>
      <w:r/>
      <w:bookmarkStart w:id="306" w:name="_Toc150509281"/>
      <w:r/>
      <w:bookmarkStart w:id="307" w:name="_Toc142311032"/>
      <w:r/>
      <w:bookmarkStart w:id="308" w:name="_Toc127161444"/>
      <w:r/>
      <w:bookmarkStart w:id="309" w:name="_Toc151193628"/>
      <w:r/>
      <w:bookmarkStart w:id="310" w:name="_Toc127151530"/>
      <w:r/>
      <w:bookmarkStart w:id="311" w:name="_Toc164351624"/>
      <w:r/>
      <w:bookmarkStart w:id="312" w:name="_Toc150480768"/>
      <w:r/>
      <w:bookmarkStart w:id="313" w:name="_Toc151193772"/>
      <w:r/>
      <w:bookmarkStart w:id="314" w:name="_Toc164608644"/>
      <w:r/>
      <w:bookmarkStart w:id="315" w:name="_Toc151193844"/>
      <w:r/>
      <w:bookmarkStart w:id="316" w:name="_Toc150774735"/>
      <w:r/>
      <w:bookmarkStart w:id="317" w:name="_Toc150774630"/>
      <w:r>
        <w:rPr>
          <w:color w:val="000000"/>
          <w:sz w:val="24"/>
          <w:highlight w:val="none"/>
        </w:rPr>
        <w:t xml:space="preserve">投标报价</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w:t>
      </w:r>
      <w:r>
        <w:rPr>
          <w:rFonts w:hint="eastAsia"/>
          <w:color w:val="000000"/>
          <w:sz w:val="24"/>
          <w:highlight w:val="none"/>
        </w:rPr>
        <w:t xml:space="preserve">采购人</w:t>
      </w:r>
      <w:r>
        <w:rPr>
          <w:color w:val="000000"/>
          <w:sz w:val="24"/>
          <w:highlight w:val="none"/>
        </w:rPr>
        <w:t xml:space="preserve">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8" w:name="_Toc265228369"/>
      <w:r/>
      <w:bookmarkStart w:id="319" w:name="_Toc195842896"/>
      <w:r/>
      <w:bookmarkStart w:id="320" w:name="_Toc164229226"/>
      <w:r/>
      <w:bookmarkStart w:id="321" w:name="_Toc305158799"/>
      <w:r/>
      <w:bookmarkStart w:id="322" w:name="_Toc150774736"/>
      <w:r/>
      <w:bookmarkStart w:id="323" w:name="_Toc226309775"/>
      <w:r/>
      <w:bookmarkStart w:id="324" w:name="_Toc164351625"/>
      <w:r/>
      <w:bookmarkStart w:id="325" w:name="_Toc305158873"/>
      <w:r/>
      <w:bookmarkStart w:id="326" w:name="_Toc142311033"/>
      <w:r/>
      <w:bookmarkStart w:id="327" w:name="_Toc226965721"/>
      <w:r/>
      <w:bookmarkStart w:id="328" w:name="_Toc127151732"/>
      <w:r/>
      <w:bookmarkStart w:id="329" w:name="_Toc151193845"/>
      <w:r/>
      <w:bookmarkStart w:id="330" w:name="_Toc151193919"/>
      <w:r/>
      <w:bookmarkStart w:id="331" w:name="_Toc264969221"/>
      <w:r/>
      <w:bookmarkStart w:id="332" w:name="_Toc164229372"/>
      <w:r/>
      <w:bookmarkStart w:id="333" w:name="_Toc226337227"/>
      <w:r/>
      <w:bookmarkStart w:id="334" w:name="_Toc150509282"/>
      <w:r/>
      <w:bookmarkStart w:id="335" w:name="_Toc149720824"/>
      <w:r/>
      <w:bookmarkStart w:id="336" w:name="_Toc151193629"/>
      <w:r/>
      <w:bookmarkStart w:id="337" w:name="_Toc150480769"/>
      <w:r/>
      <w:bookmarkStart w:id="338" w:name="_Toc164608800"/>
      <w:r/>
      <w:bookmarkStart w:id="339" w:name="_Toc151193701"/>
      <w:r/>
      <w:bookmarkStart w:id="340" w:name="_Toc226965804"/>
      <w:r/>
      <w:bookmarkStart w:id="341" w:name="_Toc164608645"/>
      <w:r/>
      <w:bookmarkStart w:id="342" w:name="_Toc127151531"/>
      <w:r/>
      <w:bookmarkStart w:id="343" w:name="_Toc150774631"/>
      <w:r/>
      <w:bookmarkStart w:id="344" w:name="_Ref467306513"/>
      <w:r/>
      <w:bookmarkStart w:id="345" w:name="_Toc151190158"/>
      <w:r/>
      <w:bookmarkStart w:id="346" w:name="_Toc151193773"/>
      <w:r/>
      <w:bookmarkStart w:id="347" w:name="_Toc127161445"/>
      <w:r/>
      <w:bookmarkStart w:id="348" w:name="_Toc520356156"/>
      <w:r>
        <w:rPr>
          <w:color w:val="000000"/>
          <w:sz w:val="24"/>
          <w:highlight w:val="none"/>
        </w:rPr>
        <w:t xml:space="preserve">投标保证金</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color w:val="000000"/>
          <w:sz w:val="24"/>
          <w:highlight w:val="none"/>
        </w:rPr>
        <w:t xml:space="preserve"> </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9" w:name="_Toc149720825"/>
      <w:r/>
      <w:bookmarkStart w:id="350" w:name="_Toc127151532"/>
      <w:r/>
      <w:bookmarkStart w:id="351" w:name="_Toc264969222"/>
      <w:r/>
      <w:bookmarkStart w:id="352" w:name="_Toc151193630"/>
      <w:r/>
      <w:bookmarkStart w:id="353" w:name="_Toc226965805"/>
      <w:r/>
      <w:bookmarkStart w:id="354" w:name="_Toc150774737"/>
      <w:r/>
      <w:bookmarkStart w:id="355" w:name="_Toc151193920"/>
      <w:r/>
      <w:bookmarkStart w:id="356" w:name="_Toc226965722"/>
      <w:r/>
      <w:bookmarkStart w:id="357" w:name="_Toc151193774"/>
      <w:r/>
      <w:bookmarkStart w:id="358" w:name="_Toc226337228"/>
      <w:r/>
      <w:bookmarkStart w:id="359" w:name="_Toc150480770"/>
      <w:r/>
      <w:bookmarkStart w:id="360" w:name="_Toc151193702"/>
      <w:r/>
      <w:bookmarkStart w:id="361" w:name="_Toc305158800"/>
      <w:r/>
      <w:bookmarkStart w:id="362" w:name="_Toc127161446"/>
      <w:r/>
      <w:bookmarkStart w:id="363" w:name="_Toc164229373"/>
      <w:r/>
      <w:bookmarkStart w:id="364" w:name="_Toc164351626"/>
      <w:r/>
      <w:bookmarkStart w:id="365" w:name="_Toc520356157"/>
      <w:r/>
      <w:bookmarkStart w:id="366" w:name="_Toc195842897"/>
      <w:r/>
      <w:bookmarkStart w:id="367" w:name="_Toc226309776"/>
      <w:r/>
      <w:bookmarkStart w:id="368" w:name="_Toc150774632"/>
      <w:r/>
      <w:bookmarkStart w:id="369" w:name="_Toc151190159"/>
      <w:r/>
      <w:bookmarkStart w:id="370" w:name="_Toc164608801"/>
      <w:r/>
      <w:bookmarkStart w:id="371" w:name="_Toc150509283"/>
      <w:r/>
      <w:bookmarkStart w:id="372" w:name="_Toc142311034"/>
      <w:r/>
      <w:bookmarkStart w:id="373" w:name="_Toc127151733"/>
      <w:r/>
      <w:bookmarkStart w:id="374" w:name="_Toc164608646"/>
      <w:r/>
      <w:bookmarkStart w:id="375" w:name="_Toc151193846"/>
      <w:r/>
      <w:bookmarkStart w:id="376" w:name="_Toc164229227"/>
      <w:r/>
      <w:bookmarkStart w:id="377" w:name="_Toc265228370"/>
      <w:r/>
      <w:bookmarkStart w:id="378" w:name="_Toc305158874"/>
      <w:r>
        <w:rPr>
          <w:color w:val="000000"/>
          <w:sz w:val="24"/>
          <w:highlight w:val="none"/>
        </w:rPr>
        <w:t xml:space="preserve">投标有效期</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9" w:name="_Toc164608802"/>
      <w:r/>
      <w:bookmarkStart w:id="380" w:name="_Toc151193703"/>
      <w:r/>
      <w:bookmarkStart w:id="381" w:name="_Toc164229228"/>
      <w:r/>
      <w:bookmarkStart w:id="382" w:name="_Toc151193921"/>
      <w:r/>
      <w:bookmarkStart w:id="383" w:name="_Toc151190160"/>
      <w:r/>
      <w:bookmarkStart w:id="384" w:name="_Toc226965723"/>
      <w:r/>
      <w:bookmarkStart w:id="385" w:name="_Toc150774633"/>
      <w:r/>
      <w:bookmarkStart w:id="386" w:name="_Toc164608647"/>
      <w:r/>
      <w:bookmarkStart w:id="387" w:name="_Toc150774738"/>
      <w:r/>
      <w:bookmarkStart w:id="388" w:name="_Toc520356158"/>
      <w:r/>
      <w:bookmarkStart w:id="389" w:name="_Toc226309777"/>
      <w:r/>
      <w:bookmarkStart w:id="390" w:name="_Toc127161447"/>
      <w:r/>
      <w:bookmarkStart w:id="391" w:name="_Toc226337229"/>
      <w:r/>
      <w:bookmarkStart w:id="392" w:name="_Toc127151533"/>
      <w:r/>
      <w:bookmarkStart w:id="393" w:name="_Toc127151734"/>
      <w:r/>
      <w:bookmarkStart w:id="394" w:name="_Toc151193847"/>
      <w:r/>
      <w:bookmarkStart w:id="395" w:name="_Toc164351627"/>
      <w:r/>
      <w:bookmarkStart w:id="396" w:name="_Toc305158875"/>
      <w:r/>
      <w:bookmarkStart w:id="397" w:name="_Toc150509284"/>
      <w:r/>
      <w:bookmarkStart w:id="398" w:name="_Toc195842898"/>
      <w:r/>
      <w:bookmarkStart w:id="399" w:name="_Toc226965806"/>
      <w:r/>
      <w:bookmarkStart w:id="400" w:name="_Toc149720826"/>
      <w:r/>
      <w:bookmarkStart w:id="401" w:name="_Toc151193631"/>
      <w:r/>
      <w:bookmarkStart w:id="402" w:name="_Toc164229374"/>
      <w:r/>
      <w:bookmarkStart w:id="403" w:name="_Toc265228371"/>
      <w:r/>
      <w:bookmarkStart w:id="404" w:name="_Toc150480771"/>
      <w:r/>
      <w:bookmarkStart w:id="405" w:name="_Toc264969223"/>
      <w:r/>
      <w:bookmarkStart w:id="406" w:name="_Toc151193775"/>
      <w:r/>
      <w:bookmarkStart w:id="407" w:name="_Toc305158801"/>
      <w:r/>
      <w:bookmarkStart w:id="408" w:name="_Toc142311035"/>
      <w:r>
        <w:rPr>
          <w:color w:val="000000"/>
          <w:sz w:val="24"/>
          <w:highlight w:val="none"/>
        </w:rPr>
        <w:t xml:space="preserve">投标文件的签署</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color w:val="000000"/>
          <w:sz w:val="24"/>
          <w:highlight w:val="none"/>
        </w:rPr>
        <w:t xml:space="preserve">、加盖公章</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9" w:name="_Toc151193632"/>
      <w:r/>
      <w:bookmarkStart w:id="410" w:name="_Toc151193704"/>
      <w:r/>
      <w:bookmarkStart w:id="411" w:name="_Toc226965807"/>
      <w:r/>
      <w:bookmarkStart w:id="412" w:name="_Toc150509285"/>
      <w:r/>
      <w:bookmarkStart w:id="413" w:name="_Toc150774634"/>
      <w:r/>
      <w:bookmarkStart w:id="414" w:name="_Toc520356159"/>
      <w:r/>
      <w:bookmarkStart w:id="415" w:name="_Toc151193848"/>
      <w:r/>
      <w:bookmarkStart w:id="416" w:name="_Toc265228372"/>
      <w:r/>
      <w:bookmarkStart w:id="417" w:name="_Toc226309778"/>
      <w:r/>
      <w:bookmarkStart w:id="418" w:name="_Toc226965724"/>
      <w:r/>
      <w:bookmarkStart w:id="419" w:name="_Toc151193922"/>
      <w:r/>
      <w:bookmarkStart w:id="420" w:name="_Toc142311036"/>
      <w:r/>
      <w:bookmarkStart w:id="421" w:name="_Toc150480772"/>
      <w:r/>
      <w:bookmarkStart w:id="422" w:name="_Toc127151534"/>
      <w:r/>
      <w:bookmarkStart w:id="423" w:name="_Toc264969224"/>
      <w:r/>
      <w:bookmarkStart w:id="424" w:name="_Toc150774739"/>
      <w:r/>
      <w:bookmarkStart w:id="425" w:name="_Toc226337230"/>
      <w:r/>
      <w:bookmarkStart w:id="426" w:name="_Toc195842899"/>
      <w:r/>
      <w:bookmarkStart w:id="427" w:name="_Toc151193776"/>
      <w:r/>
      <w:bookmarkStart w:id="428" w:name="_Toc151190161"/>
      <w:r/>
      <w:bookmarkStart w:id="429" w:name="_Toc305158876"/>
      <w:r/>
      <w:bookmarkStart w:id="430" w:name="_Toc305158802"/>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004"/>
        <w:ind w:left="357"/>
        <w:spacing w:line="360" w:lineRule="auto"/>
        <w:tabs>
          <w:tab w:val="left" w:pos="900" w:leader="none"/>
          <w:tab w:val="left" w:pos="1080" w:leader="none"/>
        </w:tabs>
        <w:rPr>
          <w:color w:val="000000"/>
          <w:highlight w:val="none"/>
        </w:rPr>
      </w:pPr>
      <w:r>
        <w:rPr>
          <w:color w:val="000000"/>
          <w:highlight w:val="none"/>
        </w:rPr>
      </w:r>
      <w:r/>
    </w:p>
    <w:p>
      <w:pPr>
        <w:pStyle w:val="100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431" w:name="_Toc127151736"/>
      <w:r/>
      <w:bookmarkStart w:id="432" w:name="_Toc151193777"/>
      <w:r/>
      <w:bookmarkStart w:id="433" w:name="_Toc150774740"/>
      <w:r/>
      <w:bookmarkStart w:id="434" w:name="_Toc264969225"/>
      <w:r/>
      <w:bookmarkStart w:id="435" w:name="_Toc151193633"/>
      <w:r/>
      <w:bookmarkStart w:id="436" w:name="_Toc164229376"/>
      <w:r/>
      <w:bookmarkStart w:id="437" w:name="_Toc150480773"/>
      <w:r/>
      <w:bookmarkStart w:id="438" w:name="_Toc226309779"/>
      <w:r/>
      <w:bookmarkStart w:id="439" w:name="_Toc164608649"/>
      <w:r/>
      <w:bookmarkStart w:id="440" w:name="_Toc127151535"/>
      <w:r/>
      <w:bookmarkStart w:id="441" w:name="_Toc127161449"/>
      <w:r/>
      <w:bookmarkStart w:id="442" w:name="_Toc226965808"/>
      <w:r/>
      <w:bookmarkStart w:id="443" w:name="_Toc520356160"/>
      <w:r/>
      <w:bookmarkStart w:id="444" w:name="_Toc151193849"/>
      <w:r/>
      <w:bookmarkStart w:id="445" w:name="_Toc142311037"/>
      <w:r/>
      <w:bookmarkStart w:id="446" w:name="_Toc164351629"/>
      <w:r/>
      <w:bookmarkStart w:id="447" w:name="_Toc305158803"/>
      <w:r/>
      <w:bookmarkStart w:id="448" w:name="_Toc265228373"/>
      <w:r/>
      <w:bookmarkStart w:id="449" w:name="_Toc164229230"/>
      <w:r/>
      <w:bookmarkStart w:id="450" w:name="_Toc151190162"/>
      <w:r/>
      <w:bookmarkStart w:id="451" w:name="_Toc164608804"/>
      <w:r/>
      <w:bookmarkStart w:id="452" w:name="_Toc149720828"/>
      <w:r/>
      <w:bookmarkStart w:id="453" w:name="_Toc195842900"/>
      <w:r/>
      <w:bookmarkStart w:id="454" w:name="_Toc226965725"/>
      <w:r/>
      <w:bookmarkStart w:id="455" w:name="_Toc151193923"/>
      <w:r/>
      <w:bookmarkStart w:id="456" w:name="_Toc150774635"/>
      <w:r/>
      <w:bookmarkStart w:id="457" w:name="_Toc150509286"/>
      <w:r/>
      <w:bookmarkStart w:id="458" w:name="_Toc305158877"/>
      <w:r/>
      <w:bookmarkStart w:id="459" w:name="_Toc151193705"/>
      <w:r/>
      <w:bookmarkStart w:id="460" w:name="_Toc226337231"/>
      <w:r>
        <w:rPr>
          <w:color w:val="000000"/>
          <w:sz w:val="24"/>
          <w:highlight w:val="none"/>
        </w:rPr>
        <w:t xml:space="preserve">投标文件的</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color w:val="000000"/>
          <w:sz w:val="24"/>
          <w:highlight w:val="none"/>
        </w:rPr>
        <w:t xml:space="preserve">提交</w:t>
      </w:r>
      <w:r>
        <w:rPr>
          <w:color w:val="000000"/>
          <w:sz w:val="24"/>
          <w:highlight w:val="none"/>
        </w:rPr>
      </w:r>
      <w:r/>
    </w:p>
    <w:p>
      <w:pPr>
        <w:pStyle w:val="1004"/>
        <w:numPr>
          <w:ilvl w:val="1"/>
          <w:numId w:val="10"/>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461" w:name="_Toc164229231"/>
      <w:r/>
      <w:bookmarkStart w:id="462" w:name="_Toc164229377"/>
      <w:r/>
      <w:bookmarkStart w:id="463" w:name="_Toc151193850"/>
      <w:r/>
      <w:bookmarkStart w:id="464" w:name="_Toc164608650"/>
      <w:r/>
      <w:bookmarkStart w:id="465" w:name="_Toc150774636"/>
      <w:r/>
      <w:bookmarkStart w:id="466" w:name="_Toc151190163"/>
      <w:r/>
      <w:bookmarkStart w:id="467" w:name="_Toc195842901"/>
      <w:r/>
      <w:bookmarkStart w:id="468" w:name="_Toc164608805"/>
      <w:r/>
      <w:bookmarkStart w:id="469" w:name="_Toc264969226"/>
      <w:r/>
      <w:bookmarkStart w:id="470" w:name="_Toc305158804"/>
      <w:r/>
      <w:bookmarkStart w:id="471" w:name="_Toc151193924"/>
      <w:r/>
      <w:bookmarkStart w:id="472" w:name="_Toc265228374"/>
      <w:r/>
      <w:bookmarkStart w:id="473" w:name="_Toc226309780"/>
      <w:r/>
      <w:bookmarkStart w:id="474" w:name="_Toc151193634"/>
      <w:r/>
      <w:bookmarkStart w:id="475" w:name="_Toc150480774"/>
      <w:r/>
      <w:bookmarkStart w:id="476" w:name="_Toc305158878"/>
      <w:r/>
      <w:bookmarkStart w:id="477" w:name="_Toc127161450"/>
      <w:r/>
      <w:bookmarkStart w:id="478" w:name="_Toc151193778"/>
      <w:r/>
      <w:bookmarkStart w:id="479" w:name="_Toc150509287"/>
      <w:r/>
      <w:bookmarkStart w:id="480" w:name="_Toc226965726"/>
      <w:r/>
      <w:bookmarkStart w:id="481" w:name="_Toc520356161"/>
      <w:r/>
      <w:bookmarkStart w:id="482" w:name="_Toc226965809"/>
      <w:r/>
      <w:bookmarkStart w:id="483" w:name="_Toc127151536"/>
      <w:r/>
      <w:bookmarkStart w:id="484" w:name="_Toc149720829"/>
      <w:r/>
      <w:bookmarkStart w:id="485" w:name="_Toc142311038"/>
      <w:r/>
      <w:bookmarkStart w:id="486" w:name="_Toc226337232"/>
      <w:r/>
      <w:bookmarkStart w:id="487" w:name="_Toc164351630"/>
      <w:r/>
      <w:bookmarkStart w:id="488" w:name="_Toc127151737"/>
      <w:r/>
      <w:bookmarkStart w:id="489" w:name="_Toc150774741"/>
      <w:r/>
      <w:bookmarkStart w:id="490" w:name="_Toc151193706"/>
      <w:r>
        <w:rPr>
          <w:color w:val="000000"/>
          <w:sz w:val="24"/>
          <w:highlight w:val="none"/>
        </w:rPr>
        <w:t xml:space="preserve">投标截止</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color w:val="000000"/>
          <w:sz w:val="24"/>
          <w:highlight w:val="none"/>
        </w:rPr>
        <w:t xml:space="preserve">时间</w:t>
      </w:r>
      <w:r>
        <w:rPr>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491" w:name="_Toc305158879"/>
      <w:r/>
      <w:bookmarkStart w:id="492" w:name="_Toc226337233"/>
      <w:r/>
      <w:bookmarkStart w:id="493" w:name="_Toc127151537"/>
      <w:r/>
      <w:bookmarkStart w:id="494" w:name="_Toc150480775"/>
      <w:r/>
      <w:bookmarkStart w:id="495" w:name="_Toc150774637"/>
      <w:r/>
      <w:bookmarkStart w:id="496" w:name="_Toc151193925"/>
      <w:r/>
      <w:bookmarkStart w:id="497" w:name="_Toc305158805"/>
      <w:r/>
      <w:bookmarkStart w:id="498" w:name="_Toc164608651"/>
      <w:r/>
      <w:bookmarkStart w:id="499" w:name="_Toc151193779"/>
      <w:r/>
      <w:bookmarkStart w:id="500" w:name="_Toc151193635"/>
      <w:r/>
      <w:bookmarkStart w:id="501" w:name="_Toc226965727"/>
      <w:r/>
      <w:bookmarkStart w:id="502" w:name="_Toc150774742"/>
      <w:r/>
      <w:bookmarkStart w:id="503" w:name="_Toc127151738"/>
      <w:r/>
      <w:bookmarkStart w:id="504" w:name="_Toc142311039"/>
      <w:r/>
      <w:bookmarkStart w:id="505" w:name="_Toc520356162"/>
      <w:r/>
      <w:bookmarkStart w:id="506" w:name="_Toc164608806"/>
      <w:r/>
      <w:bookmarkStart w:id="507" w:name="_Toc226965810"/>
      <w:r/>
      <w:bookmarkStart w:id="508" w:name="_Toc265228375"/>
      <w:r/>
      <w:bookmarkStart w:id="509" w:name="_Toc164351631"/>
      <w:r/>
      <w:bookmarkStart w:id="510" w:name="_Toc150509288"/>
      <w:r/>
      <w:bookmarkStart w:id="511" w:name="_Toc164229378"/>
      <w:r/>
      <w:bookmarkStart w:id="512" w:name="_Toc195842902"/>
      <w:r/>
      <w:bookmarkStart w:id="513" w:name="_Toc164229232"/>
      <w:r/>
      <w:bookmarkStart w:id="514" w:name="_Toc127161451"/>
      <w:r/>
      <w:bookmarkStart w:id="515" w:name="_Toc151193707"/>
      <w:r/>
      <w:bookmarkStart w:id="516" w:name="_Toc149720830"/>
      <w:r/>
      <w:bookmarkStart w:id="517" w:name="_Toc264969227"/>
      <w:r/>
      <w:bookmarkStart w:id="518" w:name="_Toc151190164"/>
      <w:r/>
      <w:bookmarkStart w:id="519" w:name="_Toc226309781"/>
      <w:r/>
      <w:bookmarkStart w:id="520" w:name="_Toc151193851"/>
      <w:r>
        <w:rPr>
          <w:color w:val="000000"/>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1" w:name="OLE_LINK1"/>
      <w:r/>
      <w:bookmarkStart w:id="522" w:name="OLE_LINK3"/>
      <w:r/>
      <w:bookmarkStart w:id="523" w:name="OLE_LINK2"/>
      <w:r>
        <w:rPr>
          <w:rFonts w:hint="eastAsia"/>
          <w:color w:val="000000"/>
          <w:sz w:val="24"/>
          <w:highlight w:val="none"/>
        </w:rPr>
        <w:t xml:space="preserve">补充、修改的内容与投标文件不一致的，以补充、修改的内容为准。</w:t>
      </w:r>
      <w:bookmarkEnd w:id="521"/>
      <w:r/>
      <w:bookmarkEnd w:id="522"/>
      <w:r/>
      <w:bookmarkEnd w:id="523"/>
      <w:r>
        <w:rPr>
          <w:color w:val="000000"/>
          <w:sz w:val="24"/>
          <w:highlight w:val="none"/>
        </w:rPr>
      </w:r>
      <w:r/>
    </w:p>
    <w:p>
      <w:pPr>
        <w:pStyle w:val="1004"/>
        <w:spacing w:line="360" w:lineRule="auto"/>
        <w:rPr>
          <w:color w:val="000000"/>
          <w:sz w:val="24"/>
          <w:highlight w:val="none"/>
        </w:rPr>
      </w:pPr>
      <w:r>
        <w:rPr>
          <w:color w:val="000000"/>
          <w:sz w:val="24"/>
          <w:highlight w:val="none"/>
        </w:rPr>
      </w:r>
      <w:r/>
    </w:p>
    <w:p>
      <w:pPr>
        <w:pStyle w:val="1006"/>
        <w:spacing w:before="0" w:line="360" w:lineRule="auto"/>
        <w:rPr>
          <w:rFonts w:ascii="Times New Roman" w:hAnsi="Times New Roman" w:eastAsia="宋体"/>
          <w:color w:val="000000"/>
          <w:sz w:val="28"/>
          <w:highlight w:val="none"/>
        </w:rPr>
      </w:pPr>
      <w:r/>
      <w:bookmarkStart w:id="524" w:name="_Toc151193926"/>
      <w:r/>
      <w:bookmarkStart w:id="525" w:name="_Toc305158806"/>
      <w:r/>
      <w:bookmarkStart w:id="526" w:name="_Toc226337234"/>
      <w:r/>
      <w:bookmarkStart w:id="527" w:name="_Toc150774638"/>
      <w:r/>
      <w:bookmarkStart w:id="528" w:name="_Toc265228376"/>
      <w:r/>
      <w:bookmarkStart w:id="529" w:name="_Toc127151538"/>
      <w:r/>
      <w:bookmarkStart w:id="530" w:name="_Toc150774743"/>
      <w:r/>
      <w:bookmarkStart w:id="531" w:name="_Toc151193852"/>
      <w:r/>
      <w:bookmarkStart w:id="532" w:name="_Toc226309782"/>
      <w:r/>
      <w:bookmarkStart w:id="533" w:name="_Toc226965811"/>
      <w:r/>
      <w:bookmarkStart w:id="534" w:name="_Toc305158880"/>
      <w:r/>
      <w:bookmarkStart w:id="535" w:name="_Toc226965728"/>
      <w:r/>
      <w:bookmarkStart w:id="536" w:name="_Toc150480776"/>
      <w:r/>
      <w:bookmarkStart w:id="537" w:name="_Toc520356163"/>
      <w:r/>
      <w:bookmarkStart w:id="538" w:name="_Toc151193780"/>
      <w:r/>
      <w:bookmarkStart w:id="539" w:name="_Toc151193636"/>
      <w:r/>
      <w:bookmarkStart w:id="540" w:name="_Toc195842903"/>
      <w:r/>
      <w:bookmarkStart w:id="541" w:name="_Toc151190165"/>
      <w:r/>
      <w:bookmarkStart w:id="542" w:name="_Toc264969228"/>
      <w:r/>
      <w:bookmarkStart w:id="543" w:name="_Toc142311040"/>
      <w:r/>
      <w:bookmarkStart w:id="544" w:name="_Toc150509289"/>
      <w:r/>
      <w:bookmarkStart w:id="545" w:name="_Toc151193708"/>
      <w:r>
        <w:rPr>
          <w:rFonts w:ascii="Times New Roman" w:hAnsi="Times New Roman" w:eastAsia="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6" w:name="_Toc150774744"/>
      <w:r/>
      <w:bookmarkStart w:id="547" w:name="_Toc164229234"/>
      <w:r/>
      <w:bookmarkStart w:id="548" w:name="_Toc150774639"/>
      <w:r/>
      <w:bookmarkStart w:id="549" w:name="_Toc164608808"/>
      <w:r/>
      <w:bookmarkStart w:id="550" w:name="_Toc151193709"/>
      <w:r/>
      <w:bookmarkStart w:id="551" w:name="_Toc195842904"/>
      <w:r/>
      <w:bookmarkStart w:id="552" w:name="_Toc164229380"/>
      <w:r/>
      <w:bookmarkStart w:id="553" w:name="_Toc149720832"/>
      <w:r/>
      <w:bookmarkStart w:id="554" w:name="_Toc150480777"/>
      <w:r/>
      <w:bookmarkStart w:id="555" w:name="_Toc151193781"/>
      <w:r/>
      <w:bookmarkStart w:id="556" w:name="_Toc150509290"/>
      <w:r/>
      <w:bookmarkStart w:id="557" w:name="_Toc151193853"/>
      <w:r/>
      <w:bookmarkStart w:id="558" w:name="_Toc226965729"/>
      <w:r/>
      <w:bookmarkStart w:id="559" w:name="_Toc142311041"/>
      <w:r/>
      <w:bookmarkStart w:id="560" w:name="_Toc164351633"/>
      <w:r/>
      <w:bookmarkStart w:id="561" w:name="_Toc226965812"/>
      <w:r/>
      <w:bookmarkStart w:id="562" w:name="_Toc151193927"/>
      <w:r/>
      <w:bookmarkStart w:id="563" w:name="_Toc264969229"/>
      <w:r/>
      <w:bookmarkStart w:id="564" w:name="_Toc127161453"/>
      <w:r/>
      <w:bookmarkStart w:id="565" w:name="_Toc226337235"/>
      <w:r/>
      <w:bookmarkStart w:id="566" w:name="_Toc127151740"/>
      <w:r/>
      <w:bookmarkStart w:id="567" w:name="_Toc226309783"/>
      <w:r/>
      <w:bookmarkStart w:id="568" w:name="_Toc151193637"/>
      <w:r/>
      <w:bookmarkStart w:id="569" w:name="_Toc164608653"/>
      <w:r/>
      <w:bookmarkStart w:id="570" w:name="_Toc151190166"/>
      <w:r/>
      <w:bookmarkStart w:id="571" w:name="_Toc305158881"/>
      <w:r/>
      <w:bookmarkStart w:id="572" w:name="_Toc127151539"/>
      <w:r/>
      <w:bookmarkStart w:id="573" w:name="_Toc265228377"/>
      <w:r/>
      <w:bookmarkStart w:id="574" w:name="_Toc305158807"/>
      <w:r/>
      <w:bookmarkStart w:id="575" w:name="_Toc520356164"/>
      <w:r>
        <w:rPr>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color w:val="000000"/>
          <w:sz w:val="24"/>
          <w:highlight w:val="none"/>
        </w:rPr>
      </w:r>
      <w:r/>
    </w:p>
    <w:p>
      <w:pPr>
        <w:pStyle w:val="1004"/>
        <w:numPr>
          <w:ilvl w:val="1"/>
          <w:numId w:val="10"/>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004"/>
        <w:numPr>
          <w:ilvl w:val="1"/>
          <w:numId w:val="10"/>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6" w:name="OLE_LINK34"/>
      <w:r>
        <w:rPr>
          <w:rFonts w:hint="eastAsia"/>
          <w:color w:val="000000"/>
          <w:sz w:val="24"/>
          <w:highlight w:val="none"/>
        </w:rPr>
        <w:t xml:space="preserve">“苏采云”政府采购一体化平台</w:t>
      </w:r>
      <w:bookmarkEnd w:id="576"/>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7" w:name="_Toc520356165"/>
      <w:r>
        <w:rPr>
          <w:color w:val="000000"/>
          <w:sz w:val="24"/>
          <w:highlight w:val="none"/>
        </w:rPr>
        <w:t xml:space="preserve">资格审查</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7"/>
      <w:r/>
      <w:bookmarkStart w:id="578" w:name="_Toc150774745"/>
      <w:r/>
      <w:bookmarkStart w:id="579" w:name="_Toc150509291"/>
      <w:r/>
      <w:bookmarkStart w:id="580" w:name="_Toc164229381"/>
      <w:r/>
      <w:bookmarkStart w:id="581" w:name="_Toc226337236"/>
      <w:r/>
      <w:bookmarkStart w:id="582" w:name="_Toc305158882"/>
      <w:r/>
      <w:bookmarkStart w:id="583" w:name="_Toc164608809"/>
      <w:r/>
      <w:bookmarkStart w:id="584" w:name="_Toc151193710"/>
      <w:r/>
      <w:bookmarkStart w:id="585" w:name="_Toc226965813"/>
      <w:r/>
      <w:bookmarkStart w:id="586" w:name="_Toc127151741"/>
      <w:r/>
      <w:bookmarkStart w:id="587" w:name="_Toc226965730"/>
      <w:r/>
      <w:bookmarkStart w:id="588" w:name="_Toc265228378"/>
      <w:r/>
      <w:bookmarkStart w:id="589" w:name="_Toc195842905"/>
      <w:r/>
      <w:bookmarkStart w:id="590" w:name="_Toc164608654"/>
      <w:r/>
      <w:bookmarkStart w:id="591" w:name="_Toc150480778"/>
      <w:r/>
      <w:bookmarkStart w:id="592" w:name="_Toc264969230"/>
      <w:r/>
      <w:bookmarkStart w:id="593" w:name="_Toc151190167"/>
      <w:r/>
      <w:bookmarkStart w:id="594" w:name="_Toc150774640"/>
      <w:r/>
      <w:bookmarkStart w:id="595" w:name="_Toc151193782"/>
      <w:r/>
      <w:bookmarkStart w:id="596" w:name="_Toc127151540"/>
      <w:r/>
      <w:bookmarkStart w:id="597" w:name="_Toc164229235"/>
      <w:r/>
      <w:bookmarkStart w:id="598" w:name="_Toc127161454"/>
      <w:r/>
      <w:bookmarkStart w:id="599" w:name="_Toc164351634"/>
      <w:r/>
      <w:bookmarkStart w:id="600" w:name="_Toc151193928"/>
      <w:r/>
      <w:bookmarkStart w:id="601" w:name="_Toc305158808"/>
      <w:r/>
      <w:bookmarkStart w:id="602" w:name="_Toc142311042"/>
      <w:r/>
      <w:bookmarkStart w:id="603" w:name="_Toc226309784"/>
      <w:r/>
      <w:bookmarkStart w:id="604" w:name="_Toc151193638"/>
      <w:r/>
      <w:bookmarkStart w:id="605" w:name="_Toc149720833"/>
      <w:r/>
      <w:bookmarkStart w:id="606" w:name="_Toc151193854"/>
      <w:r>
        <w:rPr>
          <w:color w:val="000000"/>
          <w:sz w:val="24"/>
          <w:highlight w:val="none"/>
        </w:rPr>
        <w:t xml:space="preserve">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7" w:name="_Toc520356166"/>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采购人</w:t>
      </w:r>
      <w:r>
        <w:rPr>
          <w:color w:val="000000"/>
          <w:sz w:val="24"/>
          <w:highlight w:val="none"/>
        </w:rPr>
        <w:t xml:space="preserve">和采购代理机构将查询有关信用记录，对具有行贿、受贿、欺诈等不良信用记录的人员，拒绝其参与政府采购活动。</w:t>
      </w:r>
      <w:bookmarkEnd w:id="607"/>
      <w:r/>
      <w:bookmarkStart w:id="608" w:name="_Toc520356169"/>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0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06"/>
        <w:spacing w:before="0" w:line="360" w:lineRule="auto"/>
        <w:rPr>
          <w:rFonts w:ascii="Times New Roman" w:hAnsi="Times New Roman" w:eastAsia="宋体"/>
          <w:color w:val="000000"/>
          <w:sz w:val="28"/>
          <w:highlight w:val="none"/>
        </w:rPr>
      </w:pPr>
      <w:r/>
      <w:bookmarkStart w:id="609" w:name="_Toc226965735"/>
      <w:r/>
      <w:bookmarkStart w:id="610" w:name="_Toc142311047"/>
      <w:r/>
      <w:bookmarkStart w:id="611" w:name="_Toc127151545"/>
      <w:r/>
      <w:bookmarkStart w:id="612" w:name="_Toc195842910"/>
      <w:r/>
      <w:bookmarkStart w:id="613" w:name="_Toc151193933"/>
      <w:r/>
      <w:bookmarkStart w:id="614" w:name="_Toc150774645"/>
      <w:r/>
      <w:bookmarkStart w:id="615" w:name="_Toc265228383"/>
      <w:r/>
      <w:bookmarkStart w:id="616" w:name="_Toc151193859"/>
      <w:r/>
      <w:bookmarkStart w:id="617" w:name="_Toc151193643"/>
      <w:r/>
      <w:bookmarkStart w:id="618" w:name="_Toc226965818"/>
      <w:r/>
      <w:bookmarkStart w:id="619" w:name="_Toc150774750"/>
      <w:r/>
      <w:bookmarkStart w:id="620" w:name="_Toc151193715"/>
      <w:r/>
      <w:bookmarkStart w:id="621" w:name="_Toc150480783"/>
      <w:r/>
      <w:bookmarkStart w:id="622" w:name="_Toc151193787"/>
      <w:r/>
      <w:bookmarkStart w:id="623" w:name="_Toc151190172"/>
      <w:r/>
      <w:bookmarkStart w:id="624" w:name="_Toc150509296"/>
      <w:r/>
      <w:bookmarkStart w:id="625" w:name="_Toc305158887"/>
      <w:r/>
      <w:bookmarkStart w:id="626" w:name="_Toc264969235"/>
      <w:r/>
      <w:bookmarkStart w:id="627" w:name="_Toc305158813"/>
      <w:r/>
      <w:bookmarkStart w:id="628" w:name="_Toc226337241"/>
      <w:r/>
      <w:bookmarkStart w:id="629" w:name="_Toc226309789"/>
      <w:r>
        <w:rPr>
          <w:rFonts w:ascii="Times New Roman" w:hAnsi="Times New Roman" w:eastAsia="宋体"/>
          <w:color w:val="000000"/>
          <w:sz w:val="28"/>
          <w:highlight w:val="none"/>
        </w:rPr>
        <w:t xml:space="preserve">六   </w:t>
      </w:r>
      <w:bookmarkEnd w:id="608"/>
      <w:r>
        <w:rPr>
          <w:rFonts w:ascii="Times New Roman" w:hAnsi="Times New Roman" w:eastAsia="宋体"/>
          <w:color w:val="000000"/>
          <w:sz w:val="28"/>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151190174"/>
      <w:r/>
      <w:bookmarkStart w:id="631" w:name="_Toc164351641"/>
      <w:r/>
      <w:bookmarkStart w:id="632" w:name="_Toc265228385"/>
      <w:r/>
      <w:bookmarkStart w:id="633" w:name="_Toc195842912"/>
      <w:r/>
      <w:bookmarkStart w:id="634" w:name="_Toc150509298"/>
      <w:r/>
      <w:bookmarkStart w:id="635" w:name="_Toc151193935"/>
      <w:r/>
      <w:bookmarkStart w:id="636" w:name="_Toc226309791"/>
      <w:r/>
      <w:bookmarkStart w:id="637" w:name="_Toc150774752"/>
      <w:r/>
      <w:bookmarkStart w:id="638" w:name="_Toc305158815"/>
      <w:r/>
      <w:bookmarkStart w:id="639" w:name="_Toc150774647"/>
      <w:r/>
      <w:bookmarkStart w:id="640" w:name="_Toc226337243"/>
      <w:r/>
      <w:bookmarkStart w:id="641" w:name="_Toc305158889"/>
      <w:r/>
      <w:bookmarkStart w:id="642" w:name="_Toc127151748"/>
      <w:r/>
      <w:bookmarkStart w:id="643" w:name="_Toc149720840"/>
      <w:r/>
      <w:bookmarkStart w:id="644" w:name="_Toc151193717"/>
      <w:r/>
      <w:bookmarkStart w:id="645" w:name="_Toc142311049"/>
      <w:r/>
      <w:bookmarkStart w:id="646" w:name="_Toc164608661"/>
      <w:r/>
      <w:bookmarkStart w:id="647" w:name="_Toc127151547"/>
      <w:r/>
      <w:bookmarkStart w:id="648" w:name="_Toc164608816"/>
      <w:r/>
      <w:bookmarkStart w:id="649" w:name="_Toc264969237"/>
      <w:r/>
      <w:bookmarkStart w:id="650" w:name="_Toc151193861"/>
      <w:r/>
      <w:bookmarkStart w:id="651" w:name="_Toc226965737"/>
      <w:r/>
      <w:bookmarkStart w:id="652" w:name="_Toc151193789"/>
      <w:r/>
      <w:bookmarkStart w:id="653" w:name="_Toc150480785"/>
      <w:r/>
      <w:bookmarkStart w:id="654" w:name="_Toc164229388"/>
      <w:r/>
      <w:bookmarkStart w:id="655" w:name="_Toc127161461"/>
      <w:r/>
      <w:bookmarkStart w:id="656" w:name="_Toc164229242"/>
      <w:r/>
      <w:bookmarkStart w:id="657" w:name="_Toc226965820"/>
      <w:r/>
      <w:bookmarkStart w:id="658" w:name="_Toc151193645"/>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采购人依法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9" w:name="_Toc151193719"/>
      <w:r/>
      <w:bookmarkStart w:id="660" w:name="_Toc151193863"/>
      <w:r/>
      <w:bookmarkStart w:id="661" w:name="_Toc150480787"/>
      <w:r/>
      <w:bookmarkStart w:id="662" w:name="_Toc305158817"/>
      <w:r/>
      <w:bookmarkStart w:id="663" w:name="_Toc150774649"/>
      <w:r/>
      <w:bookmarkStart w:id="664" w:name="_Toc226965822"/>
      <w:r/>
      <w:bookmarkStart w:id="665" w:name="_Toc127151549"/>
      <w:r/>
      <w:bookmarkStart w:id="666" w:name="_Toc164608818"/>
      <w:r/>
      <w:bookmarkStart w:id="667" w:name="_Ref467306425"/>
      <w:r/>
      <w:bookmarkStart w:id="668" w:name="_Toc520356176"/>
      <w:r/>
      <w:bookmarkStart w:id="669" w:name="_Toc127151750"/>
      <w:r/>
      <w:bookmarkStart w:id="670" w:name="_Toc151193791"/>
      <w:r/>
      <w:bookmarkStart w:id="671" w:name="_Toc127161463"/>
      <w:r/>
      <w:bookmarkStart w:id="672" w:name="_Toc151193647"/>
      <w:r/>
      <w:bookmarkStart w:id="673" w:name="_Toc226337245"/>
      <w:r/>
      <w:bookmarkStart w:id="674" w:name="_Toc195842914"/>
      <w:r/>
      <w:bookmarkStart w:id="675" w:name="_Toc150774754"/>
      <w:r/>
      <w:bookmarkStart w:id="676" w:name="_Toc226309793"/>
      <w:r/>
      <w:bookmarkStart w:id="677" w:name="_Toc265228387"/>
      <w:r/>
      <w:bookmarkStart w:id="678" w:name="_Toc264969239"/>
      <w:r/>
      <w:bookmarkStart w:id="679" w:name="_Toc305158891"/>
      <w:r/>
      <w:bookmarkStart w:id="680" w:name="_Toc151190176"/>
      <w:r/>
      <w:bookmarkStart w:id="681" w:name="_Toc164351643"/>
      <w:r/>
      <w:bookmarkStart w:id="682" w:name="_Toc142311051"/>
      <w:r/>
      <w:bookmarkStart w:id="683" w:name="_Toc164229244"/>
      <w:r/>
      <w:bookmarkStart w:id="684" w:name="_Toc150509300"/>
      <w:r/>
      <w:bookmarkStart w:id="685" w:name="_Toc164229390"/>
      <w:r/>
      <w:bookmarkStart w:id="686" w:name="_Toc149720842"/>
      <w:r/>
      <w:bookmarkStart w:id="687" w:name="_Toc151193937"/>
      <w:r/>
      <w:bookmarkStart w:id="688" w:name="_Toc226965739"/>
      <w:r/>
      <w:bookmarkStart w:id="689" w:name="_Toc164608663"/>
      <w:r/>
      <w:bookmarkStart w:id="690" w:name="_Ref467307090"/>
      <w:r>
        <w:rPr>
          <w:color w:val="000000"/>
          <w:sz w:val="24"/>
          <w:highlight w:val="none"/>
        </w:rPr>
        <w:t xml:space="preserve">中标公告与中标通知书</w:t>
      </w:r>
      <w:bookmarkEnd w:id="662"/>
      <w:r/>
      <w:bookmarkEnd w:id="679"/>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采购人</w:t>
      </w:r>
      <w:r>
        <w:rPr>
          <w:color w:val="000000"/>
          <w:sz w:val="24"/>
          <w:highlight w:val="none"/>
        </w:rPr>
        <w:t xml:space="preserve">和中标供应商均具有法律效力。中标通知书发出后，</w:t>
      </w:r>
      <w:r>
        <w:rPr>
          <w:rFonts w:hint="eastAsia"/>
          <w:color w:val="000000"/>
          <w:sz w:val="24"/>
          <w:highlight w:val="none"/>
        </w:rPr>
        <w:t xml:space="preserve">采购人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采购人</w:t>
      </w:r>
      <w:r>
        <w:rPr>
          <w:color w:val="000000"/>
          <w:sz w:val="24"/>
          <w:highlight w:val="none"/>
        </w:rPr>
        <w:t xml:space="preserve">不能支付的；</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采购人</w:t>
      </w:r>
      <w:r>
        <w:rPr>
          <w:color w:val="000000"/>
          <w:sz w:val="24"/>
          <w:highlight w:val="none"/>
        </w:rPr>
        <w:t xml:space="preserve">将废标理由通知所有投标人。</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9"/>
      <w:r/>
      <w:bookmarkEnd w:id="660"/>
      <w:r/>
      <w:bookmarkEnd w:id="661"/>
      <w:r/>
      <w:bookmarkEnd w:id="663"/>
      <w:r/>
      <w:bookmarkEnd w:id="664"/>
      <w:r/>
      <w:bookmarkEnd w:id="665"/>
      <w:r/>
      <w:bookmarkEnd w:id="666"/>
      <w:r/>
      <w:bookmarkEnd w:id="669"/>
      <w:r/>
      <w:bookmarkEnd w:id="670"/>
      <w:r/>
      <w:bookmarkEnd w:id="671"/>
      <w:r/>
      <w:bookmarkEnd w:id="672"/>
      <w:r/>
      <w:bookmarkEnd w:id="673"/>
      <w:r/>
      <w:bookmarkEnd w:id="674"/>
      <w:r/>
      <w:bookmarkEnd w:id="675"/>
      <w:r/>
      <w:bookmarkEnd w:id="676"/>
      <w:r/>
      <w:bookmarkEnd w:id="677"/>
      <w:r/>
      <w:bookmarkEnd w:id="678"/>
      <w:r/>
      <w:bookmarkEnd w:id="680"/>
      <w:r/>
      <w:bookmarkEnd w:id="681"/>
      <w:r/>
      <w:bookmarkEnd w:id="682"/>
      <w:r/>
      <w:bookmarkEnd w:id="683"/>
      <w:r/>
      <w:bookmarkEnd w:id="684"/>
      <w:r/>
      <w:bookmarkEnd w:id="685"/>
      <w:r/>
      <w:bookmarkEnd w:id="686"/>
      <w:r/>
      <w:bookmarkEnd w:id="687"/>
      <w:r/>
      <w:bookmarkEnd w:id="688"/>
      <w:r/>
      <w:bookmarkEnd w:id="689"/>
      <w:r/>
      <w:bookmarkStart w:id="691" w:name="_Ref467307062"/>
      <w:r/>
      <w:bookmarkStart w:id="692" w:name="_Toc151190177"/>
      <w:r/>
      <w:bookmarkStart w:id="693" w:name="_Toc151193938"/>
      <w:r/>
      <w:bookmarkStart w:id="694" w:name="_Ref467307204"/>
      <w:r/>
      <w:bookmarkStart w:id="695" w:name="_Toc150480788"/>
      <w:r/>
      <w:bookmarkStart w:id="696" w:name="_Toc127161464"/>
      <w:r/>
      <w:bookmarkStart w:id="697" w:name="_Ref467306978"/>
      <w:r/>
      <w:bookmarkStart w:id="698" w:name="_Toc226965740"/>
      <w:r/>
      <w:bookmarkStart w:id="699" w:name="_Toc151193792"/>
      <w:r/>
      <w:bookmarkStart w:id="700" w:name="_Toc151193648"/>
      <w:r/>
      <w:bookmarkStart w:id="701" w:name="_Toc265228388"/>
      <w:r/>
      <w:bookmarkStart w:id="702" w:name="_Toc520356175"/>
      <w:r/>
      <w:bookmarkStart w:id="703" w:name="_Toc164608819"/>
      <w:r/>
      <w:bookmarkStart w:id="704" w:name="_Toc164351644"/>
      <w:r/>
      <w:bookmarkStart w:id="705" w:name="_Toc149720843"/>
      <w:r/>
      <w:bookmarkStart w:id="706" w:name="_Ref467306377"/>
      <w:r/>
      <w:bookmarkStart w:id="707" w:name="_Toc150774650"/>
      <w:r/>
      <w:bookmarkStart w:id="708" w:name="_Toc127151550"/>
      <w:r/>
      <w:bookmarkStart w:id="709" w:name="_Toc127151751"/>
      <w:r/>
      <w:bookmarkStart w:id="710" w:name="_Toc305158818"/>
      <w:r/>
      <w:bookmarkStart w:id="711" w:name="_Toc164229391"/>
      <w:r/>
      <w:bookmarkStart w:id="712" w:name="_Toc164229245"/>
      <w:r/>
      <w:bookmarkStart w:id="713" w:name="_Toc142311052"/>
      <w:r/>
      <w:bookmarkStart w:id="714" w:name="_Toc151193720"/>
      <w:r/>
      <w:bookmarkStart w:id="715" w:name="_Toc226309794"/>
      <w:r/>
      <w:bookmarkStart w:id="716" w:name="_Toc226965823"/>
      <w:r/>
      <w:bookmarkStart w:id="717" w:name="_Toc264969240"/>
      <w:r/>
      <w:bookmarkStart w:id="718" w:name="_Toc150774755"/>
      <w:r/>
      <w:bookmarkStart w:id="719" w:name="_Toc305158892"/>
      <w:r/>
      <w:bookmarkStart w:id="720" w:name="_Toc226337246"/>
      <w:r/>
      <w:bookmarkStart w:id="721" w:name="_Toc195842915"/>
      <w:r/>
      <w:bookmarkStart w:id="722" w:name="_Toc164608664"/>
      <w:r/>
      <w:bookmarkStart w:id="723" w:name="_Toc151193864"/>
      <w:r/>
      <w:bookmarkStart w:id="724" w:name="_Toc150509301"/>
      <w:r>
        <w:rPr>
          <w:color w:val="000000"/>
          <w:sz w:val="24"/>
          <w:highlight w:val="none"/>
        </w:rPr>
        <w:t xml:space="preserve">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采购人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采购人</w:t>
      </w:r>
      <w:r>
        <w:rPr>
          <w:color w:val="000000"/>
          <w:sz w:val="24"/>
          <w:highlight w:val="none"/>
        </w:rPr>
        <w:t xml:space="preserve">签订合同的，</w:t>
      </w:r>
      <w:r>
        <w:rPr>
          <w:rFonts w:hint="eastAsia"/>
          <w:color w:val="000000"/>
          <w:sz w:val="24"/>
          <w:highlight w:val="none"/>
        </w:rPr>
        <w:t xml:space="preserve">采购人可以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采购人</w:t>
      </w:r>
      <w:r>
        <w:rPr>
          <w:color w:val="000000"/>
          <w:sz w:val="24"/>
          <w:highlight w:val="none"/>
        </w:rPr>
        <w:t xml:space="preserve">签订合同，就中标项目向</w:t>
      </w:r>
      <w:r>
        <w:rPr>
          <w:rFonts w:hint="eastAsia"/>
          <w:color w:val="000000"/>
          <w:sz w:val="24"/>
          <w:highlight w:val="none"/>
        </w:rPr>
        <w:t xml:space="preserve">采购人</w:t>
      </w:r>
      <w:r>
        <w:rPr>
          <w:color w:val="000000"/>
          <w:sz w:val="24"/>
          <w:highlight w:val="none"/>
        </w:rPr>
        <w:t xml:space="preserve">承担连带责任。</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采购人</w:t>
      </w:r>
      <w:r>
        <w:rPr>
          <w:color w:val="000000"/>
          <w:sz w:val="24"/>
          <w:highlight w:val="none"/>
        </w:rPr>
        <w:t xml:space="preserve">负责，分包供应商就分包项目承担责任。</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7"/>
      <w:r/>
      <w:bookmarkEnd w:id="668"/>
      <w:r/>
      <w:bookmarkEnd w:id="690"/>
      <w:r>
        <w:rPr>
          <w:color w:val="000000"/>
          <w:sz w:val="24"/>
          <w:highlight w:val="none"/>
        </w:rPr>
        <w:t xml:space="preserve">询问与质疑</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04"/>
        <w:numPr>
          <w:ilvl w:val="2"/>
          <w:numId w:val="10"/>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采购人</w:t>
      </w:r>
      <w:r>
        <w:rPr>
          <w:color w:val="000000"/>
          <w:sz w:val="24"/>
          <w:highlight w:val="none"/>
        </w:rPr>
        <w:t xml:space="preserve">或采购代理机构。</w:t>
      </w:r>
      <w:r>
        <w:rPr>
          <w:color w:val="000000"/>
          <w:sz w:val="24"/>
          <w:highlight w:val="none"/>
        </w:rPr>
      </w:r>
      <w:r/>
    </w:p>
    <w:p>
      <w:pPr>
        <w:pStyle w:val="1004"/>
        <w:numPr>
          <w:ilvl w:val="2"/>
          <w:numId w:val="10"/>
        </w:numPr>
        <w:ind w:left="1985"/>
        <w:spacing w:line="360" w:lineRule="auto"/>
        <w:tabs>
          <w:tab w:val="left" w:pos="1980"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04"/>
        <w:numPr>
          <w:ilvl w:val="2"/>
          <w:numId w:val="10"/>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采购人</w:t>
      </w:r>
      <w:r>
        <w:rPr>
          <w:color w:val="000000"/>
          <w:sz w:val="24"/>
          <w:highlight w:val="none"/>
        </w:rPr>
        <w:t xml:space="preserve">、采购代理机构提出质疑。</w:t>
      </w:r>
      <w:r>
        <w:rPr>
          <w:rFonts w:hint="eastAsia"/>
          <w:color w:val="000000"/>
          <w:sz w:val="24"/>
          <w:highlight w:val="none"/>
        </w:rPr>
        <w:t xml:space="preserve">采购人</w:t>
      </w:r>
      <w:r>
        <w:rPr>
          <w:color w:val="000000"/>
          <w:sz w:val="24"/>
          <w:highlight w:val="none"/>
        </w:rPr>
        <w:t xml:space="preserve">、采购代理机构在收到质疑函后7个工作日内作出答复。</w:t>
      </w:r>
      <w:r>
        <w:rPr>
          <w:rFonts w:hint="eastAsia"/>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82"/>
          <w:color w:val="000000"/>
          <w:highlight w:val="none"/>
        </w:rPr>
        <w:t xml:space="preserve">http://gk</w:t>
      </w:r>
      <w:bookmarkStart w:id="725" w:name="_Hlt100654014"/>
      <w:r>
        <w:rPr>
          <w:rStyle w:val="1082"/>
          <w:color w:val="000000"/>
          <w:highlight w:val="none"/>
        </w:rPr>
        <w:t xml:space="preserve">s</w:t>
      </w:r>
      <w:bookmarkEnd w:id="725"/>
      <w:r>
        <w:rPr>
          <w:rStyle w:val="1082"/>
          <w:color w:val="000000"/>
          <w:highlight w:val="none"/>
        </w:rPr>
        <w:t xml:space="preserve">.m</w:t>
      </w:r>
      <w:bookmarkStart w:id="726" w:name="_Hlt100653994"/>
      <w:r/>
      <w:bookmarkStart w:id="727" w:name="_Hlt100653993"/>
      <w:r>
        <w:rPr>
          <w:rStyle w:val="1082"/>
          <w:color w:val="000000"/>
          <w:highlight w:val="none"/>
        </w:rPr>
        <w:t xml:space="preserve">o</w:t>
      </w:r>
      <w:bookmarkEnd w:id="726"/>
      <w:r/>
      <w:bookmarkEnd w:id="727"/>
      <w:r>
        <w:rPr>
          <w:rStyle w:val="1082"/>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04"/>
        <w:numPr>
          <w:ilvl w:val="2"/>
          <w:numId w:val="10"/>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采购人</w:t>
      </w:r>
      <w:r>
        <w:rPr>
          <w:color w:val="000000"/>
          <w:sz w:val="24"/>
          <w:highlight w:val="none"/>
        </w:rPr>
        <w:t xml:space="preserve">、采购代理机构有权不予答复。</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8" w:name="OLE_LINK24"/>
      <w:r>
        <w:rPr>
          <w:color w:val="000000"/>
          <w:sz w:val="24"/>
          <w:highlight w:val="none"/>
        </w:rPr>
        <w:t xml:space="preserve">及前期项目相关论证等费用</w:t>
      </w:r>
      <w:bookmarkEnd w:id="728"/>
      <w:r>
        <w:rPr>
          <w:color w:val="000000"/>
          <w:sz w:val="24"/>
          <w:highlight w:val="none"/>
        </w:rPr>
        <w:t xml:space="preserve">。</w:t>
      </w:r>
      <w:r>
        <w:rPr>
          <w:color w:val="000000"/>
          <w:sz w:val="24"/>
          <w:highlight w:val="none"/>
        </w:rPr>
      </w:r>
      <w:r/>
    </w:p>
    <w:p>
      <w:pPr>
        <w:pStyle w:val="1004"/>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004"/>
        <w:jc w:val="center"/>
        <w:spacing w:line="360" w:lineRule="auto"/>
        <w:rPr>
          <w:b/>
          <w:color w:val="000000"/>
          <w:sz w:val="36"/>
          <w:szCs w:val="36"/>
          <w:highlight w:val="none"/>
        </w:rPr>
        <w:outlineLvl w:val="0"/>
      </w:pPr>
      <w:r/>
      <w:bookmarkStart w:id="729" w:name="_Toc264969244"/>
      <w:r/>
      <w:bookmarkStart w:id="730" w:name="_Toc265228392"/>
      <w:r/>
      <w:bookmarkStart w:id="731" w:name="_Toc150480792"/>
      <w:r/>
      <w:bookmarkStart w:id="732" w:name="_Toc150774759"/>
      <w:r/>
      <w:bookmarkStart w:id="733" w:name="_Toc142311056"/>
      <w:r/>
      <w:bookmarkStart w:id="734" w:name="_Toc353873664"/>
      <w:r/>
      <w:bookmarkStart w:id="735" w:name="_Toc226337250"/>
      <w:r/>
      <w:bookmarkStart w:id="736" w:name="_Toc226965827"/>
      <w:r/>
      <w:bookmarkStart w:id="737" w:name="_Toc127151554"/>
      <w:r/>
      <w:bookmarkStart w:id="738" w:name="_Toc353825544"/>
      <w:r/>
      <w:bookmarkStart w:id="739" w:name="_Toc353873934"/>
      <w:r/>
      <w:bookmarkStart w:id="740" w:name="_Toc305158896"/>
      <w:r/>
      <w:bookmarkStart w:id="741" w:name="_Toc305158822"/>
      <w:r>
        <w:rPr>
          <w:color w:val="000000"/>
          <w:sz w:val="24"/>
          <w:highlight w:val="none"/>
        </w:rPr>
        <w:br w:type="page" w:clear="all"/>
      </w:r>
      <w:bookmarkStart w:id="742" w:name="_Toc195013692"/>
      <w:r>
        <w:rPr>
          <w:b/>
          <w:color w:val="000000"/>
          <w:sz w:val="36"/>
          <w:szCs w:val="36"/>
          <w:highlight w:val="none"/>
        </w:rPr>
        <w:t xml:space="preserve">第三章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b/>
          <w:color w:val="000000"/>
          <w:sz w:val="36"/>
          <w:szCs w:val="36"/>
          <w:highlight w:val="none"/>
        </w:rPr>
        <w:t xml:space="preserve">资格审查</w:t>
      </w:r>
      <w:bookmarkEnd w:id="742"/>
      <w:r/>
      <w:bookmarkStart w:id="743" w:name="_Toc487900382"/>
      <w:r>
        <w:rPr>
          <w:b/>
          <w:color w:val="000000"/>
          <w:sz w:val="36"/>
          <w:szCs w:val="36"/>
          <w:highlight w:val="none"/>
        </w:rPr>
      </w:r>
      <w:r/>
    </w:p>
    <w:p>
      <w:pPr>
        <w:pStyle w:val="1004"/>
        <w:jc w:val="center"/>
        <w:spacing w:line="360" w:lineRule="auto"/>
        <w:tabs>
          <w:tab w:val="left" w:pos="360" w:leader="none"/>
          <w:tab w:val="left" w:pos="900" w:leader="none"/>
        </w:tabs>
        <w:rPr>
          <w:b/>
          <w:color w:val="000000"/>
          <w:sz w:val="24"/>
          <w:highlight w:val="none"/>
        </w:rPr>
        <w:outlineLvl w:val="1"/>
      </w:pPr>
      <w:r/>
      <w:bookmarkStart w:id="744" w:name="_Toc99301422"/>
      <w:r>
        <w:rPr>
          <w:b/>
          <w:color w:val="000000"/>
          <w:sz w:val="24"/>
          <w:highlight w:val="none"/>
        </w:rPr>
        <w:t xml:space="preserve">一、资格审查程序</w:t>
      </w:r>
      <w:bookmarkEnd w:id="744"/>
      <w:r>
        <w:rPr>
          <w:b/>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采购人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04"/>
        <w:jc w:val="left"/>
        <w:widowControl/>
        <w:rPr>
          <w:color w:val="000000"/>
          <w:sz w:val="24"/>
          <w:highlight w:val="none"/>
        </w:rPr>
      </w:pPr>
      <w:r>
        <w:rPr>
          <w:color w:val="000000"/>
          <w:sz w:val="24"/>
          <w:highlight w:val="none"/>
        </w:rPr>
      </w:r>
      <w:r/>
    </w:p>
    <w:p>
      <w:pPr>
        <w:pStyle w:val="100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1004"/>
              <w:jc w:val="center"/>
              <w:tabs>
                <w:tab w:val="left" w:pos="1080" w:leader="none"/>
              </w:tabs>
              <w:rPr>
                <w:b/>
                <w:color w:val="000000"/>
                <w:sz w:val="24"/>
                <w:highlight w:val="none"/>
              </w:rPr>
            </w:pPr>
            <w:r/>
            <w:bookmarkStart w:id="745" w:name="_Hlt487972895"/>
            <w:r/>
            <w:bookmarkEnd w:id="745"/>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100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100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00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04"/>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00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00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采购人核实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6" w:name="OLE_LINK180"/>
            <w:r/>
            <w:bookmarkStart w:id="747" w:name="OLE_LINK181"/>
            <w:r>
              <w:rPr>
                <w:rFonts w:hint="eastAsia"/>
                <w:color w:val="000000"/>
                <w:sz w:val="24"/>
                <w:highlight w:val="none"/>
              </w:rPr>
              <w:t xml:space="preserve">投标人</w:t>
            </w:r>
            <w:bookmarkEnd w:id="746"/>
            <w:r/>
            <w:bookmarkEnd w:id="747"/>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1004"/>
              <w:tabs>
                <w:tab w:val="left" w:pos="1080" w:leader="none"/>
              </w:tabs>
              <w:rPr>
                <w:rFonts w:hint="eastAsia"/>
                <w:color w:val="000000"/>
                <w:sz w:val="24"/>
                <w:highlight w:val="none"/>
              </w:rPr>
            </w:pPr>
            <w:r>
              <w:rPr>
                <w:rFonts w:hint="eastAsia"/>
                <w:color w:val="000000"/>
                <w:sz w:val="24"/>
                <w:highlight w:val="none"/>
              </w:rPr>
              <w:t xml:space="preserve">具体要求见第一章《投标邀请》</w:t>
            </w:r>
            <w:r>
              <w:rPr>
                <w:rFonts w:hint="eastAsia"/>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1004"/>
              <w:tabs>
                <w:tab w:val="left" w:pos="1080" w:leader="none"/>
              </w:tabs>
              <w:rPr>
                <w:rFonts w:hint="eastAsia"/>
                <w:color w:val="000000"/>
                <w:sz w:val="24"/>
                <w:highlight w:val="none"/>
              </w:rPr>
            </w:pPr>
            <w:r>
              <w:rPr>
                <w:rFonts w:hint="eastAsia"/>
                <w:color w:val="000000"/>
                <w:sz w:val="24"/>
                <w:highlight w:val="none"/>
              </w:rPr>
              <w:t xml:space="preserve">（1）投标人具备生态环境部门核发的有效《危险废物经营许可证》（经营范围包含：处置医疗废物HW01,841-001-01,841-002-01）；</w:t>
            </w:r>
            <w:r>
              <w:rPr>
                <w:rFonts w:hint="eastAsia"/>
                <w:color w:val="000000"/>
                <w:sz w:val="24"/>
                <w:highlight w:val="none"/>
              </w:rPr>
            </w:r>
            <w:r/>
          </w:p>
          <w:p>
            <w:pPr>
              <w:pStyle w:val="1004"/>
              <w:tabs>
                <w:tab w:val="left" w:pos="1080" w:leader="none"/>
              </w:tabs>
              <w:rPr>
                <w:rFonts w:hint="eastAsia"/>
                <w:color w:val="000000"/>
                <w:sz w:val="24"/>
                <w:highlight w:val="none"/>
              </w:rPr>
            </w:pPr>
            <w:r>
              <w:rPr>
                <w:rFonts w:hint="eastAsia"/>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提供证明材料扫描件加盖电子公章</w:t>
            </w:r>
            <w:r>
              <w:rPr>
                <w:color w:val="000000"/>
                <w:sz w:val="24"/>
                <w:highlight w:val="none"/>
              </w:rPr>
            </w:r>
            <w:r/>
          </w:p>
        </w:tc>
      </w:tr>
    </w:tbl>
    <w:p>
      <w:pPr>
        <w:pStyle w:val="1004"/>
        <w:jc w:val="center"/>
        <w:spacing w:line="360" w:lineRule="auto"/>
        <w:rPr>
          <w:b/>
          <w:color w:val="000000"/>
          <w:sz w:val="36"/>
          <w:szCs w:val="36"/>
          <w:highlight w:val="none"/>
        </w:rPr>
        <w:outlineLvl w:val="0"/>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743"/>
      <w:r/>
      <w:bookmarkStart w:id="748" w:name="_Toc127151779"/>
      <w:r/>
      <w:bookmarkStart w:id="749" w:name="_Toc353825550"/>
      <w:r/>
      <w:bookmarkStart w:id="750" w:name="_Toc226965858"/>
      <w:r/>
      <w:bookmarkStart w:id="751" w:name="_Toc353873940"/>
      <w:r/>
      <w:bookmarkStart w:id="752" w:name="_Toc127161490"/>
      <w:r>
        <w:rPr>
          <w:color w:val="000000"/>
          <w:highlight w:val="none"/>
        </w:rPr>
        <w:br w:type="page" w:clear="all"/>
      </w:r>
      <w:bookmarkStart w:id="753" w:name="_Toc195013693"/>
      <w:r>
        <w:rPr>
          <w:b/>
          <w:color w:val="000000"/>
          <w:sz w:val="36"/>
          <w:szCs w:val="36"/>
          <w:highlight w:val="none"/>
        </w:rPr>
        <w:t xml:space="preserve">第四章   </w:t>
      </w:r>
      <w:bookmarkEnd w:id="748"/>
      <w:r/>
      <w:bookmarkEnd w:id="749"/>
      <w:r/>
      <w:bookmarkEnd w:id="750"/>
      <w:r/>
      <w:bookmarkEnd w:id="751"/>
      <w:r/>
      <w:bookmarkEnd w:id="752"/>
      <w:r/>
      <w:bookmarkStart w:id="754" w:name="_Hlt164229061"/>
      <w:r/>
      <w:bookmarkEnd w:id="754"/>
      <w:r>
        <w:rPr>
          <w:b/>
          <w:color w:val="000000"/>
          <w:sz w:val="36"/>
          <w:szCs w:val="36"/>
          <w:highlight w:val="none"/>
        </w:rPr>
        <w:t xml:space="preserve">评标程序、评标方法和评标标准</w:t>
      </w:r>
      <w:bookmarkEnd w:id="753"/>
      <w:r>
        <w:rPr>
          <w:b/>
          <w:color w:val="000000"/>
          <w:sz w:val="36"/>
          <w:szCs w:val="36"/>
          <w:highlight w:val="none"/>
        </w:rPr>
      </w:r>
      <w:r/>
    </w:p>
    <w:p>
      <w:pPr>
        <w:pStyle w:val="1004"/>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bookmarkStart w:id="755" w:name="_Toc305158883"/>
      <w:r/>
      <w:bookmarkStart w:id="756" w:name="_Toc151190168"/>
      <w:r/>
      <w:bookmarkStart w:id="757" w:name="_Toc142311043"/>
      <w:r/>
      <w:bookmarkStart w:id="758" w:name="_Toc150774746"/>
      <w:r/>
      <w:bookmarkStart w:id="759" w:name="_Toc151193929"/>
      <w:r/>
      <w:bookmarkStart w:id="760" w:name="_Toc127151541"/>
      <w:r/>
      <w:bookmarkStart w:id="761" w:name="_Toc226965814"/>
      <w:r/>
      <w:bookmarkStart w:id="762" w:name="_Toc226965731"/>
      <w:r/>
      <w:bookmarkStart w:id="763" w:name="_Toc226309785"/>
      <w:r/>
      <w:bookmarkStart w:id="764" w:name="_Toc150509292"/>
      <w:r/>
      <w:bookmarkStart w:id="765" w:name="_Toc151193783"/>
      <w:r/>
      <w:bookmarkStart w:id="766" w:name="_Toc264969231"/>
      <w:r/>
      <w:bookmarkStart w:id="767" w:name="_Toc305158809"/>
      <w:r/>
      <w:bookmarkStart w:id="768" w:name="_Toc265228379"/>
      <w:r/>
      <w:bookmarkStart w:id="769" w:name="_Toc127161455"/>
      <w:r/>
      <w:bookmarkStart w:id="770" w:name="_Toc164229382"/>
      <w:r/>
      <w:bookmarkStart w:id="771" w:name="_Toc149720834"/>
      <w:r/>
      <w:bookmarkStart w:id="772" w:name="_Toc164608810"/>
      <w:r/>
      <w:bookmarkStart w:id="773" w:name="_Toc151193855"/>
      <w:r/>
      <w:bookmarkStart w:id="774" w:name="_Toc164229236"/>
      <w:r/>
      <w:bookmarkStart w:id="775" w:name="_Toc150480779"/>
      <w:r/>
      <w:bookmarkStart w:id="776" w:name="_Toc164351635"/>
      <w:r/>
      <w:bookmarkStart w:id="777" w:name="_Toc195842906"/>
      <w:r/>
      <w:bookmarkStart w:id="778" w:name="_Toc164608655"/>
      <w:r/>
      <w:bookmarkStart w:id="779" w:name="_Toc151193711"/>
      <w:r/>
      <w:bookmarkStart w:id="780" w:name="_Toc151193639"/>
      <w:r/>
      <w:bookmarkStart w:id="781" w:name="_Toc127151742"/>
      <w:r/>
      <w:bookmarkStart w:id="782" w:name="_Toc226337237"/>
      <w:r/>
      <w:bookmarkStart w:id="783" w:name="_Toc150774641"/>
      <w:r/>
      <w:bookmarkStart w:id="784" w:name="_Toc195842920"/>
      <w:r/>
      <w:bookmarkStart w:id="785" w:name="_Toc353873941"/>
      <w:r/>
      <w:bookmarkStart w:id="786" w:name="_Toc353825551"/>
      <w:r/>
      <w:bookmarkStart w:id="787" w:name="_Toc264969245"/>
      <w:r/>
      <w:bookmarkStart w:id="788" w:name="_Toc226337251"/>
      <w:r/>
      <w:bookmarkStart w:id="789" w:name="_Toc142311057"/>
      <w:r/>
      <w:bookmarkStart w:id="790" w:name="_Toc353873665"/>
      <w:r/>
      <w:bookmarkStart w:id="791" w:name="_Toc226965828"/>
      <w:r/>
      <w:bookmarkStart w:id="792" w:name="_Toc127151555"/>
      <w:r/>
      <w:bookmarkStart w:id="793" w:name="_Toc353873935"/>
      <w:r/>
      <w:bookmarkStart w:id="794" w:name="_Toc265228393"/>
      <w:r/>
      <w:bookmarkStart w:id="795" w:name="_Toc353825545"/>
      <w:r/>
      <w:bookmarkStart w:id="796" w:name="_Toc305158823"/>
      <w:r/>
      <w:bookmarkStart w:id="797" w:name="_Toc150480793"/>
      <w:r/>
      <w:bookmarkStart w:id="798" w:name="_Toc305158897"/>
      <w:r/>
      <w:bookmarkStart w:id="799" w:name="_Toc150774760"/>
      <w:r>
        <w:rPr>
          <w:color w:val="000000"/>
          <w:sz w:val="24"/>
          <w:highlight w:val="none"/>
        </w:rPr>
        <w:t xml:space="preserve">投标文件的符合性审查</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0" w:name="_Toc520356167"/>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0"/>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04"/>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828"/>
        <w:gridCol w:w="6789"/>
      </w:tblGrid>
      <w:tr>
        <w:trPr>
          <w:trHeight w:val="300"/>
        </w:trPr>
        <w:tc>
          <w:tcPr>
            <w:tcW w:w="403" w:type="dxa"/>
            <w:vAlign w:val="center"/>
            <w:textDirection w:val="lrTb"/>
            <w:noWrap w:val="false"/>
          </w:tcPr>
          <w:p>
            <w:pPr>
              <w:pStyle w:val="100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00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100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7</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bookmarkStart w:id="801" w:name="OLE_LINK72"/>
            <w:r/>
            <w:bookmarkStart w:id="802" w:name="_Hlk193354894"/>
            <w:r/>
            <w:bookmarkStart w:id="803" w:name="OLE_LINK73"/>
            <w:r>
              <w:rPr>
                <w:rFonts w:hint="eastAsia"/>
                <w:color w:val="000000"/>
                <w:sz w:val="24"/>
                <w:highlight w:val="none"/>
              </w:rPr>
              <w:t xml:space="preserve">9</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1004"/>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bookmarkEnd w:id="801"/>
            <w:r/>
            <w:bookmarkEnd w:id="802"/>
            <w:r/>
            <w:bookmarkEnd w:id="803"/>
            <w:r>
              <w:rPr>
                <w:color w:val="000000"/>
                <w:sz w:val="24"/>
                <w:highlight w:val="none"/>
              </w:rPr>
              <w:t xml:space="preserve">1</w:t>
            </w:r>
            <w:r>
              <w:rPr>
                <w:rFonts w:hint="eastAsia"/>
                <w:color w:val="000000"/>
                <w:sz w:val="24"/>
                <w:highlight w:val="none"/>
              </w:rPr>
              <w:t xml:space="preserve">0</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采购人</w:t>
            </w:r>
            <w:r>
              <w:rPr>
                <w:color w:val="000000"/>
                <w:sz w:val="24"/>
                <w:highlight w:val="none"/>
              </w:rPr>
              <w:t xml:space="preserve">或者其他投标人的合法权益情形的；</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11</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2</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采购人</w:t>
            </w:r>
            <w:r>
              <w:rPr>
                <w:color w:val="000000"/>
                <w:sz w:val="24"/>
                <w:highlight w:val="none"/>
              </w:rPr>
              <w:t xml:space="preserve">不能接受的附加条件的；</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13</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bookmarkStart w:id="804" w:name="_Hlk193190038"/>
            <w:r/>
            <w:bookmarkStart w:id="805" w:name="OLE_LINK20"/>
            <w:r/>
            <w:bookmarkStart w:id="806" w:name="OLE_LINK19"/>
            <w:r>
              <w:rPr>
                <w:rFonts w:hint="eastAsia"/>
                <w:color w:val="000000"/>
                <w:sz w:val="24"/>
                <w:highlight w:val="none"/>
              </w:rPr>
              <w:t xml:space="preserve">14</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1004"/>
        <w:numPr>
          <w:ilvl w:val="0"/>
          <w:numId w:val="13"/>
        </w:numPr>
        <w:spacing w:line="360" w:lineRule="auto"/>
        <w:tabs>
          <w:tab w:val="left" w:pos="360" w:leader="none"/>
          <w:tab w:val="left" w:pos="900" w:leader="none"/>
        </w:tabs>
        <w:rPr>
          <w:color w:val="000000"/>
          <w:sz w:val="24"/>
          <w:highlight w:val="none"/>
        </w:rPr>
        <w:outlineLvl w:val="1"/>
      </w:pPr>
      <w:r/>
      <w:bookmarkEnd w:id="804"/>
      <w:r/>
      <w:bookmarkEnd w:id="805"/>
      <w:r/>
      <w:bookmarkEnd w:id="806"/>
      <w:r>
        <w:rPr>
          <w:color w:val="000000"/>
          <w:sz w:val="24"/>
          <w:highlight w:val="none"/>
        </w:rPr>
        <w:t xml:space="preserve">投标文件有关事项的澄清或者说明</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04"/>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004"/>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5"/>
      <w:r/>
      <w:bookmarkEnd w:id="786"/>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04"/>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04"/>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采购人</w:t>
      </w:r>
      <w:r>
        <w:rPr>
          <w:color w:val="000000"/>
          <w:sz w:val="24"/>
          <w:highlight w:val="none"/>
        </w:rPr>
        <w:t xml:space="preserve">或者</w:t>
      </w:r>
      <w:r>
        <w:rPr>
          <w:rFonts w:hint="eastAsia"/>
          <w:color w:val="000000"/>
          <w:sz w:val="24"/>
          <w:highlight w:val="none"/>
        </w:rPr>
        <w:t xml:space="preserve">采购人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1004"/>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7" w:name="_Toc164608660"/>
      <w:r/>
      <w:bookmarkStart w:id="808" w:name="_Toc164229241"/>
      <w:r/>
      <w:bookmarkStart w:id="809" w:name="_Toc151193644"/>
      <w:r/>
      <w:bookmarkStart w:id="810" w:name="_Toc127161460"/>
      <w:r/>
      <w:bookmarkStart w:id="811" w:name="_Toc265228384"/>
      <w:r/>
      <w:bookmarkStart w:id="812" w:name="_Toc150774646"/>
      <w:r/>
      <w:bookmarkStart w:id="813" w:name="_Toc164229387"/>
      <w:r/>
      <w:bookmarkStart w:id="814" w:name="_Toc127151747"/>
      <w:r/>
      <w:bookmarkStart w:id="815" w:name="_Toc151190173"/>
      <w:r/>
      <w:bookmarkStart w:id="816" w:name="_Toc264969236"/>
      <w:r/>
      <w:bookmarkStart w:id="817" w:name="_Toc142311048"/>
      <w:r/>
      <w:bookmarkStart w:id="818" w:name="_Toc150509297"/>
      <w:r/>
      <w:bookmarkStart w:id="819" w:name="_Toc226965819"/>
      <w:r/>
      <w:bookmarkStart w:id="820" w:name="_Toc151193788"/>
      <w:r/>
      <w:bookmarkStart w:id="821" w:name="_Toc164608815"/>
      <w:r/>
      <w:bookmarkStart w:id="822" w:name="_Toc520356170"/>
      <w:r/>
      <w:bookmarkStart w:id="823" w:name="_Toc151193860"/>
      <w:r/>
      <w:bookmarkStart w:id="824" w:name="_Toc226309790"/>
      <w:r/>
      <w:bookmarkStart w:id="825" w:name="_Toc151193716"/>
      <w:r/>
      <w:bookmarkStart w:id="826" w:name="_Toc150480784"/>
      <w:r/>
      <w:bookmarkStart w:id="827" w:name="_Toc127151546"/>
      <w:r/>
      <w:bookmarkStart w:id="828" w:name="_Toc149720839"/>
      <w:r/>
      <w:bookmarkStart w:id="829" w:name="_Toc226965736"/>
      <w:r/>
      <w:bookmarkStart w:id="830" w:name="_Toc150774751"/>
      <w:r/>
      <w:bookmarkStart w:id="831" w:name="_Toc226337242"/>
      <w:r/>
      <w:bookmarkStart w:id="832" w:name="_Toc164351640"/>
      <w:r/>
      <w:bookmarkStart w:id="833" w:name="_Toc151193934"/>
      <w:r/>
      <w:bookmarkStart w:id="834" w:name="_Ref467307010"/>
      <w:r/>
      <w:bookmarkStart w:id="835" w:name="_Toc305158888"/>
      <w:r/>
      <w:bookmarkStart w:id="836" w:name="_Toc305158814"/>
      <w:r/>
      <w:bookmarkStart w:id="837" w:name="_Toc195842911"/>
      <w:r>
        <w:rPr>
          <w:color w:val="000000"/>
          <w:sz w:val="24"/>
          <w:highlight w:val="none"/>
        </w:rPr>
        <w:t xml:space="preserve">中标候选人名单</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4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4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采购人</w:t>
      </w:r>
      <w:r>
        <w:rPr>
          <w:color w:val="000000"/>
          <w:sz w:val="24"/>
          <w:highlight w:val="none"/>
        </w:rPr>
        <w:t xml:space="preserve">、采购代理机构或者有关部门报告的职责。</w:t>
      </w:r>
      <w:r>
        <w:rPr>
          <w:color w:val="000000"/>
          <w:sz w:val="24"/>
          <w:highlight w:val="none"/>
        </w:rPr>
      </w:r>
      <w:r/>
    </w:p>
    <w:p>
      <w:pPr>
        <w:pStyle w:val="100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1004"/>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1004"/>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100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1004"/>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20</w:t>
            </w:r>
            <w:r>
              <w:rPr>
                <w:rFonts w:ascii="宋体" w:hAnsi="宋体" w:cs="宋体"/>
                <w:b/>
                <w:bCs/>
                <w:color w:val="000000"/>
                <w:sz w:val="24"/>
                <w:highlight w:val="none"/>
              </w:rPr>
            </w:r>
            <w:r/>
          </w:p>
        </w:tc>
        <w:tc>
          <w:tcPr>
            <w:tcW w:w="4876" w:type="dxa"/>
            <w:vAlign w:val="center"/>
            <w:textDirection w:val="lrTb"/>
            <w:noWrap w:val="false"/>
          </w:tcPr>
          <w:p>
            <w:pPr>
              <w:pStyle w:val="1004"/>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0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1004"/>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1004"/>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1004"/>
              <w:jc w:val="center"/>
              <w:rPr>
                <w:rFonts w:ascii="宋体" w:hAnsi="宋体" w:cs="宋体"/>
                <w:bCs/>
                <w:color w:val="000000"/>
                <w:sz w:val="24"/>
                <w:highlight w:val="none"/>
              </w:rPr>
            </w:pPr>
            <w:r>
              <w:rPr>
                <w:rFonts w:hint="eastAsia" w:ascii="宋体" w:hAnsi="宋体" w:cs="宋体"/>
                <w:bCs/>
                <w:color w:val="000000"/>
                <w:sz w:val="24"/>
                <w:highlight w:val="none"/>
              </w:rPr>
              <w:t xml:space="preserve">20</w:t>
            </w:r>
            <w:r>
              <w:rPr>
                <w:rFonts w:ascii="宋体" w:hAnsi="宋体" w:cs="宋体"/>
                <w:bCs/>
                <w:color w:val="000000"/>
                <w:sz w:val="24"/>
                <w:highlight w:val="none"/>
              </w:rPr>
            </w:r>
            <w:r/>
          </w:p>
        </w:tc>
        <w:tc>
          <w:tcPr>
            <w:tcW w:w="4876" w:type="dxa"/>
            <w:vAlign w:val="center"/>
            <w:textDirection w:val="lrTb"/>
            <w:noWrap w:val="false"/>
          </w:tcPr>
          <w:p>
            <w:pPr>
              <w:pStyle w:val="1004"/>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1004"/>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投标报价得分=(投标基准价／投标报价)×20％×100。</w:t>
            </w:r>
            <w:r>
              <w:rPr>
                <w:rFonts w:ascii="宋体" w:hAnsi="宋体" w:cs="宋体"/>
                <w:bCs/>
                <w:color w:val="000000"/>
                <w:sz w:val="24"/>
                <w:highlight w:val="none"/>
              </w:rPr>
            </w:r>
            <w:r/>
          </w:p>
        </w:tc>
        <w:tc>
          <w:tcPr>
            <w:tcW w:w="1644" w:type="dxa"/>
            <w:vAlign w:val="center"/>
            <w:textDirection w:val="lrTb"/>
            <w:noWrap w:val="false"/>
          </w:tcPr>
          <w:p>
            <w:pPr>
              <w:pStyle w:val="1004"/>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100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1004"/>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100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55</w:t>
            </w:r>
            <w:r>
              <w:rPr>
                <w:rFonts w:ascii="宋体" w:hAnsi="宋体" w:cs="宋体"/>
                <w:b/>
                <w:bCs/>
                <w:color w:val="000000"/>
                <w:spacing w:val="-3"/>
                <w:sz w:val="24"/>
                <w:highlight w:val="none"/>
              </w:rPr>
            </w:r>
            <w:r/>
          </w:p>
        </w:tc>
        <w:tc>
          <w:tcPr>
            <w:tcW w:w="4876" w:type="dxa"/>
            <w:vAlign w:val="center"/>
            <w:textDirection w:val="lrTb"/>
            <w:noWrap w:val="false"/>
          </w:tcPr>
          <w:p>
            <w:pPr>
              <w:pStyle w:val="1004"/>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1004"/>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2.1</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bCs/>
                <w:color w:val="000000"/>
                <w:sz w:val="24"/>
                <w:highlight w:val="none"/>
              </w:rPr>
              <w:t xml:space="preserve">整体思路与流程</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bCs/>
                <w:color w:val="000000"/>
                <w:sz w:val="24"/>
                <w:highlight w:val="none"/>
              </w:rPr>
              <w:t xml:space="preserve">整体思路与流程</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(包括但不限于项目总体服务思路、</w:t>
            </w:r>
            <w:r>
              <w:rPr>
                <w:rFonts w:hint="eastAsia" w:ascii="宋体" w:hAnsi="宋体" w:cs="仿宋"/>
                <w:b/>
                <w:bCs/>
                <w:color w:val="000000"/>
                <w:sz w:val="24"/>
                <w:highlight w:val="none"/>
              </w:rPr>
              <w:t xml:space="preserve">整体服务架构、服务实施原则、全流程作业规划、全过程合规管控措施</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方案完整、可行，能完全满足项目实施要求，得7分；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方案较具体、可行，较满足项目实施要求，得5分；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widowControl/>
              <w:rPr>
                <w:color w:val="000000"/>
                <w:highlight w:val="none"/>
              </w:rPr>
            </w:pPr>
            <w:r>
              <w:rPr>
                <w:rFonts w:hint="eastAsia" w:ascii="宋体" w:hAnsi="宋体" w:cs="宋体"/>
                <w:color w:val="000000"/>
                <w:sz w:val="24"/>
                <w:highlight w:val="none"/>
              </w:rPr>
              <w:t xml:space="preserve">未提供不得分。</w:t>
            </w:r>
            <w:r>
              <w:rPr>
                <w:color w:val="000000"/>
                <w:highlight w:val="none"/>
              </w:rPr>
            </w:r>
            <w:r/>
          </w:p>
        </w:tc>
        <w:tc>
          <w:tcPr>
            <w:tcW w:w="1644" w:type="dxa"/>
            <w:vAlign w:val="center"/>
            <w:textDirection w:val="lrTb"/>
            <w:noWrap w:val="false"/>
          </w:tcPr>
          <w:p>
            <w:pPr>
              <w:pStyle w:val="100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2.2</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color w:val="000000"/>
                <w:sz w:val="24"/>
                <w:highlight w:val="none"/>
              </w:rPr>
              <w:t xml:space="preserve">废物处置流程</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废物处理流程</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lang w:val="zh-TW"/>
              </w:rPr>
              <w:t xml:space="preserve">收集、运送、贮存、处置流程</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olor w:val="000000"/>
                <w:sz w:val="24"/>
                <w:highlight w:val="none"/>
              </w:rPr>
            </w:r>
            <w:r/>
          </w:p>
        </w:tc>
        <w:tc>
          <w:tcPr>
            <w:tcW w:w="1644" w:type="dxa"/>
            <w:vAlign w:val="center"/>
            <w:textDirection w:val="lrTb"/>
            <w:noWrap w:val="false"/>
          </w:tcPr>
          <w:p>
            <w:pPr>
              <w:pStyle w:val="100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2.3</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color w:val="000000"/>
                <w:sz w:val="24"/>
                <w:highlight w:val="none"/>
              </w:rPr>
              <w:t xml:space="preserve">针对防止交叉感染和消毒隔离制度和措施</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针对防止交叉感染和消毒隔离制度和措施</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防止交叉感染制度、消毒隔离制度、防止交叉感染措施、消毒隔离措施</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olor w:val="000000"/>
                <w:sz w:val="24"/>
                <w:highlight w:val="none"/>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2.4</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rPr>
            </w:pPr>
            <w:r>
              <w:rPr>
                <w:rFonts w:hint="eastAsia" w:ascii="宋体" w:hAnsi="宋体" w:cs="仿宋"/>
                <w:bCs/>
                <w:color w:val="000000"/>
                <w:sz w:val="24"/>
                <w:highlight w:val="none"/>
              </w:rPr>
              <w:t xml:space="preserve">内部组织管理制度</w:t>
            </w:r>
            <w:r>
              <w:rPr>
                <w:rFonts w:hint="eastAsia" w:ascii="宋体" w:hAnsi="宋体" w:cs="仿宋"/>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bCs/>
                <w:color w:val="000000"/>
                <w:sz w:val="24"/>
                <w:highlight w:val="none"/>
              </w:rPr>
              <w:t xml:space="preserve">内部组织管理制度</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安全管理制度、工作考勤制度、监督管理机制、奖罚管理制度等</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bCs/>
                <w:color w:val="000000"/>
                <w:sz w:val="24"/>
                <w:highlight w:val="none"/>
              </w:rPr>
              <w:t xml:space="preserve">应急预案</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bCs/>
                <w:color w:val="000000"/>
                <w:sz w:val="24"/>
                <w:highlight w:val="none"/>
              </w:rPr>
              <w:t xml:space="preserve">应急预案</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突发事件预案、应急处理措施</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2.6</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团队人员情况</w:t>
            </w:r>
            <w:r>
              <w:rPr>
                <w:rFonts w:hint="eastAsia" w:ascii="宋体" w:hAnsi="宋体" w:cs="仿宋"/>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团队人员情况</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人员分工、岗位职责</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2.7</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color w:val="000000"/>
                <w:sz w:val="24"/>
                <w:highlight w:val="none"/>
              </w:rPr>
              <w:t xml:space="preserve">主要设备</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主要设备</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设备配备、设备使用、设备维护、设备管理</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方案完整、可行，能完全满足项目实施要求，得5分；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方案内容较简单，对项目实施要求响应一般，得2分。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color w:val="000000"/>
                <w:sz w:val="24"/>
                <w:highlight w:val="none"/>
              </w:rPr>
              <w:t xml:space="preserve">服务进度、质量保障措施</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服务进度、质量保障措施</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(包括但不限于服务进度保障、</w:t>
            </w:r>
            <w:r>
              <w:rPr>
                <w:rFonts w:hint="eastAsia" w:ascii="宋体" w:hAnsi="宋体" w:cs="仿宋"/>
                <w:b/>
                <w:bCs/>
                <w:color w:val="000000"/>
                <w:sz w:val="24"/>
                <w:highlight w:val="none"/>
              </w:rPr>
              <w:t xml:space="preserve">服务质量保障方案</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方案完整、可行，能完全满足项目实施要求，得5分；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方案内容较简单，对项目实施要求响应一般，得2分。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2.9 </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color w:val="000000"/>
                <w:sz w:val="24"/>
                <w:highlight w:val="none"/>
              </w:rPr>
              <w:t xml:space="preserve">服务承诺</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售后服务承诺</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(包括但不限于响应能力、响应时间等)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w:t>
            </w:r>
            <w:r>
              <w:rPr>
                <w:rFonts w:hint="eastAsia" w:ascii="宋体" w:hAnsi="宋体" w:cs="宋体"/>
                <w:color w:val="000000"/>
                <w:sz w:val="24"/>
                <w:highlight w:val="none"/>
              </w:rPr>
              <w:t xml:space="preserve">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jc w:val="left"/>
              <w:spacing w:line="320" w:lineRule="exact"/>
              <w:widowControl/>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2.10</w:t>
            </w:r>
            <w:r>
              <w:rPr>
                <w:rFonts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合理化建议</w:t>
            </w:r>
            <w:r>
              <w:rPr>
                <w:rFonts w:hint="eastAsia" w:ascii="宋体" w:hAnsi="宋体" w:cs="仿宋"/>
                <w:bCs/>
                <w:color w:val="000000"/>
                <w:sz w:val="24"/>
                <w:highlight w:val="none"/>
              </w:rPr>
            </w:r>
            <w:r/>
          </w:p>
        </w:tc>
        <w:tc>
          <w:tcPr>
            <w:tcW w:w="778"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4876" w:type="dxa"/>
            <w:vAlign w:val="center"/>
            <w:textDirection w:val="lrTb"/>
            <w:noWrap w:val="false"/>
          </w:tcPr>
          <w:p>
            <w:pPr>
              <w:pStyle w:val="1004"/>
              <w:ind w:firstLine="480"/>
              <w:rPr>
                <w:rFonts w:hint="eastAsia" w:ascii="宋体" w:hAnsi="宋体" w:cs="仿宋"/>
                <w:color w:val="000000"/>
                <w:sz w:val="24"/>
                <w:highlight w:val="none"/>
              </w:rPr>
            </w:pPr>
            <w:r>
              <w:rPr>
                <w:rFonts w:hint="eastAsia" w:ascii="宋体" w:hAnsi="宋体"/>
                <w:color w:val="000000"/>
                <w:sz w:val="24"/>
                <w:highlight w:val="none"/>
              </w:rPr>
              <w:t xml:space="preserve">投标人针对本项目实施的合理化建议，由评标委员会评定得分，科学合理有效可操作性强的每条得2分，最高得4分。</w:t>
            </w:r>
            <w:r>
              <w:rPr>
                <w:rFonts w:hint="eastAsia" w:ascii="宋体" w:hAnsi="宋体" w:cs="仿宋"/>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rFonts w:hint="eastAsia" w:cs="Times New Roman"/>
                <w:color w:val="000000"/>
                <w:spacing w:val="2"/>
                <w:highlight w:val="none"/>
              </w:rPr>
            </w:pPr>
            <w:r>
              <w:rPr>
                <w:rFonts w:hint="eastAsia" w:cs="Times New Roman"/>
                <w:color w:val="000000"/>
                <w:spacing w:val="2"/>
                <w:highlight w:val="none"/>
              </w:rPr>
            </w:r>
            <w:r/>
          </w:p>
        </w:tc>
      </w:tr>
      <w:tr>
        <w:trPr/>
        <w:tc>
          <w:tcPr>
            <w:tcW w:w="939"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25</w:t>
            </w:r>
            <w:r>
              <w:rPr>
                <w:rFonts w:ascii="宋体" w:hAnsi="宋体" w:cs="宋体"/>
                <w:b/>
                <w:bCs/>
                <w:color w:val="000000"/>
                <w:sz w:val="24"/>
                <w:highlight w:val="none"/>
              </w:rPr>
            </w:r>
            <w:r/>
          </w:p>
        </w:tc>
        <w:tc>
          <w:tcPr>
            <w:tcW w:w="4876" w:type="dxa"/>
            <w:vAlign w:val="center"/>
            <w:textDirection w:val="lrTb"/>
            <w:noWrap w:val="false"/>
          </w:tcPr>
          <w:p>
            <w:pPr>
              <w:pStyle w:val="1004"/>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04"/>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业绩</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投标人提供自2023年1月1日起服务过类似项目的业绩合同，每有一项得3分，本项最高得9分。</w:t>
            </w:r>
            <w:r>
              <w:rPr>
                <w:rFonts w:hint="eastAsia" w:ascii="宋体" w:hAnsi="宋体" w:cs="宋体"/>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color w:val="000000"/>
                <w:spacing w:val="-3"/>
                <w:highlight w:val="none"/>
              </w:rPr>
            </w:pPr>
            <w:r>
              <w:rPr>
                <w:rFonts w:hint="eastAsia"/>
                <w:color w:val="000000"/>
                <w:highlight w:val="none"/>
              </w:rPr>
              <w:t xml:space="preserve">提供有效的合同扫描件加盖公章，合同须体现签订时间、双方盖章、关键页等内容，否则不得分。</w:t>
            </w:r>
            <w:r>
              <w:rPr>
                <w:color w:val="000000"/>
                <w:spacing w:val="-3"/>
                <w:highlight w:val="none"/>
              </w:rPr>
            </w:r>
            <w:r/>
          </w:p>
        </w:tc>
      </w:tr>
      <w:tr>
        <w:trPr>
          <w:trHeight w:val="1705"/>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3.2</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bCs/>
                <w:color w:val="000000"/>
                <w:sz w:val="24"/>
                <w:highlight w:val="none"/>
              </w:rPr>
              <w:t xml:space="preserve">体系证书</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投标人具备有效期内的质量管理体系认证、职业健康安全管理体系认证、环境管理体系认证证书，每个得2分，本项最高得6分。</w:t>
            </w:r>
            <w:r>
              <w:rPr>
                <w:rFonts w:hint="eastAsia" w:ascii="宋体" w:hAnsi="宋体" w:cs="宋体"/>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color w:val="000000"/>
                <w:highlight w:val="none"/>
                <w:lang w:bidi="ar"/>
              </w:rPr>
            </w:pPr>
            <w:r>
              <w:rPr>
                <w:rFonts w:hint="eastAsia"/>
                <w:color w:val="000000"/>
                <w:highlight w:val="none"/>
              </w:rPr>
              <w:t xml:space="preserve">提供有效证书扫描件加盖投标人公章，否则不得分。</w:t>
            </w:r>
            <w:r>
              <w:rPr>
                <w:color w:val="000000"/>
                <w:highlight w:val="none"/>
                <w:lang w:bidi="ar"/>
              </w:rPr>
            </w:r>
            <w:r/>
          </w:p>
        </w:tc>
      </w:tr>
      <w:tr>
        <w:trPr>
          <w:trHeight w:val="1705"/>
        </w:trPr>
        <w:tc>
          <w:tcPr>
            <w:tcW w:w="939"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1469" w:type="dxa"/>
            <w:vAlign w:val="center"/>
            <w:textDirection w:val="lrTb"/>
            <w:noWrap w:val="false"/>
          </w:tcPr>
          <w:p>
            <w:pPr>
              <w:pStyle w:val="1004"/>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车辆配置</w:t>
            </w:r>
            <w:r>
              <w:rPr>
                <w:rFonts w:hint="eastAsia" w:ascii="宋体" w:hAnsi="宋体"/>
                <w:color w:val="000000"/>
                <w:spacing w:val="2"/>
                <w:sz w:val="24"/>
                <w:highlight w:val="none"/>
              </w:rPr>
            </w:r>
            <w:r/>
          </w:p>
        </w:tc>
        <w:tc>
          <w:tcPr>
            <w:tcW w:w="778" w:type="dxa"/>
            <w:vAlign w:val="center"/>
            <w:textDirection w:val="lrTb"/>
            <w:noWrap w:val="false"/>
          </w:tcPr>
          <w:p>
            <w:pPr>
              <w:pStyle w:val="1004"/>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10</w:t>
            </w:r>
            <w:r>
              <w:rPr>
                <w:rFonts w:hint="eastAsia" w:ascii="宋体" w:hAnsi="宋体"/>
                <w:color w:val="000000"/>
                <w:spacing w:val="2"/>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若投标人自行运输医疗废物的，投标人具有自有的医疗废物专用运输车辆（行驶证登记的所有人需与投标人名称一致），有一辆得5分，最高得10分； 若投标人委托第三方运输的，委托的运输方具有医疗废物专用运输车辆（行驶证登记的所有人需与运输方名称一致），有一辆得5分，最高得10分。</w:t>
            </w:r>
            <w:r>
              <w:rPr>
                <w:rFonts w:ascii="宋体" w:hAnsi="宋体" w:cs="宋体"/>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rFonts w:cs="Times New Roman"/>
                <w:color w:val="000000"/>
                <w:spacing w:val="2"/>
                <w:highlight w:val="none"/>
              </w:rPr>
            </w:pPr>
            <w:r>
              <w:rPr>
                <w:rFonts w:hint="eastAsia" w:cs="Times New Roman"/>
                <w:color w:val="000000"/>
                <w:spacing w:val="2"/>
                <w:highlight w:val="none"/>
              </w:rPr>
              <w:t xml:space="preserve">提供行驶证扫描件加盖投标人公章</w:t>
            </w:r>
            <w:r>
              <w:rPr>
                <w:rFonts w:hint="eastAsia"/>
                <w:color w:val="000000"/>
                <w:highlight w:val="none"/>
              </w:rPr>
              <w:t xml:space="preserve">，否则不得分</w:t>
            </w:r>
            <w:r>
              <w:rPr>
                <w:rFonts w:hint="eastAsia" w:cs="Times New Roman"/>
                <w:color w:val="000000"/>
                <w:spacing w:val="2"/>
                <w:highlight w:val="none"/>
              </w:rPr>
              <w:t xml:space="preserve">。委托运输的，需提供委托协议及委托第三方车辆行驶证扫描件加盖投标人公章。否则不得分。</w:t>
            </w:r>
            <w:r>
              <w:rPr>
                <w:rFonts w:cs="Times New Roman"/>
                <w:color w:val="000000"/>
                <w:spacing w:val="2"/>
                <w:highlight w:val="none"/>
              </w:rPr>
            </w:r>
            <w:r/>
          </w:p>
        </w:tc>
      </w:tr>
    </w:tbl>
    <w:p>
      <w:pPr>
        <w:pStyle w:val="1004"/>
        <w:jc w:val="center"/>
        <w:spacing w:line="360" w:lineRule="auto"/>
        <w:rPr>
          <w:b/>
          <w:color w:val="000000"/>
          <w:sz w:val="36"/>
          <w:szCs w:val="36"/>
          <w:highlight w:val="none"/>
        </w:rPr>
        <w:outlineLvl w:val="0"/>
      </w:pPr>
      <w:r>
        <w:rPr>
          <w:b/>
          <w:color w:val="000000"/>
          <w:sz w:val="36"/>
          <w:szCs w:val="36"/>
          <w:highlight w:val="none"/>
        </w:rPr>
        <w:br w:type="page" w:clear="all"/>
      </w:r>
      <w:bookmarkStart w:id="838" w:name="_Toc195013694"/>
      <w:r>
        <w:rPr>
          <w:b/>
          <w:color w:val="000000"/>
          <w:sz w:val="36"/>
          <w:szCs w:val="36"/>
          <w:highlight w:val="none"/>
        </w:rPr>
        <w:t xml:space="preserve">第五章   采购需求</w:t>
      </w:r>
      <w:bookmarkEnd w:id="838"/>
      <w:r>
        <w:rPr>
          <w:b/>
          <w:color w:val="000000"/>
          <w:sz w:val="36"/>
          <w:szCs w:val="36"/>
          <w:highlight w:val="none"/>
        </w:rPr>
      </w:r>
      <w:r/>
    </w:p>
    <w:p>
      <w:pPr>
        <w:pStyle w:val="100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1.项目名称：常州市第一人民医院医疗废物处置及运输服务项目</w:t>
      </w:r>
      <w:r>
        <w:rPr>
          <w:rFonts w:ascii="宋体" w:hAnsi="宋体" w:cs="宋体"/>
          <w:color w:val="000000"/>
          <w:sz w:val="24"/>
          <w:highlight w:val="none"/>
        </w:rPr>
        <w:t xml:space="preserve"> </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2.预算金额：1290.00万元/三年</w:t>
      </w:r>
      <w:r>
        <w:rPr>
          <w:rFonts w:ascii="宋体" w:hAnsi="宋体" w:cs="宋体"/>
          <w:color w:val="000000"/>
          <w:sz w:val="24"/>
          <w:highlight w:val="none"/>
        </w:rPr>
        <w:t xml:space="preserve"> </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3.最高限价：医疗废物处置及运输费（不含病理性医废）最高单价限价为4300元/吨；病理性医废处置及转运费最高单价限价为62元/公斤（其中处置费不得超过50元/公斤，转运费不得超过12元/公斤）</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常州市第一人民医院医疗废物处置及运输服务项目。项目内容包括但不限于全院医疗废物的收集、运送、贮存、处置等；处置范围涵盖固体、液体、化学性、损伤性、病理性、体内植入物等多种医疗废物；年度预估处置量约950吨。</w:t>
      </w:r>
      <w:r>
        <w:rPr>
          <w:rFonts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服务期3年。合同一年一签，合同到期经采购人考核合格后签订下一期合同。</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100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9.是/否接受进口产品投标：否</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（1）投标人具备生态环境部门核发的有效《危险废物经营许可证》（经营范围包含：处置医疗废物HW01,841-001-01,841-002-01）；</w:t>
      </w:r>
      <w:r>
        <w:rPr>
          <w:rFonts w:hint="eastAsia" w:ascii="宋体" w:hAnsi="宋体" w:cs="宋体"/>
          <w:color w:val="000000"/>
          <w:sz w:val="24"/>
          <w:highlight w:val="none"/>
        </w:rPr>
      </w:r>
      <w:r/>
    </w:p>
    <w:p>
      <w:pPr>
        <w:pStyle w:val="1004"/>
        <w:ind w:firstLine="480"/>
        <w:spacing w:line="360" w:lineRule="auto"/>
        <w:rPr>
          <w:rFonts w:hint="eastAsia" w:cs="宋体"/>
          <w:bCs/>
          <w:color w:val="000000"/>
          <w:sz w:val="24"/>
          <w:highlight w:val="none"/>
        </w:rPr>
      </w:pPr>
      <w:r>
        <w:rPr>
          <w:rFonts w:hint="eastAsia" w:ascii="宋体" w:hAnsi="宋体" w:cs="宋体"/>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cs="宋体"/>
          <w:bCs/>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12.项目类别：服务类</w:t>
      </w:r>
      <w:r>
        <w:rPr>
          <w:rFonts w:ascii="宋体" w:hAnsi="宋体" w:cs="宋体"/>
          <w:color w:val="000000"/>
          <w:sz w:val="24"/>
          <w:highlight w:val="none"/>
        </w:rPr>
      </w:r>
      <w:r/>
    </w:p>
    <w:p>
      <w:pPr>
        <w:pStyle w:val="1004"/>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二、商务要求</w:t>
      </w:r>
      <w:r>
        <w:rPr>
          <w:rFonts w:ascii="宋体" w:hAnsi="宋体"/>
          <w:b/>
          <w:color w:val="000000"/>
          <w:sz w:val="24"/>
          <w:highlight w:val="none"/>
        </w:rPr>
      </w:r>
      <w:r/>
    </w:p>
    <w:p>
      <w:pPr>
        <w:pStyle w:val="1004"/>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rPr>
        <w:t xml:space="preserve">服务期3年。合同一年一签，合同到期经采购人考核合格后签订下一期合同。</w:t>
      </w:r>
      <w:r>
        <w:rPr>
          <w:rFonts w:hint="eastAsia"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1.2地点：采购人指定地点。</w:t>
      </w:r>
      <w:r>
        <w:rPr>
          <w:rFonts w:ascii="宋体" w:hAnsi="宋体" w:cs="宋体"/>
          <w:color w:val="000000"/>
          <w:sz w:val="24"/>
          <w:highlight w:val="none"/>
        </w:rPr>
      </w:r>
      <w:r/>
    </w:p>
    <w:p>
      <w:pPr>
        <w:pStyle w:val="100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085"/>
        <w:ind w:firstLine="480"/>
        <w:rPr>
          <w:rFonts w:hint="eastAsia" w:cs="宋体"/>
          <w:color w:val="000000"/>
          <w:sz w:val="24"/>
          <w:highlight w:val="none"/>
        </w:rPr>
      </w:pPr>
      <w:r>
        <w:rPr>
          <w:rFonts w:hint="eastAsia" w:cs="宋体"/>
          <w:color w:val="000000"/>
          <w:sz w:val="24"/>
          <w:highlight w:val="none"/>
        </w:rPr>
        <w:t xml:space="preserve">合同生效后每月底前结算上月费用（按实际产生量结算）。</w:t>
      </w:r>
      <w:r>
        <w:rPr>
          <w:rFonts w:hint="eastAsia" w:cs="宋体"/>
          <w:color w:val="000000"/>
          <w:sz w:val="24"/>
          <w:highlight w:val="none"/>
        </w:rPr>
      </w:r>
      <w:r/>
    </w:p>
    <w:p>
      <w:pPr>
        <w:pStyle w:val="100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1004"/>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本项目投标报价为固定单价，投标总价应包括招标文件所确定的采购范围相应服务（</w:t>
      </w:r>
      <w:r>
        <w:rPr>
          <w:rFonts w:hint="eastAsia" w:ascii="宋体" w:hAnsi="宋体" w:cs="宋体"/>
          <w:color w:val="000000"/>
          <w:sz w:val="24"/>
          <w:highlight w:val="none"/>
          <w:lang w:val="zh-TW" w:bidi="ar"/>
        </w:rPr>
        <w:t xml:space="preserve">医疗废</w:t>
      </w:r>
      <w:r>
        <w:rPr>
          <w:rFonts w:hint="eastAsia" w:ascii="宋体" w:hAnsi="宋体" w:cs="宋体"/>
          <w:color w:val="000000"/>
          <w:sz w:val="24"/>
          <w:highlight w:val="none"/>
          <w:lang w:val="zh-TW"/>
        </w:rPr>
        <w:t xml:space="preserve">物的收集、运送、贮存、处置等</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的提供</w:t>
      </w:r>
      <w:r>
        <w:rPr>
          <w:rFonts w:ascii="宋体" w:hAnsi="宋体"/>
          <w:color w:val="000000"/>
          <w:sz w:val="24"/>
          <w:highlight w:val="none"/>
        </w:rPr>
        <w:t xml:space="preserve">、</w:t>
      </w:r>
      <w:r>
        <w:rPr>
          <w:rFonts w:hint="eastAsia" w:ascii="宋体" w:hAnsi="宋体"/>
          <w:color w:val="000000"/>
          <w:sz w:val="24"/>
          <w:highlight w:val="none"/>
        </w:rPr>
        <w:t xml:space="preserve">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highlight w:val="none"/>
          <w:lang w:bidi="ar"/>
        </w:rPr>
      </w:r>
      <w:r/>
    </w:p>
    <w:p>
      <w:pPr>
        <w:pStyle w:val="1004"/>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3.1本项目预算为1290万元/三年。其中，</w:t>
      </w:r>
      <w:r>
        <w:rPr>
          <w:rFonts w:hint="eastAsia" w:ascii="宋体" w:hAnsi="宋体"/>
          <w:color w:val="000000"/>
          <w:sz w:val="24"/>
          <w:highlight w:val="none"/>
        </w:rPr>
        <w:t xml:space="preserve">医疗废物处置及运输费（不含病理性医废）</w:t>
      </w:r>
      <w:r>
        <w:rPr>
          <w:rFonts w:hint="eastAsia" w:ascii="宋体" w:hAnsi="宋体" w:cs="宋体"/>
          <w:color w:val="000000"/>
          <w:sz w:val="24"/>
          <w:highlight w:val="none"/>
          <w:lang w:bidi="ar"/>
        </w:rPr>
        <w:t xml:space="preserve">最高单价限价为4300元/吨；病理性医废处置及转运费最高单价限价为62元/公斤（其中处置费不得超过50元/公斤，转运费不得超过12元/公斤）；投标报价高于最高限价的作为无效投标处理。年度预估处置量约950吨</w:t>
      </w:r>
      <w:r>
        <w:rPr>
          <w:rFonts w:hint="eastAsia" w:ascii="宋体" w:hAnsi="宋体"/>
          <w:color w:val="000000"/>
          <w:sz w:val="24"/>
          <w:highlight w:val="none"/>
        </w:rPr>
        <w:t xml:space="preserve">（其中2026年预估数量为：普通医废约938吨，病理性医废约11000公斤）</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04"/>
        <w:ind w:firstLine="480"/>
        <w:spacing w:line="360" w:lineRule="auto"/>
        <w:rPr>
          <w:rFonts w:ascii="宋体" w:hAnsi="宋体" w:cs="宋体"/>
          <w:bCs/>
          <w:color w:val="000000"/>
          <w:sz w:val="24"/>
          <w:highlight w:val="none"/>
        </w:rPr>
      </w:pPr>
      <w:r>
        <w:rPr>
          <w:rFonts w:hint="eastAsia" w:ascii="宋体" w:hAnsi="宋体"/>
          <w:color w:val="000000"/>
          <w:sz w:val="24"/>
          <w:highlight w:val="none"/>
        </w:rPr>
        <w:t xml:space="preserve">3.2报价货币为人民币，评审时以人民币为准。</w:t>
      </w:r>
      <w:r>
        <w:rPr>
          <w:rFonts w:ascii="宋体" w:hAnsi="宋体" w:cs="宋体"/>
          <w:bCs/>
          <w:color w:val="000000"/>
          <w:sz w:val="24"/>
          <w:highlight w:val="none"/>
        </w:rPr>
      </w:r>
      <w:r/>
    </w:p>
    <w:p>
      <w:pPr>
        <w:pStyle w:val="100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三、技术要求</w:t>
      </w:r>
      <w:r>
        <w:rPr>
          <w:rFonts w:hint="eastAsia" w:ascii="宋体" w:hAnsi="宋体" w:cs="宋体"/>
          <w:b/>
          <w:color w:val="000000"/>
          <w:sz w:val="24"/>
          <w:highlight w:val="none"/>
        </w:rPr>
      </w:r>
      <w:r/>
    </w:p>
    <w:p>
      <w:pPr>
        <w:pStyle w:val="1004"/>
        <w:ind w:firstLine="482"/>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（一）服务内容</w:t>
      </w:r>
      <w:r>
        <w:rPr>
          <w:rFonts w:hint="eastAsia" w:ascii="宋体" w:hAnsi="宋体" w:cs="宋体"/>
          <w:b/>
          <w:bCs/>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投标人</w:t>
      </w:r>
      <w:r>
        <w:rPr>
          <w:rFonts w:ascii="宋体" w:hAnsi="宋体" w:cs="宋体"/>
          <w:color w:val="000000"/>
          <w:sz w:val="24"/>
          <w:highlight w:val="none"/>
          <w:lang w:bidi="ar"/>
        </w:rPr>
        <w:t xml:space="preserve">需对本项目的医疗废物进行统一上门回收、运输和无害化集中处置。</w:t>
      </w:r>
      <w:r>
        <w:rPr>
          <w:rFonts w:ascii="宋体" w:hAnsi="宋体" w:cs="宋体"/>
          <w:color w:val="000000"/>
          <w:sz w:val="24"/>
          <w:highlight w:val="none"/>
          <w:lang w:bidi="ar"/>
        </w:rPr>
      </w:r>
      <w:r/>
    </w:p>
    <w:p>
      <w:pPr>
        <w:pStyle w:val="1004"/>
        <w:ind w:firstLine="482"/>
        <w:spacing w:line="360" w:lineRule="auto"/>
        <w:rPr>
          <w:rFonts w:ascii="宋体" w:hAnsi="宋体" w:cs="宋体"/>
          <w:color w:val="000000"/>
          <w:sz w:val="24"/>
          <w:highlight w:val="none"/>
          <w:lang w:bidi="ar"/>
        </w:rPr>
      </w:pPr>
      <w:r>
        <w:rPr>
          <w:rFonts w:hint="eastAsia" w:ascii="宋体" w:hAnsi="宋体" w:cs="宋体"/>
          <w:b/>
          <w:bCs/>
          <w:color w:val="000000"/>
          <w:sz w:val="24"/>
          <w:highlight w:val="none"/>
          <w:lang w:bidi="ar"/>
        </w:rPr>
        <w:t xml:space="preserve">（二）服务要求</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1.投标人</w:t>
      </w:r>
      <w:r>
        <w:rPr>
          <w:rFonts w:ascii="宋体" w:hAnsi="宋体" w:cs="宋体"/>
          <w:color w:val="000000"/>
          <w:sz w:val="24"/>
          <w:highlight w:val="none"/>
          <w:lang w:bidi="ar"/>
        </w:rPr>
        <w:t xml:space="preserve">应建立、健全医疗废物管理责任制，切实履行职责，防止因医疗废物导致传染病传播和环境污染事故。</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2.投标人</w:t>
      </w:r>
      <w:r>
        <w:rPr>
          <w:rFonts w:ascii="宋体" w:hAnsi="宋体" w:cs="宋体"/>
          <w:color w:val="000000"/>
          <w:sz w:val="24"/>
          <w:highlight w:val="none"/>
          <w:lang w:bidi="ar"/>
        </w:rPr>
        <w:t xml:space="preserve">应制定与医疗废物安全处置有关的规章制度和在发生意外事故时的应急方案。</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3.投标人</w:t>
      </w:r>
      <w:r>
        <w:rPr>
          <w:rFonts w:ascii="宋体" w:hAnsi="宋体" w:cs="宋体"/>
          <w:color w:val="000000"/>
          <w:sz w:val="24"/>
          <w:highlight w:val="none"/>
          <w:lang w:bidi="ar"/>
        </w:rPr>
        <w:t xml:space="preserve">应依照《中华人民共和国固体废物污染环境防治法》的规定，执行危险废物转移联单管理制度。</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4.投标人</w:t>
      </w:r>
      <w:r>
        <w:rPr>
          <w:rFonts w:ascii="宋体" w:hAnsi="宋体" w:cs="宋体"/>
          <w:color w:val="000000"/>
          <w:sz w:val="24"/>
          <w:highlight w:val="none"/>
          <w:lang w:bidi="ar"/>
        </w:rPr>
        <w:t xml:space="preserve">应对医疗废物进行登记，登记内容应当采用医废信息系统进行登记，内容包括医疗废物的来源、种类、重量或者数量、交接时间、处置方法、最终去向以及经办人签名等项目。电子信息系统登记资料及纸质版至少保存3年。</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5.投标人</w:t>
      </w:r>
      <w:r>
        <w:rPr>
          <w:rFonts w:ascii="宋体" w:hAnsi="宋体" w:cs="宋体"/>
          <w:color w:val="000000"/>
          <w:sz w:val="24"/>
          <w:highlight w:val="none"/>
          <w:lang w:bidi="ar"/>
        </w:rPr>
        <w:t xml:space="preserve">应采取有效措施，防止医疗废物流失、泄漏、扩散。</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t xml:space="preserve">禁止任何单位和个人转让、买卖医疗废物。禁止在运送过程中丢弃、遗撒医疗废物；禁止在非贮存地点倾倒、堆放医疗废物或者将医疗废物混入其他废物和生活垃圾。</w:t>
      </w:r>
      <w:r>
        <w:rPr>
          <w:rFonts w:hint="eastAsia" w:ascii="宋体" w:hAnsi="宋体" w:cs="宋体"/>
          <w:color w:val="000000"/>
          <w:sz w:val="24"/>
          <w:highlight w:val="none"/>
          <w:lang w:bidi="ar"/>
        </w:rPr>
        <w:t xml:space="preserve">投标人</w:t>
      </w:r>
      <w:r>
        <w:rPr>
          <w:rFonts w:ascii="宋体" w:hAnsi="宋体" w:cs="宋体"/>
          <w:color w:val="000000"/>
          <w:sz w:val="24"/>
          <w:highlight w:val="none"/>
          <w:lang w:bidi="ar"/>
        </w:rPr>
        <w:t xml:space="preserve">医疗废物集中处置员应当定期取得体检合格证并进行从业培训。</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7.投标人</w:t>
      </w:r>
      <w:r>
        <w:rPr>
          <w:rFonts w:ascii="宋体" w:hAnsi="宋体" w:cs="宋体"/>
          <w:color w:val="000000"/>
          <w:sz w:val="24"/>
          <w:highlight w:val="none"/>
          <w:lang w:bidi="ar"/>
        </w:rPr>
        <w:t xml:space="preserve">应至少每天到</w:t>
      </w:r>
      <w:r>
        <w:rPr>
          <w:rFonts w:hint="eastAsia" w:ascii="宋体" w:hAnsi="宋体" w:cs="宋体"/>
          <w:color w:val="000000"/>
          <w:sz w:val="24"/>
          <w:highlight w:val="none"/>
          <w:lang w:bidi="ar"/>
        </w:rPr>
        <w:t xml:space="preserve">采购人处</w:t>
      </w:r>
      <w:r>
        <w:rPr>
          <w:rFonts w:ascii="宋体" w:hAnsi="宋体" w:cs="宋体"/>
          <w:color w:val="000000"/>
          <w:sz w:val="24"/>
          <w:highlight w:val="none"/>
          <w:lang w:bidi="ar"/>
        </w:rPr>
        <w:t xml:space="preserve">收集、运送一次医疗废物，并负责医疗废物的贮存、处置。运用医废电子信息系统实时上传相关信息并留底备查。如遇特殊情况必要时随叫随到。</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8.投标人</w:t>
      </w:r>
      <w:r>
        <w:rPr>
          <w:rFonts w:ascii="宋体" w:hAnsi="宋体" w:cs="宋体"/>
          <w:color w:val="000000"/>
          <w:sz w:val="24"/>
          <w:highlight w:val="none"/>
          <w:lang w:bidi="ar"/>
        </w:rPr>
        <w:t xml:space="preserve">运送医疗废物，应遵守国家有关危险货物运输管理的规定，使用有明显医疗废物标识的专用车辆配备电子跟踪系统。医疗废物专用车辆应当达到防渗漏、防遗撒以及其他环境保护和卫生要求。             </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t xml:space="preserve">运送医疗废物的专用车辆使用后，应在医疗废物集中处置场所内及时进行消毒和清洁。</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t xml:space="preserve">运送医疗废物的专用车辆不得运送其他物品。若车辆半路抛锚，必须在原地等待专用车辆来交接运输。</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11.投标人</w:t>
      </w:r>
      <w:r>
        <w:rPr>
          <w:rFonts w:ascii="宋体" w:hAnsi="宋体" w:cs="宋体"/>
          <w:color w:val="000000"/>
          <w:sz w:val="24"/>
          <w:highlight w:val="none"/>
          <w:lang w:bidi="ar"/>
        </w:rPr>
        <w:t xml:space="preserve">处置医疗废物，应符合国家规定的环境保护、卫生标准、规范。</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12.投标人</w:t>
      </w:r>
      <w:r>
        <w:rPr>
          <w:rFonts w:ascii="宋体" w:hAnsi="宋体" w:cs="宋体"/>
          <w:color w:val="000000"/>
          <w:sz w:val="24"/>
          <w:highlight w:val="none"/>
          <w:lang w:bidi="ar"/>
        </w:rPr>
        <w:t xml:space="preserve">负责处理、处置</w:t>
      </w:r>
      <w:r>
        <w:rPr>
          <w:rFonts w:hint="eastAsia" w:ascii="宋体" w:hAnsi="宋体" w:cs="宋体"/>
          <w:color w:val="000000"/>
          <w:sz w:val="24"/>
          <w:highlight w:val="none"/>
          <w:lang w:bidi="ar"/>
        </w:rPr>
        <w:t xml:space="preserve">采购人</w:t>
      </w:r>
      <w:r>
        <w:rPr>
          <w:rFonts w:ascii="宋体" w:hAnsi="宋体" w:cs="宋体"/>
          <w:color w:val="000000"/>
          <w:sz w:val="24"/>
          <w:highlight w:val="none"/>
          <w:lang w:bidi="ar"/>
        </w:rPr>
        <w:t xml:space="preserve">的医疗废物，并承担该废物运输、处置过程中的法律责任和义务。</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13.投标人需科学规划运输线路、优化收运排班，合理统筹调度运力，全面保障采购人医疗废物运输需求</w:t>
      </w:r>
      <w:r>
        <w:rPr>
          <w:rFonts w:ascii="宋体" w:hAnsi="宋体" w:cs="宋体"/>
          <w:color w:val="000000"/>
          <w:sz w:val="24"/>
          <w:highlight w:val="none"/>
          <w:lang w:bidi="ar"/>
        </w:rPr>
        <w:t xml:space="preserve">。</w:t>
      </w:r>
      <w:r>
        <w:rPr>
          <w:rFonts w:ascii="宋体" w:hAnsi="宋体" w:cs="宋体"/>
          <w:color w:val="000000"/>
          <w:sz w:val="24"/>
          <w:highlight w:val="none"/>
          <w:lang w:bidi="ar"/>
        </w:rPr>
      </w:r>
      <w:r/>
    </w:p>
    <w:p>
      <w:pPr>
        <w:pStyle w:val="1072"/>
        <w:ind w:firstLine="482"/>
        <w:spacing w:before="120"/>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rPr>
        <w:t xml:space="preserve">（三）采购标的对应的中小企业划分标准所属行业一览表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100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常州市第一人民医院医疗废物处置及运输服务项目 </w:t>
            </w:r>
            <w:r>
              <w:rPr>
                <w:rFonts w:hint="eastAsia" w:ascii="宋体" w:hAnsi="宋体" w:cs="宋体"/>
                <w:color w:val="000000"/>
                <w:sz w:val="24"/>
                <w:highlight w:val="none"/>
              </w:rPr>
            </w:r>
            <w:r/>
          </w:p>
        </w:tc>
        <w:tc>
          <w:tcPr>
            <w:tcW w:w="2332"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其他未列明行业</w:t>
            </w:r>
            <w:r>
              <w:rPr>
                <w:rFonts w:ascii="宋体" w:hAnsi="宋体" w:cs="宋体"/>
                <w:color w:val="000000"/>
                <w:sz w:val="24"/>
                <w:highlight w:val="none"/>
              </w:rPr>
            </w:r>
            <w:r/>
          </w:p>
        </w:tc>
      </w:tr>
    </w:tbl>
    <w:p>
      <w:pPr>
        <w:pStyle w:val="1004"/>
        <w:jc w:val="center"/>
        <w:spacing w:line="360" w:lineRule="auto"/>
        <w:rPr>
          <w:rFonts w:hint="eastAsia"/>
          <w:b/>
          <w:color w:val="000000"/>
          <w:sz w:val="36"/>
          <w:szCs w:val="36"/>
          <w:highlight w:val="none"/>
        </w:rPr>
        <w:outlineLvl w:val="0"/>
      </w:pPr>
      <w:r/>
      <w:bookmarkStart w:id="839" w:name="_Toc195013695"/>
      <w:r>
        <w:rPr>
          <w:b/>
          <w:color w:val="000000"/>
          <w:sz w:val="36"/>
          <w:szCs w:val="36"/>
          <w:highlight w:val="none"/>
        </w:rPr>
        <w:br w:type="page" w:clear="all"/>
      </w:r>
      <w:r>
        <w:rPr>
          <w:b/>
          <w:color w:val="000000"/>
          <w:sz w:val="36"/>
          <w:szCs w:val="36"/>
          <w:highlight w:val="none"/>
        </w:rPr>
        <w:t xml:space="preserve">第六章   拟签订的合同文本</w:t>
      </w:r>
      <w:bookmarkEnd w:id="839"/>
      <w:r>
        <w:rPr>
          <w:rFonts w:hint="eastAsia"/>
          <w:b/>
          <w:color w:val="000000"/>
          <w:sz w:val="36"/>
          <w:szCs w:val="36"/>
          <w:highlight w:val="none"/>
        </w:rPr>
      </w:r>
      <w:r/>
    </w:p>
    <w:p>
      <w:pPr>
        <w:pStyle w:val="1004"/>
        <w:jc w:val="center"/>
        <w:rPr>
          <w:rFonts w:hint="eastAsia"/>
          <w:b/>
          <w:bCs/>
          <w:color w:val="000000"/>
          <w:sz w:val="36"/>
          <w:szCs w:val="36"/>
          <w:highlight w:val="none"/>
        </w:rPr>
      </w:pPr>
      <w:r>
        <w:rPr>
          <w:rFonts w:hint="eastAsia"/>
          <w:b/>
          <w:bCs/>
          <w:color w:val="000000"/>
          <w:sz w:val="36"/>
          <w:szCs w:val="36"/>
          <w:highlight w:val="none"/>
        </w:rPr>
        <w:t xml:space="preserve">常州市第一人民医院医疗废物处置及运输服务项目合同</w:t>
      </w:r>
      <w:r>
        <w:rPr>
          <w:rFonts w:hint="eastAsia"/>
          <w:b/>
          <w:bCs/>
          <w:color w:val="000000"/>
          <w:sz w:val="36"/>
          <w:szCs w:val="36"/>
          <w:highlight w:val="none"/>
        </w:rPr>
      </w:r>
      <w:r/>
    </w:p>
    <w:p>
      <w:pPr>
        <w:pStyle w:val="1004"/>
        <w:spacing w:line="360" w:lineRule="auto"/>
        <w:rPr>
          <w:color w:val="000000"/>
          <w:sz w:val="24"/>
          <w:highlight w:val="none"/>
        </w:rPr>
      </w:pPr>
      <w:r>
        <w:rPr>
          <w:color w:val="000000"/>
          <w:sz w:val="24"/>
          <w:highlight w:val="none"/>
        </w:rPr>
      </w:r>
      <w:r/>
    </w:p>
    <w:p>
      <w:pPr>
        <w:pStyle w:val="1004"/>
        <w:ind w:firstLine="482"/>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甲方：</w:t>
      </w:r>
      <w:r>
        <w:rPr>
          <w:rFonts w:hint="eastAsia" w:ascii="宋体" w:hAnsi="宋体" w:cs="宋体"/>
          <w:b/>
          <w:color w:val="000000"/>
          <w:sz w:val="24"/>
          <w:highlight w:val="none"/>
          <w:u w:val="single"/>
        </w:rPr>
        <w:t xml:space="preserve"> 常州市第一人民医院  </w:t>
      </w: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签订时间：</w:t>
      </w:r>
      <w:r>
        <w:rPr>
          <w:rFonts w:hint="eastAsia" w:ascii="宋体" w:hAnsi="宋体" w:cs="宋体"/>
          <w:b/>
          <w:color w:val="000000"/>
          <w:sz w:val="24"/>
          <w:highlight w:val="none"/>
          <w:u w:val="single"/>
        </w:rPr>
        <w:t xml:space="preserve">    年    月   日 </w:t>
      </w:r>
      <w:r>
        <w:rPr>
          <w:rFonts w:hint="eastAsia" w:ascii="宋体" w:hAnsi="宋体" w:cs="宋体"/>
          <w:bCs/>
          <w:color w:val="000000"/>
          <w:sz w:val="24"/>
          <w:highlight w:val="none"/>
        </w:rPr>
        <w:t xml:space="preserve">           </w:t>
      </w:r>
      <w:r>
        <w:rPr>
          <w:rFonts w:hint="eastAsia" w:ascii="宋体" w:hAnsi="宋体" w:cs="宋体"/>
          <w:b/>
          <w:color w:val="000000"/>
          <w:sz w:val="24"/>
          <w:highlight w:val="none"/>
          <w:u w:val="single"/>
        </w:rPr>
      </w:r>
      <w:r/>
    </w:p>
    <w:p>
      <w:pPr>
        <w:pStyle w:val="1004"/>
        <w:ind w:firstLine="482"/>
        <w:jc w:val="left"/>
        <w:spacing w:line="40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u w:val="single"/>
        </w:rPr>
      </w:r>
      <w:r/>
    </w:p>
    <w:p>
      <w:pPr>
        <w:pStyle w:val="1004"/>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1004"/>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甲、乙双方就乙方中标的</w:t>
      </w:r>
      <w:r>
        <w:rPr>
          <w:rFonts w:hint="eastAsia" w:ascii="宋体" w:hAnsi="宋体" w:cs="宋体"/>
          <w:b/>
          <w:color w:val="000000"/>
          <w:sz w:val="24"/>
          <w:highlight w:val="none"/>
          <w:u w:val="single"/>
        </w:rPr>
        <w:t xml:space="preserve"> 常州市第一人民医院医疗废物处置及运输服务项目</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本着平等互利的原则，通过共同协商，根据</w:t>
      </w:r>
      <w:r>
        <w:rPr>
          <w:rFonts w:hint="eastAsia" w:ascii="宋体" w:hAnsi="宋体" w:cs="宋体"/>
          <w:bCs/>
          <w:color w:val="000000"/>
          <w:sz w:val="24"/>
          <w:highlight w:val="none"/>
        </w:rPr>
        <w:t xml:space="preserve">《中华人民共和国民法典》</w:t>
      </w:r>
      <w:r>
        <w:rPr>
          <w:rFonts w:hint="eastAsia" w:ascii="宋体" w:hAnsi="宋体" w:cs="宋体"/>
          <w:color w:val="000000"/>
          <w:sz w:val="24"/>
          <w:highlight w:val="none"/>
        </w:rPr>
        <w:t xml:space="preserve">及有关法律法规，就相关事宜达成如下合同。</w:t>
      </w:r>
      <w:r>
        <w:rPr>
          <w:rFonts w:hint="eastAsia" w:ascii="宋体" w:hAnsi="宋体" w:cs="宋体"/>
          <w:b/>
          <w:color w:val="000000"/>
          <w:sz w:val="24"/>
          <w:highlight w:val="none"/>
        </w:rPr>
      </w:r>
      <w:r/>
    </w:p>
    <w:p>
      <w:pPr>
        <w:pStyle w:val="100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w:t>
      </w:r>
      <w:r>
        <w:rPr>
          <w:rFonts w:hAnsi="宋体" w:cs="宋体"/>
          <w:b/>
          <w:color w:val="000000"/>
          <w:sz w:val="24"/>
          <w:highlight w:val="none"/>
        </w:rPr>
        <w:t xml:space="preserve">合同标的</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乙方按甲方要求，为甲方提供</w:t>
      </w:r>
      <w:r>
        <w:rPr>
          <w:rFonts w:hint="eastAsia" w:ascii="宋体" w:hAnsi="宋体" w:cs="宋体"/>
          <w:bCs/>
          <w:color w:val="000000"/>
          <w:sz w:val="24"/>
          <w:highlight w:val="none"/>
          <w:u w:val="single"/>
        </w:rPr>
        <w:t xml:space="preserve">常州市第一人民医院医疗废物处置及运输服务项目</w:t>
      </w:r>
      <w:r>
        <w:rPr>
          <w:rFonts w:hint="eastAsia" w:ascii="宋体" w:hAnsi="宋体" w:cs="宋体"/>
          <w:color w:val="000000"/>
          <w:sz w:val="24"/>
          <w:highlight w:val="none"/>
        </w:rPr>
        <w:t xml:space="preserve">服务，服务具体内容及要求详见合同文件。</w:t>
      </w:r>
      <w:r>
        <w:rPr>
          <w:rFonts w:hint="eastAsia" w:ascii="宋体" w:hAnsi="宋体" w:cs="宋体"/>
          <w:color w:val="000000"/>
          <w:sz w:val="24"/>
          <w:highlight w:val="none"/>
        </w:rPr>
      </w:r>
      <w:r/>
    </w:p>
    <w:p>
      <w:pPr>
        <w:pStyle w:val="100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w:t>
      </w:r>
      <w:r>
        <w:rPr>
          <w:rFonts w:hAnsi="宋体" w:cs="宋体"/>
          <w:b/>
          <w:color w:val="000000"/>
          <w:sz w:val="24"/>
          <w:highlight w:val="none"/>
        </w:rPr>
        <w:t xml:space="preserve">组成本合同的有关文件</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下列文件是构成合同不可分割的部分，并与本合同具有同等法律效力，</w:t>
      </w:r>
      <w:r>
        <w:rPr>
          <w:rFonts w:hint="eastAsia" w:ascii="宋体" w:hAnsi="宋体" w:cs="宋体"/>
          <w:bCs/>
          <w:color w:val="000000"/>
          <w:sz w:val="24"/>
          <w:highlight w:val="none"/>
        </w:rPr>
        <w:t xml:space="preserve">这些文件包括但不限于：</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公开招标文件（编号：</w:t>
      </w:r>
      <w:r>
        <w:rPr>
          <w:rFonts w:hint="eastAsia" w:ascii="宋体" w:hAnsi="宋体" w:cs="宋体"/>
          <w:color w:val="000000"/>
          <w:sz w:val="24"/>
          <w:highlight w:val="none"/>
          <w:lang w:eastAsia="zh-CN"/>
        </w:rPr>
        <w:t xml:space="preserve">JSZC-320400-ZCCZ-G2026-0014</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乙方提供的投标文件； </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   </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Ansi="宋体" w:cs="宋体"/>
          <w:color w:val="000000"/>
          <w:sz w:val="24"/>
          <w:highlight w:val="none"/>
        </w:rPr>
        <w:t xml:space="preserve">甲乙双方商定的其他文件等。</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04"/>
        <w:numPr>
          <w:ilvl w:val="0"/>
          <w:numId w:val="15"/>
        </w:numPr>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合同价格</w:t>
      </w:r>
      <w:r>
        <w:rPr>
          <w:rFonts w:hint="eastAsia" w:ascii="宋体" w:hAnsi="宋体" w:cs="宋体"/>
          <w:b/>
          <w:color w:val="000000"/>
          <w:sz w:val="24"/>
          <w:highlight w:val="none"/>
        </w:rPr>
      </w:r>
      <w:r/>
    </w:p>
    <w:p>
      <w:pPr>
        <w:pStyle w:val="1004"/>
        <w:ind w:firstLine="480"/>
        <w:spacing w:line="360" w:lineRule="auto"/>
        <w:rPr>
          <w:rFonts w:hAnsi="宋体" w:cs="宋体"/>
          <w:color w:val="000000"/>
          <w:sz w:val="24"/>
          <w:highlight w:val="none"/>
        </w:rPr>
      </w:pPr>
      <w:r>
        <w:rPr>
          <w:rFonts w:hAnsi="宋体" w:cs="宋体"/>
          <w:color w:val="000000"/>
          <w:sz w:val="24"/>
          <w:highlight w:val="none"/>
        </w:rPr>
        <w:t xml:space="preserve">签约合同价格（人民币，下同）：</w:t>
      </w:r>
      <w:r>
        <w:rPr>
          <w:rFonts w:hAnsi="宋体" w:cs="宋体"/>
          <w:color w:val="000000"/>
          <w:sz w:val="24"/>
          <w:highlight w:val="none"/>
          <w:u w:val="single"/>
        </w:rPr>
        <w:t xml:space="preserve">             </w:t>
      </w:r>
      <w:r>
        <w:rPr>
          <w:rFonts w:hAnsi="宋体" w:cs="宋体"/>
          <w:color w:val="000000"/>
          <w:sz w:val="24"/>
          <w:highlight w:val="none"/>
        </w:rPr>
        <w:t xml:space="preserve">元/吨（小写</w:t>
      </w:r>
      <w:r>
        <w:rPr>
          <w:rFonts w:hAnsi="宋体" w:cs="宋体"/>
          <w:color w:val="000000"/>
          <w:sz w:val="24"/>
          <w:highlight w:val="none"/>
          <w:u w:val="single"/>
        </w:rPr>
        <w:t xml:space="preserve">       </w:t>
      </w:r>
      <w:r>
        <w:rPr>
          <w:rFonts w:hAnsi="宋体" w:cs="宋体"/>
          <w:color w:val="000000"/>
          <w:sz w:val="24"/>
          <w:highlight w:val="none"/>
        </w:rPr>
        <w:t xml:space="preserve">）。</w:t>
      </w:r>
      <w:r>
        <w:rPr>
          <w:rFonts w:hAnsi="宋体" w:cs="宋体"/>
          <w:color w:val="000000"/>
          <w:sz w:val="24"/>
          <w:highlight w:val="none"/>
        </w:rPr>
      </w:r>
      <w:r/>
    </w:p>
    <w:p>
      <w:pPr>
        <w:pStyle w:val="1004"/>
        <w:ind w:firstLine="480"/>
        <w:spacing w:line="360" w:lineRule="auto"/>
        <w:rPr>
          <w:rFonts w:hAnsi="宋体" w:cs="宋体"/>
          <w:color w:val="000000"/>
          <w:sz w:val="24"/>
          <w:highlight w:val="none"/>
        </w:rPr>
      </w:pPr>
      <w:r>
        <w:rPr>
          <w:rFonts w:hint="eastAsia" w:ascii="宋体" w:hAnsi="宋体" w:cs="宋体"/>
          <w:color w:val="000000"/>
          <w:sz w:val="24"/>
          <w:highlight w:val="none"/>
          <w:lang w:bidi="ar"/>
        </w:rPr>
        <w:t xml:space="preserve">本项目为固定单价，合同总价应包括招标文件所确定的采购范围相应服务（</w:t>
      </w:r>
      <w:r>
        <w:rPr>
          <w:rFonts w:hint="eastAsia" w:ascii="宋体" w:hAnsi="宋体" w:cs="宋体"/>
          <w:color w:val="000000"/>
          <w:sz w:val="24"/>
          <w:highlight w:val="none"/>
          <w:lang w:val="zh-TW" w:bidi="ar"/>
        </w:rPr>
        <w:t xml:space="preserve">医疗废</w:t>
      </w:r>
      <w:r>
        <w:rPr>
          <w:rFonts w:hint="eastAsia" w:ascii="宋体" w:hAnsi="宋体" w:cs="宋体"/>
          <w:color w:val="000000"/>
          <w:sz w:val="24"/>
          <w:highlight w:val="none"/>
          <w:lang w:val="zh-TW"/>
        </w:rPr>
        <w:t xml:space="preserve">物的收集、运送、贮存、处置等</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的提供</w:t>
      </w:r>
      <w:r>
        <w:rPr>
          <w:rFonts w:ascii="宋体" w:hAnsi="宋体"/>
          <w:color w:val="000000"/>
          <w:sz w:val="24"/>
          <w:highlight w:val="none"/>
        </w:rPr>
        <w:t xml:space="preserve">、</w:t>
      </w:r>
      <w:r>
        <w:rPr>
          <w:rFonts w:hint="eastAsia" w:ascii="宋体" w:hAnsi="宋体"/>
          <w:color w:val="000000"/>
          <w:sz w:val="24"/>
          <w:highlight w:val="none"/>
        </w:rPr>
        <w:t xml:space="preserve">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highlight w:val="none"/>
        </w:rPr>
      </w:r>
      <w:r/>
    </w:p>
    <w:p>
      <w:pPr>
        <w:pStyle w:val="1004"/>
        <w:ind w:firstLine="482"/>
        <w:spacing w:before="79"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四、服务地点：</w:t>
      </w:r>
      <w:r>
        <w:rPr>
          <w:rFonts w:hint="eastAsia" w:ascii="宋体" w:hAnsi="宋体" w:cs="宋体"/>
          <w:bCs/>
          <w:color w:val="000000"/>
          <w:sz w:val="24"/>
          <w:highlight w:val="none"/>
          <w:u w:val="single"/>
        </w:rPr>
        <w:t xml:space="preserve"> 常州市第一人民医院 </w:t>
      </w:r>
      <w:r>
        <w:rPr>
          <w:rFonts w:hint="eastAsia" w:ascii="宋体" w:hAnsi="宋体" w:cs="宋体"/>
          <w:color w:val="000000"/>
          <w:sz w:val="24"/>
          <w:highlight w:val="none"/>
        </w:rPr>
        <w:t xml:space="preserve">，甲方指定地点。</w:t>
      </w:r>
      <w:r>
        <w:rPr>
          <w:rFonts w:hint="eastAsia" w:ascii="宋体" w:hAnsi="宋体" w:cs="宋体"/>
          <w:color w:val="000000"/>
          <w:sz w:val="24"/>
          <w:highlight w:val="none"/>
        </w:rPr>
      </w:r>
      <w:r/>
    </w:p>
    <w:p>
      <w:pPr>
        <w:pStyle w:val="100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五、服务期限</w:t>
      </w:r>
      <w:r>
        <w:rPr>
          <w:rFonts w:hint="eastAsia" w:ascii="宋体" w:hAnsi="宋体" w:cs="宋体"/>
          <w:b/>
          <w:bCs/>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服务期3年。合同一年一签，合同到期经甲方考核合格后签订下一期合同。</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本合同服务期限自2026年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日—2027年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0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六、服务内容</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项目内容包括但不限于全院医疗废物的收集、运送、贮存、处置等；处置范围涵盖固体、液体、化学性、损伤性、病理性、体内植入物等多种医疗废物；年度预估处置量约950吨。</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七、服务内容及要求</w:t>
      </w:r>
      <w:r>
        <w:rPr>
          <w:rFonts w:hint="eastAsia" w:ascii="宋体" w:hAnsi="宋体" w:cs="宋体"/>
          <w:b/>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（一）服务内容</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w:t>
      </w:r>
      <w:r>
        <w:rPr>
          <w:rFonts w:ascii="宋体" w:hAnsi="宋体" w:cs="宋体"/>
          <w:color w:val="000000"/>
          <w:sz w:val="24"/>
          <w:highlight w:val="none"/>
        </w:rPr>
        <w:t xml:space="preserve">需对本项目医疗机构的医疗废物进行统一上门回收、运输和无害化集中处置。</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（二）服务要求</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应建立、健全医疗废物管理责任制，切实履行职责，防止因医疗废物导致传染病传播和环境污染事故。</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应制定与医疗废物安全处置有关的规章制度和在发生意外事故时的应急方案。</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应依照《中华人民共和国固体废物污染环境防治法》的规定，执行危险废物转移联单管理制度。</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对医疗废物进行登记，登记内容应当采用医废信息系统进行登记，内容包括医疗废物的来源、种类、重量或者数量、交接时间、处置方法、最终去向以及经办人签名等项目。电子信息系统登记资料及纸质版至少保存3年。</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应采取有效措施，防止医疗废物流失、泄漏、扩散。</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6.禁止任何单位和个人转让、买卖医疗废物。禁止在运送过程中丢弃、遗撒医疗废物；禁止在非贮存地点倾倒、堆放医疗废物或者将医疗废物混入其他废物和生活垃圾。</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医疗废物集中处置员应当定期取得体检合格证并进行从业培训。</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7.</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应至少每天到</w:t>
      </w:r>
      <w:r>
        <w:rPr>
          <w:rFonts w:hint="eastAsia" w:ascii="宋体" w:hAnsi="宋体" w:cs="宋体"/>
          <w:color w:val="000000"/>
          <w:sz w:val="24"/>
          <w:highlight w:val="none"/>
        </w:rPr>
        <w:t xml:space="preserve">甲方处</w:t>
      </w:r>
      <w:r>
        <w:rPr>
          <w:rFonts w:ascii="宋体" w:hAnsi="宋体" w:cs="宋体"/>
          <w:color w:val="000000"/>
          <w:sz w:val="24"/>
          <w:highlight w:val="none"/>
        </w:rPr>
        <w:t xml:space="preserve">收集、运送一次医疗废物，并负责医疗废物的贮存、处置。运用医废电子信息系统实时上传相关信息并留底备查。如遇特殊情况必要时随叫随到。</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8.</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运送医疗废物，应遵守国家有关危险货物运输管理的规定，使用有明显医疗废物标识的专用车辆配备电子跟踪系统。医疗废物专用车辆应当达到防渗漏、防遗撒以及其他环境保护和卫生要求。             </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9.运送医疗废物的专用车辆使用后，应在医疗废物集中处置场所内及时进行消毒和清洁。</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10.运送医疗废物的专用车辆不得运送其他物品。若车辆半路抛锚，必须在原地等待专用车辆来交接运输。</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处置医疗废物，应符合国家规定的环境保护、卫生标准、规范。</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负责处理、处置</w:t>
      </w:r>
      <w:r>
        <w:rPr>
          <w:rFonts w:hint="eastAsia" w:ascii="宋体" w:hAnsi="宋体" w:cs="宋体"/>
          <w:color w:val="000000"/>
          <w:sz w:val="24"/>
          <w:highlight w:val="none"/>
        </w:rPr>
        <w:t xml:space="preserve">甲方</w:t>
      </w:r>
      <w:r>
        <w:rPr>
          <w:rFonts w:ascii="宋体" w:hAnsi="宋体" w:cs="宋体"/>
          <w:color w:val="000000"/>
          <w:sz w:val="24"/>
          <w:highlight w:val="none"/>
        </w:rPr>
        <w:t xml:space="preserve">的医疗废物，并承担该废物运输、处置过程中的法律责任和义务。</w:t>
      </w:r>
      <w:r>
        <w:rPr>
          <w:rFonts w:ascii="宋体" w:hAnsi="宋体" w:cs="宋体"/>
          <w:color w:val="000000"/>
          <w:sz w:val="24"/>
          <w:highlight w:val="none"/>
        </w:rPr>
      </w:r>
      <w:r/>
    </w:p>
    <w:p>
      <w:pPr>
        <w:pStyle w:val="1004"/>
        <w:ind w:firstLine="480"/>
        <w:spacing w:line="360" w:lineRule="auto"/>
        <w:rPr>
          <w:rFonts w:ascii="宋体" w:hAnsi="宋体" w:cs="宋体"/>
          <w:b/>
          <w:color w:val="000000"/>
          <w:sz w:val="24"/>
          <w:highlight w:val="none"/>
        </w:rPr>
      </w:pPr>
      <w:r>
        <w:rPr>
          <w:rFonts w:ascii="宋体" w:hAnsi="宋体" w:cs="宋体"/>
          <w:color w:val="000000"/>
          <w:sz w:val="24"/>
          <w:highlight w:val="none"/>
        </w:rPr>
        <w:t xml:space="preserve">13.</w:t>
      </w:r>
      <w:r>
        <w:rPr>
          <w:rFonts w:hint="eastAsia" w:ascii="宋体" w:hAnsi="宋体" w:cs="宋体"/>
          <w:color w:val="000000"/>
          <w:sz w:val="24"/>
          <w:highlight w:val="none"/>
        </w:rPr>
        <w:t xml:space="preserve">乙方需科学规划运输线路、优化收运排班，合理统筹调度运力，全面保障甲方医疗废物运输需求。</w:t>
      </w:r>
      <w:r>
        <w:rPr>
          <w:rFonts w:ascii="宋体" w:hAnsi="宋体" w:cs="宋体"/>
          <w:b/>
          <w:color w:val="000000"/>
          <w:sz w:val="24"/>
          <w:highlight w:val="none"/>
        </w:rPr>
      </w:r>
      <w:r/>
    </w:p>
    <w:p>
      <w:pPr>
        <w:pStyle w:val="1004"/>
        <w:ind w:firstLine="482"/>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八、合同款结算及支付</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3.结算原则：固定综合单价，按实结算。</w:t>
      </w:r>
      <w:r>
        <w:rPr>
          <w:rFonts w:hint="eastAsia" w:ascii="宋体" w:hAnsi="宋体" w:cs="宋体"/>
          <w:color w:val="000000"/>
          <w:sz w:val="24"/>
          <w:highlight w:val="none"/>
        </w:rPr>
      </w:r>
      <w:r/>
    </w:p>
    <w:p>
      <w:pPr>
        <w:pStyle w:val="1004"/>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4.付款方式：合同生效后每月底前结算上月费用（按实际产生量结算）。</w:t>
      </w:r>
      <w:r>
        <w:rPr>
          <w:rFonts w:hint="eastAsia" w:ascii="宋体" w:hAnsi="宋体" w:cs="宋体"/>
          <w:b/>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九、违约责任  </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1.合同履行期限内，非乙方原因，甲方提前解除合同，甲方应支付乙方已经完成工作量对应的服务费用，甲方应支付乙方合同发生费用总额的10％违约金。</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2.合同履行期限内，非甲方原因，乙方提前解除合同，乙方应支付甲方合同已发生费用总额的10％违约金并承担甲方因此导致的所有损失。</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3.因不可抗力原因，致使一方不能履行合同，不承担违约责任，但应将情况尽快通知另一方，并应尽量减少由此发生的损失。</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十、不可抗力</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1.不可抗力是指不能预见、不能避免并不能克服的客观情况。</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受到不可抗力影响的一方应在不可抗力事件发生后2周内（含本数），取得有关部门关于发生不可抗力事件的证明文件，并以传真等书面形式提交另一方确认。否则，无权以不可抗力为由要求减轻或免除合同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4.如果不可抗力事件的影响已达30天或双方预计不可抗力事件的影响将延续30天以上（含本数）时，任何一方有权终止本合同。由于合同终止所引起的后续问题由双方友好协商解决。</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十一、合同的解除</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1.甲方和乙方协商一致，可以解除合同。</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2.有权解除合同的一方，应当在违约事实或不可抗力发生之后三十天内书面通知对方提出解除合同，合同在书面通知到达对方时解除。</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3.合同的部分和全部乙方都不得擅自转让，否则甲方有权直接解除本合同并追究乙方的违约责任。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4.出现下列情况之一甲方可以单方面解除合同：</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（1）对乙方有效投诉记录累计达3次；</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（2）在合同有效期内，乙方被行业主管部门取消经营资格的；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（3）在合同有效期内，乙方擅自变更、转让、租借本次招标范围内的定点服务资格的；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（4）乙方不如实反映情况，提供虚假材料的；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（5）乙方未按承诺的价格提供服务的。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（6）招标文件约定的可解除合同的情况出现。</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5.乙方在任何情况下都不得用任何不正当行为影响、干扰委托单位。一经发现可立即解除合同，同时提请有关部门追究有关当事人的责任。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十二、争议处置</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1.在执行本合同中所发生的一切争议，甲乙双方应通过友好协商的办法进行解决，如协商不能解决的，有关当事方可向甲方所在地人民法院提起诉讼。</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十三、合同生效</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本合同经双方盖章签字后生效，如有变动，必须经甲乙双方协商一致后，方可更改。本合同一式陆份，甲方肆份，乙方壹份，代理机构壹份。其他未尽事宜，参照相关法律，双方协商解决。</w:t>
      </w:r>
      <w:r>
        <w:rPr>
          <w:rFonts w:hint="eastAsia" w:ascii="宋体" w:hAnsi="宋体" w:cs="宋体"/>
          <w:color w:val="000000"/>
          <w:sz w:val="24"/>
          <w:highlight w:val="none"/>
        </w:rPr>
      </w:r>
      <w:r/>
    </w:p>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甲方：单位名称（章）：          乙方：单位名称（章）：</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hint="eastAsia" w:ascii="宋体" w:hAnsi="宋体" w:cs="宋体"/>
          <w:color w:val="000000"/>
          <w:sz w:val="24"/>
          <w:highlight w:val="none"/>
          <w:u w:val="singl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法定代表人（或委托代理人）：</w:t>
      </w:r>
      <w:r>
        <w:rPr>
          <w:rFonts w:hint="eastAsia" w:ascii="宋体" w:hAnsi="宋体" w:cs="宋体"/>
          <w:color w:val="000000"/>
          <w:sz w:val="24"/>
          <w:highlight w:val="none"/>
        </w:rPr>
      </w:r>
      <w:r/>
    </w:p>
    <w:p>
      <w:pPr>
        <w:pStyle w:val="1004"/>
        <w:ind w:firstLine="480"/>
        <w:spacing w:line="360" w:lineRule="auto"/>
        <w:rPr>
          <w:b/>
          <w:bCs/>
          <w:color w:val="000000"/>
          <w:sz w:val="28"/>
          <w:szCs w:val="28"/>
          <w:highlight w:val="none"/>
        </w:rPr>
      </w:pPr>
      <w:r>
        <w:rPr>
          <w:rFonts w:hint="eastAsia" w:ascii="宋体" w:hAnsi="宋体" w:cs="宋体"/>
          <w:color w:val="000000"/>
          <w:sz w:val="24"/>
          <w:highlight w:val="none"/>
        </w:rPr>
        <w:t xml:space="preserve">电  话：                        电  话：</w:t>
      </w:r>
      <w:r>
        <w:rPr>
          <w:b/>
          <w:bCs/>
          <w:color w:val="000000"/>
          <w:sz w:val="28"/>
          <w:szCs w:val="28"/>
          <w:highlight w:val="none"/>
        </w:rPr>
      </w:r>
      <w:r/>
    </w:p>
    <w:p>
      <w:pPr>
        <w:pStyle w:val="1004"/>
        <w:ind w:firstLine="4320"/>
        <w:spacing w:line="384" w:lineRule="auto"/>
        <w:rPr>
          <w:rFonts w:ascii="宋体" w:hAnsi="宋体" w:cs="宋体"/>
          <w:color w:val="000000"/>
          <w:sz w:val="24"/>
          <w:highlight w:val="none"/>
        </w:rPr>
      </w:pPr>
      <w:r>
        <w:rPr>
          <w:rFonts w:hint="eastAsia" w:ascii="宋体" w:hAnsi="宋体" w:cs="宋体"/>
          <w:color w:val="000000"/>
          <w:sz w:val="24"/>
          <w:highlight w:val="none"/>
        </w:rPr>
        <w:t xml:space="preserve">开户行：</w:t>
      </w:r>
      <w:r>
        <w:rPr>
          <w:rFonts w:ascii="宋体" w:hAnsi="宋体" w:cs="宋体"/>
          <w:color w:val="000000"/>
          <w:sz w:val="24"/>
          <w:highlight w:val="none"/>
        </w:rPr>
      </w:r>
      <w:r/>
    </w:p>
    <w:p>
      <w:pPr>
        <w:pStyle w:val="1004"/>
        <w:ind w:firstLine="540"/>
        <w:spacing w:line="384" w:lineRule="auto"/>
        <w:rPr>
          <w:rFonts w:hint="eastAsia" w:ascii="宋体" w:hAnsi="宋体" w:cs="宋体"/>
          <w:color w:val="000000"/>
          <w:sz w:val="24"/>
          <w:highlight w:val="none"/>
        </w:rPr>
      </w:pPr>
      <w:r>
        <w:rPr>
          <w:rFonts w:hint="eastAsia" w:ascii="宋体" w:hAnsi="宋体" w:cs="宋体"/>
          <w:color w:val="000000"/>
          <w:sz w:val="24"/>
          <w:highlight w:val="none"/>
        </w:rPr>
        <w:t xml:space="preserve">                                账 号：</w:t>
      </w:r>
      <w:r>
        <w:rPr>
          <w:rFonts w:hint="eastAsia" w:ascii="宋体" w:hAnsi="宋体" w:cs="宋体"/>
          <w:color w:val="000000"/>
          <w:sz w:val="24"/>
          <w:highlight w:val="none"/>
        </w:rPr>
      </w:r>
      <w:r/>
    </w:p>
    <w:p>
      <w:pPr>
        <w:pStyle w:val="1085"/>
        <w:ind w:firstLine="480"/>
        <w:rPr>
          <w:color w:val="000000"/>
          <w:highlight w:val="none"/>
        </w:rPr>
      </w:pPr>
      <w:r>
        <w:rPr>
          <w:rFonts w:hint="eastAsia" w:cs="宋体"/>
          <w:color w:val="000000"/>
          <w:sz w:val="24"/>
          <w:highlight w:val="none"/>
        </w:rPr>
        <w:t xml:space="preserve">日期：  年  月   日             日期：  年  月   日</w:t>
      </w:r>
      <w:r>
        <w:rPr>
          <w:color w:val="000000"/>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540"/>
        <w:spacing w:line="384" w:lineRule="auto"/>
        <w:rPr>
          <w:rFonts w:ascii="宋体" w:hAnsi="宋体" w:cs="宋体"/>
          <w:color w:val="000000"/>
          <w:sz w:val="24"/>
          <w:highlight w:val="none"/>
        </w:rPr>
      </w:pPr>
      <w:r>
        <w:rPr>
          <w:rFonts w:hint="eastAsia" w:ascii="宋体" w:hAnsi="宋体" w:cs="宋体"/>
          <w:color w:val="000000"/>
          <w:sz w:val="24"/>
          <w:highlight w:val="none"/>
        </w:rPr>
        <w:t xml:space="preserve">备案方(盖章)：</w:t>
      </w:r>
      <w:r>
        <w:rPr>
          <w:rFonts w:ascii="宋体" w:hAnsi="宋体" w:cs="宋体"/>
          <w:color w:val="000000"/>
          <w:sz w:val="24"/>
          <w:highlight w:val="none"/>
        </w:rPr>
      </w:r>
      <w:r/>
    </w:p>
    <w:p>
      <w:pPr>
        <w:pStyle w:val="1004"/>
        <w:ind w:firstLine="540"/>
        <w:spacing w:line="384"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rPr>
          <w:rFonts w:ascii="宋体" w:hAnsi="宋体" w:cs="宋体"/>
          <w:color w:val="000000"/>
          <w:sz w:val="24"/>
          <w:highlight w:val="none"/>
        </w:rPr>
      </w:r>
      <w:r/>
    </w:p>
    <w:p>
      <w:pPr>
        <w:pStyle w:val="1004"/>
        <w:ind w:firstLine="540"/>
        <w:spacing w:line="384"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    </w:t>
      </w:r>
      <w:r>
        <w:rPr>
          <w:rFonts w:hint="eastAsia" w:ascii="宋体" w:hAnsi="宋体" w:cs="宋体"/>
          <w:color w:val="000000"/>
          <w:sz w:val="24"/>
          <w:highlight w:val="none"/>
        </w:rPr>
      </w:r>
      <w:r/>
    </w:p>
    <w:p>
      <w:pPr>
        <w:pStyle w:val="1004"/>
        <w:spacing w:line="360" w:lineRule="auto"/>
        <w:rPr>
          <w:rFonts w:ascii="宋体" w:hAnsi="宋体"/>
          <w:color w:val="000000"/>
          <w:sz w:val="24"/>
          <w:highlight w:val="none"/>
        </w:rPr>
      </w:pPr>
      <w:r>
        <w:rPr>
          <w:rFonts w:ascii="宋体" w:hAnsi="宋体"/>
          <w:color w:val="000000"/>
          <w:sz w:val="24"/>
          <w:highlight w:val="none"/>
        </w:rPr>
      </w:r>
      <w:r/>
    </w:p>
    <w:p>
      <w:pPr>
        <w:pStyle w:val="1004"/>
        <w:jc w:val="center"/>
        <w:pageBreakBefore/>
        <w:spacing w:line="360" w:lineRule="auto"/>
        <w:rPr>
          <w:b/>
          <w:color w:val="000000"/>
          <w:sz w:val="36"/>
          <w:szCs w:val="36"/>
          <w:highlight w:val="none"/>
        </w:rPr>
        <w:outlineLvl w:val="0"/>
      </w:pPr>
      <w:r/>
      <w:bookmarkStart w:id="840" w:name="_Toc195013696"/>
      <w:r>
        <w:rPr>
          <w:b/>
          <w:color w:val="000000"/>
          <w:sz w:val="36"/>
          <w:szCs w:val="36"/>
          <w:highlight w:val="none"/>
        </w:rPr>
        <w:t xml:space="preserve">第七章   投标文件格式</w:t>
      </w:r>
      <w:bookmarkEnd w:id="840"/>
      <w:r>
        <w:rPr>
          <w:b/>
          <w:color w:val="000000"/>
          <w:sz w:val="36"/>
          <w:szCs w:val="36"/>
          <w:highlight w:val="none"/>
        </w:rPr>
      </w:r>
      <w:r/>
    </w:p>
    <w:p>
      <w:pPr>
        <w:pStyle w:val="100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4"/>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04"/>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0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04"/>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04"/>
        <w:jc w:val="left"/>
        <w:keepLines/>
        <w:keepNext/>
        <w:spacing w:before="120" w:line="300" w:lineRule="auto"/>
        <w:rPr>
          <w:b/>
          <w:color w:val="000000"/>
          <w:spacing w:val="20"/>
          <w:sz w:val="24"/>
          <w:highlight w:val="none"/>
        </w:rPr>
        <w:outlineLvl w:val="1"/>
      </w:pPr>
      <w:r>
        <w:rPr>
          <w:color w:val="000000"/>
          <w:highlight w:val="none"/>
        </w:rPr>
        <w:br w:type="page" w:clear="all"/>
      </w:r>
      <w:bookmarkEnd w:id="784"/>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b/>
          <w:color w:val="000000"/>
          <w:spacing w:val="20"/>
          <w:sz w:val="24"/>
          <w:highlight w:val="none"/>
        </w:rPr>
        <w:t xml:space="preserve">一、资格证明文件格式</w:t>
      </w:r>
      <w:r>
        <w:rPr>
          <w:b/>
          <w:color w:val="000000"/>
          <w:spacing w:val="20"/>
          <w:sz w:val="24"/>
          <w:highlight w:val="none"/>
        </w:rPr>
      </w:r>
      <w:r/>
    </w:p>
    <w:p>
      <w:pPr>
        <w:pStyle w:val="1004"/>
        <w:rPr>
          <w:b/>
          <w:color w:val="000000"/>
          <w:spacing w:val="20"/>
          <w:szCs w:val="21"/>
          <w:highlight w:val="none"/>
        </w:rPr>
      </w:pPr>
      <w:r>
        <w:rPr>
          <w:b/>
          <w:color w:val="000000"/>
          <w:spacing w:val="20"/>
          <w:szCs w:val="21"/>
          <w:highlight w:val="none"/>
        </w:rPr>
      </w:r>
      <w:r/>
    </w:p>
    <w:p>
      <w:pPr>
        <w:pStyle w:val="1004"/>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color w:val="000000"/>
          <w:highlight w:val="none"/>
        </w:rPr>
      </w:pPr>
      <w:r>
        <w:rPr>
          <w:color w:val="000000"/>
          <w:highlight w:val="none"/>
        </w:rPr>
      </w:r>
      <w:r/>
    </w:p>
    <w:p>
      <w:pPr>
        <w:pStyle w:val="1004"/>
        <w:jc w:val="center"/>
        <w:rPr>
          <w:color w:val="000000"/>
          <w:szCs w:val="21"/>
          <w:highlight w:val="none"/>
        </w:rPr>
      </w:pPr>
      <w:r>
        <w:rPr>
          <w:color w:val="000000"/>
          <w:szCs w:val="21"/>
          <w:highlight w:val="none"/>
        </w:rPr>
      </w:r>
      <w:r/>
    </w:p>
    <w:p>
      <w:pPr>
        <w:pStyle w:val="100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0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4"/>
        <w:ind w:firstLine="542"/>
        <w:rPr>
          <w:b/>
          <w:color w:val="000000"/>
          <w:spacing w:val="20"/>
          <w:sz w:val="32"/>
          <w:szCs w:val="32"/>
          <w:highlight w:val="none"/>
        </w:rPr>
      </w:pPr>
      <w:r>
        <w:rPr>
          <w:b/>
          <w:color w:val="000000"/>
          <w:spacing w:val="20"/>
          <w:sz w:val="32"/>
          <w:szCs w:val="32"/>
          <w:highlight w:val="none"/>
        </w:rPr>
      </w:r>
      <w:r/>
    </w:p>
    <w:p>
      <w:pPr>
        <w:pStyle w:val="1004"/>
        <w:ind w:firstLine="542"/>
        <w:rPr>
          <w:b/>
          <w:color w:val="000000"/>
          <w:spacing w:val="20"/>
          <w:sz w:val="32"/>
          <w:szCs w:val="32"/>
          <w:highlight w:val="none"/>
        </w:rPr>
      </w:pPr>
      <w:r>
        <w:rPr>
          <w:b/>
          <w:color w:val="000000"/>
          <w:spacing w:val="20"/>
          <w:sz w:val="32"/>
          <w:szCs w:val="32"/>
          <w:highlight w:val="none"/>
        </w:rPr>
      </w:r>
      <w:r/>
    </w:p>
    <w:p>
      <w:pPr>
        <w:pStyle w:val="100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4"/>
        <w:jc w:val="center"/>
        <w:rPr>
          <w:b/>
          <w:color w:val="000000"/>
          <w:sz w:val="32"/>
          <w:szCs w:val="32"/>
          <w:highlight w:val="none"/>
        </w:rPr>
      </w:pPr>
      <w:r>
        <w:rPr>
          <w:b/>
          <w:color w:val="000000"/>
          <w:sz w:val="32"/>
          <w:szCs w:val="32"/>
          <w:highlight w:val="none"/>
        </w:rPr>
      </w:r>
      <w:r/>
    </w:p>
    <w:p>
      <w:pPr>
        <w:pStyle w:val="1004"/>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04"/>
        <w:rPr>
          <w:b/>
          <w:color w:val="000000"/>
          <w:highlight w:val="none"/>
        </w:rPr>
      </w:pPr>
      <w:r>
        <w:rPr>
          <w:b/>
          <w:color w:val="000000"/>
          <w:highlight w:val="none"/>
        </w:rPr>
      </w:r>
      <w:r/>
    </w:p>
    <w:p>
      <w:pPr>
        <w:pStyle w:val="100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0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0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0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018"/>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18"/>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18"/>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18"/>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18"/>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04"/>
        <w:spacing w:line="360" w:lineRule="auto"/>
        <w:rPr>
          <w:rFonts w:hint="eastAsia"/>
          <w:color w:val="000000"/>
          <w:sz w:val="24"/>
          <w:highlight w:val="none"/>
        </w:rPr>
      </w:pPr>
      <w:r>
        <w:rPr>
          <w:rFonts w:hint="eastAsia"/>
          <w:color w:val="000000"/>
          <w:sz w:val="24"/>
          <w:highlight w:val="none"/>
        </w:rPr>
      </w:r>
      <w:r/>
    </w:p>
    <w:p>
      <w:pPr>
        <w:pStyle w:val="1004"/>
        <w:spacing w:line="360" w:lineRule="auto"/>
        <w:rPr>
          <w:rFonts w:hint="eastAsia"/>
          <w:color w:val="000000"/>
          <w:sz w:val="24"/>
          <w:highlight w:val="none"/>
        </w:rPr>
      </w:pPr>
      <w:r>
        <w:rPr>
          <w:rFonts w:hint="eastAsia"/>
          <w:color w:val="000000"/>
          <w:sz w:val="24"/>
          <w:highlight w:val="none"/>
        </w:rPr>
      </w:r>
      <w:r/>
    </w:p>
    <w:p>
      <w:pPr>
        <w:pStyle w:val="1004"/>
        <w:spacing w:line="360" w:lineRule="auto"/>
        <w:rPr>
          <w:rFonts w:hint="eastAsia"/>
          <w:color w:val="000000"/>
          <w:sz w:val="24"/>
          <w:highlight w:val="none"/>
        </w:rPr>
      </w:pPr>
      <w:r>
        <w:rPr>
          <w:rFonts w:hint="eastAsia"/>
          <w:color w:val="000000"/>
          <w:sz w:val="24"/>
          <w:highlight w:val="none"/>
        </w:rPr>
      </w:r>
      <w:r/>
    </w:p>
    <w:p>
      <w:pPr>
        <w:pStyle w:val="100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7"/>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1004"/>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1004"/>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004"/>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1004"/>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04"/>
        <w:jc w:val="left"/>
        <w:widowControl/>
        <w:rPr>
          <w:color w:val="000000"/>
          <w:sz w:val="24"/>
          <w:highlight w:val="none"/>
        </w:rPr>
      </w:pPr>
      <w:r>
        <w:rPr>
          <w:color w:val="000000"/>
          <w:sz w:val="24"/>
          <w:highlight w:val="none"/>
        </w:rPr>
      </w:r>
      <w:r/>
    </w:p>
    <w:p>
      <w:pPr>
        <w:pStyle w:val="1004"/>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04"/>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004"/>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（1）投标人具备生态环境部门核发的有效《危险废物经营许可证》（经营范围包含：处置医疗废物HW01,841-001-01,841-002-01）；</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cs="宋体"/>
          <w:color w:val="000000"/>
          <w:sz w:val="24"/>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spacing w:line="360" w:lineRule="auto"/>
        <w:rPr>
          <w:rFonts w:hint="eastAsia"/>
          <w:color w:val="000000"/>
          <w:sz w:val="24"/>
          <w:szCs w:val="20"/>
          <w:highlight w:val="none"/>
        </w:rPr>
      </w:pPr>
      <w:r>
        <w:rPr>
          <w:rFonts w:hint="eastAsia"/>
          <w:color w:val="000000"/>
          <w:sz w:val="24"/>
          <w:szCs w:val="20"/>
          <w:highlight w:val="none"/>
        </w:rPr>
      </w:r>
      <w:r/>
    </w:p>
    <w:p>
      <w:pPr>
        <w:pStyle w:val="1004"/>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1" w:name="_Toc520356217"/>
      <w:r/>
      <w:bookmarkStart w:id="842" w:name="_Ref467988698"/>
      <w:r/>
      <w:bookmarkStart w:id="843" w:name="_Toc195842921"/>
      <w:r/>
      <w:bookmarkStart w:id="844" w:name="_Toc142311058"/>
      <w:r/>
      <w:bookmarkStart w:id="845" w:name="_Toc127151556"/>
      <w:r/>
      <w:bookmarkStart w:id="846" w:name="_Toc226337252"/>
      <w:r/>
      <w:bookmarkStart w:id="847" w:name="_Toc226965746"/>
      <w:r/>
      <w:bookmarkStart w:id="848" w:name="_Toc480942349"/>
      <w:r/>
      <w:bookmarkStart w:id="849" w:name="_Toc150480794"/>
      <w:r/>
      <w:bookmarkStart w:id="850" w:name="_Toc226309800"/>
      <w:r/>
      <w:bookmarkStart w:id="851" w:name="_Toc150774761"/>
      <w:r/>
      <w:bookmarkStart w:id="852" w:name="_Toc226965829"/>
      <w:r>
        <w:rPr>
          <w:rFonts w:hint="eastAsia"/>
          <w:b/>
          <w:color w:val="000000"/>
          <w:spacing w:val="20"/>
          <w:sz w:val="24"/>
          <w:highlight w:val="none"/>
        </w:rPr>
      </w:r>
      <w:r/>
    </w:p>
    <w:p>
      <w:pPr>
        <w:pStyle w:val="100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04"/>
        <w:spacing w:line="360" w:lineRule="auto"/>
        <w:tabs>
          <w:tab w:val="left" w:pos="5580" w:leader="none"/>
        </w:tabs>
        <w:rPr>
          <w:color w:val="000000"/>
          <w:sz w:val="24"/>
          <w:highlight w:val="none"/>
        </w:rPr>
      </w:pPr>
      <w:r>
        <w:rPr>
          <w:color w:val="000000"/>
          <w:sz w:val="24"/>
          <w:highlight w:val="none"/>
        </w:rPr>
      </w:r>
      <w:r/>
    </w:p>
    <w:p>
      <w:pPr>
        <w:pStyle w:val="100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0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1004"/>
        <w:spacing w:line="360" w:lineRule="auto"/>
        <w:tabs>
          <w:tab w:val="left" w:pos="5580" w:leader="none"/>
        </w:tabs>
        <w:rPr>
          <w:color w:val="000000"/>
          <w:sz w:val="24"/>
          <w:szCs w:val="20"/>
          <w:highlight w:val="none"/>
        </w:rPr>
      </w:pP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bookmarkStart w:id="853"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4" w:name="OLE_LINK46"/>
      <w:r/>
      <w:bookmarkStart w:id="855" w:name="OLE_LINK45"/>
      <w:r>
        <w:rPr>
          <w:color w:val="000000"/>
          <w:sz w:val="24"/>
          <w:szCs w:val="20"/>
          <w:highlight w:val="none"/>
        </w:rPr>
        <w:t xml:space="preserve">_____</w:t>
      </w:r>
      <w:bookmarkEnd w:id="854"/>
      <w:r/>
      <w:bookmarkEnd w:id="855"/>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3"/>
      <w:r>
        <w:rPr>
          <w:color w:val="000000"/>
          <w:sz w:val="24"/>
          <w:szCs w:val="20"/>
          <w:highlight w:val="none"/>
        </w:rPr>
        <w:t xml:space="preserve">    </w:t>
      </w:r>
      <w:r>
        <w:rPr>
          <w:color w:val="000000"/>
          <w:sz w:val="24"/>
          <w:szCs w:val="20"/>
          <w:highlight w:val="none"/>
        </w:rPr>
      </w:r>
      <w:r/>
    </w:p>
    <w:p>
      <w:pPr>
        <w:pStyle w:val="100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04"/>
        <w:jc w:val="left"/>
        <w:widowControl/>
        <w:rPr>
          <w:rFonts w:hint="eastAsia"/>
          <w:color w:val="000000"/>
          <w:sz w:val="24"/>
          <w:highlight w:val="none"/>
        </w:rPr>
      </w:pPr>
      <w:r/>
      <w:bookmarkStart w:id="856" w:name="_Hlt520355938"/>
      <w:r/>
      <w:bookmarkEnd w:id="856"/>
      <w:r/>
      <w:bookmarkStart w:id="857" w:name="_Hlt520356243"/>
      <w:r/>
      <w:bookmarkEnd w:id="857"/>
      <w:r>
        <w:rPr>
          <w:rFonts w:hint="eastAsia"/>
          <w:color w:val="000000"/>
          <w:sz w:val="24"/>
          <w:highlight w:val="none"/>
        </w:rPr>
      </w:r>
      <w:r/>
    </w:p>
    <w:p>
      <w:pPr>
        <w:pStyle w:val="1004"/>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00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035"/>
        <w:tabs>
          <w:tab w:val="left" w:pos="567" w:leader="none"/>
        </w:tabs>
        <w:rPr>
          <w:color w:val="000000"/>
          <w:highlight w:val="none"/>
        </w:rPr>
      </w:pPr>
      <w:r>
        <w:rPr>
          <w:color w:val="000000"/>
          <w:highlight w:val="none"/>
        </w:rPr>
      </w:r>
      <w:r/>
    </w:p>
    <w:p>
      <w:pPr>
        <w:pStyle w:val="1135"/>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135"/>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35"/>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135"/>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00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00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135"/>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135"/>
        <w:ind w:firstLine="480"/>
        <w:spacing w:line="360" w:lineRule="auto"/>
        <w:tabs>
          <w:tab w:val="left" w:pos="360" w:leader="none"/>
        </w:tabs>
        <w:rPr>
          <w:color w:val="000000"/>
          <w:highlight w:val="none"/>
        </w:rPr>
      </w:pPr>
      <w:r>
        <w:rPr>
          <w:rFonts w:hint="eastAsia"/>
          <w:color w:val="000000"/>
          <w:highlight w:val="none"/>
        </w:rPr>
        <w:t xml:space="preserve">      日期：</w:t>
      </w:r>
      <w:bookmarkStart w:id="858" w:name="_Hlt26955070"/>
      <w:r/>
      <w:bookmarkEnd w:id="858"/>
      <w:r/>
      <w:bookmarkStart w:id="859" w:name="_格式3__银行出具的资信证明"/>
      <w:r/>
      <w:bookmarkEnd w:id="859"/>
      <w:r/>
      <w:bookmarkStart w:id="860" w:name="_Hlt26671380"/>
      <w:r/>
      <w:bookmarkEnd w:id="860"/>
      <w:r>
        <w:rPr>
          <w:rFonts w:hint="eastAsia"/>
          <w:color w:val="000000"/>
          <w:highlight w:val="none"/>
          <w:u w:val="single"/>
        </w:rPr>
        <w:t xml:space="preserve">                                         </w:t>
      </w:r>
      <w:r>
        <w:rPr>
          <w:color w:val="000000"/>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1004"/>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100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04"/>
        <w:ind w:firstLine="640"/>
        <w:rPr>
          <w:color w:val="000000"/>
          <w:highlight w:val="none"/>
        </w:rPr>
      </w:pPr>
      <w:r>
        <w:rPr>
          <w:color w:val="000000"/>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5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1" w:name="_Hlt520274065"/>
      <w:r/>
      <w:bookmarkEnd w:id="861"/>
      <w:r/>
      <w:bookmarkStart w:id="862" w:name="_Hlt520273711"/>
      <w:r/>
      <w:bookmarkEnd w:id="862"/>
      <w:r/>
      <w:bookmarkStart w:id="863" w:name="_Hlt520274393"/>
      <w:r/>
      <w:bookmarkEnd w:id="863"/>
      <w:r/>
      <w:bookmarkStart w:id="864" w:name="_Hlt520355504"/>
      <w:r/>
      <w:bookmarkEnd w:id="864"/>
      <w:r/>
      <w:bookmarkStart w:id="865" w:name="_Hlt520343392"/>
      <w:r/>
      <w:bookmarkEnd w:id="865"/>
      <w:r/>
      <w:bookmarkStart w:id="866" w:name="_Hlt520343000"/>
      <w:r/>
      <w:bookmarkEnd w:id="866"/>
      <w:r/>
      <w:bookmarkStart w:id="867" w:name="_Hlt520271212"/>
      <w:r/>
      <w:bookmarkEnd w:id="867"/>
      <w:r/>
      <w:bookmarkStart w:id="868" w:name="_Hlt520274407"/>
      <w:r/>
      <w:bookmarkEnd w:id="868"/>
      <w:r/>
      <w:bookmarkStart w:id="869" w:name="_Hlt520274121"/>
      <w:r/>
      <w:bookmarkEnd w:id="869"/>
      <w:r/>
      <w:bookmarkStart w:id="870" w:name="_Hlt520350918"/>
      <w:r/>
      <w:bookmarkEnd w:id="870"/>
      <w:r/>
      <w:bookmarkStart w:id="871" w:name="_Toc127151557"/>
      <w:r/>
      <w:bookmarkStart w:id="872" w:name="_Toc142311059"/>
      <w:r/>
      <w:bookmarkStart w:id="873" w:name="_Toc520356218"/>
      <w:r/>
      <w:bookmarkStart w:id="874" w:name="_Toc195842922"/>
      <w:r/>
      <w:bookmarkStart w:id="875" w:name="_Toc150480795"/>
      <w:r/>
      <w:bookmarkStart w:id="876" w:name="_Toc265228395"/>
      <w:r/>
      <w:bookmarkStart w:id="877" w:name="_Ref467988705"/>
      <w:r/>
      <w:bookmarkStart w:id="878" w:name="_Toc226965747"/>
      <w:r/>
      <w:bookmarkStart w:id="879" w:name="_Toc480942350"/>
      <w:r/>
      <w:bookmarkStart w:id="880" w:name="_Toc226337253"/>
      <w:r/>
      <w:bookmarkStart w:id="881" w:name="_Toc226309801"/>
      <w:r/>
      <w:bookmarkStart w:id="882" w:name="_Toc150774762"/>
      <w:r/>
      <w:bookmarkStart w:id="883" w:name="_Toc305158825"/>
      <w:r/>
      <w:bookmarkStart w:id="884" w:name="_Toc226965830"/>
      <w:r/>
      <w:bookmarkStart w:id="885" w:name="_Toc305158899"/>
      <w:r/>
      <w:bookmarkStart w:id="886" w:name="_Toc264969247"/>
      <w:r>
        <w:rPr>
          <w:color w:val="000000"/>
          <w:sz w:val="24"/>
          <w:highlight w:val="none"/>
          <w:lang w:val="zh-CN"/>
        </w:rPr>
      </w:r>
      <w:r/>
    </w:p>
    <w:p>
      <w:pPr>
        <w:pStyle w:val="1004"/>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04"/>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color w:val="000000"/>
          <w:sz w:val="24"/>
          <w:szCs w:val="20"/>
          <w:highlight w:val="none"/>
        </w:rPr>
        <w:t xml:space="preserve">开标一览表</w:t>
      </w:r>
      <w:r>
        <w:rPr>
          <w:color w:val="000000"/>
          <w:sz w:val="24"/>
          <w:szCs w:val="20"/>
          <w:highlight w:val="none"/>
        </w:rPr>
      </w:r>
      <w:r/>
    </w:p>
    <w:p>
      <w:pPr>
        <w:pStyle w:val="1004"/>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04"/>
        <w:jc w:val="center"/>
        <w:spacing w:line="360" w:lineRule="exact"/>
        <w:rPr>
          <w:rFonts w:ascii="宋体" w:hAnsi="宋体" w:cs="宋体"/>
          <w:b/>
          <w:color w:val="000000"/>
          <w:sz w:val="36"/>
          <w:szCs w:val="36"/>
          <w:highlight w:val="none"/>
        </w:rPr>
      </w:pPr>
      <w:r/>
      <w:bookmarkStart w:id="887" w:name="_Toc226309802"/>
      <w:r/>
      <w:bookmarkStart w:id="888" w:name="_Toc164608672"/>
      <w:r/>
      <w:bookmarkStart w:id="889" w:name="_Toc305158826"/>
      <w:r/>
      <w:bookmarkStart w:id="890" w:name="_Toc226965831"/>
      <w:r/>
      <w:bookmarkStart w:id="891" w:name="_Toc226965748"/>
      <w:r/>
      <w:bookmarkStart w:id="892" w:name="_Toc305158900"/>
      <w:r/>
      <w:bookmarkStart w:id="893" w:name="_Toc164608827"/>
      <w:r/>
      <w:bookmarkStart w:id="894" w:name="_Toc265228396"/>
      <w:r/>
      <w:bookmarkStart w:id="895" w:name="_Toc264969248"/>
      <w:r/>
      <w:bookmarkStart w:id="896" w:name="_Toc195842923"/>
      <w:r/>
      <w:bookmarkStart w:id="897" w:name="_Toc226337254"/>
      <w:r/>
      <w:bookmarkStart w:id="898" w:name="_Toc305158830"/>
      <w:r/>
      <w:bookmarkStart w:id="899" w:name="_Toc195842927"/>
      <w:r/>
      <w:bookmarkStart w:id="900" w:name="_Toc127151562"/>
      <w:r/>
      <w:bookmarkStart w:id="901" w:name="_Toc226309806"/>
      <w:r/>
      <w:bookmarkStart w:id="902" w:name="_Toc264969252"/>
      <w:r/>
      <w:bookmarkStart w:id="903" w:name="_Toc226337258"/>
      <w:r/>
      <w:bookmarkStart w:id="904" w:name="_Toc265228400"/>
      <w:r/>
      <w:bookmarkStart w:id="905" w:name="_Toc226965835"/>
      <w:r/>
      <w:bookmarkStart w:id="906" w:name="_Toc305158904"/>
      <w:r/>
      <w:bookmarkStart w:id="907" w:name="_Toc226965752"/>
      <w:r/>
      <w:bookmarkStart w:id="908" w:name="_Toc142311062"/>
      <w:r/>
      <w:bookmarkStart w:id="909" w:name="_Toc150774765"/>
      <w:r/>
      <w:bookmarkStart w:id="910" w:name="_Toc150480798"/>
      <w:r/>
      <w:bookmarkStart w:id="911" w:name="_Toc226965834"/>
      <w:r/>
      <w:bookmarkStart w:id="912" w:name="_Toc150480797"/>
      <w:r/>
      <w:bookmarkStart w:id="913" w:name="_Toc195842926"/>
      <w:r/>
      <w:bookmarkStart w:id="914" w:name="_Toc305158829"/>
      <w:r/>
      <w:bookmarkStart w:id="915" w:name="_Toc226309805"/>
      <w:r/>
      <w:bookmarkStart w:id="916" w:name="_Toc226337257"/>
      <w:r/>
      <w:bookmarkStart w:id="917" w:name="_Toc142311061"/>
      <w:r/>
      <w:bookmarkStart w:id="918" w:name="_Toc127151561"/>
      <w:r/>
      <w:bookmarkStart w:id="919" w:name="_Toc226965751"/>
      <w:r/>
      <w:bookmarkStart w:id="920" w:name="_Toc305158903"/>
      <w:r/>
      <w:bookmarkStart w:id="921" w:name="_Toc265228399"/>
      <w:r/>
      <w:bookmarkStart w:id="922" w:name="_Toc264969251"/>
      <w:r/>
      <w:bookmarkStart w:id="923" w:name="_Toc150774764"/>
      <w:r>
        <w:rPr>
          <w:rFonts w:ascii="宋体" w:hAnsi="宋体" w:cs="宋体"/>
          <w:b/>
          <w:color w:val="000000"/>
          <w:sz w:val="36"/>
          <w:szCs w:val="36"/>
          <w:highlight w:val="none"/>
        </w:rPr>
      </w:r>
      <w:r/>
    </w:p>
    <w:p>
      <w:pPr>
        <w:pStyle w:val="1004"/>
        <w:jc w:val="center"/>
        <w:spacing w:line="360" w:lineRule="auto"/>
        <w:tabs>
          <w:tab w:val="left" w:pos="1800" w:leader="none"/>
          <w:tab w:val="left" w:pos="5580" w:leader="none"/>
        </w:tabs>
        <w:rPr>
          <w:rFonts w:ascii="宋体" w:hAnsi="宋体" w:cs="宋体"/>
          <w:color w:val="000000"/>
          <w:sz w:val="24"/>
          <w:highlight w:val="none"/>
        </w:rPr>
      </w:pPr>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1004"/>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00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004"/>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00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103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35"/>
              <w:tabs>
                <w:tab w:val="left" w:pos="567" w:leader="none"/>
              </w:tabs>
              <w:rPr>
                <w:color w:val="000000"/>
                <w:highlight w:val="none"/>
              </w:rPr>
            </w:pPr>
            <w:r>
              <w:rPr>
                <w:rFonts w:hint="eastAsia"/>
                <w:color w:val="000000"/>
                <w:highlight w:val="none"/>
              </w:rPr>
              <w:t xml:space="preserve">投标</w:t>
            </w:r>
            <w:r>
              <w:rPr>
                <w:rFonts w:hint="eastAsia"/>
                <w:b/>
                <w:bCs/>
                <w:color w:val="000000"/>
                <w:highlight w:val="none"/>
              </w:rPr>
              <w:t xml:space="preserve">单价</w:t>
            </w:r>
            <w:r>
              <w:rPr>
                <w:color w:val="000000"/>
                <w:highlight w:val="none"/>
              </w:rPr>
            </w:r>
            <w:r/>
          </w:p>
        </w:tc>
      </w:tr>
      <w:tr>
        <w:trPr>
          <w:trHeight w:val="1014"/>
        </w:trPr>
        <w:tc>
          <w:tcPr>
            <w:tcW w:w="811" w:type="dxa"/>
            <w:vAlign w:val="top"/>
            <w:textDirection w:val="lrTb"/>
            <w:noWrap w:val="false"/>
          </w:tcPr>
          <w:p>
            <w:pPr>
              <w:pStyle w:val="103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35"/>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 人民币）</w:t>
            </w:r>
            <w:r>
              <w:rPr>
                <w:color w:val="000000"/>
                <w:highlight w:val="none"/>
              </w:rPr>
            </w:r>
            <w:r/>
          </w:p>
        </w:tc>
      </w:tr>
    </w:tbl>
    <w:p>
      <w:pPr>
        <w:pStyle w:val="1035"/>
        <w:tabs>
          <w:tab w:val="left" w:pos="567" w:leader="none"/>
        </w:tabs>
        <w:rPr>
          <w:color w:val="000000"/>
          <w:highlight w:val="none"/>
        </w:rPr>
      </w:pPr>
      <w:r>
        <w:rPr>
          <w:color w:val="000000"/>
          <w:highlight w:val="none"/>
        </w:rPr>
      </w:r>
      <w:r/>
    </w:p>
    <w:p>
      <w:pPr>
        <w:pStyle w:val="1004"/>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1004"/>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004"/>
        <w:spacing w:before="25" w:after="25" w:line="360" w:lineRule="auto"/>
        <w:rPr>
          <w:rFonts w:hint="eastAsia"/>
          <w:color w:val="000000"/>
          <w:sz w:val="24"/>
          <w:highlight w:val="none"/>
        </w:rPr>
      </w:pPr>
      <w:r>
        <w:rPr>
          <w:rFonts w:hint="eastAsia" w:ascii="宋体" w:hAnsi="宋体"/>
          <w:b/>
          <w:bCs/>
          <w:color w:val="000000"/>
          <w:sz w:val="24"/>
          <w:highlight w:val="none"/>
        </w:rPr>
        <w:t xml:space="preserve">注：</w:t>
      </w:r>
      <w:r>
        <w:rPr>
          <w:rFonts w:hint="eastAsia"/>
          <w:color w:val="000000"/>
          <w:sz w:val="24"/>
          <w:highlight w:val="none"/>
        </w:rPr>
        <w:t xml:space="preserve">投标单价为</w:t>
      </w:r>
      <w:r>
        <w:rPr>
          <w:rFonts w:hint="eastAsia" w:ascii="宋体" w:hAnsi="宋体" w:cs="宋体"/>
          <w:color w:val="000000"/>
          <w:sz w:val="24"/>
          <w:highlight w:val="none"/>
          <w:lang w:bidi="ar"/>
        </w:rPr>
        <w:t xml:space="preserve">医废处置（不含病理性医废）与病理性医废处置+转运费用单价之和，不得超过最高单价限价，否则视为无效投标。</w:t>
      </w:r>
      <w:r>
        <w:rPr>
          <w:rFonts w:hint="eastAsia"/>
          <w:color w:val="000000"/>
          <w:sz w:val="24"/>
          <w:highlight w:val="none"/>
        </w:rPr>
      </w:r>
      <w:r/>
    </w:p>
    <w:p>
      <w:pPr>
        <w:pStyle w:val="1004"/>
        <w:spacing w:before="25" w:after="25" w:line="360" w:lineRule="auto"/>
        <w:rPr>
          <w:rFonts w:hint="eastAsia"/>
          <w:color w:val="000000"/>
          <w:sz w:val="24"/>
          <w:highlight w:val="none"/>
        </w:rPr>
      </w:pPr>
      <w:r>
        <w:rPr>
          <w:rFonts w:hint="eastAsia"/>
          <w:color w:val="000000"/>
          <w:sz w:val="24"/>
          <w:highlight w:val="none"/>
        </w:rPr>
      </w:r>
      <w:r/>
    </w:p>
    <w:p>
      <w:pPr>
        <w:pStyle w:val="1004"/>
        <w:jc w:val="left"/>
        <w:rPr>
          <w:rFonts w:ascii="宋体" w:hAnsi="宋体" w:cs="宋体"/>
          <w:color w:val="000000"/>
          <w:sz w:val="24"/>
          <w:highlight w:val="none"/>
        </w:rPr>
      </w:pPr>
      <w:r>
        <w:rPr>
          <w:rFonts w:ascii="宋体" w:hAnsi="宋体" w:cs="宋体"/>
          <w:color w:val="000000"/>
          <w:sz w:val="24"/>
          <w:highlight w:val="none"/>
        </w:rPr>
      </w:r>
      <w:r/>
    </w:p>
    <w:p>
      <w:pPr>
        <w:pStyle w:val="1004"/>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1004"/>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035"/>
        <w:tabs>
          <w:tab w:val="clear" w:pos="567" w:leader="none"/>
        </w:tabs>
        <w:rPr>
          <w:rFonts w:hint="eastAsia"/>
          <w:color w:val="000000"/>
          <w:highlight w:val="none"/>
        </w:rPr>
      </w:pPr>
      <w:r>
        <w:rPr>
          <w:rFonts w:hint="eastAsia"/>
          <w:color w:val="000000"/>
          <w:highlight w:val="none"/>
        </w:rPr>
      </w:r>
      <w:r/>
    </w:p>
    <w:p>
      <w:pPr>
        <w:pStyle w:val="1035"/>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p>
      <w:pPr>
        <w:pStyle w:val="1004"/>
        <w:rPr>
          <w:rFonts w:hint="eastAsia"/>
          <w:color w:val="000000"/>
          <w:highlight w:val="none"/>
        </w:rPr>
      </w:pPr>
      <w:r>
        <w:rPr>
          <w:rFonts w:hint="eastAsia"/>
          <w:color w:val="000000"/>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4263"/>
        <w:gridCol w:w="1348"/>
        <w:gridCol w:w="2714"/>
      </w:tblGrid>
      <w:tr>
        <w:trPr>
          <w:trHeight w:val="467"/>
        </w:trPr>
        <w:tc>
          <w:tcPr>
            <w:tcW w:w="405"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395"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441"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tcW w:w="888"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单价报价</w:t>
            </w:r>
            <w:r>
              <w:rPr>
                <w:rFonts w:ascii="宋体" w:hAnsi="宋体" w:cs="Arial"/>
                <w:color w:val="000000"/>
                <w:sz w:val="24"/>
                <w:highlight w:val="none"/>
              </w:rPr>
            </w:r>
            <w:r/>
          </w:p>
        </w:tc>
      </w:tr>
      <w:tr>
        <w:trPr>
          <w:trHeight w:val="294"/>
        </w:trPr>
        <w:tc>
          <w:tcPr>
            <w:tcW w:w="40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1</w:t>
            </w:r>
            <w:r>
              <w:rPr>
                <w:rFonts w:ascii="宋体" w:hAnsi="宋体" w:cs="Arial"/>
                <w:color w:val="000000"/>
                <w:sz w:val="24"/>
                <w:highlight w:val="none"/>
              </w:rPr>
            </w:r>
            <w:r/>
          </w:p>
        </w:tc>
        <w:tc>
          <w:tcPr>
            <w:tcW w:w="139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医废处置（不含病理性医废）</w:t>
            </w:r>
            <w:r>
              <w:rPr>
                <w:rFonts w:ascii="宋体" w:hAnsi="宋体" w:cs="Arial"/>
                <w:color w:val="000000"/>
                <w:sz w:val="24"/>
                <w:highlight w:val="none"/>
              </w:rPr>
            </w:r>
            <w:r/>
          </w:p>
        </w:tc>
        <w:tc>
          <w:tcPr>
            <w:tcW w:w="441" w:type="dxa"/>
            <w:vAlign w:val="center"/>
            <w:textDirection w:val="lrTb"/>
            <w:noWrap w:val="false"/>
          </w:tcPr>
          <w:p>
            <w:pPr>
              <w:pStyle w:val="1004"/>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吨</w:t>
            </w:r>
            <w:r>
              <w:rPr>
                <w:rFonts w:hint="eastAsia" w:ascii="宋体" w:hAnsi="宋体" w:cs="宋体"/>
                <w:color w:val="000000"/>
                <w:sz w:val="24"/>
                <w:highlight w:val="none"/>
                <w:lang w:bidi="ar"/>
              </w:rPr>
            </w:r>
            <w:r/>
          </w:p>
        </w:tc>
        <w:tc>
          <w:tcPr>
            <w:tcW w:w="888" w:type="dxa"/>
            <w:vAlign w:val="center"/>
            <w:textDirection w:val="lrTb"/>
            <w:noWrap w:val="false"/>
          </w:tcPr>
          <w:p>
            <w:pPr>
              <w:pStyle w:val="1004"/>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c>
          <w:tcPr>
            <w:tcW w:w="40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2</w:t>
            </w:r>
            <w:r>
              <w:rPr>
                <w:rFonts w:ascii="宋体" w:hAnsi="宋体" w:cs="Arial"/>
                <w:color w:val="000000"/>
                <w:sz w:val="24"/>
                <w:highlight w:val="none"/>
              </w:rPr>
            </w:r>
            <w:r/>
          </w:p>
        </w:tc>
        <w:tc>
          <w:tcPr>
            <w:tcW w:w="139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病理性医废处置+转运费用</w:t>
            </w:r>
            <w:r>
              <w:rPr>
                <w:rFonts w:ascii="宋体" w:hAnsi="宋体" w:cs="Arial"/>
                <w:color w:val="000000"/>
                <w:sz w:val="24"/>
                <w:highlight w:val="none"/>
              </w:rPr>
            </w:r>
            <w:r/>
          </w:p>
        </w:tc>
        <w:tc>
          <w:tcPr>
            <w:tcW w:w="441" w:type="dxa"/>
            <w:vAlign w:val="center"/>
            <w:textDirection w:val="lrTb"/>
            <w:noWrap w:val="false"/>
          </w:tcPr>
          <w:p>
            <w:pPr>
              <w:pStyle w:val="1004"/>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公斤</w:t>
            </w:r>
            <w:r>
              <w:rPr>
                <w:rFonts w:hint="eastAsia" w:ascii="宋体" w:hAnsi="宋体" w:cs="宋体"/>
                <w:color w:val="000000"/>
                <w:sz w:val="24"/>
                <w:highlight w:val="none"/>
                <w:lang w:bidi="ar"/>
              </w:rPr>
            </w:r>
            <w:r/>
          </w:p>
        </w:tc>
        <w:tc>
          <w:tcPr>
            <w:tcW w:w="888" w:type="dxa"/>
            <w:vAlign w:val="center"/>
            <w:textDirection w:val="lrTb"/>
            <w:noWrap w:val="false"/>
          </w:tcPr>
          <w:p>
            <w:pPr>
              <w:pStyle w:val="100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04"/>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0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1035"/>
        <w:spacing w:line="276" w:lineRule="auto"/>
        <w:tabs>
          <w:tab w:val="left" w:pos="567" w:leader="none"/>
        </w:tabs>
        <w:rPr>
          <w:rFonts w:hint="eastAsia"/>
          <w:color w:val="000000"/>
          <w:highlight w:val="none"/>
        </w:rPr>
      </w:pPr>
      <w:r>
        <w:rPr>
          <w:rFonts w:hint="eastAsia"/>
          <w:color w:val="000000"/>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1.本表应按包分别填写。</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004"/>
        <w:ind w:firstLine="480"/>
        <w:jc w:val="left"/>
        <w:tabs>
          <w:tab w:val="left" w:pos="1800" w:leader="none"/>
          <w:tab w:val="left" w:pos="5580" w:leader="none"/>
        </w:tabs>
        <w:rPr>
          <w:color w:val="000000"/>
          <w:sz w:val="24"/>
          <w:highlight w:val="none"/>
          <w:lang w:val="zh-CN"/>
        </w:rPr>
      </w:pPr>
      <w:r>
        <w:rPr>
          <w:color w:val="000000"/>
          <w:sz w:val="24"/>
          <w:highlight w:val="none"/>
        </w:rPr>
        <w:t xml:space="preserve">5.报价按预估数量报价，最终按实结算。</w:t>
      </w:r>
      <w:r>
        <w:rPr>
          <w:color w:val="000000"/>
          <w:sz w:val="24"/>
          <w:highlight w:val="none"/>
          <w:lang w:val="zh-CN"/>
        </w:rPr>
        <w:t xml:space="preserve"> </w:t>
      </w:r>
      <w:r>
        <w:rPr>
          <w:color w:val="000000"/>
          <w:sz w:val="24"/>
          <w:highlight w:val="none"/>
          <w:lang w:val="zh-CN"/>
        </w:rPr>
      </w:r>
      <w:r/>
    </w:p>
    <w:p>
      <w:pPr>
        <w:pStyle w:val="1035"/>
        <w:tabs>
          <w:tab w:val="left" w:pos="567" w:leader="none"/>
        </w:tabs>
        <w:rPr>
          <w:rFonts w:hint="eastAsia" w:cs="宋体"/>
          <w:color w:val="000000"/>
          <w:highlight w:val="none"/>
        </w:rPr>
      </w:pPr>
      <w:r>
        <w:rPr>
          <w:rFonts w:hint="eastAsia" w:cs="宋体"/>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pageBreakBefore/>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hint="eastAsia"/>
          <w:color w:val="000000"/>
          <w:sz w:val="24"/>
          <w:szCs w:val="20"/>
          <w:highlight w:val="none"/>
        </w:rPr>
        <w:t xml:space="preserve">技术要求响应及偏离表</w:t>
      </w:r>
      <w:r>
        <w:rPr>
          <w:color w:val="000000"/>
          <w:sz w:val="24"/>
          <w:szCs w:val="20"/>
          <w:highlight w:val="none"/>
        </w:rPr>
      </w:r>
      <w:r/>
    </w:p>
    <w:p>
      <w:pPr>
        <w:pStyle w:val="1004"/>
        <w:spacing w:line="360" w:lineRule="auto"/>
        <w:rPr>
          <w:color w:val="000000"/>
          <w:sz w:val="24"/>
          <w:szCs w:val="20"/>
          <w:highlight w:val="none"/>
        </w:rPr>
      </w:pPr>
      <w:r>
        <w:rPr>
          <w:color w:val="000000"/>
          <w:sz w:val="24"/>
          <w:szCs w:val="20"/>
          <w:highlight w:val="none"/>
        </w:rPr>
      </w:r>
      <w:r/>
    </w:p>
    <w:p>
      <w:pPr>
        <w:pStyle w:val="100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004"/>
        <w:spacing w:line="360" w:lineRule="auto"/>
        <w:rPr>
          <w:color w:val="000000"/>
          <w:sz w:val="24"/>
          <w:szCs w:val="20"/>
          <w:highlight w:val="none"/>
        </w:rPr>
      </w:pPr>
      <w:r>
        <w:rPr>
          <w:color w:val="000000"/>
          <w:sz w:val="24"/>
          <w:szCs w:val="20"/>
          <w:highlight w:val="none"/>
        </w:rPr>
      </w:r>
      <w:r/>
    </w:p>
    <w:p>
      <w:pPr>
        <w:pStyle w:val="100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0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0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0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bl>
    <w:p>
      <w:pPr>
        <w:pStyle w:val="1004"/>
        <w:jc w:val="left"/>
        <w:tabs>
          <w:tab w:val="left" w:pos="1800" w:leader="none"/>
          <w:tab w:val="left" w:pos="5580" w:leader="none"/>
        </w:tabs>
        <w:rPr>
          <w:color w:val="000000"/>
          <w:sz w:val="24"/>
          <w:highlight w:val="none"/>
        </w:rPr>
      </w:pPr>
      <w:r>
        <w:rPr>
          <w:color w:val="000000"/>
          <w:sz w:val="24"/>
          <w:highlight w:val="none"/>
        </w:rPr>
      </w:r>
      <w:r/>
    </w:p>
    <w:p>
      <w:pPr>
        <w:pStyle w:val="100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04"/>
        <w:spacing w:line="360" w:lineRule="auto"/>
        <w:rPr>
          <w:color w:val="000000"/>
          <w:sz w:val="24"/>
          <w:szCs w:val="20"/>
          <w:highlight w:val="none"/>
        </w:rPr>
      </w:pPr>
      <w:r>
        <w:rPr>
          <w:color w:val="000000"/>
          <w:sz w:val="24"/>
          <w:szCs w:val="20"/>
          <w:highlight w:val="none"/>
        </w:rPr>
      </w:r>
      <w:r/>
    </w:p>
    <w:p>
      <w:pPr>
        <w:pStyle w:val="100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color w:val="000000"/>
          <w:sz w:val="24"/>
          <w:szCs w:val="20"/>
          <w:highlight w:val="none"/>
        </w:rPr>
        <w:t xml:space="preserve">商务要求响应及偏离表</w:t>
      </w:r>
      <w:r>
        <w:rPr>
          <w:color w:val="000000"/>
          <w:sz w:val="24"/>
          <w:szCs w:val="20"/>
          <w:highlight w:val="none"/>
        </w:rPr>
      </w:r>
      <w:r/>
    </w:p>
    <w:p>
      <w:pPr>
        <w:pStyle w:val="100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04"/>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004"/>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0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0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0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bl>
    <w:p>
      <w:pPr>
        <w:pStyle w:val="100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04"/>
        <w:jc w:val="left"/>
        <w:tabs>
          <w:tab w:val="left" w:pos="1800" w:leader="none"/>
          <w:tab w:val="left" w:pos="5580" w:leader="none"/>
        </w:tabs>
        <w:rPr>
          <w:color w:val="000000"/>
          <w:sz w:val="24"/>
          <w:highlight w:val="none"/>
        </w:rPr>
      </w:pPr>
      <w:r>
        <w:rPr>
          <w:color w:val="000000"/>
          <w:sz w:val="24"/>
          <w:highlight w:val="none"/>
        </w:rPr>
      </w:r>
      <w:r/>
    </w:p>
    <w:p>
      <w:pPr>
        <w:pStyle w:val="1004"/>
        <w:jc w:val="left"/>
        <w:tabs>
          <w:tab w:val="left" w:pos="1800" w:leader="none"/>
          <w:tab w:val="left" w:pos="5580" w:leader="none"/>
        </w:tabs>
        <w:rPr>
          <w:color w:val="000000"/>
          <w:sz w:val="24"/>
          <w:highlight w:val="none"/>
        </w:rPr>
      </w:pPr>
      <w:r>
        <w:rPr>
          <w:color w:val="000000"/>
          <w:sz w:val="24"/>
          <w:highlight w:val="none"/>
        </w:rPr>
      </w:r>
      <w:r/>
    </w:p>
    <w:p>
      <w:pPr>
        <w:pStyle w:val="1004"/>
        <w:rPr>
          <w:color w:val="000000"/>
          <w:sz w:val="24"/>
          <w:szCs w:val="20"/>
          <w:highlight w:val="none"/>
        </w:rPr>
      </w:pPr>
      <w:r>
        <w:rPr>
          <w:color w:val="000000"/>
          <w:sz w:val="24"/>
          <w:szCs w:val="20"/>
          <w:highlight w:val="none"/>
        </w:rPr>
      </w:r>
      <w:r/>
    </w:p>
    <w:p>
      <w:pPr>
        <w:pStyle w:val="100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004"/>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04"/>
        <w:spacing w:line="360" w:lineRule="auto"/>
        <w:tabs>
          <w:tab w:val="left" w:pos="5580" w:leader="none"/>
        </w:tabs>
        <w:rPr>
          <w:rFonts w:hint="eastAsia"/>
          <w:b/>
          <w:color w:val="000000"/>
          <w:sz w:val="24"/>
          <w:highlight w:val="none"/>
        </w:rPr>
      </w:pPr>
      <w:r>
        <w:rPr>
          <w:rFonts w:hint="eastAsia"/>
          <w:b/>
          <w:color w:val="000000"/>
          <w:sz w:val="24"/>
          <w:highlight w:val="none"/>
        </w:rPr>
        <w:t xml:space="preserve">7）小微企业未提供声明函的，价格分评审将不予价格扣除。</w:t>
      </w:r>
      <w:r>
        <w:rPr>
          <w:rFonts w:hint="eastAsia"/>
          <w:b/>
          <w:color w:val="000000"/>
          <w:sz w:val="24"/>
          <w:highlight w:val="none"/>
        </w:rPr>
      </w:r>
      <w:r/>
    </w:p>
    <w:p>
      <w:pPr>
        <w:pStyle w:val="1004"/>
        <w:ind w:firstLine="482"/>
        <w:spacing w:line="560" w:lineRule="exact"/>
        <w:rPr>
          <w:rFonts w:hint="eastAsia" w:ascii="宋体" w:hAnsi="宋体"/>
          <w:b/>
          <w:color w:val="000000"/>
          <w:sz w:val="24"/>
          <w:highlight w:val="none"/>
        </w:rPr>
      </w:pPr>
      <w:r>
        <w:rPr>
          <w:rFonts w:hint="eastAsia" w:ascii="宋体" w:hAnsi="宋体"/>
          <w:b/>
          <w:color w:val="000000"/>
          <w:sz w:val="24"/>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jc w:val="center"/>
        <w:spacing w:line="360" w:lineRule="auto"/>
        <w:rPr>
          <w:b/>
          <w:bCs/>
          <w:color w:val="000000"/>
          <w:sz w:val="24"/>
          <w:highlight w:val="none"/>
        </w:rPr>
      </w:pPr>
      <w:r>
        <w:rPr>
          <w:rFonts w:hint="eastAsia"/>
          <w:b/>
          <w:color w:val="000000"/>
          <w:sz w:val="36"/>
          <w:szCs w:val="36"/>
          <w:highlight w:val="none"/>
        </w:rPr>
        <w:t xml:space="preserve">中小企业声明函（服务）格式</w:t>
      </w:r>
      <w:r>
        <w:rPr>
          <w:b/>
          <w:bCs/>
          <w:color w:val="000000"/>
          <w:sz w:val="24"/>
          <w:highlight w:val="none"/>
        </w:rPr>
      </w:r>
      <w:r/>
    </w:p>
    <w:p>
      <w:pPr>
        <w:pStyle w:val="1004"/>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04"/>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04"/>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04"/>
        <w:ind w:right="360" w:firstLine="480"/>
        <w:jc w:val="right"/>
        <w:spacing w:line="360" w:lineRule="auto"/>
        <w:rPr>
          <w:color w:val="000000"/>
          <w:sz w:val="24"/>
          <w:highlight w:val="none"/>
        </w:rPr>
      </w:pPr>
      <w:r>
        <w:rPr>
          <w:color w:val="000000"/>
          <w:sz w:val="24"/>
          <w:highlight w:val="none"/>
        </w:rPr>
      </w:r>
      <w:r/>
    </w:p>
    <w:p>
      <w:pPr>
        <w:pStyle w:val="1004"/>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004"/>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004"/>
        <w:jc w:val="left"/>
        <w:rPr>
          <w:color w:val="000000"/>
          <w:sz w:val="24"/>
          <w:szCs w:val="21"/>
          <w:highlight w:val="none"/>
        </w:rPr>
      </w:pPr>
      <w:r>
        <w:rPr>
          <w:color w:val="000000"/>
          <w:sz w:val="24"/>
          <w:szCs w:val="21"/>
          <w:highlight w:val="none"/>
        </w:rPr>
      </w:r>
      <w:r/>
    </w:p>
    <w:p>
      <w:pPr>
        <w:pStyle w:val="1004"/>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4"/>
              <w:jc w:val="left"/>
              <w:rPr>
                <w:color w:val="000000"/>
                <w:szCs w:val="21"/>
                <w:highlight w:val="none"/>
              </w:rPr>
            </w:pPr>
            <w:r>
              <w:rPr>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04"/>
        <w:jc w:val="left"/>
        <w:rPr>
          <w:color w:val="000000"/>
          <w:szCs w:val="21"/>
          <w:highlight w:val="none"/>
          <w:vertAlign w:val="superscript"/>
        </w:rPr>
      </w:pPr>
      <w:r>
        <w:rPr>
          <w:color w:val="000000"/>
          <w:szCs w:val="21"/>
          <w:highlight w:val="none"/>
          <w:vertAlign w:val="superscript"/>
        </w:rPr>
      </w:r>
      <w:r/>
    </w:p>
    <w:p>
      <w:pPr>
        <w:pStyle w:val="1004"/>
        <w:ind w:right="360" w:firstLine="480"/>
        <w:jc w:val="right"/>
        <w:spacing w:line="360" w:lineRule="auto"/>
        <w:rPr>
          <w:color w:val="000000"/>
          <w:sz w:val="24"/>
          <w:highlight w:val="none"/>
        </w:rPr>
      </w:pPr>
      <w:r>
        <w:rPr>
          <w:color w:val="000000"/>
          <w:sz w:val="24"/>
          <w:highlight w:val="none"/>
        </w:rPr>
      </w:r>
      <w:r/>
    </w:p>
    <w:p>
      <w:pPr>
        <w:pStyle w:val="1004"/>
        <w:spacing w:line="57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1004"/>
        <w:pageBreakBefore/>
        <w:spacing w:line="570" w:lineRule="exact"/>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004"/>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004"/>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004"/>
        <w:ind w:right="360" w:firstLine="480"/>
        <w:jc w:val="right"/>
        <w:spacing w:line="360" w:lineRule="auto"/>
        <w:rPr>
          <w:color w:val="000000"/>
          <w:sz w:val="24"/>
          <w:highlight w:val="none"/>
        </w:rPr>
      </w:pPr>
      <w:r>
        <w:rPr>
          <w:color w:val="000000"/>
          <w:sz w:val="24"/>
          <w:highlight w:val="none"/>
        </w:rPr>
      </w:r>
      <w:r/>
    </w:p>
    <w:p>
      <w:pPr>
        <w:pStyle w:val="1004"/>
        <w:ind w:right="360" w:firstLine="480"/>
        <w:jc w:val="right"/>
        <w:spacing w:line="360" w:lineRule="auto"/>
        <w:rPr>
          <w:color w:val="000000"/>
          <w:sz w:val="24"/>
          <w:highlight w:val="none"/>
        </w:rPr>
      </w:pPr>
      <w:r>
        <w:rPr>
          <w:color w:val="000000"/>
          <w:sz w:val="24"/>
          <w:highlight w:val="none"/>
        </w:rPr>
      </w:r>
      <w:r/>
    </w:p>
    <w:p>
      <w:pPr>
        <w:pStyle w:val="100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04"/>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0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0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0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0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04"/>
        <w:ind w:firstLine="504"/>
        <w:spacing w:line="588" w:lineRule="exact"/>
        <w:rPr>
          <w:color w:val="000000"/>
          <w:spacing w:val="6"/>
          <w:sz w:val="24"/>
          <w:highlight w:val="none"/>
        </w:rPr>
      </w:pPr>
      <w:r>
        <w:rPr>
          <w:color w:val="000000"/>
          <w:spacing w:val="6"/>
          <w:sz w:val="24"/>
          <w:highlight w:val="none"/>
        </w:rPr>
      </w:r>
      <w:r/>
    </w:p>
    <w:p>
      <w:pPr>
        <w:pStyle w:val="1004"/>
        <w:ind w:firstLine="504"/>
        <w:spacing w:line="588" w:lineRule="exact"/>
        <w:rPr>
          <w:color w:val="000000"/>
          <w:spacing w:val="6"/>
          <w:sz w:val="24"/>
          <w:highlight w:val="none"/>
        </w:rPr>
      </w:pPr>
      <w:r>
        <w:rPr>
          <w:color w:val="000000"/>
          <w:spacing w:val="6"/>
          <w:sz w:val="24"/>
          <w:highlight w:val="none"/>
        </w:rPr>
      </w:r>
      <w:r/>
    </w:p>
    <w:p>
      <w:pPr>
        <w:pStyle w:val="1004"/>
        <w:ind w:right="1560" w:firstLine="504"/>
        <w:jc w:val="right"/>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04"/>
        <w:ind w:right="360" w:firstLine="480"/>
        <w:jc w:val="center"/>
        <w:spacing w:line="360" w:lineRule="auto"/>
        <w:rPr>
          <w:color w:val="000000"/>
          <w:sz w:val="24"/>
          <w:highlight w:val="none"/>
        </w:rPr>
      </w:pPr>
      <w:r>
        <w:rPr>
          <w:rFonts w:hint="eastAsia"/>
          <w:color w:val="000000"/>
          <w:spacing w:val="6"/>
          <w:highlight w:val="none"/>
        </w:rPr>
        <w:t xml:space="preserve">             </w:t>
      </w:r>
      <w:r>
        <w:rPr>
          <w:color w:val="000000"/>
          <w:spacing w:val="6"/>
          <w:highlight w:val="none"/>
        </w:rPr>
        <w:t xml:space="preserve">日  期：</w:t>
      </w:r>
      <w:r>
        <w:rPr>
          <w:color w:val="000000"/>
          <w:sz w:val="24"/>
          <w:highlight w:val="none"/>
        </w:rPr>
      </w:r>
      <w:r/>
    </w:p>
    <w:p>
      <w:pPr>
        <w:pStyle w:val="1004"/>
        <w:ind w:right="360" w:firstLine="480"/>
        <w:jc w:val="right"/>
        <w:spacing w:line="360" w:lineRule="auto"/>
        <w:rPr>
          <w:color w:val="000000"/>
          <w:sz w:val="24"/>
          <w:highlight w:val="none"/>
        </w:rPr>
      </w:pPr>
      <w:r>
        <w:rPr>
          <w:color w:val="000000"/>
          <w:sz w:val="24"/>
          <w:highlight w:val="none"/>
        </w:rPr>
      </w:r>
      <w:r/>
    </w:p>
    <w:p>
      <w:pPr>
        <w:pStyle w:val="1065"/>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r>
      <w:r/>
    </w:p>
    <w:p>
      <w:pPr>
        <w:pStyle w:val="1004"/>
        <w:pageBreakBefore/>
        <w:spacing w:line="360" w:lineRule="auto"/>
        <w:rPr>
          <w:color w:val="000000"/>
          <w:sz w:val="24"/>
          <w:szCs w:val="20"/>
          <w:highlight w:val="none"/>
        </w:rPr>
        <w:outlineLvl w:val="2"/>
      </w:pPr>
      <w:r>
        <w:rPr>
          <w:rFonts w:hint="eastAsia"/>
          <w:color w:val="000000"/>
          <w:sz w:val="24"/>
          <w:szCs w:val="20"/>
          <w:highlight w:val="none"/>
        </w:rPr>
        <w:t xml:space="preserve">9</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108"/>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10  参加本项目人员一览表</w:t>
      </w:r>
      <w:r>
        <w:rPr>
          <w:color w:val="000000"/>
          <w:sz w:val="24"/>
          <w:szCs w:val="24"/>
          <w:highlight w:val="none"/>
        </w:rPr>
      </w:r>
      <w:r/>
    </w:p>
    <w:p>
      <w:pPr>
        <w:pStyle w:val="100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04"/>
        <w:spacing w:line="360" w:lineRule="auto"/>
        <w:rPr>
          <w:rFonts w:ascii="宋体" w:hAnsi="宋体"/>
          <w:color w:val="000000"/>
          <w:sz w:val="22"/>
          <w:highlight w:val="none"/>
        </w:rPr>
      </w:pPr>
      <w:r>
        <w:rPr>
          <w:rFonts w:ascii="宋体" w:hAnsi="宋体"/>
          <w:color w:val="000000"/>
          <w:sz w:val="22"/>
          <w:highlight w:val="none"/>
        </w:rPr>
      </w:r>
      <w:r/>
    </w:p>
    <w:p>
      <w:pPr>
        <w:pStyle w:val="100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04"/>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004"/>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00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8"/>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4" w:name="_Toc288738397"/>
      <w:r/>
      <w:bookmarkStart w:id="925" w:name="_Toc288738839"/>
      <w:r>
        <w:rPr>
          <w:rFonts w:hint="eastAsia"/>
          <w:color w:val="000000"/>
          <w:sz w:val="24"/>
          <w:szCs w:val="24"/>
          <w:highlight w:val="none"/>
        </w:rPr>
        <w:t xml:space="preserve">11  相关业绩案例一览表</w:t>
      </w:r>
      <w:r>
        <w:rPr>
          <w:color w:val="000000"/>
          <w:sz w:val="24"/>
          <w:szCs w:val="24"/>
          <w:highlight w:val="none"/>
        </w:rPr>
      </w:r>
      <w:r/>
    </w:p>
    <w:p>
      <w:pPr>
        <w:pStyle w:val="1004"/>
        <w:rPr>
          <w:color w:val="000000"/>
          <w:sz w:val="24"/>
          <w:szCs w:val="20"/>
          <w:highlight w:val="none"/>
        </w:rPr>
      </w:pPr>
      <w:r>
        <w:rPr>
          <w:color w:val="000000"/>
          <w:sz w:val="24"/>
          <w:szCs w:val="20"/>
          <w:highlight w:val="none"/>
        </w:rPr>
      </w:r>
      <w:r/>
    </w:p>
    <w:p>
      <w:pPr>
        <w:pStyle w:val="100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4"/>
      <w:r/>
      <w:bookmarkEnd w:id="925"/>
      <w:r>
        <w:rPr>
          <w:rFonts w:ascii="宋体" w:hAnsi="宋体"/>
          <w:b/>
          <w:color w:val="000000"/>
          <w:sz w:val="32"/>
          <w:szCs w:val="32"/>
          <w:highlight w:val="none"/>
        </w:rPr>
      </w:r>
      <w:r/>
    </w:p>
    <w:p>
      <w:pPr>
        <w:pStyle w:val="100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0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04"/>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035"/>
        <w:tabs>
          <w:tab w:val="left" w:pos="567" w:leader="none"/>
        </w:tabs>
        <w:rPr>
          <w:color w:val="000000"/>
          <w:highlight w:val="none"/>
        </w:rPr>
      </w:pPr>
      <w:r>
        <w:rPr>
          <w:color w:val="000000"/>
          <w:highlight w:val="none"/>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4"/>
        <w:rPr>
          <w:color w:val="000000"/>
          <w:highlight w:val="none"/>
        </w:rPr>
      </w:pPr>
      <w:r>
        <w:rPr>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color w:val="000000"/>
          <w:highlight w:val="none"/>
        </w:rPr>
      </w:pPr>
      <w:r>
        <w:rPr>
          <w:color w:val="000000"/>
          <w:highlight w:val="none"/>
        </w:rPr>
      </w:r>
      <w:r/>
    </w:p>
    <w:p>
      <w:pPr>
        <w:pStyle w:val="1004"/>
        <w:rPr>
          <w:color w:val="000000"/>
          <w:highlight w:val="none"/>
        </w:rPr>
      </w:pPr>
      <w:r>
        <w:rPr>
          <w:color w:val="000000"/>
          <w:highlight w:val="none"/>
        </w:rPr>
      </w:r>
      <w:r/>
    </w:p>
    <w:p>
      <w:pPr>
        <w:pStyle w:val="1004"/>
        <w:rPr>
          <w:rFonts w:hint="eastAsia"/>
          <w:color w:val="000000"/>
          <w:highlight w:val="none"/>
        </w:rPr>
      </w:pPr>
      <w:r>
        <w:rPr>
          <w:rFonts w:hint="eastAsia"/>
          <w:color w:val="000000"/>
          <w:highlight w:val="none"/>
        </w:rPr>
      </w:r>
      <w:r/>
    </w:p>
    <w:p>
      <w:pPr>
        <w:pStyle w:val="1004"/>
        <w:pageBreakBefore/>
        <w:spacing w:line="360" w:lineRule="auto"/>
        <w:rPr>
          <w:color w:val="000000"/>
          <w:sz w:val="24"/>
          <w:szCs w:val="20"/>
          <w:highlight w:val="none"/>
        </w:rPr>
        <w:outlineLvl w:val="2"/>
      </w:pPr>
      <w:r>
        <w:rPr>
          <w:rFonts w:hint="eastAsia"/>
          <w:color w:val="000000"/>
          <w:sz w:val="24"/>
          <w:szCs w:val="20"/>
          <w:highlight w:val="none"/>
        </w:rPr>
        <w:t xml:space="preserve">12  </w:t>
      </w:r>
      <w:r>
        <w:rPr>
          <w:color w:val="000000"/>
          <w:sz w:val="24"/>
          <w:szCs w:val="20"/>
          <w:highlight w:val="none"/>
        </w:rPr>
        <w:t xml:space="preserve">招标文件要求提供或投标人认为应附的其他材料</w:t>
      </w:r>
      <w:r>
        <w:rPr>
          <w:color w:val="000000"/>
          <w:sz w:val="24"/>
          <w:szCs w:val="20"/>
          <w:highlight w:val="none"/>
        </w:rPr>
      </w:r>
      <w:r/>
    </w:p>
    <w:p>
      <w:pPr>
        <w:pStyle w:val="1004"/>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6"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004"/>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04"/>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004"/>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004"/>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7" w:name="OLE_LINK166"/>
            <w:r/>
            <w:bookmarkStart w:id="928" w:name="OLE_LINK167"/>
            <w:r/>
            <w:bookmarkStart w:id="929" w:name="OLE_LINK168"/>
            <w:r>
              <w:rPr>
                <w:rFonts w:hint="eastAsia" w:ascii="宋体" w:hAnsi="宋体" w:cs="宋体"/>
                <w:color w:val="000000"/>
                <w:highlight w:val="none"/>
              </w:rPr>
              <w:t xml:space="preserve">投标人（供应商）</w:t>
            </w:r>
            <w:bookmarkEnd w:id="927"/>
            <w:r/>
            <w:bookmarkEnd w:id="928"/>
            <w:r/>
            <w:bookmarkEnd w:id="929"/>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color w:val="000000"/>
                <w:szCs w:val="21"/>
                <w:highlight w:val="none"/>
              </w:rPr>
              <w:t xml:space="preserve">□</w:t>
            </w:r>
            <w:r>
              <w:rPr>
                <w:rFonts w:hint="eastAsia"/>
                <w:color w:val="000000"/>
                <w:szCs w:val="21"/>
                <w:highlight w:val="none"/>
              </w:rPr>
              <w:t xml:space="preserve">适用 </w:t>
            </w:r>
            <w:r>
              <w:rPr>
                <w:b/>
                <w:color w:val="000000"/>
                <w:szCs w:val="21"/>
                <w:highlight w:val="none"/>
              </w:rPr>
              <w:t xml:space="preserve">■</w:t>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1004"/>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1035"/>
        <w:tabs>
          <w:tab w:val="left" w:pos="567" w:leader="none"/>
        </w:tabs>
        <w:rPr>
          <w:color w:val="000000"/>
          <w:highlight w:val="none"/>
        </w:rPr>
      </w:pPr>
      <w:r/>
      <w:bookmarkEnd w:id="926"/>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Cambria Math">
    <w:panose1 w:val="02040503050406030204"/>
  </w:font>
  <w:font w:name="MS Gothic">
    <w:panose1 w:val="020B0609070205080204"/>
  </w:font>
  <w:font w:name="仿宋">
    <w:panose1 w:val="02010609060101010101"/>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w:r/>
  </w:p>
  <w:p>
    <w:pPr>
      <w:pStyle w:val="10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rPr>
      <w:t xml:space="preserve">68</w:t>
    </w:r>
    <w:r>
      <w:rPr>
        <w:bCs/>
        <w:sz w:val="21"/>
        <w:szCs w:val="21"/>
      </w:rPr>
      <w:t xml:space="preserve">页</w:t>
    </w:r>
    <w:r>
      <w:rPr>
        <w:sz w:val="21"/>
        <w:szCs w:val="21"/>
      </w:rPr>
    </w:r>
    <w:r/>
  </w:p>
  <w:p>
    <w:pPr>
      <w:pStyle w:val="105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2"/>
      <w:ind w:right="360"/>
      <w:tabs>
        <w:tab w:val="center" w:pos="4153" w:leader="none"/>
        <w:tab w:val="right" w:pos="8306" w:leader="none"/>
      </w:tabs>
    </w:pPr>
    <w:r/>
    <w:r/>
  </w:p>
  <w:p>
    <w:pPr>
      <w:pStyle w:val="100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p>
    <w:pPr>
      <w:pStyle w:val="10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04"/>
        <w:ind w:left="4941" w:hanging="1140"/>
        <w:tabs>
          <w:tab w:val="num" w:pos="4941" w:leader="none"/>
        </w:tabs>
      </w:pPr>
      <w:rPr>
        <w:rFonts w:hint="eastAsia"/>
      </w:rPr>
    </w:lvl>
    <w:lvl w:ilvl="1">
      <w:start w:val="1"/>
      <w:numFmt w:val="lowerLetter"/>
      <w:isLgl w:val="false"/>
      <w:suff w:val="tab"/>
      <w:lvlText w:val="%2)"/>
      <w:lvlJc w:val="left"/>
      <w:pPr>
        <w:pStyle w:val="1004"/>
        <w:ind w:left="4641" w:hanging="420"/>
        <w:tabs>
          <w:tab w:val="num" w:pos="4641" w:leader="none"/>
        </w:tabs>
      </w:pPr>
    </w:lvl>
    <w:lvl w:ilvl="2">
      <w:start w:val="1"/>
      <w:numFmt w:val="lowerRoman"/>
      <w:isLgl w:val="false"/>
      <w:suff w:val="tab"/>
      <w:lvlText w:val="%3."/>
      <w:lvlJc w:val="right"/>
      <w:pPr>
        <w:pStyle w:val="1004"/>
        <w:ind w:left="5061" w:hanging="420"/>
        <w:tabs>
          <w:tab w:val="num" w:pos="5061" w:leader="none"/>
        </w:tabs>
      </w:pPr>
    </w:lvl>
    <w:lvl w:ilvl="3">
      <w:start w:val="1"/>
      <w:numFmt w:val="decimal"/>
      <w:isLgl w:val="false"/>
      <w:suff w:val="tab"/>
      <w:lvlText w:val="%4."/>
      <w:lvlJc w:val="left"/>
      <w:pPr>
        <w:pStyle w:val="1004"/>
        <w:ind w:left="5481" w:hanging="420"/>
        <w:tabs>
          <w:tab w:val="num" w:pos="5481" w:leader="none"/>
        </w:tabs>
      </w:pPr>
    </w:lvl>
    <w:lvl w:ilvl="4">
      <w:start w:val="1"/>
      <w:numFmt w:val="lowerLetter"/>
      <w:isLgl w:val="false"/>
      <w:suff w:val="tab"/>
      <w:lvlText w:val="%5)"/>
      <w:lvlJc w:val="left"/>
      <w:pPr>
        <w:pStyle w:val="1004"/>
        <w:ind w:left="5901" w:hanging="420"/>
        <w:tabs>
          <w:tab w:val="num" w:pos="5901" w:leader="none"/>
        </w:tabs>
      </w:pPr>
    </w:lvl>
    <w:lvl w:ilvl="5">
      <w:start w:val="1"/>
      <w:numFmt w:val="lowerRoman"/>
      <w:isLgl w:val="false"/>
      <w:suff w:val="tab"/>
      <w:lvlText w:val="%6."/>
      <w:lvlJc w:val="right"/>
      <w:pPr>
        <w:pStyle w:val="1004"/>
        <w:ind w:left="6321" w:hanging="420"/>
        <w:tabs>
          <w:tab w:val="num" w:pos="6321" w:leader="none"/>
        </w:tabs>
      </w:pPr>
    </w:lvl>
    <w:lvl w:ilvl="6">
      <w:start w:val="1"/>
      <w:numFmt w:val="decimal"/>
      <w:isLgl w:val="false"/>
      <w:suff w:val="tab"/>
      <w:lvlText w:val="%7."/>
      <w:lvlJc w:val="left"/>
      <w:pPr>
        <w:pStyle w:val="1004"/>
        <w:ind w:left="6741" w:hanging="420"/>
        <w:tabs>
          <w:tab w:val="num" w:pos="6741" w:leader="none"/>
        </w:tabs>
      </w:pPr>
    </w:lvl>
    <w:lvl w:ilvl="7">
      <w:start w:val="1"/>
      <w:numFmt w:val="lowerLetter"/>
      <w:isLgl w:val="false"/>
      <w:suff w:val="tab"/>
      <w:lvlText w:val="%8)"/>
      <w:lvlJc w:val="left"/>
      <w:pPr>
        <w:pStyle w:val="1004"/>
        <w:ind w:left="7161" w:hanging="420"/>
        <w:tabs>
          <w:tab w:val="num" w:pos="7161" w:leader="none"/>
        </w:tabs>
      </w:pPr>
    </w:lvl>
    <w:lvl w:ilvl="8">
      <w:start w:val="1"/>
      <w:numFmt w:val="lowerRoman"/>
      <w:isLgl w:val="false"/>
      <w:suff w:val="tab"/>
      <w:lvlText w:val="%9."/>
      <w:lvlJc w:val="right"/>
      <w:pPr>
        <w:pStyle w:val="1004"/>
        <w:ind w:left="7581" w:hanging="420"/>
        <w:tabs>
          <w:tab w:val="num" w:pos="7581" w:leader="none"/>
        </w:tabs>
      </w:pPr>
    </w:lvl>
  </w:abstractNum>
  <w:abstractNum w:abstractNumId="3">
    <w:multiLevelType w:val="hybridMultilevel"/>
    <w:lvl w:ilvl="0">
      <w:start w:val="1"/>
      <w:numFmt w:val="decimal"/>
      <w:pStyle w:val="1116"/>
      <w:isLgl w:val="false"/>
      <w:suff w:val="tab"/>
      <w:lvlText w:val="%1."/>
      <w:lvlJc w:val="left"/>
      <w:pPr>
        <w:pStyle w:val="1004"/>
        <w:ind w:left="420" w:hanging="420"/>
      </w:pPr>
    </w:lvl>
    <w:lvl w:ilvl="1">
      <w:start w:val="1"/>
      <w:numFmt w:val="decimal"/>
      <w:isLgl w:val="false"/>
      <w:suff w:val="tab"/>
      <w:lvlText w:val="（%2）"/>
      <w:lvlJc w:val="left"/>
      <w:pPr>
        <w:pStyle w:val="1004"/>
        <w:ind w:left="1140" w:hanging="720"/>
        <w:tabs>
          <w:tab w:val="num" w:pos="1140" w:leader="none"/>
        </w:tabs>
      </w:pPr>
      <w:rPr>
        <w:rFonts w:hint="eastAsia"/>
      </w:r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4">
    <w:multiLevelType w:val="hybridMultilevel"/>
    <w:lvl w:ilvl="0">
      <w:start w:val="1"/>
      <w:numFmt w:val="lowerLetter"/>
      <w:pStyle w:val="1191"/>
      <w:isLgl w:val="false"/>
      <w:suff w:val="tab"/>
      <w:lvlText w:val="%1)"/>
      <w:lvlJc w:val="left"/>
      <w:pPr>
        <w:pStyle w:val="1004"/>
        <w:ind w:left="902" w:hanging="420"/>
      </w:pPr>
      <w:rPr>
        <w:color w:val="000000"/>
      </w:rPr>
    </w:lvl>
    <w:lvl w:ilvl="1">
      <w:start w:val="1"/>
      <w:numFmt w:val="lowerLetter"/>
      <w:isLgl w:val="false"/>
      <w:suff w:val="tab"/>
      <w:lvlText w:val="%2)"/>
      <w:lvlJc w:val="left"/>
      <w:pPr>
        <w:pStyle w:val="1004"/>
        <w:ind w:left="1322" w:hanging="420"/>
      </w:pPr>
    </w:lvl>
    <w:lvl w:ilvl="2">
      <w:start w:val="1"/>
      <w:numFmt w:val="lowerRoman"/>
      <w:isLgl w:val="false"/>
      <w:suff w:val="tab"/>
      <w:lvlText w:val="%3."/>
      <w:lvlJc w:val="right"/>
      <w:pPr>
        <w:pStyle w:val="1004"/>
        <w:ind w:left="1742" w:hanging="420"/>
      </w:pPr>
    </w:lvl>
    <w:lvl w:ilvl="3">
      <w:start w:val="1"/>
      <w:numFmt w:val="decimal"/>
      <w:isLgl w:val="false"/>
      <w:suff w:val="tab"/>
      <w:lvlText w:val="%4."/>
      <w:lvlJc w:val="left"/>
      <w:pPr>
        <w:pStyle w:val="1004"/>
        <w:ind w:left="2162" w:hanging="420"/>
      </w:pPr>
    </w:lvl>
    <w:lvl w:ilvl="4">
      <w:start w:val="1"/>
      <w:numFmt w:val="lowerLetter"/>
      <w:isLgl w:val="false"/>
      <w:suff w:val="tab"/>
      <w:lvlText w:val="%5)"/>
      <w:lvlJc w:val="left"/>
      <w:pPr>
        <w:pStyle w:val="1004"/>
        <w:ind w:left="2582" w:hanging="420"/>
      </w:pPr>
    </w:lvl>
    <w:lvl w:ilvl="5">
      <w:start w:val="1"/>
      <w:numFmt w:val="lowerRoman"/>
      <w:isLgl w:val="false"/>
      <w:suff w:val="tab"/>
      <w:lvlText w:val="%6."/>
      <w:lvlJc w:val="right"/>
      <w:pPr>
        <w:pStyle w:val="1004"/>
        <w:ind w:left="3002" w:hanging="420"/>
      </w:pPr>
    </w:lvl>
    <w:lvl w:ilvl="6">
      <w:start w:val="1"/>
      <w:numFmt w:val="decimal"/>
      <w:isLgl w:val="false"/>
      <w:suff w:val="tab"/>
      <w:lvlText w:val="%7."/>
      <w:lvlJc w:val="left"/>
      <w:pPr>
        <w:pStyle w:val="1004"/>
        <w:ind w:left="3422" w:hanging="420"/>
      </w:pPr>
    </w:lvl>
    <w:lvl w:ilvl="7">
      <w:start w:val="1"/>
      <w:numFmt w:val="lowerLetter"/>
      <w:isLgl w:val="false"/>
      <w:suff w:val="tab"/>
      <w:lvlText w:val="%8)"/>
      <w:lvlJc w:val="left"/>
      <w:pPr>
        <w:pStyle w:val="1004"/>
        <w:ind w:left="3842" w:hanging="420"/>
      </w:pPr>
    </w:lvl>
    <w:lvl w:ilvl="8">
      <w:start w:val="1"/>
      <w:numFmt w:val="lowerRoman"/>
      <w:isLgl w:val="false"/>
      <w:suff w:val="tab"/>
      <w:lvlText w:val="%9."/>
      <w:lvlJc w:val="right"/>
      <w:pPr>
        <w:pStyle w:val="1004"/>
        <w:ind w:left="4262" w:hanging="420"/>
      </w:pPr>
    </w:lvl>
  </w:abstractNum>
  <w:abstractNum w:abstractNumId="5">
    <w:multiLevelType w:val="hybridMultilevel"/>
    <w:lvl w:ilvl="0">
      <w:start w:val="1"/>
      <w:numFmt w:val="decimal"/>
      <w:pStyle w:val="1161"/>
      <w:isLgl w:val="false"/>
      <w:suff w:val="tab"/>
      <w:lvlText w:val="%1."/>
      <w:lvlJc w:val="left"/>
      <w:pPr>
        <w:pStyle w:val="10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0"/>
      <w:isLgl w:val="false"/>
      <w:suff w:val="nothing"/>
      <w:lvlText w:val="%1　"/>
      <w:lvlJc w:val="left"/>
      <w:pPr>
        <w:pStyle w:val="10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4"/>
        <w:ind w:left="-25" w:firstLine="0"/>
      </w:pPr>
      <w:rPr>
        <w:rFonts w:ascii="Times New Roman" w:hAnsi="Times New Roman" w:eastAsia="黑体"/>
        <w:b/>
        <w:i w:val="0"/>
        <w:sz w:val="28"/>
      </w:rPr>
    </w:lvl>
    <w:lvl w:ilvl="3">
      <w:start w:val="1"/>
      <w:numFmt w:val="decimal"/>
      <w:pStyle w:val="1146"/>
      <w:isLgl w:val="false"/>
      <w:suff w:val="nothing"/>
      <w:lvlText w:val="%1.%2.%3.%4　"/>
      <w:lvlJc w:val="left"/>
      <w:pPr>
        <w:pStyle w:val="10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4"/>
        <w:ind w:left="-25" w:firstLine="0"/>
      </w:pPr>
      <w:rPr>
        <w:rFonts w:ascii="Times New Roman" w:hAnsi="Times New Roman" w:eastAsia="宋体"/>
        <w:b/>
        <w:i w:val="0"/>
        <w:sz w:val="28"/>
      </w:rPr>
    </w:lvl>
    <w:lvl w:ilvl="6">
      <w:start w:val="1"/>
      <w:numFmt w:val="lowerLetter"/>
      <w:pStyle w:val="1167"/>
      <w:isLgl w:val="false"/>
      <w:suff w:val="tab"/>
      <w:lvlText w:val="%7) "/>
      <w:lvlJc w:val="left"/>
      <w:pPr>
        <w:pStyle w:val="1004"/>
        <w:ind w:left="-125" w:firstLine="400"/>
        <w:tabs>
          <w:tab w:val="num" w:pos="635" w:leader="none"/>
        </w:tabs>
      </w:pPr>
      <w:rPr>
        <w:rFonts w:ascii="Times New Roman" w:hAnsi="Times New Roman" w:eastAsia="宋体"/>
        <w:b/>
        <w:i w:val="0"/>
        <w:color w:val="000000"/>
        <w:sz w:val="28"/>
        <w:u w:val="none"/>
      </w:rPr>
    </w:lvl>
    <w:lvl w:ilvl="7">
      <w:start w:val="1"/>
      <w:numFmt w:val="decimal"/>
      <w:pStyle w:val="1130"/>
      <w:isLgl w:val="false"/>
      <w:suff w:val="tab"/>
      <w:lvlText w:val="%8) "/>
      <w:lvlJc w:val="left"/>
      <w:pPr>
        <w:pStyle w:val="10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04"/>
        <w:ind w:left="768" w:hanging="360"/>
        <w:tabs>
          <w:tab w:val="num" w:pos="768" w:leader="none"/>
        </w:tabs>
      </w:pPr>
      <w:rPr>
        <w:rFonts w:hint="eastAsia"/>
      </w:rPr>
    </w:lvl>
    <w:lvl w:ilvl="1">
      <w:start w:val="1"/>
      <w:numFmt w:val="decimal"/>
      <w:pStyle w:val="1148"/>
      <w:isLgl w:val="false"/>
      <w:suff w:val="tab"/>
      <w:lvlText w:val="%2、"/>
      <w:lvlJc w:val="left"/>
      <w:pPr>
        <w:pStyle w:val="1004"/>
        <w:ind w:left="1188" w:hanging="360"/>
        <w:tabs>
          <w:tab w:val="num" w:pos="1188" w:leader="none"/>
        </w:tabs>
      </w:pPr>
      <w:rPr>
        <w:rFonts w:hint="eastAsia"/>
      </w:rPr>
    </w:lvl>
    <w:lvl w:ilvl="2">
      <w:start w:val="1"/>
      <w:numFmt w:val="decimal"/>
      <w:isLgl w:val="false"/>
      <w:suff w:val="tab"/>
      <w:lvlText w:val="（%3）"/>
      <w:lvlJc w:val="left"/>
      <w:pPr>
        <w:pStyle w:val="1004"/>
        <w:ind w:left="1968" w:hanging="720"/>
        <w:tabs>
          <w:tab w:val="num" w:pos="1968" w:leader="none"/>
        </w:tabs>
      </w:pPr>
      <w:rPr>
        <w:rFonts w:hint="eastAsia"/>
        <w:u w:val="none"/>
      </w:rPr>
    </w:lvl>
    <w:lvl w:ilvl="3">
      <w:start w:val="1"/>
      <w:numFmt w:val="decimal"/>
      <w:isLgl w:val="false"/>
      <w:suff w:val="tab"/>
      <w:lvlText w:val="%4."/>
      <w:lvlJc w:val="left"/>
      <w:pPr>
        <w:pStyle w:val="1004"/>
        <w:ind w:left="2088" w:hanging="420"/>
        <w:tabs>
          <w:tab w:val="num" w:pos="2088" w:leader="none"/>
        </w:tabs>
      </w:pPr>
    </w:lvl>
    <w:lvl w:ilvl="4">
      <w:start w:val="1"/>
      <w:numFmt w:val="lowerLetter"/>
      <w:isLgl w:val="false"/>
      <w:suff w:val="tab"/>
      <w:lvlText w:val="%5)"/>
      <w:lvlJc w:val="left"/>
      <w:pPr>
        <w:pStyle w:val="1004"/>
        <w:ind w:left="2508" w:hanging="420"/>
        <w:tabs>
          <w:tab w:val="num" w:pos="2508" w:leader="none"/>
        </w:tabs>
      </w:pPr>
    </w:lvl>
    <w:lvl w:ilvl="5">
      <w:start w:val="1"/>
      <w:numFmt w:val="lowerRoman"/>
      <w:isLgl w:val="false"/>
      <w:suff w:val="tab"/>
      <w:lvlText w:val="%6."/>
      <w:lvlJc w:val="right"/>
      <w:pPr>
        <w:pStyle w:val="1004"/>
        <w:ind w:left="2928" w:hanging="420"/>
        <w:tabs>
          <w:tab w:val="num" w:pos="2928" w:leader="none"/>
        </w:tabs>
      </w:pPr>
    </w:lvl>
    <w:lvl w:ilvl="6">
      <w:start w:val="1"/>
      <w:numFmt w:val="decimal"/>
      <w:isLgl w:val="false"/>
      <w:suff w:val="tab"/>
      <w:lvlText w:val="%7."/>
      <w:lvlJc w:val="left"/>
      <w:pPr>
        <w:pStyle w:val="1004"/>
        <w:ind w:left="3348" w:hanging="420"/>
        <w:tabs>
          <w:tab w:val="num" w:pos="3348" w:leader="none"/>
        </w:tabs>
      </w:pPr>
    </w:lvl>
    <w:lvl w:ilvl="7">
      <w:start w:val="1"/>
      <w:numFmt w:val="lowerLetter"/>
      <w:isLgl w:val="false"/>
      <w:suff w:val="tab"/>
      <w:lvlText w:val="%8)"/>
      <w:lvlJc w:val="left"/>
      <w:pPr>
        <w:pStyle w:val="1004"/>
        <w:ind w:left="3768" w:hanging="420"/>
        <w:tabs>
          <w:tab w:val="num" w:pos="3768" w:leader="none"/>
        </w:tabs>
      </w:pPr>
    </w:lvl>
    <w:lvl w:ilvl="8">
      <w:start w:val="1"/>
      <w:numFmt w:val="lowerRoman"/>
      <w:isLgl w:val="false"/>
      <w:suff w:val="tab"/>
      <w:lvlText w:val="%9."/>
      <w:lvlJc w:val="right"/>
      <w:pPr>
        <w:pStyle w:val="1004"/>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04"/>
        <w:ind w:left="1184" w:hanging="900"/>
        <w:tabs>
          <w:tab w:val="num" w:pos="1184" w:leader="none"/>
        </w:tabs>
      </w:pPr>
      <w:rPr>
        <w:rFonts w:hint="eastAsia"/>
      </w:rPr>
    </w:lvl>
    <w:lvl w:ilvl="1">
      <w:start w:val="1"/>
      <w:numFmt w:val="decimal"/>
      <w:isLgl w:val="false"/>
      <w:suff w:val="tab"/>
      <w:lvlText w:val="%1.%2"/>
      <w:lvlJc w:val="left"/>
      <w:pPr>
        <w:pStyle w:val="1004"/>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004"/>
        <w:ind w:left="2264" w:hanging="900"/>
        <w:tabs>
          <w:tab w:val="num" w:pos="2264" w:leader="none"/>
        </w:tabs>
      </w:pPr>
      <w:rPr>
        <w:rFonts w:hint="eastAsia"/>
      </w:rPr>
    </w:lvl>
    <w:lvl w:ilvl="3">
      <w:start w:val="1"/>
      <w:numFmt w:val="decimal"/>
      <w:isLgl w:val="false"/>
      <w:suff w:val="tab"/>
      <w:lvlText w:val="%1.%2.%3.%4"/>
      <w:lvlJc w:val="left"/>
      <w:pPr>
        <w:pStyle w:val="1004"/>
        <w:ind w:left="1184" w:hanging="900"/>
        <w:tabs>
          <w:tab w:val="num" w:pos="1184" w:leader="none"/>
        </w:tabs>
      </w:pPr>
      <w:rPr>
        <w:rFonts w:hint="eastAsia"/>
      </w:rPr>
    </w:lvl>
    <w:lvl w:ilvl="4">
      <w:start w:val="1"/>
      <w:numFmt w:val="decimal"/>
      <w:isLgl w:val="false"/>
      <w:suff w:val="tab"/>
      <w:lvlText w:val="%1.%2.%3.%4.%5"/>
      <w:lvlJc w:val="left"/>
      <w:pPr>
        <w:pStyle w:val="1004"/>
        <w:ind w:left="1184" w:hanging="900"/>
        <w:tabs>
          <w:tab w:val="num" w:pos="1184" w:leader="none"/>
        </w:tabs>
      </w:pPr>
      <w:rPr>
        <w:rFonts w:hint="eastAsia"/>
      </w:rPr>
    </w:lvl>
    <w:lvl w:ilvl="5">
      <w:start w:val="1"/>
      <w:numFmt w:val="decimal"/>
      <w:isLgl w:val="false"/>
      <w:suff w:val="tab"/>
      <w:lvlText w:val="%1.%2.%3.%4.%5.%6"/>
      <w:lvlJc w:val="left"/>
      <w:pPr>
        <w:pStyle w:val="1004"/>
        <w:ind w:left="1184" w:hanging="900"/>
        <w:tabs>
          <w:tab w:val="num" w:pos="1184" w:leader="none"/>
        </w:tabs>
      </w:pPr>
      <w:rPr>
        <w:rFonts w:hint="eastAsia"/>
      </w:rPr>
    </w:lvl>
    <w:lvl w:ilvl="6">
      <w:start w:val="1"/>
      <w:numFmt w:val="decimal"/>
      <w:isLgl w:val="false"/>
      <w:suff w:val="tab"/>
      <w:lvlText w:val="%1.%2.%3.%4.%5.%6.%7"/>
      <w:lvlJc w:val="left"/>
      <w:pPr>
        <w:pStyle w:val="1004"/>
        <w:ind w:left="1184" w:hanging="900"/>
        <w:tabs>
          <w:tab w:val="num" w:pos="1184" w:leader="none"/>
        </w:tabs>
      </w:pPr>
      <w:rPr>
        <w:rFonts w:hint="eastAsia"/>
      </w:rPr>
    </w:lvl>
    <w:lvl w:ilvl="7">
      <w:start w:val="1"/>
      <w:numFmt w:val="decimal"/>
      <w:isLgl w:val="false"/>
      <w:suff w:val="tab"/>
      <w:lvlText w:val="%1.%2.%3.%4.%5.%6.%7.%8"/>
      <w:lvlJc w:val="left"/>
      <w:pPr>
        <w:pStyle w:val="1004"/>
        <w:ind w:left="1184" w:hanging="900"/>
        <w:tabs>
          <w:tab w:val="num" w:pos="1184" w:leader="none"/>
        </w:tabs>
      </w:pPr>
      <w:rPr>
        <w:rFonts w:hint="eastAsia"/>
      </w:rPr>
    </w:lvl>
    <w:lvl w:ilvl="8">
      <w:start w:val="1"/>
      <w:numFmt w:val="decimal"/>
      <w:isLgl w:val="false"/>
      <w:suff w:val="tab"/>
      <w:lvlText w:val="%1.%2.%3.%4.%5.%6.%7.%8.%9"/>
      <w:lvlJc w:val="left"/>
      <w:pPr>
        <w:pStyle w:val="1004"/>
        <w:ind w:left="1184" w:hanging="900"/>
        <w:tabs>
          <w:tab w:val="num" w:pos="1184" w:leader="none"/>
        </w:tabs>
      </w:pPr>
      <w:rPr>
        <w:rFonts w:hint="eastAsia"/>
      </w:rPr>
    </w:lvl>
  </w:abstractNum>
  <w:abstractNum w:abstractNumId="9">
    <w:multiLevelType w:val="hybridMultilevel"/>
    <w:lvl w:ilvl="0">
      <w:start w:val="1"/>
      <w:numFmt w:val="decimal"/>
      <w:pStyle w:val="1115"/>
      <w:isLgl w:val="false"/>
      <w:suff w:val="tab"/>
      <w:lvlText w:val="%1)"/>
      <w:lvlJc w:val="left"/>
      <w:pPr>
        <w:pStyle w:val="1004"/>
        <w:ind w:left="420" w:hanging="420"/>
      </w:pPr>
    </w:lvl>
    <w:lvl w:ilvl="1">
      <w:start w:val="1"/>
      <w:numFmt w:val="lowerLetter"/>
      <w:isLgl w:val="false"/>
      <w:suff w:val="tab"/>
      <w:lvlText w:val="%2)"/>
      <w:lvlJc w:val="left"/>
      <w:pPr>
        <w:pStyle w:val="1004"/>
        <w:ind w:left="840" w:hanging="420"/>
      </w:p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10">
    <w:multiLevelType w:val="hybridMultilevel"/>
    <w:lvl w:ilvl="0">
      <w:start w:val="1"/>
      <w:numFmt w:val="decimal"/>
      <w:pStyle w:val="1259"/>
      <w:isLgl w:val="false"/>
      <w:suff w:val="tab"/>
      <w:lvlText w:val="表%1  "/>
      <w:lvlJc w:val="center"/>
      <w:pPr>
        <w:pStyle w:val="1004"/>
        <w:ind w:left="0" w:firstLine="0"/>
        <w:tabs>
          <w:tab w:val="num" w:pos="0" w:leader="none"/>
        </w:tabs>
      </w:pPr>
      <w:rPr>
        <w:rFonts w:hint="eastAsia"/>
      </w:rPr>
    </w:lvl>
    <w:lvl w:ilvl="1">
      <w:start w:val="1"/>
      <w:numFmt w:val="lowerLetter"/>
      <w:isLgl w:val="false"/>
      <w:suff w:val="tab"/>
      <w:lvlText w:val="%2)"/>
      <w:lvlJc w:val="left"/>
      <w:pPr>
        <w:pStyle w:val="1004"/>
        <w:ind w:left="840" w:hanging="420"/>
        <w:tabs>
          <w:tab w:val="num" w:pos="840" w:leader="none"/>
        </w:tabs>
      </w:pPr>
    </w:lvl>
    <w:lvl w:ilvl="2">
      <w:start w:val="1"/>
      <w:numFmt w:val="lowerRoman"/>
      <w:isLgl w:val="false"/>
      <w:suff w:val="tab"/>
      <w:lvlText w:val="%3."/>
      <w:lvlJc w:val="right"/>
      <w:pPr>
        <w:pStyle w:val="1004"/>
        <w:ind w:left="1260" w:hanging="420"/>
        <w:tabs>
          <w:tab w:val="num" w:pos="1260" w:leader="none"/>
        </w:tabs>
      </w:pPr>
    </w:lvl>
    <w:lvl w:ilvl="3">
      <w:start w:val="1"/>
      <w:numFmt w:val="decimal"/>
      <w:isLgl w:val="false"/>
      <w:suff w:val="tab"/>
      <w:lvlText w:val="%4."/>
      <w:lvlJc w:val="left"/>
      <w:pPr>
        <w:pStyle w:val="1004"/>
        <w:ind w:left="1680" w:hanging="420"/>
        <w:tabs>
          <w:tab w:val="num" w:pos="1680" w:leader="none"/>
        </w:tabs>
      </w:pPr>
    </w:lvl>
    <w:lvl w:ilvl="4">
      <w:start w:val="1"/>
      <w:numFmt w:val="lowerLetter"/>
      <w:isLgl w:val="false"/>
      <w:suff w:val="tab"/>
      <w:lvlText w:val="%5)"/>
      <w:lvlJc w:val="left"/>
      <w:pPr>
        <w:pStyle w:val="1004"/>
        <w:ind w:left="2100" w:hanging="420"/>
        <w:tabs>
          <w:tab w:val="num" w:pos="2100" w:leader="none"/>
        </w:tabs>
      </w:pPr>
    </w:lvl>
    <w:lvl w:ilvl="5">
      <w:start w:val="1"/>
      <w:numFmt w:val="lowerRoman"/>
      <w:isLgl w:val="false"/>
      <w:suff w:val="tab"/>
      <w:lvlText w:val="%6."/>
      <w:lvlJc w:val="right"/>
      <w:pPr>
        <w:pStyle w:val="1004"/>
        <w:ind w:left="2520" w:hanging="420"/>
        <w:tabs>
          <w:tab w:val="num" w:pos="2520" w:leader="none"/>
        </w:tabs>
      </w:pPr>
    </w:lvl>
    <w:lvl w:ilvl="6">
      <w:start w:val="1"/>
      <w:numFmt w:val="decimal"/>
      <w:isLgl w:val="false"/>
      <w:suff w:val="tab"/>
      <w:lvlText w:val="%7."/>
      <w:lvlJc w:val="left"/>
      <w:pPr>
        <w:pStyle w:val="1004"/>
        <w:ind w:left="2940" w:hanging="420"/>
        <w:tabs>
          <w:tab w:val="num" w:pos="2940" w:leader="none"/>
        </w:tabs>
      </w:pPr>
    </w:lvl>
    <w:lvl w:ilvl="7">
      <w:start w:val="1"/>
      <w:numFmt w:val="lowerLetter"/>
      <w:isLgl w:val="false"/>
      <w:suff w:val="tab"/>
      <w:lvlText w:val="%8)"/>
      <w:lvlJc w:val="left"/>
      <w:pPr>
        <w:pStyle w:val="1004"/>
        <w:ind w:left="3360" w:hanging="420"/>
        <w:tabs>
          <w:tab w:val="num" w:pos="3360" w:leader="none"/>
        </w:tabs>
      </w:pPr>
    </w:lvl>
    <w:lvl w:ilvl="8">
      <w:start w:val="1"/>
      <w:numFmt w:val="lowerRoman"/>
      <w:isLgl w:val="false"/>
      <w:suff w:val="tab"/>
      <w:lvlText w:val="%9."/>
      <w:lvlJc w:val="right"/>
      <w:pPr>
        <w:pStyle w:val="1004"/>
        <w:ind w:left="3780" w:hanging="420"/>
        <w:tabs>
          <w:tab w:val="num" w:pos="3780" w:leader="none"/>
        </w:tabs>
      </w:pPr>
    </w:lvl>
  </w:abstractNum>
  <w:abstractNum w:abstractNumId="11">
    <w:multiLevelType w:val="hybridMultilevel"/>
    <w:lvl w:ilvl="0">
      <w:start w:val="1"/>
      <w:numFmt w:val="decimal"/>
      <w:pStyle w:val="1216"/>
      <w:isLgl w:val="false"/>
      <w:suff w:val="tab"/>
      <w:lvlText w:val="%1"/>
      <w:lvlJc w:val="left"/>
      <w:pPr>
        <w:pStyle w:val="1004"/>
        <w:ind w:left="680" w:hanging="680"/>
      </w:pPr>
      <w:rPr>
        <w:rFonts w:hint="eastAsia" w:ascii="宋体" w:hAnsi="宋体" w:eastAsia="宋体"/>
      </w:rPr>
    </w:lvl>
    <w:lvl w:ilvl="1">
      <w:start w:val="1"/>
      <w:numFmt w:val="decimal"/>
      <w:pStyle w:val="1217"/>
      <w:isLgl w:val="false"/>
      <w:suff w:val="tab"/>
      <w:lvlText w:val="%1.%2"/>
      <w:lvlJc w:val="left"/>
      <w:pPr>
        <w:pStyle w:val="1004"/>
        <w:ind w:left="851" w:hanging="851"/>
      </w:pPr>
      <w:rPr>
        <w:rFonts w:hint="eastAsia" w:ascii="宋体" w:hAnsi="宋体" w:eastAsia="宋体"/>
        <w:color w:val="000000"/>
      </w:rPr>
    </w:lvl>
    <w:lvl w:ilvl="2">
      <w:start w:val="1"/>
      <w:numFmt w:val="decimal"/>
      <w:pStyle w:val="1218"/>
      <w:isLgl w:val="false"/>
      <w:suff w:val="tab"/>
      <w:lvlText w:val="%1.%2.%3"/>
      <w:lvlJc w:val="left"/>
      <w:pPr>
        <w:pStyle w:val="1004"/>
        <w:ind w:left="851" w:hanging="851"/>
      </w:pPr>
      <w:rPr>
        <w:rFonts w:hint="eastAsia"/>
      </w:rPr>
    </w:lvl>
    <w:lvl w:ilvl="3">
      <w:start w:val="1"/>
      <w:numFmt w:val="decimal"/>
      <w:isLgl w:val="false"/>
      <w:suff w:val="tab"/>
      <w:lvlText w:val="%1.%2.%3.%4"/>
      <w:lvlJc w:val="left"/>
      <w:pPr>
        <w:pStyle w:val="1004"/>
        <w:ind w:left="680" w:hanging="680"/>
      </w:pPr>
      <w:rPr>
        <w:rFonts w:hint="eastAsia"/>
      </w:rPr>
    </w:lvl>
    <w:lvl w:ilvl="4">
      <w:start w:val="1"/>
      <w:numFmt w:val="decimal"/>
      <w:isLgl w:val="false"/>
      <w:suff w:val="tab"/>
      <w:lvlText w:val="%1.%2.%3.%4.%5"/>
      <w:lvlJc w:val="left"/>
      <w:pPr>
        <w:pStyle w:val="1004"/>
        <w:ind w:left="680" w:hanging="680"/>
      </w:pPr>
      <w:rPr>
        <w:rFonts w:hint="eastAsia"/>
      </w:rPr>
    </w:lvl>
    <w:lvl w:ilvl="5">
      <w:start w:val="1"/>
      <w:numFmt w:val="decimal"/>
      <w:isLgl w:val="false"/>
      <w:suff w:val="tab"/>
      <w:lvlText w:val="%1.%2.%3.%4.%5.%6"/>
      <w:lvlJc w:val="left"/>
      <w:pPr>
        <w:pStyle w:val="1004"/>
        <w:ind w:left="680" w:hanging="680"/>
      </w:pPr>
      <w:rPr>
        <w:rFonts w:hint="eastAsia"/>
      </w:rPr>
    </w:lvl>
    <w:lvl w:ilvl="6">
      <w:start w:val="1"/>
      <w:numFmt w:val="decimal"/>
      <w:isLgl w:val="false"/>
      <w:suff w:val="tab"/>
      <w:lvlText w:val="%1.%2.%3.%4.%5.%6.%7"/>
      <w:lvlJc w:val="left"/>
      <w:pPr>
        <w:pStyle w:val="1004"/>
        <w:ind w:left="680" w:hanging="680"/>
      </w:pPr>
      <w:rPr>
        <w:rFonts w:hint="eastAsia"/>
      </w:rPr>
    </w:lvl>
    <w:lvl w:ilvl="7">
      <w:start w:val="1"/>
      <w:numFmt w:val="decimal"/>
      <w:isLgl w:val="false"/>
      <w:suff w:val="tab"/>
      <w:lvlText w:val="%1.%2.%3.%4.%5.%6.%7.%8"/>
      <w:lvlJc w:val="left"/>
      <w:pPr>
        <w:pStyle w:val="1004"/>
        <w:ind w:left="680" w:hanging="680"/>
      </w:pPr>
      <w:rPr>
        <w:rFonts w:hint="eastAsia"/>
      </w:rPr>
    </w:lvl>
    <w:lvl w:ilvl="8">
      <w:start w:val="1"/>
      <w:numFmt w:val="decimal"/>
      <w:isLgl w:val="false"/>
      <w:suff w:val="tab"/>
      <w:lvlText w:val="%1.%2.%3.%4.%5.%6.%7.%8.%9"/>
      <w:lvlJc w:val="left"/>
      <w:pPr>
        <w:pStyle w:val="1004"/>
        <w:ind w:left="680" w:hanging="680"/>
      </w:pPr>
      <w:rPr>
        <w:rFonts w:hint="eastAsia"/>
      </w:rPr>
    </w:lvl>
  </w:abstractNum>
  <w:abstractNum w:abstractNumId="12">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4">
    <w:multiLevelType w:val="hybridMultilevel"/>
    <w:lvl w:ilvl="0">
      <w:start w:val="1"/>
      <w:numFmt w:val="bullet"/>
      <w:pStyle w:val="1262"/>
      <w:isLgl w:val="false"/>
      <w:suff w:val="tab"/>
      <w:lvlText w:val=""/>
      <w:lvlJc w:val="left"/>
      <w:pPr>
        <w:pStyle w:val="1004"/>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4"/>
  </w:num>
  <w:num w:numId="10">
    <w:abstractNumId w:val="8"/>
  </w:num>
  <w:num w:numId="11">
    <w:abstractNumId w:val="2"/>
  </w:num>
  <w:num w:numId="12">
    <w:abstractNumId w:val="13"/>
  </w:num>
  <w:num w:numId="13">
    <w:abstractNumId w:val="1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04"/>
    <w:link w:val="1004"/>
    <w:qFormat/>
    <w:pPr>
      <w:jc w:val="both"/>
      <w:widowControl w:val="off"/>
    </w:pPr>
    <w:rPr>
      <w:sz w:val="21"/>
      <w:szCs w:val="24"/>
      <w:lang w:val="en-US" w:eastAsia="zh-CN" w:bidi="ar-SA"/>
    </w:rPr>
  </w:style>
  <w:style w:type="paragraph" w:styleId="1005">
    <w:name w:val="标题 1"/>
    <w:basedOn w:val="1004"/>
    <w:next w:val="1004"/>
    <w:link w:val="1016"/>
    <w:uiPriority w:val="9"/>
    <w:qFormat/>
    <w:pPr>
      <w:jc w:val="center"/>
      <w:keepLines/>
      <w:keepNext/>
      <w:spacing w:before="240" w:after="120" w:line="300" w:lineRule="auto"/>
      <w:outlineLvl w:val="0"/>
    </w:pPr>
    <w:rPr>
      <w:rFonts w:ascii="宋体"/>
      <w:b/>
      <w:sz w:val="32"/>
      <w:szCs w:val="20"/>
    </w:rPr>
  </w:style>
  <w:style w:type="paragraph" w:styleId="1006">
    <w:name w:val="标题 2"/>
    <w:basedOn w:val="1004"/>
    <w:next w:val="1018"/>
    <w:link w:val="1017"/>
    <w:qFormat/>
    <w:pPr>
      <w:jc w:val="center"/>
      <w:keepLines/>
      <w:keepNext/>
      <w:spacing w:before="120" w:line="300" w:lineRule="auto"/>
      <w:outlineLvl w:val="1"/>
    </w:pPr>
    <w:rPr>
      <w:rFonts w:ascii="Arial" w:hAnsi="Arial" w:eastAsia="黑体"/>
      <w:b/>
      <w:sz w:val="30"/>
      <w:szCs w:val="20"/>
    </w:rPr>
  </w:style>
  <w:style w:type="paragraph" w:styleId="1007">
    <w:name w:val="标题 3"/>
    <w:basedOn w:val="1004"/>
    <w:next w:val="1018"/>
    <w:link w:val="1020"/>
    <w:qFormat/>
    <w:pPr>
      <w:jc w:val="left"/>
      <w:keepLines/>
      <w:keepNext/>
      <w:spacing w:before="360" w:after="120"/>
      <w:outlineLvl w:val="2"/>
    </w:pPr>
    <w:rPr>
      <w:rFonts w:ascii="宋体"/>
      <w:b/>
      <w:sz w:val="24"/>
      <w:szCs w:val="20"/>
      <w:u w:val="single"/>
    </w:rPr>
  </w:style>
  <w:style w:type="paragraph" w:styleId="1008">
    <w:name w:val="标题 4"/>
    <w:basedOn w:val="1004"/>
    <w:next w:val="1004"/>
    <w:link w:val="1021"/>
    <w:qFormat/>
    <w:pPr>
      <w:keepLines/>
      <w:keepNext/>
      <w:spacing w:before="280" w:after="290" w:line="376" w:lineRule="atLeast"/>
      <w:outlineLvl w:val="3"/>
    </w:pPr>
    <w:rPr>
      <w:rFonts w:ascii="Arial" w:hAnsi="Arial" w:eastAsia="黑体"/>
      <w:b/>
      <w:sz w:val="28"/>
      <w:szCs w:val="20"/>
    </w:rPr>
  </w:style>
  <w:style w:type="paragraph" w:styleId="1009">
    <w:name w:val="标题 5"/>
    <w:basedOn w:val="1004"/>
    <w:next w:val="1004"/>
    <w:link w:val="1022"/>
    <w:qFormat/>
    <w:pPr>
      <w:keepLines/>
      <w:keepNext/>
      <w:spacing w:before="280" w:after="290" w:line="376" w:lineRule="atLeast"/>
      <w:outlineLvl w:val="4"/>
    </w:pPr>
    <w:rPr>
      <w:b/>
      <w:sz w:val="28"/>
      <w:szCs w:val="20"/>
    </w:rPr>
  </w:style>
  <w:style w:type="paragraph" w:styleId="1010">
    <w:name w:val="标题 6"/>
    <w:basedOn w:val="1004"/>
    <w:next w:val="1004"/>
    <w:link w:val="1023"/>
    <w:qFormat/>
    <w:pPr>
      <w:keepLines/>
      <w:keepNext/>
      <w:spacing w:before="240" w:after="64" w:line="320" w:lineRule="atLeast"/>
      <w:outlineLvl w:val="5"/>
    </w:pPr>
    <w:rPr>
      <w:rFonts w:ascii="Arial" w:hAnsi="Arial" w:eastAsia="黑体"/>
      <w:b/>
      <w:sz w:val="24"/>
      <w:szCs w:val="20"/>
    </w:rPr>
  </w:style>
  <w:style w:type="paragraph" w:styleId="1011">
    <w:name w:val="标题 7"/>
    <w:basedOn w:val="1004"/>
    <w:next w:val="1004"/>
    <w:link w:val="1024"/>
    <w:qFormat/>
    <w:pPr>
      <w:keepLines/>
      <w:keepNext/>
      <w:spacing w:before="240" w:after="64" w:line="320" w:lineRule="atLeast"/>
      <w:outlineLvl w:val="6"/>
    </w:pPr>
    <w:rPr>
      <w:b/>
      <w:sz w:val="24"/>
      <w:szCs w:val="20"/>
    </w:rPr>
  </w:style>
  <w:style w:type="paragraph" w:styleId="1012">
    <w:name w:val="标题 8"/>
    <w:basedOn w:val="1004"/>
    <w:next w:val="1004"/>
    <w:link w:val="1025"/>
    <w:qFormat/>
    <w:pPr>
      <w:keepLines/>
      <w:keepNext/>
      <w:spacing w:before="240" w:after="64" w:line="320" w:lineRule="atLeast"/>
      <w:outlineLvl w:val="7"/>
    </w:pPr>
    <w:rPr>
      <w:rFonts w:ascii="Arial" w:hAnsi="Arial" w:eastAsia="黑体"/>
      <w:sz w:val="24"/>
      <w:szCs w:val="20"/>
    </w:rPr>
  </w:style>
  <w:style w:type="paragraph" w:styleId="1013">
    <w:name w:val="标题 9"/>
    <w:basedOn w:val="1004"/>
    <w:next w:val="1004"/>
    <w:link w:val="1026"/>
    <w:qFormat/>
    <w:pPr>
      <w:keepLines/>
      <w:keepNext/>
      <w:spacing w:before="240" w:after="64" w:line="320" w:lineRule="atLeast"/>
      <w:outlineLvl w:val="8"/>
    </w:pPr>
    <w:rPr>
      <w:rFonts w:ascii="Arial" w:hAnsi="Arial" w:eastAsia="黑体"/>
      <w:szCs w:val="20"/>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character" w:styleId="1016">
    <w:name w:val="标题 1 字符"/>
    <w:next w:val="1016"/>
    <w:link w:val="1005"/>
    <w:uiPriority w:val="9"/>
    <w:qFormat/>
    <w:rPr>
      <w:rFonts w:ascii="宋体"/>
      <w:b/>
      <w:sz w:val="32"/>
    </w:rPr>
  </w:style>
  <w:style w:type="character" w:styleId="1017">
    <w:name w:val="标题 2 字符"/>
    <w:next w:val="1017"/>
    <w:link w:val="1006"/>
    <w:qFormat/>
    <w:rPr>
      <w:rFonts w:ascii="Arial" w:hAnsi="Arial" w:eastAsia="黑体"/>
      <w:b/>
      <w:sz w:val="30"/>
      <w:lang w:val="en-US" w:eastAsia="zh-CN" w:bidi="ar-SA"/>
    </w:rPr>
  </w:style>
  <w:style w:type="paragraph" w:styleId="1018">
    <w:name w:val="正文缩进"/>
    <w:basedOn w:val="1004"/>
    <w:next w:val="1004"/>
    <w:link w:val="1019"/>
    <w:qFormat/>
    <w:pPr>
      <w:ind w:firstLine="420"/>
      <w:jc w:val="left"/>
    </w:pPr>
    <w:rPr>
      <w:rFonts w:ascii="宋体"/>
      <w:sz w:val="24"/>
    </w:rPr>
  </w:style>
  <w:style w:type="character" w:styleId="1019">
    <w:name w:val="正文缩进 字符"/>
    <w:next w:val="1019"/>
    <w:link w:val="1018"/>
    <w:qFormat/>
    <w:rPr>
      <w:rFonts w:ascii="宋体" w:eastAsia="宋体"/>
      <w:sz w:val="24"/>
      <w:szCs w:val="24"/>
      <w:lang w:val="en-US" w:eastAsia="zh-CN" w:bidi="ar-SA"/>
    </w:rPr>
  </w:style>
  <w:style w:type="character" w:styleId="1020">
    <w:name w:val="标题 3 字符"/>
    <w:next w:val="1020"/>
    <w:link w:val="1007"/>
    <w:qFormat/>
    <w:rPr>
      <w:rFonts w:ascii="宋体" w:eastAsia="宋体"/>
      <w:b/>
      <w:sz w:val="24"/>
      <w:u w:val="single"/>
      <w:lang w:val="en-US" w:eastAsia="zh-CN" w:bidi="ar-SA"/>
    </w:rPr>
  </w:style>
  <w:style w:type="character" w:styleId="1021">
    <w:name w:val="标题 4 字符"/>
    <w:next w:val="1021"/>
    <w:link w:val="1008"/>
    <w:qFormat/>
    <w:rPr>
      <w:rFonts w:ascii="Arial" w:hAnsi="Arial" w:eastAsia="黑体"/>
      <w:b/>
      <w:sz w:val="28"/>
    </w:rPr>
  </w:style>
  <w:style w:type="character" w:styleId="1022">
    <w:name w:val="标题 5 字符"/>
    <w:next w:val="1022"/>
    <w:link w:val="1009"/>
    <w:qFormat/>
    <w:rPr>
      <w:b/>
      <w:sz w:val="28"/>
    </w:rPr>
  </w:style>
  <w:style w:type="character" w:styleId="1023">
    <w:name w:val="标题 6 字符"/>
    <w:next w:val="1023"/>
    <w:link w:val="1010"/>
    <w:qFormat/>
    <w:rPr>
      <w:rFonts w:ascii="Arial" w:hAnsi="Arial" w:eastAsia="黑体"/>
      <w:b/>
      <w:sz w:val="24"/>
    </w:rPr>
  </w:style>
  <w:style w:type="character" w:styleId="1024">
    <w:name w:val="标题 7 字符"/>
    <w:next w:val="1024"/>
    <w:link w:val="1011"/>
    <w:qFormat/>
    <w:rPr>
      <w:b/>
      <w:sz w:val="24"/>
    </w:rPr>
  </w:style>
  <w:style w:type="character" w:styleId="1025">
    <w:name w:val="标题 8 字符"/>
    <w:next w:val="1025"/>
    <w:link w:val="1012"/>
    <w:qFormat/>
    <w:rPr>
      <w:rFonts w:ascii="Arial" w:hAnsi="Arial" w:eastAsia="黑体"/>
      <w:sz w:val="24"/>
    </w:rPr>
  </w:style>
  <w:style w:type="character" w:styleId="1026">
    <w:name w:val="标题 9 字符"/>
    <w:next w:val="1026"/>
    <w:link w:val="1013"/>
    <w:qFormat/>
    <w:rPr>
      <w:rFonts w:ascii="Arial" w:hAnsi="Arial" w:eastAsia="黑体"/>
      <w:sz w:val="21"/>
    </w:rPr>
  </w:style>
  <w:style w:type="paragraph" w:styleId="1027">
    <w:name w:val="目录 7"/>
    <w:basedOn w:val="1004"/>
    <w:next w:val="1004"/>
    <w:link w:val="1004"/>
    <w:qFormat/>
    <w:pPr>
      <w:ind w:left="2520"/>
    </w:pPr>
  </w:style>
  <w:style w:type="paragraph" w:styleId="1028">
    <w:name w:val="题注"/>
    <w:basedOn w:val="1004"/>
    <w:next w:val="1004"/>
    <w:link w:val="1004"/>
    <w:qFormat/>
    <w:pPr>
      <w:spacing w:line="480" w:lineRule="auto"/>
    </w:pPr>
    <w:rPr>
      <w:rFonts w:ascii="华文中宋" w:hAnsi="华文中宋" w:eastAsia="华文中宋"/>
      <w:sz w:val="36"/>
      <w:szCs w:val="20"/>
    </w:rPr>
  </w:style>
  <w:style w:type="paragraph" w:styleId="1029">
    <w:name w:val="文档结构图"/>
    <w:basedOn w:val="1004"/>
    <w:next w:val="1029"/>
    <w:link w:val="1030"/>
    <w:uiPriority w:val="99"/>
    <w:qFormat/>
    <w:pPr>
      <w:shd w:val="clear" w:color="auto" w:fill="000080"/>
    </w:pPr>
  </w:style>
  <w:style w:type="character" w:styleId="1030">
    <w:name w:val="文档结构图 字符"/>
    <w:next w:val="1030"/>
    <w:link w:val="1029"/>
    <w:uiPriority w:val="99"/>
    <w:qFormat/>
    <w:rPr>
      <w:sz w:val="21"/>
      <w:szCs w:val="24"/>
      <w:shd w:val="clear" w:color="auto" w:fill="000080"/>
    </w:rPr>
  </w:style>
  <w:style w:type="paragraph" w:styleId="1031">
    <w:name w:val="批注文字"/>
    <w:basedOn w:val="1004"/>
    <w:next w:val="1031"/>
    <w:link w:val="1032"/>
    <w:uiPriority w:val="99"/>
    <w:qFormat/>
    <w:pPr>
      <w:jc w:val="left"/>
    </w:pPr>
  </w:style>
  <w:style w:type="character" w:styleId="1032">
    <w:name w:val="批注文字 字符1"/>
    <w:next w:val="1032"/>
    <w:link w:val="1031"/>
    <w:uiPriority w:val="99"/>
    <w:qFormat/>
    <w:rPr>
      <w:sz w:val="21"/>
      <w:szCs w:val="24"/>
    </w:rPr>
  </w:style>
  <w:style w:type="paragraph" w:styleId="1033">
    <w:name w:val="正文文本 3"/>
    <w:basedOn w:val="1004"/>
    <w:next w:val="1033"/>
    <w:link w:val="1034"/>
    <w:qFormat/>
    <w:pPr>
      <w:spacing w:after="120"/>
    </w:pPr>
    <w:rPr>
      <w:sz w:val="16"/>
      <w:szCs w:val="16"/>
    </w:rPr>
  </w:style>
  <w:style w:type="character" w:styleId="1034">
    <w:name w:val="正文文本 3 字符"/>
    <w:next w:val="1034"/>
    <w:link w:val="1033"/>
    <w:qFormat/>
    <w:rPr>
      <w:sz w:val="16"/>
      <w:szCs w:val="16"/>
    </w:rPr>
  </w:style>
  <w:style w:type="paragraph" w:styleId="1035">
    <w:name w:val="正文文本"/>
    <w:basedOn w:val="1004"/>
    <w:next w:val="1035"/>
    <w:link w:val="1036"/>
    <w:qFormat/>
    <w:pPr>
      <w:spacing w:before="120" w:line="22" w:lineRule="atLeast"/>
      <w:tabs>
        <w:tab w:val="left" w:pos="567" w:leader="none"/>
      </w:tabs>
    </w:pPr>
    <w:rPr>
      <w:rFonts w:ascii="宋体" w:hAnsi="宋体"/>
      <w:sz w:val="24"/>
    </w:rPr>
  </w:style>
  <w:style w:type="character" w:styleId="1036">
    <w:name w:val="正文文本 字符"/>
    <w:next w:val="1036"/>
    <w:link w:val="1035"/>
    <w:qFormat/>
    <w:rPr>
      <w:rFonts w:ascii="宋体" w:hAnsi="宋体"/>
      <w:sz w:val="24"/>
      <w:szCs w:val="24"/>
    </w:rPr>
  </w:style>
  <w:style w:type="paragraph" w:styleId="1037">
    <w:name w:val="正文文本缩进"/>
    <w:basedOn w:val="1004"/>
    <w:next w:val="1037"/>
    <w:link w:val="1038"/>
    <w:qFormat/>
    <w:pPr>
      <w:ind w:firstLine="570"/>
      <w:spacing w:line="360" w:lineRule="auto"/>
    </w:pPr>
    <w:rPr>
      <w:sz w:val="24"/>
    </w:rPr>
  </w:style>
  <w:style w:type="character" w:styleId="1038">
    <w:name w:val="正文文本缩进 字符"/>
    <w:next w:val="1038"/>
    <w:link w:val="1037"/>
    <w:qFormat/>
    <w:rPr>
      <w:rFonts w:eastAsia="宋体"/>
      <w:sz w:val="24"/>
      <w:szCs w:val="24"/>
      <w:lang w:val="en-US" w:eastAsia="zh-CN" w:bidi="ar-SA"/>
    </w:rPr>
  </w:style>
  <w:style w:type="paragraph" w:styleId="1039">
    <w:name w:val="列表 2"/>
    <w:basedOn w:val="1004"/>
    <w:next w:val="1039"/>
    <w:link w:val="1004"/>
    <w:qFormat/>
    <w:pPr>
      <w:ind w:left="100" w:hanging="200"/>
    </w:pPr>
  </w:style>
  <w:style w:type="paragraph" w:styleId="1040">
    <w:name w:val="文本块"/>
    <w:basedOn w:val="1004"/>
    <w:next w:val="1040"/>
    <w:link w:val="1004"/>
    <w:qFormat/>
    <w:pPr>
      <w:ind w:left="480" w:right="-341" w:firstLine="513"/>
      <w:widowControl/>
    </w:pPr>
    <w:rPr>
      <w:sz w:val="24"/>
      <w:szCs w:val="20"/>
    </w:rPr>
  </w:style>
  <w:style w:type="paragraph" w:styleId="1041">
    <w:name w:val="目录 5"/>
    <w:basedOn w:val="1004"/>
    <w:next w:val="1004"/>
    <w:link w:val="1004"/>
    <w:qFormat/>
    <w:pPr>
      <w:ind w:left="1680"/>
    </w:pPr>
  </w:style>
  <w:style w:type="paragraph" w:styleId="1042">
    <w:name w:val="目录 3"/>
    <w:basedOn w:val="1004"/>
    <w:next w:val="1004"/>
    <w:link w:val="1004"/>
    <w:uiPriority w:val="39"/>
    <w:qFormat/>
    <w:pPr>
      <w:ind w:left="840"/>
    </w:pPr>
  </w:style>
  <w:style w:type="paragraph" w:styleId="1043">
    <w:name w:val="纯文本"/>
    <w:basedOn w:val="1004"/>
    <w:next w:val="1043"/>
    <w:link w:val="1044"/>
    <w:qFormat/>
    <w:rPr>
      <w:rFonts w:hint="eastAsia" w:ascii="宋体" w:hAnsi="Courier New"/>
      <w:szCs w:val="20"/>
    </w:rPr>
  </w:style>
  <w:style w:type="character" w:styleId="1044">
    <w:name w:val="纯文本 字符2"/>
    <w:next w:val="1044"/>
    <w:link w:val="1043"/>
    <w:qFormat/>
    <w:rPr>
      <w:rFonts w:hint="eastAsia" w:ascii="宋体" w:hAnsi="Courier New" w:eastAsia="宋体" w:cs="宋体"/>
      <w:sz w:val="21"/>
    </w:rPr>
  </w:style>
  <w:style w:type="paragraph" w:styleId="1045">
    <w:name w:val="目录 8"/>
    <w:basedOn w:val="1004"/>
    <w:next w:val="1004"/>
    <w:link w:val="1004"/>
    <w:qFormat/>
    <w:pPr>
      <w:ind w:left="2940"/>
    </w:pPr>
  </w:style>
  <w:style w:type="paragraph" w:styleId="1046">
    <w:name w:val="日期"/>
    <w:basedOn w:val="1004"/>
    <w:next w:val="1004"/>
    <w:link w:val="1047"/>
    <w:qFormat/>
    <w:pPr>
      <w:ind w:left="100"/>
    </w:pPr>
    <w:rPr>
      <w:rFonts w:ascii="仿宋_GB2312" w:hAnsi="宋体" w:eastAsia="仿宋_GB2312"/>
      <w:color w:val="000000"/>
      <w:sz w:val="24"/>
    </w:rPr>
  </w:style>
  <w:style w:type="character" w:styleId="1047">
    <w:name w:val="日期 字符"/>
    <w:next w:val="1047"/>
    <w:link w:val="1046"/>
    <w:qFormat/>
    <w:rPr>
      <w:rFonts w:ascii="仿宋_GB2312" w:hAnsi="宋体" w:eastAsia="仿宋_GB2312"/>
      <w:color w:val="000000"/>
      <w:sz w:val="24"/>
      <w:szCs w:val="24"/>
    </w:rPr>
  </w:style>
  <w:style w:type="paragraph" w:styleId="1048">
    <w:name w:val="正文文本缩进 2"/>
    <w:basedOn w:val="1004"/>
    <w:next w:val="1048"/>
    <w:link w:val="1049"/>
    <w:qFormat/>
    <w:pPr>
      <w:ind w:firstLine="480"/>
    </w:pPr>
    <w:rPr>
      <w:rFonts w:ascii="仿宋_GB2312" w:eastAsia="仿宋_GB2312"/>
      <w:sz w:val="24"/>
    </w:rPr>
  </w:style>
  <w:style w:type="character" w:styleId="1049">
    <w:name w:val="正文文本缩进 2 字符"/>
    <w:next w:val="1049"/>
    <w:link w:val="1048"/>
    <w:qFormat/>
    <w:rPr>
      <w:rFonts w:ascii="仿宋_GB2312" w:eastAsia="仿宋_GB2312"/>
      <w:sz w:val="24"/>
      <w:szCs w:val="24"/>
    </w:rPr>
  </w:style>
  <w:style w:type="paragraph" w:styleId="1050">
    <w:name w:val="批注框文本"/>
    <w:basedOn w:val="1004"/>
    <w:next w:val="1050"/>
    <w:link w:val="1051"/>
    <w:uiPriority w:val="99"/>
    <w:qFormat/>
    <w:rPr>
      <w:sz w:val="18"/>
      <w:szCs w:val="18"/>
    </w:rPr>
  </w:style>
  <w:style w:type="character" w:styleId="1051">
    <w:name w:val="批注框文本 字符"/>
    <w:next w:val="1051"/>
    <w:link w:val="1050"/>
    <w:uiPriority w:val="99"/>
    <w:qFormat/>
    <w:rPr>
      <w:sz w:val="18"/>
      <w:szCs w:val="18"/>
    </w:rPr>
  </w:style>
  <w:style w:type="paragraph" w:styleId="1052">
    <w:name w:val="页脚"/>
    <w:basedOn w:val="1004"/>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字符"/>
    <w:next w:val="1053"/>
    <w:link w:val="1052"/>
    <w:uiPriority w:val="99"/>
    <w:qFormat/>
    <w:rPr>
      <w:rFonts w:ascii="宋体" w:eastAsia="宋体"/>
      <w:sz w:val="18"/>
      <w:lang w:val="en-US" w:eastAsia="zh-CN" w:bidi="ar-SA"/>
    </w:rPr>
  </w:style>
  <w:style w:type="paragraph" w:styleId="1054">
    <w:name w:val="页眉"/>
    <w:basedOn w:val="1004"/>
    <w:next w:val="1054"/>
    <w:link w:val="1055"/>
    <w:qFormat/>
    <w:pPr>
      <w:jc w:val="center"/>
      <w:tabs>
        <w:tab w:val="center" w:pos="4153" w:leader="none"/>
        <w:tab w:val="right" w:pos="8306" w:leader="none"/>
      </w:tabs>
      <w:pBdr>
        <w:bottom w:val="single" w:color="000000" w:sz="6" w:space="1"/>
      </w:pBdr>
    </w:pPr>
    <w:rPr>
      <w:sz w:val="18"/>
      <w:szCs w:val="18"/>
    </w:rPr>
  </w:style>
  <w:style w:type="character" w:styleId="1055">
    <w:name w:val="页眉 字符"/>
    <w:next w:val="1055"/>
    <w:link w:val="1054"/>
    <w:qFormat/>
    <w:rPr>
      <w:rFonts w:eastAsia="宋体"/>
      <w:sz w:val="18"/>
      <w:szCs w:val="18"/>
      <w:lang w:val="en-US" w:eastAsia="zh-CN" w:bidi="ar-SA"/>
    </w:rPr>
  </w:style>
  <w:style w:type="paragraph" w:styleId="1056">
    <w:name w:val="目录 1"/>
    <w:basedOn w:val="1004"/>
    <w:next w:val="1004"/>
    <w:link w:val="1004"/>
    <w:uiPriority w:val="39"/>
    <w:qFormat/>
    <w:pPr>
      <w:spacing w:line="300" w:lineRule="auto"/>
      <w:tabs>
        <w:tab w:val="left" w:pos="1050" w:leader="none"/>
        <w:tab w:val="right" w:pos="8937" w:leader="dot"/>
      </w:tabs>
    </w:pPr>
    <w:rPr>
      <w:rFonts w:ascii="宋体" w:hAnsi="宋体"/>
      <w:b/>
      <w:sz w:val="24"/>
    </w:rPr>
  </w:style>
  <w:style w:type="paragraph" w:styleId="1057">
    <w:name w:val="目录 4"/>
    <w:basedOn w:val="1004"/>
    <w:next w:val="1004"/>
    <w:link w:val="1004"/>
    <w:qFormat/>
    <w:pPr>
      <w:ind w:left="1260"/>
    </w:pPr>
  </w:style>
  <w:style w:type="paragraph" w:styleId="1058">
    <w:name w:val="目录 6"/>
    <w:basedOn w:val="1004"/>
    <w:next w:val="1004"/>
    <w:link w:val="1004"/>
    <w:qFormat/>
    <w:pPr>
      <w:ind w:left="2100"/>
    </w:pPr>
  </w:style>
  <w:style w:type="paragraph" w:styleId="1059">
    <w:name w:val="正文文本缩进 3"/>
    <w:basedOn w:val="1004"/>
    <w:next w:val="1059"/>
    <w:link w:val="1060"/>
    <w:qFormat/>
    <w:pPr>
      <w:ind w:left="720" w:firstLine="480"/>
      <w:jc w:val="left"/>
      <w:spacing w:before="120" w:line="22" w:lineRule="atLeast"/>
    </w:pPr>
    <w:rPr>
      <w:rFonts w:ascii="宋体"/>
      <w:sz w:val="24"/>
      <w:szCs w:val="20"/>
    </w:rPr>
  </w:style>
  <w:style w:type="character" w:styleId="1060">
    <w:name w:val="正文文本缩进 3 字符"/>
    <w:next w:val="1060"/>
    <w:link w:val="1059"/>
    <w:qFormat/>
    <w:rPr>
      <w:rFonts w:ascii="宋体"/>
      <w:sz w:val="24"/>
    </w:rPr>
  </w:style>
  <w:style w:type="paragraph" w:styleId="1061">
    <w:name w:val="目录 2"/>
    <w:basedOn w:val="1004"/>
    <w:next w:val="1004"/>
    <w:link w:val="1004"/>
    <w:uiPriority w:val="39"/>
    <w:qFormat/>
    <w:pPr>
      <w:ind w:left="420"/>
      <w:spacing w:line="312" w:lineRule="auto"/>
      <w:tabs>
        <w:tab w:val="right" w:pos="8937" w:leader="dot"/>
      </w:tabs>
    </w:pPr>
  </w:style>
  <w:style w:type="paragraph" w:styleId="1062">
    <w:name w:val="目录 9"/>
    <w:basedOn w:val="1004"/>
    <w:next w:val="1004"/>
    <w:link w:val="1004"/>
    <w:qFormat/>
    <w:pPr>
      <w:ind w:left="3360"/>
    </w:pPr>
  </w:style>
  <w:style w:type="paragraph" w:styleId="1063">
    <w:name w:val="HTML 预设格式"/>
    <w:basedOn w:val="1004"/>
    <w:next w:val="1063"/>
    <w:link w:val="10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4">
    <w:name w:val="HTML 预设格式 字符"/>
    <w:next w:val="1064"/>
    <w:link w:val="1063"/>
    <w:qFormat/>
    <w:rPr>
      <w:rFonts w:ascii="宋体" w:hAnsi="宋体" w:cs="宋体"/>
      <w:sz w:val="24"/>
      <w:szCs w:val="24"/>
    </w:rPr>
  </w:style>
  <w:style w:type="paragraph" w:styleId="1065">
    <w:name w:val="普通(网站)"/>
    <w:basedOn w:val="1004"/>
    <w:next w:val="1065"/>
    <w:link w:val="1066"/>
    <w:uiPriority w:val="99"/>
    <w:unhideWhenUsed/>
    <w:qFormat/>
    <w:pPr>
      <w:jc w:val="left"/>
      <w:spacing w:before="100" w:beforeAutospacing="1" w:after="100" w:afterAutospacing="1"/>
      <w:widowControl/>
    </w:pPr>
    <w:rPr>
      <w:rFonts w:ascii="宋体" w:hAnsi="宋体" w:cs="宋体"/>
      <w:sz w:val="24"/>
    </w:rPr>
  </w:style>
  <w:style w:type="character" w:styleId="1066">
    <w:name w:val="普通(网站) 字符"/>
    <w:next w:val="1066"/>
    <w:link w:val="1065"/>
    <w:uiPriority w:val="99"/>
    <w:qFormat/>
    <w:rPr>
      <w:rFonts w:ascii="宋体" w:hAnsi="宋体" w:cs="宋体"/>
      <w:sz w:val="24"/>
      <w:szCs w:val="24"/>
    </w:rPr>
  </w:style>
  <w:style w:type="paragraph" w:styleId="1067">
    <w:name w:val="索引 1"/>
    <w:basedOn w:val="1004"/>
    <w:next w:val="1004"/>
    <w:link w:val="1004"/>
    <w:qFormat/>
    <w:rPr>
      <w:szCs w:val="20"/>
    </w:rPr>
  </w:style>
  <w:style w:type="paragraph" w:styleId="1068">
    <w:name w:val="标题"/>
    <w:basedOn w:val="1004"/>
    <w:next w:val="1068"/>
    <w:link w:val="1069"/>
    <w:qFormat/>
    <w:pPr>
      <w:jc w:val="center"/>
      <w:outlineLvl w:val="0"/>
    </w:pPr>
    <w:rPr>
      <w:b/>
      <w:sz w:val="32"/>
      <w:szCs w:val="20"/>
    </w:rPr>
  </w:style>
  <w:style w:type="character" w:styleId="1069">
    <w:name w:val="标题 字符"/>
    <w:next w:val="1069"/>
    <w:link w:val="1068"/>
    <w:qFormat/>
    <w:rPr>
      <w:b/>
      <w:sz w:val="32"/>
    </w:rPr>
  </w:style>
  <w:style w:type="paragraph" w:styleId="1070">
    <w:name w:val="批注主题"/>
    <w:basedOn w:val="1031"/>
    <w:next w:val="1031"/>
    <w:link w:val="1071"/>
    <w:qFormat/>
    <w:rPr>
      <w:b/>
      <w:bCs/>
      <w:lang w:val="en-US" w:eastAsia="zh-CN"/>
    </w:rPr>
  </w:style>
  <w:style w:type="character" w:styleId="1071">
    <w:name w:val="批注主题 字符"/>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5"/>
    <w:next w:val="1072"/>
    <w:link w:val="1073"/>
    <w:pPr>
      <w:ind w:firstLine="420"/>
      <w:spacing w:before="0" w:after="120" w:line="240" w:lineRule="auto"/>
      <w:tabs>
        <w:tab w:val="clear" w:pos="567" w:leader="none"/>
      </w:tabs>
    </w:pPr>
    <w:rPr>
      <w:rFonts w:ascii="Times New Roman" w:hAnsi="Times New Roman"/>
      <w:sz w:val="21"/>
    </w:rPr>
  </w:style>
  <w:style w:type="character" w:styleId="1073">
    <w:name w:val="正文文本首行缩进 字符"/>
    <w:next w:val="1073"/>
    <w:link w:val="1072"/>
    <w:rPr>
      <w:rFonts w:ascii="宋体" w:hAnsi="宋体"/>
      <w:sz w:val="21"/>
      <w:szCs w:val="24"/>
    </w:rPr>
  </w:style>
  <w:style w:type="paragraph" w:styleId="1074">
    <w:name w:val="正文首行缩进 2"/>
    <w:basedOn w:val="1037"/>
    <w:next w:val="1074"/>
    <w:link w:val="1075"/>
    <w:qFormat/>
    <w:pPr>
      <w:ind w:left="420" w:firstLine="420"/>
      <w:spacing w:after="120" w:line="480" w:lineRule="exact"/>
    </w:pPr>
  </w:style>
  <w:style w:type="character" w:styleId="1075">
    <w:name w:val="正文文本首行缩进 2 字符"/>
    <w:next w:val="1075"/>
    <w:link w:val="1074"/>
    <w:qFormat/>
    <w:rPr>
      <w:rFonts w:eastAsia="宋体"/>
      <w:sz w:val="24"/>
      <w:szCs w:val="24"/>
      <w:lang w:val="en-US" w:eastAsia="zh-CN" w:bidi="ar-SA"/>
    </w:rPr>
  </w:style>
  <w:style w:type="table" w:styleId="1076">
    <w:name w:val="网格型"/>
    <w:basedOn w:val="1015"/>
    <w:next w:val="1076"/>
    <w:link w:val="1004"/>
    <w:uiPriority w:val="59"/>
    <w:qFormat/>
    <w:tblPr/>
  </w:style>
  <w:style w:type="table" w:styleId="1077">
    <w:name w:val="中等深浅网格 1 - 强调文字颜色 2"/>
    <w:basedOn w:val="1015"/>
    <w:next w:val="1077"/>
    <w:link w:val="1004"/>
    <w:qFormat/>
    <w:rPr>
      <w:sz w:val="21"/>
      <w:szCs w:val="24"/>
    </w:rPr>
    <w:tblPr/>
  </w:style>
  <w:style w:type="character" w:styleId="1078">
    <w:name w:val="要点"/>
    <w:next w:val="1078"/>
    <w:link w:val="1004"/>
    <w:uiPriority w:val="22"/>
    <w:qFormat/>
    <w:rPr>
      <w:b/>
      <w:bCs/>
    </w:rPr>
  </w:style>
  <w:style w:type="character" w:styleId="1079">
    <w:name w:val="页码"/>
    <w:next w:val="1079"/>
    <w:link w:val="1004"/>
    <w:qFormat/>
  </w:style>
  <w:style w:type="character" w:styleId="1080">
    <w:name w:val="已访问的超链接"/>
    <w:next w:val="1080"/>
    <w:link w:val="1004"/>
    <w:qFormat/>
    <w:rPr>
      <w:color w:val="800080"/>
      <w:u w:val="single"/>
    </w:rPr>
  </w:style>
  <w:style w:type="character" w:styleId="1081">
    <w:name w:val="强调"/>
    <w:next w:val="1081"/>
    <w:link w:val="1004"/>
    <w:qFormat/>
    <w:rPr>
      <w:color w:val="cc0033"/>
    </w:rPr>
  </w:style>
  <w:style w:type="character" w:styleId="1082">
    <w:name w:val="超链接"/>
    <w:next w:val="1082"/>
    <w:link w:val="1004"/>
    <w:uiPriority w:val="99"/>
    <w:qFormat/>
    <w:rPr>
      <w:color w:val="0000ff"/>
      <w:u w:val="single"/>
    </w:rPr>
  </w:style>
  <w:style w:type="character" w:styleId="1083">
    <w:name w:val="批注引用"/>
    <w:next w:val="1083"/>
    <w:link w:val="1004"/>
    <w:qFormat/>
    <w:rPr>
      <w:sz w:val="21"/>
      <w:szCs w:val="21"/>
    </w:rPr>
  </w:style>
  <w:style w:type="character" w:styleId="1084">
    <w:name w:val="HTML 引文"/>
    <w:next w:val="1084"/>
    <w:link w:val="1004"/>
    <w:qFormat/>
    <w:rPr>
      <w:i/>
      <w:iCs/>
    </w:rPr>
  </w:style>
  <w:style w:type="paragraph" w:styleId="1085">
    <w:name w:val="正文首行缩进 21"/>
    <w:basedOn w:val="1086"/>
    <w:next w:val="1004"/>
    <w:link w:val="1004"/>
    <w:uiPriority w:val="99"/>
    <w:qFormat/>
    <w:pPr>
      <w:ind w:firstLine="420"/>
      <w:spacing w:line="360" w:lineRule="auto"/>
    </w:pPr>
    <w:rPr>
      <w:rFonts w:ascii="宋体" w:hAnsi="宋体" w:eastAsia="宋体"/>
      <w:sz w:val="21"/>
      <w:szCs w:val="20"/>
    </w:rPr>
  </w:style>
  <w:style w:type="paragraph" w:styleId="1086">
    <w:name w:val="正文文本缩进1"/>
    <w:basedOn w:val="1004"/>
    <w:next w:val="1004"/>
    <w:link w:val="1087"/>
    <w:qFormat/>
    <w:pPr>
      <w:ind w:firstLine="480"/>
      <w:spacing w:line="480" w:lineRule="exact"/>
    </w:pPr>
    <w:rPr>
      <w:rFonts w:ascii="宋体" w:hAnsi="宋体"/>
      <w:sz w:val="24"/>
    </w:rPr>
  </w:style>
  <w:style w:type="character" w:styleId="1087">
    <w:name w:val="正文文本缩进 Char1"/>
    <w:next w:val="1087"/>
    <w:link w:val="1086"/>
    <w:qFormat/>
    <w:rPr>
      <w:rFonts w:ascii="宋体" w:hAnsi="宋体" w:eastAsia="宋体"/>
      <w:sz w:val="24"/>
      <w:szCs w:val="24"/>
      <w:lang w:bidi="ar-SA"/>
    </w:rPr>
  </w:style>
  <w:style w:type="character" w:styleId="1088">
    <w:name w:val="批注文字 字符"/>
    <w:next w:val="1088"/>
    <w:link w:val="1004"/>
    <w:uiPriority w:val="99"/>
    <w:qFormat/>
    <w:rPr>
      <w:rFonts w:ascii="Times New Roman" w:hAnsi="Times New Roman" w:eastAsia="宋体" w:cs="Times New Roman"/>
      <w:sz w:val="24"/>
      <w:lang w:val="en-US" w:eastAsia="zh-CN" w:bidi="ar-SA"/>
    </w:rPr>
  </w:style>
  <w:style w:type="character" w:styleId="1089">
    <w:name w:val="c21"/>
    <w:next w:val="1089"/>
    <w:link w:val="1004"/>
    <w:qFormat/>
    <w:rPr>
      <w:rFonts w:ascii="ˎ̥" w:hAnsi="ˎ̥"/>
      <w:color w:val="000000"/>
      <w:sz w:val="20"/>
      <w:szCs w:val="20"/>
      <w:u w:val="none"/>
    </w:rPr>
  </w:style>
  <w:style w:type="character" w:styleId="1090">
    <w:name w:val="title4"/>
    <w:next w:val="1090"/>
    <w:link w:val="1004"/>
    <w:qFormat/>
    <w:rPr>
      <w:b/>
      <w:bCs/>
      <w:color w:val="1d87b3"/>
      <w:sz w:val="15"/>
      <w:szCs w:val="15"/>
    </w:rPr>
  </w:style>
  <w:style w:type="character" w:styleId="1091">
    <w:name w:val="标题 2 Char Char"/>
    <w:next w:val="1091"/>
    <w:link w:val="1004"/>
    <w:qFormat/>
    <w:rPr>
      <w:rFonts w:ascii="Arial" w:hAnsi="Arial" w:eastAsia="黑体"/>
      <w:b/>
      <w:bCs/>
      <w:sz w:val="32"/>
      <w:szCs w:val="32"/>
      <w:lang w:val="en-US" w:eastAsia="zh-CN" w:bidi="ar-SA"/>
    </w:rPr>
  </w:style>
  <w:style w:type="character" w:styleId="1092">
    <w:name w:val="black1"/>
    <w:next w:val="1092"/>
    <w:link w:val="1004"/>
    <w:qFormat/>
    <w:rPr>
      <w:color w:val="000000"/>
    </w:rPr>
  </w:style>
  <w:style w:type="character" w:styleId="1093">
    <w:name w:val="street-address"/>
    <w:next w:val="1093"/>
    <w:link w:val="1004"/>
    <w:qFormat/>
  </w:style>
  <w:style w:type="character" w:styleId="1094">
    <w:name w:val="locality"/>
    <w:next w:val="1094"/>
    <w:link w:val="1004"/>
    <w:qFormat/>
  </w:style>
  <w:style w:type="character" w:styleId="1095">
    <w:name w:val="Char Char11"/>
    <w:next w:val="1095"/>
    <w:link w:val="1004"/>
    <w:qFormat/>
    <w:rPr>
      <w:rFonts w:ascii="宋体" w:eastAsia="宋体"/>
      <w:b/>
      <w:sz w:val="24"/>
      <w:u w:val="single"/>
      <w:lang w:val="en-US" w:eastAsia="zh-CN" w:bidi="ar-SA"/>
    </w:rPr>
  </w:style>
  <w:style w:type="character" w:styleId="1096">
    <w:name w:val="txt"/>
    <w:next w:val="1096"/>
    <w:link w:val="1004"/>
    <w:qFormat/>
  </w:style>
  <w:style w:type="character" w:styleId="1097">
    <w:name w:val="正文缩进 Char Char"/>
    <w:next w:val="1097"/>
    <w:link w:val="1098"/>
    <w:qFormat/>
    <w:rPr>
      <w:rFonts w:ascii="宋体" w:eastAsia="宋体"/>
      <w:color w:val="000000"/>
      <w:sz w:val="28"/>
      <w:lang w:bidi="ar-SA"/>
    </w:rPr>
  </w:style>
  <w:style w:type="paragraph" w:styleId="1098">
    <w:name w:val="正文缩进1"/>
    <w:basedOn w:val="1004"/>
    <w:next w:val="1098"/>
    <w:link w:val="1097"/>
    <w:qFormat/>
    <w:pPr>
      <w:ind w:firstLine="567"/>
      <w:spacing w:line="480" w:lineRule="exact"/>
      <w:widowControl/>
    </w:pPr>
    <w:rPr>
      <w:rFonts w:ascii="宋体"/>
      <w:color w:val="000000"/>
      <w:sz w:val="28"/>
      <w:szCs w:val="20"/>
    </w:rPr>
  </w:style>
  <w:style w:type="character" w:styleId="1099">
    <w:name w:val="普通文字1 Char1"/>
    <w:next w:val="1099"/>
    <w:link w:val="1004"/>
    <w:qFormat/>
    <w:rPr>
      <w:rFonts w:ascii="宋体" w:hAnsi="Courier New" w:eastAsia="宋体"/>
      <w:sz w:val="21"/>
      <w:lang w:val="en-US" w:eastAsia="zh-CN" w:bidi="ar-SA"/>
    </w:rPr>
  </w:style>
  <w:style w:type="character" w:styleId="1100">
    <w:name w:val="chanpin1"/>
    <w:next w:val="1100"/>
    <w:link w:val="1004"/>
    <w:qFormat/>
    <w:rPr>
      <w:rFonts w:ascii="ˎ̥" w:hAnsi="ˎ̥"/>
      <w:color w:val="000000"/>
      <w:sz w:val="20"/>
      <w:szCs w:val="20"/>
      <w:u w:val="none"/>
    </w:rPr>
  </w:style>
  <w:style w:type="character" w:styleId="1101">
    <w:name w:val="列表段落 字符"/>
    <w:next w:val="1101"/>
    <w:link w:val="1102"/>
    <w:uiPriority w:val="34"/>
    <w:qFormat/>
    <w:rPr>
      <w:rFonts w:ascii="Calibri" w:hAnsi="Calibri" w:eastAsia="宋体"/>
      <w:sz w:val="21"/>
      <w:szCs w:val="22"/>
      <w:lang w:val="en-US" w:eastAsia="zh-CN" w:bidi="ar-SA"/>
    </w:rPr>
  </w:style>
  <w:style w:type="paragraph" w:styleId="1102">
    <w:name w:val="列表段落"/>
    <w:basedOn w:val="1004"/>
    <w:next w:val="1102"/>
    <w:link w:val="1101"/>
    <w:uiPriority w:val="34"/>
    <w:qFormat/>
    <w:pPr>
      <w:ind w:firstLine="420"/>
    </w:pPr>
    <w:rPr>
      <w:rFonts w:ascii="Calibri" w:hAnsi="Calibri"/>
      <w:szCs w:val="22"/>
    </w:rPr>
  </w:style>
  <w:style w:type="character" w:styleId="1103">
    <w:name w:val="标题 3 Char Char"/>
    <w:next w:val="1103"/>
    <w:link w:val="1004"/>
    <w:qFormat/>
    <w:rPr>
      <w:rFonts w:eastAsia="宋体"/>
      <w:b/>
      <w:bCs/>
      <w:sz w:val="32"/>
      <w:szCs w:val="32"/>
      <w:lang w:val="en-US" w:eastAsia="zh-CN" w:bidi="ar-SA"/>
    </w:rPr>
  </w:style>
  <w:style w:type="character" w:styleId="1104">
    <w:name w:val="段1 Char"/>
    <w:next w:val="1104"/>
    <w:link w:val="1004"/>
    <w:qFormat/>
    <w:rPr>
      <w:rFonts w:ascii="宋体" w:eastAsia="宋体"/>
      <w:sz w:val="24"/>
      <w:lang w:val="en-US" w:eastAsia="zh-CN" w:bidi="ar-SA"/>
    </w:rPr>
  </w:style>
  <w:style w:type="character" w:styleId="1105">
    <w:name w:val="chanpin拷贝"/>
    <w:next w:val="1105"/>
    <w:link w:val="1004"/>
    <w:qFormat/>
  </w:style>
  <w:style w:type="character" w:styleId="1106">
    <w:name w:val="纯文本 Char1"/>
    <w:next w:val="1106"/>
    <w:link w:val="1004"/>
    <w:qFormat/>
    <w:rPr>
      <w:rFonts w:ascii="宋体" w:hAnsi="Courier New" w:eastAsia="宋体"/>
      <w:sz w:val="21"/>
      <w:lang w:val="en-US" w:eastAsia="zh-CN" w:bidi="ar-SA"/>
    </w:rPr>
  </w:style>
  <w:style w:type="character" w:styleId="1107">
    <w:name w:val="apple-style-span"/>
    <w:next w:val="1107"/>
    <w:link w:val="1004"/>
    <w:qFormat/>
    <w:rPr>
      <w:rFonts w:cs="Times New Roman"/>
    </w:rPr>
  </w:style>
  <w:style w:type="paragraph" w:styleId="1108">
    <w:name w:val="二级条标题"/>
    <w:basedOn w:val="1109"/>
    <w:next w:val="1004"/>
    <w:link w:val="1004"/>
    <w:qFormat/>
    <w:pPr>
      <w:numPr>
        <w:ilvl w:val="0"/>
        <w:numId w:val="0"/>
      </w:numPr>
      <w:ind w:hanging="840"/>
      <w:tabs>
        <w:tab w:val="left" w:pos="360" w:leader="none"/>
        <w:tab w:val="left" w:pos="840" w:leader="none"/>
      </w:tabs>
      <w:outlineLvl w:val="2"/>
    </w:pPr>
    <w:rPr>
      <w:rFonts w:ascii="宋体" w:eastAsia="宋体"/>
      <w:b w:val="0"/>
    </w:rPr>
  </w:style>
  <w:style w:type="paragraph" w:styleId="1109">
    <w:name w:val="一级条标题"/>
    <w:basedOn w:val="1110"/>
    <w:next w:val="1004"/>
    <w:link w:val="1004"/>
    <w:qFormat/>
    <w:pPr>
      <w:numPr>
        <w:ilvl w:val="1"/>
      </w:numPr>
      <w:ind w:left="0" w:hanging="840"/>
      <w:tabs>
        <w:tab w:val="left" w:pos="360" w:leader="none"/>
        <w:tab w:val="left" w:pos="840" w:leader="none"/>
      </w:tabs>
      <w:outlineLvl w:val="1"/>
    </w:pPr>
  </w:style>
  <w:style w:type="paragraph" w:styleId="1110">
    <w:name w:val="章标题"/>
    <w:next w:val="1004"/>
    <w:link w:val="100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1">
    <w:name w:val="font7"/>
    <w:basedOn w:val="1004"/>
    <w:next w:val="1111"/>
    <w:link w:val="1004"/>
    <w:qFormat/>
    <w:pPr>
      <w:jc w:val="left"/>
      <w:spacing w:before="100" w:beforeAutospacing="1" w:after="100" w:afterAutospacing="1"/>
      <w:widowControl/>
    </w:pPr>
    <w:rPr>
      <w:rFonts w:eastAsia="Arial Unicode MS"/>
      <w:b/>
      <w:bCs/>
      <w:color w:val="000000"/>
      <w:sz w:val="20"/>
      <w:szCs w:val="20"/>
    </w:rPr>
  </w:style>
  <w:style w:type="paragraph" w:styleId="1112">
    <w:name w:val="字元 字元"/>
    <w:basedOn w:val="1004"/>
    <w:next w:val="1112"/>
    <w:link w:val="1004"/>
    <w:qFormat/>
    <w:rPr>
      <w:rFonts w:ascii="Tahoma" w:hAnsi="Tahoma"/>
      <w:sz w:val="24"/>
      <w:szCs w:val="20"/>
    </w:rPr>
  </w:style>
  <w:style w:type="paragraph" w:styleId="1113">
    <w:name w:val="Char3 Char Char Char"/>
    <w:basedOn w:val="1004"/>
    <w:next w:val="1113"/>
    <w:link w:val="1004"/>
    <w:qFormat/>
    <w:rPr>
      <w:rFonts w:ascii="Tahoma" w:hAnsi="Tahoma"/>
      <w:sz w:val="24"/>
      <w:szCs w:val="20"/>
    </w:rPr>
  </w:style>
  <w:style w:type="paragraph" w:styleId="1114">
    <w:name w:val="font6"/>
    <w:basedOn w:val="1004"/>
    <w:next w:val="1114"/>
    <w:link w:val="1004"/>
    <w:qFormat/>
    <w:pPr>
      <w:jc w:val="left"/>
      <w:spacing w:before="100" w:beforeAutospacing="1" w:after="100" w:afterAutospacing="1"/>
      <w:widowControl/>
    </w:pPr>
    <w:rPr>
      <w:rFonts w:ascii="宋体" w:hAnsi="宋体" w:cs="宋体"/>
      <w:sz w:val="20"/>
      <w:szCs w:val="20"/>
    </w:rPr>
  </w:style>
  <w:style w:type="paragraph" w:styleId="1115">
    <w:name w:val="项目编号2"/>
    <w:basedOn w:val="1116"/>
    <w:next w:val="1115"/>
    <w:link w:val="1004"/>
    <w:qFormat/>
    <w:pPr>
      <w:numPr>
        <w:numId w:val="3"/>
      </w:numPr>
    </w:pPr>
  </w:style>
  <w:style w:type="paragraph" w:styleId="1116">
    <w:name w:val="项目编号1"/>
    <w:basedOn w:val="1004"/>
    <w:next w:val="1116"/>
    <w:link w:val="1004"/>
    <w:qFormat/>
    <w:pPr>
      <w:numPr>
        <w:ilvl w:val="0"/>
        <w:numId w:val="2"/>
      </w:numPr>
      <w:spacing w:before="100" w:beforeAutospacing="1" w:after="100" w:afterAutospacing="1" w:line="360" w:lineRule="auto"/>
    </w:pPr>
    <w:rPr>
      <w:sz w:val="24"/>
    </w:rPr>
  </w:style>
  <w:style w:type="paragraph" w:styleId="1117">
    <w:name w:val="图中文字"/>
    <w:basedOn w:val="1004"/>
    <w:next w:val="1117"/>
    <w:link w:val="1004"/>
    <w:qFormat/>
    <w:pPr>
      <w:jc w:val="center"/>
      <w:spacing w:line="0" w:lineRule="atLeast"/>
    </w:pPr>
    <w:rPr>
      <w:sz w:val="24"/>
      <w:szCs w:val="20"/>
    </w:rPr>
  </w:style>
  <w:style w:type="paragraph" w:styleId="1118">
    <w:name w:val="xl46"/>
    <w:basedOn w:val="1004"/>
    <w:next w:val="1118"/>
    <w:link w:val="10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9">
    <w:name w:val="xl25"/>
    <w:basedOn w:val="1004"/>
    <w:next w:val="1119"/>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name w:val="Char2"/>
    <w:basedOn w:val="1004"/>
    <w:next w:val="1120"/>
    <w:link w:val="1004"/>
    <w:qFormat/>
    <w:rPr>
      <w:rFonts w:ascii="Tahoma" w:hAnsi="Tahoma"/>
      <w:sz w:val="24"/>
      <w:szCs w:val="20"/>
    </w:rPr>
  </w:style>
  <w:style w:type="paragraph" w:styleId="1121">
    <w:name w:val="xl35"/>
    <w:basedOn w:val="1004"/>
    <w:next w:val="1121"/>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name w:val="xl40"/>
    <w:basedOn w:val="1004"/>
    <w:next w:val="1122"/>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52"/>
    <w:basedOn w:val="1004"/>
    <w:next w:val="1123"/>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4">
    <w:name w:val="xl43"/>
    <w:basedOn w:val="1004"/>
    <w:next w:val="1124"/>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5">
    <w:name w:val="background1"/>
    <w:basedOn w:val="1004"/>
    <w:next w:val="1125"/>
    <w:link w:val="1004"/>
    <w:qFormat/>
    <w:pPr>
      <w:jc w:val="left"/>
      <w:spacing w:before="100" w:beforeAutospacing="1" w:after="100" w:afterAutospacing="1"/>
      <w:widowControl/>
    </w:pPr>
    <w:rPr>
      <w:rFonts w:ascii="宋体" w:hAnsi="宋体" w:cs="宋体"/>
      <w:sz w:val="24"/>
    </w:rPr>
  </w:style>
  <w:style w:type="paragraph" w:styleId="1126">
    <w:name w:val="Char Char Char Char Char Char Char"/>
    <w:basedOn w:val="1004"/>
    <w:next w:val="1126"/>
    <w:link w:val="1004"/>
    <w:qFormat/>
    <w:pPr>
      <w:ind w:firstLine="200"/>
      <w:spacing w:line="360" w:lineRule="auto"/>
    </w:pPr>
    <w:rPr>
      <w:rFonts w:eastAsia="仿宋_GB2312"/>
      <w:sz w:val="24"/>
    </w:rPr>
  </w:style>
  <w:style w:type="paragraph" w:styleId="1127">
    <w:name w:val="xl38"/>
    <w:basedOn w:val="1004"/>
    <w:next w:val="1127"/>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8">
    <w:name w:val="xl36"/>
    <w:basedOn w:val="1004"/>
    <w:next w:val="1128"/>
    <w:link w:val="10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9">
    <w:name w:val="正文 + 宋体"/>
    <w:basedOn w:val="1004"/>
    <w:next w:val="1129"/>
    <w:link w:val="1004"/>
    <w:qFormat/>
    <w:pPr>
      <w:ind w:left="360" w:hanging="360"/>
      <w:jc w:val="left"/>
      <w:widowControl/>
    </w:pPr>
    <w:rPr>
      <w:rFonts w:ascii="宋体" w:hAnsi="宋体" w:cs="宋体"/>
      <w:b/>
      <w:bCs/>
      <w:color w:val="000000"/>
      <w:sz w:val="18"/>
      <w:szCs w:val="18"/>
    </w:rPr>
  </w:style>
  <w:style w:type="paragraph" w:styleId="1130">
    <w:name w:val="正文列项_数字"/>
    <w:basedOn w:val="1004"/>
    <w:next w:val="1130"/>
    <w:link w:val="1004"/>
    <w:qFormat/>
    <w:pPr>
      <w:numPr>
        <w:ilvl w:val="7"/>
        <w:numId w:val="1"/>
      </w:numPr>
      <w:ind w:left="680" w:hanging="150"/>
      <w:spacing w:line="460" w:lineRule="exact"/>
      <w:tabs>
        <w:tab w:val="clear" w:pos="860" w:leader="none"/>
      </w:tabs>
      <w:outlineLvl w:val="7"/>
    </w:pPr>
    <w:rPr>
      <w:rFonts w:ascii="宋体"/>
      <w:sz w:val="28"/>
      <w:szCs w:val="20"/>
    </w:rPr>
  </w:style>
  <w:style w:type="paragraph" w:styleId="1131">
    <w:name w:val="xl39"/>
    <w:basedOn w:val="1004"/>
    <w:next w:val="113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37"/>
    <w:basedOn w:val="1004"/>
    <w:next w:val="1132"/>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xl32"/>
    <w:basedOn w:val="1004"/>
    <w:next w:val="1133"/>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name w:val="font8"/>
    <w:basedOn w:val="1004"/>
    <w:next w:val="1134"/>
    <w:link w:val="1004"/>
    <w:qFormat/>
    <w:pPr>
      <w:jc w:val="left"/>
      <w:spacing w:before="100" w:beforeAutospacing="1" w:after="100" w:afterAutospacing="1"/>
      <w:widowControl/>
    </w:pPr>
    <w:rPr>
      <w:sz w:val="36"/>
      <w:szCs w:val="36"/>
    </w:rPr>
  </w:style>
  <w:style w:type="paragraph" w:styleId="1135">
    <w:name w:val="Char"/>
    <w:basedOn w:val="1004"/>
    <w:next w:val="1135"/>
    <w:link w:val="1004"/>
    <w:qFormat/>
    <w:pPr>
      <w:tabs>
        <w:tab w:val="left" w:pos="360" w:leader="none"/>
      </w:tabs>
    </w:pPr>
    <w:rPr>
      <w:sz w:val="24"/>
    </w:rPr>
  </w:style>
  <w:style w:type="paragraph" w:styleId="1136">
    <w:name w:val="Char Char Char Char Char Char Char Char Char Char Char Char Char Char Char Char"/>
    <w:basedOn w:val="1004"/>
    <w:next w:val="1136"/>
    <w:link w:val="1004"/>
    <w:qFormat/>
    <w:pPr>
      <w:jc w:val="center"/>
      <w:spacing w:after="160" w:line="240" w:lineRule="exact"/>
      <w:widowControl/>
    </w:pPr>
    <w:rPr>
      <w:rFonts w:ascii="宋体" w:hAnsi="宋体"/>
      <w:b/>
      <w:sz w:val="30"/>
      <w:szCs w:val="30"/>
      <w:lang w:eastAsia="en-US"/>
    </w:rPr>
  </w:style>
  <w:style w:type="paragraph" w:styleId="1137">
    <w:name w:val="xl45"/>
    <w:basedOn w:val="1004"/>
    <w:next w:val="1137"/>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8">
    <w:name w:val="Char Char1 Char Char Char Char Char Char"/>
    <w:basedOn w:val="1004"/>
    <w:next w:val="1138"/>
    <w:link w:val="1004"/>
    <w:qFormat/>
    <w:pPr>
      <w:jc w:val="left"/>
      <w:spacing w:after="160" w:line="240" w:lineRule="exact"/>
      <w:widowControl/>
    </w:pPr>
    <w:rPr>
      <w:rFonts w:ascii="Verdana" w:hAnsi="Verdana" w:eastAsia="仿宋_GB2312"/>
      <w:sz w:val="24"/>
      <w:szCs w:val="20"/>
      <w:lang w:eastAsia="en-US"/>
    </w:rPr>
  </w:style>
  <w:style w:type="paragraph" w:styleId="1139">
    <w:name w:val="Char Char1"/>
    <w:basedOn w:val="1029"/>
    <w:next w:val="1139"/>
    <w:link w:val="1004"/>
    <w:qFormat/>
    <w:rPr>
      <w:rFonts w:ascii="Tahoma" w:hAnsi="Tahoma"/>
      <w:sz w:val="24"/>
    </w:rPr>
  </w:style>
  <w:style w:type="paragraph" w:styleId="1140">
    <w:name w:val="xl26"/>
    <w:basedOn w:val="1004"/>
    <w:next w:val="1140"/>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1">
    <w:name w:val="xl30"/>
    <w:basedOn w:val="1004"/>
    <w:next w:val="114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xl41"/>
    <w:basedOn w:val="1004"/>
    <w:next w:val="1142"/>
    <w:link w:val="10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3">
    <w:name w:val="样式 宋体 五号 行距: 单倍行距"/>
    <w:basedOn w:val="1004"/>
    <w:next w:val="1143"/>
    <w:link w:val="1004"/>
    <w:qFormat/>
    <w:pPr>
      <w:jc w:val="left"/>
    </w:pPr>
    <w:rPr>
      <w:rFonts w:ascii="宋体" w:hAnsi="宋体"/>
      <w:szCs w:val="20"/>
    </w:rPr>
  </w:style>
  <w:style w:type="paragraph" w:styleId="1144">
    <w:name w:val="Char1 Char Char Char1"/>
    <w:basedOn w:val="1004"/>
    <w:next w:val="1144"/>
    <w:link w:val="1004"/>
    <w:qFormat/>
    <w:rPr>
      <w:rFonts w:ascii="Tahoma" w:hAnsi="Tahoma" w:cs="仿宋_GB2312"/>
      <w:sz w:val="24"/>
      <w:szCs w:val="28"/>
    </w:rPr>
  </w:style>
  <w:style w:type="paragraph" w:styleId="1145">
    <w:name w:val="四级条标题"/>
    <w:basedOn w:val="1146"/>
    <w:next w:val="1004"/>
    <w:link w:val="1004"/>
    <w:qFormat/>
    <w:pPr>
      <w:numPr>
        <w:ilvl w:val="4"/>
      </w:numPr>
      <w:ind w:left="0" w:hanging="840"/>
      <w:tabs>
        <w:tab w:val="left" w:pos="360" w:leader="none"/>
        <w:tab w:val="left" w:pos="840" w:leader="none"/>
      </w:tabs>
      <w:outlineLvl w:val="4"/>
    </w:pPr>
  </w:style>
  <w:style w:type="paragraph" w:styleId="1146">
    <w:name w:val="三级条标题"/>
    <w:basedOn w:val="1108"/>
    <w:next w:val="1004"/>
    <w:link w:val="1004"/>
    <w:qFormat/>
    <w:pPr>
      <w:numPr>
        <w:ilvl w:val="3"/>
        <w:numId w:val="1"/>
      </w:numPr>
      <w:ind w:left="0" w:hanging="840"/>
      <w:tabs>
        <w:tab w:val="left" w:pos="360" w:leader="none"/>
        <w:tab w:val="left" w:pos="840" w:leader="none"/>
      </w:tabs>
      <w:outlineLvl w:val="3"/>
    </w:pPr>
  </w:style>
  <w:style w:type="paragraph" w:styleId="1147">
    <w:name w:val="??"/>
    <w:next w:val="1147"/>
    <w:link w:val="1004"/>
    <w:qFormat/>
    <w:pPr>
      <w:jc w:val="both"/>
      <w:widowControl w:val="off"/>
    </w:pPr>
    <w:rPr>
      <w:sz w:val="21"/>
      <w:lang w:val="en-US" w:eastAsia="en-US" w:bidi="ar-SA"/>
    </w:rPr>
  </w:style>
  <w:style w:type="paragraph" w:styleId="1148">
    <w:name w:val="样式 标题 2 + 宋体 五号 行距: 单倍行距"/>
    <w:basedOn w:val="1006"/>
    <w:next w:val="1148"/>
    <w:link w:val="100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9">
    <w:name w:val="List Paragraph1"/>
    <w:basedOn w:val="1004"/>
    <w:next w:val="1149"/>
    <w:link w:val="1004"/>
    <w:qFormat/>
    <w:pPr>
      <w:ind w:firstLine="420"/>
    </w:pPr>
    <w:rPr>
      <w:rFonts w:ascii="Calibri" w:hAnsi="Calibri"/>
      <w:szCs w:val="22"/>
    </w:rPr>
  </w:style>
  <w:style w:type="paragraph" w:styleId="1150">
    <w:name w:val="项目符号1"/>
    <w:basedOn w:val="1151"/>
    <w:next w:val="1150"/>
    <w:link w:val="1004"/>
    <w:qFormat/>
    <w:pPr>
      <w:ind w:left="-25" w:firstLine="0"/>
    </w:pPr>
  </w:style>
  <w:style w:type="paragraph" w:styleId="1151">
    <w:name w:val="正文文本样式"/>
    <w:basedOn w:val="1004"/>
    <w:next w:val="1151"/>
    <w:link w:val="1004"/>
    <w:qFormat/>
    <w:pPr>
      <w:ind w:firstLine="482"/>
      <w:spacing w:line="360" w:lineRule="auto"/>
    </w:pPr>
    <w:rPr>
      <w:rFonts w:cs="宋体"/>
      <w:sz w:val="24"/>
      <w:szCs w:val="20"/>
    </w:rPr>
  </w:style>
  <w:style w:type="paragraph" w:styleId="1152">
    <w:name w:val="xl27"/>
    <w:basedOn w:val="1004"/>
    <w:next w:val="115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3">
    <w:name w:val="font5"/>
    <w:basedOn w:val="1004"/>
    <w:next w:val="1153"/>
    <w:link w:val="1004"/>
    <w:qFormat/>
    <w:pPr>
      <w:jc w:val="left"/>
      <w:spacing w:before="100" w:beforeAutospacing="1" w:after="100" w:afterAutospacing="1"/>
      <w:widowControl/>
    </w:pPr>
    <w:rPr>
      <w:rFonts w:ascii="宋体" w:hAnsi="宋体" w:cs="宋体"/>
      <w:sz w:val="18"/>
      <w:szCs w:val="18"/>
    </w:rPr>
  </w:style>
  <w:style w:type="paragraph" w:styleId="1154">
    <w:name w:val="五级条标题"/>
    <w:basedOn w:val="1145"/>
    <w:next w:val="1004"/>
    <w:link w:val="1004"/>
    <w:qFormat/>
    <w:pPr>
      <w:numPr>
        <w:ilvl w:val="5"/>
      </w:numPr>
      <w:ind w:left="0" w:hanging="840"/>
      <w:tabs>
        <w:tab w:val="left" w:pos="360" w:leader="none"/>
        <w:tab w:val="left" w:pos="840" w:leader="none"/>
      </w:tabs>
      <w:outlineLvl w:val="5"/>
    </w:pPr>
  </w:style>
  <w:style w:type="paragraph" w:styleId="1155">
    <w:name w:val="xl49"/>
    <w:basedOn w:val="1004"/>
    <w:next w:val="1155"/>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6">
    <w:name w:val="文档正文"/>
    <w:basedOn w:val="1004"/>
    <w:next w:val="1156"/>
    <w:link w:val="1004"/>
    <w:qFormat/>
    <w:pPr>
      <w:spacing w:before="120" w:after="120" w:line="180" w:lineRule="auto"/>
    </w:pPr>
    <w:rPr>
      <w:rFonts w:ascii="Arial" w:hAnsi="Arial"/>
      <w:szCs w:val="20"/>
    </w:rPr>
  </w:style>
  <w:style w:type="paragraph" w:styleId="1157">
    <w:name w:val="xl33"/>
    <w:basedOn w:val="1004"/>
    <w:next w:val="1157"/>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8">
    <w:name w:val="xl42"/>
    <w:basedOn w:val="1004"/>
    <w:next w:val="1158"/>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9">
    <w:name w:val="Char Char Char1 Char"/>
    <w:basedOn w:val="1004"/>
    <w:next w:val="1159"/>
    <w:link w:val="1004"/>
    <w:qFormat/>
    <w:rPr>
      <w:rFonts w:ascii="Tahoma" w:hAnsi="Tahoma"/>
      <w:sz w:val="24"/>
      <w:szCs w:val="20"/>
    </w:rPr>
  </w:style>
  <w:style w:type="paragraph" w:styleId="1160">
    <w:name w:val="xl44"/>
    <w:basedOn w:val="1004"/>
    <w:next w:val="1160"/>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1">
    <w:name w:val="1名"/>
    <w:basedOn w:val="1004"/>
    <w:next w:val="1161"/>
    <w:link w:val="1004"/>
    <w:qFormat/>
    <w:pPr>
      <w:numPr>
        <w:ilvl w:val="0"/>
        <w:numId w:val="5"/>
      </w:numPr>
      <w:spacing w:before="120"/>
      <w:tabs>
        <w:tab w:val="left" w:pos="360" w:leader="none"/>
      </w:tabs>
    </w:pPr>
    <w:rPr>
      <w:rFonts w:ascii="宋体"/>
      <w:sz w:val="28"/>
      <w:szCs w:val="20"/>
    </w:rPr>
  </w:style>
  <w:style w:type="paragraph" w:styleId="1162">
    <w:name w:val="font9"/>
    <w:basedOn w:val="1004"/>
    <w:next w:val="1162"/>
    <w:link w:val="1004"/>
    <w:qFormat/>
    <w:pPr>
      <w:jc w:val="left"/>
      <w:spacing w:before="100" w:beforeAutospacing="1" w:after="100" w:afterAutospacing="1"/>
      <w:widowControl/>
    </w:pPr>
    <w:rPr>
      <w:rFonts w:hint="eastAsia" w:ascii="宋体" w:hAnsi="宋体" w:cs="Arial Unicode MS"/>
      <w:color w:val="000000"/>
      <w:sz w:val="20"/>
      <w:szCs w:val="20"/>
    </w:rPr>
  </w:style>
  <w:style w:type="paragraph" w:styleId="1163">
    <w:name w:val="Char Char Char1 Char1"/>
    <w:basedOn w:val="1004"/>
    <w:next w:val="1163"/>
    <w:link w:val="1004"/>
    <w:qFormat/>
    <w:rPr>
      <w:rFonts w:ascii="Tahoma" w:hAnsi="Tahoma"/>
      <w:sz w:val="24"/>
      <w:szCs w:val="20"/>
    </w:rPr>
  </w:style>
  <w:style w:type="paragraph" w:styleId="1164">
    <w:name w:val="Char Char Char Char Char Char Char Char Char Char"/>
    <w:basedOn w:val="1004"/>
    <w:next w:val="1164"/>
    <w:link w:val="1004"/>
    <w:qFormat/>
  </w:style>
  <w:style w:type="paragraph" w:styleId="1165">
    <w:name w:val="Char Char1 Char Char Char Char Char Char Char Char"/>
    <w:basedOn w:val="1004"/>
    <w:next w:val="1165"/>
    <w:link w:val="1004"/>
    <w:qFormat/>
    <w:pPr>
      <w:jc w:val="left"/>
      <w:spacing w:after="160" w:line="240" w:lineRule="exact"/>
      <w:widowControl/>
    </w:pPr>
    <w:rPr>
      <w:rFonts w:ascii="Verdana" w:hAnsi="Verdana"/>
      <w:sz w:val="20"/>
      <w:szCs w:val="20"/>
      <w:lang w:eastAsia="en-US"/>
    </w:rPr>
  </w:style>
  <w:style w:type="paragraph" w:styleId="1166">
    <w:name w:val="Char1"/>
    <w:basedOn w:val="1004"/>
    <w:next w:val="1166"/>
    <w:link w:val="1004"/>
    <w:qFormat/>
    <w:pPr>
      <w:tabs>
        <w:tab w:val="left" w:pos="360" w:leader="none"/>
      </w:tabs>
    </w:pPr>
    <w:rPr>
      <w:sz w:val="24"/>
    </w:rPr>
  </w:style>
  <w:style w:type="paragraph" w:styleId="1167">
    <w:name w:val="正文列项_字母"/>
    <w:basedOn w:val="1004"/>
    <w:next w:val="1167"/>
    <w:link w:val="1004"/>
    <w:qFormat/>
    <w:pPr>
      <w:numPr>
        <w:ilvl w:val="6"/>
        <w:numId w:val="1"/>
      </w:numPr>
      <w:ind w:left="480" w:hanging="180"/>
      <w:spacing w:line="460" w:lineRule="exact"/>
      <w:tabs>
        <w:tab w:val="clear" w:pos="635" w:leader="none"/>
      </w:tabs>
      <w:outlineLvl w:val="6"/>
    </w:pPr>
    <w:rPr>
      <w:rFonts w:ascii="宋体"/>
      <w:sz w:val="28"/>
      <w:szCs w:val="20"/>
    </w:rPr>
  </w:style>
  <w:style w:type="paragraph" w:styleId="1168">
    <w:name w:val="xl28"/>
    <w:basedOn w:val="1004"/>
    <w:next w:val="1168"/>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name w:val="xl47"/>
    <w:basedOn w:val="1004"/>
    <w:next w:val="1169"/>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name w:val="默认段落字体 Para Char Char Char Char"/>
    <w:basedOn w:val="1004"/>
    <w:next w:val="1170"/>
    <w:link w:val="1004"/>
    <w:qFormat/>
    <w:rPr>
      <w:rFonts w:ascii="Arial" w:hAnsi="Arial" w:cs="Arial"/>
      <w:szCs w:val="21"/>
    </w:rPr>
  </w:style>
  <w:style w:type="paragraph" w:styleId="1171">
    <w:name w:val="xl48"/>
    <w:basedOn w:val="1004"/>
    <w:next w:val="117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2">
    <w:name w:val="xl31"/>
    <w:basedOn w:val="1004"/>
    <w:next w:val="1172"/>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name w:val="xl53"/>
    <w:basedOn w:val="1004"/>
    <w:next w:val="1173"/>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Char Char Char"/>
    <w:basedOn w:val="1004"/>
    <w:next w:val="1174"/>
    <w:link w:val="1004"/>
    <w:qFormat/>
    <w:rPr>
      <w:rFonts w:ascii="Tahoma" w:hAnsi="Tahoma"/>
      <w:sz w:val="24"/>
      <w:szCs w:val="20"/>
    </w:rPr>
  </w:style>
  <w:style w:type="paragraph" w:styleId="1175">
    <w:name w:val="xl50"/>
    <w:basedOn w:val="1004"/>
    <w:next w:val="1175"/>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6">
    <w:name w:val="缺省文本"/>
    <w:basedOn w:val="1004"/>
    <w:next w:val="1176"/>
    <w:link w:val="1004"/>
    <w:qFormat/>
    <w:pPr>
      <w:jc w:val="left"/>
    </w:pPr>
    <w:rPr>
      <w:sz w:val="24"/>
    </w:rPr>
  </w:style>
  <w:style w:type="paragraph" w:styleId="1177">
    <w:name w:val="Char Char Char1"/>
    <w:basedOn w:val="1004"/>
    <w:next w:val="1177"/>
    <w:link w:val="1004"/>
    <w:qFormat/>
    <w:rPr>
      <w:rFonts w:ascii="Tahoma" w:hAnsi="Tahoma"/>
      <w:sz w:val="24"/>
      <w:szCs w:val="20"/>
    </w:rPr>
  </w:style>
  <w:style w:type="paragraph" w:styleId="1178">
    <w:name w:val="Char Char Char Char Char Char Char1"/>
    <w:basedOn w:val="1004"/>
    <w:next w:val="1178"/>
    <w:link w:val="1004"/>
    <w:qFormat/>
    <w:pPr>
      <w:ind w:firstLine="200"/>
      <w:spacing w:line="360" w:lineRule="auto"/>
    </w:pPr>
    <w:rPr>
      <w:rFonts w:eastAsia="仿宋_GB2312"/>
      <w:sz w:val="24"/>
    </w:rPr>
  </w:style>
  <w:style w:type="paragraph" w:styleId="1179">
    <w:name w:val="xl51"/>
    <w:basedOn w:val="1004"/>
    <w:next w:val="1179"/>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样式2"/>
    <w:basedOn w:val="1067"/>
    <w:next w:val="1180"/>
    <w:link w:val="1004"/>
    <w:qFormat/>
    <w:pPr>
      <w:jc w:val="center"/>
      <w:spacing w:line="360" w:lineRule="auto"/>
    </w:pPr>
    <w:rPr>
      <w:sz w:val="24"/>
    </w:rPr>
  </w:style>
  <w:style w:type="paragraph" w:styleId="1181">
    <w:name w:val="xl24"/>
    <w:basedOn w:val="1004"/>
    <w:next w:val="118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xl29"/>
    <w:basedOn w:val="1004"/>
    <w:next w:val="118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3">
    <w:name w:val="正文 + 楷体_GB2312"/>
    <w:basedOn w:val="1004"/>
    <w:next w:val="1183"/>
    <w:link w:val="1004"/>
    <w:qFormat/>
    <w:pPr>
      <w:jc w:val="left"/>
      <w:widowControl/>
    </w:pPr>
    <w:rPr>
      <w:rFonts w:ascii="楷体_GB2312" w:eastAsia="楷体_GB2312" w:cs="Arial"/>
      <w:sz w:val="24"/>
    </w:rPr>
  </w:style>
  <w:style w:type="paragraph" w:styleId="1184">
    <w:name w:val="xl34"/>
    <w:basedOn w:val="1004"/>
    <w:next w:val="1184"/>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5">
    <w:name w:val="1 Char Char Char Char"/>
    <w:basedOn w:val="1004"/>
    <w:next w:val="1185"/>
    <w:link w:val="1004"/>
    <w:qFormat/>
    <w:rPr>
      <w:rFonts w:ascii="Tahoma" w:hAnsi="Tahoma"/>
      <w:sz w:val="24"/>
      <w:szCs w:val="20"/>
    </w:rPr>
  </w:style>
  <w:style w:type="paragraph" w:styleId="1186">
    <w:name w:val="Default"/>
    <w:next w:val="1186"/>
    <w:link w:val="1004"/>
    <w:qFormat/>
    <w:pPr>
      <w:widowControl w:val="off"/>
    </w:pPr>
    <w:rPr>
      <w:rFonts w:ascii="Symbol" w:hAnsi="Symbol" w:cs="Symbol"/>
      <w:color w:val="000000"/>
      <w:sz w:val="24"/>
      <w:szCs w:val="24"/>
      <w:lang w:val="en-US" w:eastAsia="zh-CN" w:bidi="ar-SA"/>
    </w:rPr>
  </w:style>
  <w:style w:type="paragraph" w:styleId="1187">
    <w:name w:val="列出段落1"/>
    <w:basedOn w:val="1004"/>
    <w:next w:val="1187"/>
    <w:link w:val="1004"/>
    <w:qFormat/>
    <w:pPr>
      <w:ind w:firstLine="420"/>
    </w:pPr>
    <w:rPr>
      <w:rFonts w:ascii="Calibri" w:hAnsi="Calibri"/>
      <w:szCs w:val="22"/>
    </w:rPr>
  </w:style>
  <w:style w:type="paragraph" w:styleId="1188">
    <w:name w:val="default"/>
    <w:basedOn w:val="1004"/>
    <w:next w:val="1188"/>
    <w:link w:val="1004"/>
    <w:qFormat/>
    <w:pPr>
      <w:jc w:val="left"/>
      <w:spacing w:before="100" w:beforeAutospacing="1" w:after="100" w:afterAutospacing="1"/>
      <w:widowControl/>
    </w:pPr>
    <w:rPr>
      <w:rFonts w:ascii="宋体" w:hAnsi="宋体" w:cs="宋体"/>
      <w:sz w:val="24"/>
    </w:rPr>
  </w:style>
  <w:style w:type="paragraph" w:styleId="1189">
    <w:name w:val="字元 字元1"/>
    <w:basedOn w:val="1004"/>
    <w:next w:val="1189"/>
    <w:link w:val="1004"/>
    <w:qFormat/>
    <w:rPr>
      <w:rFonts w:ascii="Tahoma" w:hAnsi="Tahoma"/>
      <w:sz w:val="24"/>
      <w:szCs w:val="20"/>
    </w:rPr>
  </w:style>
  <w:style w:type="paragraph" w:styleId="1190">
    <w:name w:val="_Style 160"/>
    <w:next w:val="1190"/>
    <w:link w:val="1004"/>
    <w:qFormat/>
    <w:rPr>
      <w:sz w:val="21"/>
      <w:szCs w:val="24"/>
      <w:lang w:val="en-US" w:eastAsia="zh-CN" w:bidi="ar-SA"/>
    </w:rPr>
  </w:style>
  <w:style w:type="paragraph" w:styleId="1191">
    <w:name w:val="项目编号3"/>
    <w:basedOn w:val="1151"/>
    <w:next w:val="1191"/>
    <w:link w:val="1004"/>
    <w:qFormat/>
    <w:pPr>
      <w:numPr>
        <w:ilvl w:val="0"/>
        <w:numId w:val="6"/>
      </w:numPr>
    </w:pPr>
  </w:style>
  <w:style w:type="paragraph" w:styleId="1192">
    <w:name w:val="Char21"/>
    <w:basedOn w:val="1004"/>
    <w:next w:val="1192"/>
    <w:link w:val="1004"/>
    <w:qFormat/>
    <w:rPr>
      <w:rFonts w:ascii="Tahoma" w:hAnsi="Tahoma"/>
      <w:sz w:val="24"/>
      <w:szCs w:val="20"/>
    </w:rPr>
  </w:style>
  <w:style w:type="paragraph" w:styleId="1193">
    <w:name w:val="表格文字"/>
    <w:basedOn w:val="1037"/>
    <w:next w:val="1193"/>
    <w:link w:val="1004"/>
    <w:qFormat/>
    <w:pPr>
      <w:ind w:firstLine="0"/>
      <w:spacing w:before="20" w:after="20" w:line="240" w:lineRule="auto"/>
    </w:pPr>
    <w:rPr>
      <w:rFonts w:ascii="Century Gothic" w:hAnsi="Century Gothic"/>
      <w:sz w:val="20"/>
      <w:szCs w:val="20"/>
    </w:rPr>
  </w:style>
  <w:style w:type="paragraph" w:styleId="1194">
    <w:name w:val="Char Char Char Char Char Char Char Char Char Char1"/>
    <w:basedOn w:val="1004"/>
    <w:next w:val="1194"/>
    <w:link w:val="1004"/>
    <w:qFormat/>
    <w:rPr>
      <w:rFonts w:ascii="宋体" w:hAnsi="宋体" w:cs="Courier New"/>
      <w:sz w:val="32"/>
      <w:szCs w:val="32"/>
    </w:rPr>
  </w:style>
  <w:style w:type="paragraph" w:styleId="1195">
    <w:name w:val="正文文本样式 加粗"/>
    <w:basedOn w:val="1151"/>
    <w:next w:val="1195"/>
    <w:link w:val="1004"/>
    <w:qFormat/>
    <w:rPr>
      <w:b/>
    </w:rPr>
  </w:style>
  <w:style w:type="paragraph" w:styleId="1196">
    <w:name w:val="Char2 Char Char Char Char Char Char"/>
    <w:basedOn w:val="1004"/>
    <w:next w:val="1196"/>
    <w:link w:val="1004"/>
    <w:qFormat/>
    <w:pPr>
      <w:jc w:val="center"/>
      <w:spacing w:line="400" w:lineRule="exact"/>
      <w:widowControl/>
    </w:pPr>
  </w:style>
  <w:style w:type="paragraph" w:styleId="1197">
    <w:name w:val="Char Char4"/>
    <w:basedOn w:val="1004"/>
    <w:next w:val="1197"/>
    <w:link w:val="1004"/>
    <w:qFormat/>
    <w:pPr>
      <w:jc w:val="center"/>
      <w:spacing w:line="400" w:lineRule="exact"/>
      <w:widowControl/>
    </w:pPr>
  </w:style>
  <w:style w:type="paragraph" w:styleId="1198">
    <w:name w:val="Char3 Char Char Char1"/>
    <w:basedOn w:val="1004"/>
    <w:next w:val="1198"/>
    <w:link w:val="1004"/>
    <w:qFormat/>
    <w:rPr>
      <w:rFonts w:ascii="Tahoma" w:hAnsi="Tahoma"/>
      <w:sz w:val="24"/>
      <w:szCs w:val="20"/>
    </w:rPr>
  </w:style>
  <w:style w:type="paragraph" w:styleId="1199">
    <w:name w:val="无间隔"/>
    <w:next w:val="1199"/>
    <w:link w:val="1004"/>
    <w:qFormat/>
    <w:pPr>
      <w:jc w:val="both"/>
      <w:widowControl w:val="off"/>
    </w:pPr>
    <w:rPr>
      <w:sz w:val="21"/>
      <w:szCs w:val="24"/>
      <w:lang w:val="en-US" w:eastAsia="zh-CN" w:bidi="ar-SA"/>
    </w:rPr>
  </w:style>
  <w:style w:type="paragraph" w:styleId="1200">
    <w:name w:val="22222222222222"/>
    <w:basedOn w:val="1004"/>
    <w:next w:val="1200"/>
    <w:link w:val="1004"/>
    <w:qFormat/>
    <w:pPr>
      <w:ind w:firstLine="480"/>
      <w:jc w:val="left"/>
      <w:spacing w:line="360" w:lineRule="auto"/>
      <w:widowControl/>
    </w:pPr>
    <w:rPr>
      <w:color w:val="ff0000"/>
      <w:sz w:val="24"/>
      <w:szCs w:val="20"/>
    </w:rPr>
  </w:style>
  <w:style w:type="character" w:styleId="1201">
    <w:name w:val="中等深浅网格 1 - 强调文字颜色 2 Char"/>
    <w:next w:val="1201"/>
    <w:link w:val="1202"/>
    <w:qFormat/>
    <w:rPr>
      <w:sz w:val="21"/>
      <w:szCs w:val="24"/>
      <w:lang w:val="zh-CN" w:eastAsia="zh-CN" w:bidi="ar-SA"/>
    </w:rPr>
  </w:style>
  <w:style w:type="paragraph" w:styleId="1202">
    <w:name w:val="1"/>
    <w:next w:val="1202"/>
    <w:link w:val="1201"/>
    <w:qFormat/>
    <w:rPr>
      <w:sz w:val="21"/>
      <w:szCs w:val="24"/>
      <w:lang w:val="zh-CN" w:eastAsia="zh-CN" w:bidi="ar-SA"/>
    </w:rPr>
  </w:style>
  <w:style w:type="paragraph" w:styleId="1203">
    <w:name w:val="图文"/>
    <w:basedOn w:val="1004"/>
    <w:next w:val="1203"/>
    <w:link w:val="1004"/>
    <w:qFormat/>
    <w:pPr>
      <w:spacing w:after="50" w:line="360" w:lineRule="auto"/>
    </w:pPr>
    <w:rPr>
      <w:sz w:val="24"/>
    </w:rPr>
  </w:style>
  <w:style w:type="paragraph" w:styleId="1204">
    <w:name w:val="xl23"/>
    <w:basedOn w:val="1004"/>
    <w:next w:val="1204"/>
    <w:link w:val="1004"/>
    <w:qFormat/>
    <w:pPr>
      <w:spacing w:before="100" w:beforeAutospacing="1" w:after="100" w:afterAutospacing="1" w:line="360" w:lineRule="auto"/>
      <w:widowControl/>
    </w:pPr>
    <w:rPr>
      <w:sz w:val="24"/>
      <w:szCs w:val="20"/>
    </w:rPr>
  </w:style>
  <w:style w:type="paragraph" w:styleId="1205">
    <w:name w:val="正文表格"/>
    <w:basedOn w:val="1004"/>
    <w:next w:val="1205"/>
    <w:link w:val="1206"/>
    <w:qFormat/>
    <w:pPr>
      <w:jc w:val="left"/>
    </w:pPr>
    <w:rPr>
      <w:rFonts w:ascii="宋体" w:hAnsi="宋体"/>
      <w:color w:val="000000"/>
      <w:szCs w:val="21"/>
    </w:rPr>
  </w:style>
  <w:style w:type="character" w:styleId="1206">
    <w:name w:val="正文表格 Char"/>
    <w:next w:val="1206"/>
    <w:link w:val="1205"/>
    <w:qFormat/>
    <w:rPr>
      <w:rFonts w:ascii="宋体" w:hAnsi="宋体"/>
      <w:color w:val="000000"/>
      <w:sz w:val="21"/>
      <w:szCs w:val="21"/>
    </w:rPr>
  </w:style>
  <w:style w:type="paragraph" w:styleId="1207">
    <w:name w:val="正文重点"/>
    <w:basedOn w:val="1004"/>
    <w:next w:val="1207"/>
    <w:link w:val="1208"/>
    <w:qFormat/>
    <w:pPr>
      <w:ind w:firstLine="482"/>
      <w:jc w:val="left"/>
      <w:spacing w:line="360" w:lineRule="auto"/>
    </w:pPr>
    <w:rPr>
      <w:b/>
      <w:sz w:val="24"/>
      <w:szCs w:val="20"/>
    </w:rPr>
  </w:style>
  <w:style w:type="character" w:styleId="1208">
    <w:name w:val="正文重点 Char"/>
    <w:next w:val="1208"/>
    <w:link w:val="1207"/>
    <w:qFormat/>
    <w:rPr>
      <w:b/>
      <w:sz w:val="24"/>
    </w:rPr>
  </w:style>
  <w:style w:type="paragraph" w:styleId="1209">
    <w:name w:val="标题1-附件"/>
    <w:basedOn w:val="1005"/>
    <w:next w:val="1209"/>
    <w:link w:val="1004"/>
    <w:qFormat/>
    <w:pPr>
      <w:jc w:val="left"/>
    </w:pPr>
    <w:rPr>
      <w:sz w:val="24"/>
      <w:szCs w:val="24"/>
    </w:rPr>
  </w:style>
  <w:style w:type="paragraph" w:styleId="1210">
    <w:name w:val="正文小标题"/>
    <w:basedOn w:val="1004"/>
    <w:next w:val="1018"/>
    <w:link w:val="1211"/>
    <w:qFormat/>
    <w:pPr>
      <w:ind w:firstLine="482"/>
      <w:jc w:val="left"/>
      <w:spacing w:before="312" w:after="312"/>
    </w:pPr>
    <w:rPr>
      <w:rFonts w:ascii="宋体" w:hAnsi="宋体"/>
      <w:b/>
      <w:i/>
      <w:color w:val="ff0000"/>
      <w:sz w:val="24"/>
      <w:szCs w:val="20"/>
    </w:rPr>
  </w:style>
  <w:style w:type="character" w:styleId="1211">
    <w:name w:val="正文小标题 Char"/>
    <w:next w:val="1211"/>
    <w:link w:val="1210"/>
    <w:qFormat/>
    <w:rPr>
      <w:rFonts w:ascii="宋体" w:hAnsi="宋体"/>
      <w:b/>
      <w:i/>
      <w:color w:val="ff0000"/>
      <w:sz w:val="24"/>
    </w:rPr>
  </w:style>
  <w:style w:type="paragraph" w:styleId="1212">
    <w:name w:val="正文大标题"/>
    <w:basedOn w:val="1210"/>
    <w:next w:val="1018"/>
    <w:link w:val="1213"/>
    <w:qFormat/>
    <w:pPr>
      <w:jc w:val="center"/>
    </w:pPr>
    <w:rPr>
      <w:i w:val="0"/>
      <w:color w:val="000000"/>
      <w:sz w:val="28"/>
      <w:szCs w:val="21"/>
    </w:rPr>
  </w:style>
  <w:style w:type="character" w:styleId="1213">
    <w:name w:val="正文大标题 Char"/>
    <w:next w:val="1213"/>
    <w:link w:val="1212"/>
    <w:qFormat/>
    <w:rPr>
      <w:rFonts w:ascii="宋体" w:hAnsi="宋体"/>
      <w:b/>
      <w:color w:val="000000"/>
      <w:sz w:val="28"/>
      <w:szCs w:val="21"/>
    </w:rPr>
  </w:style>
  <w:style w:type="paragraph" w:styleId="1214">
    <w:name w:val="注释"/>
    <w:basedOn w:val="1004"/>
    <w:next w:val="1214"/>
    <w:link w:val="1215"/>
    <w:qFormat/>
    <w:pPr>
      <w:ind w:left="420" w:hanging="420"/>
      <w:jc w:val="left"/>
    </w:pPr>
    <w:rPr>
      <w:rFonts w:ascii="宋体" w:hAnsi="宋体"/>
      <w:szCs w:val="21"/>
    </w:rPr>
  </w:style>
  <w:style w:type="character" w:styleId="1215">
    <w:name w:val="注释 Char"/>
    <w:next w:val="1215"/>
    <w:link w:val="1214"/>
    <w:qFormat/>
    <w:rPr>
      <w:rFonts w:ascii="宋体" w:hAnsi="宋体"/>
      <w:sz w:val="21"/>
      <w:szCs w:val="21"/>
    </w:rPr>
  </w:style>
  <w:style w:type="paragraph" w:styleId="1216">
    <w:name w:val="正文须知-1级"/>
    <w:basedOn w:val="1004"/>
    <w:next w:val="1004"/>
    <w:link w:val="1004"/>
    <w:qFormat/>
    <w:pPr>
      <w:numPr>
        <w:ilvl w:val="0"/>
        <w:numId w:val="7"/>
      </w:numPr>
      <w:spacing w:line="300" w:lineRule="auto"/>
    </w:pPr>
    <w:rPr>
      <w:rFonts w:ascii="宋体" w:hAnsi="Calibri"/>
      <w:sz w:val="24"/>
      <w:szCs w:val="21"/>
    </w:rPr>
  </w:style>
  <w:style w:type="paragraph" w:styleId="1217">
    <w:name w:val="正文须知-2级"/>
    <w:basedOn w:val="1004"/>
    <w:next w:val="1217"/>
    <w:link w:val="1004"/>
    <w:qFormat/>
    <w:pPr>
      <w:numPr>
        <w:ilvl w:val="1"/>
        <w:numId w:val="7"/>
      </w:numPr>
      <w:spacing w:line="300" w:lineRule="auto"/>
    </w:pPr>
    <w:rPr>
      <w:rFonts w:ascii="宋体" w:hAnsi="Calibri"/>
      <w:sz w:val="24"/>
      <w:szCs w:val="21"/>
    </w:rPr>
  </w:style>
  <w:style w:type="paragraph" w:styleId="1218">
    <w:name w:val="正文须知-3级"/>
    <w:basedOn w:val="1004"/>
    <w:next w:val="1218"/>
    <w:link w:val="1004"/>
    <w:qFormat/>
    <w:pPr>
      <w:numPr>
        <w:ilvl w:val="2"/>
        <w:numId w:val="7"/>
      </w:numPr>
      <w:ind w:hanging="355"/>
      <w:spacing w:line="300" w:lineRule="auto"/>
    </w:pPr>
    <w:rPr>
      <w:rFonts w:ascii="宋体" w:hAnsi="Calibri"/>
      <w:sz w:val="24"/>
      <w:szCs w:val="21"/>
    </w:rPr>
  </w:style>
  <w:style w:type="character" w:styleId="1219">
    <w:name w:val="纯文本 字符"/>
    <w:next w:val="1219"/>
    <w:link w:val="1004"/>
    <w:uiPriority w:val="99"/>
    <w:qFormat/>
    <w:rPr>
      <w:rFonts w:ascii="宋体" w:hAnsi="Courier New" w:eastAsia="宋体" w:cs="Times New Roman"/>
      <w:sz w:val="21"/>
      <w:szCs w:val="21"/>
      <w:lang w:val="en-US" w:eastAsia="zh-CN" w:bidi="ar-SA"/>
    </w:rPr>
  </w:style>
  <w:style w:type="paragraph" w:styleId="1220">
    <w:name w:val="表格1"/>
    <w:basedOn w:val="1004"/>
    <w:next w:val="1220"/>
    <w:link w:val="1004"/>
    <w:qFormat/>
    <w:pPr>
      <w:ind w:firstLine="480"/>
      <w:jc w:val="center"/>
    </w:pPr>
    <w:rPr>
      <w:sz w:val="24"/>
      <w:szCs w:val="20"/>
    </w:rPr>
  </w:style>
  <w:style w:type="character" w:styleId="1221">
    <w:name w:val="纯文本 字符1"/>
    <w:next w:val="1221"/>
    <w:link w:val="1004"/>
    <w:qFormat/>
    <w:rPr>
      <w:rFonts w:ascii="宋体" w:hAnsi="Courier New"/>
    </w:rPr>
  </w:style>
  <w:style w:type="character" w:styleId="1222">
    <w:name w:val="bjh-p"/>
    <w:next w:val="1222"/>
    <w:link w:val="1004"/>
    <w:qFormat/>
  </w:style>
  <w:style w:type="paragraph" w:styleId="1223">
    <w:name w:val="无标题条"/>
    <w:next w:val="1004"/>
    <w:link w:val="1004"/>
    <w:qFormat/>
    <w:pPr>
      <w:jc w:val="both"/>
    </w:pPr>
    <w:rPr>
      <w:sz w:val="21"/>
      <w:lang w:val="en-US" w:eastAsia="zh-CN" w:bidi="ar-SA"/>
    </w:rPr>
  </w:style>
  <w:style w:type="character" w:styleId="1224">
    <w:name w:val="正文格式 Char"/>
    <w:next w:val="1224"/>
    <w:link w:val="1225"/>
    <w:qFormat/>
    <w:rPr>
      <w:rFonts w:ascii="宋体" w:hAnsi="宋体"/>
      <w:sz w:val="24"/>
      <w:szCs w:val="24"/>
      <w:lang w:val="en-GB"/>
    </w:rPr>
  </w:style>
  <w:style w:type="paragraph" w:styleId="1225">
    <w:name w:val="正文格式"/>
    <w:basedOn w:val="1004"/>
    <w:next w:val="1225"/>
    <w:link w:val="1224"/>
    <w:qFormat/>
    <w:pPr>
      <w:ind w:firstLine="480"/>
      <w:spacing w:line="360" w:lineRule="auto"/>
    </w:pPr>
    <w:rPr>
      <w:rFonts w:ascii="宋体" w:hAnsi="宋体"/>
      <w:sz w:val="24"/>
      <w:lang w:val="en-GB"/>
    </w:rPr>
  </w:style>
  <w:style w:type="character" w:styleId="1226">
    <w:name w:val="标题 3 Char"/>
    <w:next w:val="1226"/>
    <w:link w:val="1004"/>
    <w:qFormat/>
    <w:rPr>
      <w:rFonts w:ascii="宋体" w:eastAsia="宋体"/>
      <w:b/>
      <w:sz w:val="24"/>
      <w:u w:val="single"/>
      <w:lang w:val="en-US" w:eastAsia="zh-CN" w:bidi="ar-SA"/>
    </w:rPr>
  </w:style>
  <w:style w:type="character" w:styleId="1227">
    <w:name w:val="正文缩进 Char"/>
    <w:next w:val="1227"/>
    <w:link w:val="1004"/>
    <w:qFormat/>
    <w:rPr>
      <w:rFonts w:ascii="宋体" w:eastAsia="宋体"/>
      <w:sz w:val="24"/>
      <w:szCs w:val="24"/>
      <w:lang w:val="en-US" w:eastAsia="zh-CN" w:bidi="ar-SA"/>
    </w:rPr>
  </w:style>
  <w:style w:type="character" w:styleId="1228">
    <w:name w:val="Char Char111"/>
    <w:next w:val="1228"/>
    <w:link w:val="1004"/>
    <w:qFormat/>
    <w:rPr>
      <w:rFonts w:ascii="宋体" w:eastAsia="宋体"/>
      <w:b/>
      <w:sz w:val="24"/>
      <w:u w:val="single"/>
      <w:lang w:val="en-US" w:eastAsia="zh-CN" w:bidi="ar-SA"/>
    </w:rPr>
  </w:style>
  <w:style w:type="character" w:styleId="1229">
    <w:name w:val="正文文本缩进 Char"/>
    <w:next w:val="1229"/>
    <w:link w:val="1004"/>
    <w:qFormat/>
    <w:rPr>
      <w:rFonts w:eastAsia="宋体"/>
      <w:sz w:val="24"/>
      <w:szCs w:val="24"/>
      <w:lang w:val="en-US" w:eastAsia="zh-CN" w:bidi="ar-SA"/>
    </w:rPr>
  </w:style>
  <w:style w:type="character" w:styleId="1230">
    <w:name w:val="列出段落 Char"/>
    <w:next w:val="1230"/>
    <w:link w:val="1004"/>
    <w:qFormat/>
    <w:rPr>
      <w:rFonts w:ascii="Calibri" w:hAnsi="Calibri" w:eastAsia="宋体"/>
      <w:sz w:val="21"/>
      <w:szCs w:val="22"/>
      <w:lang w:val="en-US" w:eastAsia="zh-CN" w:bidi="ar-SA"/>
    </w:rPr>
  </w:style>
  <w:style w:type="character" w:styleId="1231">
    <w:name w:val="页眉 Char"/>
    <w:next w:val="1231"/>
    <w:link w:val="1004"/>
    <w:uiPriority w:val="99"/>
    <w:qFormat/>
    <w:rPr>
      <w:rFonts w:eastAsia="宋体"/>
      <w:sz w:val="18"/>
      <w:szCs w:val="18"/>
      <w:lang w:val="en-US" w:eastAsia="zh-CN" w:bidi="ar-SA"/>
    </w:rPr>
  </w:style>
  <w:style w:type="character" w:styleId="1232">
    <w:name w:val="标题 2 Char"/>
    <w:next w:val="1232"/>
    <w:link w:val="1004"/>
    <w:qFormat/>
    <w:rPr>
      <w:rFonts w:ascii="Arial" w:hAnsi="Arial" w:eastAsia="黑体"/>
      <w:b/>
      <w:sz w:val="30"/>
      <w:lang w:val="en-US" w:eastAsia="zh-CN" w:bidi="ar-SA"/>
    </w:rPr>
  </w:style>
  <w:style w:type="paragraph" w:styleId="1233">
    <w:name w:val="字元 字元2"/>
    <w:basedOn w:val="1004"/>
    <w:next w:val="1233"/>
    <w:link w:val="1004"/>
    <w:qFormat/>
    <w:rPr>
      <w:rFonts w:ascii="Tahoma" w:hAnsi="Tahoma"/>
      <w:sz w:val="24"/>
      <w:szCs w:val="20"/>
    </w:rPr>
  </w:style>
  <w:style w:type="paragraph" w:styleId="1234">
    <w:name w:val="Char3 Char Char Char2"/>
    <w:basedOn w:val="1004"/>
    <w:next w:val="1234"/>
    <w:link w:val="1004"/>
    <w:qFormat/>
    <w:rPr>
      <w:rFonts w:ascii="Tahoma" w:hAnsi="Tahoma"/>
      <w:sz w:val="24"/>
      <w:szCs w:val="20"/>
    </w:rPr>
  </w:style>
  <w:style w:type="paragraph" w:styleId="1235">
    <w:name w:val="正文文本缩进2"/>
    <w:basedOn w:val="1004"/>
    <w:next w:val="1235"/>
    <w:link w:val="1004"/>
    <w:qFormat/>
    <w:pPr>
      <w:ind w:firstLine="480"/>
      <w:spacing w:line="480" w:lineRule="exact"/>
    </w:pPr>
    <w:rPr>
      <w:rFonts w:ascii="宋体" w:hAnsi="宋体"/>
      <w:sz w:val="24"/>
      <w:lang w:val="zh-CN" w:eastAsia="zh-CN"/>
    </w:rPr>
  </w:style>
  <w:style w:type="paragraph" w:styleId="1236">
    <w:name w:val="Char3"/>
    <w:basedOn w:val="1004"/>
    <w:next w:val="1236"/>
    <w:link w:val="1004"/>
    <w:qFormat/>
    <w:pPr>
      <w:tabs>
        <w:tab w:val="left" w:pos="360" w:leader="none"/>
      </w:tabs>
    </w:pPr>
    <w:rPr>
      <w:sz w:val="24"/>
    </w:rPr>
  </w:style>
  <w:style w:type="paragraph" w:styleId="1237">
    <w:name w:val="Char Char Char Char Char Char Char Char Char Char Char Char Char Char Char Char1"/>
    <w:basedOn w:val="1004"/>
    <w:next w:val="1237"/>
    <w:link w:val="1004"/>
    <w:qFormat/>
    <w:pPr>
      <w:jc w:val="center"/>
      <w:spacing w:after="160" w:line="240" w:lineRule="exact"/>
      <w:widowControl/>
    </w:pPr>
    <w:rPr>
      <w:rFonts w:ascii="宋体" w:hAnsi="宋体"/>
      <w:b/>
      <w:sz w:val="30"/>
      <w:szCs w:val="30"/>
      <w:lang w:eastAsia="en-US"/>
    </w:rPr>
  </w:style>
  <w:style w:type="paragraph" w:styleId="1238">
    <w:name w:val="Char Char1 Char Char Char Char Char Char1"/>
    <w:basedOn w:val="1004"/>
    <w:next w:val="1238"/>
    <w:link w:val="1004"/>
    <w:qFormat/>
    <w:pPr>
      <w:jc w:val="left"/>
      <w:spacing w:after="160" w:line="240" w:lineRule="exact"/>
      <w:widowControl/>
    </w:pPr>
    <w:rPr>
      <w:rFonts w:ascii="Verdana" w:hAnsi="Verdana" w:eastAsia="仿宋_GB2312"/>
      <w:sz w:val="24"/>
      <w:szCs w:val="20"/>
      <w:lang w:eastAsia="en-US"/>
    </w:rPr>
  </w:style>
  <w:style w:type="paragraph" w:styleId="1239">
    <w:name w:val="列出段落2"/>
    <w:basedOn w:val="1004"/>
    <w:next w:val="1239"/>
    <w:link w:val="1004"/>
    <w:uiPriority w:val="34"/>
    <w:qFormat/>
    <w:pPr>
      <w:ind w:firstLine="420"/>
    </w:pPr>
    <w:rPr>
      <w:rFonts w:ascii="Calibri" w:hAnsi="Calibri"/>
      <w:szCs w:val="22"/>
    </w:rPr>
  </w:style>
  <w:style w:type="paragraph" w:styleId="1240">
    <w:name w:val="Char Char Char1 Char2"/>
    <w:basedOn w:val="1004"/>
    <w:next w:val="1240"/>
    <w:link w:val="1004"/>
    <w:qFormat/>
    <w:rPr>
      <w:rFonts w:ascii="Tahoma" w:hAnsi="Tahoma"/>
      <w:sz w:val="24"/>
      <w:szCs w:val="20"/>
    </w:rPr>
  </w:style>
  <w:style w:type="paragraph" w:styleId="1241">
    <w:name w:val="Char Char Char2"/>
    <w:basedOn w:val="1004"/>
    <w:next w:val="1241"/>
    <w:link w:val="1004"/>
    <w:qFormat/>
    <w:rPr>
      <w:rFonts w:ascii="Tahoma" w:hAnsi="Tahoma"/>
      <w:sz w:val="24"/>
      <w:szCs w:val="20"/>
    </w:rPr>
  </w:style>
  <w:style w:type="paragraph" w:styleId="1242">
    <w:name w:val="Char Char Char Char Char Char Char2"/>
    <w:basedOn w:val="1004"/>
    <w:next w:val="1242"/>
    <w:link w:val="1004"/>
    <w:qFormat/>
    <w:pPr>
      <w:ind w:firstLine="200"/>
      <w:spacing w:line="360" w:lineRule="auto"/>
    </w:pPr>
    <w:rPr>
      <w:rFonts w:eastAsia="仿宋_GB2312"/>
      <w:sz w:val="24"/>
    </w:rPr>
  </w:style>
  <w:style w:type="paragraph" w:styleId="1243">
    <w:name w:val="正文缩进2"/>
    <w:basedOn w:val="1004"/>
    <w:next w:val="1243"/>
    <w:link w:val="1004"/>
    <w:qFormat/>
    <w:pPr>
      <w:ind w:firstLine="567"/>
      <w:spacing w:line="480" w:lineRule="exact"/>
      <w:widowControl/>
    </w:pPr>
    <w:rPr>
      <w:rFonts w:ascii="宋体"/>
      <w:color w:val="000000"/>
      <w:sz w:val="28"/>
      <w:szCs w:val="20"/>
      <w:lang w:val="zh-CN" w:eastAsia="zh-CN"/>
    </w:rPr>
  </w:style>
  <w:style w:type="paragraph" w:styleId="1244">
    <w:name w:val="Revision"/>
    <w:next w:val="1244"/>
    <w:link w:val="1004"/>
    <w:qFormat/>
    <w:rPr>
      <w:sz w:val="21"/>
      <w:szCs w:val="24"/>
      <w:lang w:val="en-US" w:eastAsia="zh-CN" w:bidi="ar-SA"/>
    </w:rPr>
  </w:style>
  <w:style w:type="paragraph" w:styleId="1245">
    <w:name w:val="Char22"/>
    <w:basedOn w:val="1004"/>
    <w:next w:val="1245"/>
    <w:link w:val="1004"/>
    <w:qFormat/>
    <w:rPr>
      <w:rFonts w:ascii="Tahoma" w:hAnsi="Tahoma"/>
      <w:sz w:val="24"/>
      <w:szCs w:val="20"/>
    </w:rPr>
  </w:style>
  <w:style w:type="paragraph" w:styleId="1246">
    <w:name w:val="Char Char Char Char Char Char Char Char Char Char2"/>
    <w:basedOn w:val="1004"/>
    <w:next w:val="1246"/>
    <w:link w:val="1004"/>
    <w:qFormat/>
    <w:rPr>
      <w:rFonts w:ascii="宋体" w:hAnsi="宋体" w:cs="Courier New"/>
      <w:sz w:val="32"/>
      <w:szCs w:val="32"/>
    </w:rPr>
  </w:style>
  <w:style w:type="paragraph" w:styleId="1247">
    <w:name w:val="Char2 Char Char Char Char Char Char1"/>
    <w:basedOn w:val="1004"/>
    <w:next w:val="1247"/>
    <w:link w:val="1004"/>
    <w:qFormat/>
    <w:pPr>
      <w:jc w:val="center"/>
      <w:spacing w:line="400" w:lineRule="exact"/>
      <w:widowControl/>
    </w:pPr>
  </w:style>
  <w:style w:type="character" w:styleId="1248">
    <w:name w:val="页脚 Char"/>
    <w:next w:val="1248"/>
    <w:link w:val="1004"/>
    <w:uiPriority w:val="99"/>
    <w:qFormat/>
    <w:rPr>
      <w:rFonts w:ascii="宋体" w:eastAsia="宋体"/>
      <w:sz w:val="18"/>
      <w:lang w:val="en-US" w:eastAsia="zh-CN" w:bidi="ar-SA"/>
    </w:rPr>
  </w:style>
  <w:style w:type="paragraph" w:styleId="1249">
    <w:name w:val="Char Char41"/>
    <w:basedOn w:val="1004"/>
    <w:next w:val="1249"/>
    <w:link w:val="1004"/>
    <w:qFormat/>
    <w:pPr>
      <w:jc w:val="center"/>
      <w:spacing w:line="400" w:lineRule="exact"/>
      <w:widowControl/>
    </w:pPr>
  </w:style>
  <w:style w:type="character" w:styleId="1250">
    <w:name w:val="批注文字 Char"/>
    <w:next w:val="1250"/>
    <w:link w:val="1004"/>
    <w:uiPriority w:val="99"/>
    <w:qFormat/>
    <w:rPr>
      <w:sz w:val="21"/>
      <w:szCs w:val="24"/>
    </w:rPr>
  </w:style>
  <w:style w:type="character" w:styleId="1251">
    <w:name w:val="标题 Char"/>
    <w:next w:val="1251"/>
    <w:link w:val="1004"/>
    <w:qFormat/>
    <w:rPr>
      <w:b/>
      <w:sz w:val="32"/>
    </w:rPr>
  </w:style>
  <w:style w:type="paragraph" w:styleId="1252">
    <w:name w:val="图例"/>
    <w:basedOn w:val="1004"/>
    <w:next w:val="1252"/>
    <w:link w:val="1004"/>
    <w:qFormat/>
    <w:pPr>
      <w:jc w:val="center"/>
      <w:spacing w:before="120" w:after="120" w:line="360" w:lineRule="auto"/>
    </w:pPr>
    <w:rPr>
      <w:rFonts w:eastAsia="仿宋_GB2312"/>
      <w:b/>
      <w:sz w:val="24"/>
      <w:szCs w:val="20"/>
    </w:rPr>
  </w:style>
  <w:style w:type="table" w:styleId="1253">
    <w:name w:val="Table Normal"/>
    <w:next w:val="1253"/>
    <w:link w:val="1004"/>
    <w:uiPriority w:val="2"/>
    <w:unhideWhenUsed/>
    <w:qFormat/>
    <w:pPr>
      <w:widowControl w:val="off"/>
    </w:pPr>
    <w:rPr>
      <w:rFonts w:ascii="Calibri" w:hAnsi="Calibri"/>
      <w:sz w:val="22"/>
      <w:szCs w:val="22"/>
      <w:lang w:val="en-US" w:eastAsia="en-US" w:bidi="ar-SA"/>
    </w:rPr>
    <w:tblPr/>
  </w:style>
  <w:style w:type="paragraph" w:styleId="1254">
    <w:name w:val="Table Paragraph"/>
    <w:basedOn w:val="1004"/>
    <w:next w:val="1254"/>
    <w:link w:val="1004"/>
    <w:uiPriority w:val="1"/>
    <w:qFormat/>
    <w:pPr>
      <w:jc w:val="left"/>
    </w:pPr>
    <w:rPr>
      <w:rFonts w:ascii="宋体" w:hAnsi="宋体" w:cs="宋体"/>
      <w:sz w:val="22"/>
      <w:szCs w:val="22"/>
      <w:lang w:eastAsia="en-US"/>
    </w:rPr>
  </w:style>
  <w:style w:type="paragraph" w:styleId="1255">
    <w:name w:val="成文日期"/>
    <w:basedOn w:val="1004"/>
    <w:next w:val="1255"/>
    <w:link w:val="1256"/>
    <w:qFormat/>
    <w:pPr>
      <w:ind w:right="400" w:firstLine="200"/>
      <w:jc w:val="right"/>
      <w:spacing w:line="570" w:lineRule="exact"/>
    </w:pPr>
    <w:rPr>
      <w:rFonts w:ascii="仿宋_GB2312" w:eastAsia="仿宋_GB2312"/>
      <w:sz w:val="32"/>
      <w:szCs w:val="20"/>
    </w:rPr>
  </w:style>
  <w:style w:type="character" w:styleId="1256">
    <w:name w:val="成文日期 Char"/>
    <w:next w:val="1256"/>
    <w:link w:val="1255"/>
    <w:rPr>
      <w:rFonts w:ascii="仿宋_GB2312" w:eastAsia="仿宋_GB2312"/>
      <w:sz w:val="32"/>
    </w:rPr>
  </w:style>
  <w:style w:type="paragraph" w:styleId="1257">
    <w:name w:val="修订"/>
    <w:next w:val="1257"/>
    <w:link w:val="1004"/>
    <w:uiPriority w:val="99"/>
    <w:unhideWhenUsed/>
    <w:rPr>
      <w:sz w:val="21"/>
      <w:szCs w:val="24"/>
      <w:lang w:val="en-US" w:eastAsia="zh-CN" w:bidi="ar-SA"/>
    </w:rPr>
  </w:style>
  <w:style w:type="paragraph" w:styleId="1258">
    <w:name w:val="段"/>
    <w:next w:val="1004"/>
    <w:link w:val="1004"/>
    <w:qFormat/>
    <w:pPr>
      <w:ind w:firstLine="200"/>
      <w:jc w:val="both"/>
      <w:spacing w:line="360" w:lineRule="auto"/>
    </w:pPr>
    <w:rPr>
      <w:rFonts w:ascii="宋体"/>
      <w:sz w:val="24"/>
      <w:szCs w:val="22"/>
      <w:lang w:val="en-US" w:eastAsia="zh-CN" w:bidi="ar-SA"/>
    </w:rPr>
  </w:style>
  <w:style w:type="paragraph" w:styleId="1259">
    <w:name w:val="表号"/>
    <w:basedOn w:val="1004"/>
    <w:next w:val="1259"/>
    <w:link w:val="1260"/>
    <w:qFormat/>
    <w:pPr>
      <w:numPr>
        <w:ilvl w:val="0"/>
        <w:numId w:val="8"/>
      </w:numPr>
      <w:jc w:val="center"/>
      <w:spacing w:line="360" w:lineRule="auto"/>
      <w:widowControl/>
      <w:tabs>
        <w:tab w:val="left" w:pos="0" w:leader="none"/>
      </w:tabs>
    </w:pPr>
    <w:rPr>
      <w:sz w:val="24"/>
      <w:szCs w:val="20"/>
    </w:rPr>
  </w:style>
  <w:style w:type="character" w:styleId="1260">
    <w:name w:val="表号 Char Char"/>
    <w:next w:val="1260"/>
    <w:link w:val="1259"/>
    <w:rPr>
      <w:sz w:val="24"/>
    </w:rPr>
  </w:style>
  <w:style w:type="character" w:styleId="1261">
    <w:name w:val="正文格式 Char1"/>
    <w:next w:val="1261"/>
    <w:link w:val="1004"/>
    <w:qFormat/>
    <w:rPr>
      <w:rFonts w:eastAsia="宋体"/>
      <w:sz w:val="24"/>
      <w:lang w:val="en-US" w:eastAsia="zh-CN" w:bidi="ar-SA"/>
    </w:rPr>
  </w:style>
  <w:style w:type="paragraph" w:styleId="1262">
    <w:name w:val="并列项-点"/>
    <w:basedOn w:val="1004"/>
    <w:next w:val="1262"/>
    <w:link w:val="1263"/>
    <w:qFormat/>
    <w:pPr>
      <w:numPr>
        <w:ilvl w:val="0"/>
        <w:numId w:val="9"/>
      </w:numPr>
      <w:spacing w:line="360" w:lineRule="auto"/>
      <w:widowControl/>
      <w:tabs>
        <w:tab w:val="left" w:pos="851" w:leader="none"/>
        <w:tab w:val="left" w:pos="927" w:leader="none"/>
      </w:tabs>
    </w:pPr>
    <w:rPr>
      <w:sz w:val="24"/>
      <w:szCs w:val="20"/>
    </w:rPr>
  </w:style>
  <w:style w:type="character" w:styleId="1263">
    <w:name w:val="并列项-点 Char"/>
    <w:next w:val="1263"/>
    <w:link w:val="1262"/>
    <w:rPr>
      <w:sz w:val="24"/>
    </w:rPr>
  </w:style>
  <w:style w:type="paragraph" w:styleId="1264">
    <w:name w:val="普通(网站)1"/>
    <w:basedOn w:val="1004"/>
    <w:next w:val="1264"/>
    <w:link w:val="1004"/>
    <w:uiPriority w:val="99"/>
    <w:qFormat/>
    <w:pPr>
      <w:jc w:val="left"/>
      <w:spacing w:before="100" w:beforeAutospacing="1" w:after="100" w:afterAutospacing="1"/>
      <w:widowControl/>
    </w:pPr>
    <w:rPr>
      <w:rFonts w:ascii="宋体" w:hAnsi="宋体" w:cs="宋体"/>
      <w:sz w:val="24"/>
    </w:rPr>
  </w:style>
  <w:style w:type="character" w:styleId="1265">
    <w:name w:val="15"/>
    <w:next w:val="1265"/>
    <w:link w:val="1004"/>
    <w:qFormat/>
    <w:rPr>
      <w:rFonts w:ascii="Calibri" w:hAnsi="Calibri" w:eastAsia="宋体" w:cs="Times New Roman"/>
      <w:sz w:val="21"/>
      <w:szCs w:val="22"/>
      <w:lang w:val="en-US" w:eastAsia="zh-CN" w:bidi="ar-SA"/>
    </w:rPr>
  </w:style>
  <w:style w:type="paragraph" w:styleId="1266">
    <w:name w:val="AONormal"/>
    <w:next w:val="1266"/>
    <w:link w:val="1004"/>
    <w:qFormat/>
    <w:pPr>
      <w:ind w:firstLine="440"/>
      <w:spacing w:line="400" w:lineRule="exact"/>
    </w:pPr>
    <w:rPr>
      <w:rFonts w:ascii="华文楷体" w:hAnsi="华文楷体" w:eastAsia="华文楷体" w:cs="华文楷体"/>
      <w:sz w:val="22"/>
      <w:szCs w:val="21"/>
      <w:lang w:val="en-US" w:eastAsia="zh-CN" w:bidi="ar-SA"/>
    </w:rPr>
  </w:style>
  <w:style w:type="paragraph" w:styleId="1267">
    <w:name w:val="null3"/>
    <w:next w:val="1267"/>
    <w:link w:val="1004"/>
    <w:qFormat/>
    <w:rPr>
      <w:rFonts w:ascii="Calibri" w:hAnsi="Calibri"/>
      <w:lang w:val="en-US" w:eastAsia="zh-CN" w:bidi="ar-SA"/>
    </w:rPr>
  </w:style>
  <w:style w:type="paragraph" w:styleId="1268">
    <w:name w:val="标题3"/>
    <w:basedOn w:val="1004"/>
    <w:next w:val="1004"/>
    <w:link w:val="1004"/>
    <w:pPr>
      <w:ind w:firstLine="624"/>
      <w:spacing w:line="590" w:lineRule="atLeast"/>
    </w:pPr>
    <w:rPr>
      <w:rFonts w:ascii="方正黑体_GBK" w:eastAsia="方正黑体_GBK"/>
      <w:sz w:val="32"/>
      <w:szCs w:val="32"/>
    </w:rPr>
  </w:style>
  <w:style w:type="paragraph" w:styleId="1269">
    <w:name w:val="纯文本11"/>
    <w:basedOn w:val="1004"/>
    <w:next w:val="1269"/>
    <w:link w:val="1004"/>
    <w:uiPriority w:val="99"/>
    <w:qFormat/>
    <w:rPr>
      <w:rFonts w:hint="eastAsia" w:ascii="宋体" w:hAnsi="Courier New"/>
      <w:szCs w:val="20"/>
    </w:rPr>
  </w:style>
  <w:style w:type="paragraph" w:styleId="1270">
    <w:name w:val="标题 21"/>
    <w:basedOn w:val="1004"/>
    <w:next w:val="1271"/>
    <w:link w:val="1004"/>
    <w:qFormat/>
    <w:pPr>
      <w:jc w:val="center"/>
      <w:keepLines/>
      <w:keepNext/>
      <w:spacing w:before="120" w:line="300" w:lineRule="auto"/>
      <w:outlineLvl w:val="1"/>
    </w:pPr>
    <w:rPr>
      <w:rFonts w:ascii="Arial" w:hAnsi="Arial" w:eastAsia="黑体"/>
      <w:b/>
      <w:sz w:val="30"/>
      <w:szCs w:val="20"/>
    </w:rPr>
  </w:style>
  <w:style w:type="paragraph" w:styleId="1271">
    <w:name w:val="正文缩进11"/>
    <w:basedOn w:val="1004"/>
    <w:next w:val="1271"/>
    <w:link w:val="1004"/>
    <w:uiPriority w:val="99"/>
    <w:qFormat/>
    <w:pPr>
      <w:ind w:firstLine="420"/>
      <w:jc w:val="left"/>
    </w:pPr>
    <w:rPr>
      <w:rFonts w:ascii="宋体"/>
      <w:sz w:val="24"/>
    </w:rPr>
  </w:style>
  <w:style w:type="paragraph" w:styleId="1272">
    <w:name w:val="样式"/>
    <w:next w:val="1272"/>
    <w:link w:val="1004"/>
    <w:qFormat/>
    <w:pPr>
      <w:widowControl w:val="off"/>
    </w:pPr>
    <w:rPr>
      <w:rFonts w:ascii="Calibri" w:hAnsi="Calibri"/>
      <w:sz w:val="24"/>
      <w:szCs w:val="24"/>
      <w:lang w:val="en-US" w:eastAsia="zh-CN" w:bidi="ar-SA"/>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4</cp:revision>
  <dcterms:created xsi:type="dcterms:W3CDTF">2024-01-19T05:48:00Z</dcterms:created>
  <dcterms:modified xsi:type="dcterms:W3CDTF">2026-05-27T07:48:15Z</dcterms:modified>
</cp:coreProperties>
</file>