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rPr>
      </w:pPr>
      <w:r>
        <w:rPr>
          <w:rFonts w:hint="eastAsia" w:eastAsia="黑体"/>
          <w:b/>
          <w:bCs/>
          <w:sz w:val="84"/>
        </w:rPr>
      </w:r>
      <w:r/>
    </w:p>
    <w:p>
      <w:pPr>
        <w:pStyle w:val="97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3"/>
        <w:ind w:firstLine="2249"/>
        <w:rPr>
          <w:rFonts w:hint="eastAsia"/>
          <w:b/>
          <w:bCs/>
          <w:sz w:val="32"/>
        </w:rPr>
      </w:pPr>
      <w:r>
        <w:rPr>
          <w:rFonts w:hint="eastAsia"/>
          <w:b/>
          <w:bCs/>
          <w:sz w:val="32"/>
        </w:rPr>
        <w:t xml:space="preserve">项目名称：省大数据中心短信平台服务</w:t>
      </w:r>
      <w:r>
        <w:rPr>
          <w:rFonts w:hint="eastAsia"/>
          <w:b/>
          <w:bCs/>
          <w:sz w:val="32"/>
        </w:rPr>
      </w:r>
      <w:r/>
    </w:p>
    <w:p>
      <w:pPr>
        <w:pStyle w:val="889"/>
        <w:ind w:left="2100" w:firstLine="161"/>
        <w:rPr>
          <w:b/>
          <w:sz w:val="30"/>
          <w:szCs w:val="30"/>
        </w:rPr>
      </w:pPr>
      <w:r>
        <w:rPr>
          <w:rFonts w:hint="eastAsia"/>
          <w:b/>
          <w:bCs/>
          <w:sz w:val="32"/>
          <w:lang w:eastAsia="zh-CN"/>
        </w:rPr>
        <w:t xml:space="preserve">采购编号</w:t>
      </w:r>
      <w:r>
        <w:rPr>
          <w:rFonts w:hint="eastAsia"/>
          <w:b/>
          <w:bCs/>
          <w:sz w:val="32"/>
        </w:rPr>
        <w:t xml:space="preserve">：</w:t>
      </w:r>
      <w:r>
        <w:rPr>
          <w:rFonts w:hint="eastAsia" w:ascii="Arial" w:hAnsi="Arial"/>
          <w:b/>
          <w:bCs/>
          <w:sz w:val="32"/>
          <w:szCs w:val="24"/>
        </w:rPr>
        <w:t xml:space="preserve">JSZC-320000-SCZX-G2026-0156</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89"/>
        <w:ind w:left="2811" w:hanging="2811"/>
        <w:jc w:val="center"/>
        <w:rPr>
          <w:rFonts w:hint="eastAsia"/>
          <w:b/>
          <w:color w:val="ff0000"/>
          <w:sz w:val="28"/>
          <w:szCs w:val="28"/>
        </w:rPr>
      </w:pPr>
      <w:r>
        <w:rPr>
          <w:rFonts w:hint="eastAsia"/>
          <w:b/>
          <w:color w:val="ff0000"/>
          <w:sz w:val="28"/>
          <w:szCs w:val="28"/>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3"/>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rPr>
          <w:rFonts w:hint="eastAsia"/>
          <w:b/>
          <w:bCs/>
          <w:sz w:val="32"/>
        </w:rPr>
      </w:r>
      <w:r/>
    </w:p>
    <w:p>
      <w:pPr>
        <w:pStyle w:val="973"/>
        <w:ind w:firstLine="0"/>
        <w:rPr>
          <w:rFonts w:hint="eastAsia"/>
          <w:u w:val="single"/>
        </w:rPr>
      </w:pPr>
      <w:r>
        <w:rPr>
          <w:rFonts w:hint="eastAsia"/>
        </w:rPr>
        <w:t xml:space="preserve">                        </w:t>
      </w:r>
      <w:r>
        <w:rPr>
          <w:rFonts w:hint="eastAsia"/>
          <w:u w:val="single"/>
        </w:rPr>
      </w:r>
      <w:r/>
    </w:p>
    <w:p>
      <w:pPr>
        <w:pStyle w:val="973"/>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………………………35</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………………………………42</w:t>
      </w:r>
      <w:r>
        <w:rPr>
          <w:rFonts w:hint="eastAsia" w:ascii="黑体" w:hAnsi="Showcard Gothic" w:eastAsia="黑体"/>
          <w:sz w:val="36"/>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rPr>
        <w:t xml:space="preserve">江苏</w:t>
      </w:r>
      <w:r>
        <w:rPr>
          <w:rFonts w:hint="eastAsia" w:ascii="宋体" w:hAnsi="宋体"/>
          <w:sz w:val="24"/>
          <w:szCs w:val="24"/>
        </w:rPr>
        <w:t xml:space="preserve">省大数据中心的委托，江苏省政府采购中心就省大数据中心短信平台服务(JSZC-320000-SCZX-G2026-0156)项目进行公开招标采购，欢迎符合条件的供应商投标。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省大数据中心短信平台服务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 </w:t>
      </w:r>
      <w:r>
        <w:rPr>
          <w:rFonts w:hint="eastAsia" w:ascii="宋体" w:hAnsi="宋体"/>
          <w:bCs/>
          <w:sz w:val="24"/>
          <w:szCs w:val="24"/>
          <w:u w:val="single"/>
        </w:rPr>
        <w:t xml:space="preserve">年5  月19  日9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JSZC-320000-SCZX-G2026-0156  </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2.项目名称：省大数据中心短信平台服务</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eastAsia="宋体"/>
                <w:lang w:val="en-US" w:eastAsia="zh-CN"/>
              </w:rPr>
            </w:pPr>
            <w:r>
              <w:rPr>
                <w:rFonts w:hint="eastAsia" w:ascii="宋体" w:hAnsi="宋体"/>
                <w:lang w:val="en-US" w:eastAsia="zh-CN"/>
              </w:rPr>
              <w:t xml:space="preserve">535</w:t>
            </w:r>
            <w:r>
              <w:rPr>
                <w:rFonts w:ascii="宋体" w:hAnsi="宋体" w:eastAsia="宋体"/>
                <w:lang w:val="en-US" w:eastAsia="zh-CN"/>
              </w:rPr>
            </w:r>
            <w:r/>
          </w:p>
        </w:tc>
      </w:tr>
    </w:tbl>
    <w:p>
      <w:pPr>
        <w:pStyle w:val="889"/>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89"/>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535</w:t>
            </w:r>
            <w:r>
              <w:rPr>
                <w:rFonts w:ascii="方正魏碑_GBK" w:hAnsi="方正魏碑_GBK" w:eastAsia="方正魏碑_GBK" w:cs="方正魏碑_GBK"/>
                <w:color w:val="000000"/>
                <w:sz w:val="24"/>
                <w:szCs w:val="24"/>
                <w:lang w:val="en-US" w:eastAsia="zh-CN"/>
              </w:rPr>
            </w:r>
            <w:r/>
          </w:p>
        </w:tc>
      </w:tr>
    </w:tbl>
    <w:p>
      <w:pPr>
        <w:pStyle w:val="889"/>
        <w:ind w:firstLine="480"/>
        <w:spacing w:line="400" w:lineRule="exact"/>
        <w:rPr>
          <w:rFonts w:ascii="宋体" w:hAnsi="宋体"/>
          <w:sz w:val="24"/>
          <w:szCs w:val="24"/>
          <w:u w:val="single"/>
        </w:rPr>
      </w:pPr>
      <w:r>
        <w:rPr>
          <w:rFonts w:hint="eastAsia" w:ascii="宋体" w:hAnsi="宋体"/>
          <w:sz w:val="24"/>
          <w:szCs w:val="24"/>
        </w:rPr>
        <w:t xml:space="preserve">5.采购需求（简介）：短信平台服务对外提供各类短信验证码、消息、政务通知等发送功能，满足第三方应用接入、基础服务管理的需求，支撑短信单发、短信群发、内容审核、定时发送、短信状态接收等场景，提供符合国家信息安全标准的接口、接入管理、网关配置等。短信平台服务应采用高可用设计，支持电信、移动、联通、广电等运营商号码的短信发送。</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6.合同履行期限：合同签订之日起一年</w:t>
      </w:r>
      <w:r>
        <w:rPr>
          <w:rFonts w:ascii="宋体" w:hAnsi="宋体"/>
          <w:sz w:val="24"/>
          <w:szCs w:val="24"/>
          <w:u w:val="single"/>
        </w:rPr>
      </w:r>
      <w:r/>
    </w:p>
    <w:p>
      <w:pPr>
        <w:pStyle w:val="892"/>
        <w:ind w:firstLine="498"/>
        <w:spacing w:before="145" w:after="145" w:line="400" w:lineRule="exact"/>
      </w:pPr>
      <w:r/>
      <w:bookmarkStart w:id="12" w:name="_Toc35393622"/>
      <w:r/>
      <w:bookmarkStart w:id="13" w:name="_Toc28359080"/>
      <w:r/>
      <w:bookmarkStart w:id="14" w:name="_Toc38985264"/>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highlight w:val="none"/>
        </w:rPr>
      </w:pPr>
      <w:r>
        <w:rPr>
          <w:rFonts w:hint="eastAsia" w:ascii="宋体" w:hAnsi="宋体"/>
          <w:sz w:val="24"/>
          <w:szCs w:val="24"/>
        </w:rPr>
        <w:t xml:space="preserve">1.1 法人或者其他组织的营业执照等证明文件，自然人的身份</w:t>
      </w:r>
      <w:r>
        <w:rPr>
          <w:rFonts w:hint="eastAsia" w:ascii="宋体" w:hAnsi="宋体"/>
          <w:sz w:val="24"/>
          <w:szCs w:val="24"/>
          <w:highlight w:val="none"/>
        </w:rPr>
        <w:t xml:space="preserve">证明</w:t>
      </w:r>
      <w:r>
        <w:rPr>
          <w:rFonts w:hint="eastAsia" w:ascii="宋体" w:hAnsi="宋体"/>
          <w:sz w:val="24"/>
          <w:szCs w:val="24"/>
          <w:highlight w:val="none"/>
          <w:lang w:eastAsia="zh-CN"/>
        </w:rPr>
        <w:t xml:space="preserve">，总公司的分支机构可在总公司授权后参与</w:t>
      </w:r>
      <w:r>
        <w:rPr>
          <w:rFonts w:hint="eastAsia" w:ascii="宋体" w:hAnsi="宋体"/>
          <w:sz w:val="24"/>
          <w:szCs w:val="24"/>
          <w:highlight w:val="none"/>
        </w:rPr>
        <w:t xml:space="preserve">；</w:t>
      </w:r>
      <w:r>
        <w:rPr>
          <w:rFonts w:ascii="宋体" w:hAnsi="宋体"/>
          <w:sz w:val="24"/>
          <w:szCs w:val="24"/>
          <w:highlight w:val="none"/>
        </w:rPr>
      </w:r>
      <w:r/>
    </w:p>
    <w:p>
      <w:pPr>
        <w:pStyle w:val="88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rHeight w:val="435"/>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9"/>
              <w:jc w:val="center"/>
              <w:spacing w:line="400" w:lineRule="exact"/>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2968" w:type="dxa"/>
            <w:vAlign w:val="top"/>
            <w:textDirection w:val="lrTb"/>
            <w:noWrap w:val="false"/>
          </w:tcPr>
          <w:p>
            <w:pPr>
              <w:pStyle w:val="889"/>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9"/>
              <w:jc w:val="center"/>
              <w:spacing w:line="400" w:lineRule="exact"/>
              <w:rPr>
                <w:rFonts w:ascii="宋体" w:hAnsi="宋体"/>
              </w:rPr>
            </w:pPr>
            <w:r>
              <w:rPr>
                <w:rFonts w:hint="eastAsia" w:ascii="宋体" w:hAnsi="宋体"/>
              </w:rPr>
              <w:t xml:space="preserve">/</w:t>
            </w:r>
            <w:r>
              <w:rPr>
                <w:rFonts w:ascii="宋体" w:hAnsi="宋体"/>
              </w:rPr>
            </w:r>
            <w:r/>
          </w:p>
        </w:tc>
      </w:tr>
    </w:tbl>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  2026  年 5 月 19 日   9 点  30  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38985267"/>
      <w:r/>
      <w:bookmarkStart w:id="28" w:name="_Toc35393625"/>
      <w:r/>
      <w:bookmarkStart w:id="29" w:name="_Toc28359007"/>
      <w:r/>
      <w:bookmarkStart w:id="30" w:name="_Toc35393794"/>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28359008"/>
      <w:r/>
      <w:bookmarkStart w:id="36" w:name="_Toc35393796"/>
      <w:r/>
      <w:bookmarkStart w:id="37" w:name="_Toc38985269"/>
      <w:r/>
      <w:bookmarkStart w:id="38" w:name="_Toc35393627"/>
      <w:r/>
      <w:bookmarkStart w:id="39" w:name="_Toc28359085"/>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p>
    <w:p>
      <w:pPr>
        <w:pStyle w:val="889"/>
        <w:ind w:left="0" w:right="0" w:firstLine="720"/>
        <w:jc w:val="left"/>
        <w:keepLines w:val="0"/>
        <w:keepNext w:val="0"/>
        <w:spacing w:before="0" w:beforeAutospacing="0" w:after="0" w:afterAutospacing="0" w:line="400" w:lineRule="exact"/>
        <w:widowControl w:val="off"/>
        <w:rPr>
          <w:rFonts w:hint="eastAsia" w:ascii="宋体" w:hAnsi="宋体" w:eastAsia="宋体" w:cs="宋体"/>
          <w:sz w:val="24"/>
          <w:szCs w:val="24"/>
          <w:highlight w:val="none"/>
          <w:u w:val="single"/>
          <w:lang w:val="en-US"/>
        </w:rPr>
        <w:suppressLineNumbers w:val="0"/>
      </w:pPr>
      <w:r/>
      <w:bookmarkStart w:id="40" w:name="_Toc28359086"/>
      <w:r/>
      <w:bookmarkStart w:id="41" w:name="_Toc28359009"/>
      <w:r>
        <w:rPr>
          <w:rFonts w:hint="eastAsia" w:ascii="宋体" w:hAnsi="宋体" w:eastAsia="宋体" w:cs="宋体"/>
          <w:sz w:val="24"/>
          <w:szCs w:val="24"/>
          <w:highlight w:val="none"/>
          <w:lang w:val="en-US" w:eastAsia="zh-CN" w:bidi="ar"/>
        </w:rPr>
        <w:t xml:space="preserve">名  称：</w:t>
      </w:r>
      <w:r>
        <w:rPr>
          <w:rFonts w:hint="eastAsia" w:ascii="宋体" w:hAnsi="宋体" w:eastAsia="宋体" w:cs="宋体"/>
          <w:sz w:val="24"/>
          <w:szCs w:val="24"/>
          <w:highlight w:val="none"/>
          <w:u w:val="single"/>
          <w:lang w:val="en-US" w:eastAsia="zh-CN" w:bidi="ar"/>
        </w:rPr>
        <w:t xml:space="preserve">江苏省大数据管理中心</w:t>
      </w:r>
      <w:r>
        <w:rPr>
          <w:rFonts w:hint="eastAsia" w:ascii="宋体" w:hAnsi="宋体" w:eastAsia="宋体" w:cs="宋体"/>
          <w:sz w:val="24"/>
          <w:szCs w:val="24"/>
          <w:highlight w:val="none"/>
          <w:u w:val="single"/>
          <w:lang w:val="en-US"/>
        </w:rPr>
      </w:r>
      <w:r/>
    </w:p>
    <w:p>
      <w:pPr>
        <w:pStyle w:val="889"/>
        <w:ind w:left="0" w:right="0" w:firstLine="720"/>
        <w:jc w:val="left"/>
        <w:keepLines w:val="0"/>
        <w:keepNext w:val="0"/>
        <w:spacing w:before="0" w:beforeAutospacing="0" w:after="0" w:afterAutospacing="0" w:line="400" w:lineRule="exact"/>
        <w:widowControl w:val="off"/>
        <w:rPr>
          <w:rFonts w:hint="eastAsia" w:ascii="宋体" w:hAnsi="宋体" w:eastAsia="宋体" w:cs="宋体"/>
          <w:sz w:val="24"/>
          <w:szCs w:val="24"/>
          <w:highlight w:val="none"/>
          <w:u w:val="single"/>
          <w:lang w:val="en-US"/>
        </w:rPr>
        <w:suppressLineNumbers w:val="0"/>
      </w:pPr>
      <w:r>
        <w:rPr>
          <w:rFonts w:hint="eastAsia" w:ascii="宋体" w:hAnsi="宋体" w:eastAsia="宋体" w:cs="宋体"/>
          <w:sz w:val="24"/>
          <w:szCs w:val="24"/>
          <w:highlight w:val="none"/>
          <w:lang w:val="en-US" w:eastAsia="zh-CN" w:bidi="ar"/>
        </w:rPr>
        <w:t xml:space="preserve">地  址：</w:t>
      </w:r>
      <w:r>
        <w:rPr>
          <w:rFonts w:hint="eastAsia" w:ascii="宋体" w:hAnsi="宋体" w:eastAsia="宋体" w:cs="宋体"/>
          <w:sz w:val="24"/>
          <w:szCs w:val="24"/>
          <w:highlight w:val="none"/>
          <w:u w:val="single"/>
          <w:lang w:val="en-US" w:eastAsia="zh-CN" w:bidi="ar"/>
        </w:rPr>
        <w:t xml:space="preserve">南京市建邺区汉中门大街145号 </w:t>
      </w:r>
      <w:r>
        <w:rPr>
          <w:rFonts w:hint="eastAsia" w:ascii="宋体" w:hAnsi="宋体" w:eastAsia="宋体" w:cs="宋体"/>
          <w:sz w:val="24"/>
          <w:szCs w:val="24"/>
          <w:highlight w:val="none"/>
          <w:u w:val="single"/>
          <w:lang w:val="en-US"/>
        </w:rPr>
      </w:r>
      <w:r/>
    </w:p>
    <w:p>
      <w:pPr>
        <w:pStyle w:val="889"/>
        <w:ind w:left="0" w:right="0" w:firstLine="720"/>
        <w:jc w:val="left"/>
        <w:keepLines w:val="0"/>
        <w:keepNext w:val="0"/>
        <w:spacing w:before="0"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联系人：  </w:t>
      </w:r>
      <w:r>
        <w:rPr>
          <w:rFonts w:hint="eastAsia" w:ascii="宋体" w:hAnsi="宋体" w:eastAsia="宋体" w:cs="宋体"/>
          <w:sz w:val="24"/>
          <w:szCs w:val="24"/>
          <w:highlight w:val="none"/>
          <w:u w:val="single"/>
          <w:lang w:val="en-US" w:eastAsia="zh-CN" w:bidi="ar"/>
        </w:rPr>
        <w:t xml:space="preserve">丁    浩     </w:t>
      </w:r>
      <w:r>
        <w:rPr>
          <w:rFonts w:hint="eastAsia" w:ascii="宋体" w:hAnsi="宋体" w:eastAsia="宋体" w:cs="宋体"/>
          <w:sz w:val="24"/>
          <w:szCs w:val="24"/>
          <w:highlight w:val="none"/>
          <w:lang w:val="en-US"/>
        </w:rPr>
      </w:r>
      <w:r/>
    </w:p>
    <w:p>
      <w:pPr>
        <w:pStyle w:val="889"/>
        <w:ind w:left="0" w:right="0" w:firstLine="720"/>
        <w:jc w:val="left"/>
        <w:keepLines w:val="0"/>
        <w:keepNext w:val="0"/>
        <w:spacing w:before="0"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联系方式：</w:t>
      </w:r>
      <w:r>
        <w:rPr>
          <w:rFonts w:hint="eastAsia" w:ascii="宋体" w:hAnsi="宋体" w:eastAsia="宋体" w:cs="宋体"/>
          <w:sz w:val="24"/>
          <w:szCs w:val="24"/>
          <w:highlight w:val="none"/>
          <w:u w:val="single"/>
          <w:lang w:val="en-US" w:eastAsia="zh-CN" w:bidi="ar"/>
        </w:rPr>
        <w:t xml:space="preserve">02583660732</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val="en-US"/>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480"/>
        <w:jc w:val="left"/>
        <w:spacing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89"/>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89"/>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2"/>
        <w:ind w:firstLine="498"/>
        <w:spacing w:before="145" w:after="145" w:line="400" w:lineRule="exact"/>
      </w:pPr>
      <w:r/>
      <w:bookmarkEnd w:id="42"/>
      <w:r/>
      <w:bookmarkEnd w:id="43"/>
      <w:r>
        <w:rPr>
          <w:rFonts w:hint="eastAsia"/>
        </w:rPr>
        <w:t xml:space="preserve">八、其他</w:t>
      </w:r>
      <w:r/>
    </w:p>
    <w:p>
      <w:pPr>
        <w:pStyle w:val="889"/>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rPr>
        <w:t xml:space="preserve">。</w:t>
      </w:r>
      <w:r>
        <w:rPr>
          <w:rFonts w:ascii="宋体" w:hAnsi="宋体"/>
          <w:bCs/>
          <w:sz w:val="24"/>
          <w:szCs w:val="24"/>
        </w:rPr>
      </w:r>
      <w:r/>
    </w:p>
    <w:p>
      <w:pPr>
        <w:pStyle w:val="88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8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3"/>
        <w:ind w:firstLine="422"/>
        <w:spacing w:before="0" w:after="0" w:line="400" w:lineRule="exact"/>
        <w:rPr>
          <w:rFonts w:hint="eastAsia" w:ascii="Arial" w:hAnsi="Arial" w:cs="Arial"/>
          <w:b/>
          <w:bCs/>
          <w:lang w:eastAsia="zh-CN"/>
        </w:rPr>
      </w:pPr>
      <w:r/>
      <w:bookmarkStart w:id="61" w:name="_Toc513029206"/>
      <w:r/>
      <w:bookmarkStart w:id="62" w:name="_Toc16938522"/>
      <w:r/>
      <w:bookmarkStart w:id="63" w:name="_Toc20823278"/>
      <w:r>
        <w:rPr>
          <w:rFonts w:hint="eastAsia" w:ascii="Arial" w:hAnsi="Arial" w:cs="Arial"/>
          <w:b/>
          <w:bCs/>
        </w:rPr>
        <w:t xml:space="preserve">3、适用法律</w:t>
      </w:r>
      <w:bookmarkEnd w:id="61"/>
      <w:r/>
      <w:bookmarkEnd w:id="62"/>
      <w:r/>
      <w:bookmarkEnd w:id="63"/>
      <w:r>
        <w:rPr>
          <w:rFonts w:hint="eastAsia" w:ascii="Arial" w:hAnsi="Arial" w:cs="Arial"/>
          <w:b/>
          <w:bCs/>
          <w:lang w:eastAsia="zh-CN"/>
        </w:rPr>
        <w:t xml:space="preserve">和标准</w:t>
      </w:r>
      <w:r>
        <w:rPr>
          <w:rFonts w:hint="eastAsia" w:ascii="Arial" w:hAnsi="Arial" w:cs="Arial"/>
          <w:b/>
          <w:bCs/>
          <w:lang w:eastAsia="zh-CN"/>
        </w:rPr>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9"/>
        <w:ind w:firstLine="420"/>
        <w:spacing w:line="400" w:lineRule="exact"/>
        <w:rPr>
          <w:rFonts w:hint="eastAsia" w:ascii="宋体" w:hAnsi="宋体" w:eastAsia="宋体" w:cs="Times New Roman"/>
          <w:sz w:val="24"/>
          <w:lang w:val="en-US" w:eastAsia="zh-CN"/>
        </w:rPr>
      </w:pPr>
      <w:r/>
      <w:bookmarkStart w:id="64" w:name="_Toc20823279"/>
      <w:r/>
      <w:bookmarkStart w:id="65" w:name="_Toc513029207"/>
      <w:r/>
      <w:bookmarkStart w:id="66" w:name="_Toc462564067"/>
      <w:r/>
      <w:bookmarkStart w:id="67" w:name="_Toc16938523"/>
      <w:r>
        <w:rPr>
          <w:rFonts w:hint="eastAsia" w:ascii="宋体" w:hAnsi="宋体" w:eastAsia="宋体" w:cs="Times New Roman"/>
          <w:sz w:val="24"/>
          <w:lang w:val="en-US" w:eastAsia="zh-CN"/>
        </w:rPr>
        <w:t xml:space="preserve">3.2 在本项目政府采购活动过程中，如果所执行的标准有更新的，按照最新标准执行。</w:t>
      </w:r>
      <w:r>
        <w:rPr>
          <w:rFonts w:hint="eastAsia" w:ascii="宋体" w:hAnsi="宋体" w:eastAsia="宋体" w:cs="Times New Roman"/>
          <w:sz w:val="24"/>
          <w:lang w:val="en-US" w:eastAsia="zh-CN"/>
        </w:rPr>
      </w:r>
      <w:r/>
    </w:p>
    <w:p>
      <w:pPr>
        <w:pStyle w:val="89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2"/>
        <w:ind w:firstLine="321"/>
        <w:spacing w:before="145" w:after="145" w:line="400" w:lineRule="exact"/>
        <w:rPr>
          <w:rFonts w:hint="eastAsia"/>
        </w:rPr>
      </w:pPr>
      <w:r/>
      <w:bookmarkStart w:id="68" w:name="_Toc120614215"/>
      <w:r/>
      <w:bookmarkStart w:id="69" w:name="_Toc16938525"/>
      <w:r/>
      <w:bookmarkStart w:id="70" w:name="_Toc513029209"/>
      <w:r/>
      <w:bookmarkStart w:id="71" w:name="_Toc20823281"/>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560"/>
        <w:spacing w:before="0" w:after="0" w:line="400" w:lineRule="exact"/>
        <w:rPr>
          <w:rFonts w:hint="eastAsia"/>
          <w:b w:val="0"/>
          <w:bCs w:val="0"/>
        </w:rPr>
      </w:pPr>
      <w:r/>
      <w:bookmarkStart w:id="75" w:name="_Toc20823284"/>
      <w:r/>
      <w:bookmarkStart w:id="76" w:name="_Toc513029212"/>
      <w:r/>
      <w:bookmarkStart w:id="77" w:name="_Toc462564071"/>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482"/>
        <w:spacing w:before="145" w:after="145" w:line="400" w:lineRule="exact"/>
        <w:rPr>
          <w:rFonts w:hint="eastAsia"/>
        </w:rPr>
      </w:pPr>
      <w:r/>
      <w:bookmarkStart w:id="79" w:name="_Toc20823285"/>
      <w:r/>
      <w:bookmarkStart w:id="80" w:name="_Toc120614216"/>
      <w:r/>
      <w:bookmarkStart w:id="81" w:name="_Toc16938529"/>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462564073"/>
      <w:r/>
      <w:bookmarkStart w:id="85" w:name="_Toc20823286"/>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00" w:lineRule="exact"/>
        <w:rPr>
          <w:rFonts w:hint="eastAsia"/>
          <w:b w:val="0"/>
          <w:bCs w:val="0"/>
        </w:rPr>
      </w:pPr>
      <w:r/>
      <w:bookmarkStart w:id="88" w:name="_Toc20823287"/>
      <w:r/>
      <w:bookmarkStart w:id="89" w:name="_Toc513029215"/>
      <w:r/>
      <w:bookmarkStart w:id="90" w:name="_Toc462564074"/>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3"/>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513029219"/>
      <w:r/>
      <w:bookmarkStart w:id="96" w:name="_Toc14577357"/>
      <w:r/>
      <w:bookmarkStart w:id="97" w:name="_Toc49090509"/>
      <w:r/>
      <w:bookmarkStart w:id="98" w:name="_Toc513029216"/>
      <w:r/>
      <w:bookmarkStart w:id="99" w:name="_Toc49090507"/>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670482"/>
      <w:r/>
      <w:bookmarkEnd w:id="106"/>
      <w:r/>
      <w:bookmarkStart w:id="107" w:name="_Hlt26670403"/>
      <w:r/>
      <w:bookmarkEnd w:id="107"/>
      <w:r/>
      <w:bookmarkStart w:id="108" w:name="_Hlt26954731"/>
      <w:r/>
      <w:bookmarkEnd w:id="108"/>
      <w:r/>
      <w:bookmarkStart w:id="109" w:name="_Hlt26954844"/>
      <w:r/>
      <w:bookmarkEnd w:id="109"/>
      <w:r/>
      <w:bookmarkStart w:id="110" w:name="_Hlt26954842"/>
      <w:r/>
      <w:bookmarkEnd w:id="110"/>
      <w:r/>
      <w:bookmarkStart w:id="111" w:name="_Hlt26954846"/>
      <w:r/>
      <w:bookmarkEnd w:id="111"/>
      <w:r/>
      <w:bookmarkStart w:id="112" w:name="_Hlt26670486"/>
      <w:r/>
      <w:bookmarkEnd w:id="112"/>
      <w:r/>
      <w:bookmarkStart w:id="113" w:name="_Hlt26670425"/>
      <w:r/>
      <w:bookmarkEnd w:id="113"/>
      <w:r/>
      <w:bookmarkStart w:id="114" w:name="_Hlt26668983"/>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9"/>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2"/>
        <w:ind w:firstLine="482"/>
        <w:spacing w:before="145" w:after="145" w:line="400" w:lineRule="exact"/>
        <w:rPr>
          <w:rFonts w:hint="eastAsia"/>
        </w:rPr>
      </w:pPr>
      <w:r/>
      <w:bookmarkStart w:id="123" w:name="_Hlt26954852"/>
      <w:r/>
      <w:bookmarkEnd w:id="123"/>
      <w:r/>
      <w:bookmarkStart w:id="124" w:name="_Hlt26954739"/>
      <w:r/>
      <w:bookmarkEnd w:id="124"/>
      <w:r/>
      <w:bookmarkStart w:id="125" w:name="_Toc16938540"/>
      <w:r/>
      <w:bookmarkStart w:id="126" w:name="_Toc20823296"/>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96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3"/>
        <w:ind w:firstLine="420"/>
        <w:spacing w:before="0" w:after="0" w:line="400" w:lineRule="exact"/>
        <w:rPr>
          <w:rFonts w:hint="eastAsia"/>
          <w:b w:val="0"/>
          <w:bCs w:val="0"/>
        </w:rPr>
      </w:pPr>
      <w:r/>
      <w:bookmarkStart w:id="136" w:name="_Toc20823299"/>
      <w:r/>
      <w:bookmarkStart w:id="137" w:name="_Toc16938543"/>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3"/>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2"/>
        <w:ind w:firstLine="482"/>
        <w:spacing w:before="145" w:after="145" w:line="400" w:lineRule="exact"/>
        <w:rPr>
          <w:rFonts w:hint="eastAsia"/>
        </w:rPr>
      </w:pPr>
      <w:r/>
      <w:bookmarkStart w:id="142" w:name="_Toc16938545"/>
      <w:r/>
      <w:bookmarkStart w:id="143" w:name="_Toc513029229"/>
      <w:r/>
      <w:bookmarkStart w:id="144" w:name="_Toc20823301"/>
      <w:r/>
      <w:bookmarkStart w:id="145" w:name="_Toc120614218"/>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16938546"/>
      <w:r/>
      <w:bookmarkStart w:id="147" w:name="_Toc513029230"/>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lang w:eastAsia="zh-CN"/>
        </w:rPr>
        <w:t xml:space="preserve">评标委员会</w:t>
      </w:r>
      <w:r>
        <w:rPr>
          <w:rFonts w:hint="eastAsia" w:ascii="宋体" w:hAnsi="宋体"/>
          <w:sz w:val="24"/>
          <w:szCs w:val="24"/>
        </w:rPr>
        <w:t xml:space="preserve">由采购人代表和有关技术、经济等方面的专家组成，且人员构成符合政府采购有关规定。</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lang w:eastAsia="zh-CN"/>
        </w:rPr>
        <w:t xml:space="preserve">评标委员会</w:t>
      </w:r>
      <w:r>
        <w:rPr>
          <w:rFonts w:hint="eastAsia" w:ascii="宋体" w:hAnsi="宋体"/>
          <w:sz w:val="24"/>
          <w:szCs w:val="24"/>
        </w:rPr>
        <w:t xml:space="preserve">独立工作，负责评审所有投标文件并确定中标侯选人。</w:t>
      </w:r>
      <w:r>
        <w:rPr>
          <w:rFonts w:hint="eastAsia" w:ascii="宋体" w:hAnsi="宋体"/>
          <w:sz w:val="24"/>
          <w:szCs w:val="24"/>
        </w:rPr>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w:t>
      </w:r>
      <w:r>
        <w:rPr>
          <w:rFonts w:hint="eastAsia" w:ascii="宋体" w:hAnsi="宋体"/>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23.3 接到</w:t>
      </w:r>
      <w:r>
        <w:rPr>
          <w:rFonts w:hint="eastAsia" w:ascii="宋体" w:hAnsi="宋体"/>
          <w:sz w:val="24"/>
          <w:szCs w:val="24"/>
          <w:lang w:eastAsia="zh-CN"/>
        </w:rPr>
        <w:t xml:space="preserve">评标委员会</w:t>
      </w:r>
      <w:r>
        <w:rPr>
          <w:rFonts w:hint="eastAsia" w:ascii="宋体" w:hAnsi="宋体"/>
          <w:sz w:val="24"/>
          <w:szCs w:val="24"/>
        </w:rPr>
        <w:t xml:space="preserve">澄清、说明和补正要求的投标人如未按规定做出澄清、说明和补正，其风险由投标人自行承担。</w:t>
      </w:r>
      <w:r>
        <w:rPr>
          <w:rFonts w:hint="eastAsia" w:ascii="宋体" w:hAnsi="宋体"/>
          <w:sz w:val="24"/>
          <w:szCs w:val="24"/>
        </w:rPr>
      </w:r>
      <w:r/>
    </w:p>
    <w:p>
      <w:pPr>
        <w:pStyle w:val="893"/>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w:t>
      </w:r>
      <w:r>
        <w:rPr>
          <w:rFonts w:hint="eastAsia" w:ascii="宋体" w:hAnsi="宋体"/>
          <w:bCs/>
          <w:sz w:val="24"/>
          <w:lang w:eastAsia="zh-CN"/>
        </w:rPr>
        <w:t xml:space="preserve">评标委员会</w:t>
      </w:r>
      <w:r>
        <w:rPr>
          <w:rFonts w:hint="eastAsia" w:ascii="宋体" w:hAnsi="宋体"/>
          <w:bCs/>
          <w:sz w:val="24"/>
        </w:rPr>
        <w:t xml:space="preserve">进行反馈。</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w:t>
      </w:r>
      <w:r>
        <w:rPr>
          <w:rFonts w:hint="eastAsia" w:ascii="宋体" w:hAnsi="宋体"/>
          <w:sz w:val="24"/>
          <w:lang w:eastAsia="zh-CN"/>
        </w:rPr>
        <w:t xml:space="preserve">评标委员会</w:t>
      </w:r>
      <w:r>
        <w:rPr>
          <w:rFonts w:hint="eastAsia" w:ascii="宋体" w:hAnsi="宋体"/>
          <w:sz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sz w:val="24"/>
          <w:lang w:eastAsia="zh-CN"/>
        </w:rPr>
        <w:t xml:space="preserve">评标委员会</w:t>
      </w:r>
      <w:r>
        <w:rPr>
          <w:rFonts w:hint="eastAsia" w:ascii="宋体" w:hAnsi="宋体"/>
          <w:sz w:val="24"/>
        </w:rPr>
        <w:t xml:space="preserve">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w:t>
      </w:r>
      <w:r>
        <w:rPr>
          <w:rFonts w:hint="eastAsia" w:ascii="宋体" w:hAnsi="宋体"/>
          <w:sz w:val="24"/>
          <w:lang w:eastAsia="zh-CN"/>
        </w:rPr>
        <w:t xml:space="preserve">评标委员会</w:t>
      </w:r>
      <w:r>
        <w:rPr>
          <w:rFonts w:hint="eastAsia" w:ascii="宋体" w:hAnsi="宋体"/>
          <w:sz w:val="24"/>
        </w:rPr>
        <w:t xml:space="preserve">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lang w:eastAsia="zh-CN"/>
        </w:rPr>
        <w:t xml:space="preserve">评标委员会</w:t>
      </w:r>
      <w:r>
        <w:rPr>
          <w:rFonts w:hint="eastAsia" w:ascii="宋体" w:hAnsi="宋体"/>
          <w:bCs/>
          <w:sz w:val="24"/>
        </w:rPr>
        <w:t xml:space="preserve">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lang w:eastAsia="zh-CN"/>
        </w:rPr>
        <w:t xml:space="preserve">评标委员会</w:t>
      </w:r>
      <w:r>
        <w:rPr>
          <w:rFonts w:hint="eastAsia" w:ascii="宋体" w:hAnsi="宋体"/>
          <w:bCs/>
          <w:sz w:val="24"/>
        </w:rPr>
        <w:t xml:space="preserve">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color w:val="000000"/>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w:t>
      </w:r>
      <w:r>
        <w:rPr>
          <w:rFonts w:hint="eastAsia" w:ascii="宋体" w:hAnsi="宋体"/>
          <w:color w:val="000000"/>
          <w:sz w:val="24"/>
        </w:rPr>
        <w:t xml:space="preserve">安排专人与采购中心及评标委员会联系。</w:t>
      </w:r>
      <w:r>
        <w:rPr>
          <w:rFonts w:ascii="宋体" w:hAnsi="宋体"/>
          <w:color w:val="000000"/>
          <w:sz w:val="24"/>
        </w:rPr>
      </w:r>
      <w:r/>
    </w:p>
    <w:p>
      <w:pPr>
        <w:pStyle w:val="889"/>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 异常低价投标审查</w:t>
      </w:r>
      <w:r>
        <w:rPr>
          <w:rFonts w:hint="eastAsia" w:ascii="方正魏碑_GBK" w:hAnsi="方正魏碑_GBK" w:eastAsia="方正魏碑_GBK" w:cs="方正魏碑_GBK"/>
          <w:color w:val="000000"/>
          <w:sz w:val="24"/>
          <w:szCs w:val="21"/>
        </w:rPr>
      </w:r>
      <w:r/>
    </w:p>
    <w:p>
      <w:pPr>
        <w:pStyle w:val="889"/>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.1 评标过程中出现下列情形之一的，评标委员会应当启动异常低价投标审查程序：</w:t>
      </w:r>
      <w:r>
        <w:rPr>
          <w:rFonts w:hint="eastAsia" w:ascii="方正魏碑_GBK" w:hAnsi="方正魏碑_GBK" w:eastAsia="方正魏碑_GBK" w:cs="方正魏碑_GBK"/>
          <w:color w:val="000000"/>
          <w:sz w:val="24"/>
          <w:szCs w:val="21"/>
        </w:rPr>
      </w:r>
      <w:r/>
    </w:p>
    <w:p>
      <w:pPr>
        <w:pStyle w:val="889"/>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889"/>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889"/>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eastAsia="zh-CN"/>
        </w:rPr>
      </w:r>
      <w:r/>
    </w:p>
    <w:p>
      <w:pPr>
        <w:pStyle w:val="889"/>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rPr>
      </w:r>
      <w:r/>
    </w:p>
    <w:p>
      <w:pPr>
        <w:pStyle w:val="889"/>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lang w:val="en-US" w:eastAsia="zh-CN"/>
        </w:rPr>
      </w:r>
      <w:r/>
    </w:p>
    <w:p>
      <w:pPr>
        <w:pStyle w:val="889"/>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lang w:val="en-US" w:eastAsia="zh-CN"/>
        </w:rPr>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89"/>
        <w:ind w:left="479"/>
        <w:spacing w:line="4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25.1无效投标条款</w:t>
      </w:r>
      <w:r>
        <w:rPr>
          <w:rFonts w:hint="eastAsia" w:ascii="宋体" w:hAnsi="宋体"/>
          <w:bCs/>
          <w:sz w:val="24"/>
        </w:rPr>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9"/>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25.1.10评标委员会按照本招标文件规定对投标人进行异常低价投标审查后，认为投标人不能证明其报价合理性的。</w:t>
      </w:r>
      <w:r>
        <w:rPr>
          <w:rFonts w:hint="eastAsia" w:ascii="宋体" w:hAnsi="宋体" w:eastAsia="宋体" w:cs="宋体"/>
          <w:bCs/>
          <w:color w:val="000000"/>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9"/>
        <w:ind w:firstLine="48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25.1.12 投标人所提供的服务不符合招标文件中所列国家强制性标准的。</w:t>
      </w:r>
      <w:r>
        <w:rPr>
          <w:rFonts w:hint="eastAsia" w:ascii="宋体" w:hAnsi="宋体" w:eastAsia="宋体" w:cs="Times New Roman"/>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推荐的中标候选人确定中标供应商。</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w:t>
      </w:r>
      <w:r>
        <w:rPr>
          <w:rFonts w:hint="eastAsia" w:ascii="宋体" w:hAnsi="宋体"/>
          <w:sz w:val="24"/>
          <w:szCs w:val="24"/>
          <w:lang w:eastAsia="zh-CN"/>
        </w:rPr>
        <w:t xml:space="preserve">评标委员会</w:t>
      </w:r>
      <w:r>
        <w:rPr>
          <w:rFonts w:hint="eastAsia" w:ascii="宋体" w:hAnsi="宋体"/>
          <w:sz w:val="24"/>
          <w:szCs w:val="24"/>
        </w:rPr>
        <w:t xml:space="preserve">发现的。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b/>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2"/>
        <w:spacing w:before="145" w:after="145" w:line="400" w:lineRule="exact"/>
        <w:rPr>
          <w:rFonts w:hint="eastAsia"/>
        </w:rPr>
      </w:pPr>
      <w:r/>
      <w:bookmarkStart w:id="169" w:name="_Toc120614220"/>
      <w:r/>
      <w:bookmarkStart w:id="170" w:name="_Toc20823308"/>
      <w:r/>
      <w:bookmarkStart w:id="171" w:name="_Toc513029236"/>
      <w:r/>
      <w:bookmarkStart w:id="172" w:name="_Toc16938552"/>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3"/>
        <w:ind w:firstLine="600"/>
        <w:spacing w:before="0" w:after="0" w:line="400" w:lineRule="exact"/>
        <w:rPr>
          <w:rFonts w:ascii="黑体" w:hAnsi="宋体" w:cs="Times New Roman"/>
          <w:b w:val="0"/>
          <w:sz w:val="30"/>
          <w:szCs w:val="30"/>
        </w:rPr>
      </w:pPr>
      <w:r/>
      <w:bookmarkEnd w:id="173"/>
      <w:r/>
      <w:bookmarkEnd w:id="174"/>
      <w:r/>
      <w:bookmarkEnd w:id="175"/>
      <w:r/>
      <w:bookmarkStart w:id="176" w:name="_Toc479757207"/>
      <w:r/>
      <w:bookmarkStart w:id="177" w:name="_Toc120614221"/>
      <w:r/>
      <w:bookmarkStart w:id="178" w:name="_Toc20823314"/>
      <w:r/>
      <w:bookmarkStart w:id="179" w:name="_Toc513029242"/>
      <w:r/>
      <w:bookmarkStart w:id="180"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53"/>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953"/>
        <w:spacing w:line="400" w:lineRule="exact"/>
        <w:rPr>
          <w:rFonts w:hint="eastAsia" w:ascii="宋体" w:hAnsi="宋体"/>
          <w:bCs/>
          <w:sz w:val="24"/>
        </w:rPr>
      </w:pPr>
      <w:r>
        <w:rPr>
          <w:rFonts w:hint="eastAsia" w:ascii="宋体" w:hAnsi="宋体"/>
          <w:bCs/>
          <w:sz w:val="24"/>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89"/>
        <w:jc w:val="center"/>
        <w:spacing w:before="145" w:after="145"/>
        <w:rPr>
          <w:rFonts w:hint="eastAsia" w:ascii="宋体" w:hAnsi="宋体"/>
          <w:b/>
          <w:sz w:val="30"/>
        </w:rPr>
        <w:outlineLvl w:val="0"/>
      </w:pPr>
      <w:r/>
      <w:bookmarkStart w:id="181" w:name="_Toc16938559"/>
      <w:r/>
      <w:bookmarkStart w:id="182" w:name="_Toc513029243"/>
      <w:r/>
      <w:bookmarkStart w:id="183" w:name="_Toc20823315"/>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9"/>
        <w:spacing w:before="120" w:after="120"/>
        <w:rPr>
          <w:rFonts w:ascii="宋体" w:hAnsi="宋体" w:cs="Courier New"/>
          <w:color w:val="ff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4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4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4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4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48"/>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48"/>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4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4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4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4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4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4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4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4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8"/>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48"/>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4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48"/>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48"/>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48"/>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48"/>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4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4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4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8"/>
        <w:jc w:val="center"/>
        <w:spacing w:before="120" w:after="120" w:line="0" w:lineRule="atLeast"/>
      </w:pPr>
      <w:r>
        <w:rPr>
          <w:rFonts w:hint="eastAsia"/>
        </w:rPr>
        <w:t xml:space="preserve">                                         </w:t>
      </w:r>
      <w:r/>
    </w:p>
    <w:p>
      <w:pPr>
        <w:pStyle w:val="948"/>
        <w:jc w:val="right"/>
        <w:spacing w:before="120" w:after="120" w:line="0" w:lineRule="atLeast"/>
        <w:rPr>
          <w:sz w:val="24"/>
          <w:szCs w:val="24"/>
        </w:rPr>
      </w:pPr>
      <w:r>
        <w:rPr>
          <w:rFonts w:hint="eastAsia"/>
          <w:sz w:val="24"/>
          <w:szCs w:val="24"/>
        </w:rPr>
        <w:t xml:space="preserve"> </w:t>
      </w:r>
      <w:r>
        <w:rPr>
          <w:sz w:val="24"/>
          <w:szCs w:val="24"/>
        </w:rPr>
      </w:r>
      <w:r/>
    </w:p>
    <w:p>
      <w:pPr>
        <w:pStyle w:val="948"/>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89"/>
        <w:spacing w:line="0" w:lineRule="atLeast"/>
        <w:rPr>
          <w:rFonts w:ascii="宋体" w:hAnsi="宋体"/>
          <w:b/>
          <w:color w:val="000000"/>
          <w:sz w:val="24"/>
          <w:szCs w:val="24"/>
        </w:rPr>
      </w:pPr>
      <w:r/>
      <w:bookmarkStart w:id="191" w:name="_Toc26554093"/>
      <w:r/>
      <w:bookmarkStart w:id="19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88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545" w:type="dxa"/>
            <w:vAlign w:val="top"/>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889"/>
              <w:ind w:firstLine="0"/>
              <w:spacing w:line="570" w:lineRule="exact"/>
              <w:rPr>
                <w:rFonts w:ascii="宋体" w:hAnsi="宋体"/>
                <w:sz w:val="24"/>
                <w:szCs w:val="24"/>
              </w:rPr>
            </w:pPr>
            <w:r>
              <w:rPr>
                <w:rFonts w:hint="eastAsia" w:ascii="宋体" w:hAnsi="宋体" w:eastAsia="宋体" w:cs="宋体"/>
                <w:sz w:val="24"/>
                <w:szCs w:val="24"/>
              </w:rPr>
              <w:t xml:space="preserve">省大数据中心短信平台服务</w:t>
            </w:r>
            <w:r>
              <w:rPr>
                <w:rFonts w:ascii="宋体" w:hAnsi="宋体"/>
                <w:sz w:val="24"/>
                <w:szCs w:val="24"/>
              </w:rPr>
            </w:r>
            <w:r/>
          </w:p>
        </w:tc>
        <w:tc>
          <w:tcPr>
            <w:tcW w:w="2852" w:type="dxa"/>
            <w:vAlign w:val="center"/>
            <w:textDirection w:val="lrTb"/>
            <w:noWrap w:val="false"/>
          </w:tcPr>
          <w:p>
            <w:pPr>
              <w:pStyle w:val="889"/>
              <w:ind w:firstLine="0"/>
              <w:spacing w:line="570" w:lineRule="exact"/>
              <w:rPr>
                <w:rFonts w:ascii="宋体" w:hAnsi="宋体"/>
                <w:sz w:val="24"/>
                <w:szCs w:val="24"/>
              </w:rPr>
            </w:pPr>
            <w:r>
              <w:rPr>
                <w:rFonts w:hint="eastAsia" w:ascii="宋体" w:hAnsi="宋体" w:eastAsia="宋体" w:cs="宋体"/>
                <w:sz w:val="24"/>
                <w:szCs w:val="24"/>
              </w:rPr>
              <w:t xml:space="preserve">信息传输业</w:t>
            </w:r>
            <w:r>
              <w:rPr>
                <w:rFonts w:ascii="宋体" w:hAnsi="宋体"/>
                <w:sz w:val="24"/>
                <w:szCs w:val="24"/>
              </w:rPr>
            </w:r>
            <w:r/>
          </w:p>
        </w:tc>
      </w:tr>
    </w:tbl>
    <w:p>
      <w:pPr>
        <w:pStyle w:val="889"/>
        <w:ind w:firstLine="480"/>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pStyle w:val="889"/>
        <w:ind w:firstLine="480"/>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项目目标：</w:t>
      </w:r>
      <w:r>
        <w:rPr>
          <w:rFonts w:hint="eastAsia" w:ascii="宋体" w:hAnsi="宋体" w:eastAsia="宋体"/>
          <w:sz w:val="24"/>
          <w:szCs w:val="24"/>
          <w:highlight w:val="none"/>
          <w:lang w:eastAsia="zh-CN"/>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 打造短信服务支撑能力。通过构建统一集约化省级短信服务平台，覆盖移动、电信、联通、广电等，支持多个号段，为省级部门提供稳定高效的短信服务能力。</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 构筑短信安全屏障。从网络安全、业务安全、数据安全、用户安全等方面全方位提升平台服务的安全性，提供系统、应用、数据和用户等层面的安全服务，确保数据安全。通过建设运维监控功能和运维管理机制，对平台的硬件设备、网络环境、软件性能等进行集中监测，及时发现并处置故障，提升服务效能。</w:t>
      </w:r>
      <w:r>
        <w:rPr>
          <w:rFonts w:hint="eastAsia" w:ascii="宋体" w:hAnsi="宋体" w:eastAsia="宋体" w:cs="宋体"/>
          <w:sz w:val="24"/>
          <w:szCs w:val="24"/>
        </w:rPr>
      </w:r>
      <w:r/>
    </w:p>
    <w:p>
      <w:pPr>
        <w:pStyle w:val="889"/>
        <w:ind w:firstLine="472"/>
        <w:spacing w:line="570" w:lineRule="exact"/>
        <w:rPr>
          <w:rFonts w:hint="eastAsia" w:ascii="宋体" w:hAnsi="宋体"/>
          <w:sz w:val="24"/>
          <w:szCs w:val="24"/>
          <w:highlight w:val="none"/>
        </w:rPr>
      </w:pPr>
      <w:r>
        <w:rPr>
          <w:rFonts w:hint="eastAsia" w:ascii="宋体" w:hAnsi="宋体" w:eastAsia="宋体" w:cs="宋体"/>
          <w:sz w:val="24"/>
          <w:szCs w:val="24"/>
        </w:rPr>
        <w:t xml:space="preserve">3. 赋能政务场景应用。省级部门在开发政务场景应用时，可以通过多种灵活接入方式获取短信服务能力，以充分满足不同政务场景下的多样需求。</w:t>
      </w:r>
      <w:r>
        <w:rPr>
          <w:rFonts w:hint="eastAsia" w:ascii="宋体" w:hAnsi="宋体"/>
          <w:sz w:val="24"/>
          <w:szCs w:val="24"/>
          <w:highlight w:val="none"/>
        </w:rPr>
      </w:r>
      <w:r/>
    </w:p>
    <w:p>
      <w:pPr>
        <w:pStyle w:val="889"/>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889"/>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889"/>
        <w:spacing w:line="0" w:lineRule="atLeast"/>
        <w:rPr>
          <w:rFonts w:hint="eastAsia" w:ascii="宋体" w:hAnsi="宋体"/>
          <w:b/>
          <w:bCs/>
          <w:sz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
          <w:bCs/>
          <w:sz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投标人需对招标文件服务要求所有内容进行逐条明确响应，需求前标注“★”的为基础条款，标注“▲”的为关键条款（具体规则详见评标方法与评标标准）。</w:t>
      </w:r>
      <w:r>
        <w:rPr>
          <w:rFonts w:hint="eastAsia" w:ascii="宋体" w:hAnsi="宋体" w:eastAsia="宋体" w:cs="宋体"/>
          <w:i/>
          <w:iCs/>
          <w:sz w:val="24"/>
          <w:szCs w:val="24"/>
          <w:u w:val="single"/>
        </w:rPr>
        <w:t xml:space="preserve">加斜体下划线的要求为必须满足的实质性要求。</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（一）管理平台功能</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为确保短信服务的正常使用，管理平台需提供如下管理功能，并支持灵活配置，包括但不限于：</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1．配置管理功能</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支持短信限额功能，可通过配置单位和短信模版中的限量发送额度对每月发送数量上限进行限制，可以通过选择模版的超量停发选项对达发送量上限进行停发处理，也支持对单位追加发放额度以实现超量使用。</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▲（2）敏感词拦截配置：支持敏感词自动拦截；支持敏感词自定义配置,支持词库动态更新、即时生效。</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▲（3）模板短信管理配置：支持配置模板短信，支持单位管理人员对用户申请的短信模板内容进行审核，审核通过后方可生效，也可通过管理员直接配置短信模版。</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▲（4）短信签名配置：支持在短信模版中配置系统签名、备案签名。</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▲（5）支持用户管理和权限管理，可通过配置账号的角色类型和单位范围管理账号的权限内容。</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▲（6）重发拦截配置：支持配置重发拦截。</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▲（7）红名单配置：支持红名单功能，用于限制在模板分类下的短信内容在指定时间段对指定手机号码的短信下发。</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2．用户管理功能</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管理平台应具备完善的用户管理功能，通过多层级、可拓展、高应用的配置选项和系统结构确保服务顺利使用。</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多层级用户管理。能够进行至少3类用户的管理设置，包括单位管理、业务系统管理、用户管理。单位与业务系统为从属的上下级关系，支持上级单位对下级业务系统的管理功能。包括但不限于单位禁用、新增、编辑、签名管理等相关必要的属性管理。</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用户账号管理。用户角色至少包含普通用户、虚拟用户和单位管理员。普通用户和虚拟用户可以按需建立多个。普通用户允许通过后台进行短信发送等相关的操作管理功能，虚拟用户不允许通过平台登陆操作管理，仅用于短信发送量统计，单位管理员可按需配置多个单位业务系统的管理范围。</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3．分账结算功能</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遵循集中管理、分开计费的思路，管理平台要具备对各级用户计费情况进行全面、灵活的统计、结算、预警、监控能力，主要体现在：</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支持灵活计费模式。支持一级单位统筹计费或二级单位独立计费。支持按月或按日期范围查询各单位计费情况，管理员可以查询所有一级单位及二级单位的所有计费情况，一级单位可以查询自己管理的下属二级单位下的计费情况。</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▲（2）支持限额管理。支持根据单位进行统一限额功能管理，支持一级单位对二级单位设置限额。</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▲（3）支持追加限额。当超出限额后，可申请一定额度的追加额度。</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（4）能够体现统招、分签，由省大数据管理中心进行统筹、规划、管理。</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4．统计查询功能</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管理平台应实现对省级部门短信收发情况监督管理的同时还要能够为各省级部门业务开展情况进行数据分析，要求如下：</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▲（1）能够实现多维度的短信收发数据统计分析，包括从单位、业务系统、短信模版分类和时间等多维度分别执行。</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▲（2）能够实现多维度的短信额度使用情况的查询，支持从单位、业务系统、短信模版等维度查看不同时间段的定额量以及定额量的使用情况。</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▲（3）支持包含通道发送失败原因查询、用户提交失败查询等功能，用以支持短信发送失败原因查询，加快问题定位。</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▲（4）提供日志储存功能，具备统计分析能力，对短信的发送成功情况、发送账号、发送通道等信息进行统计分析，支持日统计、月度统计和总计。</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▲（5）提供短信收发情况、使用情况的标准API接口，便于第三方进行调用。</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5．安全管理机制</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支持图形化的通道监控展示。如涉及到多路通道，还需通过图形化的方式直观表达多路通道运行监控情况。支持一个路由通道出现问题时，可自动切换至另一个通道。若发生系统故障，业务运行监控模块将产生告警，并通过短信或邮件的方式通知管理员。</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▲（2）短信管理平台需从网络安全访问、信息传输加密等方面进行安全控制，加密方式和安全策略符合相关法律法规要求，并具备自动路由备份机制和业务运行监控机制。</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6．监控告警功能</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▲（1）拥堵告警:自定义设置告警阈值，添加告警人，短信提示告警人处理异常。</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▲（2）短信发送失败告警，提示发送方失败原因。</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（3）账户限额不足告警。当用户（单位、业务系统、短信模板）限额不足的情况下，首先根据告警阈值对应单位管理账号手机进行短信告警通知。</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7．其他管理需求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▲（1）码号管理:要能实现为不同短信收发类型提供统一码号的诉求，包括但不限于公共服务、内部应用、交互信息等分类。</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对接管理：提供多样化业务场景的对接能力，作为组件上架至“苏政源”组件超市，支持以API等方式对外提供对接服务；短信通道支持电信、移动、联通号码的短信发送，并支持IP地址的鉴权，对接入或访问平台的IP地址做绑定认证，只有经过绑定的第三方应用或用户，才会被系统准入访问。</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▲（3）多通道管理：投标人应为短信服务配置不少于两个路由通道。必要时，任一通道应能够在必要时5分钟之内切换至其他通道。（投标者需提供切换方案，明确技术细节和操作流程）</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rPr>
        <w:t xml:space="preserve">（二）基础短信功能</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▲（1）满足包括上行短信、下行短信等基础业务的处理功能，短信到达率不低于99%。能够满足平台系统对接规范，支持接口对接，以及后台页面编辑批量短信发送等常规业务诉求。</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（2）能够设置短信分类、可自定义不同分类维度。能够按照业务、优先级等维度设置短信标识。</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（3）须具备短信发送失败自动检测手段和补发机制，应按照预设规则执行补发操作。</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i/>
          <w:sz w:val="24"/>
          <w:szCs w:val="24"/>
          <w:u w:val="single"/>
        </w:rPr>
      </w:pPr>
      <w:r>
        <w:rPr>
          <w:rFonts w:hint="eastAsia" w:ascii="宋体" w:hAnsi="宋体" w:eastAsia="宋体" w:cs="宋体"/>
          <w:i/>
          <w:sz w:val="24"/>
          <w:szCs w:val="24"/>
          <w:u w:val="single"/>
        </w:rPr>
        <w:t xml:space="preserve">（4）短信管理平台需支持大容量、高并发的短信提交和处理能力，平台发送速率不低于500条/秒（需提供承诺函并加盖公章）。</w:t>
      </w:r>
      <w:r>
        <w:rPr>
          <w:rFonts w:hint="eastAsia" w:ascii="宋体" w:hAnsi="宋体" w:eastAsia="宋体" w:cs="宋体"/>
          <w:i/>
          <w:sz w:val="24"/>
          <w:szCs w:val="24"/>
          <w:u w:val="single"/>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★（5）支持短信群发、短信模板审核、用户上行、定时发送、短信状态接收等功能。</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★（6）支持文件导入获取接收用户手机号实现短信发送。</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实施及运维服务要求</w:t>
      </w:r>
      <w:r>
        <w:rPr>
          <w:rFonts w:hint="eastAsia" w:ascii="宋体" w:hAnsi="宋体" w:eastAsia="宋体" w:cs="宋体"/>
          <w:b/>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实施要求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应制定科学的实施方案，形成实施计划，落实实施工作。须针对当前已在运行的短信业务（对接100余个信息系统提供验证码、消息、政务通知等短信发送）制定可行的业务迁移方案，确保接口平滑转接，业务平稳过渡，短信服务中断时间不超过300秒。</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维护要求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投标人应提供完整合理的维护服务保障体系和维护方案，提供不少于1人岗的7×24小时驻场运维服务。</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投标人应保障短信服务的高可用性，需承诺服务期内通过通道集群、负载均衡、线路备用等技术手段充分保障短信服务在线可用。</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i/>
          <w:sz w:val="24"/>
          <w:szCs w:val="24"/>
          <w:u w:val="single"/>
        </w:rPr>
      </w:pPr>
      <w:r>
        <w:rPr>
          <w:rFonts w:hint="eastAsia" w:ascii="宋体" w:hAnsi="宋体" w:eastAsia="宋体" w:cs="宋体"/>
          <w:i/>
          <w:sz w:val="24"/>
          <w:szCs w:val="24"/>
          <w:u w:val="single"/>
        </w:rPr>
        <w:t xml:space="preserve">若因投标人原因导致短信服务中断30分钟以上，采购人可采用替代服务接管。短信服务中断期间替代服务产生的所有费用由投标人承担，包括但不限于通道租赁、短信条数计费、布署服务等费用。（提供承诺函并加盖公章）</w:t>
      </w:r>
      <w:r>
        <w:rPr>
          <w:rFonts w:hint="eastAsia" w:ascii="宋体" w:hAnsi="宋体" w:eastAsia="宋体" w:cs="宋体"/>
          <w:i/>
          <w:sz w:val="24"/>
          <w:szCs w:val="24"/>
          <w:u w:val="single"/>
        </w:rPr>
      </w:r>
      <w:r/>
    </w:p>
    <w:p>
      <w:pPr>
        <w:pStyle w:val="889"/>
        <w:numPr>
          <w:ilvl w:val="0"/>
          <w:numId w:val="0"/>
        </w:numPr>
        <w:ind w:left="420"/>
        <w:spacing w:line="57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服务规范要求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投标人须严格遵照采购人要求开展运维服务，保障运维工作规范可追溯、服务质量达标，具体要求如下：</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（1）投标人须在服务启动后10个工作日内，按照采购人要求填写</w:t>
      </w:r>
      <w:r>
        <w:rPr>
          <w:rFonts w:hint="eastAsia" w:ascii="宋体" w:hAnsi="宋体" w:eastAsia="宋体" w:cs="宋体"/>
          <w:bCs/>
          <w:sz w:val="24"/>
          <w:szCs w:val="24"/>
        </w:rPr>
        <w:t xml:space="preserve">《项目驻场人员信息登记表》</w:t>
      </w:r>
      <w:r>
        <w:rPr>
          <w:rFonts w:hint="eastAsia" w:ascii="宋体" w:hAnsi="宋体" w:eastAsia="宋体" w:cs="宋体"/>
          <w:sz w:val="24"/>
          <w:szCs w:val="24"/>
        </w:rPr>
        <w:t xml:space="preserve">（具体格式如下表），内容包括明确驻场单位、项目管理处室及责任人、驻场团队负责人及应急联系人和联系电话，经采购人审核确认后存档。服务期内若需更换驻场人员，须至少提前2个月提交书面申请及新人员的《项目驻场人员信息登记表》补充材料，在征得采购人同意后完成工作交接；未经同意更换人员的，采购人将在服务质量考核中进行扣分。</w:t>
      </w:r>
      <w:r>
        <w:rPr>
          <w:rFonts w:hint="eastAsia" w:ascii="宋体" w:hAnsi="宋体" w:eastAsia="宋体" w:cs="宋体"/>
          <w:sz w:val="24"/>
          <w:szCs w:val="24"/>
        </w:rPr>
      </w:r>
      <w:r/>
    </w:p>
    <w:tbl>
      <w:tblPr>
        <w:tblStyle w:val="1001"/>
        <w:tblW w:w="0" w:type="auto"/>
        <w:tblInd w:w="1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3"/>
        <w:gridCol w:w="2178"/>
        <w:gridCol w:w="1189"/>
        <w:gridCol w:w="1635"/>
        <w:gridCol w:w="2391"/>
      </w:tblGrid>
      <w:tr>
        <w:trPr>
          <w:trHeight w:val="649"/>
        </w:trPr>
        <w:tc>
          <w:tcPr>
            <w:tcW w:w="113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gridSpan w:val="4"/>
            <w:tcW w:w="739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省大数据中心短信平台服务</w:t>
            </w:r>
            <w:r>
              <w:rPr>
                <w:rFonts w:hint="eastAsia" w:ascii="宋体" w:hAnsi="宋体" w:eastAsia="宋体" w:cs="宋体"/>
                <w:sz w:val="24"/>
                <w:szCs w:val="24"/>
              </w:rPr>
            </w:r>
            <w:r/>
          </w:p>
        </w:tc>
      </w:tr>
      <w:tr>
        <w:trPr>
          <w:trHeight w:val="588"/>
        </w:trPr>
        <w:tc>
          <w:tcPr>
            <w:tcW w:w="113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驻场单位</w:t>
            </w:r>
            <w:r>
              <w:rPr>
                <w:rFonts w:hint="eastAsia" w:ascii="宋体" w:hAnsi="宋体" w:eastAsia="宋体" w:cs="宋体"/>
                <w:sz w:val="24"/>
                <w:szCs w:val="24"/>
              </w:rPr>
            </w:r>
            <w:r/>
          </w:p>
        </w:tc>
        <w:tc>
          <w:tcPr>
            <w:gridSpan w:val="4"/>
            <w:tcW w:w="739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投标人全称</w:t>
            </w:r>
            <w:r>
              <w:rPr>
                <w:rFonts w:hint="eastAsia" w:ascii="宋体" w:hAnsi="宋体" w:eastAsia="宋体" w:cs="宋体"/>
                <w:sz w:val="24"/>
                <w:szCs w:val="24"/>
              </w:rPr>
            </w:r>
            <w:r/>
          </w:p>
        </w:tc>
      </w:tr>
      <w:tr>
        <w:trPr>
          <w:trHeight w:val="874"/>
        </w:trPr>
        <w:tc>
          <w:tcPr>
            <w:tcW w:w="113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项目管理处室</w:t>
            </w:r>
            <w:r>
              <w:rPr>
                <w:rFonts w:hint="eastAsia" w:ascii="宋体" w:hAnsi="宋体" w:eastAsia="宋体" w:cs="宋体"/>
                <w:sz w:val="24"/>
                <w:szCs w:val="24"/>
              </w:rPr>
            </w:r>
            <w:r/>
          </w:p>
        </w:tc>
        <w:tc>
          <w:tcPr>
            <w:gridSpan w:val="2"/>
            <w:tcW w:w="3367"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XXXX 处</w:t>
            </w:r>
            <w:r>
              <w:rPr>
                <w:rFonts w:hint="eastAsia" w:ascii="宋体" w:hAnsi="宋体" w:eastAsia="宋体" w:cs="宋体"/>
                <w:sz w:val="24"/>
                <w:szCs w:val="24"/>
              </w:rPr>
            </w:r>
            <w:r/>
          </w:p>
        </w:tc>
        <w:tc>
          <w:tcPr>
            <w:tcW w:w="163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项目责任人</w:t>
            </w:r>
            <w:r>
              <w:rPr>
                <w:rFonts w:hint="eastAsia" w:ascii="宋体" w:hAnsi="宋体" w:eastAsia="宋体" w:cs="宋体"/>
                <w:sz w:val="24"/>
                <w:szCs w:val="24"/>
              </w:rPr>
            </w:r>
            <w:r/>
          </w:p>
        </w:tc>
        <w:tc>
          <w:tcPr>
            <w:tcW w:w="23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XXX</w:t>
            </w:r>
            <w:r>
              <w:rPr>
                <w:rFonts w:hint="eastAsia" w:ascii="宋体" w:hAnsi="宋体" w:eastAsia="宋体" w:cs="宋体"/>
                <w:sz w:val="24"/>
                <w:szCs w:val="24"/>
              </w:rPr>
            </w:r>
            <w:r/>
          </w:p>
        </w:tc>
      </w:tr>
      <w:tr>
        <w:trPr>
          <w:trHeight w:val="874"/>
        </w:trPr>
        <w:tc>
          <w:tcPr>
            <w:tcW w:w="113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驻场团队负责人</w:t>
            </w:r>
            <w:r>
              <w:rPr>
                <w:rFonts w:hint="eastAsia" w:ascii="宋体" w:hAnsi="宋体" w:eastAsia="宋体" w:cs="宋体"/>
                <w:sz w:val="24"/>
                <w:szCs w:val="24"/>
              </w:rPr>
            </w:r>
            <w:r/>
          </w:p>
        </w:tc>
        <w:tc>
          <w:tcPr>
            <w:gridSpan w:val="2"/>
            <w:tcW w:w="3367"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驻场负责人姓名</w:t>
            </w:r>
            <w:r>
              <w:rPr>
                <w:rFonts w:hint="eastAsia" w:ascii="宋体" w:hAnsi="宋体" w:eastAsia="宋体" w:cs="宋体"/>
                <w:sz w:val="24"/>
                <w:szCs w:val="24"/>
              </w:rPr>
            </w:r>
            <w:r/>
          </w:p>
        </w:tc>
        <w:tc>
          <w:tcPr>
            <w:tcW w:w="163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W w:w="23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负责人手机（7 ×24  小时畅通）</w:t>
            </w:r>
            <w:r>
              <w:rPr>
                <w:rFonts w:hint="eastAsia" w:ascii="宋体" w:hAnsi="宋体" w:eastAsia="宋体" w:cs="宋体"/>
                <w:sz w:val="24"/>
                <w:szCs w:val="24"/>
              </w:rPr>
            </w:r>
            <w:r/>
          </w:p>
        </w:tc>
      </w:tr>
      <w:tr>
        <w:trPr>
          <w:trHeight w:val="874"/>
        </w:trPr>
        <w:tc>
          <w:tcPr>
            <w:tcW w:w="113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项目应急联系人</w:t>
            </w:r>
            <w:r>
              <w:rPr>
                <w:rFonts w:hint="eastAsia" w:ascii="宋体" w:hAnsi="宋体" w:eastAsia="宋体" w:cs="宋体"/>
                <w:sz w:val="24"/>
                <w:szCs w:val="24"/>
              </w:rPr>
            </w:r>
            <w:r/>
          </w:p>
        </w:tc>
        <w:tc>
          <w:tcPr>
            <w:gridSpan w:val="2"/>
            <w:tcW w:w="3367"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应急联系人姓名</w:t>
            </w:r>
            <w:r>
              <w:rPr>
                <w:rFonts w:hint="eastAsia" w:ascii="宋体" w:hAnsi="宋体" w:eastAsia="宋体" w:cs="宋体"/>
                <w:sz w:val="24"/>
                <w:szCs w:val="24"/>
              </w:rPr>
            </w:r>
            <w:r/>
          </w:p>
        </w:tc>
        <w:tc>
          <w:tcPr>
            <w:tcW w:w="163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W w:w="23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应急联系人手机（7 ×24小时畅通）</w:t>
            </w:r>
            <w:r>
              <w:rPr>
                <w:rFonts w:hint="eastAsia" w:ascii="宋体" w:hAnsi="宋体" w:eastAsia="宋体" w:cs="宋体"/>
                <w:sz w:val="24"/>
                <w:szCs w:val="24"/>
              </w:rPr>
            </w:r>
            <w:r/>
          </w:p>
        </w:tc>
      </w:tr>
      <w:tr>
        <w:trPr>
          <w:trHeight w:val="874"/>
        </w:trPr>
        <w:tc>
          <w:tcPr>
            <w:tcW w:w="113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驻场人员姓名</w:t>
            </w:r>
            <w:r>
              <w:rPr>
                <w:rFonts w:hint="eastAsia" w:ascii="宋体" w:hAnsi="宋体" w:eastAsia="宋体" w:cs="宋体"/>
                <w:sz w:val="24"/>
                <w:szCs w:val="24"/>
              </w:rPr>
            </w:r>
            <w:r/>
          </w:p>
        </w:tc>
        <w:tc>
          <w:tcPr>
            <w:tcW w:w="2178"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身份证明材料</w:t>
            </w:r>
            <w:r>
              <w:rPr>
                <w:rFonts w:hint="eastAsia" w:ascii="宋体" w:hAnsi="宋体" w:eastAsia="宋体" w:cs="宋体"/>
                <w:sz w:val="24"/>
                <w:szCs w:val="24"/>
              </w:rPr>
            </w:r>
            <w:r/>
          </w:p>
        </w:tc>
        <w:tc>
          <w:tcPr>
            <w:tcW w:w="118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岗位资质证书</w:t>
            </w:r>
            <w:r>
              <w:rPr>
                <w:rFonts w:hint="eastAsia" w:ascii="宋体" w:hAnsi="宋体" w:eastAsia="宋体" w:cs="宋体"/>
                <w:sz w:val="24"/>
                <w:szCs w:val="24"/>
              </w:rPr>
            </w:r>
            <w:r/>
          </w:p>
        </w:tc>
        <w:tc>
          <w:tcPr>
            <w:tcW w:w="163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运维主要内容</w:t>
            </w:r>
            <w:r>
              <w:rPr>
                <w:rFonts w:hint="eastAsia" w:ascii="宋体" w:hAnsi="宋体" w:eastAsia="宋体" w:cs="宋体"/>
                <w:sz w:val="24"/>
                <w:szCs w:val="24"/>
              </w:rPr>
            </w:r>
            <w:r/>
          </w:p>
        </w:tc>
        <w:tc>
          <w:tcPr>
            <w:tcW w:w="23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875"/>
        </w:trPr>
        <w:tc>
          <w:tcPr>
            <w:tcW w:w="113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驻场人员姓名</w:t>
            </w:r>
            <w:r>
              <w:rPr>
                <w:rFonts w:hint="eastAsia" w:ascii="宋体" w:hAnsi="宋体" w:eastAsia="宋体" w:cs="宋体"/>
                <w:sz w:val="24"/>
                <w:szCs w:val="24"/>
              </w:rPr>
            </w:r>
            <w:r/>
          </w:p>
        </w:tc>
        <w:tc>
          <w:tcPr>
            <w:tcW w:w="2178"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人员身份证明材料</w:t>
            </w:r>
            <w:r>
              <w:rPr>
                <w:rFonts w:hint="eastAsia" w:ascii="宋体" w:hAnsi="宋体" w:eastAsia="宋体" w:cs="宋体"/>
                <w:sz w:val="24"/>
                <w:szCs w:val="24"/>
              </w:rPr>
            </w:r>
            <w:r/>
          </w:p>
        </w:tc>
        <w:tc>
          <w:tcPr>
            <w:tcW w:w="118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证书资质</w:t>
            </w:r>
            <w:r>
              <w:rPr>
                <w:rFonts w:hint="eastAsia" w:ascii="宋体" w:hAnsi="宋体" w:eastAsia="宋体" w:cs="宋体"/>
                <w:sz w:val="24"/>
                <w:szCs w:val="24"/>
              </w:rPr>
            </w:r>
            <w:r/>
          </w:p>
        </w:tc>
        <w:tc>
          <w:tcPr>
            <w:tcW w:w="163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运维职责描述</w:t>
            </w:r>
            <w:r>
              <w:rPr>
                <w:rFonts w:hint="eastAsia" w:ascii="宋体" w:hAnsi="宋体" w:eastAsia="宋体" w:cs="宋体"/>
                <w:sz w:val="24"/>
                <w:szCs w:val="24"/>
              </w:rPr>
            </w:r>
            <w:r/>
          </w:p>
        </w:tc>
        <w:tc>
          <w:tcPr>
            <w:tcW w:w="23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手机号码</w:t>
            </w:r>
            <w:r>
              <w:rPr>
                <w:rFonts w:hint="eastAsia" w:ascii="宋体" w:hAnsi="宋体" w:eastAsia="宋体" w:cs="宋体"/>
                <w:sz w:val="24"/>
                <w:szCs w:val="24"/>
              </w:rPr>
            </w:r>
            <w:r/>
          </w:p>
        </w:tc>
      </w:tr>
      <w:tr>
        <w:trPr>
          <w:trHeight w:val="616"/>
        </w:trPr>
        <w:tc>
          <w:tcPr>
            <w:tcW w:w="1133" w:type="dxa"/>
            <w:vAlign w:val="center"/>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178" w:type="dxa"/>
            <w:vAlign w:val="center"/>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189" w:type="dxa"/>
            <w:vAlign w:val="center"/>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635" w:type="dxa"/>
            <w:vAlign w:val="center"/>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391" w:type="dxa"/>
            <w:vAlign w:val="center"/>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875"/>
        </w:trPr>
        <w:tc>
          <w:tcPr>
            <w:tcW w:w="113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驻场人员姓名</w:t>
            </w:r>
            <w:r>
              <w:rPr>
                <w:rFonts w:hint="eastAsia" w:ascii="宋体" w:hAnsi="宋体" w:eastAsia="宋体" w:cs="宋体"/>
                <w:sz w:val="24"/>
                <w:szCs w:val="24"/>
              </w:rPr>
            </w:r>
            <w:r/>
          </w:p>
        </w:tc>
        <w:tc>
          <w:tcPr>
            <w:tcW w:w="2178"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人员身份证明材料</w:t>
            </w:r>
            <w:r>
              <w:rPr>
                <w:rFonts w:hint="eastAsia" w:ascii="宋体" w:hAnsi="宋体" w:eastAsia="宋体" w:cs="宋体"/>
                <w:sz w:val="24"/>
                <w:szCs w:val="24"/>
              </w:rPr>
            </w:r>
            <w:r/>
          </w:p>
        </w:tc>
        <w:tc>
          <w:tcPr>
            <w:tcW w:w="118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证书资质</w:t>
            </w:r>
            <w:r>
              <w:rPr>
                <w:rFonts w:hint="eastAsia" w:ascii="宋体" w:hAnsi="宋体" w:eastAsia="宋体" w:cs="宋体"/>
                <w:sz w:val="24"/>
                <w:szCs w:val="24"/>
              </w:rPr>
            </w:r>
            <w:r/>
          </w:p>
        </w:tc>
        <w:tc>
          <w:tcPr>
            <w:tcW w:w="163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运维职责描述</w:t>
            </w:r>
            <w:r>
              <w:rPr>
                <w:rFonts w:hint="eastAsia" w:ascii="宋体" w:hAnsi="宋体" w:eastAsia="宋体" w:cs="宋体"/>
                <w:sz w:val="24"/>
                <w:szCs w:val="24"/>
              </w:rPr>
            </w:r>
            <w:r/>
          </w:p>
        </w:tc>
        <w:tc>
          <w:tcPr>
            <w:tcW w:w="23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手机号码</w:t>
            </w:r>
            <w:r>
              <w:rPr>
                <w:rFonts w:hint="eastAsia" w:ascii="宋体" w:hAnsi="宋体" w:eastAsia="宋体" w:cs="宋体"/>
                <w:sz w:val="24"/>
                <w:szCs w:val="24"/>
              </w:rPr>
            </w:r>
            <w:r/>
          </w:p>
        </w:tc>
      </w:tr>
    </w:tbl>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（2）每日填写</w:t>
      </w:r>
      <w:r>
        <w:rPr>
          <w:rFonts w:hint="eastAsia" w:ascii="宋体" w:hAnsi="宋体" w:eastAsia="宋体" w:cs="宋体"/>
          <w:bCs/>
          <w:sz w:val="24"/>
          <w:szCs w:val="24"/>
        </w:rPr>
        <w:t xml:space="preserve">《项目日常系统运维考勤双签记录表》</w:t>
      </w:r>
      <w:r>
        <w:rPr>
          <w:rFonts w:hint="eastAsia" w:ascii="宋体" w:hAnsi="宋体" w:eastAsia="宋体" w:cs="宋体"/>
          <w:sz w:val="24"/>
          <w:szCs w:val="24"/>
        </w:rPr>
        <w:t xml:space="preserve">（具体格式如下表），主要包括对系统日常巡检（含系统平台功能、服务器、硬件设备、数据接口、业务可用性巡检）、运维保障工作（含重大事项现场保障、系统安全加固、数据备份与恢复、故障排查、系统优化开发等）及其他交办任务的具体内容、异常情况进行记录，执行与安全运营记录表一致的双签流程，确保运维工作可追溯、可核查。</w:t>
      </w:r>
      <w:r>
        <w:rPr>
          <w:rFonts w:hint="eastAsia" w:ascii="宋体" w:hAnsi="宋体" w:eastAsia="宋体" w:cs="宋体"/>
          <w:sz w:val="24"/>
          <w:szCs w:val="24"/>
        </w:rPr>
      </w:r>
      <w:r/>
    </w:p>
    <w:tbl>
      <w:tblPr>
        <w:tblStyle w:val="1001"/>
        <w:tblW w:w="0" w:type="auto"/>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26"/>
        <w:gridCol w:w="2894"/>
        <w:gridCol w:w="1714"/>
        <w:gridCol w:w="2469"/>
      </w:tblGrid>
      <w:tr>
        <w:trPr>
          <w:trHeight w:val="507"/>
        </w:trPr>
        <w:tc>
          <w:tcPr>
            <w:gridSpan w:val="2"/>
            <w:tcW w:w="4420"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运维时间：202X/XX/XX-XX:00~XX:00</w:t>
            </w:r>
            <w:r>
              <w:rPr>
                <w:rFonts w:hint="eastAsia" w:ascii="宋体" w:hAnsi="宋体" w:eastAsia="宋体" w:cs="宋体"/>
                <w:sz w:val="24"/>
                <w:szCs w:val="24"/>
              </w:rPr>
            </w:r>
            <w:r/>
          </w:p>
        </w:tc>
        <w:tc>
          <w:tcPr>
            <w:gridSpan w:val="2"/>
            <w:tcW w:w="418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运维单位：             投标人</w:t>
            </w:r>
            <w:r>
              <w:rPr>
                <w:rFonts w:hint="eastAsia" w:ascii="宋体" w:hAnsi="宋体" w:eastAsia="宋体" w:cs="宋体"/>
                <w:sz w:val="24"/>
                <w:szCs w:val="24"/>
              </w:rPr>
            </w:r>
            <w:r/>
          </w:p>
        </w:tc>
      </w:tr>
      <w:tr>
        <w:trPr>
          <w:trHeight w:val="561"/>
        </w:trPr>
        <w:tc>
          <w:tcPr>
            <w:gridSpan w:val="2"/>
            <w:tcW w:w="4420"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每日运维工作</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具体工作内容</w:t>
            </w: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异常情况记录</w:t>
            </w:r>
            <w:r>
              <w:rPr>
                <w:rFonts w:hint="eastAsia" w:ascii="宋体" w:hAnsi="宋体" w:eastAsia="宋体" w:cs="宋体"/>
                <w:sz w:val="24"/>
                <w:szCs w:val="24"/>
              </w:rPr>
            </w:r>
            <w:r/>
          </w:p>
        </w:tc>
      </w:tr>
      <w:tr>
        <w:trPr>
          <w:trHeight w:val="874"/>
        </w:trPr>
        <w:tc>
          <w:tcPr>
            <w:tcW w:w="1526" w:type="dxa"/>
            <w:vAlign w:val="center"/>
            <w:vMerge w:val="restart"/>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一、 系统日常巡检</w:t>
            </w: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（1）系统平台功能及服务巡检</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（2）系统服务器日常巡检</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（3）系统相关硬件设备巡检</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（4）数据接口巡检</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（5）业务可用性巡检</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tcW w:w="1526" w:type="dxa"/>
            <w:vAlign w:val="center"/>
            <w:vMerge w:val="restart"/>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二、运维保障工作</w:t>
            </w: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（6）重大事项现场保障</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（7）系统安全加固</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（8）数据备份、恢复与迁移</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（9）故障排查与恢复</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（10）业务与技术支持</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3"/>
        </w:trPr>
        <w:tc>
          <w:tcPr>
            <w:tcW w:w="1526" w:type="dxa"/>
            <w:vAlign w:val="center"/>
            <w:vMerge w:val="continue"/>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（11）系统优化与开发</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5"/>
        </w:trPr>
        <w:tc>
          <w:tcPr>
            <w:tcW w:w="1526"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（12）相关文档填报</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74"/>
        </w:trPr>
        <w:tc>
          <w:tcPr>
            <w:tcW w:w="1526"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三、 其他交办任务</w:t>
            </w: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（13）其他交办任务</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67"/>
        </w:trPr>
        <w:tc>
          <w:tcPr>
            <w:tcW w:w="1526"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运维项目驻场人员签字</w:t>
            </w: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负责驻场人员签名</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驻场管理人签字</w:t>
            </w: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团队负责人姓名</w:t>
            </w:r>
            <w:r>
              <w:rPr>
                <w:rFonts w:hint="eastAsia" w:ascii="宋体" w:hAnsi="宋体" w:eastAsia="宋体" w:cs="宋体"/>
                <w:sz w:val="24"/>
                <w:szCs w:val="24"/>
              </w:rPr>
            </w:r>
            <w:r/>
          </w:p>
        </w:tc>
      </w:tr>
      <w:tr>
        <w:trPr>
          <w:trHeight w:val="912"/>
        </w:trPr>
        <w:tc>
          <w:tcPr>
            <w:tcW w:w="1526"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处室项目负责人签字</w:t>
            </w:r>
            <w:r>
              <w:rPr>
                <w:rFonts w:hint="eastAsia" w:ascii="宋体" w:hAnsi="宋体" w:eastAsia="宋体" w:cs="宋体"/>
                <w:sz w:val="24"/>
                <w:szCs w:val="24"/>
              </w:rPr>
            </w:r>
            <w:r/>
          </w:p>
        </w:tc>
        <w:tc>
          <w:tcPr>
            <w:tcW w:w="289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经办人签名</w:t>
            </w:r>
            <w:r>
              <w:rPr>
                <w:rFonts w:hint="eastAsia" w:ascii="宋体" w:hAnsi="宋体" w:eastAsia="宋体" w:cs="宋体"/>
                <w:sz w:val="24"/>
                <w:szCs w:val="24"/>
              </w:rPr>
            </w:r>
            <w:r/>
          </w:p>
        </w:tc>
        <w:tc>
          <w:tcPr>
            <w:tcW w:w="171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处室负责人签字</w:t>
            </w:r>
            <w:r>
              <w:rPr>
                <w:rFonts w:hint="eastAsia" w:ascii="宋体" w:hAnsi="宋体" w:eastAsia="宋体" w:cs="宋体"/>
                <w:sz w:val="24"/>
                <w:szCs w:val="24"/>
              </w:rPr>
            </w:r>
            <w:r/>
          </w:p>
        </w:tc>
        <w:tc>
          <w:tcPr>
            <w:tcW w:w="2469"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负责人签名</w:t>
            </w:r>
            <w:r>
              <w:rPr>
                <w:rFonts w:hint="eastAsia" w:ascii="宋体" w:hAnsi="宋体" w:eastAsia="宋体" w:cs="宋体"/>
                <w:sz w:val="24"/>
                <w:szCs w:val="24"/>
              </w:rPr>
            </w:r>
            <w:r/>
          </w:p>
        </w:tc>
      </w:tr>
    </w:tbl>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（3）服务期内发生任何异常事件（含业务系统类、基础环境类、安全技术类、信息内容类及其他类事件），投标人须在事件发现后30分钟内启动处置，并填写</w:t>
      </w:r>
      <w:r>
        <w:rPr>
          <w:rFonts w:hint="eastAsia" w:ascii="宋体" w:hAnsi="宋体" w:eastAsia="宋体" w:cs="宋体"/>
          <w:bCs/>
          <w:sz w:val="24"/>
          <w:szCs w:val="24"/>
        </w:rPr>
        <w:t xml:space="preserve">《项目异常情况汇报表》</w:t>
      </w:r>
      <w:r>
        <w:rPr>
          <w:rFonts w:hint="eastAsia" w:ascii="宋体" w:hAnsi="宋体" w:eastAsia="宋体" w:cs="宋体"/>
          <w:sz w:val="24"/>
          <w:szCs w:val="24"/>
        </w:rPr>
        <w:t xml:space="preserve">（具体格式如下表），明确事件分类、分级、异常情况概述（含历史类似情况说明）、发现方式、事件时间（发生及发现时间）、当前状态、影响程度，深入分析初步原因（从系统软件、硬件设备、网络环境等维度），详细列明已采取的处置措施、后续处置计划（含时间节点），事件处置完成后补充填写最终处理结果，经填报人、审核人签字后，于事件结束后 24 小时内提交采购人；涉及重大(Ⅱ级）及以上事件的，须同步启动应急响应，并每小时向采购人更新事件处置进展。</w:t>
      </w:r>
      <w:r>
        <w:rPr>
          <w:rFonts w:hint="eastAsia" w:ascii="宋体" w:hAnsi="宋体" w:eastAsia="宋体" w:cs="宋体"/>
          <w:sz w:val="24"/>
          <w:szCs w:val="24"/>
        </w:rPr>
      </w:r>
      <w:r/>
    </w:p>
    <w:tbl>
      <w:tblPr>
        <w:tblStyle w:val="100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52"/>
        <w:gridCol w:w="2891"/>
        <w:gridCol w:w="1621"/>
        <w:gridCol w:w="2863"/>
      </w:tblGrid>
      <w:tr>
        <w:trPr>
          <w:trHeight w:val="969"/>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28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省大数据中心短信平台服务</w:t>
            </w:r>
            <w:r>
              <w:rPr>
                <w:rFonts w:hint="eastAsia" w:ascii="宋体" w:hAnsi="宋体" w:eastAsia="宋体" w:cs="宋体"/>
                <w:sz w:val="24"/>
                <w:szCs w:val="24"/>
              </w:rPr>
            </w:r>
            <w:r/>
          </w:p>
        </w:tc>
        <w:tc>
          <w:tcPr>
            <w:tcW w:w="162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服务对象</w:t>
            </w:r>
            <w:r>
              <w:rPr>
                <w:rFonts w:hint="eastAsia" w:ascii="宋体" w:hAnsi="宋体" w:eastAsia="宋体" w:cs="宋体"/>
                <w:sz w:val="24"/>
                <w:szCs w:val="24"/>
              </w:rPr>
            </w:r>
            <w:r/>
          </w:p>
        </w:tc>
        <w:tc>
          <w:tcPr>
            <w:tcW w:w="286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399"/>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事件分类</w:t>
            </w:r>
            <w:r>
              <w:rPr>
                <w:rFonts w:hint="eastAsia" w:ascii="宋体" w:hAnsi="宋体" w:eastAsia="宋体" w:cs="宋体"/>
                <w:sz w:val="24"/>
                <w:szCs w:val="24"/>
              </w:rPr>
            </w:r>
            <w:r/>
          </w:p>
        </w:tc>
        <w:tc>
          <w:tcPr>
            <w:tcW w:w="28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□业务系统类  □基础环境类</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□安全技术类  □信息内容类</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□其他</w:t>
            </w:r>
            <w:r>
              <w:rPr>
                <w:rFonts w:hint="eastAsia" w:ascii="宋体" w:hAnsi="宋体" w:eastAsia="宋体" w:cs="宋体"/>
                <w:sz w:val="24"/>
                <w:szCs w:val="24"/>
              </w:rPr>
            </w:r>
            <w:r/>
          </w:p>
        </w:tc>
        <w:tc>
          <w:tcPr>
            <w:tcW w:w="162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事件分级</w:t>
            </w:r>
            <w:r>
              <w:rPr>
                <w:rFonts w:hint="eastAsia" w:ascii="宋体" w:hAnsi="宋体" w:eastAsia="宋体" w:cs="宋体"/>
                <w:sz w:val="24"/>
                <w:szCs w:val="24"/>
              </w:rPr>
            </w:r>
            <w:r/>
          </w:p>
        </w:tc>
        <w:tc>
          <w:tcPr>
            <w:tcW w:w="286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□特别重大 ( Ⅰ级）  □重大</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 Ⅱ级） □较大 (  Ⅲ级）  □一般 ( Ⅳ级）</w:t>
            </w:r>
            <w:r>
              <w:rPr>
                <w:rFonts w:hint="eastAsia" w:ascii="宋体" w:hAnsi="宋体" w:eastAsia="宋体" w:cs="宋体"/>
                <w:sz w:val="24"/>
                <w:szCs w:val="24"/>
              </w:rPr>
            </w:r>
            <w:r/>
          </w:p>
        </w:tc>
      </w:tr>
      <w:tr>
        <w:trPr>
          <w:trHeight w:val="529"/>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异常情况概述</w:t>
            </w:r>
            <w:r>
              <w:rPr>
                <w:rFonts w:hint="eastAsia" w:ascii="宋体" w:hAnsi="宋体" w:eastAsia="宋体" w:cs="宋体"/>
                <w:sz w:val="24"/>
                <w:szCs w:val="24"/>
              </w:rPr>
            </w:r>
            <w:r/>
          </w:p>
        </w:tc>
        <w:tc>
          <w:tcPr>
            <w:gridSpan w:val="3"/>
            <w:tcW w:w="737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（如以前出现过类似情况也应加以说明）</w:t>
            </w:r>
            <w:r>
              <w:rPr>
                <w:rFonts w:hint="eastAsia" w:ascii="宋体" w:hAnsi="宋体" w:eastAsia="宋体" w:cs="宋体"/>
                <w:sz w:val="24"/>
                <w:szCs w:val="24"/>
              </w:rPr>
            </w:r>
            <w:r/>
          </w:p>
        </w:tc>
      </w:tr>
      <w:tr>
        <w:trPr>
          <w:trHeight w:val="1833"/>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发现方式</w:t>
            </w:r>
            <w:r>
              <w:rPr>
                <w:rFonts w:hint="eastAsia" w:ascii="宋体" w:hAnsi="宋体" w:eastAsia="宋体" w:cs="宋体"/>
                <w:sz w:val="24"/>
                <w:szCs w:val="24"/>
              </w:rPr>
            </w:r>
            <w:r/>
          </w:p>
        </w:tc>
        <w:tc>
          <w:tcPr>
            <w:tcW w:w="28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□上级通报  □监控告警  □用户报障  □系统巡检  □预警响应    □其他：</w:t>
            </w:r>
            <w:r>
              <w:rPr>
                <w:rFonts w:hint="eastAsia" w:ascii="宋体" w:hAnsi="宋体" w:eastAsia="宋体" w:cs="宋体"/>
                <w:sz w:val="24"/>
                <w:szCs w:val="24"/>
              </w:rPr>
            </w:r>
            <w:r/>
          </w:p>
        </w:tc>
        <w:tc>
          <w:tcPr>
            <w:tcW w:w="162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异常事件时间</w:t>
            </w:r>
            <w:r>
              <w:rPr>
                <w:rFonts w:hint="eastAsia" w:ascii="宋体" w:hAnsi="宋体" w:eastAsia="宋体" w:cs="宋体"/>
                <w:sz w:val="24"/>
                <w:szCs w:val="24"/>
              </w:rPr>
            </w:r>
            <w:r/>
          </w:p>
        </w:tc>
        <w:tc>
          <w:tcPr>
            <w:tcW w:w="286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发生时间：</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发现时间：</w:t>
            </w:r>
            <w:r>
              <w:rPr>
                <w:rFonts w:hint="eastAsia" w:ascii="宋体" w:hAnsi="宋体" w:eastAsia="宋体" w:cs="宋体"/>
                <w:sz w:val="24"/>
                <w:szCs w:val="24"/>
              </w:rPr>
            </w:r>
            <w:r/>
          </w:p>
        </w:tc>
      </w:tr>
      <w:tr>
        <w:trPr>
          <w:trHeight w:val="1402"/>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当前状态</w:t>
            </w:r>
            <w:r>
              <w:rPr>
                <w:rFonts w:hint="eastAsia" w:ascii="宋体" w:hAnsi="宋体" w:eastAsia="宋体" w:cs="宋体"/>
                <w:sz w:val="24"/>
                <w:szCs w:val="24"/>
              </w:rPr>
            </w:r>
            <w:r/>
          </w:p>
        </w:tc>
        <w:tc>
          <w:tcPr>
            <w:tcW w:w="28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□发现待处理  □处理中</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□已恢复  □影响扩大</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□需要升级处理</w:t>
            </w:r>
            <w:r>
              <w:rPr>
                <w:rFonts w:hint="eastAsia" w:ascii="宋体" w:hAnsi="宋体" w:eastAsia="宋体" w:cs="宋体"/>
                <w:sz w:val="24"/>
                <w:szCs w:val="24"/>
              </w:rPr>
            </w:r>
            <w:r/>
          </w:p>
        </w:tc>
        <w:tc>
          <w:tcPr>
            <w:tcW w:w="162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影响程度</w:t>
            </w:r>
            <w:r>
              <w:rPr>
                <w:rFonts w:hint="eastAsia" w:ascii="宋体" w:hAnsi="宋体" w:eastAsia="宋体" w:cs="宋体"/>
                <w:sz w:val="24"/>
                <w:szCs w:val="24"/>
              </w:rPr>
            </w:r>
            <w:r/>
          </w:p>
        </w:tc>
        <w:tc>
          <w:tcPr>
            <w:tcW w:w="286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 严 重 □ 较 重</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 一 般 □ 轻 微</w:t>
            </w:r>
            <w:r>
              <w:rPr>
                <w:rFonts w:hint="eastAsia" w:ascii="宋体" w:hAnsi="宋体" w:eastAsia="宋体" w:cs="宋体"/>
                <w:sz w:val="24"/>
                <w:szCs w:val="24"/>
              </w:rPr>
            </w:r>
            <w:r/>
          </w:p>
        </w:tc>
      </w:tr>
      <w:tr>
        <w:trPr>
          <w:trHeight w:val="968"/>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初步原因分析</w:t>
            </w:r>
            <w:r>
              <w:rPr>
                <w:rFonts w:hint="eastAsia" w:ascii="宋体" w:hAnsi="宋体" w:eastAsia="宋体" w:cs="宋体"/>
                <w:sz w:val="24"/>
                <w:szCs w:val="24"/>
              </w:rPr>
            </w:r>
            <w:r/>
          </w:p>
        </w:tc>
        <w:tc>
          <w:tcPr>
            <w:gridSpan w:val="3"/>
            <w:tcW w:w="737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（从系统软件、硬件设备、 网络环境、安全攻击、人为操作、外部因素等方面简要描述）</w:t>
            </w:r>
            <w:r>
              <w:rPr>
                <w:rFonts w:hint="eastAsia" w:ascii="宋体" w:hAnsi="宋体" w:eastAsia="宋体" w:cs="宋体"/>
                <w:sz w:val="24"/>
                <w:szCs w:val="24"/>
              </w:rPr>
            </w:r>
            <w:r/>
          </w:p>
        </w:tc>
      </w:tr>
      <w:tr>
        <w:trPr>
          <w:trHeight w:val="964"/>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已采取的处置措施</w:t>
            </w:r>
            <w:r>
              <w:rPr>
                <w:rFonts w:hint="eastAsia" w:ascii="宋体" w:hAnsi="宋体" w:eastAsia="宋体" w:cs="宋体"/>
                <w:sz w:val="24"/>
                <w:szCs w:val="24"/>
              </w:rPr>
            </w:r>
            <w:r/>
          </w:p>
        </w:tc>
        <w:tc>
          <w:tcPr>
            <w:gridSpan w:val="3"/>
            <w:tcW w:w="737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（按照预案要求采取的隔离、排查、恢复、上报等具体措施）</w:t>
            </w:r>
            <w:r>
              <w:rPr>
                <w:rFonts w:hint="eastAsia" w:ascii="宋体" w:hAnsi="宋体" w:eastAsia="宋体" w:cs="宋体"/>
                <w:sz w:val="24"/>
                <w:szCs w:val="24"/>
              </w:rPr>
            </w:r>
            <w:r/>
          </w:p>
        </w:tc>
      </w:tr>
      <w:tr>
        <w:trPr>
          <w:trHeight w:val="529"/>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后续处置计划</w:t>
            </w:r>
            <w:r>
              <w:rPr>
                <w:rFonts w:hint="eastAsia" w:ascii="宋体" w:hAnsi="宋体" w:eastAsia="宋体" w:cs="宋体"/>
                <w:sz w:val="24"/>
                <w:szCs w:val="24"/>
              </w:rPr>
            </w:r>
            <w:r/>
          </w:p>
        </w:tc>
        <w:tc>
          <w:tcPr>
            <w:gridSpan w:val="3"/>
            <w:tcW w:w="737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（包括整改措施、系统优化、预案修订等后续工作计划和时间节点）</w:t>
            </w:r>
            <w:r>
              <w:rPr>
                <w:rFonts w:hint="eastAsia" w:ascii="宋体" w:hAnsi="宋体" w:eastAsia="宋体" w:cs="宋体"/>
                <w:sz w:val="24"/>
                <w:szCs w:val="24"/>
              </w:rPr>
            </w:r>
            <w:r/>
          </w:p>
        </w:tc>
      </w:tr>
      <w:tr>
        <w:trPr>
          <w:trHeight w:val="529"/>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最终处理结果</w:t>
            </w:r>
            <w:r>
              <w:rPr>
                <w:rFonts w:hint="eastAsia" w:ascii="宋体" w:hAnsi="宋体" w:eastAsia="宋体" w:cs="宋体"/>
                <w:sz w:val="24"/>
                <w:szCs w:val="24"/>
              </w:rPr>
            </w:r>
            <w:r/>
          </w:p>
        </w:tc>
        <w:tc>
          <w:tcPr>
            <w:gridSpan w:val="3"/>
            <w:tcW w:w="7375"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（事件处置的最终结果、业务影响范围和持续时间等的确认）</w:t>
            </w:r>
            <w:r>
              <w:rPr>
                <w:rFonts w:hint="eastAsia" w:ascii="宋体" w:hAnsi="宋体" w:eastAsia="宋体" w:cs="宋体"/>
                <w:sz w:val="24"/>
                <w:szCs w:val="24"/>
              </w:rPr>
            </w:r>
            <w:r/>
          </w:p>
        </w:tc>
      </w:tr>
      <w:tr>
        <w:trPr>
          <w:trHeight w:val="534"/>
        </w:trPr>
        <w:tc>
          <w:tcPr>
            <w:tcW w:w="1552"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填报人</w:t>
            </w:r>
            <w:r>
              <w:rPr>
                <w:rFonts w:hint="eastAsia" w:ascii="宋体" w:hAnsi="宋体" w:eastAsia="宋体" w:cs="宋体"/>
                <w:sz w:val="24"/>
                <w:szCs w:val="24"/>
              </w:rPr>
            </w:r>
            <w:r/>
          </w:p>
        </w:tc>
        <w:tc>
          <w:tcPr>
            <w:tcW w:w="289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运维工程师签名</w:t>
            </w:r>
            <w:r>
              <w:rPr>
                <w:rFonts w:hint="eastAsia" w:ascii="宋体" w:hAnsi="宋体" w:eastAsia="宋体" w:cs="宋体"/>
                <w:sz w:val="24"/>
                <w:szCs w:val="24"/>
              </w:rPr>
            </w:r>
            <w:r/>
          </w:p>
        </w:tc>
        <w:tc>
          <w:tcPr>
            <w:tcW w:w="1621"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审核人</w:t>
            </w:r>
            <w:r>
              <w:rPr>
                <w:rFonts w:hint="eastAsia" w:ascii="宋体" w:hAnsi="宋体" w:eastAsia="宋体" w:cs="宋体"/>
                <w:sz w:val="24"/>
                <w:szCs w:val="24"/>
              </w:rPr>
            </w:r>
            <w:r/>
          </w:p>
        </w:tc>
        <w:tc>
          <w:tcPr>
            <w:tcW w:w="2863"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项目经理签名</w:t>
            </w:r>
            <w:r>
              <w:rPr>
                <w:rFonts w:hint="eastAsia" w:ascii="宋体" w:hAnsi="宋体" w:eastAsia="宋体" w:cs="宋体"/>
                <w:sz w:val="24"/>
                <w:szCs w:val="24"/>
              </w:rPr>
            </w:r>
            <w:r/>
          </w:p>
        </w:tc>
      </w:tr>
    </w:tbl>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（4）投标人须在服务上线前编制</w:t>
      </w:r>
      <w:r>
        <w:rPr>
          <w:rFonts w:hint="eastAsia" w:ascii="宋体" w:hAnsi="宋体" w:eastAsia="宋体" w:cs="宋体"/>
          <w:bCs/>
          <w:sz w:val="24"/>
          <w:szCs w:val="24"/>
        </w:rPr>
        <w:t xml:space="preserve">《运维项目应急预案》</w:t>
      </w:r>
      <w:r>
        <w:rPr>
          <w:rFonts w:hint="eastAsia" w:ascii="宋体" w:hAnsi="宋体" w:eastAsia="宋体" w:cs="宋体"/>
          <w:sz w:val="24"/>
          <w:szCs w:val="24"/>
        </w:rPr>
        <w:t xml:space="preserve">，明确总则（含编制目的、依据、适用范围）、应急领导小组与工作小组的组成及职责，按文件标准开展定期风险评估，对事件进行分类，并划分为特别重大(Ⅰ级）、重大(Ⅱ级）、较大(Ⅲ级）、一般(Ⅳ级）四级；应急响应阶段需规范信息报告、分级响应（按事件级别匹配不同处置资源与时限）、分类处置措施（针对各类事件制定专项闭环流程）、指挥协调及应急结束条件，后续完成恢复重建、10个工作日内事件调查评估与总结改进；同时落实技术（7×24小时监控、数据备份）、物资、电力、通信保障，每半年组织应急培训、每年至少1次应急演练。</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b/>
          <w:sz w:val="24"/>
          <w:szCs w:val="24"/>
        </w:rPr>
      </w:pPr>
      <w:r>
        <w:rPr>
          <w:rFonts w:hint="eastAsia" w:ascii="宋体" w:hAnsi="宋体" w:eastAsia="宋体" w:cs="宋体"/>
          <w:sz w:val="24"/>
          <w:szCs w:val="24"/>
        </w:rPr>
        <w:t xml:space="preserve">（5）为确保运维服务质量达标，投标人须按季度、年度提交绩效评价报告，全面总结服务成效、梳理问题并提出改进措施。</w:t>
      </w:r>
      <w:r>
        <w:rPr>
          <w:rFonts w:hint="eastAsia" w:ascii="宋体" w:hAnsi="宋体" w:eastAsia="宋体" w:cs="宋体"/>
          <w:b/>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培训服务要求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投标人应提供详细培训服务方案，从培训的原则、培训目标、培训阶段、培训方式等方面进行落实。培训团队成员应具有丰富的行业业务经验，在培训实施过程中，应对培训效果进行跟踪反馈。</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在服务期内，投标人须为业务系统运行、故障处置、功能升级等提供咨询服务和技术支持。</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管理规范要求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采购人应建立覆盖平台全生命周期的运维管理规范，形成系统权限管理、数据流转监控及服务保障机制。构建多维度安全管理框架，重点强化数据安全、风险预警及动态防护能力。同步建立突发事件全周期应急体系，完善预案编制、演练评估及协同响应流程。</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升级服务要求</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合同期内根据采购人需求及行业发展需求，投标人需对于本项目中所提供的短信平台服务进行不定期升级平台功能及优化相关性能，进一步提高短信通道使用的稳定性和高效性，而采购人无须为此承担额外费用。如果等级保护或相关法律法规对短信安全有新要求，短信平台的软件服务也由投标人负责更新升级。</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专利权要求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投标人应保证使用方在使用该服务时，不受第三方侵权指控。同时，投标人不得向第三方泄露招标人提供的技术文件等资料。</w:t>
      </w:r>
      <w:r>
        <w:rPr>
          <w:rFonts w:hint="eastAsia" w:ascii="宋体" w:hAnsi="宋体" w:eastAsia="宋体" w:cs="宋体"/>
          <w:sz w:val="24"/>
          <w:szCs w:val="24"/>
        </w:rPr>
      </w:r>
      <w:r/>
    </w:p>
    <w:p>
      <w:pPr>
        <w:pStyle w:val="889"/>
        <w:spacing w:line="0" w:lineRule="atLeast"/>
        <w:rPr>
          <w:rFonts w:hint="eastAsia" w:ascii="宋体" w:hAnsi="宋体"/>
          <w:b/>
          <w:bCs/>
          <w:sz w:val="24"/>
          <w:szCs w:val="24"/>
        </w:rPr>
      </w:pPr>
      <w:r>
        <w:rPr>
          <w:rFonts w:hint="eastAsia" w:ascii="宋体" w:hAnsi="宋体"/>
          <w:b/>
          <w:bCs/>
          <w:sz w:val="24"/>
          <w:szCs w:val="24"/>
        </w:rPr>
      </w:r>
      <w:r/>
    </w:p>
    <w:p>
      <w:pPr>
        <w:pStyle w:val="889"/>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889"/>
        <w:spacing w:line="0" w:lineRule="atLeast"/>
        <w:rPr>
          <w:rFonts w:hint="eastAsia" w:ascii="宋体" w:hAnsi="宋体" w:eastAsia="宋体" w:cs="宋体"/>
          <w:b/>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eastAsia="宋体" w:cs="宋体"/>
          <w:b/>
          <w:sz w:val="24"/>
          <w:szCs w:val="24"/>
        </w:rPr>
      </w:r>
      <w:r/>
    </w:p>
    <w:p>
      <w:pPr>
        <w:pStyle w:val="889"/>
        <w:ind w:firstLine="474"/>
        <w:spacing w:line="570" w:lineRule="exact"/>
        <w:rPr>
          <w:rFonts w:ascii="宋体" w:hAnsi="宋体" w:eastAsia="宋体" w:cs="宋体"/>
          <w:b/>
          <w:sz w:val="24"/>
          <w:szCs w:val="24"/>
          <w:lang w:val="en-US" w:eastAsia="zh-CN"/>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商务部分</w:t>
      </w:r>
      <w:r>
        <w:rPr>
          <w:rFonts w:ascii="宋体" w:hAnsi="宋体" w:eastAsia="宋体" w:cs="宋体"/>
          <w:b/>
          <w:sz w:val="24"/>
          <w:szCs w:val="24"/>
          <w:lang w:val="en-US" w:eastAsia="zh-CN"/>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（1）开通时间：投标人应于</w:t>
      </w:r>
      <w:r>
        <w:rPr>
          <w:rFonts w:hint="eastAsia" w:ascii="宋体" w:hAnsi="宋体" w:eastAsia="宋体" w:cs="宋体"/>
          <w:bCs/>
          <w:sz w:val="24"/>
          <w:szCs w:val="24"/>
        </w:rPr>
        <w:t xml:space="preserve">2026年4月30日零时前正式上线短信服务平台，并做好随时开通短信发送功能的准备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现运维服务截至2026年4月29日24时结束，投标人须在</w:t>
      </w:r>
      <w:r>
        <w:rPr>
          <w:rFonts w:hint="eastAsia" w:ascii="宋体" w:hAnsi="宋体" w:eastAsia="宋体" w:cs="宋体"/>
          <w:bCs/>
          <w:sz w:val="24"/>
          <w:szCs w:val="24"/>
        </w:rPr>
        <w:t xml:space="preserve">2026年4月29日24时前完成系统部署、联调测试、数据迁移及业务切换的全部准备工作</w:t>
      </w:r>
      <w:r>
        <w:rPr>
          <w:rFonts w:hint="eastAsia" w:ascii="宋体" w:hAnsi="宋体" w:eastAsia="宋体" w:cs="宋体"/>
          <w:sz w:val="24"/>
          <w:szCs w:val="24"/>
        </w:rPr>
        <w:t xml:space="preserve">，确保自2026年4月30日零时起平台稳定运行、功能完整、服务连续，不出现任何业务中断、功能缺失及服务延迟。</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（2）交货地点：按采购人指定地点提供服务。采购人不提供驻场场地，中标人需按照要求自行解决，并服从采购人管理。</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（3）费用支付</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服务费用采用包干制形式，不因短信发送量调整费用。合同金额包含投标人提供合同约定产品和服务的报酬及投标人提供合同中产品和服务所支出的必要费用，采购人在上述服务费用之外不再向投标人支付其他任何费用。</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若在本合同约定期限内实际发送的短信总条数未达到1.55亿条，则投标人有义务在合同期限届满后继续履行短信发送义务，直至累计发送量达到1.55亿条为止。</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bCs/>
          <w:sz w:val="24"/>
          <w:szCs w:val="24"/>
        </w:rPr>
      </w:pPr>
      <w:r>
        <w:rPr>
          <w:rFonts w:hint="eastAsia" w:ascii="宋体" w:hAnsi="宋体" w:eastAsia="宋体" w:cs="宋体"/>
          <w:bCs/>
          <w:sz w:val="24"/>
          <w:szCs w:val="24"/>
        </w:rPr>
        <w:t xml:space="preserve">本项目付款采用分阶段支付的方式，具体如下：</w:t>
      </w:r>
      <w:r>
        <w:rPr>
          <w:rFonts w:hint="eastAsia" w:ascii="宋体" w:hAnsi="宋体" w:eastAsia="宋体" w:cs="宋体"/>
          <w:bCs/>
          <w:sz w:val="24"/>
          <w:szCs w:val="24"/>
        </w:rPr>
      </w:r>
      <w:r/>
    </w:p>
    <w:p>
      <w:pPr>
        <w:pStyle w:val="889"/>
        <w:ind w:firstLine="472"/>
        <w:spacing w:line="570" w:lineRule="exact"/>
        <w:rPr>
          <w:rFonts w:hint="eastAsia" w:ascii="宋体" w:hAnsi="宋体" w:eastAsia="宋体" w:cs="宋体"/>
          <w:bCs/>
          <w:sz w:val="24"/>
          <w:szCs w:val="24"/>
        </w:rPr>
      </w:pPr>
      <w:r>
        <w:rPr>
          <w:rFonts w:hint="eastAsia" w:ascii="宋体" w:hAnsi="宋体" w:eastAsia="宋体" w:cs="宋体"/>
          <w:bCs/>
          <w:sz w:val="24"/>
          <w:szCs w:val="24"/>
        </w:rPr>
        <w:t xml:space="preserve">（1）合同签订后20个工作日内支付合同总金额的30%。</w:t>
      </w:r>
      <w:r>
        <w:rPr>
          <w:rFonts w:hint="eastAsia" w:ascii="宋体" w:hAnsi="宋体" w:eastAsia="宋体" w:cs="宋体"/>
          <w:bCs/>
          <w:sz w:val="24"/>
          <w:szCs w:val="24"/>
        </w:rPr>
      </w:r>
      <w:r/>
    </w:p>
    <w:p>
      <w:pPr>
        <w:pStyle w:val="889"/>
        <w:ind w:firstLine="472"/>
        <w:spacing w:line="570" w:lineRule="exact"/>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在提供短信服务满3个月后，投标人</w:t>
      </w:r>
      <w:r>
        <w:rPr>
          <w:rFonts w:hint="eastAsia" w:ascii="宋体" w:hAnsi="宋体" w:eastAsia="宋体" w:cs="宋体"/>
          <w:bCs/>
          <w:sz w:val="24"/>
          <w:szCs w:val="24"/>
        </w:rPr>
        <w:t xml:space="preserve">应针对季度的服务情况出具服务报告（包括但不限于短信发送数量、短信到达率、响应及时率等内容），经采购人确认后支付合同总金额的50%。</w:t>
      </w:r>
      <w:r>
        <w:rPr>
          <w:rFonts w:hint="eastAsia" w:ascii="宋体" w:hAnsi="宋体" w:eastAsia="宋体" w:cs="宋体"/>
          <w:bCs/>
          <w:sz w:val="24"/>
          <w:szCs w:val="24"/>
        </w:rPr>
      </w:r>
      <w:r/>
    </w:p>
    <w:p>
      <w:pPr>
        <w:pStyle w:val="889"/>
        <w:ind w:firstLine="472"/>
        <w:spacing w:line="57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服务期满后,投标人</w:t>
      </w:r>
      <w:r>
        <w:rPr>
          <w:rFonts w:hint="eastAsia" w:ascii="宋体" w:hAnsi="宋体" w:eastAsia="宋体" w:cs="宋体"/>
          <w:bCs/>
          <w:sz w:val="24"/>
          <w:szCs w:val="24"/>
        </w:rPr>
        <w:t xml:space="preserve">须向采购人提交年度总结报告，总结</w:t>
      </w:r>
      <w:r>
        <w:rPr>
          <w:rFonts w:hint="eastAsia" w:ascii="宋体" w:hAnsi="宋体" w:eastAsia="宋体" w:cs="宋体"/>
          <w:sz w:val="24"/>
          <w:szCs w:val="24"/>
        </w:rPr>
        <w:t xml:space="preserve">报告内容包括服务质量、信息安全、服务响应等考核内容的完成情况</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bCs/>
          <w:sz w:val="24"/>
          <w:szCs w:val="24"/>
        </w:rPr>
        <w:t xml:space="preserve">由采购人组织年度考核，</w:t>
      </w:r>
      <w:r>
        <w:rPr>
          <w:rFonts w:hint="eastAsia" w:ascii="宋体" w:hAnsi="宋体" w:eastAsia="宋体" w:cs="宋体"/>
          <w:sz w:val="24"/>
          <w:szCs w:val="24"/>
        </w:rPr>
        <w:t xml:space="preserve">根据投标人服务运维成效、服务规范、人员组织等方面进行评价考核，等次如下：</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①得分90分以上（含90分）为优秀；</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②得分80分以上（含80分）90分以下为良好；</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③得分70分以上（含70分）80分以下为一般，扣取合同款2%；</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④得分60分以上（含60分）70分以下为合格，扣取合同款3%；</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⑤得分不满60分为不合格，扣取合同款5%。</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当发生扣款情形时，采购人向投标人出具扣款通知书；投标人如对扣款事宜无异议，应在收到通知书后7个工作日内向采购人出具认可考核结果的书面函件，逾期不出具视为认可；投标人应商如对扣款事宜有异议，应在收到通知书后7个工作日内向采购方提出异议并说明理由，采购人认可投标人异议的，修订扣款通知书，不认可投标人异议的，仍按原扣款通知书执行。</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在完成上述考核程序、确认最终应付款金额（如有扣款则已扣除相应款项）后，采购人应向投标人支付</w:t>
      </w:r>
      <w:r>
        <w:rPr>
          <w:rFonts w:hint="eastAsia" w:ascii="宋体" w:hAnsi="宋体" w:eastAsia="宋体" w:cs="宋体"/>
          <w:bCs/>
          <w:sz w:val="24"/>
          <w:szCs w:val="24"/>
        </w:rPr>
        <w:t xml:space="preserve">合同总金额的</w:t>
      </w:r>
      <w:r>
        <w:rPr>
          <w:rFonts w:hint="eastAsia" w:ascii="宋体" w:hAnsi="宋体" w:eastAsia="宋体" w:cs="宋体"/>
          <w:sz w:val="24"/>
          <w:szCs w:val="24"/>
        </w:rPr>
        <w:t xml:space="preserve">20%的尾款。</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采购人有权根据实际情况和需求，对考核表中的内容进行必要的调整，并提前通知投标人。投标人应充分理解并接受采购人的调整意见，并在调整后的考核指标基础上，继续履行合同义务。</w:t>
      </w:r>
      <w:r>
        <w:rPr>
          <w:rFonts w:hint="eastAsia" w:ascii="宋体" w:hAnsi="宋体" w:eastAsia="宋体" w:cs="宋体"/>
          <w:sz w:val="24"/>
          <w:szCs w:val="24"/>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保密要求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所有参与服务项目的人员应签订正式保密协议，并在工作中坚持保密原则，投标人严格规范执行各项保密制度，对取得的采购人各类信息进行保密管理，杜绝任何泄密事件的发生。在结束采购人委托的工作时，要销毁工作期间使用的相关纸质文件和电子文档，不能保存相关文件。</w:t>
      </w:r>
      <w:r>
        <w:rPr>
          <w:rFonts w:hint="eastAsia" w:ascii="宋体" w:hAnsi="宋体" w:eastAsia="宋体" w:cs="宋体"/>
          <w:i/>
          <w:iCs/>
          <w:sz w:val="24"/>
          <w:szCs w:val="24"/>
          <w:u w:val="single"/>
        </w:rPr>
        <w:t xml:space="preserve">投标人须对本项目配备的实施人员进行背景调查，确保其无犯罪记录、无数据窃取与泄露等不良行为。采购人可根据工作实际需要，对相关实施人员进行考察确认。（投标人须出具承诺函，并加盖投标人公章）</w:t>
      </w:r>
      <w:r>
        <w:rPr>
          <w:rFonts w:hint="eastAsia" w:ascii="宋体" w:hAnsi="宋体" w:eastAsia="宋体" w:cs="宋体"/>
          <w:i/>
          <w:iCs/>
          <w:sz w:val="24"/>
          <w:szCs w:val="24"/>
          <w:u w:val="single"/>
        </w:rPr>
      </w:r>
      <w:r/>
    </w:p>
    <w:p>
      <w:pPr>
        <w:pStyle w:val="889"/>
        <w:ind w:firstLine="474"/>
        <w:spacing w:line="57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投标人履约能力及经验要求</w:t>
      </w:r>
      <w:r>
        <w:rPr>
          <w:rFonts w:hint="eastAsia" w:ascii="宋体" w:hAnsi="宋体" w:eastAsia="宋体" w:cs="宋体"/>
          <w:b/>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投标人应为本项目组建5人以上（含项目经理）服务团队，其中项目经理1名，应具有高级信息系统项目管理师或高级工程师证书、ITSS IT服务项目经理证，CCRC-DSO数据安全官证书。团队成员（不含项目经理）应具备网络工程师（中级及以上）、网络规划设计师。项目安全负责人1名，具备高级工程师（网络安全工程专业）证书、CISE注册信息安全工程师证书、CCSC网络安全能力认证证书、CCRC-DSO数据安全官证书。团队人员不少于3人（含7×24小时驻场人员），团队人员应具备网络规划设计师、CISAW信息安全保障人员证书。</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2.投标人自2023年1月1日起（以合同日期为准）承担过短信服务成功案例。</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bookmarkStart w:id="193" w:name="OLE_LINK3"/>
      <w:r>
        <w:rPr>
          <w:rFonts w:hint="eastAsia" w:ascii="宋体" w:hAnsi="宋体" w:eastAsia="宋体" w:cs="宋体"/>
          <w:sz w:val="24"/>
          <w:szCs w:val="24"/>
        </w:rPr>
        <w:t xml:space="preserve">3.投标人应针对本项目的需求提供整体技术方案，方案应包括：</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短信管理平台基础能力方案。方案中应充分阐述短信管理平台的基础能力，包括但不限于配置管理、用户管理、分账结算、统计查询等功能。要求平台设计合理，功能满足本项目需求，实现业务需求的敏捷响应。</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短信管理平台系统对接方案。投标人应在方案中详细阐述短信管理平台对外服务能力，设计与接入短信服务的多源异构系统的对接方案。提供标准的API接口，支持主流数据格式，无条件免费提供对接服务。服务方案内容应详细全面、技术先进、设计合理，完全满足项目需求。</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3）短信管理平台接入控制方案。方案中应详细阐述短信管理平台针对多样化业务场景的控制体系，构建区分运营商、IP的接入控制解决方案。短信通道支持多运营商的短信发送，并支持IP地址的鉴权，对接入或访问平台的IP地址做绑定认证，只有经过绑定的第三方应用或用户，才会被系统准入访问。投标人应为短信服务配置不少于两个路由通道，在方案中明确技术实现和操作流程。任一通道应能够在必要时5分钟之内切换至其他通道。</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（4）安全控制策略。投标人结合项目特点</w:t>
      </w:r>
      <w:r>
        <w:rPr>
          <w:rFonts w:hint="eastAsia" w:ascii="宋体" w:hAnsi="宋体" w:eastAsia="宋体" w:cs="宋体"/>
          <w:sz w:val="24"/>
          <w:szCs w:val="24"/>
        </w:rPr>
        <w:t xml:space="preserve">，符合采购人实际情况，提供全面科学合理的安全性设计，方案中应详细阐述针对采购人业务场景的短信管理平台安全控制策略。短信管理平台需从网络安全访问、信息传输加密等方面进行安全控制，加密方式和安全策略符合密码法相关要求，并具备自动路由备份机制和业务运行监控机制。支持图形化的通道图例监控展示。如涉及到多路通道和省外通道，还需通过图形化的方式直观表达多路通道和省外通道的关系及运行监控情况。支持一个路由通道出现问题时，可自动切换至另一个通道。若发生系统故障，业务运行监控模块将产生告警，并通过短信或邮件的方式通知管理员。</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（5）项目实施方案。投标人应制定科学的实施方案，明确服务目标、形成实施计划，落实实施工作。</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①投标人需具有快速化服务响应能力，需承诺7×24小时服务响应，保证在采购人向投标人提出技术支持之后5分钟内做出响应，并在确认了系统故障之后15分钟内提出解决方案。在重保期间，乙方须配备技术团队全时段值守，确保关键节点零故障运行。</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②投标人须与采购人签定保密协议，承担严格的保密义务，采取合理的措施防止保密信息的未经授权的披露、复制、使用或传播，严格控制员工、关联公司、第三方服务提供商或其他人员接触保密信息的范围。</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（6）维护服务保障体系和维护方案。</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bookmarkStart w:id="194" w:name="_Toc430168567"/>
      <w:r/>
      <w:bookmarkEnd w:id="194"/>
      <w:r/>
      <w:bookmarkStart w:id="195" w:name="_Toc430079867"/>
      <w:r/>
      <w:bookmarkEnd w:id="195"/>
      <w:r/>
      <w:bookmarkStart w:id="196" w:name="_Toc430340552"/>
      <w:r/>
      <w:bookmarkEnd w:id="196"/>
      <w:r/>
      <w:bookmarkStart w:id="197" w:name="_Toc430272521"/>
      <w:r/>
      <w:bookmarkEnd w:id="197"/>
      <w:r/>
      <w:bookmarkStart w:id="198" w:name="_Toc448820759"/>
      <w:r/>
      <w:bookmarkEnd w:id="198"/>
      <w:r/>
      <w:bookmarkStart w:id="199" w:name="_Toc411344583"/>
      <w:r/>
      <w:bookmarkStart w:id="200" w:name="_Toc367699382"/>
      <w:r/>
      <w:bookmarkStart w:id="201" w:name="_Toc448820758"/>
      <w:r/>
      <w:bookmarkStart w:id="202" w:name="_Toc366171521"/>
      <w:r/>
      <w:bookmarkStart w:id="203" w:name="_Toc411361675"/>
      <w:r/>
      <w:bookmarkStart w:id="204" w:name="_Toc430078351"/>
      <w:r/>
      <w:bookmarkEnd w:id="204"/>
      <w:r/>
      <w:bookmarkStart w:id="205" w:name="_Toc429748009"/>
      <w:r/>
      <w:bookmarkEnd w:id="205"/>
      <w:r/>
      <w:bookmarkStart w:id="206" w:name="_Toc430078936"/>
      <w:r/>
      <w:bookmarkEnd w:id="206"/>
      <w:r/>
      <w:bookmarkStart w:id="207" w:name="_Toc430341720"/>
      <w:r/>
      <w:bookmarkEnd w:id="207"/>
      <w:r/>
      <w:bookmarkStart w:id="208" w:name="_Toc430944406"/>
      <w:r/>
      <w:bookmarkEnd w:id="208"/>
      <w:r/>
      <w:bookmarkStart w:id="209" w:name="_Toc365408337"/>
      <w:r>
        <w:rPr>
          <w:rFonts w:hint="eastAsia" w:ascii="宋体" w:hAnsi="宋体" w:eastAsia="宋体" w:cs="宋体"/>
          <w:sz w:val="24"/>
          <w:szCs w:val="24"/>
        </w:rPr>
        <w:t xml:space="preserve">①组织体系</w:t>
      </w:r>
      <w:bookmarkEnd w:id="199"/>
      <w:r/>
      <w:bookmarkEnd w:id="200"/>
      <w:r/>
      <w:bookmarkEnd w:id="201"/>
      <w:r/>
      <w:bookmarkEnd w:id="202"/>
      <w:r/>
      <w:bookmarkEnd w:id="203"/>
      <w:r/>
      <w:bookmarkEnd w:id="209"/>
      <w:r>
        <w:rPr>
          <w:rFonts w:hint="eastAsia" w:ascii="宋体" w:hAnsi="宋体" w:eastAsia="宋体" w:cs="宋体"/>
          <w:sz w:val="24"/>
          <w:szCs w:val="24"/>
        </w:rPr>
        <w:t xml:space="preserve">:为本项设置合理维护服务保障体系，需包括</w:t>
      </w:r>
      <w:bookmarkStart w:id="210" w:name="_Toc448820771"/>
      <w:r/>
      <w:bookmarkStart w:id="211" w:name="_Toc365408338"/>
      <w:r>
        <w:rPr>
          <w:rFonts w:hint="eastAsia" w:ascii="宋体" w:hAnsi="宋体" w:eastAsia="宋体" w:cs="宋体"/>
          <w:sz w:val="24"/>
          <w:szCs w:val="24"/>
        </w:rPr>
        <w:t xml:space="preserve">日常服务工作小组</w:t>
      </w:r>
      <w:bookmarkEnd w:id="210"/>
      <w:r/>
      <w:bookmarkEnd w:id="211"/>
      <w:r/>
      <w:bookmarkStart w:id="212" w:name="_Toc448820772"/>
      <w:r/>
      <w:bookmarkStart w:id="213" w:name="_Toc365408339"/>
      <w:r>
        <w:rPr>
          <w:rFonts w:hint="eastAsia" w:ascii="宋体" w:hAnsi="宋体" w:eastAsia="宋体" w:cs="宋体"/>
          <w:sz w:val="24"/>
          <w:szCs w:val="24"/>
        </w:rPr>
        <w:t xml:space="preserve">、现场应急处理工作组</w:t>
      </w:r>
      <w:bookmarkEnd w:id="212"/>
      <w:r/>
      <w:bookmarkEnd w:id="213"/>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bookmarkStart w:id="214" w:name="_Toc411361676"/>
      <w:r/>
      <w:bookmarkStart w:id="215" w:name="_Toc365408340"/>
      <w:r/>
      <w:bookmarkStart w:id="216" w:name="_Toc448820773"/>
      <w:r/>
      <w:bookmarkStart w:id="217" w:name="_Toc366171522"/>
      <w:r/>
      <w:bookmarkStart w:id="218" w:name="_Toc411344584"/>
      <w:r/>
      <w:bookmarkStart w:id="219" w:name="_Toc367699383"/>
      <w:r>
        <w:rPr>
          <w:rFonts w:hint="eastAsia" w:ascii="宋体" w:hAnsi="宋体" w:eastAsia="宋体" w:cs="宋体"/>
          <w:sz w:val="24"/>
          <w:szCs w:val="24"/>
        </w:rPr>
        <w:t xml:space="preserve">②响应及维护体系</w:t>
      </w:r>
      <w:bookmarkEnd w:id="214"/>
      <w:r/>
      <w:bookmarkEnd w:id="215"/>
      <w:r/>
      <w:bookmarkEnd w:id="216"/>
      <w:r/>
      <w:bookmarkEnd w:id="217"/>
      <w:r/>
      <w:bookmarkEnd w:id="218"/>
      <w:r/>
      <w:bookmarkEnd w:id="219"/>
      <w:r>
        <w:rPr>
          <w:rFonts w:hint="eastAsia" w:ascii="宋体" w:hAnsi="宋体" w:eastAsia="宋体" w:cs="宋体"/>
          <w:sz w:val="24"/>
          <w:szCs w:val="24"/>
        </w:rPr>
        <w:t xml:space="preserve">:提供合理的响应及维护体系方案，根据不同故障类别采取对应措施，需包括</w:t>
      </w:r>
      <w:bookmarkStart w:id="220" w:name="_Toc430340567"/>
      <w:r/>
      <w:bookmarkEnd w:id="220"/>
      <w:r/>
      <w:bookmarkStart w:id="221" w:name="_Toc430341735"/>
      <w:r/>
      <w:bookmarkEnd w:id="221"/>
      <w:r/>
      <w:bookmarkStart w:id="222" w:name="_Toc430078951"/>
      <w:r/>
      <w:bookmarkEnd w:id="222"/>
      <w:r/>
      <w:bookmarkStart w:id="223" w:name="_Toc430944421"/>
      <w:r/>
      <w:bookmarkEnd w:id="223"/>
      <w:r/>
      <w:bookmarkStart w:id="224" w:name="_Toc448820774"/>
      <w:r/>
      <w:bookmarkEnd w:id="224"/>
      <w:r/>
      <w:bookmarkStart w:id="225" w:name="_Toc430168595"/>
      <w:r/>
      <w:bookmarkStart w:id="226" w:name="_Toc365408341"/>
      <w:r/>
      <w:bookmarkStart w:id="227" w:name="_Toc448820787"/>
      <w:r/>
      <w:bookmarkStart w:id="228" w:name="_Toc430078366"/>
      <w:r/>
      <w:bookmarkEnd w:id="228"/>
      <w:r/>
      <w:bookmarkStart w:id="229" w:name="_Toc430079882"/>
      <w:r/>
      <w:bookmarkEnd w:id="229"/>
      <w:r/>
      <w:bookmarkStart w:id="230" w:name="_Toc429748024"/>
      <w:r/>
      <w:bookmarkEnd w:id="230"/>
      <w:r/>
      <w:bookmarkStart w:id="231" w:name="_Toc430272536"/>
      <w:r/>
      <w:bookmarkEnd w:id="231"/>
      <w:r/>
      <w:bookmarkStart w:id="232" w:name="_Toc430168582"/>
      <w:r/>
      <w:bookmarkEnd w:id="232"/>
      <w:r>
        <w:rPr>
          <w:rFonts w:hint="eastAsia" w:ascii="宋体" w:hAnsi="宋体" w:eastAsia="宋体" w:cs="宋体"/>
          <w:sz w:val="24"/>
          <w:szCs w:val="24"/>
        </w:rPr>
        <w:t xml:space="preserve">响应体系</w:t>
      </w:r>
      <w:bookmarkEnd w:id="225"/>
      <w:r/>
      <w:bookmarkEnd w:id="226"/>
      <w:r/>
      <w:bookmarkEnd w:id="227"/>
      <w:r/>
      <w:bookmarkStart w:id="233" w:name="_Toc448820788"/>
      <w:r/>
      <w:bookmarkStart w:id="234" w:name="_Toc365408342"/>
      <w:r>
        <w:rPr>
          <w:rFonts w:hint="eastAsia" w:ascii="宋体" w:hAnsi="宋体" w:eastAsia="宋体" w:cs="宋体"/>
          <w:sz w:val="24"/>
          <w:szCs w:val="24"/>
        </w:rPr>
        <w:t xml:space="preserve">、故障级别定义</w:t>
      </w:r>
      <w:bookmarkEnd w:id="233"/>
      <w:r/>
      <w:bookmarkEnd w:id="234"/>
      <w:r/>
      <w:bookmarkStart w:id="235" w:name="_Toc448820789"/>
      <w:r/>
      <w:bookmarkStart w:id="236" w:name="_Toc365408343"/>
      <w:r>
        <w:rPr>
          <w:rFonts w:hint="eastAsia" w:ascii="宋体" w:hAnsi="宋体" w:eastAsia="宋体" w:cs="宋体"/>
          <w:sz w:val="24"/>
          <w:szCs w:val="24"/>
        </w:rPr>
        <w:t xml:space="preserve">、故障处理流程</w:t>
      </w:r>
      <w:bookmarkEnd w:id="235"/>
      <w:r/>
      <w:bookmarkEnd w:id="236"/>
      <w:r/>
      <w:bookmarkStart w:id="237" w:name="_Toc448820791"/>
      <w:r/>
      <w:bookmarkStart w:id="238" w:name="_Toc365408345"/>
      <w:r>
        <w:rPr>
          <w:rFonts w:hint="eastAsia" w:ascii="宋体" w:hAnsi="宋体" w:eastAsia="宋体" w:cs="宋体"/>
          <w:sz w:val="24"/>
          <w:szCs w:val="24"/>
        </w:rPr>
        <w:t xml:space="preserve">、其他辅助类服务及措施</w:t>
      </w:r>
      <w:bookmarkEnd w:id="237"/>
      <w:r/>
      <w:bookmarkEnd w:id="238"/>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bookmarkStart w:id="239" w:name="_Toc365408346"/>
      <w:r/>
      <w:bookmarkStart w:id="240" w:name="_Toc366171523"/>
      <w:r/>
      <w:bookmarkStart w:id="241" w:name="_Toc411361677"/>
      <w:r/>
      <w:bookmarkStart w:id="242" w:name="_Toc367699384"/>
      <w:r/>
      <w:bookmarkStart w:id="243" w:name="_Toc448820792"/>
      <w:r/>
      <w:bookmarkStart w:id="244" w:name="_Toc411344585"/>
      <w:r>
        <w:rPr>
          <w:rFonts w:hint="eastAsia" w:ascii="宋体" w:hAnsi="宋体" w:eastAsia="宋体" w:cs="宋体"/>
          <w:sz w:val="24"/>
          <w:szCs w:val="24"/>
        </w:rPr>
        <w:t xml:space="preserve">③维护范围及内容:根据本项目具体情况，对维护服务范围和内容进行阐述，需包括技术咨询、平台功能块维护与优化服务、平台安全运行保障服务、技术维护升级。</w:t>
      </w:r>
      <w:bookmarkEnd w:id="239"/>
      <w:r/>
      <w:bookmarkEnd w:id="240"/>
      <w:r/>
      <w:bookmarkEnd w:id="241"/>
      <w:r/>
      <w:bookmarkEnd w:id="242"/>
      <w:r/>
      <w:bookmarkEnd w:id="243"/>
      <w:r/>
      <w:bookmarkEnd w:id="244"/>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bookmarkStart w:id="245" w:name="_Toc448820812"/>
      <w:r/>
      <w:bookmarkStart w:id="246" w:name="_Toc411344586"/>
      <w:r/>
      <w:bookmarkStart w:id="247" w:name="_Toc411361678"/>
      <w:r/>
      <w:bookmarkStart w:id="248" w:name="_Toc366171524"/>
      <w:r/>
      <w:bookmarkStart w:id="249" w:name="_Toc367699385"/>
      <w:r/>
      <w:bookmarkStart w:id="250" w:name="_Toc365408352"/>
      <w:r>
        <w:rPr>
          <w:rFonts w:hint="eastAsia" w:ascii="宋体" w:hAnsi="宋体" w:eastAsia="宋体" w:cs="宋体"/>
          <w:sz w:val="24"/>
          <w:szCs w:val="24"/>
        </w:rPr>
        <w:t xml:space="preserve">④保障措施</w:t>
      </w:r>
      <w:bookmarkEnd w:id="245"/>
      <w:r/>
      <w:bookmarkEnd w:id="246"/>
      <w:r/>
      <w:bookmarkEnd w:id="247"/>
      <w:r/>
      <w:bookmarkEnd w:id="248"/>
      <w:r/>
      <w:bookmarkEnd w:id="249"/>
      <w:r/>
      <w:bookmarkEnd w:id="250"/>
      <w:r>
        <w:rPr>
          <w:rFonts w:hint="eastAsia" w:ascii="宋体" w:hAnsi="宋体" w:eastAsia="宋体" w:cs="宋体"/>
          <w:sz w:val="24"/>
          <w:szCs w:val="24"/>
        </w:rPr>
        <w:t xml:space="preserve">:根据本项目具体情况，提供相应的维护服务保障措施。需包括</w:t>
      </w:r>
      <w:bookmarkStart w:id="251" w:name="_Toc448820813"/>
      <w:r/>
      <w:bookmarkEnd w:id="251"/>
      <w:r/>
      <w:bookmarkStart w:id="252" w:name="_Toc430078990"/>
      <w:r/>
      <w:bookmarkEnd w:id="252"/>
      <w:r/>
      <w:bookmarkStart w:id="253" w:name="_Toc430272575"/>
      <w:r/>
      <w:bookmarkEnd w:id="253"/>
      <w:r/>
      <w:bookmarkStart w:id="254" w:name="_Toc429748063"/>
      <w:r/>
      <w:bookmarkEnd w:id="254"/>
      <w:r/>
      <w:bookmarkStart w:id="255" w:name="_Toc430168621"/>
      <w:r/>
      <w:bookmarkEnd w:id="255"/>
      <w:r/>
      <w:bookmarkStart w:id="256" w:name="_Toc448820828"/>
      <w:r/>
      <w:bookmarkStart w:id="257" w:name="_Toc365408354"/>
      <w:r/>
      <w:bookmarkStart w:id="258" w:name="_Toc430340606"/>
      <w:r/>
      <w:bookmarkEnd w:id="258"/>
      <w:r/>
      <w:bookmarkStart w:id="259" w:name="_Toc430079921"/>
      <w:r/>
      <w:bookmarkEnd w:id="259"/>
      <w:r/>
      <w:bookmarkStart w:id="260" w:name="_Toc430078405"/>
      <w:r/>
      <w:bookmarkEnd w:id="260"/>
      <w:r/>
      <w:bookmarkStart w:id="261" w:name="_Toc430341774"/>
      <w:r/>
      <w:bookmarkEnd w:id="261"/>
      <w:r/>
      <w:bookmarkStart w:id="262" w:name="_Toc430944460"/>
      <w:r/>
      <w:bookmarkEnd w:id="262"/>
      <w:r>
        <w:rPr>
          <w:rFonts w:hint="eastAsia" w:ascii="宋体" w:hAnsi="宋体" w:eastAsia="宋体" w:cs="宋体"/>
          <w:sz w:val="24"/>
          <w:szCs w:val="24"/>
        </w:rPr>
        <w:t xml:space="preserve">组织及人员保障</w:t>
      </w:r>
      <w:bookmarkEnd w:id="256"/>
      <w:r/>
      <w:bookmarkEnd w:id="257"/>
      <w:r/>
      <w:bookmarkStart w:id="263" w:name="_Toc365408355"/>
      <w:r/>
      <w:bookmarkStart w:id="264" w:name="_Toc448820829"/>
      <w:r>
        <w:rPr>
          <w:rFonts w:hint="eastAsia" w:ascii="宋体" w:hAnsi="宋体" w:eastAsia="宋体" w:cs="宋体"/>
          <w:sz w:val="24"/>
          <w:szCs w:val="24"/>
        </w:rPr>
        <w:t xml:space="preserve">、必备资料</w:t>
      </w:r>
      <w:bookmarkEnd w:id="263"/>
      <w:r/>
      <w:bookmarkEnd w:id="264"/>
      <w:r/>
      <w:bookmarkStart w:id="265" w:name="_Toc365408356"/>
      <w:r/>
      <w:bookmarkStart w:id="266" w:name="_Toc448820830"/>
      <w:r>
        <w:rPr>
          <w:rFonts w:hint="eastAsia" w:ascii="宋体" w:hAnsi="宋体" w:eastAsia="宋体" w:cs="宋体"/>
          <w:sz w:val="24"/>
          <w:szCs w:val="24"/>
        </w:rPr>
        <w:t xml:space="preserve">、</w:t>
      </w:r>
      <w:bookmarkEnd w:id="265"/>
      <w:r/>
      <w:bookmarkEnd w:id="266"/>
      <w:r/>
      <w:bookmarkStart w:id="267" w:name="_Toc448820833"/>
      <w:r/>
      <w:bookmarkStart w:id="268" w:name="_Toc365408359"/>
      <w:r>
        <w:rPr>
          <w:rFonts w:hint="eastAsia" w:ascii="宋体" w:hAnsi="宋体" w:eastAsia="宋体" w:cs="宋体"/>
          <w:sz w:val="24"/>
          <w:szCs w:val="24"/>
        </w:rPr>
        <w:t xml:space="preserve">应急演练、巡检</w:t>
      </w:r>
      <w:bookmarkEnd w:id="267"/>
      <w:r/>
      <w:bookmarkEnd w:id="268"/>
      <w:r/>
      <w:bookmarkStart w:id="269" w:name="_Toc448820834"/>
      <w:r/>
      <w:bookmarkStart w:id="270" w:name="_Toc365408360"/>
      <w:r>
        <w:rPr>
          <w:rFonts w:hint="eastAsia" w:ascii="宋体" w:hAnsi="宋体" w:eastAsia="宋体" w:cs="宋体"/>
          <w:sz w:val="24"/>
          <w:szCs w:val="24"/>
        </w:rPr>
        <w:t xml:space="preserve">、服务监督</w:t>
      </w:r>
      <w:bookmarkEnd w:id="269"/>
      <w:r/>
      <w:bookmarkEnd w:id="270"/>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（7）培训服务方案。</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为确保项目的顺利实施与后续高效运维，投标人需在方案中详细阐述培训服务，包括培训方案、培训内容、培训材料、培训计划等方面。</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①培训方案：应提供完善的培训方案，培训方案包含培训内容、培训课时等。</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②培训内容：对不同角色用户提供使用差异化维护、使用培训。</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③培训材料：投标人在采购人现场的培训，投标人必须无偿提供培训资料、讲稿的电子稿、培训用文字资料和讲义等相关用品，所有的资料必须是中文书写，同时允许采购人在单位内部使用。</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④培训计划：培训工作贯穿于项目的整个过程，所有的培训需提前制定培训计划，明确培训内容、培训时间、培训方式、所需要培训环境等，提供培训所需的资料、文档。</w:t>
      </w:r>
      <w:r>
        <w:rPr>
          <w:rFonts w:hint="eastAsia" w:ascii="宋体" w:hAnsi="宋体" w:eastAsia="宋体" w:cs="宋体"/>
          <w:sz w:val="24"/>
          <w:szCs w:val="24"/>
        </w:rPr>
      </w:r>
      <w:r/>
    </w:p>
    <w:p>
      <w:pPr>
        <w:pStyle w:val="889"/>
        <w:ind w:firstLine="472"/>
        <w:spacing w:line="570" w:lineRule="exact"/>
        <w:rPr>
          <w:rFonts w:hint="eastAsia" w:ascii="宋体" w:hAnsi="宋体"/>
          <w:b/>
          <w:bCs/>
          <w:sz w:val="24"/>
        </w:rPr>
      </w:pPr>
      <w:r>
        <w:rPr>
          <w:rFonts w:hint="eastAsia" w:ascii="宋体" w:hAnsi="宋体" w:eastAsia="宋体" w:cs="宋体"/>
          <w:sz w:val="24"/>
          <w:szCs w:val="24"/>
        </w:rPr>
        <w:t xml:space="preserve">依据采购需求相关要求，结合本项目实际制定以上方案。</w:t>
      </w:r>
      <w:bookmarkEnd w:id="193"/>
      <w:r>
        <w:rPr>
          <w:rFonts w:hint="eastAsia" w:ascii="宋体" w:hAnsi="宋体"/>
          <w:b/>
          <w:bCs/>
          <w:sz w:val="24"/>
        </w:rPr>
      </w:r>
      <w:r/>
    </w:p>
    <w:p>
      <w:pPr>
        <w:pStyle w:val="889"/>
        <w:spacing w:line="0" w:lineRule="atLeast"/>
        <w:rPr>
          <w:rFonts w:ascii="宋体" w:hAnsi="宋体"/>
          <w:color w:val="000000"/>
          <w:sz w:val="24"/>
          <w:szCs w:val="24"/>
        </w:rPr>
      </w:pPr>
      <w:r>
        <w:rPr>
          <w:rFonts w:ascii="宋体" w:hAnsi="宋体"/>
          <w:color w:val="000000"/>
          <w:sz w:val="24"/>
          <w:szCs w:val="24"/>
        </w:rPr>
      </w:r>
      <w:r/>
    </w:p>
    <w:p>
      <w:pPr>
        <w:pStyle w:val="889"/>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889"/>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889"/>
        <w:rPr>
          <w:rFonts w:hint="eastAsia"/>
          <w:color w:val="000000"/>
          <w:sz w:val="24"/>
          <w:szCs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w:t>
      </w:r>
      <w:r>
        <w:rPr>
          <w:rFonts w:hint="eastAsia"/>
          <w:color w:val="000000"/>
          <w:sz w:val="24"/>
          <w:szCs w:val="24"/>
          <w:highlight w:val="none"/>
        </w:rPr>
        <w:t xml:space="preserve">演示要求</w:t>
      </w:r>
      <w:r>
        <w:rPr>
          <w:rFonts w:hint="eastAsia"/>
          <w:color w:val="000000"/>
          <w:sz w:val="24"/>
          <w:szCs w:val="24"/>
          <w:highlight w:val="none"/>
        </w:rPr>
      </w:r>
      <w:r/>
    </w:p>
    <w:p>
      <w:pPr>
        <w:pStyle w:val="889"/>
        <w:ind w:firstLine="480"/>
        <w:rPr>
          <w:rFonts w:hint="eastAsia"/>
          <w:sz w:val="24"/>
          <w:szCs w:val="24"/>
        </w:rPr>
      </w:pPr>
      <w:r>
        <w:rPr>
          <w:rFonts w:hint="eastAsia"/>
          <w:sz w:val="24"/>
          <w:szCs w:val="24"/>
        </w:rPr>
        <w:t xml:space="preserve">演示方式 上传视频演示</w:t>
      </w:r>
      <w:r>
        <w:rPr>
          <w:rFonts w:hint="eastAsia"/>
          <w:sz w:val="24"/>
          <w:szCs w:val="24"/>
        </w:rPr>
      </w:r>
      <w:r/>
    </w:p>
    <w:p>
      <w:pPr>
        <w:pStyle w:val="889"/>
        <w:ind w:firstLine="480"/>
        <w:spacing w:line="0" w:lineRule="atLeast"/>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ascii="宋体" w:hAnsi="宋体"/>
          <w:sz w:val="24"/>
        </w:rPr>
      </w:r>
      <w:r/>
    </w:p>
    <w:p>
      <w:pPr>
        <w:pStyle w:val="889"/>
        <w:ind w:firstLine="472"/>
        <w:spacing w:line="570" w:lineRule="exact"/>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平台演示功能应包括：账号管理、计费能力、通道冗余、短信限额、内容审核、拦截能力、通道监控、告警功能。</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1）账号管理演示：需支持组织结构体系、角色体系、账号体系分离共同组成账号管理内容。普通用户允许通过后台进行短信发送等相关的操作管理功能；支持配置虚拟用户角色，虚拟用户不允许通过平台登陆操作管理，仅支持使用接口调用；账号体系包含账号的查看、新增、编辑、重置密码等，账号支持灵活指定角色类型和所属单位范围。</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计费能力演示：需支持按天、按月、总计的时间维度和按单位、按业务系统、按模版的的统计维度的多维度统计查询，方便查询各种维度下的单位发送统计量。支持按单位、按业务系统、按模版的统计维度的每月限额情况查看和余量情况查看。需支持单位管理员可以看到本单位所管理范围内的单位计费内容数据。</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（3）通道冗余演示：一个路由通道出现问题时，支持通道切换。通道可采用人工关闭方式模拟，要求切换无感知，不影响业务。</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4）内容审核、拦截能力演示：需支持短信模板管理，可以对模板进行新增、编辑、修改。支持对模板参数的长度和类型进行限制，支持配置模板夜间发送量，当发送量超出设定阈值时，模板自动关停。单位管理人员对用户申请的短信模板内容进行审核，审核通过后方可生效。支持短信模版分类，支持备案签名管理，短信模板需配置签名进行发送，可配置发送优先级，支持短信发送失败的原因查询。需支持系统管理员对敏感词的维护管理，敏感词设置生效后，短信发送时如涉及敏感词库，发送失败。需支持短信发送的红名单配置。</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5）通道监控告警演示：需支持图形化的通道图例监控展示。如涉及到多路通道和省外通道，还需通过图形化的方式直观表达多路通道和省外通道的关系及运行监控情况。支持短信高频发送检测，可通过参数化配置对单位时间内手机号的发送频率进行监控，一旦超出阈值立即发出告警；支持对欺诈短信进行检测并告警。</w:t>
      </w:r>
      <w:r>
        <w:rPr>
          <w:rFonts w:hint="eastAsia" w:ascii="宋体" w:hAnsi="宋体" w:eastAsia="宋体" w:cs="宋体"/>
          <w:sz w:val="24"/>
          <w:szCs w:val="24"/>
        </w:rPr>
      </w:r>
      <w:r/>
    </w:p>
    <w:p>
      <w:pPr>
        <w:pStyle w:val="889"/>
        <w:ind w:firstLine="480"/>
        <w:spacing w:line="560" w:lineRule="exact"/>
        <w:rPr>
          <w:rFonts w:hint="eastAsia" w:ascii="宋体" w:hAnsi="宋体"/>
          <w:sz w:val="24"/>
        </w:rPr>
      </w:pPr>
      <w:r>
        <w:rPr>
          <w:rFonts w:hint="eastAsia" w:ascii="宋体" w:hAnsi="宋体"/>
          <w:sz w:val="24"/>
        </w:rPr>
      </w:r>
      <w:r/>
    </w:p>
    <w:p>
      <w:pPr>
        <w:pStyle w:val="889"/>
        <w:ind w:firstLine="602"/>
        <w:rPr>
          <w:rFonts w:hint="eastAsia"/>
          <w:b/>
          <w:i/>
          <w:sz w:val="30"/>
          <w:szCs w:val="32"/>
          <w:u w:val="single"/>
        </w:rPr>
      </w:pPr>
      <w:r>
        <w:rPr>
          <w:rFonts w:hint="eastAsia"/>
          <w:b/>
          <w:i/>
          <w:sz w:val="30"/>
          <w:szCs w:val="32"/>
          <w:u w:val="single"/>
        </w:rPr>
      </w:r>
      <w:r/>
    </w:p>
    <w:p>
      <w:pPr>
        <w:pStyle w:val="889"/>
        <w:rPr>
          <w:rFonts w:hint="eastAsia" w:ascii="宋体" w:hAnsi="宋体"/>
          <w:b/>
          <w:sz w:val="28"/>
          <w:szCs w:val="28"/>
        </w:rPr>
      </w:pPr>
      <w:r>
        <w:rPr>
          <w:rFonts w:hint="eastAsia" w:ascii="宋体" w:hAnsi="宋体"/>
          <w:b/>
          <w:sz w:val="28"/>
          <w:szCs w:val="28"/>
        </w:rPr>
      </w:r>
      <w:r/>
    </w:p>
    <w:p>
      <w:pPr>
        <w:pStyle w:val="889"/>
        <w:tabs>
          <w:tab w:val="left" w:pos="6200" w:leader="none"/>
        </w:tabs>
        <w:rPr>
          <w:rFonts w:ascii="Arial" w:hAnsi="Arial" w:cs="Arial"/>
          <w:b/>
          <w:sz w:val="32"/>
        </w:rPr>
      </w:pPr>
      <w:r>
        <w:rPr>
          <w:rFonts w:ascii="Arial" w:hAnsi="Arial" w:cs="Arial"/>
          <w:b/>
          <w:sz w:val="32"/>
        </w:rPr>
      </w:r>
      <w:r/>
    </w:p>
    <w:p>
      <w:pPr>
        <w:pStyle w:val="890"/>
        <w:jc w:val="both"/>
        <w:rPr>
          <w:rFonts w:hint="eastAsia" w:ascii="黑体" w:eastAsia="黑体"/>
          <w:bCs/>
          <w:sz w:val="44"/>
        </w:rPr>
      </w:pPr>
      <w:r/>
      <w:bookmarkStart w:id="271" w:name="_Toc120614281"/>
      <w:r>
        <w:rPr>
          <w:rFonts w:hint="eastAsia" w:ascii="黑体" w:eastAsia="黑体"/>
          <w:bCs/>
          <w:sz w:val="44"/>
        </w:rPr>
      </w:r>
      <w:r/>
    </w:p>
    <w:p>
      <w:pPr>
        <w:pStyle w:val="889"/>
        <w:rPr>
          <w:rFonts w:hint="eastAsia" w:ascii="黑体" w:eastAsia="黑体"/>
          <w:bCs/>
          <w:sz w:val="44"/>
        </w:rPr>
      </w:pPr>
      <w:r>
        <w:rPr>
          <w:rFonts w:hint="eastAsia" w:ascii="黑体" w:eastAsia="黑体"/>
          <w:bCs/>
          <w:sz w:val="44"/>
        </w:rPr>
      </w:r>
      <w:r/>
    </w:p>
    <w:p>
      <w:pPr>
        <w:pStyle w:val="889"/>
        <w:rPr>
          <w:rFonts w:hint="eastAsia" w:ascii="黑体" w:eastAsia="黑体"/>
          <w:bCs/>
          <w:sz w:val="44"/>
        </w:rPr>
      </w:pPr>
      <w:r>
        <w:rPr>
          <w:rFonts w:hint="eastAsia" w:ascii="黑体" w:eastAsia="黑体"/>
          <w:bCs/>
          <w:sz w:val="44"/>
        </w:rPr>
      </w:r>
      <w:r/>
    </w:p>
    <w:p>
      <w:pPr>
        <w:pStyle w:val="889"/>
        <w:rPr>
          <w:rFonts w:hint="eastAsia" w:ascii="黑体" w:eastAsia="黑体"/>
          <w:bCs/>
          <w:sz w:val="44"/>
        </w:rPr>
      </w:pPr>
      <w:r>
        <w:rPr>
          <w:rFonts w:hint="eastAsia" w:ascii="黑体" w:eastAsia="黑体"/>
          <w:bCs/>
          <w:sz w:val="44"/>
        </w:rPr>
      </w:r>
      <w:r/>
    </w:p>
    <w:p>
      <w:pPr>
        <w:pStyle w:val="889"/>
        <w:rPr>
          <w:rFonts w:hint="eastAsia" w:ascii="黑体" w:eastAsia="黑体"/>
          <w:bCs/>
          <w:sz w:val="44"/>
        </w:rPr>
      </w:pPr>
      <w:r>
        <w:rPr>
          <w:rFonts w:hint="eastAsia" w:ascii="黑体" w:eastAsia="黑体"/>
          <w:bCs/>
          <w:sz w:val="44"/>
        </w:rPr>
      </w:r>
      <w:r/>
    </w:p>
    <w:p>
      <w:pPr>
        <w:pStyle w:val="889"/>
      </w:p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9"/>
        <w:rPr>
          <w:rFonts w:hint="eastAsia"/>
        </w:rPr>
      </w:pPr>
      <w:r>
        <w:rPr>
          <w:rFonts w:hint="eastAsia"/>
        </w:rPr>
      </w:r>
      <w:r/>
    </w:p>
    <w:p>
      <w:pPr>
        <w:pStyle w:val="973"/>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3"/>
        <w:ind w:firstLine="439"/>
        <w:spacing w:line="0" w:lineRule="atLeast"/>
        <w:rPr>
          <w:rFonts w:hint="eastAsia" w:cs="Arial"/>
        </w:rPr>
      </w:pPr>
      <w:r>
        <w:rPr>
          <w:rFonts w:hint="eastAsia" w:cs="Arial"/>
        </w:rPr>
      </w:r>
      <w:r/>
    </w:p>
    <w:p>
      <w:pPr>
        <w:pStyle w:val="973"/>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3"/>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7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3"/>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73"/>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7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3"/>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7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3"/>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3"/>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7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7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1844"/>
        <w:gridCol w:w="5084"/>
      </w:tblGrid>
      <w:tr>
        <w:trPr>
          <w:trHeight w:val="1305"/>
        </w:trPr>
        <w:tc>
          <w:tcPr>
            <w:tcW w:w="1457"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一、报价部分（10分）</w:t>
            </w: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投标报价（10分）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满足招标文件要求且投标报价最低的投标报价为评标基准价，其价格为满分10分，其他投标人的价格分按照下列公式计算：</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投标报价得分=（评标基准价/投标报价）×10，小数点后保留2位。</w:t>
            </w:r>
            <w:r>
              <w:rPr>
                <w:rFonts w:hint="eastAsia" w:ascii="宋体" w:hAnsi="宋体" w:eastAsia="宋体" w:cs="宋体"/>
                <w:sz w:val="24"/>
                <w:szCs w:val="24"/>
              </w:rPr>
            </w:r>
            <w:r/>
          </w:p>
        </w:tc>
      </w:tr>
      <w:tr>
        <w:trPr>
          <w:trHeight w:val="1109"/>
        </w:trPr>
        <w:tc>
          <w:tcPr>
            <w:tcW w:w="1457" w:type="dxa"/>
            <w:vAlign w:val="center"/>
            <w:vMerge w:val="restart"/>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二、技术服务部分（50分）</w:t>
            </w: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2.1服务需求响应情况（28分）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投标人全部满足招标文件“四、服务需求”的得满分28分；打▲号为关键条款，共25项，一共25分，有一项负偏离扣1分；打★号为基础条款，共6项，一共3分，有一项偏离扣0.5分；扣完为止。</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（投标人需按照本招标文件的项目需求，在“技术参数响应及偏离表”中按照招标要求提供对应的证明材料，并在偏离表中标明所在页码或位置，否则评委会有权作负偏离处理）</w:t>
            </w:r>
            <w:r>
              <w:rPr>
                <w:rFonts w:hint="eastAsia" w:ascii="宋体" w:hAnsi="宋体" w:eastAsia="宋体" w:cs="宋体"/>
                <w:sz w:val="24"/>
                <w:szCs w:val="24"/>
              </w:rPr>
            </w:r>
            <w:r/>
          </w:p>
        </w:tc>
      </w:tr>
      <w:tr>
        <w:trPr>
          <w:trHeight w:val="1109"/>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2.2短信到达率和可靠性（2分）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短信到达率：投标人需承诺短信到达率不低于99%，在99%以上每提高0.1%得0.2分，最高得2分。（提供承诺函并加盖公章）</w:t>
            </w:r>
            <w:r>
              <w:rPr>
                <w:rFonts w:hint="eastAsia" w:ascii="宋体" w:hAnsi="宋体" w:eastAsia="宋体" w:cs="宋体"/>
                <w:sz w:val="24"/>
                <w:szCs w:val="24"/>
              </w:rPr>
            </w:r>
            <w:r/>
          </w:p>
        </w:tc>
      </w:tr>
      <w:tr>
        <w:trPr>
          <w:trHeight w:val="688"/>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2.3短信管理平台基础能力方案（5分）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根据投标人所提供的短信管理平台整体技术方案内容进行综合评分。方案优于招标文件要求的得5分，方案符合招标文件要求的得3分，方案不符合招标文件要求或未提供方案的不得分。</w:t>
            </w:r>
            <w:r>
              <w:rPr>
                <w:rFonts w:hint="eastAsia" w:ascii="宋体" w:hAnsi="宋体" w:eastAsia="宋体" w:cs="宋体"/>
                <w:sz w:val="24"/>
                <w:szCs w:val="24"/>
              </w:rPr>
            </w:r>
            <w:r/>
          </w:p>
        </w:tc>
      </w:tr>
      <w:tr>
        <w:trPr>
          <w:trHeight w:val="1673"/>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2.4短信管理平台系统对接方案（5分）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根据投标人提供的短信管理平台与其他业务系统对接方案进行综合评分，能够根据要求与其它业务系统实现对接。方案优于招标文件要求的得5分；方案符合招标要求文件的得3分；不符合招标文件要求或未提供不得分。</w:t>
            </w:r>
            <w:r>
              <w:rPr>
                <w:rFonts w:hint="eastAsia" w:ascii="宋体" w:hAnsi="宋体" w:eastAsia="宋体" w:cs="宋体"/>
                <w:sz w:val="24"/>
                <w:szCs w:val="24"/>
              </w:rPr>
            </w:r>
            <w:r/>
          </w:p>
        </w:tc>
      </w:tr>
      <w:tr>
        <w:trPr>
          <w:trHeight w:val="1673"/>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2.5短信管理平台接入控制方案（5分）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根据投标人提供的短信管理平台区分运营商、IP等的接入控制方案进行综合评分，能够根据要求与其它业务系统实现对接。方案优于招标文件要求的得5分；方案符合招标要求文件的得3分；不符合招标文件要求或未提供不得分。</w:t>
            </w:r>
            <w:r>
              <w:rPr>
                <w:rFonts w:hint="eastAsia" w:ascii="宋体" w:hAnsi="宋体" w:eastAsia="宋体" w:cs="宋体"/>
                <w:sz w:val="24"/>
                <w:szCs w:val="24"/>
              </w:rPr>
            </w:r>
            <w:r/>
          </w:p>
        </w:tc>
      </w:tr>
      <w:tr>
        <w:trPr>
          <w:trHeight w:val="301"/>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2.6安全控制策略（5分）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根据投标人所提供的安全控制策略进行综合评分。方案优于招标文件要求的得5分；方案符合招标要求文件的得3分；不符合招标文件要求或未提供不得分。</w:t>
            </w:r>
            <w:r>
              <w:rPr>
                <w:rFonts w:hint="eastAsia" w:ascii="宋体" w:hAnsi="宋体" w:eastAsia="宋体" w:cs="宋体"/>
                <w:sz w:val="24"/>
                <w:szCs w:val="24"/>
              </w:rPr>
            </w:r>
            <w:r/>
          </w:p>
        </w:tc>
      </w:tr>
      <w:tr>
        <w:trPr>
          <w:trHeight w:val="121"/>
        </w:trPr>
        <w:tc>
          <w:tcPr>
            <w:tcW w:w="1457" w:type="dxa"/>
            <w:vAlign w:val="center"/>
            <w:vMerge w:val="restart"/>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三、实施部分（10分）</w:t>
            </w: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3.1项目实施方案（5分）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根据投标人提供的实施方案进行综合评分。</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方案优于招标文件要求的得5分，方案符合招标要求文件的得3分；不符合招标文件要求或未提供不得分。</w:t>
            </w:r>
            <w:r>
              <w:rPr>
                <w:rFonts w:hint="eastAsia" w:ascii="宋体" w:hAnsi="宋体" w:eastAsia="宋体" w:cs="宋体"/>
                <w:sz w:val="24"/>
                <w:szCs w:val="24"/>
              </w:rPr>
            </w:r>
            <w:r/>
          </w:p>
        </w:tc>
      </w:tr>
      <w:tr>
        <w:trPr>
          <w:trHeight w:val="665"/>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3.2业务迁移（5分）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在中标后应确保当前已在运行的短信业务（对接100余个信息系统提供验证码、消息、政务通知等短信发送）接口平滑转接，业务平稳过渡，短信平台服务升级过程中现有短信发送业务不中断的得5分，中断时长300秒内得3分，中断超过300秒不得分。需提供承诺函并加盖公章（格式自拟）。</w:t>
            </w:r>
            <w:r>
              <w:rPr>
                <w:rFonts w:hint="eastAsia" w:ascii="宋体" w:hAnsi="宋体" w:eastAsia="宋体" w:cs="宋体"/>
                <w:sz w:val="24"/>
                <w:szCs w:val="24"/>
              </w:rPr>
            </w:r>
            <w:r/>
          </w:p>
        </w:tc>
      </w:tr>
      <w:tr>
        <w:trPr>
          <w:trHeight w:val="820"/>
        </w:trPr>
        <w:tc>
          <w:tcPr>
            <w:tcW w:w="1457" w:type="dxa"/>
            <w:vAlign w:val="center"/>
            <w:vMerge w:val="restart"/>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四、系统安全及保障部分（10分）</w:t>
            </w: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4.1维护服务保障体系和维护方案（5分）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投标人应提供完整合理的维护服务保障体系和维护方案。优于招标文件的得5分；符合招标文件的得3分；不符合招标文件或未提供的不得分。</w:t>
            </w:r>
            <w:r>
              <w:rPr>
                <w:rFonts w:hint="eastAsia" w:ascii="宋体" w:hAnsi="宋体" w:eastAsia="宋体" w:cs="宋体"/>
                <w:sz w:val="24"/>
                <w:szCs w:val="24"/>
              </w:rPr>
            </w:r>
            <w:r/>
          </w:p>
        </w:tc>
      </w:tr>
      <w:tr>
        <w:trPr>
          <w:trHeight w:val="50"/>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4.2培训方案（5分）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投标人应提供培训服务方案。评分依据：优于招标文件的得5分；符合招标文件的得3分；不符合招标文件或未提供的不得分。</w:t>
            </w:r>
            <w:r>
              <w:rPr>
                <w:rFonts w:hint="eastAsia" w:ascii="宋体" w:hAnsi="宋体" w:eastAsia="宋体" w:cs="宋体"/>
                <w:sz w:val="24"/>
                <w:szCs w:val="24"/>
              </w:rPr>
            </w:r>
            <w:r/>
          </w:p>
        </w:tc>
      </w:tr>
      <w:tr>
        <w:trPr>
          <w:trHeight w:val="693"/>
        </w:trPr>
        <w:tc>
          <w:tcPr>
            <w:tcW w:w="1457" w:type="dxa"/>
            <w:vAlign w:val="center"/>
            <w:vMerge w:val="restart"/>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五、综合实力（10分）</w:t>
            </w: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5.1项目实施团队（5分）</w:t>
            </w:r>
            <w:r>
              <w:rPr>
                <w:rFonts w:hint="eastAsia" w:ascii="宋体" w:hAnsi="宋体" w:eastAsia="宋体" w:cs="宋体"/>
                <w:sz w:val="24"/>
                <w:szCs w:val="24"/>
              </w:rPr>
            </w:r>
            <w:r/>
          </w:p>
        </w:tc>
        <w:tc>
          <w:tcPr>
            <w:tcW w:w="5084" w:type="dxa"/>
            <w:vAlign w:val="center"/>
            <w:textDirection w:val="lrTb"/>
            <w:noWrap w:val="false"/>
          </w:tcPr>
          <w:p>
            <w:pPr>
              <w:pStyle w:val="889"/>
              <w:numPr>
                <w:ilvl w:val="0"/>
                <w:numId w:val="5"/>
              </w:numPr>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项目经理（2分）。具备高级信息系统项目管理师或高级工程师、ITSS IT服务项目经理，CCRC-DSO数据安全官证书，每提供1个得1分，最多得2分。</w:t>
            </w:r>
            <w:r>
              <w:rPr>
                <w:rFonts w:hint="eastAsia" w:ascii="宋体" w:hAnsi="宋体" w:eastAsia="宋体" w:cs="宋体"/>
                <w:sz w:val="24"/>
                <w:szCs w:val="24"/>
              </w:rPr>
            </w:r>
            <w:r/>
          </w:p>
          <w:p>
            <w:pPr>
              <w:pStyle w:val="889"/>
              <w:numPr>
                <w:ilvl w:val="0"/>
                <w:numId w:val="5"/>
              </w:numPr>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项目安全负责人（1分）。具备高级工程师（网络安全工程专业）证书、CISE注册信息安全工程师证书、CCSC网络安全能力认证证书，每提供1个得0.5分，最多得1分。</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2）团队人员组成（2分）。服务团队（不含项目经理、安全负责人）配备3人以上，提供1人岗的7×24小时驻场运维服务。团队人员应具备网络规划设计师、网络工程师、CISAW信息安全保障人员的，每具有一个得1分，最高得2分。（单项不重复累计，单人多证仅算一项，不累加）</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以上需提供相关证书复印件以及投标人为上述人员缴纳的</w:t>
            </w:r>
            <w:r>
              <w:rPr>
                <w:rFonts w:hint="eastAsia" w:ascii="宋体" w:hAnsi="宋体" w:eastAsia="宋体" w:cs="宋体"/>
                <w:sz w:val="24"/>
                <w:szCs w:val="24"/>
                <w:lang w:val="en-US" w:eastAsia="zh-CN"/>
              </w:rPr>
              <w:t xml:space="preserve">近半年</w:t>
            </w:r>
            <w:r>
              <w:rPr>
                <w:rFonts w:hint="eastAsia" w:ascii="宋体" w:hAnsi="宋体" w:eastAsia="宋体" w:cs="宋体"/>
                <w:sz w:val="24"/>
                <w:szCs w:val="24"/>
              </w:rPr>
              <w:t xml:space="preserve">任意一个月的社保证明材料（上述材料需加盖公章）。</w:t>
            </w:r>
            <w:r>
              <w:rPr>
                <w:rFonts w:hint="eastAsia" w:ascii="宋体" w:hAnsi="宋体" w:eastAsia="宋体" w:cs="宋体"/>
                <w:sz w:val="24"/>
                <w:szCs w:val="24"/>
              </w:rPr>
            </w:r>
            <w:r/>
          </w:p>
        </w:tc>
      </w:tr>
      <w:tr>
        <w:trPr>
          <w:trHeight w:val="694"/>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5.2案例（5分）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投标人提供2023年1月1日以来与本项目类似的短信服务案例，有1个得1分，满分5分。（需提供合同复印件并加盖公章）</w:t>
            </w:r>
            <w:r>
              <w:rPr>
                <w:rFonts w:hint="eastAsia" w:ascii="宋体" w:hAnsi="宋体" w:eastAsia="宋体" w:cs="宋体"/>
                <w:sz w:val="24"/>
                <w:szCs w:val="24"/>
              </w:rPr>
            </w:r>
            <w:r/>
          </w:p>
        </w:tc>
      </w:tr>
      <w:tr>
        <w:trPr>
          <w:trHeight w:val="704"/>
        </w:trPr>
        <w:tc>
          <w:tcPr>
            <w:tcW w:w="1457" w:type="dxa"/>
            <w:vAlign w:val="center"/>
            <w:vMerge w:val="restart"/>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六、业务管理演示部分（10分）</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6928" w:type="dxa"/>
            <w:vAlign w:val="center"/>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sz w:val="24"/>
                <w:szCs w:val="24"/>
              </w:rPr>
            </w:r>
            <w:r/>
          </w:p>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t xml:space="preserve">演示内容使用真实系统或系统原型的最高可得10分，需提交承诺函加盖公章（未提供承诺函的按照其他形式演示计算得分）；使用其他形式演示的需乘以系数0.5后为最终得分；不提供演示的不得分。</w:t>
            </w:r>
            <w:r>
              <w:rPr>
                <w:rFonts w:hint="eastAsia" w:ascii="宋体" w:hAnsi="宋体" w:eastAsia="宋体" w:cs="宋体"/>
                <w:sz w:val="24"/>
                <w:szCs w:val="24"/>
              </w:rPr>
            </w:r>
            <w:r/>
          </w:p>
        </w:tc>
      </w:tr>
      <w:tr>
        <w:trPr>
          <w:trHeight w:val="704"/>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6.1账号管理演示（2分）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需支持组织结构体系、角色体系、账号体系分离共同组成账号管理内容。普通用户允许通过后台进行短信发送等相关的操作管理功能；支持配置虚拟用户角色，虚拟用户不允许通过平台登陆操作管理，仅支持使用接口调用。（1分）</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2、账号体系包含账号的查看、新增、编辑、重置密码等，账号支持灵活指定角色类型和所属单位范围。（1分）</w:t>
            </w:r>
            <w:r>
              <w:rPr>
                <w:rFonts w:hint="eastAsia" w:ascii="宋体" w:hAnsi="宋体" w:eastAsia="宋体" w:cs="宋体"/>
                <w:sz w:val="24"/>
                <w:szCs w:val="24"/>
              </w:rPr>
            </w:r>
            <w:r/>
          </w:p>
        </w:tc>
      </w:tr>
      <w:tr>
        <w:trPr>
          <w:trHeight w:val="1123"/>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6.2计费能力演示（2分）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1、需支持按天、按月、总计的时间维度和按单位、按业务系统、按模版的的统计维度的多维度统计查询，方便查询各种维度下的单位发送统计量。（1分）</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2、需支持按单位、按业务系统、按模版的统计维度的每月限额情况查看和余量情况查看；需支持单位管理员查看本单位所管理范围内的单位计费内容数据。（1分）</w:t>
            </w:r>
            <w:r>
              <w:rPr>
                <w:rFonts w:hint="eastAsia" w:ascii="宋体" w:hAnsi="宋体" w:eastAsia="宋体" w:cs="宋体"/>
                <w:sz w:val="24"/>
                <w:szCs w:val="24"/>
              </w:rPr>
            </w:r>
            <w:r/>
          </w:p>
        </w:tc>
      </w:tr>
      <w:tr>
        <w:trPr>
          <w:trHeight w:val="1123"/>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6.3通道冗余演示（2分）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一个路由通道出现问题时，支持通道切换。通道可采用人工关闭方式模拟。</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切换成功同时业务不中断得2分；切换成功但业务中断得1分；切换不成功不得分。</w:t>
            </w:r>
            <w:r>
              <w:rPr>
                <w:rFonts w:hint="eastAsia" w:ascii="宋体" w:hAnsi="宋体" w:eastAsia="宋体" w:cs="宋体"/>
                <w:sz w:val="24"/>
                <w:szCs w:val="24"/>
              </w:rPr>
            </w:r>
            <w:r/>
          </w:p>
        </w:tc>
      </w:tr>
      <w:tr>
        <w:trPr>
          <w:trHeight w:val="633"/>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6.4内容审核、拦截能力演示（2分）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需支持短信模板管理，可以对模板进行新增、编辑、修改。支持对模板参数的长度和类型进行限制，支持配置模板夜间发送量，当发送量超出设定阈值时，模板自动关停。单位管理人员对用户申请的短信模板内容进行审核，审核通过后方可生效。支持短信模版分类，支持配置系统签名、备案签名、自定签名进行发送，可配置发送优先级，支持短信发送失败的原因查询。（1分）</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2、需支持系统管理员对敏感词的维护管理，敏感词设置生效后，短信发送时如涉及敏感词库，发送失败。；需支持短信发送的红名单配置。（1分）</w:t>
            </w:r>
            <w:r>
              <w:rPr>
                <w:rFonts w:hint="eastAsia" w:ascii="宋体" w:hAnsi="宋体" w:eastAsia="宋体" w:cs="宋体"/>
                <w:sz w:val="24"/>
                <w:szCs w:val="24"/>
              </w:rPr>
            </w:r>
            <w:r/>
          </w:p>
        </w:tc>
      </w:tr>
      <w:tr>
        <w:trPr>
          <w:trHeight w:val="1123"/>
        </w:trPr>
        <w:tc>
          <w:tcPr>
            <w:tcW w:w="1457" w:type="dxa"/>
            <w:vAlign w:val="center"/>
            <w:vMerge w:val="continue"/>
            <w:textDirection w:val="lrTb"/>
            <w:noWrap w:val="false"/>
          </w:tcPr>
          <w:p>
            <w:pPr>
              <w:pStyle w:val="889"/>
              <w:ind w:firstLine="472"/>
              <w:spacing w:line="570" w:lineRule="exact"/>
              <w:rPr>
                <w:rFonts w:hint="eastAsia" w:ascii="宋体" w:hAnsi="宋体" w:eastAsia="宋体" w:cs="宋体"/>
                <w:sz w:val="24"/>
                <w:szCs w:val="24"/>
              </w:rPr>
            </w:pPr>
            <w:r>
              <w:rPr>
                <w:rFonts w:hint="eastAsia" w:ascii="宋体" w:hAnsi="宋体" w:eastAsia="宋体" w:cs="宋体"/>
                <w:sz w:val="24"/>
                <w:szCs w:val="24"/>
              </w:rPr>
            </w:r>
            <w:r/>
          </w:p>
        </w:tc>
        <w:tc>
          <w:tcPr>
            <w:tcW w:w="184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6.5通道监控演示（2分）</w:t>
            </w:r>
            <w:r>
              <w:rPr>
                <w:rFonts w:hint="eastAsia" w:ascii="宋体" w:hAnsi="宋体" w:eastAsia="宋体" w:cs="宋体"/>
                <w:sz w:val="24"/>
                <w:szCs w:val="24"/>
              </w:rPr>
            </w:r>
            <w:r/>
          </w:p>
        </w:tc>
        <w:tc>
          <w:tcPr>
            <w:tcW w:w="5084" w:type="dxa"/>
            <w:vAlign w:val="center"/>
            <w:textDirection w:val="lrTb"/>
            <w:noWrap w:val="false"/>
          </w:tcPr>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1、需支持图形化的通道图例监控展示。需支持通过图形化的方式直观表达多路通道和省外通道的关系及运行监控情况。（1分）</w:t>
            </w:r>
            <w:r>
              <w:rPr>
                <w:rFonts w:hint="eastAsia" w:ascii="宋体" w:hAnsi="宋体" w:eastAsia="宋体" w:cs="宋体"/>
                <w:sz w:val="24"/>
                <w:szCs w:val="24"/>
              </w:rPr>
            </w:r>
            <w:r/>
          </w:p>
          <w:p>
            <w:pPr>
              <w:pStyle w:val="889"/>
              <w:ind w:firstLine="0"/>
              <w:spacing w:line="570" w:lineRule="exact"/>
              <w:rPr>
                <w:rFonts w:hint="eastAsia" w:ascii="宋体" w:hAnsi="宋体" w:eastAsia="宋体" w:cs="宋体"/>
                <w:sz w:val="24"/>
                <w:szCs w:val="24"/>
              </w:rPr>
            </w:pPr>
            <w:r>
              <w:rPr>
                <w:rFonts w:hint="eastAsia" w:ascii="宋体" w:hAnsi="宋体" w:eastAsia="宋体" w:cs="宋体"/>
                <w:sz w:val="24"/>
                <w:szCs w:val="24"/>
              </w:rPr>
              <w:t xml:space="preserve">2、支持短信高频发送检测，可通过参数化配置对单位时间内手机号的发送频率进行监控，一旦超出阈值立即发出告警；支持对欺诈短信进行检测并告警。（1分）</w:t>
            </w:r>
            <w:r>
              <w:rPr>
                <w:rFonts w:hint="eastAsia" w:ascii="宋体" w:hAnsi="宋体" w:eastAsia="宋体" w:cs="宋体"/>
                <w:sz w:val="24"/>
                <w:szCs w:val="24"/>
              </w:rPr>
            </w:r>
            <w:r/>
          </w:p>
        </w:tc>
      </w:tr>
    </w:tbl>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ascii="黑体" w:eastAsia="黑体"/>
          <w:bCs/>
          <w:sz w:val="44"/>
        </w:rPr>
      </w:pPr>
      <w:r>
        <w:rPr>
          <w:rFonts w:ascii="黑体" w:eastAsia="黑体"/>
          <w:bCs/>
          <w:sz w:val="44"/>
        </w:rPr>
      </w:r>
      <w:r/>
    </w:p>
    <w:p>
      <w:pPr>
        <w:pStyle w:val="890"/>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71"/>
      <w:r>
        <w:rPr>
          <w:rFonts w:hint="eastAsia" w:ascii="黑体" w:eastAsia="黑体"/>
          <w:bCs/>
          <w:sz w:val="44"/>
        </w:rPr>
        <w:t xml:space="preserve">文件格式 </w:t>
      </w:r>
      <w:r>
        <w:rPr>
          <w:rFonts w:hint="eastAsia" w:ascii="黑体" w:eastAsia="黑体"/>
          <w:bCs/>
          <w:sz w:val="44"/>
        </w:rPr>
      </w:r>
      <w:r/>
    </w:p>
    <w:p>
      <w:pPr>
        <w:pStyle w:val="889"/>
        <w:jc w:val="center"/>
        <w:rPr>
          <w:rFonts w:hint="eastAsia" w:ascii="宋体" w:hAnsi="宋体"/>
          <w:b/>
          <w:sz w:val="72"/>
        </w:rPr>
      </w:pPr>
      <w:r/>
      <w:bookmarkStart w:id="272" w:name="_Hlt26671244"/>
      <w:r/>
      <w:bookmarkEnd w:id="272"/>
      <w:r/>
      <w:bookmarkStart w:id="273" w:name="_Hlt26955039"/>
      <w:r/>
      <w:bookmarkEnd w:id="273"/>
      <w:r/>
      <w:bookmarkStart w:id="274" w:name="_Toc120614282"/>
      <w:r/>
      <w:bookmarkStart w:id="275" w:name="_Toc49090576"/>
      <w:r/>
      <w:bookmarkStart w:id="276" w:name="_Toc26554094"/>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rPr>
          <w:rFonts w:hint="eastAsia" w:ascii="宋体" w:hAnsi="宋体"/>
          <w:color w:val="000000"/>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rPr>
          <w:rFonts w:ascii="宋体" w:hAnsi="宋体"/>
          <w:b/>
          <w:color w:val="ff0000"/>
          <w:sz w:val="24"/>
          <w:szCs w:val="24"/>
        </w:rPr>
      </w:pPr>
      <w:r>
        <w:rPr>
          <w:rFonts w:ascii="宋体" w:hAnsi="宋体"/>
          <w:b/>
          <w:color w:val="ff0000"/>
          <w:sz w:val="24"/>
          <w:szCs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rPr>
          <w:rFonts w:ascii="宋体" w:hAnsi="宋体"/>
          <w:sz w:val="24"/>
          <w:szCs w:val="24"/>
        </w:rPr>
      </w:pPr>
      <w:r>
        <w:rPr>
          <w:rFonts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w:t>
            </w:r>
            <w:r>
              <w:rPr>
                <w:rFonts w:ascii="宋体" w:hAnsi="宋体" w:eastAsia="宋体"/>
                <w:sz w:val="24"/>
                <w:szCs w:val="24"/>
                <w:lang w:val="en-US" w:eastAsia="zh-CN"/>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889"/>
              <w:spacing w:line="0" w:lineRule="atLeast"/>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bl>
    <w:p>
      <w:pPr>
        <w:pStyle w:val="88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89"/>
        <w:spacing w:line="0" w:lineRule="atLeast"/>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rPr>
          <w:rFonts w:hint="eastAsia" w:ascii="宋体" w:hAnsi="宋体" w:eastAsia="宋体" w:cs="宋体"/>
          <w:color w:val="000000"/>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
          <w:color w:val="000000"/>
          <w:sz w:val="24"/>
        </w:rPr>
      </w:pPr>
      <w:r>
        <w:rPr>
          <w:rFonts w:hint="eastAsia"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3"/>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274"/>
      <w:r/>
      <w:bookmarkEnd w:id="275"/>
      <w:r/>
      <w:bookmarkEnd w:id="276"/>
      <w:r/>
      <w:bookmarkStart w:id="277"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9"/>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9"/>
        <w:spacing w:line="400" w:lineRule="exact"/>
        <w:rPr>
          <w:rFonts w:ascii="宋体" w:hAnsi="宋体"/>
          <w:color w:val="000000"/>
          <w:sz w:val="24"/>
          <w:szCs w:val="24"/>
        </w:rPr>
      </w:pPr>
      <w:r>
        <w:rPr>
          <w:rFonts w:ascii="宋体" w:hAnsi="宋体"/>
          <w:color w:val="000000"/>
          <w:sz w:val="24"/>
          <w:szCs w:val="24"/>
        </w:rPr>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9"/>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89"/>
        <w:spacing w:line="400" w:lineRule="exact"/>
        <w:rPr>
          <w:rFonts w:hint="eastAsia" w:ascii="宋体" w:hAnsi="宋体"/>
          <w:color w:val="ff0000"/>
          <w:sz w:val="24"/>
          <w:szCs w:val="24"/>
        </w:rPr>
      </w:pPr>
      <w:r>
        <w:rPr>
          <w:rFonts w:hint="eastAsia" w:ascii="宋体" w:hAnsi="宋体"/>
          <w:color w:val="ff0000"/>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黑体" w:hAnsi="黑体" w:eastAsia="黑体"/>
          <w:b/>
          <w:sz w:val="32"/>
          <w:szCs w:val="32"/>
        </w:rPr>
      </w:pPr>
      <w:r>
        <w:rPr>
          <w:rFonts w:hint="eastAsia" w:ascii="黑体" w:hAnsi="黑体" w:eastAsia="黑体"/>
          <w:b/>
          <w:sz w:val="32"/>
          <w:szCs w:val="32"/>
        </w:rPr>
      </w:r>
      <w:r/>
    </w:p>
    <w:p>
      <w:pPr>
        <w:pStyle w:val="889"/>
        <w:rPr>
          <w:rFonts w:hint="eastAsia" w:ascii="宋体" w:hAnsi="宋体" w:cs="仿宋"/>
          <w:b/>
          <w:bCs/>
          <w:sz w:val="32"/>
          <w:szCs w:val="32"/>
        </w:rPr>
      </w:pPr>
      <w:r/>
      <w:bookmarkEnd w:id="189"/>
      <w:r/>
      <w:bookmarkEnd w:id="190"/>
      <w:r/>
      <w:bookmarkEnd w:id="277"/>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53"/>
        <w:rPr>
          <w:rFonts w:hint="eastAsia"/>
          <w:sz w:val="24"/>
          <w:szCs w:val="24"/>
        </w:rPr>
      </w:pPr>
      <w:r>
        <w:rPr>
          <w:rFonts w:hint="eastAsia"/>
          <w:sz w:val="24"/>
          <w:szCs w:val="24"/>
        </w:rPr>
      </w:r>
      <w:r/>
    </w:p>
    <w:p>
      <w:pPr>
        <w:pStyle w:val="95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04"/>
        <w:rFonts w:ascii="宋体" w:hAnsi="宋体"/>
      </w:rPr>
      <w:framePr w:wrap="around" w:vAnchor="text" w:hAnchor="margin" w:xAlign="center" w:y="1"/>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12</w:t>
    </w:r>
    <w:r>
      <w:rPr>
        <w:rFonts w:ascii="宋体" w:hAnsi="宋体"/>
      </w:rPr>
      <w:fldChar w:fldCharType="end"/>
    </w:r>
    <w:r>
      <w:rPr>
        <w:rStyle w:val="904"/>
        <w:rFonts w:ascii="宋体" w:hAnsi="宋体"/>
      </w:rPr>
    </w:r>
    <w:r/>
  </w:p>
  <w:p>
    <w:pPr>
      <w:pStyle w:val="95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rPr>
        <w:rStyle w:val="904"/>
      </w:rPr>
    </w:r>
    <w:r/>
  </w:p>
  <w:p>
    <w:pPr>
      <w:pStyle w:val="95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1"/>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7"/>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18"/>
    <w:qFormat/>
    <w:pPr>
      <w:jc w:val="center"/>
      <w:keepNext/>
      <w:outlineLvl w:val="0"/>
    </w:pPr>
    <w:rPr>
      <w:rFonts w:ascii="楷体_GB2312" w:eastAsia="楷体_GB2312"/>
      <w:sz w:val="28"/>
      <w:szCs w:val="28"/>
    </w:rPr>
  </w:style>
  <w:style w:type="paragraph" w:styleId="891">
    <w:name w:val="标题 2"/>
    <w:basedOn w:val="889"/>
    <w:next w:val="953"/>
    <w:link w:val="919"/>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53"/>
    <w:link w:val="907"/>
    <w:qFormat/>
    <w:pPr>
      <w:keepLines/>
      <w:keepNext/>
      <w:spacing w:before="260" w:after="260" w:line="416" w:lineRule="auto"/>
      <w:outlineLvl w:val="2"/>
    </w:pPr>
    <w:rPr>
      <w:b/>
      <w:bCs/>
      <w:sz w:val="32"/>
      <w:szCs w:val="32"/>
    </w:rPr>
  </w:style>
  <w:style w:type="paragraph" w:styleId="893">
    <w:name w:val="标题 4"/>
    <w:basedOn w:val="889"/>
    <w:next w:val="953"/>
    <w:link w:val="920"/>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53"/>
    <w:link w:val="910"/>
    <w:qFormat/>
    <w:pPr>
      <w:keepNext/>
      <w:outlineLvl w:val="4"/>
    </w:pPr>
    <w:rPr>
      <w:rFonts w:ascii="宋体"/>
      <w:color w:val="000000"/>
      <w:sz w:val="28"/>
      <w:szCs w:val="28"/>
    </w:rPr>
  </w:style>
  <w:style w:type="paragraph" w:styleId="895">
    <w:name w:val="标题 6"/>
    <w:basedOn w:val="889"/>
    <w:next w:val="889"/>
    <w:link w:val="921"/>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22"/>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23"/>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24"/>
    <w:qFormat/>
    <w:pPr>
      <w:numPr>
        <w:ilvl w:val="8"/>
        <w:numId w:val="1"/>
      </w:numPr>
      <w:keepLines/>
      <w:keepNext/>
      <w:spacing w:before="240" w:after="64" w:line="320" w:lineRule="auto"/>
      <w:outlineLvl w:val="8"/>
    </w:pPr>
    <w:rPr>
      <w:rFonts w:ascii="Arial" w:hAnsi="Arial" w:eastAsia="黑体"/>
    </w:rPr>
  </w:style>
  <w:style w:type="character" w:styleId="899">
    <w:name w:val="默认段落字体"/>
    <w:next w:val="899"/>
    <w:link w:val="889"/>
    <w:uiPriority w:val="1"/>
    <w:unhideWhenUsed/>
  </w:style>
  <w:style w:type="table" w:styleId="900">
    <w:name w:val="普通表格"/>
    <w:next w:val="900"/>
    <w:link w:val="88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01">
    <w:name w:val="已访问的超链接"/>
    <w:next w:val="901"/>
    <w:link w:val="889"/>
    <w:rPr>
      <w:color w:val="800080"/>
      <w:u w:val="single"/>
    </w:rPr>
  </w:style>
  <w:style w:type="character" w:styleId="902">
    <w:name w:val="批注引用"/>
    <w:next w:val="902"/>
    <w:link w:val="889"/>
    <w:semiHidden/>
    <w:rPr>
      <w:sz w:val="21"/>
      <w:szCs w:val="21"/>
    </w:rPr>
  </w:style>
  <w:style w:type="character" w:styleId="903">
    <w:name w:val="要点"/>
    <w:next w:val="903"/>
    <w:link w:val="889"/>
    <w:qFormat/>
    <w:rPr>
      <w:b/>
      <w:bCs/>
    </w:rPr>
  </w:style>
  <w:style w:type="character" w:styleId="904">
    <w:name w:val="页码"/>
    <w:next w:val="904"/>
    <w:link w:val="889"/>
  </w:style>
  <w:style w:type="character" w:styleId="905">
    <w:name w:val="超链接"/>
    <w:next w:val="905"/>
    <w:link w:val="889"/>
    <w:rPr>
      <w:color w:val="0000ff"/>
      <w:u w:val="single"/>
    </w:rPr>
  </w:style>
  <w:style w:type="character" w:styleId="906">
    <w:name w:val="纯文本 Char"/>
    <w:next w:val="906"/>
    <w:link w:val="948"/>
    <w:rPr>
      <w:rFonts w:ascii="宋体" w:hAnsi="Courier New" w:eastAsia="宋体" w:cs="Courier New"/>
      <w:szCs w:val="21"/>
    </w:rPr>
  </w:style>
  <w:style w:type="character" w:styleId="907">
    <w:name w:val="标题 3 Char"/>
    <w:next w:val="907"/>
    <w:link w:val="892"/>
    <w:rPr>
      <w:rFonts w:ascii="Times New Roman" w:hAnsi="Times New Roman" w:eastAsia="宋体" w:cs="Times New Roman"/>
      <w:b/>
      <w:bCs/>
      <w:sz w:val="32"/>
      <w:szCs w:val="32"/>
    </w:rPr>
  </w:style>
  <w:style w:type="character" w:styleId="908">
    <w:name w:val="正文文本缩进 2 Char"/>
    <w:next w:val="908"/>
    <w:link w:val="949"/>
    <w:rPr>
      <w:rFonts w:ascii="Arial" w:hAnsi="Arial" w:eastAsia="仿宋_GB2312" w:cs="Arial"/>
      <w:sz w:val="32"/>
      <w:szCs w:val="32"/>
    </w:rPr>
  </w:style>
  <w:style w:type="character" w:styleId="909">
    <w:name w:val="正文缩进 Char"/>
    <w:next w:val="909"/>
    <w:link w:val="953"/>
    <w:rPr>
      <w:rFonts w:ascii="Times New Roman" w:hAnsi="Times New Roman" w:eastAsia="宋体" w:cs="Times New Roman"/>
      <w:szCs w:val="21"/>
    </w:rPr>
  </w:style>
  <w:style w:type="character" w:styleId="910">
    <w:name w:val="标题 5 Char"/>
    <w:next w:val="910"/>
    <w:link w:val="894"/>
    <w:rPr>
      <w:rFonts w:ascii="宋体" w:hAnsi="Times New Roman" w:eastAsia="宋体" w:cs="Times New Roman"/>
      <w:color w:val="000000"/>
      <w:sz w:val="28"/>
      <w:szCs w:val="28"/>
    </w:rPr>
  </w:style>
  <w:style w:type="character" w:styleId="911">
    <w:name w:val="正文文本 2 Char"/>
    <w:next w:val="911"/>
    <w:link w:val="965"/>
    <w:rPr>
      <w:rFonts w:ascii="楷体_GB2312" w:hAnsi="Times New Roman" w:eastAsia="楷体_GB2312" w:cs="Times New Roman"/>
      <w:sz w:val="28"/>
      <w:szCs w:val="28"/>
    </w:rPr>
  </w:style>
  <w:style w:type="character" w:styleId="912">
    <w:name w:val="页眉 Char"/>
    <w:next w:val="912"/>
    <w:link w:val="966"/>
    <w:rPr>
      <w:rFonts w:ascii="Times New Roman" w:hAnsi="Times New Roman" w:eastAsia="宋体" w:cs="Times New Roman"/>
      <w:sz w:val="18"/>
      <w:szCs w:val="18"/>
    </w:rPr>
  </w:style>
  <w:style w:type="character" w:styleId="913">
    <w:name w:val="二级目录 Char"/>
    <w:next w:val="913"/>
    <w:link w:val="971"/>
    <w:rPr>
      <w:b/>
      <w:sz w:val="30"/>
      <w:szCs w:val="28"/>
    </w:rPr>
  </w:style>
  <w:style w:type="character" w:styleId="914">
    <w:name w:val="正文首行缩进 2 Char"/>
    <w:next w:val="914"/>
    <w:link w:val="964"/>
    <w:rPr>
      <w:rFonts w:ascii="宋体" w:hAnsi="宋体" w:eastAsia="宋体" w:cs="Times New Roman"/>
      <w:sz w:val="32"/>
      <w:szCs w:val="20"/>
    </w:rPr>
  </w:style>
  <w:style w:type="character" w:styleId="915">
    <w:name w:val="列出段落 Char,Bullet List Char,numbered Char,FooterText Char,List Paragraph1 Char,Paragraphe de liste1 Char"/>
    <w:next w:val="915"/>
    <w:link w:val="968"/>
    <w:rPr>
      <w:rFonts w:ascii="Calibri" w:hAnsi="Calibri"/>
      <w:sz w:val="24"/>
      <w:szCs w:val="24"/>
      <w:lang w:eastAsia="en-US" w:bidi="en-US"/>
    </w:rPr>
  </w:style>
  <w:style w:type="character" w:styleId="916">
    <w:name w:val="正文首行缩进 Char"/>
    <w:next w:val="916"/>
    <w:link w:val="947"/>
    <w:rPr>
      <w:rFonts w:ascii="仿宋_GB2312" w:hAnsi="Times New Roman" w:eastAsia="仿宋_GB2312" w:cs="Times New Roman"/>
      <w:sz w:val="30"/>
      <w:szCs w:val="30"/>
    </w:rPr>
  </w:style>
  <w:style w:type="character" w:styleId="917">
    <w:name w:val="批注主题 Char"/>
    <w:next w:val="917"/>
    <w:link w:val="935"/>
    <w:semiHidden/>
    <w:rPr>
      <w:rFonts w:ascii="Times New Roman" w:hAnsi="Times New Roman" w:eastAsia="宋体" w:cs="Times New Roman"/>
      <w:b/>
      <w:bCs/>
      <w:szCs w:val="21"/>
    </w:rPr>
  </w:style>
  <w:style w:type="character" w:styleId="918">
    <w:name w:val="标题 1 Char"/>
    <w:next w:val="918"/>
    <w:link w:val="890"/>
    <w:rPr>
      <w:rFonts w:ascii="楷体_GB2312" w:hAnsi="Times New Roman" w:eastAsia="楷体_GB2312" w:cs="Times New Roman"/>
      <w:sz w:val="28"/>
      <w:szCs w:val="28"/>
    </w:rPr>
  </w:style>
  <w:style w:type="character" w:styleId="919">
    <w:name w:val="标题 2 Char"/>
    <w:next w:val="919"/>
    <w:link w:val="891"/>
    <w:rPr>
      <w:rFonts w:ascii="Arial" w:hAnsi="Arial" w:eastAsia="幼圆" w:cs="Arial"/>
      <w:b/>
      <w:bCs/>
      <w:sz w:val="44"/>
      <w:szCs w:val="44"/>
    </w:rPr>
  </w:style>
  <w:style w:type="character" w:styleId="920">
    <w:name w:val="标题 4 Char"/>
    <w:next w:val="920"/>
    <w:link w:val="893"/>
    <w:rPr>
      <w:rFonts w:ascii="Arial" w:hAnsi="Arial" w:eastAsia="黑体" w:cs="Arial"/>
      <w:b/>
      <w:bCs/>
      <w:sz w:val="28"/>
      <w:szCs w:val="28"/>
    </w:rPr>
  </w:style>
  <w:style w:type="character" w:styleId="921">
    <w:name w:val="标题 6 Char"/>
    <w:next w:val="921"/>
    <w:link w:val="895"/>
    <w:rPr>
      <w:rFonts w:ascii="Arial" w:hAnsi="Arial" w:eastAsia="黑体" w:cs="Times New Roman"/>
      <w:b/>
      <w:bCs/>
      <w:sz w:val="24"/>
      <w:szCs w:val="24"/>
    </w:rPr>
  </w:style>
  <w:style w:type="character" w:styleId="922">
    <w:name w:val="标题 7 Char"/>
    <w:next w:val="922"/>
    <w:link w:val="896"/>
    <w:rPr>
      <w:rFonts w:ascii="Times New Roman" w:hAnsi="Times New Roman" w:eastAsia="宋体" w:cs="Times New Roman"/>
      <w:b/>
      <w:bCs/>
      <w:sz w:val="24"/>
      <w:szCs w:val="24"/>
    </w:rPr>
  </w:style>
  <w:style w:type="character" w:styleId="923">
    <w:name w:val="标题 8 Char"/>
    <w:next w:val="923"/>
    <w:link w:val="897"/>
    <w:rPr>
      <w:rFonts w:ascii="Arial" w:hAnsi="Arial" w:eastAsia="黑体" w:cs="Times New Roman"/>
      <w:sz w:val="24"/>
      <w:szCs w:val="24"/>
    </w:rPr>
  </w:style>
  <w:style w:type="character" w:styleId="924">
    <w:name w:val="标题 9 Char"/>
    <w:next w:val="924"/>
    <w:link w:val="898"/>
    <w:rPr>
      <w:rFonts w:ascii="Arial" w:hAnsi="Arial" w:eastAsia="黑体" w:cs="Times New Roman"/>
      <w:szCs w:val="21"/>
    </w:rPr>
  </w:style>
  <w:style w:type="character" w:styleId="925">
    <w:name w:val="文档结构图 Char"/>
    <w:next w:val="925"/>
    <w:link w:val="944"/>
    <w:semiHidden/>
    <w:rPr>
      <w:rFonts w:ascii="Times New Roman" w:hAnsi="Times New Roman" w:eastAsia="宋体" w:cs="Times New Roman"/>
      <w:szCs w:val="21"/>
      <w:shd w:val="clear" w:color="auto" w:fill="000080"/>
    </w:rPr>
  </w:style>
  <w:style w:type="character" w:styleId="926">
    <w:name w:val="批注文字 Char"/>
    <w:next w:val="926"/>
    <w:link w:val="952"/>
    <w:semiHidden/>
    <w:rPr>
      <w:rFonts w:ascii="Times New Roman" w:hAnsi="Times New Roman" w:eastAsia="宋体" w:cs="Times New Roman"/>
      <w:szCs w:val="21"/>
    </w:rPr>
  </w:style>
  <w:style w:type="character" w:styleId="927">
    <w:name w:val="正文文本 3 Char"/>
    <w:next w:val="927"/>
    <w:link w:val="943"/>
    <w:rPr>
      <w:rFonts w:ascii="仿宋_GB2312" w:hAnsi="Arial" w:eastAsia="仿宋_GB2312" w:cs="Times New Roman"/>
      <w:sz w:val="32"/>
      <w:szCs w:val="32"/>
    </w:rPr>
  </w:style>
  <w:style w:type="character" w:styleId="928">
    <w:name w:val="正文文本 Char"/>
    <w:next w:val="928"/>
    <w:link w:val="954"/>
    <w:rPr>
      <w:rFonts w:ascii="楷体_GB2312" w:hAnsi="Arial" w:eastAsia="楷体_GB2312" w:cs="Times New Roman"/>
      <w:sz w:val="28"/>
      <w:szCs w:val="28"/>
    </w:rPr>
  </w:style>
  <w:style w:type="character" w:styleId="929">
    <w:name w:val="正文文本缩进 Char"/>
    <w:next w:val="929"/>
    <w:link w:val="946"/>
    <w:rPr>
      <w:rFonts w:ascii="楷体_GB2312" w:hAnsi="Times New Roman" w:eastAsia="楷体_GB2312" w:cs="Times New Roman"/>
      <w:sz w:val="32"/>
      <w:szCs w:val="32"/>
    </w:rPr>
  </w:style>
  <w:style w:type="character" w:styleId="930">
    <w:name w:val="日期 Char"/>
    <w:next w:val="930"/>
    <w:link w:val="962"/>
    <w:rPr>
      <w:rFonts w:ascii="Times New Roman" w:hAnsi="Times New Roman" w:eastAsia="宋体" w:cs="Times New Roman"/>
      <w:sz w:val="24"/>
      <w:szCs w:val="24"/>
    </w:rPr>
  </w:style>
  <w:style w:type="character" w:styleId="931">
    <w:name w:val="批注框文本 Char"/>
    <w:next w:val="931"/>
    <w:link w:val="940"/>
    <w:semiHidden/>
    <w:rPr>
      <w:rFonts w:ascii="Times New Roman" w:hAnsi="Times New Roman" w:eastAsia="宋体" w:cs="Times New Roman"/>
      <w:sz w:val="18"/>
      <w:szCs w:val="18"/>
    </w:rPr>
  </w:style>
  <w:style w:type="character" w:styleId="932">
    <w:name w:val="页脚 Char"/>
    <w:next w:val="932"/>
    <w:link w:val="957"/>
    <w:uiPriority w:val="99"/>
    <w:rPr>
      <w:rFonts w:ascii="Times New Roman" w:hAnsi="Times New Roman" w:eastAsia="宋体" w:cs="Times New Roman"/>
      <w:sz w:val="18"/>
      <w:szCs w:val="18"/>
    </w:rPr>
  </w:style>
  <w:style w:type="character" w:styleId="933">
    <w:name w:val="正文文本缩进 3 Char"/>
    <w:next w:val="933"/>
    <w:link w:val="937"/>
    <w:rPr>
      <w:rFonts w:ascii="Arial" w:hAnsi="Arial" w:eastAsia="仿宋_GB2312" w:cs="Arial"/>
      <w:color w:val="ffff00"/>
      <w:sz w:val="32"/>
      <w:szCs w:val="32"/>
    </w:rPr>
  </w:style>
  <w:style w:type="character" w:styleId="934">
    <w:name w:val="font5 Char"/>
    <w:next w:val="934"/>
    <w:link w:val="889"/>
    <w:rPr>
      <w:rFonts w:ascii="宋体" w:hAnsi="宋体" w:eastAsia="宋体"/>
      <w:sz w:val="28"/>
      <w:szCs w:val="28"/>
      <w:lang w:val="en-US" w:eastAsia="zh-CN" w:bidi="ar-SA"/>
    </w:rPr>
  </w:style>
  <w:style w:type="paragraph" w:styleId="935">
    <w:name w:val="批注主题"/>
    <w:basedOn w:val="952"/>
    <w:next w:val="952"/>
    <w:link w:val="917"/>
    <w:semiHidden/>
    <w:rPr>
      <w:b/>
      <w:bCs/>
    </w:rPr>
  </w:style>
  <w:style w:type="paragraph" w:styleId="936">
    <w:name w:val="普通(网站)"/>
    <w:basedOn w:val="889"/>
    <w:next w:val="936"/>
    <w:link w:val="889"/>
    <w:uiPriority w:val="99"/>
    <w:pPr>
      <w:jc w:val="left"/>
      <w:spacing w:before="100" w:beforeAutospacing="1" w:after="100" w:afterAutospacing="1"/>
      <w:widowControl/>
    </w:pPr>
    <w:rPr>
      <w:rFonts w:ascii="宋体" w:hAnsi="宋体" w:cs="宋体"/>
      <w:sz w:val="24"/>
      <w:szCs w:val="24"/>
    </w:rPr>
  </w:style>
  <w:style w:type="paragraph" w:styleId="937">
    <w:name w:val="正文文本缩进 3"/>
    <w:basedOn w:val="889"/>
    <w:next w:val="937"/>
    <w:link w:val="933"/>
    <w:pPr>
      <w:ind w:left="645" w:firstLine="645"/>
    </w:pPr>
    <w:rPr>
      <w:rFonts w:ascii="Arial" w:hAnsi="Arial" w:eastAsia="仿宋_GB2312" w:cs="Arial"/>
      <w:color w:val="ffff00"/>
      <w:sz w:val="32"/>
      <w:szCs w:val="32"/>
    </w:rPr>
  </w:style>
  <w:style w:type="paragraph" w:styleId="938">
    <w:name w:val="目录 4"/>
    <w:basedOn w:val="889"/>
    <w:next w:val="889"/>
    <w:link w:val="889"/>
    <w:semiHidden/>
    <w:pPr>
      <w:ind w:left="630"/>
      <w:jc w:val="left"/>
    </w:pPr>
  </w:style>
  <w:style w:type="paragraph" w:styleId="939">
    <w:name w:val="列表 3"/>
    <w:basedOn w:val="889"/>
    <w:next w:val="939"/>
    <w:link w:val="889"/>
    <w:pPr>
      <w:ind w:left="100" w:hanging="200"/>
    </w:pPr>
  </w:style>
  <w:style w:type="paragraph" w:styleId="940">
    <w:name w:val="批注框文本"/>
    <w:basedOn w:val="889"/>
    <w:next w:val="940"/>
    <w:link w:val="931"/>
    <w:semiHidden/>
    <w:rPr>
      <w:sz w:val="18"/>
      <w:szCs w:val="18"/>
    </w:rPr>
  </w:style>
  <w:style w:type="paragraph" w:styleId="941">
    <w:name w:val="索引 1"/>
    <w:basedOn w:val="889"/>
    <w:next w:val="889"/>
    <w:link w:val="889"/>
    <w:semiHidden/>
    <w:pPr>
      <w:spacing w:line="240" w:lineRule="atLeast"/>
    </w:pPr>
    <w:rPr>
      <w:b/>
      <w:bCs/>
    </w:rPr>
  </w:style>
  <w:style w:type="paragraph" w:styleId="942">
    <w:name w:val="目录 8"/>
    <w:basedOn w:val="889"/>
    <w:next w:val="889"/>
    <w:link w:val="889"/>
    <w:semiHidden/>
    <w:pPr>
      <w:ind w:left="1470"/>
      <w:jc w:val="left"/>
    </w:pPr>
  </w:style>
  <w:style w:type="paragraph" w:styleId="943">
    <w:name w:val="正文文本 3"/>
    <w:basedOn w:val="889"/>
    <w:next w:val="943"/>
    <w:link w:val="927"/>
    <w:rPr>
      <w:rFonts w:ascii="仿宋_GB2312" w:hAnsi="Arial" w:eastAsia="仿宋_GB2312"/>
      <w:sz w:val="32"/>
      <w:szCs w:val="32"/>
    </w:rPr>
  </w:style>
  <w:style w:type="paragraph" w:styleId="944">
    <w:name w:val="文档结构图"/>
    <w:basedOn w:val="889"/>
    <w:next w:val="944"/>
    <w:link w:val="925"/>
    <w:semiHidden/>
    <w:pPr>
      <w:shd w:val="clear" w:color="auto" w:fill="000080"/>
    </w:pPr>
  </w:style>
  <w:style w:type="paragraph" w:styleId="945">
    <w:name w:val="列表"/>
    <w:basedOn w:val="889"/>
    <w:next w:val="945"/>
    <w:link w:val="889"/>
    <w:pPr>
      <w:ind w:left="200" w:hanging="200"/>
    </w:pPr>
  </w:style>
  <w:style w:type="paragraph" w:styleId="946">
    <w:name w:val="正文文本缩进"/>
    <w:basedOn w:val="889"/>
    <w:next w:val="946"/>
    <w:link w:val="929"/>
    <w:pPr>
      <w:ind w:firstLine="645"/>
    </w:pPr>
    <w:rPr>
      <w:rFonts w:ascii="楷体_GB2312" w:eastAsia="楷体_GB2312"/>
      <w:sz w:val="32"/>
      <w:szCs w:val="32"/>
    </w:rPr>
  </w:style>
  <w:style w:type="paragraph" w:styleId="947">
    <w:name w:val="正文首行缩进"/>
    <w:basedOn w:val="889"/>
    <w:next w:val="947"/>
    <w:link w:val="916"/>
    <w:pPr>
      <w:ind w:firstLine="200"/>
      <w:spacing w:line="360" w:lineRule="auto"/>
    </w:pPr>
    <w:rPr>
      <w:rFonts w:ascii="仿宋_GB2312" w:eastAsia="仿宋_GB2312"/>
      <w:sz w:val="30"/>
      <w:szCs w:val="30"/>
    </w:rPr>
  </w:style>
  <w:style w:type="paragraph" w:styleId="948">
    <w:name w:val="纯文本"/>
    <w:basedOn w:val="889"/>
    <w:next w:val="948"/>
    <w:link w:val="906"/>
    <w:rPr>
      <w:rFonts w:ascii="宋体" w:hAnsi="Courier New" w:cs="Courier New"/>
    </w:rPr>
  </w:style>
  <w:style w:type="paragraph" w:styleId="949">
    <w:name w:val="正文文本缩进 2"/>
    <w:basedOn w:val="889"/>
    <w:next w:val="949"/>
    <w:link w:val="908"/>
    <w:pPr>
      <w:ind w:left="630" w:firstLine="645"/>
    </w:pPr>
    <w:rPr>
      <w:rFonts w:ascii="Arial" w:hAnsi="Arial" w:eastAsia="仿宋_GB2312" w:cs="Arial"/>
      <w:sz w:val="32"/>
      <w:szCs w:val="32"/>
    </w:rPr>
  </w:style>
  <w:style w:type="paragraph" w:styleId="950">
    <w:name w:val="目录 7"/>
    <w:basedOn w:val="889"/>
    <w:next w:val="889"/>
    <w:link w:val="889"/>
    <w:semiHidden/>
    <w:pPr>
      <w:ind w:left="1260"/>
      <w:jc w:val="left"/>
    </w:pPr>
  </w:style>
  <w:style w:type="paragraph" w:styleId="951">
    <w:name w:val="目录 3"/>
    <w:basedOn w:val="889"/>
    <w:next w:val="889"/>
    <w:link w:val="889"/>
    <w:semiHidden/>
    <w:pPr>
      <w:ind w:left="420"/>
      <w:jc w:val="left"/>
    </w:pPr>
    <w:rPr>
      <w:i/>
      <w:iCs/>
      <w:szCs w:val="24"/>
    </w:rPr>
  </w:style>
  <w:style w:type="paragraph" w:styleId="952">
    <w:name w:val="批注文字"/>
    <w:basedOn w:val="889"/>
    <w:next w:val="952"/>
    <w:link w:val="926"/>
    <w:semiHidden/>
    <w:pPr>
      <w:jc w:val="left"/>
    </w:pPr>
  </w:style>
  <w:style w:type="paragraph" w:styleId="953">
    <w:name w:val="正文缩进"/>
    <w:basedOn w:val="889"/>
    <w:next w:val="953"/>
    <w:link w:val="909"/>
    <w:pPr>
      <w:ind w:firstLine="420"/>
    </w:pPr>
  </w:style>
  <w:style w:type="paragraph" w:styleId="954">
    <w:name w:val="正文文本"/>
    <w:basedOn w:val="889"/>
    <w:next w:val="954"/>
    <w:link w:val="928"/>
    <w:rPr>
      <w:rFonts w:ascii="楷体_GB2312" w:hAnsi="Arial" w:eastAsia="楷体_GB2312"/>
      <w:sz w:val="28"/>
      <w:szCs w:val="28"/>
    </w:rPr>
  </w:style>
  <w:style w:type="paragraph" w:styleId="955">
    <w:name w:val="图表目录"/>
    <w:basedOn w:val="889"/>
    <w:next w:val="889"/>
    <w:link w:val="889"/>
    <w:semiHidden/>
    <w:pPr>
      <w:ind w:left="840" w:hanging="420"/>
    </w:pPr>
  </w:style>
  <w:style w:type="paragraph" w:styleId="956">
    <w:name w:val="目录 6"/>
    <w:basedOn w:val="889"/>
    <w:next w:val="889"/>
    <w:link w:val="889"/>
    <w:semiHidden/>
    <w:pPr>
      <w:ind w:left="1050"/>
      <w:jc w:val="left"/>
    </w:pPr>
  </w:style>
  <w:style w:type="paragraph" w:styleId="957">
    <w:name w:val="页脚"/>
    <w:basedOn w:val="889"/>
    <w:next w:val="957"/>
    <w:link w:val="932"/>
    <w:uiPriority w:val="99"/>
    <w:pPr>
      <w:jc w:val="left"/>
      <w:tabs>
        <w:tab w:val="center" w:pos="4153" w:leader="none"/>
        <w:tab w:val="right" w:pos="8306" w:leader="none"/>
      </w:tabs>
    </w:pPr>
    <w:rPr>
      <w:sz w:val="18"/>
      <w:szCs w:val="18"/>
    </w:rPr>
  </w:style>
  <w:style w:type="paragraph" w:styleId="958">
    <w:name w:val="目录 2"/>
    <w:basedOn w:val="889"/>
    <w:next w:val="889"/>
    <w:link w:val="889"/>
    <w:semiHidden/>
    <w:pPr>
      <w:ind w:left="210"/>
      <w:jc w:val="left"/>
    </w:pPr>
    <w:rPr>
      <w:smallCaps/>
      <w:szCs w:val="24"/>
    </w:rPr>
  </w:style>
  <w:style w:type="paragraph" w:styleId="959">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60">
    <w:name w:val="目录 5"/>
    <w:basedOn w:val="889"/>
    <w:next w:val="889"/>
    <w:link w:val="889"/>
    <w:semiHidden/>
    <w:pPr>
      <w:ind w:left="840"/>
      <w:jc w:val="left"/>
    </w:pPr>
  </w:style>
  <w:style w:type="paragraph" w:styleId="961">
    <w:name w:val="目录 9"/>
    <w:basedOn w:val="889"/>
    <w:next w:val="889"/>
    <w:link w:val="889"/>
    <w:semiHidden/>
    <w:pPr>
      <w:ind w:left="1680"/>
      <w:jc w:val="left"/>
    </w:pPr>
  </w:style>
  <w:style w:type="paragraph" w:styleId="962">
    <w:name w:val="日期"/>
    <w:basedOn w:val="889"/>
    <w:next w:val="889"/>
    <w:link w:val="930"/>
    <w:rPr>
      <w:sz w:val="24"/>
      <w:szCs w:val="24"/>
    </w:rPr>
  </w:style>
  <w:style w:type="paragraph" w:styleId="963">
    <w:name w:val="列表 2"/>
    <w:basedOn w:val="889"/>
    <w:next w:val="963"/>
    <w:link w:val="889"/>
    <w:pPr>
      <w:ind w:left="100" w:hanging="200"/>
    </w:pPr>
  </w:style>
  <w:style w:type="paragraph" w:styleId="964">
    <w:name w:val="正文首行缩进 2"/>
    <w:basedOn w:val="946"/>
    <w:next w:val="964"/>
    <w:link w:val="914"/>
    <w:pPr>
      <w:ind w:firstLine="420"/>
      <w:spacing w:line="360" w:lineRule="auto"/>
    </w:pPr>
    <w:rPr>
      <w:rFonts w:ascii="宋体" w:hAnsi="宋体" w:eastAsia="宋体"/>
      <w:sz w:val="21"/>
      <w:szCs w:val="20"/>
    </w:rPr>
  </w:style>
  <w:style w:type="paragraph" w:styleId="965">
    <w:name w:val="正文文本 2"/>
    <w:basedOn w:val="889"/>
    <w:next w:val="965"/>
    <w:link w:val="911"/>
    <w:pPr>
      <w:jc w:val="center"/>
      <w:widowControl/>
    </w:pPr>
    <w:rPr>
      <w:rFonts w:ascii="楷体_GB2312" w:eastAsia="楷体_GB2312"/>
      <w:sz w:val="28"/>
      <w:szCs w:val="28"/>
    </w:rPr>
  </w:style>
  <w:style w:type="paragraph" w:styleId="966">
    <w:name w:val="页眉"/>
    <w:basedOn w:val="889"/>
    <w:next w:val="966"/>
    <w:link w:val="912"/>
    <w:pPr>
      <w:jc w:val="center"/>
      <w:tabs>
        <w:tab w:val="center" w:pos="4153" w:leader="none"/>
        <w:tab w:val="right" w:pos="8306" w:leader="none"/>
      </w:tabs>
      <w:pBdr>
        <w:bottom w:val="single" w:color="000000" w:sz="6" w:space="1"/>
      </w:pBdr>
    </w:pPr>
    <w:rPr>
      <w:sz w:val="18"/>
      <w:szCs w:val="18"/>
    </w:rPr>
  </w:style>
  <w:style w:type="paragraph" w:styleId="967">
    <w:name w:val=" Char Char Char Char"/>
    <w:basedOn w:val="944"/>
    <w:next w:val="967"/>
    <w:link w:val="889"/>
    <w:pPr>
      <w:spacing w:line="360" w:lineRule="auto"/>
    </w:pPr>
    <w:rPr>
      <w:rFonts w:ascii="Tahoma" w:hAnsi="Tahoma"/>
      <w:sz w:val="24"/>
      <w:szCs w:val="24"/>
    </w:rPr>
  </w:style>
  <w:style w:type="paragraph" w:styleId="968">
    <w:name w:val="列出段落1"/>
    <w:basedOn w:val="889"/>
    <w:next w:val="968"/>
    <w:link w:val="915"/>
    <w:qFormat/>
    <w:pPr>
      <w:contextualSpacing/>
      <w:ind w:left="720"/>
      <w:jc w:val="left"/>
      <w:widowControl/>
    </w:pPr>
    <w:rPr>
      <w:rFonts w:ascii="Calibri" w:hAnsi="Calibri" w:eastAsia="宋体" w:cs="Times New Roman"/>
      <w:sz w:val="24"/>
      <w:szCs w:val="24"/>
      <w:lang w:eastAsia="en-US" w:bidi="en-US"/>
    </w:rPr>
  </w:style>
  <w:style w:type="paragraph" w:styleId="969">
    <w:name w:val="无间隔"/>
    <w:next w:val="969"/>
    <w:link w:val="889"/>
    <w:uiPriority w:val="99"/>
    <w:qFormat/>
    <w:pPr>
      <w:jc w:val="both"/>
      <w:widowControl w:val="off"/>
    </w:pPr>
    <w:rPr>
      <w:rFonts w:ascii="Times New Roman" w:hAnsi="Times New Roman"/>
      <w:sz w:val="21"/>
      <w:szCs w:val="21"/>
      <w:lang w:val="en-US" w:eastAsia="zh-CN" w:bidi="ar-SA"/>
    </w:rPr>
  </w:style>
  <w:style w:type="paragraph" w:styleId="970">
    <w:name w:val="xl24"/>
    <w:basedOn w:val="889"/>
    <w:next w:val="970"/>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name w:val="二级目录"/>
    <w:next w:val="889"/>
    <w:link w:val="913"/>
    <w:pPr>
      <w:numPr>
        <w:ilvl w:val="0"/>
        <w:numId w:val="2"/>
      </w:numPr>
      <w:tabs>
        <w:tab w:val="left" w:pos="907" w:leader="none"/>
        <w:tab w:val="left" w:pos="1145" w:leader="none"/>
      </w:tabs>
      <w:outlineLvl w:val="1"/>
    </w:pPr>
    <w:rPr>
      <w:b/>
      <w:sz w:val="30"/>
      <w:szCs w:val="28"/>
      <w:lang w:val="en-US" w:eastAsia="zh-CN" w:bidi="ar-SA"/>
    </w:rPr>
  </w:style>
  <w:style w:type="paragraph" w:styleId="972">
    <w:name w:val="列出段落"/>
    <w:basedOn w:val="889"/>
    <w:next w:val="972"/>
    <w:link w:val="889"/>
    <w:qFormat/>
    <w:pPr>
      <w:contextualSpacing/>
      <w:ind w:left="720"/>
      <w:jc w:val="left"/>
      <w:widowControl/>
    </w:pPr>
    <w:rPr>
      <w:rFonts w:ascii="Calibri" w:hAnsi="Calibri"/>
      <w:sz w:val="24"/>
      <w:szCs w:val="24"/>
      <w:lang w:eastAsia="en-US" w:bidi="en-US"/>
    </w:rPr>
  </w:style>
  <w:style w:type="paragraph" w:styleId="973">
    <w:name w:val="普通正文"/>
    <w:basedOn w:val="889"/>
    <w:next w:val="973"/>
    <w:link w:val="889"/>
    <w:pPr>
      <w:ind w:firstLine="480"/>
      <w:jc w:val="left"/>
      <w:spacing w:before="120" w:after="120" w:line="360" w:lineRule="auto"/>
    </w:pPr>
    <w:rPr>
      <w:rFonts w:ascii="Arial" w:hAnsi="Arial"/>
      <w:sz w:val="24"/>
      <w:szCs w:val="24"/>
    </w:rPr>
  </w:style>
  <w:style w:type="paragraph" w:styleId="974">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name w:val=" Char"/>
    <w:basedOn w:val="944"/>
    <w:next w:val="975"/>
    <w:link w:val="889"/>
    <w:rPr>
      <w:rFonts w:ascii="Tahoma" w:hAnsi="Tahoma"/>
      <w:sz w:val="24"/>
      <w:szCs w:val="24"/>
    </w:rPr>
  </w:style>
  <w:style w:type="paragraph" w:styleId="976">
    <w:name w:val="Char Char Char Char"/>
    <w:basedOn w:val="944"/>
    <w:next w:val="976"/>
    <w:link w:val="889"/>
    <w:pPr>
      <w:spacing w:line="360" w:lineRule="auto"/>
    </w:pPr>
    <w:rPr>
      <w:rFonts w:ascii="Tahoma" w:hAnsi="Tahoma"/>
      <w:sz w:val="24"/>
      <w:szCs w:val="24"/>
    </w:rPr>
  </w:style>
  <w:style w:type="paragraph" w:styleId="977">
    <w:name w:val="font6"/>
    <w:basedOn w:val="889"/>
    <w:next w:val="977"/>
    <w:link w:val="889"/>
    <w:pPr>
      <w:jc w:val="left"/>
      <w:spacing w:before="100" w:beforeAutospacing="1" w:after="100" w:afterAutospacing="1"/>
      <w:widowControl/>
    </w:pPr>
    <w:rPr>
      <w:rFonts w:hint="eastAsia" w:ascii="宋体" w:hAnsi="宋体"/>
      <w:sz w:val="28"/>
      <w:szCs w:val="28"/>
      <w:u w:val="single"/>
    </w:rPr>
  </w:style>
  <w:style w:type="paragraph" w:styleId="978">
    <w:name w:val="xl28"/>
    <w:basedOn w:val="889"/>
    <w:next w:val="978"/>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name w:val="Char Char Char Char Char Char Char Char"/>
    <w:basedOn w:val="889"/>
    <w:next w:val="979"/>
    <w:link w:val="889"/>
    <w:pPr>
      <w:jc w:val="left"/>
      <w:spacing w:after="160" w:line="240" w:lineRule="exact"/>
      <w:widowControl/>
    </w:pPr>
    <w:rPr>
      <w:rFonts w:ascii="Verdana" w:hAnsi="Verdana"/>
      <w:sz w:val="20"/>
      <w:szCs w:val="20"/>
      <w:lang w:eastAsia="en-US"/>
    </w:rPr>
  </w:style>
  <w:style w:type="paragraph" w:styleId="980">
    <w:name w:val=" Char Char Char Char Char Char Char Char"/>
    <w:basedOn w:val="889"/>
    <w:next w:val="980"/>
    <w:link w:val="889"/>
    <w:pPr>
      <w:jc w:val="left"/>
      <w:spacing w:after="160" w:line="240" w:lineRule="exact"/>
      <w:widowControl/>
    </w:pPr>
    <w:rPr>
      <w:rFonts w:ascii="Verdana" w:hAnsi="Verdana"/>
      <w:sz w:val="20"/>
      <w:szCs w:val="20"/>
      <w:lang w:eastAsia="en-US"/>
    </w:rPr>
  </w:style>
  <w:style w:type="paragraph" w:styleId="981">
    <w:name w:val="xl26"/>
    <w:basedOn w:val="889"/>
    <w:next w:val="981"/>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name w:val="table_lines"/>
    <w:basedOn w:val="889"/>
    <w:next w:val="982"/>
    <w:link w:val="889"/>
    <w:pPr>
      <w:jc w:val="left"/>
      <w:widowControl/>
    </w:pPr>
    <w:rPr>
      <w:sz w:val="20"/>
      <w:szCs w:val="20"/>
      <w:lang w:val="de-DE" w:eastAsia="de-DE"/>
    </w:rPr>
  </w:style>
  <w:style w:type="paragraph" w:styleId="983">
    <w:name w:val="xl27"/>
    <w:basedOn w:val="889"/>
    <w:next w:val="98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font5"/>
    <w:basedOn w:val="889"/>
    <w:next w:val="984"/>
    <w:link w:val="889"/>
    <w:pPr>
      <w:jc w:val="left"/>
      <w:spacing w:before="100" w:beforeAutospacing="1" w:after="100" w:afterAutospacing="1"/>
      <w:widowControl/>
    </w:pPr>
    <w:rPr>
      <w:rFonts w:hint="eastAsia" w:ascii="宋体" w:hAnsi="宋体"/>
      <w:sz w:val="28"/>
      <w:szCs w:val="28"/>
    </w:rPr>
  </w:style>
  <w:style w:type="paragraph" w:styleId="985">
    <w:name w:val="table_1stline"/>
    <w:basedOn w:val="889"/>
    <w:next w:val="985"/>
    <w:link w:val="889"/>
    <w:pPr>
      <w:jc w:val="left"/>
      <w:spacing w:before="120"/>
      <w:widowControl/>
    </w:pPr>
    <w:rPr>
      <w:bCs/>
      <w:sz w:val="20"/>
      <w:szCs w:val="20"/>
      <w:lang w:val="de-DE" w:eastAsia="de-DE"/>
    </w:rPr>
  </w:style>
  <w:style w:type="paragraph" w:styleId="986">
    <w:name w:val="xl25"/>
    <w:basedOn w:val="889"/>
    <w:next w:val="986"/>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4"/>
    <w:basedOn w:val="889"/>
    <w:next w:val="937"/>
    <w:link w:val="889"/>
    <w:pPr>
      <w:ind w:firstLine="420"/>
      <w:spacing w:line="360" w:lineRule="auto"/>
    </w:pPr>
    <w:rPr>
      <w:color w:val="ff0000"/>
      <w:sz w:val="24"/>
      <w:szCs w:val="24"/>
    </w:rPr>
  </w:style>
  <w:style w:type="paragraph" w:styleId="989">
    <w:name w:val="普通 (Web)"/>
    <w:basedOn w:val="889"/>
    <w:next w:val="989"/>
    <w:link w:val="889"/>
    <w:pPr>
      <w:jc w:val="left"/>
      <w:spacing w:before="100" w:beforeAutospacing="1" w:after="100" w:afterAutospacing="1"/>
      <w:widowControl/>
    </w:pPr>
    <w:rPr>
      <w:rFonts w:ascii="宋体" w:hAnsi="宋体"/>
      <w:sz w:val="24"/>
      <w:szCs w:val="24"/>
    </w:rPr>
  </w:style>
  <w:style w:type="paragraph" w:styleId="990">
    <w:name w:val="xl29"/>
    <w:basedOn w:val="889"/>
    <w:next w:val="990"/>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font7"/>
    <w:basedOn w:val="889"/>
    <w:next w:val="991"/>
    <w:link w:val="889"/>
    <w:pPr>
      <w:jc w:val="left"/>
      <w:spacing w:before="100" w:beforeAutospacing="1" w:after="100" w:afterAutospacing="1"/>
      <w:widowControl/>
    </w:pPr>
    <w:rPr>
      <w:rFonts w:hint="eastAsia" w:ascii="宋体" w:hAnsi="宋体"/>
      <w:sz w:val="18"/>
      <w:szCs w:val="18"/>
    </w:rPr>
  </w:style>
  <w:style w:type="paragraph" w:styleId="992">
    <w:name w:val="附录1"/>
    <w:next w:val="992"/>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3">
    <w:name w:val="Body Text(ch)"/>
    <w:basedOn w:val="889"/>
    <w:next w:val="954"/>
    <w:link w:val="889"/>
    <w:pPr>
      <w:spacing w:after="120"/>
    </w:pPr>
    <w:rPr>
      <w:rFonts w:ascii="宋体" w:hAnsi="Arial"/>
      <w:bCs/>
      <w:iCs/>
      <w:szCs w:val="24"/>
    </w:rPr>
  </w:style>
  <w:style w:type="paragraph" w:styleId="994">
    <w:name w:val="Char"/>
    <w:basedOn w:val="889"/>
    <w:next w:val="994"/>
    <w:link w:val="889"/>
    <w:pPr>
      <w:ind w:firstLine="200"/>
      <w:tabs>
        <w:tab w:val="left" w:pos="360" w:leader="none"/>
      </w:tabs>
    </w:pPr>
    <w:rPr>
      <w:sz w:val="28"/>
      <w:szCs w:val="30"/>
    </w:rPr>
  </w:style>
  <w:style w:type="paragraph" w:styleId="995">
    <w:name w:val=" Char Char Char Char Char Char Char Char Char Char"/>
    <w:basedOn w:val="889"/>
    <w:next w:val="995"/>
    <w:link w:val="889"/>
    <w:pPr>
      <w:spacing w:line="360" w:lineRule="auto"/>
    </w:pPr>
    <w:rPr>
      <w:sz w:val="24"/>
      <w:szCs w:val="20"/>
    </w:rPr>
  </w:style>
  <w:style w:type="paragraph" w:styleId="996">
    <w:name w:val="xl30"/>
    <w:basedOn w:val="889"/>
    <w:next w:val="996"/>
    <w:link w:val="889"/>
    <w:pPr>
      <w:jc w:val="center"/>
      <w:spacing w:before="100" w:beforeAutospacing="1" w:after="100" w:afterAutospacing="1"/>
      <w:widowControl/>
    </w:pPr>
    <w:rPr>
      <w:rFonts w:ascii="宋体" w:hAnsi="宋体"/>
      <w:b/>
      <w:bCs/>
      <w:sz w:val="36"/>
      <w:szCs w:val="36"/>
    </w:rPr>
  </w:style>
  <w:style w:type="paragraph" w:styleId="997">
    <w:name w:val="样式1"/>
    <w:basedOn w:val="889"/>
    <w:next w:val="997"/>
    <w:link w:val="889"/>
    <w:pPr>
      <w:numPr>
        <w:ilvl w:val="0"/>
        <w:numId w:val="3"/>
      </w:numPr>
      <w:tabs>
        <w:tab w:val="left" w:pos="709" w:leader="none"/>
      </w:tabs>
    </w:pPr>
    <w:rPr>
      <w:rFonts w:ascii="宋体" w:hAnsi="宋体"/>
    </w:rPr>
  </w:style>
  <w:style w:type="paragraph" w:styleId="998">
    <w:name w:val="标题3"/>
    <w:basedOn w:val="889"/>
    <w:next w:val="889"/>
    <w:link w:val="889"/>
    <w:pPr>
      <w:ind w:firstLine="624"/>
      <w:spacing w:line="590" w:lineRule="atLeast"/>
    </w:pPr>
    <w:rPr>
      <w:rFonts w:ascii="方正黑体_GBK" w:eastAsia="方正黑体_GBK"/>
      <w:sz w:val="32"/>
      <w:szCs w:val="32"/>
    </w:rPr>
  </w:style>
  <w:style w:type="paragraph" w:styleId="999">
    <w:name w:val="修订"/>
    <w:next w:val="999"/>
    <w:link w:val="889"/>
    <w:uiPriority w:val="99"/>
    <w:semiHidden/>
    <w:rPr>
      <w:rFonts w:ascii="Times New Roman" w:hAnsi="Times New Roman"/>
      <w:sz w:val="21"/>
      <w:szCs w:val="21"/>
      <w:lang w:val="en-US" w:eastAsia="zh-CN" w:bidi="ar-SA"/>
    </w:rPr>
  </w:style>
  <w:style w:type="table" w:styleId="1000">
    <w:name w:val="网格型"/>
    <w:basedOn w:val="900"/>
    <w:next w:val="1000"/>
    <w:link w:val="889"/>
    <w:pPr>
      <w:jc w:val="both"/>
      <w:widowControl w:val="off"/>
    </w:pPr>
    <w:rPr>
      <w:rFonts w:ascii="Times New Roman" w:hAnsi="Times New Roman" w:eastAsia="宋体" w:cs="Times New Roman"/>
      <w:sz w:val="20"/>
      <w:szCs w:val="20"/>
    </w:rPr>
    <w:tblPr/>
  </w:style>
  <w:style w:type="table" w:styleId="1001">
    <w:name w:val="Table Normal1"/>
    <w:next w:val="1001"/>
    <w:link w:val="889"/>
    <w:unhideWhenUsed/>
    <w:qFormat/>
    <w:rPr>
      <w:rFonts w:ascii="Calibri" w:hAnsi="Calibri" w:eastAsia="宋体" w:cs="Times New Roman"/>
    </w:rPr>
    <w:tbl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8</cp:revision>
  <dcterms:created xsi:type="dcterms:W3CDTF">2023-03-16T02:16:00Z</dcterms:created>
  <dcterms:modified xsi:type="dcterms:W3CDTF">2026-04-27T06:23:24Z</dcterms:modified>
</cp:coreProperties>
</file>