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t xml:space="preserve">  </w:t>
      </w:r>
      <w:r/>
    </w:p>
    <w:p>
      <w:pPr>
        <w:ind w:left="0"/>
        <w:jc w:val="center"/>
        <w:rPr>
          <w:rFonts w:ascii="宋体" w:hAnsi="宋体"/>
          <w:b/>
          <w:sz w:val="108"/>
        </w:rPr>
      </w:pPr>
      <w:r>
        <w:rPr>
          <w:rFonts w:hint="eastAsia" w:ascii="宋体" w:hAnsi="宋体"/>
          <w:b/>
          <w:sz w:val="108"/>
        </w:rPr>
        <w:t xml:space="preserve">政府采购招标文件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hint="eastAsia" w:ascii="宋体" w:hAnsi="宋体"/>
          <w:b/>
          <w:sz w:val="32"/>
        </w:rPr>
        <w:t xml:space="preserve">JSZC-320500-JZCG-G2026-0079</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苏州市消防救援支队</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2025年部门集中采购目录外器材装备采购项目</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19"/>
      </w:pPr>
      <w:r/>
      <w:r/>
    </w:p>
    <w:p>
      <w:r/>
      <w:r/>
    </w:p>
    <w:p>
      <w:pPr>
        <w:pStyle w:val="1005"/>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年4月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37"/>
        <w:ind w:firstLine="0"/>
        <w:jc w:val="left"/>
        <w:spacing w:before="120" w:after="120"/>
        <w:tabs>
          <w:tab w:val="right" w:pos="9856" w:leader="dot"/>
        </w:tabs>
        <w:rPr>
          <w:rStyle w:val="1058"/>
          <w:rFonts w:ascii="宋体" w:hAnsi="宋体" w:cs="Calibri"/>
          <w:bCs/>
          <w:caps/>
          <w:color w:val="auto"/>
          <w:sz w:val="32"/>
          <w:szCs w:val="32"/>
        </w:rPr>
        <w:outlineLvl w:val="9"/>
      </w:pPr>
      <w:r>
        <w:rPr>
          <w:rFonts w:ascii="宋体" w:hAnsi="宋体" w:cs="Calibri"/>
          <w:bCs/>
          <w:caps/>
          <w:color w:val="auto"/>
          <w:sz w:val="32"/>
          <w:szCs w:val="32"/>
        </w:rPr>
      </w:r>
      <w:r/>
    </w:p>
    <w:p>
      <w:pPr>
        <w:pStyle w:val="1037"/>
        <w:ind w:firstLine="0"/>
        <w:jc w:val="left"/>
        <w:spacing w:before="120" w:after="120"/>
        <w:tabs>
          <w:tab w:val="right" w:pos="9854" w:leader="dot"/>
        </w:tabs>
        <w:rPr>
          <w:rStyle w:val="1058"/>
          <w:rFonts w:ascii="宋体" w:hAnsi="宋体" w:cs="Calibri"/>
          <w:bCs/>
          <w:caps/>
          <w:color w:val="auto"/>
          <w:sz w:val="32"/>
          <w:szCs w:val="32"/>
        </w:rPr>
        <w:outlineLvl w:val="9"/>
      </w:pPr>
      <w:r>
        <w:rPr>
          <w:rStyle w:val="1058"/>
          <w:rFonts w:ascii="宋体" w:hAnsi="宋体" w:cs="Calibri"/>
          <w:bCs/>
          <w:caps/>
          <w:color w:val="auto"/>
          <w:sz w:val="32"/>
        </w:rPr>
        <w:fldChar w:fldCharType="begin"/>
      </w:r>
      <w:r>
        <w:rPr>
          <w:rStyle w:val="1058"/>
          <w:rFonts w:ascii="宋体" w:hAnsi="宋体" w:cs="Calibri"/>
          <w:bCs/>
          <w:caps/>
          <w:color w:val="auto"/>
          <w:sz w:val="32"/>
        </w:rPr>
        <w:instrText xml:space="preserve"> TOC \o "1-1" \h \z \u </w:instrText>
      </w:r>
      <w:r>
        <w:rPr>
          <w:rStyle w:val="1058"/>
          <w:rFonts w:ascii="宋体" w:hAnsi="宋体" w:cs="Calibri"/>
          <w:bCs/>
          <w:caps/>
          <w:color w:val="auto"/>
          <w:sz w:val="32"/>
        </w:rPr>
        <w:fldChar w:fldCharType="separate"/>
      </w:r>
      <w:r>
        <w:fldChar w:fldCharType="begin"/>
      </w:r>
      <w:r>
        <w:instrText xml:space="preserve"> HYPERLINK \l "_Toc105397776" </w:instrText>
      </w:r>
      <w:r>
        <w:fldChar w:fldCharType="separate"/>
      </w:r>
      <w:r>
        <w:rPr>
          <w:rStyle w:val="1058"/>
          <w:rFonts w:ascii="宋体" w:hAnsi="宋体" w:cs="Calibri"/>
          <w:bCs/>
          <w:caps/>
          <w:color w:val="auto"/>
          <w:sz w:val="32"/>
          <w:szCs w:val="32"/>
        </w:rPr>
        <w:t xml:space="preserve">第一章 投标邀请函</w:t>
      </w:r>
      <w:r>
        <w:rPr>
          <w:rStyle w:val="1058"/>
          <w:rFonts w:ascii="宋体" w:hAnsi="宋体" w:cs="Calibri"/>
          <w:bCs/>
          <w:caps/>
          <w:color w:val="auto"/>
          <w:sz w:val="32"/>
          <w:szCs w:val="32"/>
        </w:rPr>
        <w:tab/>
      </w:r>
      <w:r>
        <w:rPr>
          <w:rStyle w:val="1058"/>
          <w:rFonts w:ascii="宋体" w:hAnsi="宋体" w:cs="Calibri"/>
          <w:bCs/>
          <w:caps/>
          <w:color w:val="auto"/>
          <w:sz w:val="32"/>
          <w:szCs w:val="32"/>
        </w:rPr>
        <w:fldChar w:fldCharType="begin"/>
      </w:r>
      <w:r>
        <w:rPr>
          <w:rStyle w:val="1058"/>
          <w:rFonts w:ascii="宋体" w:hAnsi="宋体" w:cs="Calibri"/>
          <w:bCs/>
          <w:caps/>
          <w:color w:val="auto"/>
          <w:sz w:val="32"/>
          <w:szCs w:val="32"/>
        </w:rPr>
        <w:instrText xml:space="preserve"> PAGEREF _Toc105397776 \h </w:instrText>
      </w:r>
      <w:r>
        <w:rPr>
          <w:rStyle w:val="1058"/>
          <w:rFonts w:ascii="宋体" w:hAnsi="宋体" w:cs="Calibri"/>
          <w:bCs/>
          <w:caps/>
          <w:color w:val="auto"/>
          <w:sz w:val="32"/>
          <w:szCs w:val="32"/>
        </w:rPr>
        <w:fldChar w:fldCharType="separate"/>
      </w:r>
      <w:r>
        <w:rPr>
          <w:rStyle w:val="1058"/>
          <w:rFonts w:ascii="宋体" w:hAnsi="宋体" w:cs="Calibri"/>
          <w:bCs/>
          <w:caps/>
          <w:color w:val="auto"/>
          <w:sz w:val="32"/>
          <w:szCs w:val="32"/>
        </w:rPr>
        <w:t xml:space="preserve">5</w:t>
      </w:r>
      <w:r>
        <w:rPr>
          <w:rStyle w:val="1058"/>
          <w:rFonts w:ascii="宋体" w:hAnsi="宋体" w:cs="Calibri"/>
          <w:bCs/>
          <w:caps/>
          <w:color w:val="auto"/>
          <w:sz w:val="32"/>
          <w:szCs w:val="32"/>
        </w:rPr>
        <w:fldChar w:fldCharType="end"/>
      </w:r>
      <w:r>
        <w:rPr>
          <w:rStyle w:val="1058"/>
          <w:rFonts w:ascii="宋体" w:hAnsi="宋体" w:cs="Calibri"/>
          <w:bCs/>
          <w:caps/>
          <w:color w:val="auto"/>
          <w:sz w:val="32"/>
          <w:szCs w:val="32"/>
        </w:rPr>
        <w:fldChar w:fldCharType="end"/>
      </w:r>
      <w:r/>
    </w:p>
    <w:p>
      <w:pPr>
        <w:pStyle w:val="1037"/>
        <w:ind w:firstLine="0"/>
        <w:jc w:val="left"/>
        <w:spacing w:before="120" w:after="120"/>
        <w:tabs>
          <w:tab w:val="right" w:pos="9854" w:leader="dot"/>
        </w:tabs>
        <w:rPr>
          <w:rStyle w:val="1058"/>
          <w:rFonts w:ascii="宋体" w:hAnsi="宋体" w:cs="Calibri"/>
          <w:bCs/>
          <w:caps/>
          <w:color w:val="auto"/>
          <w:sz w:val="32"/>
          <w:szCs w:val="32"/>
        </w:rPr>
        <w:outlineLvl w:val="9"/>
      </w:pPr>
      <w:r>
        <w:fldChar w:fldCharType="begin"/>
      </w:r>
      <w:r>
        <w:instrText xml:space="preserve"> HYPERLINK \l "_Toc105397777" </w:instrText>
      </w:r>
      <w:r>
        <w:fldChar w:fldCharType="separate"/>
      </w:r>
      <w:r>
        <w:rPr>
          <w:rStyle w:val="1058"/>
          <w:rFonts w:ascii="宋体" w:hAnsi="宋体" w:cs="Calibri"/>
          <w:bCs/>
          <w:caps/>
          <w:color w:val="auto"/>
          <w:sz w:val="32"/>
          <w:szCs w:val="32"/>
        </w:rPr>
        <w:t xml:space="preserve">第二章 投标人须知</w:t>
      </w:r>
      <w:r>
        <w:rPr>
          <w:rStyle w:val="1058"/>
          <w:rFonts w:ascii="宋体" w:hAnsi="宋体" w:cs="Calibri"/>
          <w:bCs/>
          <w:caps/>
          <w:color w:val="auto"/>
          <w:sz w:val="32"/>
          <w:szCs w:val="32"/>
        </w:rPr>
        <w:tab/>
      </w:r>
      <w:r>
        <w:rPr>
          <w:rStyle w:val="1058"/>
          <w:rFonts w:ascii="宋体" w:hAnsi="宋体" w:cs="Calibri"/>
          <w:bCs/>
          <w:caps/>
          <w:color w:val="auto"/>
          <w:sz w:val="32"/>
          <w:szCs w:val="32"/>
        </w:rPr>
        <w:fldChar w:fldCharType="begin"/>
      </w:r>
      <w:r>
        <w:rPr>
          <w:rStyle w:val="1058"/>
          <w:rFonts w:ascii="宋体" w:hAnsi="宋体" w:cs="Calibri"/>
          <w:bCs/>
          <w:caps/>
          <w:color w:val="auto"/>
          <w:sz w:val="32"/>
          <w:szCs w:val="32"/>
        </w:rPr>
        <w:instrText xml:space="preserve"> PAGEREF _Toc105397777 \h </w:instrText>
      </w:r>
      <w:r>
        <w:rPr>
          <w:rStyle w:val="1058"/>
          <w:rFonts w:ascii="宋体" w:hAnsi="宋体" w:cs="Calibri"/>
          <w:bCs/>
          <w:caps/>
          <w:color w:val="auto"/>
          <w:sz w:val="32"/>
          <w:szCs w:val="32"/>
        </w:rPr>
        <w:fldChar w:fldCharType="separate"/>
      </w:r>
      <w:r>
        <w:rPr>
          <w:rStyle w:val="1058"/>
          <w:rFonts w:ascii="宋体" w:hAnsi="宋体" w:cs="Calibri"/>
          <w:bCs/>
          <w:caps/>
          <w:color w:val="auto"/>
          <w:sz w:val="32"/>
          <w:szCs w:val="32"/>
        </w:rPr>
        <w:t xml:space="preserve">9</w:t>
      </w:r>
      <w:r>
        <w:rPr>
          <w:rStyle w:val="1058"/>
          <w:rFonts w:ascii="宋体" w:hAnsi="宋体" w:cs="Calibri"/>
          <w:bCs/>
          <w:caps/>
          <w:color w:val="auto"/>
          <w:sz w:val="32"/>
          <w:szCs w:val="32"/>
        </w:rPr>
        <w:fldChar w:fldCharType="end"/>
      </w:r>
      <w:r>
        <w:rPr>
          <w:rStyle w:val="1058"/>
          <w:rFonts w:ascii="宋体" w:hAnsi="宋体" w:cs="Calibri"/>
          <w:bCs/>
          <w:caps/>
          <w:color w:val="auto"/>
          <w:sz w:val="32"/>
          <w:szCs w:val="32"/>
        </w:rPr>
        <w:fldChar w:fldCharType="end"/>
      </w:r>
      <w:r/>
    </w:p>
    <w:p>
      <w:pPr>
        <w:pStyle w:val="1037"/>
        <w:ind w:firstLine="0"/>
        <w:jc w:val="left"/>
        <w:spacing w:before="120" w:after="120"/>
        <w:tabs>
          <w:tab w:val="right" w:pos="9854" w:leader="dot"/>
        </w:tabs>
        <w:rPr>
          <w:rStyle w:val="1058"/>
          <w:rFonts w:ascii="宋体" w:hAnsi="宋体" w:cs="Calibri"/>
          <w:bCs/>
          <w:caps/>
          <w:color w:val="auto"/>
          <w:sz w:val="32"/>
          <w:szCs w:val="32"/>
        </w:rPr>
        <w:outlineLvl w:val="9"/>
      </w:pPr>
      <w:r>
        <w:fldChar w:fldCharType="begin"/>
      </w:r>
      <w:r>
        <w:instrText xml:space="preserve"> HYPERLINK \l "_Toc105397778" </w:instrText>
      </w:r>
      <w:r>
        <w:fldChar w:fldCharType="separate"/>
      </w:r>
      <w:r>
        <w:rPr>
          <w:rStyle w:val="1058"/>
          <w:rFonts w:ascii="宋体" w:hAnsi="宋体" w:cs="Calibri"/>
          <w:bCs/>
          <w:caps/>
          <w:color w:val="auto"/>
          <w:sz w:val="32"/>
          <w:szCs w:val="32"/>
        </w:rPr>
        <w:t xml:space="preserve">第三章 投标文件格式</w:t>
      </w:r>
      <w:bookmarkStart w:id="113" w:name="_GoBack"/>
      <w:r/>
      <w:bookmarkEnd w:id="113"/>
      <w:r>
        <w:rPr>
          <w:rStyle w:val="1058"/>
          <w:rFonts w:ascii="宋体" w:hAnsi="宋体" w:cs="Calibri"/>
          <w:bCs/>
          <w:caps/>
          <w:color w:val="auto"/>
          <w:sz w:val="32"/>
          <w:szCs w:val="32"/>
        </w:rPr>
        <w:tab/>
      </w:r>
      <w:r>
        <w:rPr>
          <w:rStyle w:val="1058"/>
          <w:rFonts w:ascii="宋体" w:hAnsi="宋体" w:cs="Calibri"/>
          <w:bCs/>
          <w:caps/>
          <w:color w:val="auto"/>
          <w:sz w:val="32"/>
          <w:szCs w:val="32"/>
        </w:rPr>
        <w:fldChar w:fldCharType="begin"/>
      </w:r>
      <w:r>
        <w:rPr>
          <w:rStyle w:val="1058"/>
          <w:rFonts w:ascii="宋体" w:hAnsi="宋体" w:cs="Calibri"/>
          <w:bCs/>
          <w:caps/>
          <w:color w:val="auto"/>
          <w:sz w:val="32"/>
          <w:szCs w:val="32"/>
        </w:rPr>
        <w:instrText xml:space="preserve"> PAGEREF _Toc105397778 \h </w:instrText>
      </w:r>
      <w:r>
        <w:rPr>
          <w:rStyle w:val="1058"/>
          <w:rFonts w:ascii="宋体" w:hAnsi="宋体" w:cs="Calibri"/>
          <w:bCs/>
          <w:caps/>
          <w:color w:val="auto"/>
          <w:sz w:val="32"/>
          <w:szCs w:val="32"/>
        </w:rPr>
        <w:fldChar w:fldCharType="separate"/>
      </w:r>
      <w:r>
        <w:rPr>
          <w:rStyle w:val="1058"/>
          <w:rFonts w:ascii="宋体" w:hAnsi="宋体" w:cs="Calibri"/>
          <w:bCs/>
          <w:caps/>
          <w:color w:val="auto"/>
          <w:sz w:val="32"/>
          <w:szCs w:val="32"/>
        </w:rPr>
        <w:t xml:space="preserve">21</w:t>
      </w:r>
      <w:r>
        <w:rPr>
          <w:rStyle w:val="1058"/>
          <w:rFonts w:ascii="宋体" w:hAnsi="宋体" w:cs="Calibri"/>
          <w:bCs/>
          <w:caps/>
          <w:color w:val="auto"/>
          <w:sz w:val="32"/>
          <w:szCs w:val="32"/>
        </w:rPr>
        <w:fldChar w:fldCharType="end"/>
      </w:r>
      <w:r>
        <w:rPr>
          <w:rStyle w:val="1058"/>
          <w:rFonts w:ascii="宋体" w:hAnsi="宋体" w:cs="Calibri"/>
          <w:bCs/>
          <w:caps/>
          <w:color w:val="auto"/>
          <w:sz w:val="32"/>
          <w:szCs w:val="32"/>
        </w:rPr>
        <w:fldChar w:fldCharType="end"/>
      </w:r>
      <w:r/>
    </w:p>
    <w:p>
      <w:pPr>
        <w:pStyle w:val="1037"/>
        <w:ind w:firstLine="0"/>
        <w:jc w:val="left"/>
        <w:spacing w:before="120" w:after="120"/>
        <w:tabs>
          <w:tab w:val="right" w:pos="9854" w:leader="dot"/>
        </w:tabs>
        <w:rPr>
          <w:rStyle w:val="1058"/>
          <w:rFonts w:ascii="宋体" w:hAnsi="宋体" w:cs="Calibri"/>
          <w:bCs/>
          <w:caps/>
          <w:color w:val="auto"/>
          <w:sz w:val="32"/>
          <w:szCs w:val="32"/>
        </w:rPr>
        <w:outlineLvl w:val="9"/>
      </w:pPr>
      <w:r>
        <w:fldChar w:fldCharType="begin"/>
      </w:r>
      <w:r>
        <w:instrText xml:space="preserve"> HYPERLINK \l "_Toc105397793" </w:instrText>
      </w:r>
      <w:r>
        <w:fldChar w:fldCharType="separate"/>
      </w:r>
      <w:r>
        <w:rPr>
          <w:rStyle w:val="1058"/>
          <w:rFonts w:ascii="宋体" w:hAnsi="宋体" w:cs="Calibri"/>
          <w:bCs/>
          <w:caps/>
          <w:color w:val="auto"/>
          <w:sz w:val="32"/>
          <w:szCs w:val="32"/>
        </w:rPr>
        <w:t xml:space="preserve">第四章 招标书</w:t>
      </w:r>
      <w:r>
        <w:rPr>
          <w:rStyle w:val="1058"/>
          <w:rFonts w:ascii="宋体" w:hAnsi="宋体" w:cs="Calibri"/>
          <w:bCs/>
          <w:caps/>
          <w:color w:val="auto"/>
          <w:sz w:val="32"/>
          <w:szCs w:val="32"/>
        </w:rPr>
        <w:tab/>
      </w:r>
      <w:r>
        <w:rPr>
          <w:rStyle w:val="1058"/>
          <w:rFonts w:ascii="宋体" w:hAnsi="宋体" w:cs="Calibri"/>
          <w:bCs/>
          <w:caps/>
          <w:color w:val="auto"/>
          <w:sz w:val="32"/>
          <w:szCs w:val="32"/>
        </w:rPr>
        <w:fldChar w:fldCharType="begin"/>
      </w:r>
      <w:r>
        <w:rPr>
          <w:rStyle w:val="1058"/>
          <w:rFonts w:ascii="宋体" w:hAnsi="宋体" w:cs="Calibri"/>
          <w:bCs/>
          <w:caps/>
          <w:color w:val="auto"/>
          <w:sz w:val="32"/>
          <w:szCs w:val="32"/>
        </w:rPr>
        <w:instrText xml:space="preserve"> PAGEREF _Toc105397793 \h </w:instrText>
      </w:r>
      <w:r>
        <w:rPr>
          <w:rStyle w:val="1058"/>
          <w:rFonts w:ascii="宋体" w:hAnsi="宋体" w:cs="Calibri"/>
          <w:bCs/>
          <w:caps/>
          <w:color w:val="auto"/>
          <w:sz w:val="32"/>
          <w:szCs w:val="32"/>
        </w:rPr>
        <w:fldChar w:fldCharType="separate"/>
      </w:r>
      <w:r>
        <w:rPr>
          <w:rStyle w:val="1058"/>
          <w:rFonts w:ascii="宋体" w:hAnsi="宋体" w:cs="Calibri"/>
          <w:bCs/>
          <w:caps/>
          <w:color w:val="auto"/>
          <w:sz w:val="32"/>
          <w:szCs w:val="32"/>
        </w:rPr>
        <w:t xml:space="preserve">35</w:t>
      </w:r>
      <w:r>
        <w:rPr>
          <w:rStyle w:val="1058"/>
          <w:rFonts w:ascii="宋体" w:hAnsi="宋体" w:cs="Calibri"/>
          <w:bCs/>
          <w:caps/>
          <w:color w:val="auto"/>
          <w:sz w:val="32"/>
          <w:szCs w:val="32"/>
        </w:rPr>
        <w:fldChar w:fldCharType="end"/>
      </w:r>
      <w:r>
        <w:rPr>
          <w:rStyle w:val="1058"/>
          <w:rFonts w:ascii="宋体" w:hAnsi="宋体" w:cs="Calibri"/>
          <w:bCs/>
          <w:caps/>
          <w:color w:val="auto"/>
          <w:sz w:val="32"/>
          <w:szCs w:val="32"/>
        </w:rPr>
        <w:fldChar w:fldCharType="end"/>
      </w:r>
      <w:r/>
    </w:p>
    <w:p>
      <w:pPr>
        <w:pStyle w:val="1037"/>
        <w:ind w:firstLine="0"/>
        <w:jc w:val="left"/>
        <w:spacing w:before="120" w:after="120"/>
        <w:tabs>
          <w:tab w:val="right" w:pos="9854" w:leader="dot"/>
        </w:tabs>
        <w:rPr>
          <w:rStyle w:val="1058"/>
          <w:rFonts w:ascii="宋体" w:hAnsi="宋体" w:cs="Calibri"/>
          <w:bCs/>
          <w:caps/>
          <w:color w:val="auto"/>
          <w:sz w:val="32"/>
          <w:szCs w:val="32"/>
        </w:rPr>
        <w:outlineLvl w:val="9"/>
      </w:pPr>
      <w:r>
        <w:fldChar w:fldCharType="begin"/>
      </w:r>
      <w:r>
        <w:instrText xml:space="preserve"> HYPERLINK \l "_Toc105397794" </w:instrText>
      </w:r>
      <w:r>
        <w:fldChar w:fldCharType="separate"/>
      </w:r>
      <w:r>
        <w:rPr>
          <w:rStyle w:val="1058"/>
          <w:rFonts w:ascii="宋体" w:hAnsi="宋体" w:cs="Calibri"/>
          <w:bCs/>
          <w:caps/>
          <w:color w:val="auto"/>
          <w:sz w:val="32"/>
          <w:szCs w:val="32"/>
        </w:rPr>
        <w:t xml:space="preserve">第五章 合同及主要条款</w:t>
      </w:r>
      <w:r>
        <w:rPr>
          <w:rStyle w:val="1058"/>
          <w:rFonts w:ascii="宋体" w:hAnsi="宋体" w:cs="Calibri"/>
          <w:bCs/>
          <w:caps/>
          <w:color w:val="auto"/>
          <w:sz w:val="32"/>
          <w:szCs w:val="32"/>
        </w:rPr>
        <w:tab/>
      </w:r>
      <w:r>
        <w:rPr>
          <w:rStyle w:val="1058"/>
          <w:rFonts w:ascii="宋体" w:hAnsi="宋体" w:cs="Calibri"/>
          <w:bCs/>
          <w:caps/>
          <w:color w:val="auto"/>
          <w:sz w:val="32"/>
          <w:szCs w:val="32"/>
        </w:rPr>
        <w:fldChar w:fldCharType="begin"/>
      </w:r>
      <w:r>
        <w:rPr>
          <w:rStyle w:val="1058"/>
          <w:rFonts w:ascii="宋体" w:hAnsi="宋体" w:cs="Calibri"/>
          <w:bCs/>
          <w:caps/>
          <w:color w:val="auto"/>
          <w:sz w:val="32"/>
          <w:szCs w:val="32"/>
        </w:rPr>
        <w:instrText xml:space="preserve"> PAGEREF _Toc105397794 \h </w:instrText>
      </w:r>
      <w:r>
        <w:rPr>
          <w:rStyle w:val="1058"/>
          <w:rFonts w:ascii="宋体" w:hAnsi="宋体" w:cs="Calibri"/>
          <w:bCs/>
          <w:caps/>
          <w:color w:val="auto"/>
          <w:sz w:val="32"/>
          <w:szCs w:val="32"/>
        </w:rPr>
        <w:fldChar w:fldCharType="separate"/>
      </w:r>
      <w:r>
        <w:rPr>
          <w:rStyle w:val="1058"/>
          <w:rFonts w:ascii="宋体" w:hAnsi="宋体" w:cs="Calibri"/>
          <w:bCs/>
          <w:caps/>
          <w:color w:val="auto"/>
          <w:sz w:val="32"/>
          <w:szCs w:val="32"/>
        </w:rPr>
        <w:t xml:space="preserve">55</w:t>
      </w:r>
      <w:r>
        <w:rPr>
          <w:rStyle w:val="1058"/>
          <w:rFonts w:ascii="宋体" w:hAnsi="宋体" w:cs="Calibri"/>
          <w:bCs/>
          <w:caps/>
          <w:color w:val="auto"/>
          <w:sz w:val="32"/>
          <w:szCs w:val="32"/>
        </w:rPr>
        <w:fldChar w:fldCharType="end"/>
      </w:r>
      <w:r>
        <w:rPr>
          <w:rStyle w:val="1058"/>
          <w:rFonts w:ascii="宋体" w:hAnsi="宋体" w:cs="Calibri"/>
          <w:bCs/>
          <w:caps/>
          <w:color w:val="auto"/>
          <w:sz w:val="32"/>
          <w:szCs w:val="32"/>
        </w:rPr>
        <w:fldChar w:fldCharType="end"/>
      </w:r>
      <w:r/>
    </w:p>
    <w:p>
      <w:pPr>
        <w:pStyle w:val="1037"/>
        <w:ind w:firstLine="0"/>
        <w:jc w:val="left"/>
        <w:spacing w:before="120" w:after="120"/>
        <w:tabs>
          <w:tab w:val="right" w:pos="9854" w:leader="dot"/>
        </w:tabs>
        <w:rPr>
          <w:rStyle w:val="1058"/>
          <w:rFonts w:ascii="宋体" w:hAnsi="宋体" w:cs="Calibri"/>
          <w:bCs/>
          <w:caps/>
          <w:color w:val="auto"/>
          <w:sz w:val="32"/>
          <w:szCs w:val="32"/>
        </w:rPr>
        <w:outlineLvl w:val="9"/>
      </w:pPr>
      <w:r>
        <w:fldChar w:fldCharType="begin"/>
      </w:r>
      <w:r>
        <w:instrText xml:space="preserve"> HYPERLINK \l "_Toc105397795" </w:instrText>
      </w:r>
      <w:r>
        <w:fldChar w:fldCharType="separate"/>
      </w:r>
      <w:r>
        <w:rPr>
          <w:rStyle w:val="1058"/>
          <w:rFonts w:ascii="宋体" w:hAnsi="宋体" w:cs="Calibri"/>
          <w:bCs/>
          <w:caps/>
          <w:color w:val="auto"/>
          <w:sz w:val="32"/>
          <w:szCs w:val="32"/>
        </w:rPr>
        <w:t xml:space="preserve">第六章 评标办法和评分标准</w:t>
      </w:r>
      <w:r>
        <w:rPr>
          <w:rStyle w:val="1058"/>
          <w:rFonts w:ascii="宋体" w:hAnsi="宋体" w:cs="Calibri"/>
          <w:bCs/>
          <w:caps/>
          <w:color w:val="auto"/>
          <w:sz w:val="32"/>
          <w:szCs w:val="32"/>
        </w:rPr>
        <w:tab/>
      </w:r>
      <w:r>
        <w:rPr>
          <w:rStyle w:val="1058"/>
          <w:rFonts w:ascii="宋体" w:hAnsi="宋体" w:cs="Calibri"/>
          <w:bCs/>
          <w:caps/>
          <w:color w:val="auto"/>
          <w:sz w:val="32"/>
          <w:szCs w:val="32"/>
        </w:rPr>
        <w:fldChar w:fldCharType="begin"/>
      </w:r>
      <w:r>
        <w:rPr>
          <w:rStyle w:val="1058"/>
          <w:rFonts w:ascii="宋体" w:hAnsi="宋体" w:cs="Calibri"/>
          <w:bCs/>
          <w:caps/>
          <w:color w:val="auto"/>
          <w:sz w:val="32"/>
          <w:szCs w:val="32"/>
        </w:rPr>
        <w:instrText xml:space="preserve"> PAGEREF _Toc105397795 \h </w:instrText>
      </w:r>
      <w:r>
        <w:rPr>
          <w:rStyle w:val="1058"/>
          <w:rFonts w:ascii="宋体" w:hAnsi="宋体" w:cs="Calibri"/>
          <w:bCs/>
          <w:caps/>
          <w:color w:val="auto"/>
          <w:sz w:val="32"/>
          <w:szCs w:val="32"/>
        </w:rPr>
        <w:fldChar w:fldCharType="separate"/>
      </w:r>
      <w:r>
        <w:rPr>
          <w:rStyle w:val="1058"/>
          <w:rFonts w:ascii="宋体" w:hAnsi="宋体" w:cs="Calibri"/>
          <w:bCs/>
          <w:caps/>
          <w:color w:val="auto"/>
          <w:sz w:val="32"/>
          <w:szCs w:val="32"/>
        </w:rPr>
        <w:t xml:space="preserve">67</w:t>
      </w:r>
      <w:r>
        <w:rPr>
          <w:rStyle w:val="1058"/>
          <w:rFonts w:ascii="宋体" w:hAnsi="宋体" w:cs="Calibri"/>
          <w:bCs/>
          <w:caps/>
          <w:color w:val="auto"/>
          <w:sz w:val="32"/>
          <w:szCs w:val="32"/>
        </w:rPr>
        <w:fldChar w:fldCharType="end"/>
      </w:r>
      <w:r>
        <w:rPr>
          <w:rStyle w:val="1058"/>
          <w:rFonts w:ascii="宋体" w:hAnsi="宋体" w:cs="Calibri"/>
          <w:bCs/>
          <w:caps/>
          <w:color w:val="auto"/>
          <w:sz w:val="32"/>
          <w:szCs w:val="32"/>
        </w:rPr>
        <w:fldChar w:fldCharType="end"/>
      </w:r>
      <w:r/>
    </w:p>
    <w:p>
      <w:pPr>
        <w:pStyle w:val="1037"/>
        <w:ind w:firstLine="0"/>
        <w:jc w:val="left"/>
        <w:spacing w:before="120" w:after="120"/>
        <w:tabs>
          <w:tab w:val="right" w:pos="9856" w:leader="dot"/>
        </w:tabs>
        <w:rPr>
          <w:rFonts w:ascii="宋体" w:hAnsi="宋体"/>
          <w:sz w:val="32"/>
          <w:szCs w:val="32"/>
        </w:rPr>
        <w:outlineLvl w:val="9"/>
      </w:pPr>
      <w:r>
        <w:rPr>
          <w:rStyle w:val="1058"/>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5681"/>
      <w:r/>
      <w:bookmarkStart w:id="2" w:name="_Toc16121"/>
      <w:r>
        <w:rPr>
          <w:rFonts w:ascii="宋体" w:hAnsi="宋体"/>
          <w:b/>
          <w:spacing w:val="20"/>
          <w:sz w:val="30"/>
        </w:rPr>
        <w:t xml:space="preserve">前 附 表</w:t>
      </w:r>
      <w:bookmarkEnd w:id="0"/>
      <w:r/>
      <w:bookmarkEnd w:id="1"/>
      <w:r/>
      <w:bookmarkEnd w:id="2"/>
      <w:r/>
      <w:r/>
    </w:p>
    <w:tbl>
      <w:tblPr>
        <w:tblStyle w:val="1004"/>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JSZC-320500-JZCG-G2026-0079</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2025年部门集中采购目录外器材装备采购项目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联系人：朱工、丁工 </w:t>
            </w:r>
            <w:r/>
          </w:p>
          <w:p>
            <w:pPr>
              <w:ind w:left="0"/>
              <w:jc w:val="left"/>
              <w:spacing w:line="440" w:lineRule="exact"/>
              <w:rPr>
                <w:rFonts w:ascii="宋体" w:hAnsi="宋体"/>
                <w:sz w:val="21"/>
                <w:szCs w:val="21"/>
              </w:rPr>
            </w:pPr>
            <w:r>
              <w:rPr>
                <w:rFonts w:hint="eastAsia" w:ascii="宋体" w:hAnsi="宋体"/>
                <w:sz w:val="21"/>
                <w:szCs w:val="21"/>
              </w:rPr>
              <w:t xml:space="preserve">联系电话：0512-69820691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名称：苏州市消防救援支队</w:t>
            </w:r>
            <w:r/>
          </w:p>
          <w:p>
            <w:pPr>
              <w:ind w:left="0"/>
              <w:jc w:val="left"/>
              <w:spacing w:line="440" w:lineRule="exact"/>
              <w:rPr>
                <w:rFonts w:ascii="宋体" w:hAnsi="宋体"/>
                <w:sz w:val="21"/>
                <w:szCs w:val="21"/>
              </w:rPr>
            </w:pPr>
            <w:r>
              <w:rPr>
                <w:rFonts w:hint="eastAsia" w:ascii="宋体" w:hAnsi="宋体"/>
                <w:sz w:val="21"/>
                <w:szCs w:val="21"/>
              </w:rPr>
              <w:t xml:space="preserve">地址：苏州市工业园区中新大道西198号</w:t>
            </w:r>
            <w:r/>
          </w:p>
          <w:p>
            <w:pPr>
              <w:ind w:left="0"/>
              <w:jc w:val="left"/>
              <w:spacing w:line="440" w:lineRule="exact"/>
              <w:rPr>
                <w:rFonts w:ascii="宋体" w:hAnsi="宋体"/>
                <w:sz w:val="21"/>
                <w:szCs w:val="21"/>
              </w:rPr>
            </w:pPr>
            <w:r>
              <w:rPr>
                <w:rFonts w:hint="eastAsia" w:ascii="宋体" w:hAnsi="宋体"/>
                <w:sz w:val="21"/>
                <w:szCs w:val="21"/>
              </w:rPr>
              <w:t xml:space="preserve">联系人：周工</w:t>
            </w:r>
            <w:r/>
          </w:p>
          <w:p>
            <w:pPr>
              <w:ind w:left="0"/>
              <w:jc w:val="left"/>
              <w:spacing w:line="440" w:lineRule="exact"/>
              <w:rPr>
                <w:rFonts w:ascii="宋体" w:hAnsi="宋体"/>
                <w:sz w:val="21"/>
                <w:szCs w:val="21"/>
              </w:rPr>
            </w:pPr>
            <w:r>
              <w:rPr>
                <w:rFonts w:hint="eastAsia" w:ascii="宋体" w:hAnsi="宋体"/>
                <w:sz w:val="21"/>
                <w:szCs w:val="21"/>
              </w:rPr>
              <w:t xml:space="preserve">联系电话：0512-62765293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5</w:t>
            </w:r>
            <w:r>
              <w:rPr>
                <w:rFonts w:hint="eastAsia" w:ascii="宋体" w:hAnsi="宋体" w:cs="Times New Roman"/>
                <w:sz w:val="21"/>
                <w:szCs w:val="21"/>
                <w:u w:val="single"/>
              </w:rPr>
              <w:t xml:space="preserve">月19</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5</w:t>
            </w:r>
            <w:r>
              <w:rPr>
                <w:rFonts w:hint="eastAsia" w:ascii="宋体" w:hAnsi="宋体" w:cs="Times New Roman"/>
                <w:sz w:val="21"/>
                <w:szCs w:val="21"/>
                <w:u w:val="single"/>
              </w:rPr>
              <w:t xml:space="preserve">月19</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5</w:t>
            </w:r>
            <w:r>
              <w:rPr>
                <w:rFonts w:hint="eastAsia" w:ascii="宋体" w:hAnsi="宋体" w:cs="Times New Roman"/>
                <w:sz w:val="21"/>
                <w:szCs w:val="21"/>
                <w:u w:val="single"/>
              </w:rPr>
              <w:t xml:space="preserve">月19</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pStyle w:val="1016"/>
              <w:ind w:firstLine="0"/>
              <w:rPr>
                <w:rFonts w:ascii="宋体" w:hAnsi="宋体"/>
                <w:sz w:val="21"/>
                <w:szCs w:val="21"/>
              </w:rPr>
            </w:pPr>
            <w:r>
              <w:rPr>
                <w:rFonts w:hint="eastAsia" w:ascii="宋体" w:hAnsi="宋体"/>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合同总金额的5%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28"/>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28"/>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（六）法律、法规和招标文件规定的其他无效情形。</w:t>
            </w:r>
            <w:r/>
          </w:p>
        </w:tc>
      </w:tr>
    </w:tbl>
    <w:p>
      <w:pPr>
        <w:ind w:left="0"/>
        <w:jc w:val="center"/>
        <w:rPr>
          <w:rFonts w:ascii="宋体" w:hAnsi="宋体"/>
          <w:b/>
          <w:sz w:val="44"/>
          <w:szCs w:val="22"/>
        </w:rPr>
      </w:pPr>
      <w:r/>
      <w:bookmarkStart w:id="3" w:name="_Toc28592"/>
      <w:r/>
      <w:bookmarkStart w:id="4" w:name="_Toc7166"/>
      <w:r/>
      <w:r/>
    </w:p>
    <w:p>
      <w:pPr>
        <w:ind w:left="0"/>
        <w:jc w:val="center"/>
        <w:rPr>
          <w:rFonts w:ascii="宋体" w:hAnsi="宋体"/>
          <w:b/>
          <w:sz w:val="44"/>
          <w:szCs w:val="22"/>
        </w:rPr>
      </w:pPr>
      <w:r>
        <w:rPr>
          <w:rFonts w:ascii="宋体" w:hAnsi="宋体"/>
          <w:b/>
          <w:sz w:val="44"/>
          <w:szCs w:val="22"/>
        </w:rPr>
      </w:r>
      <w:r/>
    </w:p>
    <w:p>
      <w:pPr>
        <w:pStyle w:val="1019"/>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19"/>
        <w:rPr>
          <w:rFonts w:ascii="宋体" w:hAnsi="宋体"/>
        </w:rPr>
      </w:pPr>
      <w:r>
        <w:rPr>
          <w:rFonts w:ascii="宋体" w:hAnsi="宋体"/>
        </w:rPr>
      </w:r>
      <w:r/>
    </w:p>
    <w:p>
      <w:pPr>
        <w:pStyle w:val="1011"/>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994"/>
        <w:ind w:left="431" w:firstLine="17"/>
        <w:jc w:val="center"/>
        <w:spacing w:before="0" w:after="0" w:line="360" w:lineRule="auto"/>
        <w:rPr>
          <w:rStyle w:val="1124"/>
          <w:rFonts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2025年部门集中采购目录外器材装备采购项目</w:t>
      </w:r>
      <w:r>
        <w:rPr>
          <w:rFonts w:hint="eastAsia" w:ascii="宋体" w:hAnsi="宋体"/>
          <w:b/>
          <w:sz w:val="21"/>
          <w:szCs w:val="21"/>
        </w:rPr>
        <w:t xml:space="preserve">招标项目的潜在投标人应在 </w:t>
      </w:r>
      <w:r>
        <w:rPr>
          <w:rFonts w:hint="eastAsia" w:ascii="宋体" w:hAnsi="宋体"/>
          <w:b/>
          <w:sz w:val="21"/>
          <w:szCs w:val="21"/>
          <w:u w:val="single"/>
        </w:rPr>
        <w:t xml:space="preserve">“苏采云”系统（网址：http://jszfcg.jsczt.cn/）</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cs="Times New Roman"/>
          <w:sz w:val="21"/>
          <w:szCs w:val="21"/>
          <w:u w:val="single"/>
        </w:rPr>
        <w:t xml:space="preserve">5</w:t>
      </w:r>
      <w:r>
        <w:rPr>
          <w:rFonts w:hint="eastAsia" w:ascii="宋体" w:hAnsi="宋体" w:cs="Times New Roman"/>
          <w:sz w:val="21"/>
          <w:szCs w:val="21"/>
          <w:u w:val="single"/>
        </w:rPr>
        <w:t xml:space="preserve">月19</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1011"/>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11"/>
        <w:ind w:left="0" w:firstLine="420"/>
        <w:spacing w:line="360" w:lineRule="auto"/>
        <w:rPr>
          <w:rFonts w:ascii="宋体" w:hAnsi="宋体"/>
          <w:sz w:val="21"/>
          <w:szCs w:val="21"/>
        </w:rPr>
      </w:pPr>
      <w:r>
        <w:rPr>
          <w:rFonts w:hint="eastAsia" w:ascii="宋体" w:hAnsi="宋体"/>
          <w:sz w:val="21"/>
          <w:szCs w:val="21"/>
        </w:rPr>
        <w:t xml:space="preserve">1.项目编号：JSZC-320500-JZCG-G2026-0079</w:t>
      </w:r>
      <w:r/>
    </w:p>
    <w:p>
      <w:pPr>
        <w:pStyle w:val="1011"/>
        <w:ind w:left="0" w:firstLine="420"/>
        <w:spacing w:line="360" w:lineRule="auto"/>
        <w:rPr>
          <w:rFonts w:ascii="宋体" w:hAnsi="宋体"/>
          <w:sz w:val="21"/>
          <w:szCs w:val="21"/>
        </w:rPr>
      </w:pPr>
      <w:r>
        <w:rPr>
          <w:rFonts w:hint="eastAsia" w:ascii="宋体" w:hAnsi="宋体"/>
          <w:sz w:val="21"/>
          <w:szCs w:val="21"/>
        </w:rPr>
        <w:t xml:space="preserve">2.项目名称：2025年部门集中采购目录外器材装备采购项目</w:t>
      </w:r>
      <w:r/>
    </w:p>
    <w:p>
      <w:pPr>
        <w:pStyle w:val="1011"/>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11"/>
        <w:ind w:left="0" w:firstLine="420"/>
        <w:spacing w:line="360" w:lineRule="auto"/>
        <w:rPr>
          <w:rFonts w:ascii="宋体" w:hAnsi="宋体"/>
          <w:sz w:val="21"/>
          <w:szCs w:val="21"/>
        </w:rPr>
      </w:pPr>
      <w:r>
        <w:rPr>
          <w:rFonts w:hint="eastAsia" w:ascii="宋体" w:hAnsi="宋体"/>
          <w:sz w:val="21"/>
          <w:szCs w:val="21"/>
        </w:rPr>
        <w:t xml:space="preserve">4.预算金额：人民币柒佰捌拾捌万贰仟贰佰元整（¥7882200.00元）</w:t>
      </w:r>
      <w:r/>
    </w:p>
    <w:p>
      <w:pPr>
        <w:pStyle w:val="1011"/>
        <w:ind w:left="0" w:firstLine="420"/>
        <w:spacing w:line="360" w:lineRule="auto"/>
        <w:rPr>
          <w:rFonts w:ascii="宋体" w:hAnsi="宋体"/>
          <w:sz w:val="21"/>
          <w:szCs w:val="21"/>
        </w:rPr>
      </w:pPr>
      <w:r>
        <w:rPr>
          <w:rFonts w:hint="eastAsia" w:ascii="宋体" w:hAnsi="宋体"/>
          <w:sz w:val="21"/>
          <w:szCs w:val="21"/>
        </w:rPr>
        <w:t xml:space="preserve">包一预算金额：人民币壹佰伍拾壹万伍仟陆佰元整（¥1515600.00元）</w:t>
      </w:r>
      <w:r/>
    </w:p>
    <w:p>
      <w:pPr>
        <w:pStyle w:val="1011"/>
        <w:ind w:left="0" w:firstLine="420"/>
        <w:spacing w:line="360" w:lineRule="auto"/>
        <w:rPr>
          <w:rFonts w:ascii="宋体" w:hAnsi="宋体"/>
          <w:sz w:val="21"/>
          <w:szCs w:val="21"/>
        </w:rPr>
      </w:pPr>
      <w:r>
        <w:rPr>
          <w:rFonts w:hint="eastAsia" w:ascii="宋体" w:hAnsi="宋体"/>
          <w:sz w:val="21"/>
          <w:szCs w:val="21"/>
        </w:rPr>
        <w:t xml:space="preserve">包二预算金额：人民币伍拾万壹仟贰佰元整（¥501200.00元）</w:t>
      </w:r>
      <w:r/>
    </w:p>
    <w:p>
      <w:pPr>
        <w:pStyle w:val="1011"/>
        <w:ind w:left="0" w:firstLine="420"/>
        <w:spacing w:line="360" w:lineRule="auto"/>
        <w:rPr>
          <w:rFonts w:ascii="宋体" w:hAnsi="宋体"/>
          <w:sz w:val="21"/>
          <w:szCs w:val="21"/>
        </w:rPr>
      </w:pPr>
      <w:r>
        <w:rPr>
          <w:rFonts w:hint="eastAsia" w:ascii="宋体" w:hAnsi="宋体"/>
          <w:sz w:val="21"/>
          <w:szCs w:val="21"/>
        </w:rPr>
        <w:t xml:space="preserve">包三预算金额：人民币贰佰伍拾伍万元整（¥2550000.00元）</w:t>
      </w:r>
      <w:r/>
    </w:p>
    <w:p>
      <w:pPr>
        <w:pStyle w:val="1011"/>
        <w:ind w:left="0" w:firstLine="420"/>
        <w:spacing w:line="360" w:lineRule="auto"/>
        <w:rPr>
          <w:rFonts w:ascii="宋体" w:hAnsi="宋体"/>
          <w:sz w:val="21"/>
          <w:szCs w:val="21"/>
        </w:rPr>
      </w:pPr>
      <w:r>
        <w:rPr>
          <w:rFonts w:hint="eastAsia" w:ascii="宋体" w:hAnsi="宋体"/>
          <w:sz w:val="21"/>
          <w:szCs w:val="21"/>
        </w:rPr>
        <w:t xml:space="preserve">包四预算金额：人民币捌拾捌万贰仟元整（¥882000.00元）</w:t>
      </w:r>
      <w:r/>
    </w:p>
    <w:p>
      <w:pPr>
        <w:pStyle w:val="1011"/>
        <w:ind w:left="0" w:firstLine="420"/>
        <w:spacing w:line="360" w:lineRule="auto"/>
        <w:rPr>
          <w:rFonts w:ascii="宋体" w:hAnsi="宋体"/>
          <w:sz w:val="21"/>
          <w:szCs w:val="21"/>
        </w:rPr>
      </w:pPr>
      <w:r>
        <w:rPr>
          <w:rFonts w:hint="eastAsia" w:ascii="宋体" w:hAnsi="宋体"/>
          <w:sz w:val="21"/>
          <w:szCs w:val="21"/>
        </w:rPr>
        <w:t xml:space="preserve">包五预算金额：人民币壹佰零柒万叁仟肆佰元整（¥1073400.00元）</w:t>
      </w:r>
      <w:r/>
    </w:p>
    <w:p>
      <w:pPr>
        <w:pStyle w:val="1011"/>
        <w:ind w:left="0" w:firstLine="420"/>
        <w:spacing w:line="360" w:lineRule="auto"/>
        <w:rPr>
          <w:rFonts w:ascii="宋体" w:hAnsi="宋体"/>
          <w:sz w:val="21"/>
          <w:szCs w:val="21"/>
        </w:rPr>
      </w:pPr>
      <w:r>
        <w:rPr>
          <w:rFonts w:hint="eastAsia" w:ascii="宋体" w:hAnsi="宋体"/>
          <w:sz w:val="21"/>
          <w:szCs w:val="21"/>
        </w:rPr>
        <w:t xml:space="preserve">包六预算金额：人民币玖拾陆万元整（¥960000.00元）</w:t>
      </w:r>
      <w:r/>
    </w:p>
    <w:p>
      <w:pPr>
        <w:pStyle w:val="1011"/>
        <w:ind w:left="0" w:firstLine="420"/>
        <w:spacing w:line="360" w:lineRule="auto"/>
      </w:pPr>
      <w:r>
        <w:rPr>
          <w:rFonts w:hint="eastAsia" w:ascii="宋体" w:hAnsi="宋体"/>
          <w:sz w:val="21"/>
          <w:szCs w:val="21"/>
        </w:rPr>
        <w:t xml:space="preserve">包七预算金额：人民币肆拾万元整（¥400000.00元）</w:t>
      </w:r>
      <w:r/>
    </w:p>
    <w:p>
      <w:pPr>
        <w:pStyle w:val="1011"/>
        <w:ind w:left="0" w:firstLine="420"/>
        <w:spacing w:line="360" w:lineRule="auto"/>
        <w:rPr>
          <w:rFonts w:ascii="宋体" w:hAnsi="宋体"/>
          <w:sz w:val="21"/>
          <w:szCs w:val="21"/>
        </w:rPr>
      </w:pPr>
      <w:r>
        <w:rPr>
          <w:rFonts w:hint="eastAsia" w:ascii="宋体" w:hAnsi="宋体"/>
          <w:sz w:val="21"/>
          <w:szCs w:val="21"/>
        </w:rPr>
        <w:t xml:space="preserve">5.最高限价：人民币柒佰陆拾肆万肆仟壹佰元整（¥7644100.00元）</w:t>
      </w:r>
      <w:r/>
    </w:p>
    <w:p>
      <w:pPr>
        <w:pStyle w:val="1011"/>
        <w:ind w:left="0" w:firstLine="420"/>
        <w:spacing w:line="360" w:lineRule="auto"/>
        <w:rPr>
          <w:rFonts w:ascii="宋体" w:hAnsi="宋体"/>
          <w:sz w:val="21"/>
          <w:szCs w:val="21"/>
        </w:rPr>
      </w:pPr>
      <w:r>
        <w:rPr>
          <w:rFonts w:hint="eastAsia" w:ascii="宋体" w:hAnsi="宋体"/>
          <w:sz w:val="21"/>
          <w:szCs w:val="21"/>
        </w:rPr>
        <w:t xml:space="preserve">包一最高限价：人民币壹佰叁拾肆万肆仟壹佰元整（¥1344100.00元）</w:t>
      </w:r>
      <w:r/>
    </w:p>
    <w:p>
      <w:pPr>
        <w:pStyle w:val="1011"/>
        <w:ind w:left="0" w:firstLine="420"/>
        <w:spacing w:line="360" w:lineRule="auto"/>
        <w:rPr>
          <w:rFonts w:ascii="宋体" w:hAnsi="宋体"/>
          <w:sz w:val="21"/>
          <w:szCs w:val="21"/>
        </w:rPr>
      </w:pPr>
      <w:r>
        <w:rPr>
          <w:rFonts w:hint="eastAsia" w:ascii="宋体" w:hAnsi="宋体"/>
          <w:sz w:val="21"/>
          <w:szCs w:val="21"/>
        </w:rPr>
        <w:t xml:space="preserve">包二最高限价：人民币伍拾万壹仟贰佰元整（¥501200.00元）</w:t>
      </w:r>
      <w:r/>
    </w:p>
    <w:p>
      <w:pPr>
        <w:pStyle w:val="1011"/>
        <w:ind w:left="0" w:firstLine="420"/>
        <w:spacing w:line="360" w:lineRule="auto"/>
        <w:rPr>
          <w:rFonts w:ascii="宋体" w:hAnsi="宋体"/>
          <w:sz w:val="21"/>
          <w:szCs w:val="21"/>
        </w:rPr>
      </w:pPr>
      <w:r>
        <w:rPr>
          <w:rFonts w:hint="eastAsia" w:ascii="宋体" w:hAnsi="宋体"/>
          <w:sz w:val="21"/>
          <w:szCs w:val="21"/>
        </w:rPr>
        <w:t xml:space="preserve">包三最高限价：人民币贰佰伍拾伍万元整（¥2550000.00元）</w:t>
      </w:r>
      <w:r/>
    </w:p>
    <w:p>
      <w:pPr>
        <w:pStyle w:val="1011"/>
        <w:ind w:left="0" w:firstLine="420"/>
        <w:spacing w:line="360" w:lineRule="auto"/>
        <w:rPr>
          <w:rFonts w:ascii="宋体" w:hAnsi="宋体"/>
          <w:sz w:val="21"/>
          <w:szCs w:val="21"/>
        </w:rPr>
      </w:pPr>
      <w:r>
        <w:rPr>
          <w:rFonts w:hint="eastAsia" w:ascii="宋体" w:hAnsi="宋体"/>
          <w:sz w:val="21"/>
          <w:szCs w:val="21"/>
        </w:rPr>
        <w:t xml:space="preserve">包四最高限价：人民币捌拾捌万贰仟元整（¥882000.00元）</w:t>
      </w:r>
      <w:r/>
    </w:p>
    <w:p>
      <w:pPr>
        <w:pStyle w:val="1011"/>
        <w:ind w:left="0" w:firstLine="420"/>
        <w:spacing w:line="360" w:lineRule="auto"/>
        <w:rPr>
          <w:rFonts w:ascii="宋体" w:hAnsi="宋体"/>
          <w:sz w:val="21"/>
          <w:szCs w:val="21"/>
        </w:rPr>
      </w:pPr>
      <w:r>
        <w:rPr>
          <w:rFonts w:hint="eastAsia" w:ascii="宋体" w:hAnsi="宋体"/>
          <w:sz w:val="21"/>
          <w:szCs w:val="21"/>
        </w:rPr>
        <w:t xml:space="preserve">包五最高限价：人民币壹佰零陆万陆仟捌佰元整（¥1066800.00元）</w:t>
      </w:r>
      <w:r/>
    </w:p>
    <w:p>
      <w:pPr>
        <w:pStyle w:val="1011"/>
        <w:ind w:left="0" w:firstLine="420"/>
        <w:spacing w:line="360" w:lineRule="auto"/>
        <w:rPr>
          <w:rFonts w:ascii="宋体" w:hAnsi="宋体"/>
          <w:sz w:val="21"/>
          <w:szCs w:val="21"/>
        </w:rPr>
      </w:pPr>
      <w:r>
        <w:rPr>
          <w:rFonts w:hint="eastAsia" w:ascii="宋体" w:hAnsi="宋体"/>
          <w:sz w:val="21"/>
          <w:szCs w:val="21"/>
        </w:rPr>
        <w:t xml:space="preserve">包六最高限价：人民币玖拾万元整（¥900000.00元）</w:t>
      </w:r>
      <w:r/>
    </w:p>
    <w:p>
      <w:pPr>
        <w:pStyle w:val="1011"/>
        <w:ind w:left="0" w:firstLine="420"/>
        <w:spacing w:line="360" w:lineRule="auto"/>
        <w:rPr>
          <w:rFonts w:ascii="宋体" w:hAnsi="宋体"/>
          <w:sz w:val="21"/>
          <w:szCs w:val="21"/>
        </w:rPr>
      </w:pPr>
      <w:r>
        <w:rPr>
          <w:rFonts w:hint="eastAsia" w:ascii="宋体" w:hAnsi="宋体"/>
          <w:sz w:val="21"/>
          <w:szCs w:val="21"/>
        </w:rPr>
        <w:t xml:space="preserve">包七最高限价：人民币肆拾万元整（¥400000.00元）</w:t>
      </w:r>
      <w:r/>
    </w:p>
    <w:p>
      <w:pPr>
        <w:pStyle w:val="1011"/>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签订合同后60日历天内将货物送达指定地点。质量保证期：从验收合格后三十六个月（双方签署验收报告时起算），抗醇性水成膜泡沫灭火剂保质期≥2年。</w:t>
      </w:r>
      <w:r/>
    </w:p>
    <w:p>
      <w:pPr>
        <w:pStyle w:val="1011"/>
        <w:ind w:left="0" w:firstLine="420"/>
        <w:spacing w:line="360" w:lineRule="auto"/>
        <w:rPr>
          <w:rFonts w:asciiTheme="minorEastAsia" w:hAnsiTheme="minorEastAsia" w:eastAsiaTheme="minorEastAsia" w:cstheme="minorEastAsia"/>
          <w:sz w:val="21"/>
          <w:szCs w:val="21"/>
        </w:rPr>
      </w:pPr>
      <w:r>
        <w:rPr>
          <w:rFonts w:hint="eastAsia" w:ascii="宋体" w:hAnsi="宋体"/>
          <w:sz w:val="21"/>
          <w:szCs w:val="21"/>
        </w:rPr>
        <w:t xml:space="preserve">7.采购需求：本项目</w:t>
      </w:r>
      <w:r>
        <w:rPr>
          <w:rFonts w:hint="eastAsia" w:asciiTheme="minorEastAsia" w:hAnsiTheme="minorEastAsia" w:eastAsiaTheme="minorEastAsia" w:cstheme="minorEastAsia"/>
          <w:sz w:val="21"/>
          <w:szCs w:val="21"/>
        </w:rPr>
        <w:t xml:space="preserve">采购2025年部门集中采购目录外器材装备：</w:t>
      </w:r>
      <w:r/>
    </w:p>
    <w:tbl>
      <w:tblPr>
        <w:tblStyle w:val="1053"/>
        <w:tblW w:w="72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04"/>
        <w:gridCol w:w="2552"/>
        <w:gridCol w:w="567"/>
        <w:gridCol w:w="850"/>
        <w:gridCol w:w="1418"/>
        <w:gridCol w:w="1134"/>
      </w:tblGrid>
      <w:tr>
        <w:trPr>
          <w:jc w:val="center"/>
          <w:trHeight w:val="20"/>
        </w:trPr>
        <w:tc>
          <w:tcPr>
            <w:tcW w:w="704" w:type="dxa"/>
            <w:vAlign w:val="center"/>
            <w:textDirection w:val="lrTb"/>
            <w:noWrap w:val="false"/>
          </w:tcPr>
          <w:p>
            <w:pPr>
              <w:ind w:left="0"/>
              <w:jc w:val="center"/>
              <w:widowControl w:val="off"/>
              <w:rPr>
                <w:rFonts w:cs="Times New Roman" w:asciiTheme="minorEastAsia" w:hAnsiTheme="minorEastAsia" w:eastAsiaTheme="minorEastAsia"/>
                <w:b/>
                <w:bCs/>
                <w:sz w:val="21"/>
                <w:szCs w:val="21"/>
              </w:rPr>
            </w:pPr>
            <w:r>
              <w:rPr>
                <w:rFonts w:cs="Times New Roman" w:asciiTheme="minorEastAsia" w:hAnsiTheme="minorEastAsia" w:eastAsiaTheme="minorEastAsia"/>
                <w:b/>
                <w:bCs/>
                <w:sz w:val="21"/>
                <w:szCs w:val="21"/>
              </w:rPr>
              <w:t xml:space="preserve">包号</w:t>
            </w:r>
            <w:r/>
          </w:p>
        </w:tc>
        <w:tc>
          <w:tcPr>
            <w:tcW w:w="2552" w:type="dxa"/>
            <w:vAlign w:val="center"/>
            <w:textDirection w:val="lrTb"/>
            <w:noWrap w:val="false"/>
          </w:tcPr>
          <w:p>
            <w:pPr>
              <w:ind w:left="0"/>
              <w:jc w:val="center"/>
              <w:widowControl w:val="off"/>
              <w:rPr>
                <w:rFonts w:cs="Times New Roman" w:asciiTheme="minorEastAsia" w:hAnsiTheme="minorEastAsia" w:eastAsiaTheme="minorEastAsia"/>
                <w:b/>
                <w:bCs/>
                <w:sz w:val="21"/>
                <w:szCs w:val="21"/>
              </w:rPr>
            </w:pPr>
            <w:r>
              <w:rPr>
                <w:rFonts w:hint="eastAsia" w:cs="Times New Roman" w:asciiTheme="minorEastAsia" w:hAnsiTheme="minorEastAsia" w:eastAsiaTheme="minorEastAsia"/>
                <w:b/>
                <w:bCs/>
                <w:sz w:val="21"/>
                <w:szCs w:val="21"/>
              </w:rPr>
              <w:t xml:space="preserve">装备</w:t>
            </w:r>
            <w:r>
              <w:rPr>
                <w:rFonts w:cs="Times New Roman" w:asciiTheme="minorEastAsia" w:hAnsiTheme="minorEastAsia" w:eastAsiaTheme="minorEastAsia"/>
                <w:b/>
                <w:bCs/>
                <w:sz w:val="21"/>
                <w:szCs w:val="21"/>
              </w:rPr>
              <w:t xml:space="preserve">名称</w:t>
            </w:r>
            <w:r/>
          </w:p>
        </w:tc>
        <w:tc>
          <w:tcPr>
            <w:tcW w:w="567" w:type="dxa"/>
            <w:vAlign w:val="center"/>
            <w:textDirection w:val="lrTb"/>
            <w:noWrap w:val="false"/>
          </w:tcPr>
          <w:p>
            <w:pPr>
              <w:ind w:left="0"/>
              <w:jc w:val="center"/>
              <w:widowControl w:val="off"/>
              <w:rPr>
                <w:rFonts w:cs="Times New Roman" w:asciiTheme="minorEastAsia" w:hAnsiTheme="minorEastAsia" w:eastAsiaTheme="minorEastAsia"/>
                <w:b/>
                <w:bCs/>
                <w:sz w:val="21"/>
                <w:szCs w:val="21"/>
              </w:rPr>
            </w:pPr>
            <w:r>
              <w:rPr>
                <w:rFonts w:cs="Times New Roman" w:asciiTheme="minorEastAsia" w:hAnsiTheme="minorEastAsia" w:eastAsiaTheme="minorEastAsia"/>
                <w:b/>
                <w:bCs/>
                <w:sz w:val="21"/>
                <w:szCs w:val="21"/>
              </w:rPr>
              <w:t xml:space="preserve">计量单位</w:t>
            </w:r>
            <w:r/>
          </w:p>
        </w:tc>
        <w:tc>
          <w:tcPr>
            <w:tcW w:w="850" w:type="dxa"/>
            <w:vAlign w:val="center"/>
            <w:textDirection w:val="lrTb"/>
            <w:noWrap w:val="false"/>
          </w:tcPr>
          <w:p>
            <w:pPr>
              <w:ind w:left="0"/>
              <w:jc w:val="center"/>
              <w:widowControl w:val="off"/>
              <w:rPr>
                <w:rFonts w:cs="Times New Roman" w:asciiTheme="minorEastAsia" w:hAnsiTheme="minorEastAsia" w:eastAsiaTheme="minorEastAsia"/>
                <w:b/>
                <w:bCs/>
                <w:sz w:val="21"/>
                <w:szCs w:val="21"/>
              </w:rPr>
            </w:pPr>
            <w:r>
              <w:rPr>
                <w:rFonts w:cs="Times New Roman" w:asciiTheme="minorEastAsia" w:hAnsiTheme="minorEastAsia" w:eastAsiaTheme="minorEastAsia"/>
                <w:b/>
                <w:bCs/>
                <w:sz w:val="21"/>
                <w:szCs w:val="21"/>
              </w:rPr>
              <w:t xml:space="preserve">数量</w:t>
            </w:r>
            <w:r/>
          </w:p>
        </w:tc>
        <w:tc>
          <w:tcPr>
            <w:tcW w:w="1418" w:type="dxa"/>
            <w:vAlign w:val="center"/>
            <w:textDirection w:val="lrTb"/>
            <w:noWrap w:val="false"/>
          </w:tcPr>
          <w:p>
            <w:pPr>
              <w:ind w:left="0"/>
              <w:jc w:val="center"/>
              <w:widowControl w:val="off"/>
              <w:rPr>
                <w:rFonts w:cs="Times New Roman" w:asciiTheme="minorEastAsia" w:hAnsiTheme="minorEastAsia" w:eastAsiaTheme="minorEastAsia"/>
                <w:b/>
                <w:bCs/>
                <w:sz w:val="21"/>
                <w:szCs w:val="21"/>
              </w:rPr>
            </w:pPr>
            <w:r>
              <w:rPr>
                <w:rFonts w:hint="eastAsia" w:cs="Times New Roman" w:asciiTheme="minorEastAsia" w:hAnsiTheme="minorEastAsia" w:eastAsiaTheme="minorEastAsia"/>
                <w:b/>
                <w:bCs/>
                <w:sz w:val="21"/>
                <w:szCs w:val="21"/>
              </w:rPr>
              <w:t xml:space="preserve">是否进口</w:t>
            </w:r>
            <w:r/>
          </w:p>
        </w:tc>
        <w:tc>
          <w:tcPr>
            <w:tcW w:w="1134" w:type="dxa"/>
            <w:vAlign w:val="center"/>
            <w:textDirection w:val="lrTb"/>
            <w:noWrap w:val="false"/>
          </w:tcPr>
          <w:p>
            <w:pPr>
              <w:ind w:left="0"/>
              <w:jc w:val="center"/>
              <w:widowControl w:val="off"/>
              <w:rPr>
                <w:rFonts w:cs="Times New Roman" w:asciiTheme="minorEastAsia" w:hAnsiTheme="minorEastAsia" w:eastAsiaTheme="minorEastAsia"/>
                <w:b/>
                <w:bCs/>
                <w:sz w:val="21"/>
                <w:szCs w:val="21"/>
              </w:rPr>
            </w:pPr>
            <w:r>
              <w:rPr>
                <w:rFonts w:hint="eastAsia" w:cs="Times New Roman" w:asciiTheme="minorEastAsia" w:hAnsiTheme="minorEastAsia" w:eastAsiaTheme="minorEastAsia"/>
                <w:b/>
                <w:bCs/>
                <w:sz w:val="21"/>
                <w:szCs w:val="21"/>
              </w:rPr>
              <w:t xml:space="preserve">核心产品</w:t>
            </w:r>
            <w:r/>
          </w:p>
        </w:tc>
      </w:tr>
      <w:tr>
        <w:trPr>
          <w:jc w:val="center"/>
          <w:trHeight w:val="20"/>
        </w:trPr>
        <w:tc>
          <w:tcPr>
            <w:tcW w:w="704" w:type="dxa"/>
            <w:vAlign w:val="center"/>
            <w:vMerge w:val="restart"/>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w:t>
            </w:r>
            <w:r/>
          </w:p>
        </w:tc>
        <w:tc>
          <w:tcPr>
            <w:tcW w:w="2552" w:type="dxa"/>
            <w:vAlign w:val="center"/>
            <w:textDirection w:val="lrTb"/>
            <w:noWrap w:val="false"/>
          </w:tcPr>
          <w:p>
            <w:pPr>
              <w:ind w:left="0"/>
              <w:jc w:val="lef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激流救生衣</w:t>
            </w:r>
            <w:r/>
          </w:p>
        </w:tc>
        <w:tc>
          <w:tcPr>
            <w:tcW w:w="567"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bCs/>
                <w:sz w:val="21"/>
                <w:szCs w:val="21"/>
              </w:rPr>
              <w:t xml:space="preserve">件</w:t>
            </w:r>
            <w:r/>
          </w:p>
        </w:tc>
        <w:tc>
          <w:tcPr>
            <w:tcW w:w="850"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202</w:t>
            </w:r>
            <w:r/>
          </w:p>
        </w:tc>
        <w:tc>
          <w:tcPr>
            <w:tcW w:w="1418"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否</w:t>
            </w:r>
            <w:r/>
          </w:p>
        </w:tc>
        <w:tc>
          <w:tcPr>
            <w:tcW w:w="1134" w:type="dxa"/>
            <w:vAlign w:val="center"/>
            <w:textDirection w:val="lrTb"/>
            <w:noWrap w:val="false"/>
          </w:tcPr>
          <w:p>
            <w:pPr>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Height w:val="20"/>
        </w:trPr>
        <w:tc>
          <w:tcPr>
            <w:tcW w:w="704" w:type="dxa"/>
            <w:vAlign w:val="center"/>
            <w:vMerge w:val="continue"/>
            <w:textDirection w:val="lrTb"/>
            <w:noWrap w:val="false"/>
          </w:tcPr>
          <w:p>
            <w:pPr>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552" w:type="dxa"/>
            <w:vAlign w:val="center"/>
            <w:textDirection w:val="lrTb"/>
            <w:noWrap w:val="false"/>
          </w:tcPr>
          <w:p>
            <w:pPr>
              <w:ind w:left="0"/>
              <w:jc w:val="lef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水域救援头盔</w:t>
            </w:r>
            <w:r/>
          </w:p>
        </w:tc>
        <w:tc>
          <w:tcPr>
            <w:tcW w:w="567" w:type="dxa"/>
            <w:vAlign w:val="center"/>
            <w:textDirection w:val="lrTb"/>
            <w:noWrap w:val="false"/>
          </w:tcPr>
          <w:p>
            <w:pPr>
              <w:ind w:left="0"/>
              <w:jc w:val="center"/>
              <w:widowControl w:val="off"/>
              <w:rPr>
                <w:rFonts w:cs="Times New Roman" w:asciiTheme="minorEastAsia" w:hAnsiTheme="minorEastAsia" w:eastAsiaTheme="minorEastAsia"/>
                <w:bCs/>
                <w:sz w:val="21"/>
                <w:szCs w:val="21"/>
              </w:rPr>
            </w:pPr>
            <w:r>
              <w:rPr>
                <w:rFonts w:cs="Times New Roman" w:asciiTheme="minorEastAsia" w:hAnsiTheme="minorEastAsia" w:eastAsiaTheme="minorEastAsia"/>
                <w:bCs/>
                <w:sz w:val="21"/>
                <w:szCs w:val="21"/>
              </w:rPr>
              <w:t xml:space="preserve">顶</w:t>
            </w:r>
            <w:r/>
          </w:p>
        </w:tc>
        <w:tc>
          <w:tcPr>
            <w:tcW w:w="850"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149</w:t>
            </w:r>
            <w:r/>
          </w:p>
        </w:tc>
        <w:tc>
          <w:tcPr>
            <w:tcW w:w="1418"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否</w:t>
            </w:r>
            <w:r/>
          </w:p>
        </w:tc>
        <w:tc>
          <w:tcPr>
            <w:tcW w:w="1134" w:type="dxa"/>
            <w:vAlign w:val="center"/>
            <w:textDirection w:val="lrTb"/>
            <w:noWrap w:val="false"/>
          </w:tcPr>
          <w:p>
            <w:pPr>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Height w:val="20"/>
        </w:trPr>
        <w:tc>
          <w:tcPr>
            <w:tcW w:w="704" w:type="dxa"/>
            <w:vAlign w:val="center"/>
            <w:vMerge w:val="continue"/>
            <w:textDirection w:val="lrTb"/>
            <w:noWrap w:val="false"/>
          </w:tcPr>
          <w:p>
            <w:pPr>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552" w:type="dxa"/>
            <w:vAlign w:val="center"/>
            <w:textDirection w:val="lrTb"/>
            <w:noWrap w:val="false"/>
          </w:tcPr>
          <w:p>
            <w:pPr>
              <w:ind w:left="0"/>
              <w:jc w:val="lef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湿式水域救援服</w:t>
            </w:r>
            <w:r/>
          </w:p>
        </w:tc>
        <w:tc>
          <w:tcPr>
            <w:tcW w:w="567"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bCs/>
                <w:sz w:val="21"/>
                <w:szCs w:val="21"/>
              </w:rPr>
              <w:t xml:space="preserve">件</w:t>
            </w:r>
            <w:r/>
          </w:p>
        </w:tc>
        <w:tc>
          <w:tcPr>
            <w:tcW w:w="850"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207</w:t>
            </w:r>
            <w:r/>
          </w:p>
        </w:tc>
        <w:tc>
          <w:tcPr>
            <w:tcW w:w="1418"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否</w:t>
            </w:r>
            <w:r/>
          </w:p>
        </w:tc>
        <w:tc>
          <w:tcPr>
            <w:tcW w:w="1134"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核心产品</w:t>
            </w:r>
            <w:r/>
          </w:p>
        </w:tc>
      </w:tr>
      <w:tr>
        <w:trPr>
          <w:jc w:val="center"/>
          <w:trHeight w:val="20"/>
        </w:trPr>
        <w:tc>
          <w:tcPr>
            <w:tcW w:w="704" w:type="dxa"/>
            <w:vAlign w:val="center"/>
            <w:vMerge w:val="continue"/>
            <w:textDirection w:val="lrTb"/>
            <w:noWrap w:val="false"/>
          </w:tcPr>
          <w:p>
            <w:pPr>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552" w:type="dxa"/>
            <w:vAlign w:val="center"/>
            <w:textDirection w:val="lrTb"/>
            <w:noWrap w:val="false"/>
          </w:tcPr>
          <w:p>
            <w:pPr>
              <w:ind w:left="0"/>
              <w:jc w:val="lef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水域救援靴</w:t>
            </w:r>
            <w:r/>
          </w:p>
        </w:tc>
        <w:tc>
          <w:tcPr>
            <w:tcW w:w="567"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bCs/>
                <w:sz w:val="21"/>
                <w:szCs w:val="21"/>
              </w:rPr>
              <w:t xml:space="preserve">双</w:t>
            </w:r>
            <w:r/>
          </w:p>
        </w:tc>
        <w:tc>
          <w:tcPr>
            <w:tcW w:w="850"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249</w:t>
            </w:r>
            <w:r/>
          </w:p>
        </w:tc>
        <w:tc>
          <w:tcPr>
            <w:tcW w:w="1418"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否</w:t>
            </w:r>
            <w:r/>
          </w:p>
        </w:tc>
        <w:tc>
          <w:tcPr>
            <w:tcW w:w="1134" w:type="dxa"/>
            <w:vAlign w:val="center"/>
            <w:textDirection w:val="lrTb"/>
            <w:noWrap w:val="false"/>
          </w:tcPr>
          <w:p>
            <w:pPr>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Height w:val="20"/>
        </w:trPr>
        <w:tc>
          <w:tcPr>
            <w:tcW w:w="704"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2</w:t>
            </w:r>
            <w:r/>
          </w:p>
        </w:tc>
        <w:tc>
          <w:tcPr>
            <w:tcW w:w="2552" w:type="dxa"/>
            <w:vAlign w:val="center"/>
            <w:textDirection w:val="lrTb"/>
            <w:noWrap w:val="false"/>
          </w:tcPr>
          <w:p>
            <w:pPr>
              <w:ind w:left="0"/>
              <w:jc w:val="left"/>
              <w:widowControl w:val="off"/>
              <w:rPr>
                <w:rFonts w:cs="Times New Roman" w:asciiTheme="minorEastAsia" w:hAnsiTheme="minorEastAsia" w:eastAsiaTheme="minorEastAsia"/>
                <w:spacing w:val="-4"/>
                <w:sz w:val="21"/>
                <w:szCs w:val="21"/>
              </w:rPr>
            </w:pPr>
            <w:r>
              <w:rPr>
                <w:rFonts w:cs="Times New Roman" w:asciiTheme="minorEastAsia" w:hAnsiTheme="minorEastAsia" w:eastAsiaTheme="minorEastAsia"/>
                <w:spacing w:val="-4"/>
                <w:sz w:val="21"/>
                <w:szCs w:val="21"/>
              </w:rPr>
              <w:t xml:space="preserve">手提式强光照明灯</w:t>
            </w:r>
            <w:r/>
          </w:p>
        </w:tc>
        <w:tc>
          <w:tcPr>
            <w:tcW w:w="567"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bCs/>
                <w:sz w:val="21"/>
                <w:szCs w:val="21"/>
              </w:rPr>
              <w:t xml:space="preserve">个</w:t>
            </w:r>
            <w:r/>
          </w:p>
        </w:tc>
        <w:tc>
          <w:tcPr>
            <w:tcW w:w="850"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179</w:t>
            </w:r>
            <w:r/>
          </w:p>
        </w:tc>
        <w:tc>
          <w:tcPr>
            <w:tcW w:w="1418"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否</w:t>
            </w:r>
            <w:r/>
          </w:p>
        </w:tc>
        <w:tc>
          <w:tcPr>
            <w:tcW w:w="1134" w:type="dxa"/>
            <w:vAlign w:val="center"/>
            <w:textDirection w:val="lrTb"/>
            <w:noWrap w:val="false"/>
          </w:tcPr>
          <w:p>
            <w:pPr>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Height w:val="20"/>
        </w:trPr>
        <w:tc>
          <w:tcPr>
            <w:tcW w:w="704"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3</w:t>
            </w:r>
            <w:r/>
          </w:p>
        </w:tc>
        <w:tc>
          <w:tcPr>
            <w:tcW w:w="2552" w:type="dxa"/>
            <w:vAlign w:val="center"/>
            <w:textDirection w:val="lrTb"/>
            <w:noWrap w:val="false"/>
          </w:tcPr>
          <w:p>
            <w:pPr>
              <w:ind w:left="0"/>
              <w:jc w:val="left"/>
              <w:widowControl w:val="off"/>
              <w:rPr>
                <w:rFonts w:cs="Times New Roman" w:asciiTheme="minorEastAsia" w:hAnsiTheme="minorEastAsia" w:eastAsiaTheme="minorEastAsia"/>
                <w:spacing w:val="-4"/>
                <w:sz w:val="21"/>
                <w:szCs w:val="21"/>
              </w:rPr>
            </w:pPr>
            <w:r>
              <w:rPr>
                <w:rFonts w:cs="Times New Roman" w:asciiTheme="minorEastAsia" w:hAnsiTheme="minorEastAsia" w:eastAsiaTheme="minorEastAsia"/>
                <w:spacing w:val="-4"/>
                <w:sz w:val="21"/>
                <w:szCs w:val="21"/>
              </w:rPr>
              <w:t xml:space="preserve">消防用红外热像仪</w:t>
            </w:r>
            <w:r/>
          </w:p>
        </w:tc>
        <w:tc>
          <w:tcPr>
            <w:tcW w:w="567"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bCs/>
                <w:sz w:val="21"/>
                <w:szCs w:val="21"/>
              </w:rPr>
              <w:t xml:space="preserve">个</w:t>
            </w:r>
            <w:r/>
          </w:p>
        </w:tc>
        <w:tc>
          <w:tcPr>
            <w:tcW w:w="850"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34</w:t>
            </w:r>
            <w:r/>
          </w:p>
        </w:tc>
        <w:tc>
          <w:tcPr>
            <w:tcW w:w="1418"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否</w:t>
            </w:r>
            <w:r/>
          </w:p>
        </w:tc>
        <w:tc>
          <w:tcPr>
            <w:tcW w:w="1134" w:type="dxa"/>
            <w:vAlign w:val="center"/>
            <w:textDirection w:val="lrTb"/>
            <w:noWrap w:val="false"/>
          </w:tcPr>
          <w:p>
            <w:pPr>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Height w:val="20"/>
        </w:trPr>
        <w:tc>
          <w:tcPr>
            <w:tcW w:w="704" w:type="dxa"/>
            <w:vAlign w:val="center"/>
            <w:vMerge w:val="restart"/>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4</w:t>
            </w:r>
            <w:r/>
          </w:p>
        </w:tc>
        <w:tc>
          <w:tcPr>
            <w:tcW w:w="2552" w:type="dxa"/>
            <w:vAlign w:val="center"/>
            <w:textDirection w:val="lrTb"/>
            <w:noWrap w:val="false"/>
          </w:tcPr>
          <w:p>
            <w:pPr>
              <w:ind w:left="0"/>
              <w:jc w:val="lef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有毒气体探测仪</w:t>
            </w:r>
            <w:r/>
          </w:p>
        </w:tc>
        <w:tc>
          <w:tcPr>
            <w:tcW w:w="567"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bCs/>
                <w:sz w:val="21"/>
                <w:szCs w:val="21"/>
              </w:rPr>
              <w:t xml:space="preserve">个</w:t>
            </w:r>
            <w:r/>
          </w:p>
        </w:tc>
        <w:tc>
          <w:tcPr>
            <w:tcW w:w="850"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53</w:t>
            </w:r>
            <w:r/>
          </w:p>
        </w:tc>
        <w:tc>
          <w:tcPr>
            <w:tcW w:w="1418"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否</w:t>
            </w:r>
            <w:r/>
          </w:p>
        </w:tc>
        <w:tc>
          <w:tcPr>
            <w:tcW w:w="1134"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核心产品</w:t>
            </w:r>
            <w:r/>
          </w:p>
        </w:tc>
      </w:tr>
      <w:tr>
        <w:trPr>
          <w:jc w:val="center"/>
          <w:trHeight w:val="20"/>
        </w:trPr>
        <w:tc>
          <w:tcPr>
            <w:tcW w:w="704" w:type="dxa"/>
            <w:vAlign w:val="center"/>
            <w:vMerge w:val="continue"/>
            <w:textDirection w:val="lrTb"/>
            <w:noWrap w:val="false"/>
          </w:tcPr>
          <w:p>
            <w:pPr>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552" w:type="dxa"/>
            <w:vAlign w:val="center"/>
            <w:textDirection w:val="lrTb"/>
            <w:noWrap w:val="false"/>
          </w:tcPr>
          <w:p>
            <w:pPr>
              <w:ind w:left="0"/>
              <w:jc w:val="lef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漏电探测仪</w:t>
            </w:r>
            <w:r>
              <w:rPr>
                <w:rFonts w:hint="eastAsia" w:cs="Times New Roman" w:asciiTheme="minorEastAsia" w:hAnsiTheme="minorEastAsia" w:eastAsiaTheme="minorEastAsia"/>
                <w:sz w:val="21"/>
                <w:szCs w:val="21"/>
              </w:rPr>
              <w:t xml:space="preserve">（漏电探测棒）</w:t>
            </w:r>
            <w:r/>
          </w:p>
        </w:tc>
        <w:tc>
          <w:tcPr>
            <w:tcW w:w="567" w:type="dxa"/>
            <w:vAlign w:val="center"/>
            <w:textDirection w:val="lrTb"/>
            <w:noWrap w:val="false"/>
          </w:tcPr>
          <w:p>
            <w:pPr>
              <w:ind w:left="0"/>
              <w:jc w:val="center"/>
              <w:widowControl w:val="off"/>
              <w:rPr>
                <w:rFonts w:cs="Times New Roman" w:asciiTheme="minorEastAsia" w:hAnsiTheme="minorEastAsia" w:eastAsiaTheme="minorEastAsia"/>
                <w:bCs/>
                <w:sz w:val="21"/>
                <w:szCs w:val="21"/>
              </w:rPr>
            </w:pPr>
            <w:r>
              <w:rPr>
                <w:rFonts w:hint="eastAsia" w:cs="Times New Roman" w:asciiTheme="minorEastAsia" w:hAnsiTheme="minorEastAsia" w:eastAsiaTheme="minorEastAsia"/>
                <w:bCs/>
                <w:sz w:val="21"/>
                <w:szCs w:val="21"/>
              </w:rPr>
              <w:t xml:space="preserve">个</w:t>
            </w:r>
            <w:r/>
          </w:p>
        </w:tc>
        <w:tc>
          <w:tcPr>
            <w:tcW w:w="850"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82</w:t>
            </w:r>
            <w:r/>
          </w:p>
        </w:tc>
        <w:tc>
          <w:tcPr>
            <w:tcW w:w="1418"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否</w:t>
            </w:r>
            <w:r/>
          </w:p>
        </w:tc>
        <w:tc>
          <w:tcPr>
            <w:tcW w:w="1134" w:type="dxa"/>
            <w:vAlign w:val="center"/>
            <w:textDirection w:val="lrTb"/>
            <w:noWrap w:val="false"/>
          </w:tcPr>
          <w:p>
            <w:pPr>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Height w:val="20"/>
        </w:trPr>
        <w:tc>
          <w:tcPr>
            <w:tcW w:w="704" w:type="dxa"/>
            <w:vAlign w:val="center"/>
            <w:vMerge w:val="restart"/>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5</w:t>
            </w:r>
            <w:r/>
          </w:p>
        </w:tc>
        <w:tc>
          <w:tcPr>
            <w:tcW w:w="2552" w:type="dxa"/>
            <w:vAlign w:val="center"/>
            <w:textDirection w:val="lrTb"/>
            <w:noWrap w:val="false"/>
          </w:tcPr>
          <w:p>
            <w:pPr>
              <w:ind w:left="0"/>
              <w:jc w:val="lef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高压森林消防泵</w:t>
            </w:r>
            <w:r/>
          </w:p>
        </w:tc>
        <w:tc>
          <w:tcPr>
            <w:tcW w:w="567"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bCs/>
                <w:sz w:val="21"/>
                <w:szCs w:val="21"/>
              </w:rPr>
              <w:t xml:space="preserve">个</w:t>
            </w:r>
            <w:r/>
          </w:p>
        </w:tc>
        <w:tc>
          <w:tcPr>
            <w:tcW w:w="850"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14</w:t>
            </w:r>
            <w:r/>
          </w:p>
        </w:tc>
        <w:tc>
          <w:tcPr>
            <w:tcW w:w="1418"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否</w:t>
            </w:r>
            <w:r/>
          </w:p>
        </w:tc>
        <w:tc>
          <w:tcPr>
            <w:tcW w:w="1134"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核心产品</w:t>
            </w:r>
            <w:r/>
          </w:p>
        </w:tc>
      </w:tr>
      <w:tr>
        <w:trPr>
          <w:jc w:val="center"/>
          <w:trHeight w:val="20"/>
        </w:trPr>
        <w:tc>
          <w:tcPr>
            <w:tcW w:w="704" w:type="dxa"/>
            <w:vAlign w:val="center"/>
            <w:vMerge w:val="continue"/>
            <w:textDirection w:val="lrTb"/>
            <w:noWrap w:val="false"/>
          </w:tcPr>
          <w:p>
            <w:pPr>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552" w:type="dxa"/>
            <w:vAlign w:val="center"/>
            <w:textDirection w:val="lrTb"/>
            <w:noWrap w:val="false"/>
          </w:tcPr>
          <w:p>
            <w:pPr>
              <w:ind w:left="0"/>
              <w:jc w:val="lef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消防拉梯（6米竹制）</w:t>
            </w:r>
            <w:r/>
          </w:p>
        </w:tc>
        <w:tc>
          <w:tcPr>
            <w:tcW w:w="567"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bCs/>
                <w:sz w:val="21"/>
                <w:szCs w:val="21"/>
              </w:rPr>
              <w:t xml:space="preserve">驾</w:t>
            </w:r>
            <w:r/>
          </w:p>
        </w:tc>
        <w:tc>
          <w:tcPr>
            <w:tcW w:w="850"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141</w:t>
            </w:r>
            <w:r/>
          </w:p>
        </w:tc>
        <w:tc>
          <w:tcPr>
            <w:tcW w:w="1418"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否</w:t>
            </w:r>
            <w:r/>
          </w:p>
        </w:tc>
        <w:tc>
          <w:tcPr>
            <w:tcW w:w="1134" w:type="dxa"/>
            <w:vAlign w:val="center"/>
            <w:textDirection w:val="lrTb"/>
            <w:noWrap w:val="false"/>
          </w:tcPr>
          <w:p>
            <w:pPr>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Height w:val="20"/>
        </w:trPr>
        <w:tc>
          <w:tcPr>
            <w:tcW w:w="704" w:type="dxa"/>
            <w:vAlign w:val="center"/>
            <w:vMerge w:val="continue"/>
            <w:textDirection w:val="lrTb"/>
            <w:noWrap w:val="false"/>
          </w:tcPr>
          <w:p>
            <w:pPr>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552" w:type="dxa"/>
            <w:vAlign w:val="center"/>
            <w:textDirection w:val="lrTb"/>
            <w:noWrap w:val="false"/>
          </w:tcPr>
          <w:p>
            <w:pPr>
              <w:ind w:left="0"/>
              <w:jc w:val="lef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消防员降温背心</w:t>
            </w:r>
            <w:r/>
          </w:p>
        </w:tc>
        <w:tc>
          <w:tcPr>
            <w:tcW w:w="567" w:type="dxa"/>
            <w:vAlign w:val="center"/>
            <w:textDirection w:val="lrTb"/>
            <w:noWrap w:val="false"/>
          </w:tcPr>
          <w:p>
            <w:pPr>
              <w:ind w:left="0"/>
              <w:jc w:val="center"/>
              <w:widowControl w:val="off"/>
              <w:rPr>
                <w:rFonts w:cs="Times New Roman" w:asciiTheme="minorEastAsia" w:hAnsiTheme="minorEastAsia" w:eastAsiaTheme="minorEastAsia"/>
                <w:bCs/>
                <w:sz w:val="21"/>
                <w:szCs w:val="21"/>
              </w:rPr>
            </w:pPr>
            <w:r>
              <w:rPr>
                <w:rFonts w:cs="Times New Roman" w:asciiTheme="minorEastAsia" w:hAnsiTheme="minorEastAsia" w:eastAsiaTheme="minorEastAsia"/>
                <w:bCs/>
                <w:sz w:val="21"/>
                <w:szCs w:val="21"/>
              </w:rPr>
              <w:t xml:space="preserve">件</w:t>
            </w:r>
            <w:r/>
          </w:p>
        </w:tc>
        <w:tc>
          <w:tcPr>
            <w:tcW w:w="850"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132</w:t>
            </w:r>
            <w:r/>
          </w:p>
        </w:tc>
        <w:tc>
          <w:tcPr>
            <w:tcW w:w="1418"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否</w:t>
            </w:r>
            <w:r/>
          </w:p>
        </w:tc>
        <w:tc>
          <w:tcPr>
            <w:tcW w:w="1134" w:type="dxa"/>
            <w:vAlign w:val="center"/>
            <w:textDirection w:val="lrTb"/>
            <w:noWrap w:val="false"/>
          </w:tcPr>
          <w:p>
            <w:pPr>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Height w:val="20"/>
        </w:trPr>
        <w:tc>
          <w:tcPr>
            <w:tcW w:w="704"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6</w:t>
            </w:r>
            <w:r/>
          </w:p>
        </w:tc>
        <w:tc>
          <w:tcPr>
            <w:tcW w:w="2552" w:type="dxa"/>
            <w:vAlign w:val="center"/>
            <w:textDirection w:val="lrTb"/>
            <w:noWrap w:val="false"/>
          </w:tcPr>
          <w:p>
            <w:pPr>
              <w:ind w:left="0"/>
              <w:jc w:val="lef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抗醇性水成膜泡沫灭火剂</w:t>
            </w:r>
            <w:r/>
          </w:p>
        </w:tc>
        <w:tc>
          <w:tcPr>
            <w:tcW w:w="567"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bCs/>
                <w:sz w:val="21"/>
                <w:szCs w:val="21"/>
              </w:rPr>
              <w:t xml:space="preserve">吨</w:t>
            </w:r>
            <w:r/>
          </w:p>
        </w:tc>
        <w:tc>
          <w:tcPr>
            <w:tcW w:w="850"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120</w:t>
            </w:r>
            <w:r/>
          </w:p>
        </w:tc>
        <w:tc>
          <w:tcPr>
            <w:tcW w:w="1418"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否</w:t>
            </w:r>
            <w:r/>
          </w:p>
        </w:tc>
        <w:tc>
          <w:tcPr>
            <w:tcW w:w="1134" w:type="dxa"/>
            <w:vAlign w:val="center"/>
            <w:textDirection w:val="lrTb"/>
            <w:noWrap w:val="false"/>
          </w:tcPr>
          <w:p>
            <w:pPr>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Height w:val="20"/>
        </w:trPr>
        <w:tc>
          <w:tcPr>
            <w:tcW w:w="704"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7</w:t>
            </w:r>
            <w:r/>
          </w:p>
        </w:tc>
        <w:tc>
          <w:tcPr>
            <w:tcW w:w="2552" w:type="dxa"/>
            <w:vAlign w:val="center"/>
            <w:textDirection w:val="lrTb"/>
            <w:noWrap w:val="false"/>
          </w:tcPr>
          <w:p>
            <w:pPr>
              <w:ind w:left="0"/>
              <w:jc w:val="lef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通讯面罩</w:t>
            </w:r>
            <w:r/>
          </w:p>
        </w:tc>
        <w:tc>
          <w:tcPr>
            <w:tcW w:w="567"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bCs/>
                <w:sz w:val="21"/>
                <w:szCs w:val="21"/>
              </w:rPr>
              <w:t xml:space="preserve">个</w:t>
            </w:r>
            <w:r/>
          </w:p>
        </w:tc>
        <w:tc>
          <w:tcPr>
            <w:tcW w:w="850"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40</w:t>
            </w:r>
            <w:r/>
          </w:p>
        </w:tc>
        <w:tc>
          <w:tcPr>
            <w:tcW w:w="1418"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否</w:t>
            </w:r>
            <w:r/>
          </w:p>
        </w:tc>
        <w:tc>
          <w:tcPr>
            <w:tcW w:w="1134" w:type="dxa"/>
            <w:vAlign w:val="center"/>
            <w:textDirection w:val="lrTb"/>
            <w:noWrap w:val="false"/>
          </w:tcPr>
          <w:p>
            <w:pPr>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bl>
    <w:p>
      <w:r/>
      <w:r/>
    </w:p>
    <w:p>
      <w:pPr>
        <w:pStyle w:val="1011"/>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11"/>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11"/>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11"/>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11"/>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11"/>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11"/>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11"/>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11"/>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11"/>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1011"/>
        <w:ind w:left="0" w:firstLine="420"/>
        <w:spacing w:line="360" w:lineRule="auto"/>
        <w:rPr>
          <w:rFonts w:ascii="宋体" w:hAnsi="宋体"/>
          <w:sz w:val="21"/>
          <w:szCs w:val="21"/>
        </w:rPr>
      </w:pPr>
      <w:r>
        <w:rPr>
          <w:rFonts w:hint="eastAsia" w:ascii="宋体" w:hAnsi="宋体"/>
          <w:sz w:val="21"/>
          <w:szCs w:val="21"/>
        </w:rPr>
        <w:t xml:space="preserve">4. 联合体及转包、分包：本项目不接受联合体，不得转包、分包本项目。</w:t>
      </w:r>
      <w:r/>
    </w:p>
    <w:p>
      <w:pPr>
        <w:pStyle w:val="1011"/>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11"/>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11"/>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11"/>
        <w:ind w:left="0" w:firstLine="420"/>
        <w:spacing w:line="360" w:lineRule="auto"/>
        <w:rPr>
          <w:rFonts w:ascii="宋体" w:hAnsi="宋体"/>
          <w:sz w:val="21"/>
          <w:szCs w:val="21"/>
        </w:rPr>
      </w:pPr>
      <w:r>
        <w:rPr>
          <w:rFonts w:hint="eastAsia" w:ascii="宋体" w:hAnsi="宋体"/>
          <w:sz w:val="21"/>
          <w:szCs w:val="21"/>
        </w:rPr>
        <w:t xml:space="preserve">3.方式：</w:t>
      </w:r>
      <w:r/>
    </w:p>
    <w:p>
      <w:pPr>
        <w:pStyle w:val="1011"/>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11"/>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1011"/>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11"/>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11"/>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11"/>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11"/>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11"/>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11"/>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11"/>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11"/>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6" w:name="OLE_LINK39"/>
      <w:r>
        <w:rPr>
          <w:rFonts w:ascii="宋体" w:hAnsi="宋体"/>
          <w:sz w:val="21"/>
          <w:szCs w:val="21"/>
        </w:rPr>
        <w:t xml:space="preserve">13914088964</w:t>
      </w:r>
      <w:bookmarkEnd w:id="6"/>
      <w:r>
        <w:rPr>
          <w:rFonts w:hint="eastAsia" w:ascii="宋体" w:hAnsi="宋体"/>
          <w:sz w:val="21"/>
          <w:szCs w:val="21"/>
        </w:rPr>
        <w:t xml:space="preserve">；智能客服：登录苏采云系统后，联系系统右下方智能客服图标进行咨询。</w:t>
      </w:r>
      <w:r/>
    </w:p>
    <w:p>
      <w:pPr>
        <w:pStyle w:val="1011"/>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11"/>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11"/>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ascii="宋体" w:hAnsi="宋体" w:cs="Times New Roman"/>
          <w:sz w:val="21"/>
          <w:szCs w:val="21"/>
          <w:u w:val="single"/>
        </w:rPr>
        <w:t xml:space="preserve">5</w:t>
      </w:r>
      <w:r>
        <w:rPr>
          <w:rFonts w:hint="eastAsia" w:ascii="宋体" w:hAnsi="宋体" w:cs="Times New Roman"/>
          <w:sz w:val="21"/>
          <w:szCs w:val="21"/>
          <w:u w:val="single"/>
        </w:rPr>
        <w:t xml:space="preserve">月19</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rPr>
          <w:rFonts w:ascii="宋体" w:hAnsi="宋体"/>
          <w:sz w:val="21"/>
          <w:szCs w:val="21"/>
        </w:rPr>
        <w:t xml:space="preserve"> </w:t>
      </w:r>
      <w:r/>
    </w:p>
    <w:p>
      <w:pPr>
        <w:pStyle w:val="1011"/>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ascii="宋体" w:hAnsi="宋体" w:cs="Times New Roman"/>
          <w:sz w:val="21"/>
          <w:szCs w:val="21"/>
          <w:u w:val="single"/>
        </w:rPr>
        <w:t xml:space="preserve">5</w:t>
      </w:r>
      <w:r>
        <w:rPr>
          <w:rFonts w:hint="eastAsia" w:ascii="宋体" w:hAnsi="宋体" w:cs="Times New Roman"/>
          <w:sz w:val="21"/>
          <w:szCs w:val="21"/>
          <w:u w:val="single"/>
        </w:rPr>
        <w:t xml:space="preserve">月19</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p>
    <w:p>
      <w:pPr>
        <w:pStyle w:val="1011"/>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11"/>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11"/>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11"/>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11"/>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11"/>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11"/>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w:t>
      </w:r>
      <w:r>
        <w:rPr>
          <w:rFonts w:hint="eastAsia" w:ascii="宋体" w:hAnsi="宋体"/>
          <w:sz w:val="21"/>
          <w:szCs w:val="21"/>
        </w:rPr>
        <w:t xml:space="preserve">江苏省财政厅、中国人民银行南京分行《关于深入推进政府采购线上合同信用融资工作的通知》</w:t>
      </w:r>
      <w:r>
        <w:rPr>
          <w:rFonts w:hint="eastAsia" w:ascii="Times New Roman" w:hAnsi="Times New Roman"/>
          <w:sz w:val="21"/>
          <w:szCs w:val="21"/>
        </w:rPr>
        <w:t xml:space="preserve">相关要求，本项目支持政府采购合同信用融资。</w:t>
      </w:r>
      <w:r/>
    </w:p>
    <w:tbl>
      <w:tblPr>
        <w:tblStyle w:val="1004"/>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1052"/>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1052"/>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ind w:left="0" w:firstLine="420"/>
              <w:spacing w:line="360" w:lineRule="exact"/>
              <w:rPr>
                <w:rFonts w:ascii="宋体" w:hAnsi="宋体"/>
                <w:sz w:val="21"/>
                <w:szCs w:val="21"/>
              </w:rPr>
            </w:pPr>
            <w:r>
              <w:rPr>
                <w:rFonts w:hint="eastAsia" w:ascii="宋体" w:hAnsi="宋体"/>
                <w:sz w:val="21"/>
                <w:szCs w:val="21"/>
              </w:rPr>
              <w:t xml:space="preserve">欢迎贵公司参加政府采购活动！</w:t>
            </w:r>
            <w:r/>
          </w:p>
          <w:p>
            <w:pPr>
              <w:pStyle w:val="1052"/>
              <w:ind w:left="0"/>
              <w:spacing w:line="240" w:lineRule="auto"/>
              <w:widowControl w:val="off"/>
              <w:rPr>
                <w:szCs w:val="21"/>
              </w:rPr>
            </w:pPr>
            <w:r>
              <w:rPr>
                <w:rFonts w:hint="eastAsia" w:ascii="宋体" w:hAnsi="宋体" w:cs="宋体"/>
                <w:sz w:val="21"/>
                <w:szCs w:val="21"/>
              </w:rPr>
              <w:t xml:space="preserve">政府采购合同信用融资是江苏省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中国人民银行南京分行《关于深入推进政府采购线上合同信用融资工作的通知》(苏财购〔2021〕82号)要求，按照双方自愿的原则提供便捷、优惠的贷款服务。</w:t>
            </w:r>
            <w:r/>
          </w:p>
        </w:tc>
      </w:tr>
    </w:tbl>
    <w:p>
      <w:pPr>
        <w:pStyle w:val="1011"/>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11"/>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11"/>
        <w:ind w:left="0" w:firstLine="420"/>
        <w:spacing w:line="360" w:lineRule="auto"/>
        <w:rPr>
          <w:rFonts w:ascii="宋体" w:hAnsi="宋体"/>
          <w:sz w:val="21"/>
          <w:szCs w:val="21"/>
        </w:rPr>
      </w:pPr>
      <w:r>
        <w:rPr>
          <w:rFonts w:hint="eastAsia" w:ascii="宋体" w:hAnsi="宋体"/>
          <w:sz w:val="21"/>
          <w:szCs w:val="21"/>
        </w:rPr>
        <w:t xml:space="preserve">名称：苏州市消防救援支队  </w:t>
      </w:r>
      <w:r>
        <w:rPr>
          <w:rFonts w:ascii="宋体" w:hAnsi="宋体"/>
          <w:sz w:val="21"/>
          <w:szCs w:val="21"/>
        </w:rPr>
        <w:t xml:space="preserve">                                      </w:t>
      </w:r>
      <w:r/>
    </w:p>
    <w:p>
      <w:pPr>
        <w:pStyle w:val="1011"/>
        <w:ind w:left="0" w:firstLine="420"/>
        <w:spacing w:line="360" w:lineRule="auto"/>
        <w:rPr>
          <w:rFonts w:ascii="宋体" w:hAnsi="宋体"/>
          <w:sz w:val="21"/>
          <w:szCs w:val="21"/>
        </w:rPr>
      </w:pPr>
      <w:r>
        <w:rPr>
          <w:rFonts w:hint="eastAsia" w:ascii="宋体" w:hAnsi="宋体"/>
          <w:sz w:val="21"/>
          <w:szCs w:val="21"/>
        </w:rPr>
        <w:t xml:space="preserve">地址：苏州市工业园区中新大道西198号 </w:t>
      </w:r>
      <w:r/>
    </w:p>
    <w:p>
      <w:pPr>
        <w:pStyle w:val="1011"/>
        <w:ind w:left="0" w:firstLine="420"/>
        <w:spacing w:line="360" w:lineRule="auto"/>
        <w:rPr>
          <w:rFonts w:ascii="宋体" w:hAnsi="宋体"/>
          <w:sz w:val="21"/>
          <w:szCs w:val="21"/>
        </w:rPr>
      </w:pPr>
      <w:r>
        <w:rPr>
          <w:rFonts w:hint="eastAsia" w:ascii="宋体" w:hAnsi="宋体"/>
          <w:sz w:val="21"/>
          <w:szCs w:val="21"/>
        </w:rPr>
        <w:t xml:space="preserve">联系人：周工</w:t>
      </w:r>
      <w:r/>
    </w:p>
    <w:p>
      <w:pPr>
        <w:pStyle w:val="1011"/>
        <w:ind w:left="0" w:firstLine="420"/>
        <w:spacing w:line="360" w:lineRule="auto"/>
        <w:rPr>
          <w:rFonts w:ascii="宋体" w:hAnsi="宋体"/>
          <w:sz w:val="21"/>
          <w:szCs w:val="21"/>
        </w:rPr>
      </w:pPr>
      <w:r>
        <w:rPr>
          <w:rFonts w:hint="eastAsia" w:ascii="宋体" w:hAnsi="宋体"/>
          <w:sz w:val="21"/>
          <w:szCs w:val="21"/>
        </w:rPr>
        <w:t xml:space="preserve">联系方式：0512-62765293 </w:t>
      </w:r>
      <w:r/>
    </w:p>
    <w:p>
      <w:pPr>
        <w:pStyle w:val="1011"/>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11"/>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11"/>
        <w:ind w:left="0" w:firstLine="420"/>
        <w:spacing w:line="360" w:lineRule="auto"/>
        <w:rPr>
          <w:rFonts w:ascii="宋体" w:hAnsi="宋体"/>
          <w:sz w:val="21"/>
          <w:szCs w:val="21"/>
        </w:rPr>
      </w:pPr>
      <w:r>
        <w:rPr>
          <w:rFonts w:hint="eastAsia" w:ascii="宋体" w:hAnsi="宋体"/>
          <w:sz w:val="21"/>
          <w:szCs w:val="21"/>
        </w:rPr>
        <w:t xml:space="preserve">地址：苏州高新区邓尉路105号狮山科技馆7楼</w:t>
      </w:r>
      <w:r/>
    </w:p>
    <w:p>
      <w:pPr>
        <w:pStyle w:val="1011"/>
        <w:ind w:left="0" w:firstLine="420"/>
        <w:spacing w:line="360" w:lineRule="auto"/>
        <w:rPr>
          <w:rFonts w:ascii="宋体" w:hAnsi="宋体"/>
          <w:sz w:val="21"/>
          <w:szCs w:val="21"/>
        </w:rPr>
      </w:pPr>
      <w:r>
        <w:rPr>
          <w:rFonts w:hint="eastAsia" w:ascii="宋体" w:hAnsi="宋体"/>
          <w:sz w:val="21"/>
          <w:szCs w:val="21"/>
        </w:rPr>
        <w:t xml:space="preserve">联系方式：0512-69820691 </w:t>
      </w:r>
      <w:r/>
    </w:p>
    <w:p>
      <w:pPr>
        <w:pStyle w:val="1011"/>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11"/>
        <w:ind w:left="0" w:firstLine="420"/>
        <w:spacing w:line="360" w:lineRule="auto"/>
        <w:rPr>
          <w:rFonts w:ascii="宋体" w:hAnsi="宋体"/>
          <w:sz w:val="21"/>
          <w:szCs w:val="21"/>
        </w:rPr>
      </w:pPr>
      <w:r>
        <w:rPr>
          <w:rFonts w:hint="eastAsia" w:ascii="宋体" w:hAnsi="宋体"/>
          <w:sz w:val="21"/>
          <w:szCs w:val="21"/>
        </w:rPr>
        <w:t xml:space="preserve">项目联系人：朱工、丁工 </w:t>
      </w:r>
      <w:r/>
    </w:p>
    <w:p>
      <w:pPr>
        <w:pStyle w:val="1011"/>
        <w:ind w:left="0" w:firstLine="420"/>
        <w:spacing w:line="360" w:lineRule="auto"/>
        <w:rPr>
          <w:rFonts w:ascii="宋体" w:hAnsi="宋体"/>
          <w:sz w:val="21"/>
          <w:szCs w:val="21"/>
        </w:rPr>
      </w:pPr>
      <w:r>
        <w:rPr>
          <w:rFonts w:hint="eastAsia" w:ascii="宋体" w:hAnsi="宋体"/>
          <w:sz w:val="21"/>
          <w:szCs w:val="21"/>
        </w:rPr>
        <w:t xml:space="preserve">电话：0512-69820691 </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1005"/>
      </w:pPr>
      <w:r/>
      <w:r/>
    </w:p>
    <w:p>
      <w:r/>
      <w:r/>
    </w:p>
    <w:p>
      <w:pPr>
        <w:pStyle w:val="1005"/>
      </w:pPr>
      <w:r/>
      <w:r/>
    </w:p>
    <w:p>
      <w:r/>
      <w:r/>
    </w:p>
    <w:p>
      <w:pPr>
        <w:pStyle w:val="1005"/>
      </w:pPr>
      <w:r/>
      <w:r/>
    </w:p>
    <w:p>
      <w:r/>
      <w:r/>
    </w:p>
    <w:p>
      <w:pPr>
        <w:pStyle w:val="1005"/>
      </w:pPr>
      <w:r/>
      <w:r/>
    </w:p>
    <w:p>
      <w:r/>
      <w:r/>
    </w:p>
    <w:p>
      <w:pPr>
        <w:pStyle w:val="1005"/>
        <w:ind w:left="0" w:firstLine="0"/>
      </w:pPr>
      <w:r/>
      <w:r/>
    </w:p>
    <w:p>
      <w:pPr>
        <w:rPr>
          <w:rFonts w:ascii="宋体" w:hAnsi="宋体"/>
          <w:b/>
          <w:sz w:val="44"/>
          <w:szCs w:val="22"/>
        </w:rPr>
      </w:pPr>
      <w:r/>
      <w:bookmarkStart w:id="7" w:name="_Toc105397777"/>
      <w:r/>
      <w:bookmarkStart w:id="8" w:name="_Toc6217"/>
      <w:r/>
      <w:bookmarkStart w:id="9" w:name="_Toc2412"/>
      <w:r>
        <w:rPr>
          <w:rFonts w:ascii="宋体" w:hAnsi="宋体"/>
          <w:b/>
          <w:sz w:val="44"/>
          <w:szCs w:val="22"/>
        </w:rPr>
        <w:br w:type="page" w:clear="all"/>
      </w:r>
      <w:r/>
    </w:p>
    <w:p>
      <w:pPr>
        <w:pStyle w:val="994"/>
        <w:ind w:left="0" w:firstLine="0"/>
        <w:jc w:val="center"/>
        <w:rPr>
          <w:rFonts w:ascii="宋体" w:hAnsi="宋体"/>
          <w:b/>
          <w:sz w:val="44"/>
          <w:szCs w:val="22"/>
        </w:rPr>
      </w:pPr>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0" w:name="投标人须知"/>
      <w:r/>
      <w:bookmarkEnd w:id="10"/>
      <w:r>
        <w:rPr>
          <w:rFonts w:ascii="宋体" w:hAnsi="宋体"/>
          <w:b/>
          <w:sz w:val="44"/>
          <w:szCs w:val="22"/>
        </w:rPr>
        <w:t xml:space="preserve">投标人须知</w:t>
      </w:r>
      <w:bookmarkEnd w:id="7"/>
      <w:r/>
      <w:bookmarkEnd w:id="8"/>
      <w:r/>
      <w:bookmarkEnd w:id="9"/>
      <w:r/>
      <w:r/>
    </w:p>
    <w:p>
      <w:pPr>
        <w:pStyle w:val="1011"/>
        <w:ind w:left="0" w:firstLine="422"/>
        <w:spacing w:line="360" w:lineRule="auto"/>
        <w:rPr>
          <w:rFonts w:ascii="宋体" w:hAnsi="宋体"/>
          <w:b/>
          <w:sz w:val="21"/>
          <w:szCs w:val="21"/>
        </w:rPr>
      </w:pPr>
      <w:r/>
      <w:bookmarkStart w:id="11" w:name="_Toc13437"/>
      <w:r/>
      <w:bookmarkStart w:id="12" w:name="_Toc20132"/>
      <w:r>
        <w:rPr>
          <w:rFonts w:hint="eastAsia" w:ascii="宋体" w:hAnsi="宋体"/>
          <w:b/>
          <w:sz w:val="21"/>
          <w:szCs w:val="21"/>
        </w:rPr>
        <w:t xml:space="preserve">一、说明和释义</w:t>
      </w:r>
      <w:bookmarkEnd w:id="11"/>
      <w:r/>
      <w:bookmarkEnd w:id="12"/>
      <w:r/>
      <w:r/>
    </w:p>
    <w:p>
      <w:pPr>
        <w:pStyle w:val="1011"/>
        <w:ind w:left="0" w:firstLine="422"/>
        <w:spacing w:line="360" w:lineRule="auto"/>
        <w:rPr>
          <w:rFonts w:ascii="宋体" w:hAnsi="宋体"/>
          <w:b/>
          <w:sz w:val="21"/>
          <w:szCs w:val="21"/>
        </w:rPr>
      </w:pPr>
      <w:r/>
      <w:bookmarkStart w:id="13" w:name="_Toc9408"/>
      <w:r>
        <w:rPr>
          <w:rFonts w:hint="eastAsia" w:ascii="宋体" w:hAnsi="宋体"/>
          <w:b/>
          <w:sz w:val="21"/>
          <w:szCs w:val="21"/>
        </w:rPr>
        <w:t xml:space="preserve">1.说明</w:t>
      </w:r>
      <w:bookmarkEnd w:id="13"/>
      <w:r/>
      <w:r/>
    </w:p>
    <w:p>
      <w:pPr>
        <w:pStyle w:val="1011"/>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11"/>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11"/>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11"/>
        <w:ind w:left="0" w:firstLine="422"/>
        <w:spacing w:line="360" w:lineRule="auto"/>
        <w:rPr>
          <w:rFonts w:ascii="宋体" w:hAnsi="宋体"/>
          <w:b/>
          <w:sz w:val="21"/>
          <w:szCs w:val="21"/>
        </w:rPr>
      </w:pPr>
      <w:r/>
      <w:bookmarkStart w:id="14" w:name="_Toc27555"/>
      <w:r>
        <w:rPr>
          <w:rFonts w:hint="eastAsia" w:ascii="宋体" w:hAnsi="宋体"/>
          <w:b/>
          <w:sz w:val="21"/>
          <w:szCs w:val="21"/>
        </w:rPr>
        <w:t xml:space="preserve">2.词语释义</w:t>
      </w:r>
      <w:bookmarkEnd w:id="14"/>
      <w:r/>
      <w:r/>
    </w:p>
    <w:p>
      <w:pPr>
        <w:pStyle w:val="1011"/>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11"/>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11"/>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101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1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1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1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1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1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11"/>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11"/>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5" w:name="_Toc13350"/>
      <w:r/>
      <w:bookmarkStart w:id="16" w:name="_Toc14976"/>
      <w:r/>
      <w:r/>
    </w:p>
    <w:p>
      <w:pPr>
        <w:pStyle w:val="1011"/>
        <w:ind w:left="0" w:firstLine="422"/>
        <w:spacing w:line="360" w:lineRule="auto"/>
        <w:rPr>
          <w:rFonts w:ascii="宋体" w:hAnsi="宋体"/>
          <w:sz w:val="21"/>
          <w:szCs w:val="21"/>
        </w:rPr>
      </w:pPr>
      <w:r>
        <w:rPr>
          <w:rFonts w:hint="eastAsia" w:ascii="宋体" w:hAnsi="宋体"/>
          <w:b/>
          <w:sz w:val="21"/>
          <w:szCs w:val="21"/>
        </w:rPr>
        <w:t xml:space="preserve">二、投标人</w:t>
      </w:r>
      <w:bookmarkEnd w:id="15"/>
      <w:r/>
      <w:bookmarkEnd w:id="16"/>
      <w:r/>
      <w:r/>
    </w:p>
    <w:p>
      <w:pPr>
        <w:pStyle w:val="1011"/>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50"/>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50"/>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50"/>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50"/>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50"/>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50"/>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50"/>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50"/>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50"/>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1050"/>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50"/>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50"/>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50"/>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11"/>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11"/>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11"/>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11"/>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7" w:name="_Toc31958"/>
      <w:r/>
      <w:bookmarkStart w:id="18" w:name="_Toc5764"/>
      <w:r/>
      <w:r/>
    </w:p>
    <w:p>
      <w:pPr>
        <w:pStyle w:val="1011"/>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11"/>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7"/>
      <w:r/>
      <w:bookmarkEnd w:id="18"/>
      <w:r/>
      <w:r/>
    </w:p>
    <w:p>
      <w:pPr>
        <w:pStyle w:val="1011"/>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11"/>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pStyle w:val="1011"/>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11"/>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江苏政府采购网对外进行发布。澄清或者修改的内容为招标文件的组成部分。</w:t>
      </w:r>
      <w:r/>
    </w:p>
    <w:p>
      <w:pPr>
        <w:pStyle w:val="1011"/>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江苏政府采购网对外进行发布；不足15日的，采购人或者采购代理机构应当顺延提交投标文件的截止时间。</w:t>
      </w:r>
      <w:r/>
    </w:p>
    <w:p>
      <w:pPr>
        <w:pStyle w:val="1011"/>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8.3对于补充通知（包括更正公告），投标人通过“江苏政府采购网”的“更正公告”自行查看项目的补充通知（包括更正公告）。补充通知（包括更正公告）将作为招标文件的组成部分，对所有投标人有约束力。</w:t>
      </w:r>
      <w:r/>
    </w:p>
    <w:p>
      <w:pPr>
        <w:pStyle w:val="1011"/>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8.4招标文件的澄清、修改、补充等内容均以江苏政府采购网上发布的内容为准。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11"/>
        <w:ind w:left="0" w:firstLine="420"/>
        <w:spacing w:line="360" w:lineRule="auto"/>
        <w:rPr>
          <w:rFonts w:ascii="宋体" w:hAnsi="宋体"/>
          <w:sz w:val="21"/>
          <w:szCs w:val="21"/>
        </w:rPr>
      </w:pPr>
      <w:r/>
      <w:bookmarkStart w:id="19" w:name="_Toc19463"/>
      <w:r/>
      <w:bookmarkStart w:id="20"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11"/>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11"/>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11"/>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11"/>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11"/>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11"/>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11"/>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11"/>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11"/>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11"/>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11"/>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1" w:name="OLE_LINK42"/>
      <w:r/>
      <w:bookmarkStart w:id="22" w:name="OLE_LINK38"/>
      <w:r/>
      <w:bookmarkStart w:id="23" w:name="OLE_LINK41"/>
      <w:r>
        <w:rPr>
          <w:rFonts w:hint="eastAsia" w:ascii="宋体" w:hAnsi="宋体"/>
          <w:b/>
          <w:sz w:val="21"/>
          <w:szCs w:val="21"/>
        </w:rPr>
        <w:t xml:space="preserve">请将合法获取招标文件的证明材料（即《投标供应商确认函》）、</w:t>
      </w:r>
      <w:bookmarkStart w:id="24" w:name="OLE_LINK43"/>
      <w:r>
        <w:rPr>
          <w:rFonts w:hint="eastAsia" w:ascii="宋体" w:hAnsi="宋体"/>
          <w:b/>
          <w:sz w:val="21"/>
          <w:szCs w:val="21"/>
        </w:rPr>
        <w:t xml:space="preserve">供应商营业执照复印件、法定代表人身份证复印件、授权代表身份证复印件（如有）、授权委托书（如有）</w:t>
      </w:r>
      <w:bookmarkEnd w:id="21"/>
      <w:r/>
      <w:bookmarkEnd w:id="22"/>
      <w:r/>
      <w:bookmarkEnd w:id="23"/>
      <w:r/>
      <w:bookmarkEnd w:id="24"/>
      <w:r>
        <w:rPr>
          <w:rFonts w:hint="eastAsia" w:ascii="宋体" w:hAnsi="宋体"/>
          <w:b/>
          <w:sz w:val="21"/>
          <w:szCs w:val="21"/>
        </w:rPr>
        <w:t xml:space="preserve">与质疑函一起递交，否则不予受理。</w:t>
      </w:r>
      <w:r/>
    </w:p>
    <w:p>
      <w:pPr>
        <w:pStyle w:val="1011"/>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11"/>
        <w:ind w:left="0" w:firstLine="422"/>
        <w:spacing w:line="360" w:lineRule="auto"/>
        <w:rPr>
          <w:rFonts w:hint="default" w:ascii="宋体" w:hAnsi="宋体" w:eastAsia="宋体"/>
          <w:b/>
          <w:sz w:val="21"/>
          <w:szCs w:val="21"/>
          <w:lang w:val="en-US" w:eastAsia="zh-CN"/>
        </w:rPr>
      </w:pPr>
      <w:r>
        <w:rPr>
          <w:rFonts w:hint="eastAsia" w:ascii="宋体" w:hAnsi="宋体"/>
          <w:b/>
          <w:sz w:val="21"/>
          <w:szCs w:val="21"/>
          <w:lang w:val="en-US" w:eastAsia="zh-CN"/>
        </w:rPr>
        <w:t xml:space="preserve">本项目的质疑由采购人负责答复。</w:t>
      </w:r>
      <w:r/>
    </w:p>
    <w:p>
      <w:pPr>
        <w:pStyle w:val="1011"/>
        <w:ind w:left="0" w:firstLine="422"/>
        <w:spacing w:line="360" w:lineRule="auto"/>
        <w:rPr>
          <w:rFonts w:ascii="宋体" w:hAnsi="宋体"/>
          <w:b/>
          <w:sz w:val="21"/>
          <w:szCs w:val="21"/>
        </w:rPr>
      </w:pPr>
      <w:r>
        <w:rPr>
          <w:rFonts w:hint="eastAsia" w:ascii="宋体" w:hAnsi="宋体"/>
          <w:b/>
          <w:sz w:val="21"/>
          <w:szCs w:val="21"/>
        </w:rPr>
        <w:t xml:space="preserve">质疑联系人：周工</w:t>
      </w:r>
      <w:r/>
    </w:p>
    <w:p>
      <w:pPr>
        <w:pStyle w:val="1011"/>
        <w:ind w:left="0" w:firstLine="422"/>
        <w:spacing w:line="360" w:lineRule="auto"/>
        <w:rPr>
          <w:rFonts w:ascii="宋体" w:hAnsi="宋体"/>
          <w:b/>
          <w:sz w:val="21"/>
          <w:szCs w:val="21"/>
        </w:rPr>
      </w:pPr>
      <w:r/>
      <w:bookmarkStart w:id="25" w:name="OLE_LINK35"/>
      <w:r/>
      <w:bookmarkStart w:id="26" w:name="OLE_LINK20"/>
      <w:r/>
      <w:bookmarkStart w:id="27" w:name="OLE_LINK33"/>
      <w:r/>
      <w:bookmarkStart w:id="28" w:name="OLE_LINK32"/>
      <w:r>
        <w:rPr>
          <w:rFonts w:hint="eastAsia" w:ascii="宋体" w:hAnsi="宋体"/>
          <w:b/>
          <w:sz w:val="21"/>
          <w:szCs w:val="21"/>
        </w:rPr>
        <w:t xml:space="preserve">联系电话：0512-62765293</w:t>
      </w:r>
      <w:r/>
    </w:p>
    <w:p>
      <w:pPr>
        <w:pStyle w:val="1011"/>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b/>
          <w:bCs/>
          <w:sz w:val="21"/>
          <w:szCs w:val="21"/>
        </w:rPr>
        <w:t xml:space="preserve">苏州市工业园区中新大道西198号</w:t>
      </w:r>
      <w:bookmarkEnd w:id="25"/>
      <w:r/>
      <w:bookmarkEnd w:id="26"/>
      <w:r/>
      <w:bookmarkEnd w:id="27"/>
      <w:r/>
      <w:bookmarkEnd w:id="28"/>
      <w:r/>
      <w:r/>
    </w:p>
    <w:p>
      <w:pPr>
        <w:pStyle w:val="1011"/>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19"/>
      <w:r/>
      <w:bookmarkEnd w:id="20"/>
      <w:r/>
      <w:r/>
    </w:p>
    <w:p>
      <w:pPr>
        <w:pStyle w:val="1011"/>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1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101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11"/>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1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1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11"/>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1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101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1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101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5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5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5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1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1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tabs>
          <w:tab w:val="center" w:pos="4932" w:leader="none"/>
        </w:tabs>
        <w:rPr>
          <w:rFonts w:ascii="宋体" w:hAnsi="宋体"/>
          <w:sz w:val="21"/>
          <w:szCs w:val="21"/>
        </w:rPr>
      </w:pPr>
      <w:r>
        <w:rPr>
          <w:rFonts w:hint="eastAsia" w:ascii="宋体" w:hAnsi="宋体"/>
          <w:sz w:val="21"/>
          <w:szCs w:val="21"/>
        </w:rPr>
        <w:t xml:space="preserve">14.1.5.1投标函（格式见第三章）；</w:t>
      </w:r>
      <w:r>
        <w:rPr>
          <w:rFonts w:hint="eastAsia" w:ascii="宋体" w:hAnsi="宋体"/>
          <w:sz w:val="21"/>
          <w:szCs w:val="21"/>
        </w:rPr>
        <w:tab/>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14.1.5.5参加本次政府采购活动前3年内在经营活动中，投标人和其单位负责人无行贿犯罪行为的。</w:t>
      </w:r>
      <w:r/>
    </w:p>
    <w:p>
      <w:pPr>
        <w:ind w:left="0"/>
        <w:spacing w:line="360" w:lineRule="auto"/>
        <w:rPr>
          <w:rFonts w:ascii="宋体" w:hAnsi="宋体"/>
          <w:sz w:val="21"/>
          <w:szCs w:val="21"/>
        </w:rPr>
      </w:pPr>
      <w:r>
        <w:rPr>
          <w:rFonts w:hint="eastAsia" w:ascii="宋体" w:hAnsi="宋体"/>
          <w:sz w:val="21"/>
          <w:szCs w:val="21"/>
        </w:rPr>
        <w:t xml:space="preserve">须提供承诺函（声明函）（格式见第三章）。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w:t>
      </w:r>
      <w:r>
        <w:rPr>
          <w:rFonts w:hint="eastAsia" w:ascii="宋体" w:hAnsi="宋体"/>
          <w:sz w:val="21"/>
          <w:szCs w:val="21"/>
        </w:rPr>
        <w:t xml:space="preserve">6其他有关符合性证明的文件；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《关于符合本国产品标准的声明函》；</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228"/>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28"/>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w:t>
      </w:r>
      <w:r>
        <w:rPr>
          <w:rFonts w:hint="eastAsia" w:ascii="宋体" w:hAnsi="宋体" w:cs="宋体"/>
          <w:b/>
          <w:bCs/>
          <w:sz w:val="21"/>
          <w:szCs w:val="21"/>
          <w:lang w:val="en-US"/>
        </w:rPr>
        <w:t xml:space="preserve">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28"/>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4.1.4-14.1.8</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28"/>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28"/>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投标人应对招标文件内所要采购的全部内容进行报价，只投其中部分内容者，其标书将被拒绝（如为多包项目，则上述提到的全部内容是指所投包对应采购的全部内容）。</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28"/>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28"/>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29" w:name="_Toc31150"/>
      <w:r/>
      <w:bookmarkStart w:id="30" w:name="_Toc25608"/>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9"/>
      <w:r/>
      <w:bookmarkEnd w:id="30"/>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228"/>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.1投标人应当在投标截止时间前制作并上传电子投标文件。</w:t>
      </w:r>
      <w:r/>
    </w:p>
    <w:p>
      <w:pPr>
        <w:pStyle w:val="1011"/>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228"/>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2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2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2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31" w:name="_Toc29371"/>
      <w:r/>
      <w:bookmarkStart w:id="32" w:name="_Toc22837"/>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28"/>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31"/>
      <w:r/>
      <w:bookmarkEnd w:id="32"/>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.2根据政府采购法及相关法规，以及《财政部关于在政府采购活动中查询及使用信用记录有关问题的通知》（</w:t>
      </w:r>
      <w:r>
        <w:rPr>
          <w:rFonts w:hint="eastAsia" w:ascii="宋体" w:hAnsi="宋体"/>
          <w:sz w:val="21"/>
          <w:szCs w:val="21"/>
        </w:rPr>
        <w:t xml:space="preserve">财库〔2016〕125号</w:t>
      </w:r>
      <w:r>
        <w:rPr>
          <w:rFonts w:hint="eastAsia" w:ascii="宋体" w:hAnsi="宋体" w:cs="宋体"/>
          <w:sz w:val="21"/>
          <w:szCs w:val="21"/>
        </w:rPr>
        <w:t xml:space="preserve">）文件的规定，采购代理机构将对供应商进行信用查询：</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28"/>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28"/>
        <w:ind w:left="0" w:firstLine="422"/>
        <w:spacing w:line="360" w:lineRule="auto"/>
        <w:rPr>
          <w:rFonts w:ascii="宋体" w:hAnsi="宋体" w:cs="宋体"/>
          <w:b/>
          <w:sz w:val="21"/>
          <w:szCs w:val="21"/>
        </w:rPr>
      </w:pPr>
      <w:r/>
      <w:bookmarkStart w:id="33"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r/>
    </w:p>
    <w:p>
      <w:pPr>
        <w:pStyle w:val="122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34" w:name="OLE_LINK6"/>
      <w:r/>
      <w:bookmarkStart w:id="35" w:name="OLE_LINK5"/>
      <w:r>
        <w:rPr>
          <w:rFonts w:hint="eastAsia" w:ascii="宋体" w:hAnsi="宋体" w:cs="宋体"/>
          <w:b/>
          <w:sz w:val="21"/>
          <w:szCs w:val="21"/>
          <w:lang w:val="en-US"/>
        </w:rPr>
        <w:t xml:space="preserve">评标</w:t>
      </w:r>
      <w:bookmarkEnd w:id="34"/>
      <w:r/>
      <w:bookmarkEnd w:id="35"/>
      <w:r>
        <w:rPr>
          <w:rFonts w:hint="eastAsia" w:ascii="宋体" w:hAnsi="宋体" w:cs="宋体"/>
          <w:b/>
          <w:sz w:val="21"/>
          <w:szCs w:val="21"/>
          <w:lang w:val="en-US"/>
        </w:rPr>
        <w:t xml:space="preserve">委员会应当启动异常低价投标审查程序：</w:t>
      </w:r>
      <w:r/>
    </w:p>
    <w:p>
      <w:pPr>
        <w:pStyle w:val="122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（一）投标报价低于全部通过符合性审查供应商投标报价平均值50%的，即投标报价&lt;全部通过符合性审查供应商投标报价平均值×50%；</w:t>
      </w:r>
      <w:r/>
    </w:p>
    <w:p>
      <w:pPr>
        <w:pStyle w:val="122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（二）投标报价低于通过符合性审查的次低报价供应商投标报价50%的，即投标报价&lt;通过符合性审查的次低报价供应商投标报价×50%；</w:t>
      </w:r>
      <w:r/>
    </w:p>
    <w:p>
      <w:pPr>
        <w:pStyle w:val="122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（三）投标报价低于采购项目最高限价45%的，即投标报价&lt;采购项目最高限价×45%；</w:t>
      </w:r>
      <w:r/>
    </w:p>
    <w:p>
      <w:pPr>
        <w:pStyle w:val="122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（四）评标委员会基于专业判断，认为供应商报价过低，有可能影响产品质量或者不能诚信履约的其他情形。</w:t>
      </w:r>
      <w:r/>
    </w:p>
    <w:p>
      <w:pPr>
        <w:pStyle w:val="1228"/>
        <w:ind w:left="0" w:firstLine="422"/>
        <w:spacing w:line="360" w:lineRule="auto"/>
        <w:rPr>
          <w:shd w:val="clear" w:color="auto" w:fill="ffffff"/>
        </w:rPr>
      </w:pPr>
      <w:r/>
      <w:bookmarkStart w:id="36" w:name="OLE_LINK3"/>
      <w:r/>
      <w:bookmarkStart w:id="37" w:name="OLE_LINK4"/>
      <w:r>
        <w:rPr>
          <w:rFonts w:ascii="宋体" w:hAnsi="宋体"/>
          <w:b/>
          <w:sz w:val="21"/>
          <w:szCs w:val="21"/>
        </w:rPr>
        <w:t xml:space="preserve">26.4.2</w:t>
      </w:r>
      <w:r>
        <w:rPr>
          <w:rFonts w:hint="eastAsia" w:ascii="宋体" w:hAnsi="宋体"/>
          <w:b/>
          <w:sz w:val="21"/>
          <w:szCs w:val="21"/>
        </w:rPr>
        <w:t xml:space="preserve">启动异常低价投标审查后，</w:t>
      </w:r>
      <w:bookmarkStart w:id="38" w:name="OLE_LINK2"/>
      <w:r/>
      <w:bookmarkStart w:id="39" w:name="OLE_LINK1"/>
      <w:r>
        <w:rPr>
          <w:rFonts w:hint="eastAsia" w:ascii="宋体" w:hAnsi="宋体"/>
          <w:b/>
          <w:sz w:val="21"/>
          <w:szCs w:val="21"/>
        </w:rPr>
        <w:t xml:space="preserve">评标委员会</w:t>
      </w:r>
      <w:bookmarkEnd w:id="38"/>
      <w:r/>
      <w:bookmarkEnd w:id="39"/>
      <w:r>
        <w:rPr>
          <w:rFonts w:hint="eastAsia" w:ascii="宋体" w:hAnsi="宋体"/>
          <w:b/>
          <w:sz w:val="21"/>
          <w:szCs w:val="21"/>
        </w:rPr>
        <w:t xml:space="preserve">应当要求相关供应商在评标现场合理的时间内对投标价格作出解释，提供项目具体成本测算等与报价合理性相关的书面说明及相关证明材料</w:t>
      </w:r>
      <w:bookmarkStart w:id="40" w:name="OLE_LINK9"/>
      <w:r/>
      <w:bookmarkStart w:id="41" w:name="OLE_LINK10"/>
      <w:r>
        <w:rPr>
          <w:rFonts w:hint="eastAsia" w:ascii="宋体" w:hAnsi="宋体"/>
          <w:b/>
          <w:sz w:val="21"/>
          <w:szCs w:val="21"/>
        </w:rPr>
        <w:t xml:space="preserve">，</w:t>
      </w:r>
      <w:bookmarkEnd w:id="40"/>
      <w:r/>
      <w:bookmarkEnd w:id="41"/>
      <w:r>
        <w:rPr>
          <w:rFonts w:hint="eastAsia" w:ascii="宋体" w:hAnsi="宋体"/>
          <w:b/>
          <w:sz w:val="21"/>
          <w:szCs w:val="21"/>
        </w:rPr>
        <w:t xml:space="preserve">包括但不限于原材料成本、人工成本、制造费用等，给予相关供应商的合理时间一般不少于30分钟。其中，属于2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22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228"/>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228"/>
        <w:ind w:left="0" w:firstLine="422"/>
        <w:spacing w:line="360" w:lineRule="auto"/>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36"/>
      <w:r/>
      <w:bookmarkEnd w:id="37"/>
      <w:r/>
      <w:r/>
    </w:p>
    <w:p>
      <w:pPr>
        <w:pStyle w:val="122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3"/>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28"/>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（五）机器码检查中，出现不同投标人投标文件机器码一致情形的；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28"/>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28"/>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28"/>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2" w:name="_Toc19501"/>
      <w:r/>
      <w:bookmarkStart w:id="43" w:name="_Toc18442"/>
      <w:r/>
      <w:r/>
    </w:p>
    <w:p>
      <w:pPr>
        <w:pStyle w:val="1228"/>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2"/>
      <w:r/>
      <w:bookmarkEnd w:id="43"/>
      <w:r/>
      <w:r/>
    </w:p>
    <w:p>
      <w:pPr>
        <w:pStyle w:val="1228"/>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28"/>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28"/>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28"/>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采购人与中标人原则上应当在中标通知书发出之日起三十日内，按照招标文件及投标文件确定的事项签订政府采购合同。</w:t>
      </w:r>
      <w:r/>
    </w:p>
    <w:p>
      <w:pPr>
        <w:pStyle w:val="1228"/>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28"/>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4" w:name="_Toc21029"/>
      <w:r/>
      <w:bookmarkStart w:id="45" w:name="_Toc8186"/>
      <w:r/>
      <w:r/>
    </w:p>
    <w:p>
      <w:pPr>
        <w:pStyle w:val="1228"/>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4"/>
      <w:r/>
      <w:bookmarkEnd w:id="45"/>
      <w:r/>
      <w:r/>
    </w:p>
    <w:p>
      <w:pPr>
        <w:pStyle w:val="1228"/>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28"/>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28"/>
        <w:ind w:left="0" w:firstLine="0"/>
        <w:spacing w:line="360" w:lineRule="auto"/>
        <w:rPr>
          <w:rFonts w:ascii="宋体" w:hAnsi="宋体" w:cs="宋体"/>
          <w:sz w:val="21"/>
          <w:szCs w:val="21"/>
        </w:rPr>
      </w:pPr>
      <w:r>
        <w:rPr>
          <w:rFonts w:ascii="宋体" w:hAnsi="宋体" w:cs="宋体"/>
          <w:sz w:val="21"/>
          <w:szCs w:val="21"/>
        </w:rPr>
      </w:r>
      <w:r/>
    </w:p>
    <w:p>
      <w:pPr>
        <w:pStyle w:val="1228"/>
        <w:ind w:left="0" w:firstLine="0"/>
        <w:spacing w:line="360" w:lineRule="auto"/>
        <w:rPr>
          <w:rFonts w:ascii="宋体" w:hAnsi="宋体" w:cs="宋体"/>
          <w:sz w:val="21"/>
          <w:szCs w:val="21"/>
        </w:rPr>
      </w:pPr>
      <w:r>
        <w:rPr>
          <w:rFonts w:ascii="宋体" w:hAnsi="宋体" w:cs="宋体"/>
          <w:sz w:val="21"/>
          <w:szCs w:val="21"/>
        </w:rPr>
      </w:r>
      <w:r/>
    </w:p>
    <w:p>
      <w:pPr>
        <w:pStyle w:val="994"/>
        <w:ind w:left="0" w:firstLine="0"/>
        <w:jc w:val="center"/>
        <w:rPr>
          <w:rFonts w:ascii="宋体" w:hAnsi="宋体"/>
          <w:sz w:val="21"/>
          <w:szCs w:val="21"/>
          <w:lang w:val="zh-CN"/>
        </w:rPr>
      </w:pPr>
      <w:r/>
      <w:bookmarkStart w:id="46" w:name="_Toc24711"/>
      <w:r/>
      <w:bookmarkStart w:id="47" w:name="_Toc105397778"/>
      <w:r/>
      <w:bookmarkStart w:id="48" w:name="_Toc7264"/>
      <w:r>
        <w:rPr>
          <w:rFonts w:hint="eastAsia" w:ascii="宋体" w:hAnsi="宋体"/>
          <w:b/>
          <w:sz w:val="44"/>
          <w:szCs w:val="22"/>
        </w:rPr>
        <w:br w:type="page" w:clear="all"/>
      </w:r>
      <w:r>
        <w:rPr>
          <w:rFonts w:hint="eastAsia" w:ascii="宋体" w:hAnsi="宋体"/>
          <w:b/>
          <w:sz w:val="44"/>
          <w:szCs w:val="22"/>
        </w:rPr>
        <w:t xml:space="preserve">第三章  </w:t>
      </w:r>
      <w:bookmarkStart w:id="49" w:name="投标文件格式"/>
      <w:r/>
      <w:bookmarkEnd w:id="49"/>
      <w:r>
        <w:rPr>
          <w:rFonts w:hint="eastAsia" w:ascii="宋体" w:hAnsi="宋体"/>
          <w:b/>
          <w:sz w:val="44"/>
          <w:szCs w:val="22"/>
        </w:rPr>
        <w:t xml:space="preserve">投标文件格式</w:t>
      </w:r>
      <w:bookmarkEnd w:id="46"/>
      <w:r/>
      <w:bookmarkEnd w:id="47"/>
      <w:r/>
      <w:bookmarkEnd w:id="48"/>
      <w:r/>
      <w:r/>
    </w:p>
    <w:p>
      <w:pPr>
        <w:ind w:left="0"/>
        <w:spacing w:line="440" w:lineRule="exact"/>
        <w:rPr>
          <w:rFonts w:ascii="宋体" w:hAnsi="宋体"/>
          <w:b/>
          <w:sz w:val="21"/>
          <w:szCs w:val="21"/>
        </w:rPr>
      </w:pPr>
      <w:r>
        <w:rPr>
          <w:rFonts w:ascii="宋体" w:hAnsi="宋体"/>
          <w:b/>
          <w:sz w:val="21"/>
          <w:szCs w:val="21"/>
        </w:rPr>
        <w:t xml:space="preserve">说明：</w:t>
      </w:r>
      <w:r/>
    </w:p>
    <w:p>
      <w:pPr>
        <w:pStyle w:val="1228"/>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0" w:name="_Toc3821"/>
      <w:r/>
      <w:bookmarkStart w:id="51" w:name="_Toc105397779"/>
      <w:r/>
      <w:bookmarkStart w:id="52" w:name="_Toc71810480"/>
      <w:r/>
      <w:bookmarkStart w:id="53" w:name="_Toc17036"/>
      <w:r>
        <w:rPr>
          <w:rFonts w:hint="eastAsia" w:ascii="宋体" w:hAnsi="宋体"/>
          <w:b/>
          <w:sz w:val="21"/>
          <w:szCs w:val="21"/>
        </w:rPr>
        <w:t xml:space="preserve">附件1.投标函</w:t>
      </w:r>
      <w:bookmarkEnd w:id="50"/>
      <w:r/>
      <w:bookmarkEnd w:id="51"/>
      <w:r/>
      <w:bookmarkEnd w:id="52"/>
      <w:r/>
      <w:bookmarkEnd w:id="53"/>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4" w:name="_Toc105397780"/>
      <w:r/>
      <w:bookmarkStart w:id="55"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4"/>
      <w:r/>
      <w:bookmarkEnd w:id="55"/>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6" w:name="TBR"/>
      <w:r/>
      <w:bookmarkEnd w:id="56"/>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7" w:name="XMBH"/>
      <w:r/>
      <w:bookmarkEnd w:id="57"/>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58" w:name="FBH"/>
      <w:r/>
      <w:bookmarkEnd w:id="58"/>
      <w:r/>
      <w:r/>
    </w:p>
    <w:tbl>
      <w:tblPr>
        <w:tblStyle w:val="100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14"/>
        <w:gridCol w:w="7266"/>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59" w:name="XMMC"/>
            <w:r/>
            <w:bookmarkEnd w:id="59"/>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0" w:name="JEXX"/>
            <w:r/>
            <w:bookmarkEnd w:id="60"/>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1" w:name="JEDX"/>
            <w:r/>
            <w:bookmarkEnd w:id="61"/>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2" w:name="NF"/>
      <w:r/>
      <w:bookmarkEnd w:id="62"/>
      <w:r>
        <w:rPr>
          <w:rFonts w:hint="eastAsia" w:ascii="宋体" w:hAnsi="宋体"/>
          <w:sz w:val="21"/>
          <w:szCs w:val="21"/>
        </w:rPr>
        <w:t xml:space="preserve"> 年 </w:t>
      </w:r>
      <w:bookmarkStart w:id="63" w:name="YF"/>
      <w:r/>
      <w:bookmarkEnd w:id="63"/>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4" w:name="RI"/>
      <w:r/>
      <w:bookmarkEnd w:id="64"/>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19"/>
        <w:rPr>
          <w:rFonts w:ascii="宋体" w:hAnsi="宋体"/>
        </w:rPr>
      </w:pPr>
      <w:r>
        <w:rPr>
          <w:rFonts w:ascii="宋体" w:hAnsi="宋体"/>
        </w:rPr>
      </w:r>
      <w:r/>
    </w:p>
    <w:p>
      <w:pPr>
        <w:ind w:left="0"/>
        <w:spacing w:line="440" w:lineRule="exact"/>
        <w:rPr>
          <w:rFonts w:ascii="宋体" w:hAnsi="宋体"/>
          <w:b/>
          <w:sz w:val="21"/>
          <w:szCs w:val="21"/>
        </w:rPr>
      </w:pPr>
      <w:r/>
      <w:bookmarkStart w:id="65" w:name="_Toc7945"/>
      <w:r/>
      <w:bookmarkStart w:id="66" w:name="_Toc241"/>
      <w:r/>
      <w:bookmarkStart w:id="67"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19"/>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68" w:name="_Toc105397781"/>
      <w:r>
        <w:rPr>
          <w:rFonts w:ascii="宋体" w:hAnsi="宋体"/>
          <w:b/>
          <w:sz w:val="21"/>
          <w:szCs w:val="21"/>
        </w:rPr>
        <w:t xml:space="preserve">附件3</w:t>
      </w:r>
      <w:bookmarkEnd w:id="65"/>
      <w:r/>
      <w:bookmarkEnd w:id="66"/>
      <w:r>
        <w:rPr>
          <w:rFonts w:hint="eastAsia" w:ascii="宋体" w:hAnsi="宋体"/>
          <w:b/>
          <w:sz w:val="21"/>
          <w:szCs w:val="21"/>
        </w:rPr>
        <w:t xml:space="preserve">.</w:t>
      </w:r>
      <w:bookmarkEnd w:id="67"/>
      <w:r/>
      <w:bookmarkEnd w:id="68"/>
      <w:r>
        <w:rPr>
          <w:rFonts w:hint="eastAsia" w:ascii="宋体" w:hAnsi="宋体"/>
          <w:b/>
          <w:sz w:val="21"/>
          <w:szCs w:val="21"/>
        </w:rPr>
        <w:t xml:space="preserve">公开分项报价</w:t>
      </w:r>
      <w:r/>
    </w:p>
    <w:p>
      <w:pPr>
        <w:ind w:left="0"/>
        <w:jc w:val="center"/>
        <w:spacing w:before="100" w:beforeAutospacing="1" w:after="100" w:afterAutospacing="1" w:line="480" w:lineRule="auto"/>
        <w:rPr>
          <w:rFonts w:ascii="宋体" w:hAnsi="宋体"/>
          <w:b/>
          <w:sz w:val="21"/>
          <w:szCs w:val="21"/>
        </w:rPr>
      </w:pPr>
      <w:r/>
      <w:bookmarkStart w:id="69" w:name="OLE_LINK27"/>
      <w:r/>
      <w:bookmarkStart w:id="70" w:name="OLE_LINK28"/>
      <w:r>
        <w:rPr>
          <w:rFonts w:hint="eastAsia" w:ascii="宋体" w:hAnsi="宋体"/>
          <w:b/>
          <w:sz w:val="21"/>
          <w:szCs w:val="21"/>
        </w:rPr>
        <w:t xml:space="preserve">公开分项报价</w:t>
      </w:r>
      <w:bookmarkEnd w:id="69"/>
      <w:r/>
      <w:bookmarkEnd w:id="70"/>
      <w:r/>
      <w:r/>
    </w:p>
    <w:p>
      <w:pPr>
        <w:pStyle w:val="1019"/>
        <w:ind w:firstLine="0"/>
        <w:jc w:val="right"/>
        <w:rPr>
          <w:rFonts w:ascii="宋体" w:hAnsi="宋体"/>
          <w:sz w:val="21"/>
          <w:szCs w:val="21"/>
        </w:rPr>
      </w:pPr>
      <w:r>
        <w:rPr>
          <w:rFonts w:hint="eastAsia" w:ascii="宋体" w:hAnsi="宋体"/>
          <w:sz w:val="21"/>
          <w:szCs w:val="21"/>
        </w:rPr>
        <w:t xml:space="preserve">单位：元（人民币）</w:t>
      </w:r>
      <w:r/>
    </w:p>
    <w:tbl>
      <w:tblPr>
        <w:tblStyle w:val="1004"/>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2.“公开分项报价”中“投标总报价”数额应当与“开标一览表”中“投标总报价”数额一致。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1" w:name="_Toc105397782"/>
      <w:r/>
      <w:bookmarkStart w:id="72" w:name="_Toc7181048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1"/>
      <w:r/>
      <w:bookmarkEnd w:id="72"/>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19"/>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3" w:name="_Toc105397783"/>
      <w:r/>
      <w:bookmarkStart w:id="74" w:name="_Toc21574"/>
      <w:r/>
      <w:bookmarkStart w:id="75" w:name="_Toc71810484"/>
      <w:r/>
      <w:bookmarkStart w:id="76" w:name="_Toc19621"/>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3"/>
      <w:r/>
      <w:bookmarkEnd w:id="74"/>
      <w:r/>
      <w:bookmarkEnd w:id="75"/>
      <w:r/>
      <w:bookmarkEnd w:id="7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中小企业声明函（货物）（包号：____）</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bCs/>
          <w:sz w:val="21"/>
          <w:szCs w:val="21"/>
          <w:u w:val="single"/>
        </w:rPr>
        <w:t xml:space="preserve">苏州市消防救援支队</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sz w:val="21"/>
          <w:szCs w:val="21"/>
          <w:u w:val="single"/>
        </w:rPr>
        <w:t xml:space="preserve">（2025年部门集中采购目录外器材装备采购项目）</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60"/>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19"/>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77"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19"/>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78"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7"/>
      <w:r/>
      <w:bookmarkEnd w:id="7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9" w:name="_Toc15378"/>
      <w:r/>
      <w:bookmarkStart w:id="80" w:name="_Toc32206"/>
      <w:r/>
      <w:bookmarkStart w:id="81"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9"/>
      <w:r/>
      <w:bookmarkEnd w:id="80"/>
      <w:r/>
      <w:bookmarkEnd w:id="81"/>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46"/>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52"/>
        <w:ind w:left="0" w:firstLine="0"/>
        <w:rPr>
          <w:rFonts w:ascii="宋体" w:hAnsi="宋体"/>
          <w:b/>
          <w:lang w:val="zh-CN"/>
        </w:rPr>
      </w:pPr>
      <w:r>
        <w:rPr>
          <w:rFonts w:ascii="宋体" w:hAnsi="宋体"/>
          <w:b/>
          <w:lang w:val="zh-CN"/>
        </w:rPr>
      </w:r>
      <w:r/>
    </w:p>
    <w:p>
      <w:pPr>
        <w:pStyle w:val="1052"/>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1052"/>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5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5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5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5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52"/>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2"/>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52"/>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2" w:name="_Toc105397786"/>
      <w:r/>
      <w:bookmarkStart w:id="83" w:name="_Toc27138"/>
      <w:r/>
      <w:bookmarkStart w:id="84" w:name="_Toc31973"/>
      <w:r>
        <w:rPr>
          <w:rFonts w:hint="eastAsia" w:ascii="宋体" w:hAnsi="宋体"/>
          <w:b/>
          <w:sz w:val="21"/>
          <w:szCs w:val="21"/>
        </w:rPr>
        <w:t xml:space="preserve">附件7.关于符合本国产品标准的声明函</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1050"/>
        <w:ind w:firstLine="480"/>
        <w:spacing w:before="30" w:after="30"/>
        <w:shd w:val="clear" w:color="auto" w:fill="ffffff"/>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50"/>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3360;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2336;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69504;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1.</w:t>
      </w:r>
      <w:r>
        <w:rPr>
          <w:rStyle w:val="1057"/>
          <w:rFonts w:hint="eastAsia"/>
          <w:u w:val="single"/>
        </w:rPr>
        <w:t xml:space="preserve">（产品名称1）</w:t>
      </w:r>
      <w:r>
        <w:rPr>
          <w:rStyle w:val="1057"/>
          <w:rFonts w:hint="eastAsia"/>
          <w:vertAlign w:val="superscript"/>
        </w:rPr>
        <w:t xml:space="preserve">1</w:t>
      </w:r>
      <w:r>
        <w:rPr>
          <w:rFonts w:hint="eastAsia"/>
        </w:rPr>
        <w:t xml:space="preserve">，生产厂为</w:t>
      </w:r>
      <w:r>
        <w:rPr>
          <w:rStyle w:val="1057"/>
          <w:rFonts w:hint="eastAsia"/>
          <w:u w:val="single"/>
        </w:rPr>
        <w:t xml:space="preserve">（厂名）</w:t>
      </w:r>
      <w:r>
        <w:rPr>
          <w:rStyle w:val="1057"/>
          <w:rFonts w:hint="eastAsia"/>
          <w:vertAlign w:val="superscript"/>
        </w:rPr>
        <w:t xml:space="preserve">2</w:t>
      </w:r>
      <w:r>
        <w:rPr>
          <w:rFonts w:hint="eastAsia"/>
        </w:rPr>
        <w:t xml:space="preserve">，厂址为</w:t>
      </w:r>
      <w:r>
        <w:rPr>
          <w:rStyle w:val="1057"/>
          <w:rFonts w:hint="eastAsia"/>
          <w:u w:val="single"/>
        </w:rPr>
        <w:t xml:space="preserve">（生产厂址）</w:t>
      </w:r>
      <w:r>
        <w:rPr>
          <w:rFonts w:hint="eastAsia"/>
        </w:rPr>
        <w:t xml:space="preserve">。</w:t>
      </w:r>
      <w:r>
        <w:rPr>
          <w:rStyle w:val="1057"/>
          <w:rFonts w:hint="eastAsia"/>
          <w:u w:val="single"/>
        </w:rPr>
        <w:t xml:space="preserve">（产品名称1）</w:t>
      </w:r>
      <w:r>
        <w:rPr>
          <w:rFonts w:hint="eastAsia"/>
        </w:rPr>
        <w:t xml:space="preserve">的中国境内生产的组件成本占比≥</w:t>
      </w:r>
      <w:r>
        <w:rPr>
          <w:rStyle w:val="1057"/>
          <w:rFonts w:hint="eastAsia"/>
          <w:u w:val="single"/>
        </w:rPr>
        <w:t xml:space="preserve">（规定比例）</w:t>
      </w:r>
      <w:r>
        <w:rPr>
          <w:rStyle w:val="1057"/>
          <w:rFonts w:hint="eastAsia"/>
          <w:vertAlign w:val="superscript"/>
        </w:rPr>
        <w:t xml:space="preserve">3</w:t>
      </w:r>
      <w:r>
        <w:rPr>
          <w:rFonts w:hint="eastAsia"/>
        </w:rPr>
        <w:t xml:space="preserve">。</w:t>
      </w:r>
      <w:r>
        <w:rPr>
          <w:rStyle w:val="1057"/>
          <w:rFonts w:hint="eastAsia"/>
          <w:u w:val="single"/>
        </w:rPr>
        <w:t xml:space="preserve">（产品名称1）</w:t>
      </w:r>
      <w:r>
        <w:rPr>
          <w:rFonts w:hint="eastAsia"/>
        </w:rPr>
        <w:t xml:space="preserve">的</w:t>
      </w:r>
      <w:r>
        <w:rPr>
          <w:rStyle w:val="1057"/>
          <w:rFonts w:hint="eastAsia"/>
          <w:u w:val="single"/>
        </w:rPr>
        <w:t xml:space="preserve">（关键组件）</w:t>
      </w:r>
      <w:r>
        <w:rPr>
          <w:rStyle w:val="1057"/>
          <w:rFonts w:hint="eastAsia"/>
          <w:vertAlign w:val="superscript"/>
        </w:rPr>
        <w:t xml:space="preserve">4</w:t>
      </w:r>
      <w:r>
        <w:rPr>
          <w:rFonts w:hint="eastAsia"/>
        </w:rPr>
        <w:t xml:space="preserve">在中国境内生产。</w:t>
      </w:r>
      <w:r>
        <w:rPr>
          <w:rStyle w:val="1057"/>
          <w:rFonts w:hint="eastAsia"/>
          <w:u w:val="single"/>
        </w:rPr>
        <w:t xml:space="preserve">（产品名称1）</w:t>
      </w:r>
      <w:r>
        <w:rPr>
          <w:rFonts w:hint="eastAsia"/>
        </w:rPr>
        <w:t xml:space="preserve">的</w:t>
      </w:r>
      <w:r>
        <w:rPr>
          <w:rStyle w:val="1057"/>
          <w:rFonts w:hint="eastAsia"/>
          <w:u w:val="single"/>
        </w:rPr>
        <w:t xml:space="preserve">（关键工序）</w:t>
      </w:r>
      <w:r>
        <w:rPr>
          <w:rStyle w:val="1057"/>
          <w:rFonts w:hint="eastAsia"/>
          <w:vertAlign w:val="superscript"/>
        </w:rPr>
        <w:t xml:space="preserve">5</w:t>
      </w:r>
      <w:r>
        <w:rPr>
          <w:rFonts w:hint="eastAsia"/>
        </w:rPr>
        <w:t xml:space="preserve">在中国境内完成。</w:t>
      </w:r>
      <w:r/>
    </w:p>
    <w:p>
      <w:pPr>
        <w:pStyle w:val="1050"/>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0528;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68480;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7456;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6432;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5" o:spid="_x0000_s15" o:spt="32" type="#_x0000_t32" style="position:absolute;z-index:251664384;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2.</w:t>
      </w:r>
      <w:r>
        <w:rPr>
          <w:rStyle w:val="1057"/>
          <w:rFonts w:hint="eastAsia"/>
          <w:u w:val="single"/>
        </w:rPr>
        <w:t xml:space="preserve">（产品名称2）</w:t>
      </w:r>
      <w:r>
        <w:rPr>
          <w:rFonts w:hint="eastAsia"/>
        </w:rPr>
        <w:t xml:space="preserve">，生产厂为</w:t>
      </w:r>
      <w:r>
        <w:rPr>
          <w:rStyle w:val="1057"/>
          <w:rFonts w:hint="eastAsia"/>
          <w:u w:val="single"/>
        </w:rPr>
        <w:t xml:space="preserve">（厂名）</w:t>
      </w:r>
      <w:r>
        <w:rPr>
          <w:rFonts w:hint="eastAsia"/>
        </w:rPr>
        <w:t xml:space="preserve">，厂址为</w:t>
      </w:r>
      <w:r>
        <w:rPr>
          <w:rStyle w:val="1057"/>
          <w:rFonts w:hint="eastAsia"/>
          <w:u w:val="single"/>
        </w:rPr>
        <w:t xml:space="preserve">（生产厂址）</w:t>
      </w:r>
      <w:r>
        <w:rPr>
          <w:rFonts w:hint="eastAsia"/>
        </w:rPr>
        <w:t xml:space="preserve">。</w:t>
      </w:r>
      <w:r>
        <w:rPr>
          <w:rStyle w:val="1057"/>
          <w:rFonts w:hint="eastAsia"/>
          <w:u w:val="single"/>
        </w:rPr>
        <w:t xml:space="preserve">（产品名称2）</w:t>
      </w:r>
      <w:r>
        <w:rPr>
          <w:rFonts w:hint="eastAsia"/>
        </w:rPr>
        <w:t xml:space="preserve">的中国境内生产的组件成本占比≥</w:t>
      </w:r>
      <w:r>
        <w:rPr>
          <w:rStyle w:val="1057"/>
          <w:rFonts w:hint="eastAsia"/>
          <w:u w:val="single"/>
        </w:rPr>
        <w:t xml:space="preserve">（规定比例）</w:t>
      </w:r>
      <w:r>
        <w:rPr>
          <w:rFonts w:hint="eastAsia"/>
        </w:rPr>
        <w:t xml:space="preserve">。</w:t>
      </w:r>
      <w:r>
        <w:rPr>
          <w:rStyle w:val="1057"/>
          <w:rFonts w:hint="eastAsia"/>
          <w:u w:val="single"/>
        </w:rPr>
        <w:t xml:space="preserve">（产品名称2）</w:t>
      </w:r>
      <w:r>
        <w:rPr>
          <w:rFonts w:hint="eastAsia"/>
        </w:rPr>
        <w:t xml:space="preserve">的</w:t>
      </w:r>
      <w:r>
        <w:rPr>
          <w:rStyle w:val="1057"/>
          <w:rFonts w:hint="eastAsia"/>
          <w:u w:val="single"/>
        </w:rPr>
        <w:t xml:space="preserve">（关键组件）</w:t>
      </w:r>
      <w:r>
        <w:rPr>
          <w:rFonts w:hint="eastAsia"/>
        </w:rPr>
        <w:t xml:space="preserve">在中国境内生产。</w:t>
      </w:r>
      <w:r>
        <w:rPr>
          <w:rStyle w:val="1057"/>
          <w:rFonts w:hint="eastAsia"/>
          <w:u w:val="single"/>
        </w:rPr>
        <w:t xml:space="preserve">（产品名称2）</w:t>
      </w:r>
      <w:r>
        <w:rPr>
          <w:rFonts w:hint="eastAsia"/>
        </w:rPr>
        <w:t xml:space="preserve">的</w:t>
      </w:r>
      <w:r>
        <w:rPr>
          <w:rStyle w:val="1057"/>
          <w:rFonts w:hint="eastAsia"/>
          <w:u w:val="single"/>
        </w:rPr>
        <w:t xml:space="preserve">（关键工序）</w:t>
      </w:r>
      <w:r>
        <w:rPr>
          <w:rFonts w:hint="eastAsia"/>
        </w:rPr>
        <w:t xml:space="preserve">在中国境内完成。</w:t>
      </w:r>
      <w:r/>
    </w:p>
    <w:p>
      <w:pPr>
        <w:pStyle w:val="1050"/>
        <w:ind w:firstLine="480"/>
        <w:spacing w:before="30" w:after="30"/>
        <w:shd w:val="clear" w:color="auto" w:fill="ffffff"/>
      </w:pPr>
      <w:r>
        <w:rPr>
          <w:rFonts w:hint="eastAsia"/>
        </w:rPr>
        <w:t xml:space="preserve">……</w:t>
      </w:r>
      <w:r/>
    </w:p>
    <w:p>
      <w:pPr>
        <w:pStyle w:val="1050"/>
        <w:ind w:firstLine="480"/>
        <w:spacing w:before="30" w:after="30"/>
        <w:shd w:val="clear" w:color="auto" w:fill="ffffff"/>
      </w:pPr>
      <w:r>
        <w:rPr>
          <w:rFonts w:hint="eastAsia"/>
        </w:rPr>
        <w:t xml:space="preserve">本公司（单位）对上述声明内容的真实性负责。如有虚假，愿承担相应法律责任。</w:t>
      </w:r>
      <w:r/>
    </w:p>
    <w:p>
      <w:pPr>
        <w:pStyle w:val="1050"/>
        <w:spacing w:before="30" w:after="30"/>
        <w:shd w:val="clear" w:color="auto" w:fill="ffffff"/>
      </w:pPr>
      <w:r/>
      <w:r/>
    </w:p>
    <w:p>
      <w:pPr>
        <w:pStyle w:val="1050"/>
        <w:ind w:right="615"/>
        <w:jc w:val="right"/>
        <w:spacing w:before="30" w:after="30"/>
        <w:shd w:val="clear" w:color="auto" w:fill="ffffff"/>
      </w:pPr>
      <w:r>
        <w:rPr>
          <w:rFonts w:hint="eastAsia"/>
        </w:rPr>
        <w:t xml:space="preserve">公司（单位）名称（盖章）：</w:t>
      </w:r>
      <w:r>
        <w:t xml:space="preserve"> </w:t>
      </w:r>
      <w:r/>
    </w:p>
    <w:p>
      <w:pPr>
        <w:pStyle w:val="1050"/>
        <w:ind w:right="815"/>
        <w:jc w:val="right"/>
        <w:spacing w:before="0" w:after="0"/>
        <w:shd w:val="clear" w:color="auto" w:fill="ffffff"/>
      </w:pPr>
      <w:r>
        <w:t xml:space="preserve">  </w:t>
      </w:r>
      <w:r>
        <w:rPr>
          <w:rFonts w:hint="eastAsia"/>
        </w:rPr>
        <w:t xml:space="preserve">日期： </w:t>
      </w:r>
      <w:r>
        <w:t xml:space="preserve">   </w:t>
      </w:r>
      <w:r>
        <w:rPr>
          <w:rFonts w:hint="eastAsia"/>
        </w:rPr>
        <w:t xml:space="preserve">年 </w:t>
      </w:r>
      <w:r>
        <w:t xml:space="preserve">   </w:t>
      </w:r>
      <w:r>
        <w:rPr>
          <w:rFonts w:hint="eastAsia"/>
        </w:rPr>
        <w:t xml:space="preserve">月 </w:t>
      </w:r>
      <w:r>
        <w:t xml:space="preserve">    </w:t>
      </w:r>
      <w:r>
        <w:rPr>
          <w:rFonts w:hint="eastAsia"/>
        </w:rPr>
        <w:t xml:space="preserve">日</w:t>
      </w:r>
      <w:r/>
    </w:p>
    <w:p>
      <w:pPr>
        <w:pStyle w:val="1050"/>
        <w:jc w:val="right"/>
        <w:spacing w:before="0" w:after="0"/>
        <w:shd w:val="clear" w:color="auto" w:fill="ffffff"/>
      </w:pPr>
      <w:r/>
      <w:r/>
    </w:p>
    <w:p>
      <w:pPr>
        <w:pStyle w:val="1050"/>
        <w:jc w:val="right"/>
        <w:spacing w:before="0" w:after="0"/>
        <w:shd w:val="clear" w:color="auto" w:fill="ffffff"/>
      </w:pPr>
      <w:r/>
      <w:r/>
    </w:p>
    <w:p>
      <w:pPr>
        <w:pStyle w:val="1050"/>
        <w:jc w:val="right"/>
        <w:spacing w:before="0" w:after="0"/>
        <w:shd w:val="clear" w:color="auto" w:fill="ffffff"/>
      </w:pPr>
      <w:r/>
      <w:r/>
    </w:p>
    <w:p>
      <w:pPr>
        <w:pStyle w:val="1050"/>
        <w:jc w:val="right"/>
        <w:spacing w:before="0" w:after="0"/>
        <w:shd w:val="clear" w:color="auto" w:fill="ffffff"/>
      </w:pPr>
      <w:r/>
      <w:r/>
    </w:p>
    <w:p>
      <w:pPr>
        <w:pStyle w:val="1050"/>
        <w:ind w:left="0" w:firstLine="0"/>
        <w:spacing w:before="30" w:after="30"/>
        <w:shd w:val="clear" w:color="auto" w:fill="ffffff"/>
      </w:pPr>
      <w:r>
        <w:rPr>
          <w:rFonts w:hint="eastAsia"/>
        </w:rPr>
        <w:t xml:space="preserve">__________________</w:t>
      </w:r>
      <w:r/>
    </w:p>
    <w:p>
      <w:pPr>
        <w:pStyle w:val="1050"/>
        <w:ind w:firstLine="480"/>
        <w:spacing w:before="0" w:after="0"/>
        <w:shd w:val="clear" w:color="auto" w:fill="ffffff"/>
        <w:rPr>
          <w:sz w:val="21"/>
          <w:szCs w:val="21"/>
        </w:rPr>
      </w:pPr>
      <w:r>
        <w:rPr>
          <w:rFonts w:hint="eastAsia"/>
          <w:sz w:val="21"/>
          <w:szCs w:val="21"/>
        </w:rPr>
        <w:t xml:space="preserve">1.产品如有型号，请在“产品名称”栏一并填写。</w:t>
      </w:r>
      <w:r/>
    </w:p>
    <w:p>
      <w:pPr>
        <w:pStyle w:val="1050"/>
        <w:ind w:firstLine="480"/>
        <w:spacing w:before="0" w:after="0"/>
        <w:shd w:val="clear" w:color="auto" w:fill="ffffff"/>
        <w:rPr>
          <w:sz w:val="21"/>
          <w:szCs w:val="21"/>
        </w:rPr>
      </w:pPr>
      <w:r>
        <w:rPr>
          <w:rFonts w:hint="eastAsia"/>
          <w:sz w:val="21"/>
          <w:szCs w:val="21"/>
        </w:rPr>
        <w:t xml:space="preserve">2.生产厂名与厂址应与生产厂营业执照载明的相关信息保持一致。</w:t>
      </w:r>
      <w:r/>
    </w:p>
    <w:p>
      <w:pPr>
        <w:pStyle w:val="1050"/>
        <w:ind w:firstLine="480"/>
        <w:spacing w:before="0" w:after="0"/>
        <w:shd w:val="clear" w:color="auto" w:fill="ffffff"/>
        <w:rPr>
          <w:sz w:val="21"/>
          <w:szCs w:val="21"/>
        </w:rPr>
      </w:pPr>
      <w:r>
        <w:rPr>
          <w:rFonts w:hint="eastAsia"/>
          <w:sz w:val="21"/>
          <w:szCs w:val="21"/>
        </w:rPr>
        <w:t xml:space="preserve">3.该产品的中国境内生产的组件成本占比相关要求实施前，“规定比例”栏可不填，下同。</w:t>
      </w:r>
      <w:r/>
    </w:p>
    <w:p>
      <w:pPr>
        <w:pStyle w:val="1050"/>
        <w:ind w:firstLine="480"/>
        <w:spacing w:before="0" w:after="0"/>
        <w:shd w:val="clear" w:color="auto" w:fill="ffffff"/>
        <w:rPr>
          <w:sz w:val="21"/>
          <w:szCs w:val="21"/>
        </w:rPr>
      </w:pPr>
      <w:r>
        <w:rPr>
          <w:rFonts w:hint="eastAsia"/>
          <w:sz w:val="21"/>
          <w:szCs w:val="21"/>
        </w:rPr>
        <w:t xml:space="preserve">4.该产品的关键组件要求实施前，“关键组件”栏可不填，下同。</w:t>
      </w:r>
      <w:r/>
    </w:p>
    <w:p>
      <w:pPr>
        <w:pStyle w:val="1050"/>
        <w:ind w:firstLine="480"/>
        <w:spacing w:before="0" w:after="0"/>
        <w:shd w:val="clear" w:color="auto" w:fill="ffffff"/>
        <w:rPr>
          <w:sz w:val="21"/>
          <w:szCs w:val="21"/>
        </w:rPr>
      </w:pPr>
      <w:r>
        <w:rPr>
          <w:rFonts w:hint="eastAsia"/>
          <w:sz w:val="21"/>
          <w:szCs w:val="21"/>
        </w:rPr>
        <w:t xml:space="preserve">5.该产品的关键工序要求实施前，“关键工序”栏可不填，下同。</w:t>
      </w:r>
      <w:r/>
    </w:p>
    <w:p>
      <w:pPr>
        <w:pStyle w:val="1050"/>
        <w:ind w:firstLine="480"/>
        <w:spacing w:before="0" w:after="0"/>
        <w:shd w:val="clear" w:color="auto" w:fill="ffffff"/>
        <w:rPr>
          <w:sz w:val="21"/>
          <w:szCs w:val="21"/>
        </w:rPr>
      </w:pPr>
      <w:r>
        <w:rPr>
          <w:rFonts w:hint="eastAsia"/>
          <w:sz w:val="21"/>
          <w:szCs w:val="21"/>
        </w:rPr>
        <w:t xml:space="preserve">6</w:t>
      </w:r>
      <w:r>
        <w:rPr>
          <w:sz w:val="21"/>
          <w:szCs w:val="21"/>
        </w:rPr>
        <w:t xml:space="preserve">.</w:t>
      </w:r>
      <w:r>
        <w:rPr>
          <w:rFonts w:hint="eastAsia"/>
          <w:b/>
          <w:sz w:val="21"/>
          <w:szCs w:val="21"/>
        </w:rPr>
        <w:t xml:space="preserve">用斜线划除的地方无需填写。</w:t>
      </w:r>
      <w:r/>
    </w:p>
    <w:p>
      <w:pPr>
        <w:pStyle w:val="1050"/>
        <w:jc w:val="right"/>
        <w:spacing w:before="0" w:after="0"/>
        <w:shd w:val="clear" w:color="auto" w:fill="ffffff"/>
        <w:rPr>
          <w:rFonts w:ascii="宋体" w:hAnsi="宋体"/>
          <w:sz w:val="21"/>
          <w:szCs w:val="21"/>
        </w:rPr>
      </w:pPr>
      <w:r>
        <w:rPr>
          <w:rFonts w:ascii="宋体" w:hAnsi="宋体"/>
          <w:sz w:val="21"/>
          <w:szCs w:val="21"/>
        </w:rPr>
      </w:r>
      <w:r/>
    </w:p>
    <w:p>
      <w:pPr>
        <w:pStyle w:val="1005"/>
      </w:pPr>
      <w:r/>
      <w:r/>
    </w:p>
    <w:p>
      <w:r/>
      <w:r/>
    </w:p>
    <w:p>
      <w:pPr>
        <w:pStyle w:val="1050"/>
        <w:jc w:val="right"/>
        <w:spacing w:before="0" w:after="0"/>
        <w:shd w:val="clear" w:color="auto" w:fill="ffffff"/>
      </w:pPr>
      <w:r/>
      <w:r/>
    </w:p>
    <w:p>
      <w:pPr>
        <w:ind w:left="0"/>
        <w:jc w:val="left"/>
        <w:rPr>
          <w:rFonts w:ascii="宋体" w:hAnsi="宋体"/>
          <w:b/>
          <w:sz w:val="21"/>
          <w:szCs w:val="21"/>
        </w:rPr>
        <w:outlineLvl w:val="0"/>
      </w:pPr>
      <w:r>
        <w:rPr>
          <w:rFonts w:ascii="宋体" w:hAnsi="宋体"/>
          <w:b/>
          <w:sz w:val="21"/>
          <w:szCs w:val="21"/>
        </w:rPr>
        <w:t xml:space="preserve">附件8</w:t>
      </w:r>
      <w:r>
        <w:rPr>
          <w:rFonts w:hint="eastAsia" w:ascii="宋体" w:hAnsi="宋体"/>
          <w:b/>
          <w:sz w:val="21"/>
          <w:szCs w:val="21"/>
        </w:rPr>
        <w:t xml:space="preserve">.</w:t>
      </w:r>
      <w:bookmarkEnd w:id="82"/>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Style w:val="10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附件9</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Style w:val="10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85" w:name="_Toc71810489"/>
      <w:r/>
      <w:bookmarkStart w:id="86" w:name="_Toc105397787"/>
      <w:r>
        <w:rPr>
          <w:rFonts w:ascii="宋体" w:hAnsi="宋体"/>
          <w:b/>
          <w:sz w:val="21"/>
          <w:szCs w:val="21"/>
        </w:rPr>
        <w:br w:type="page" w:clear="all"/>
      </w:r>
      <w:r>
        <w:rPr>
          <w:rFonts w:ascii="宋体" w:hAnsi="宋体"/>
          <w:b/>
          <w:sz w:val="21"/>
          <w:szCs w:val="21"/>
        </w:rPr>
        <w:t xml:space="preserve">附件10</w:t>
      </w:r>
      <w:r>
        <w:rPr>
          <w:rFonts w:hint="eastAsia" w:ascii="宋体" w:hAnsi="宋体"/>
          <w:b/>
          <w:sz w:val="21"/>
          <w:szCs w:val="21"/>
        </w:rPr>
        <w:t xml:space="preserve">.相关业绩一览表</w:t>
      </w:r>
      <w:bookmarkEnd w:id="85"/>
      <w:r/>
      <w:bookmarkEnd w:id="86"/>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Style w:val="100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19"/>
        <w:rPr>
          <w:rFonts w:ascii="宋体" w:hAnsi="宋体"/>
        </w:rPr>
      </w:pPr>
      <w:r>
        <w:rPr>
          <w:rFonts w:ascii="宋体" w:hAnsi="宋体"/>
        </w:rPr>
      </w:r>
      <w:r/>
    </w:p>
    <w:p>
      <w:r/>
      <w:r/>
    </w:p>
    <w:p>
      <w:pPr>
        <w:pStyle w:val="1005"/>
      </w:pPr>
      <w:r/>
      <w:r/>
    </w:p>
    <w:p>
      <w:r/>
      <w:r/>
    </w:p>
    <w:p>
      <w:pPr>
        <w:pStyle w:val="1005"/>
      </w:pPr>
      <w:r/>
      <w:r/>
    </w:p>
    <w:p>
      <w:r/>
      <w:r/>
    </w:p>
    <w:p>
      <w:pPr>
        <w:pStyle w:val="1005"/>
      </w:pPr>
      <w:r/>
      <w:r/>
    </w:p>
    <w:p>
      <w:pPr>
        <w:pStyle w:val="1005"/>
      </w:pPr>
      <w:r/>
      <w:r/>
    </w:p>
    <w:p>
      <w:pPr>
        <w:pStyle w:val="1011"/>
        <w:rPr>
          <w:rFonts w:ascii="宋体" w:hAnsi="宋体" w:cs="Times New Roman"/>
        </w:rPr>
      </w:pPr>
      <w:r>
        <w:rPr>
          <w:rFonts w:ascii="宋体" w:hAnsi="宋体" w:cs="Times New Roman"/>
        </w:rPr>
      </w:r>
      <w:r/>
    </w:p>
    <w:p>
      <w:r/>
      <w:r/>
    </w:p>
    <w:p>
      <w:pPr>
        <w:rPr>
          <w:rFonts w:ascii="宋体" w:hAnsi="宋体" w:cs="Times New Roman"/>
        </w:rPr>
      </w:pPr>
      <w:r>
        <w:rPr>
          <w:rFonts w:ascii="宋体" w:hAnsi="宋体" w:cs="Times New Roman"/>
        </w:rPr>
      </w:r>
      <w:bookmarkEnd w:id="83"/>
      <w:r/>
      <w:bookmarkEnd w:id="84"/>
      <w:r/>
      <w:r/>
    </w:p>
    <w:p>
      <w:pPr>
        <w:rPr>
          <w:rFonts w:ascii="宋体" w:hAnsi="宋体"/>
        </w:rPr>
      </w:pPr>
      <w:r/>
      <w:bookmarkStart w:id="87" w:name="_Toc71810490"/>
      <w:r>
        <w:rPr>
          <w:rFonts w:ascii="宋体" w:hAnsi="宋体"/>
        </w:rPr>
        <w:t xml:space="preserve"> </w:t>
      </w:r>
      <w:r/>
    </w:p>
    <w:p>
      <w:pPr>
        <w:pStyle w:val="1011"/>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8"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87"/>
      <w:r/>
      <w:bookmarkEnd w:id="88"/>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1005"/>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Style w:val="1004"/>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bookmarkStart w:id="89" w:name="OLE_LINK7"/>
      <w:r/>
      <w:bookmarkStart w:id="90" w:name="OLE_LINK8"/>
      <w:r>
        <w:rPr>
          <w:rFonts w:hint="eastAsia" w:ascii="宋体" w:hAnsi="宋体"/>
          <w:b/>
          <w:sz w:val="21"/>
          <w:szCs w:val="21"/>
          <w:lang w:val="zh-CN"/>
        </w:rPr>
        <w:t xml:space="preserve">备注：根据招标文件第二章“投标人须知”第26.4</w:t>
      </w:r>
      <w:bookmarkStart w:id="91" w:name="OLE_LINK12"/>
      <w:r>
        <w:rPr>
          <w:rFonts w:hint="eastAsia" w:ascii="宋体" w:hAnsi="宋体"/>
          <w:b/>
          <w:sz w:val="21"/>
          <w:szCs w:val="21"/>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bookmarkStart w:id="92" w:name="OLE_LINK16"/>
      <w:r>
        <w:rPr>
          <w:rFonts w:hint="eastAsia" w:ascii="宋体" w:hAnsi="宋体"/>
          <w:b/>
          <w:sz w:val="21"/>
          <w:szCs w:val="21"/>
          <w:lang w:val="zh-CN"/>
        </w:rPr>
        <w:t xml:space="preserve">的</w:t>
      </w:r>
      <w:bookmarkEnd w:id="91"/>
      <w:r/>
      <w:bookmarkEnd w:id="92"/>
      <w:r>
        <w:rPr>
          <w:rFonts w:hint="eastAsia" w:ascii="宋体" w:hAnsi="宋体"/>
          <w:b/>
          <w:sz w:val="21"/>
          <w:szCs w:val="21"/>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89"/>
      <w:r/>
      <w:bookmarkEnd w:id="90"/>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rPr>
          <w:rFonts w:ascii="宋体" w:hAnsi="宋体"/>
          <w:b/>
          <w:sz w:val="21"/>
          <w:szCs w:val="21"/>
        </w:rPr>
      </w:pPr>
      <w:r>
        <w:rPr>
          <w:rFonts w:ascii="宋体" w:hAnsi="宋体"/>
          <w:b/>
          <w:sz w:val="21"/>
          <w:szCs w:val="21"/>
        </w:rPr>
        <w:br w:type="page" w:clear="all"/>
      </w:r>
      <w:r/>
    </w:p>
    <w:p>
      <w:pPr>
        <w:ind w:left="0"/>
        <w:rPr>
          <w:rFonts w:ascii="宋体" w:hAnsi="宋体"/>
          <w:sz w:val="21"/>
          <w:szCs w:val="21"/>
        </w:rPr>
        <w:outlineLvl w:val="0"/>
      </w:pPr>
      <w:r>
        <w:rPr>
          <w:rFonts w:ascii="宋体" w:hAnsi="宋体"/>
          <w:b/>
          <w:sz w:val="21"/>
          <w:szCs w:val="21"/>
        </w:rPr>
        <w:t xml:space="preserve">附件13</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提交样品人授权委托书</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提交样品人</w:t>
      </w:r>
      <w:r>
        <w:rPr>
          <w:rFonts w:ascii="宋体" w:hAnsi="宋体"/>
          <w:b/>
          <w:sz w:val="21"/>
          <w:szCs w:val="21"/>
        </w:rPr>
        <w:t xml:space="preserve">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现场提交样品流程</w:t>
      </w:r>
      <w:r>
        <w:rPr>
          <w:rFonts w:ascii="宋体" w:hAnsi="宋体"/>
          <w:sz w:val="21"/>
          <w:szCs w:val="21"/>
        </w:rPr>
        <w:t xml:space="preserve">。代理人在</w:t>
      </w:r>
      <w:r>
        <w:rPr>
          <w:rFonts w:hint="eastAsia" w:ascii="宋体" w:hAnsi="宋体"/>
          <w:sz w:val="21"/>
          <w:szCs w:val="21"/>
        </w:rPr>
        <w:t xml:space="preserve">现场提交样品流程</w:t>
      </w:r>
      <w:r>
        <w:rPr>
          <w:rFonts w:ascii="宋体" w:hAnsi="宋体"/>
          <w:sz w:val="21"/>
          <w:szCs w:val="21"/>
        </w:rPr>
        <w:t xml:space="preserve">中所签署的一切文件和处理与这有关的一切事务，我均予以承认</w:t>
      </w:r>
      <w:r>
        <w:rPr>
          <w:rFonts w:hint="eastAsia" w:ascii="宋体" w:hAnsi="宋体"/>
          <w:sz w:val="21"/>
          <w:szCs w:val="21"/>
        </w:rPr>
        <w:t xml:space="preserve">。因未及时取回样品造成的损失，由代理人自行承担。</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19"/>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05"/>
        <w:rPr>
          <w:lang w:val="zh-CN"/>
        </w:rPr>
      </w:pPr>
      <w:r>
        <w:rPr>
          <w:lang w:val="zh-CN"/>
        </w:rPr>
      </w:r>
      <w:r/>
    </w:p>
    <w:p>
      <w:pPr>
        <w:pStyle w:val="1005"/>
        <w:rPr>
          <w:lang w:val="zh-CN"/>
        </w:rPr>
      </w:pPr>
      <w:r>
        <w:rPr>
          <w:lang w:val="zh-CN"/>
        </w:rPr>
      </w:r>
      <w:r/>
    </w:p>
    <w:p>
      <w:pPr>
        <w:ind w:left="0"/>
        <w:rPr>
          <w:rFonts w:ascii="宋体" w:hAnsi="宋体"/>
          <w:b/>
          <w:sz w:val="21"/>
          <w:szCs w:val="21"/>
        </w:rPr>
      </w:pPr>
      <w:r/>
      <w:bookmarkStart w:id="93" w:name="_Toc23660"/>
      <w:r/>
      <w:bookmarkStart w:id="94" w:name="_Toc105397793"/>
      <w:r/>
      <w:bookmarkStart w:id="95" w:name="_Toc4098"/>
      <w:r/>
      <w:r/>
    </w:p>
    <w:p>
      <w:pPr>
        <w:ind w:left="0"/>
        <w:rPr>
          <w:rFonts w:ascii="宋体" w:hAnsi="宋体"/>
          <w:b/>
          <w:sz w:val="21"/>
          <w:szCs w:val="21"/>
        </w:rPr>
      </w:pPr>
      <w:r>
        <w:rPr>
          <w:rFonts w:ascii="宋体" w:hAnsi="宋体"/>
          <w:b/>
          <w:sz w:val="21"/>
          <w:szCs w:val="21"/>
        </w:rPr>
      </w:r>
      <w:r/>
    </w:p>
    <w:p>
      <w:pPr>
        <w:ind w:left="0"/>
        <w:rPr>
          <w:rFonts w:ascii="宋体" w:hAnsi="宋体"/>
          <w:b/>
          <w:sz w:val="21"/>
          <w:szCs w:val="21"/>
        </w:rPr>
      </w:pPr>
      <w:r>
        <w:rPr>
          <w:rFonts w:ascii="宋体" w:hAnsi="宋体"/>
          <w:b/>
          <w:sz w:val="21"/>
          <w:szCs w:val="21"/>
        </w:rPr>
      </w:r>
      <w:r/>
    </w:p>
    <w:p>
      <w:pPr>
        <w:ind w:left="0"/>
        <w:rPr>
          <w:rFonts w:ascii="宋体" w:hAnsi="宋体"/>
          <w:b/>
          <w:sz w:val="21"/>
          <w:szCs w:val="21"/>
        </w:rPr>
      </w:pPr>
      <w:r>
        <w:rPr>
          <w:rFonts w:ascii="宋体" w:hAnsi="宋体"/>
          <w:b/>
          <w:sz w:val="21"/>
          <w:szCs w:val="21"/>
        </w:rPr>
      </w:r>
      <w:r/>
    </w:p>
    <w:p>
      <w:pPr>
        <w:ind w:left="0"/>
        <w:rPr>
          <w:rFonts w:ascii="宋体" w:hAnsi="宋体"/>
          <w:b/>
          <w:sz w:val="21"/>
          <w:szCs w:val="21"/>
        </w:rPr>
      </w:pPr>
      <w:r>
        <w:rPr>
          <w:rFonts w:ascii="宋体" w:hAnsi="宋体"/>
          <w:b/>
          <w:sz w:val="21"/>
          <w:szCs w:val="21"/>
        </w:rPr>
      </w:r>
      <w:r/>
    </w:p>
    <w:p>
      <w:pPr>
        <w:ind w:left="0"/>
        <w:rPr>
          <w:rFonts w:ascii="宋体" w:hAnsi="宋体"/>
          <w:b/>
          <w:sz w:val="21"/>
          <w:szCs w:val="21"/>
        </w:rPr>
      </w:pPr>
      <w:r>
        <w:rPr>
          <w:rFonts w:ascii="宋体" w:hAnsi="宋体"/>
          <w:b/>
          <w:sz w:val="21"/>
          <w:szCs w:val="21"/>
        </w:rPr>
      </w:r>
      <w:r/>
    </w:p>
    <w:p>
      <w:pPr>
        <w:ind w:left="0"/>
        <w:rPr>
          <w:rFonts w:ascii="宋体" w:hAnsi="宋体"/>
          <w:b/>
          <w:sz w:val="21"/>
          <w:szCs w:val="21"/>
        </w:rPr>
      </w:pPr>
      <w:r>
        <w:rPr>
          <w:rFonts w:ascii="宋体" w:hAnsi="宋体"/>
          <w:b/>
          <w:sz w:val="21"/>
          <w:szCs w:val="21"/>
        </w:rPr>
      </w:r>
      <w:r/>
    </w:p>
    <w:p>
      <w:pPr>
        <w:ind w:left="0"/>
        <w:rPr>
          <w:rFonts w:ascii="宋体" w:hAnsi="宋体"/>
          <w:b/>
          <w:sz w:val="21"/>
          <w:szCs w:val="21"/>
        </w:rPr>
      </w:pPr>
      <w:r>
        <w:rPr>
          <w:rFonts w:ascii="宋体" w:hAnsi="宋体"/>
          <w:b/>
          <w:sz w:val="21"/>
          <w:szCs w:val="21"/>
        </w:rPr>
      </w:r>
      <w:r/>
    </w:p>
    <w:p>
      <w:pPr>
        <w:ind w:left="0"/>
        <w:rPr>
          <w:rFonts w:ascii="宋体" w:hAnsi="宋体"/>
          <w:b/>
          <w:sz w:val="21"/>
          <w:szCs w:val="21"/>
        </w:rPr>
      </w:pPr>
      <w:r>
        <w:rPr>
          <w:rFonts w:ascii="宋体" w:hAnsi="宋体"/>
          <w:b/>
          <w:sz w:val="21"/>
          <w:szCs w:val="21"/>
        </w:rPr>
      </w:r>
      <w:r/>
    </w:p>
    <w:p>
      <w:pPr>
        <w:ind w:left="0"/>
        <w:rPr>
          <w:rFonts w:ascii="宋体" w:hAnsi="宋体"/>
          <w:b/>
          <w:sz w:val="21"/>
          <w:szCs w:val="21"/>
        </w:rPr>
      </w:pPr>
      <w:r>
        <w:rPr>
          <w:rFonts w:ascii="宋体" w:hAnsi="宋体"/>
          <w:b/>
          <w:sz w:val="21"/>
          <w:szCs w:val="21"/>
        </w:rPr>
      </w:r>
      <w:r/>
    </w:p>
    <w:p>
      <w:pPr>
        <w:ind w:left="0"/>
        <w:rPr>
          <w:rFonts w:ascii="宋体" w:hAnsi="宋体"/>
          <w:b/>
          <w:sz w:val="21"/>
          <w:szCs w:val="21"/>
        </w:rPr>
      </w:pPr>
      <w:r>
        <w:rPr>
          <w:rFonts w:ascii="宋体" w:hAnsi="宋体"/>
          <w:b/>
          <w:sz w:val="21"/>
          <w:szCs w:val="21"/>
        </w:rPr>
      </w:r>
      <w:r/>
    </w:p>
    <w:p>
      <w:pPr>
        <w:ind w:left="0"/>
        <w:rPr>
          <w:rFonts w:ascii="宋体" w:hAnsi="宋体"/>
          <w:b/>
          <w:sz w:val="21"/>
          <w:szCs w:val="21"/>
        </w:rPr>
      </w:pPr>
      <w:r>
        <w:rPr>
          <w:rFonts w:ascii="宋体" w:hAnsi="宋体"/>
          <w:b/>
          <w:sz w:val="21"/>
          <w:szCs w:val="21"/>
        </w:rPr>
      </w:r>
      <w:r/>
    </w:p>
    <w:p>
      <w:pPr>
        <w:ind w:left="0"/>
        <w:rPr>
          <w:rFonts w:ascii="宋体" w:hAnsi="宋体"/>
          <w:b/>
          <w:sz w:val="21"/>
          <w:szCs w:val="21"/>
        </w:rPr>
      </w:pPr>
      <w:r>
        <w:rPr>
          <w:rFonts w:ascii="宋体" w:hAnsi="宋体"/>
          <w:b/>
          <w:sz w:val="21"/>
          <w:szCs w:val="21"/>
        </w:rPr>
      </w:r>
      <w:r/>
    </w:p>
    <w:p>
      <w:pPr>
        <w:ind w:left="0"/>
        <w:rPr>
          <w:rFonts w:ascii="宋体" w:hAnsi="宋体"/>
          <w:b/>
          <w:sz w:val="21"/>
          <w:szCs w:val="21"/>
        </w:rPr>
      </w:pPr>
      <w:r>
        <w:rPr>
          <w:rFonts w:ascii="宋体" w:hAnsi="宋体"/>
          <w:b/>
          <w:sz w:val="21"/>
          <w:szCs w:val="21"/>
        </w:rPr>
      </w:r>
      <w:r/>
    </w:p>
    <w:p>
      <w:pPr>
        <w:ind w:left="0"/>
        <w:rPr>
          <w:rFonts w:ascii="宋体" w:hAnsi="宋体"/>
          <w:b/>
          <w:sz w:val="21"/>
          <w:szCs w:val="21"/>
        </w:rPr>
      </w:pPr>
      <w:r>
        <w:rPr>
          <w:rFonts w:ascii="宋体" w:hAnsi="宋体"/>
          <w:b/>
          <w:sz w:val="21"/>
          <w:szCs w:val="21"/>
        </w:rPr>
      </w:r>
      <w:r/>
    </w:p>
    <w:p>
      <w:pPr>
        <w:ind w:left="0"/>
        <w:rPr>
          <w:rFonts w:ascii="宋体" w:hAnsi="宋体"/>
          <w:b/>
          <w:sz w:val="21"/>
          <w:szCs w:val="21"/>
        </w:rPr>
      </w:pPr>
      <w:r>
        <w:rPr>
          <w:rFonts w:ascii="宋体" w:hAnsi="宋体"/>
          <w:b/>
          <w:sz w:val="21"/>
          <w:szCs w:val="21"/>
        </w:rPr>
      </w:r>
      <w:r/>
    </w:p>
    <w:p>
      <w:pPr>
        <w:rPr>
          <w:rFonts w:ascii="宋体" w:hAnsi="宋体"/>
          <w:b/>
          <w:sz w:val="21"/>
          <w:szCs w:val="21"/>
        </w:rPr>
      </w:pPr>
      <w:r>
        <w:rPr>
          <w:rFonts w:ascii="宋体" w:hAnsi="宋体"/>
          <w:b/>
          <w:sz w:val="21"/>
          <w:szCs w:val="21"/>
        </w:rPr>
        <w:br w:type="page" w:clear="all"/>
      </w:r>
      <w:r/>
    </w:p>
    <w:p>
      <w:pPr>
        <w:ind w:left="0"/>
        <w:widowControl w:val="off"/>
        <w:rPr>
          <w:rFonts w:ascii="宋体" w:hAnsi="宋体"/>
          <w:sz w:val="21"/>
          <w:szCs w:val="21"/>
        </w:rPr>
        <w:outlineLvl w:val="0"/>
      </w:pPr>
      <w:r>
        <w:rPr>
          <w:rFonts w:ascii="宋体" w:hAnsi="宋体"/>
          <w:b/>
          <w:sz w:val="21"/>
          <w:szCs w:val="21"/>
        </w:rPr>
        <w:t xml:space="preserve">附件1</w:t>
      </w:r>
      <w:r>
        <w:rPr>
          <w:rFonts w:hint="eastAsia" w:ascii="宋体" w:hAnsi="宋体"/>
          <w:b/>
          <w:sz w:val="21"/>
          <w:szCs w:val="21"/>
        </w:rPr>
        <w:t xml:space="preserve">4.</w:t>
      </w:r>
      <w:r>
        <w:rPr>
          <w:rFonts w:hint="eastAsia"/>
        </w:rPr>
        <w:t xml:space="preserve"> </w:t>
      </w:r>
      <w:r>
        <w:rPr>
          <w:rFonts w:hint="eastAsia" w:asciiTheme="minorEastAsia" w:hAnsiTheme="minorEastAsia" w:eastAsiaTheme="minorEastAsia" w:cstheme="minorEastAsia"/>
          <w:b/>
          <w:bCs/>
          <w:sz w:val="21"/>
          <w:szCs w:val="21"/>
        </w:rPr>
        <w:t xml:space="preserve">近3年投标人行贿犯罪情况的书面声明</w:t>
      </w:r>
      <w:r/>
    </w:p>
    <w:p>
      <w:pPr>
        <w:ind w:left="0" w:firstLine="420"/>
        <w:jc w:val="center"/>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ind w:left="0" w:firstLine="422"/>
        <w:jc w:val="center"/>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近3年投标人行贿犯罪情况的书面声明</w:t>
      </w:r>
      <w:r/>
    </w:p>
    <w:p>
      <w:pPr>
        <w:ind w:left="0"/>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ind w:left="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（采购人）： </w:t>
      </w:r>
      <w:r/>
    </w:p>
    <w:p>
      <w:pPr>
        <w:ind w:left="0" w:firstLine="42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自___年___月___日起至今， ____________________（投标人名称）（统一社会信用代码：_____________），法定代表人：_______________，身份证号：____________________， 没有行贿犯罪记录。</w:t>
      </w:r>
      <w:r/>
    </w:p>
    <w:p>
      <w:pPr>
        <w:ind w:left="0" w:firstLine="42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我方承诺以上信息是真实的，如有虚假或被发现与事实不符，我方同意并接受以下条款： </w:t>
      </w:r>
      <w:r/>
    </w:p>
    <w:p>
      <w:pPr>
        <w:numPr>
          <w:ilvl w:val="0"/>
          <w:numId w:val="1"/>
        </w:numPr>
        <w:ind w:left="0" w:firstLine="42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招标人或评标委员会可以按弄虚作假行为进行认定；</w:t>
      </w:r>
      <w:r/>
    </w:p>
    <w:p>
      <w:pPr>
        <w:numPr>
          <w:ilvl w:val="0"/>
          <w:numId w:val="1"/>
        </w:numPr>
        <w:ind w:left="0" w:firstLine="42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如我方已中标，招标人可以取消我方中标资格；</w:t>
      </w:r>
      <w:r/>
    </w:p>
    <w:p>
      <w:pPr>
        <w:numPr>
          <w:ilvl w:val="0"/>
          <w:numId w:val="1"/>
        </w:numPr>
        <w:ind w:left="0" w:firstLine="42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如已与招标人签订合同，招标人可以无条件终止合同并不承担任何违约责任； </w:t>
      </w:r>
      <w:r/>
    </w:p>
    <w:p>
      <w:pPr>
        <w:ind w:left="40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（4）我方愿意承担由此给招标人造成的直接或间接损失以及相应的法律责任。 </w:t>
      </w:r>
      <w:r/>
    </w:p>
    <w:p>
      <w:pPr>
        <w:ind w:left="0" w:firstLine="42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特此声明！ </w:t>
      </w:r>
      <w:r/>
    </w:p>
    <w:p>
      <w:pPr>
        <w:ind w:left="0" w:firstLine="420"/>
        <w:spacing w:line="360"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ind w:left="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投标人名称：____________________（盖单位公章） </w:t>
      </w:r>
      <w:r/>
    </w:p>
    <w:p>
      <w:pPr>
        <w:ind w:left="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法定代表人（单位负责人）或其委托代理人：____________________（签字或盖章） </w:t>
      </w:r>
      <w:r/>
    </w:p>
    <w:p>
      <w:pPr>
        <w:ind w:left="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日期： </w:t>
      </w:r>
      <w:r/>
    </w:p>
    <w:p>
      <w:pPr>
        <w:ind w:left="0" w:firstLine="420"/>
        <w:spacing w:line="360"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ind w:left="0" w:firstLine="422"/>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备注：参加本次政府采购活动前3年内在经营活动中没有行贿犯罪记录的承诺书，截止至开标日成立不足3年的投标人可提供自成立以来无行贿犯罪记录的承诺书。</w:t>
      </w:r>
      <w:r/>
    </w:p>
    <w:p>
      <w:pPr>
        <w:rPr>
          <w:rFonts w:ascii="宋体" w:hAnsi="宋体"/>
          <w:b/>
          <w:sz w:val="44"/>
          <w:szCs w:val="22"/>
        </w:rPr>
      </w:pPr>
      <w:r>
        <w:rPr>
          <w:rFonts w:hint="eastAsia" w:ascii="宋体" w:hAnsi="宋体"/>
          <w:b/>
          <w:sz w:val="44"/>
          <w:szCs w:val="22"/>
        </w:rPr>
        <w:br w:type="page" w:clear="all"/>
      </w:r>
      <w:r/>
    </w:p>
    <w:p>
      <w:pPr>
        <w:pStyle w:val="994"/>
        <w:ind w:left="0" w:firstLine="0"/>
        <w:jc w:val="center"/>
        <w:rPr>
          <w:rFonts w:ascii="宋体" w:hAnsi="宋体"/>
          <w:b/>
          <w:sz w:val="44"/>
          <w:szCs w:val="22"/>
        </w:rPr>
      </w:pPr>
      <w:r>
        <w:rPr>
          <w:rFonts w:hint="eastAsia" w:ascii="宋体" w:hAnsi="宋体"/>
          <w:b/>
          <w:sz w:val="44"/>
          <w:szCs w:val="22"/>
        </w:rPr>
        <w:t xml:space="preserve">第四章  </w:t>
      </w:r>
      <w:bookmarkStart w:id="96" w:name="招标书"/>
      <w:r/>
      <w:bookmarkEnd w:id="96"/>
      <w:r>
        <w:rPr>
          <w:rFonts w:hint="eastAsia" w:ascii="宋体" w:hAnsi="宋体"/>
          <w:b/>
          <w:sz w:val="44"/>
          <w:szCs w:val="22"/>
        </w:rPr>
        <w:t xml:space="preserve">招标书</w:t>
      </w:r>
      <w:bookmarkEnd w:id="93"/>
      <w:r/>
      <w:bookmarkEnd w:id="94"/>
      <w:r/>
      <w:bookmarkEnd w:id="95"/>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苏州市消防救援支队 </w:t>
      </w:r>
      <w:r>
        <w:rPr>
          <w:rFonts w:ascii="宋体" w:hAnsi="宋体"/>
          <w:sz w:val="21"/>
        </w:rPr>
        <w:t xml:space="preserve">的委托，就</w:t>
      </w:r>
      <w:r>
        <w:rPr>
          <w:rFonts w:hint="eastAsia" w:ascii="宋体" w:hAnsi="宋体"/>
          <w:sz w:val="21"/>
          <w:u w:val="single"/>
        </w:rPr>
        <w:t xml:space="preserve"> 2025年部门集中采购目录外器材装备采购项目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hint="eastAsia" w:ascii="宋体" w:hAnsi="宋体"/>
          <w:sz w:val="21"/>
          <w:szCs w:val="21"/>
        </w:rPr>
        <w:t xml:space="preserve">JSZC-320500-JZCG-G2026-0079</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szCs w:val="21"/>
        </w:rPr>
        <w:t xml:space="preserve">2025年部门集中采购目录外器材装备采购项目</w:t>
      </w:r>
      <w:r/>
    </w:p>
    <w:p>
      <w:pPr>
        <w:pStyle w:val="1011"/>
        <w:ind w:left="0" w:firstLine="420"/>
        <w:spacing w:line="360" w:lineRule="auto"/>
        <w:rPr>
          <w:rFonts w:ascii="宋体" w:hAnsi="宋体"/>
          <w:sz w:val="21"/>
          <w:szCs w:val="21"/>
        </w:rPr>
      </w:pPr>
      <w:r>
        <w:rPr>
          <w:rFonts w:hint="eastAsia" w:ascii="宋体" w:hAnsi="宋体"/>
          <w:sz w:val="21"/>
        </w:rPr>
        <w:t xml:space="preserve">三、预算金额：</w:t>
      </w:r>
      <w:r>
        <w:rPr>
          <w:rFonts w:hint="eastAsia" w:ascii="宋体" w:hAnsi="宋体"/>
          <w:sz w:val="21"/>
          <w:szCs w:val="21"/>
        </w:rPr>
        <w:t xml:space="preserve">人民币柒佰捌拾捌万贰仟贰佰元整（¥7882200.00元）</w:t>
      </w:r>
      <w:r/>
    </w:p>
    <w:p>
      <w:pPr>
        <w:pStyle w:val="1011"/>
        <w:ind w:left="0" w:firstLine="420"/>
        <w:spacing w:line="360" w:lineRule="auto"/>
        <w:rPr>
          <w:rFonts w:ascii="宋体" w:hAnsi="宋体"/>
          <w:sz w:val="21"/>
          <w:szCs w:val="21"/>
        </w:rPr>
      </w:pPr>
      <w:r>
        <w:rPr>
          <w:rFonts w:hint="eastAsia" w:ascii="宋体" w:hAnsi="宋体"/>
          <w:sz w:val="21"/>
          <w:szCs w:val="21"/>
        </w:rPr>
        <w:t xml:space="preserve">包一预算金额：人民币壹佰伍拾壹万伍仟陆佰元整（¥1515600.00元）</w:t>
      </w:r>
      <w:r/>
    </w:p>
    <w:p>
      <w:pPr>
        <w:pStyle w:val="1011"/>
        <w:ind w:left="0" w:firstLine="420"/>
        <w:spacing w:line="360" w:lineRule="auto"/>
        <w:rPr>
          <w:rFonts w:ascii="宋体" w:hAnsi="宋体"/>
          <w:sz w:val="21"/>
          <w:szCs w:val="21"/>
        </w:rPr>
      </w:pPr>
      <w:r>
        <w:rPr>
          <w:rFonts w:hint="eastAsia" w:ascii="宋体" w:hAnsi="宋体"/>
          <w:sz w:val="21"/>
          <w:szCs w:val="21"/>
        </w:rPr>
        <w:t xml:space="preserve">包二预算金额：人民币伍拾万壹仟贰佰元整（¥501200.00元）</w:t>
      </w:r>
      <w:r/>
    </w:p>
    <w:p>
      <w:pPr>
        <w:pStyle w:val="1011"/>
        <w:ind w:left="0" w:firstLine="420"/>
        <w:spacing w:line="360" w:lineRule="auto"/>
        <w:rPr>
          <w:rFonts w:ascii="宋体" w:hAnsi="宋体"/>
          <w:sz w:val="21"/>
          <w:szCs w:val="21"/>
        </w:rPr>
      </w:pPr>
      <w:r>
        <w:rPr>
          <w:rFonts w:hint="eastAsia" w:ascii="宋体" w:hAnsi="宋体"/>
          <w:sz w:val="21"/>
          <w:szCs w:val="21"/>
        </w:rPr>
        <w:t xml:space="preserve">包三预算金额：人民币贰佰伍拾伍万元整（¥2550000.00元）</w:t>
      </w:r>
      <w:r/>
    </w:p>
    <w:p>
      <w:pPr>
        <w:pStyle w:val="1011"/>
        <w:ind w:left="0" w:firstLine="420"/>
        <w:spacing w:line="360" w:lineRule="auto"/>
        <w:rPr>
          <w:rFonts w:ascii="宋体" w:hAnsi="宋体"/>
          <w:sz w:val="21"/>
          <w:szCs w:val="21"/>
        </w:rPr>
      </w:pPr>
      <w:r>
        <w:rPr>
          <w:rFonts w:hint="eastAsia" w:ascii="宋体" w:hAnsi="宋体"/>
          <w:sz w:val="21"/>
          <w:szCs w:val="21"/>
        </w:rPr>
        <w:t xml:space="preserve">包四预算金额：人民币捌拾捌万贰仟元整（¥882000.00元）</w:t>
      </w:r>
      <w:r/>
    </w:p>
    <w:p>
      <w:pPr>
        <w:pStyle w:val="1011"/>
        <w:ind w:left="0" w:firstLine="420"/>
        <w:spacing w:line="360" w:lineRule="auto"/>
        <w:rPr>
          <w:rFonts w:ascii="宋体" w:hAnsi="宋体"/>
          <w:sz w:val="21"/>
          <w:szCs w:val="21"/>
        </w:rPr>
      </w:pPr>
      <w:r>
        <w:rPr>
          <w:rFonts w:hint="eastAsia" w:ascii="宋体" w:hAnsi="宋体"/>
          <w:sz w:val="21"/>
          <w:szCs w:val="21"/>
        </w:rPr>
        <w:t xml:space="preserve">包五预算金额：人民币壹佰零柒万叁仟肆佰元整（¥1073400.00元）</w:t>
      </w:r>
      <w:r/>
    </w:p>
    <w:p>
      <w:pPr>
        <w:pStyle w:val="1011"/>
        <w:ind w:left="0" w:firstLine="420"/>
        <w:spacing w:line="360" w:lineRule="auto"/>
        <w:rPr>
          <w:rFonts w:ascii="宋体" w:hAnsi="宋体"/>
          <w:sz w:val="21"/>
          <w:szCs w:val="21"/>
        </w:rPr>
      </w:pPr>
      <w:r>
        <w:rPr>
          <w:rFonts w:hint="eastAsia" w:ascii="宋体" w:hAnsi="宋体"/>
          <w:sz w:val="21"/>
          <w:szCs w:val="21"/>
        </w:rPr>
        <w:t xml:space="preserve">包六预算金额：人民币玖拾陆万元整（¥960000.00元）</w:t>
      </w:r>
      <w:r/>
    </w:p>
    <w:p>
      <w:pPr>
        <w:ind w:left="0" w:firstLine="420"/>
        <w:spacing w:line="360" w:lineRule="auto"/>
        <w:tabs>
          <w:tab w:val="left" w:pos="0" w:leader="none"/>
        </w:tabs>
        <w:rPr>
          <w:rFonts w:ascii="宋体" w:hAnsi="宋体"/>
          <w:sz w:val="21"/>
        </w:rPr>
      </w:pPr>
      <w:r>
        <w:rPr>
          <w:rFonts w:hint="eastAsia" w:ascii="宋体" w:hAnsi="宋体"/>
          <w:sz w:val="21"/>
          <w:szCs w:val="21"/>
        </w:rPr>
        <w:t xml:space="preserve">包七预算金额：人民币肆拾万元整（¥400000.00元）</w:t>
      </w:r>
      <w:r/>
    </w:p>
    <w:p>
      <w:pPr>
        <w:pStyle w:val="1011"/>
        <w:ind w:left="0" w:firstLine="420"/>
        <w:spacing w:line="360" w:lineRule="auto"/>
        <w:rPr>
          <w:rFonts w:ascii="宋体" w:hAnsi="宋体"/>
          <w:sz w:val="21"/>
          <w:szCs w:val="21"/>
        </w:rPr>
      </w:pPr>
      <w:r>
        <w:rPr>
          <w:rFonts w:hint="eastAsia" w:ascii="宋体" w:hAnsi="宋体"/>
          <w:sz w:val="21"/>
        </w:rPr>
        <w:t xml:space="preserve">四、最高限价：</w:t>
      </w:r>
      <w:r>
        <w:rPr>
          <w:rFonts w:hint="eastAsia" w:ascii="宋体" w:hAnsi="宋体"/>
          <w:sz w:val="21"/>
          <w:szCs w:val="21"/>
        </w:rPr>
        <w:t xml:space="preserve">人民币柒佰陆拾肆万肆仟壹佰元整（¥7644100.00元）</w:t>
      </w:r>
      <w:r/>
    </w:p>
    <w:p>
      <w:pPr>
        <w:pStyle w:val="1011"/>
        <w:ind w:left="0" w:firstLine="420"/>
        <w:spacing w:line="360" w:lineRule="auto"/>
        <w:rPr>
          <w:rFonts w:ascii="宋体" w:hAnsi="宋体"/>
          <w:sz w:val="21"/>
          <w:szCs w:val="21"/>
        </w:rPr>
      </w:pPr>
      <w:r>
        <w:rPr>
          <w:rFonts w:hint="eastAsia" w:ascii="宋体" w:hAnsi="宋体"/>
          <w:sz w:val="21"/>
          <w:szCs w:val="21"/>
        </w:rPr>
        <w:t xml:space="preserve">包一最高限价：人民币壹佰叁拾肆万肆仟壹佰元整（¥1344100.00元）</w:t>
      </w:r>
      <w:r/>
    </w:p>
    <w:p>
      <w:pPr>
        <w:pStyle w:val="1011"/>
        <w:ind w:left="0" w:firstLine="420"/>
        <w:spacing w:line="360" w:lineRule="auto"/>
        <w:rPr>
          <w:rFonts w:ascii="宋体" w:hAnsi="宋体"/>
          <w:sz w:val="21"/>
          <w:szCs w:val="21"/>
        </w:rPr>
      </w:pPr>
      <w:r>
        <w:rPr>
          <w:rFonts w:hint="eastAsia" w:ascii="宋体" w:hAnsi="宋体"/>
          <w:sz w:val="21"/>
          <w:szCs w:val="21"/>
        </w:rPr>
        <w:t xml:space="preserve">包二最高限价：人民币伍拾万壹仟贰佰元整（¥501200.00元）</w:t>
      </w:r>
      <w:r/>
    </w:p>
    <w:p>
      <w:pPr>
        <w:pStyle w:val="1011"/>
        <w:ind w:left="0" w:firstLine="420"/>
        <w:spacing w:line="360" w:lineRule="auto"/>
        <w:rPr>
          <w:rFonts w:ascii="宋体" w:hAnsi="宋体"/>
          <w:sz w:val="21"/>
          <w:szCs w:val="21"/>
        </w:rPr>
      </w:pPr>
      <w:r>
        <w:rPr>
          <w:rFonts w:hint="eastAsia" w:ascii="宋体" w:hAnsi="宋体"/>
          <w:sz w:val="21"/>
          <w:szCs w:val="21"/>
        </w:rPr>
        <w:t xml:space="preserve">包三最高限价：人民币贰佰伍拾伍万元整（¥2550000.00元）</w:t>
      </w:r>
      <w:r/>
    </w:p>
    <w:p>
      <w:pPr>
        <w:pStyle w:val="1011"/>
        <w:ind w:left="0" w:firstLine="420"/>
        <w:spacing w:line="360" w:lineRule="auto"/>
        <w:rPr>
          <w:rFonts w:ascii="宋体" w:hAnsi="宋体"/>
          <w:sz w:val="21"/>
          <w:szCs w:val="21"/>
        </w:rPr>
      </w:pPr>
      <w:r>
        <w:rPr>
          <w:rFonts w:hint="eastAsia" w:ascii="宋体" w:hAnsi="宋体"/>
          <w:sz w:val="21"/>
          <w:szCs w:val="21"/>
        </w:rPr>
        <w:t xml:space="preserve">包四最高限价：人民币捌拾捌万贰仟元整（¥882000.00元）</w:t>
      </w:r>
      <w:r/>
    </w:p>
    <w:p>
      <w:pPr>
        <w:pStyle w:val="1011"/>
        <w:ind w:left="0" w:firstLine="420"/>
        <w:spacing w:line="360" w:lineRule="auto"/>
        <w:rPr>
          <w:rFonts w:ascii="宋体" w:hAnsi="宋体"/>
          <w:sz w:val="21"/>
          <w:szCs w:val="21"/>
        </w:rPr>
      </w:pPr>
      <w:r>
        <w:rPr>
          <w:rFonts w:hint="eastAsia" w:ascii="宋体" w:hAnsi="宋体"/>
          <w:sz w:val="21"/>
          <w:szCs w:val="21"/>
        </w:rPr>
        <w:t xml:space="preserve">包五最高限价：人民币壹佰零陆万陆仟捌佰元整（¥1066800.00元）</w:t>
      </w:r>
      <w:r/>
    </w:p>
    <w:p>
      <w:pPr>
        <w:pStyle w:val="1011"/>
        <w:ind w:left="0" w:firstLine="420"/>
        <w:spacing w:line="360" w:lineRule="auto"/>
        <w:rPr>
          <w:rFonts w:ascii="宋体" w:hAnsi="宋体"/>
          <w:sz w:val="21"/>
          <w:szCs w:val="21"/>
        </w:rPr>
      </w:pPr>
      <w:r>
        <w:rPr>
          <w:rFonts w:hint="eastAsia" w:ascii="宋体" w:hAnsi="宋体"/>
          <w:sz w:val="21"/>
          <w:szCs w:val="21"/>
        </w:rPr>
        <w:t xml:space="preserve">包六最高限价：人民币玖拾万元整（¥900000.00元）</w:t>
      </w:r>
      <w:r/>
    </w:p>
    <w:p>
      <w:pPr>
        <w:ind w:left="0" w:firstLine="420"/>
        <w:spacing w:line="360" w:lineRule="auto"/>
        <w:tabs>
          <w:tab w:val="left" w:pos="420" w:leader="none"/>
        </w:tabs>
        <w:rPr>
          <w:rFonts w:ascii="宋体" w:hAnsi="宋体"/>
          <w:sz w:val="21"/>
        </w:rPr>
      </w:pPr>
      <w:r>
        <w:rPr>
          <w:rFonts w:hint="eastAsia" w:ascii="宋体" w:hAnsi="宋体"/>
          <w:sz w:val="21"/>
          <w:szCs w:val="21"/>
        </w:rPr>
        <w:t xml:space="preserve">包七最高限价：人民币肆拾万元整（¥400000.00元）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五、合同履行期限：签订合同后60日历天内将货物送达指定地点。</w:t>
      </w:r>
      <w:r>
        <w:rPr>
          <w:rFonts w:hint="eastAsia" w:asciiTheme="minorEastAsia" w:hAnsiTheme="minorEastAsia" w:eastAsiaTheme="minorEastAsia" w:cstheme="minorEastAsia"/>
          <w:sz w:val="21"/>
          <w:szCs w:val="21"/>
        </w:rPr>
        <w:t xml:space="preserve">质量保证期：从验收合格后三十六个月（双方签署验收报告时起算），抗醇性水成膜泡沫灭火剂保质期≥2年。</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pStyle w:val="1005"/>
        <w:ind w:left="0" w:firstLine="422"/>
        <w:spacing w:line="360" w:lineRule="auto"/>
        <w:rPr>
          <w:b/>
          <w:bCs/>
          <w:sz w:val="21"/>
          <w:szCs w:val="21"/>
        </w:rPr>
        <w:outlineLvl w:val="0"/>
      </w:pPr>
      <w:r>
        <w:rPr>
          <w:rFonts w:hint="eastAsia"/>
          <w:b/>
          <w:bCs/>
          <w:sz w:val="21"/>
          <w:szCs w:val="21"/>
        </w:rPr>
        <w:t xml:space="preserve">包一（激流救生衣、水域救援头盔、湿式水域救援服、水域救援靴）：</w:t>
      </w:r>
      <w:r/>
    </w:p>
    <w:tbl>
      <w:tblPr>
        <w:tblStyle w:val="1053"/>
        <w:tblW w:w="87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4"/>
        <w:gridCol w:w="2069"/>
        <w:gridCol w:w="737"/>
        <w:gridCol w:w="737"/>
        <w:gridCol w:w="883"/>
        <w:gridCol w:w="1196"/>
        <w:gridCol w:w="2217"/>
      </w:tblGrid>
      <w:tr>
        <w:trPr>
          <w:jc w:val="center"/>
          <w:trHeight w:val="448"/>
        </w:trPr>
        <w:tc>
          <w:tcPr>
            <w:tcW w:w="934" w:type="dxa"/>
            <w:vAlign w:val="center"/>
            <w:textDirection w:val="lrTb"/>
            <w:noWrap w:val="false"/>
          </w:tcPr>
          <w:p>
            <w:pPr>
              <w:ind w:left="0"/>
              <w:jc w:val="center"/>
              <w:spacing w:line="24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包号</w:t>
            </w:r>
            <w:r/>
          </w:p>
        </w:tc>
        <w:tc>
          <w:tcPr>
            <w:tcW w:w="2069" w:type="dxa"/>
            <w:vAlign w:val="center"/>
            <w:textDirection w:val="lrTb"/>
            <w:noWrap w:val="false"/>
          </w:tcPr>
          <w:p>
            <w:pPr>
              <w:ind w:left="0"/>
              <w:jc w:val="center"/>
              <w:spacing w:line="24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装备名称</w:t>
            </w:r>
            <w:r/>
          </w:p>
        </w:tc>
        <w:tc>
          <w:tcPr>
            <w:tcW w:w="737" w:type="dxa"/>
            <w:vAlign w:val="center"/>
            <w:textDirection w:val="lrTb"/>
            <w:noWrap w:val="false"/>
          </w:tcPr>
          <w:p>
            <w:pPr>
              <w:ind w:left="0"/>
              <w:jc w:val="center"/>
              <w:spacing w:line="24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计量单位</w:t>
            </w:r>
            <w:r/>
          </w:p>
        </w:tc>
        <w:tc>
          <w:tcPr>
            <w:tcW w:w="737" w:type="dxa"/>
            <w:vAlign w:val="center"/>
            <w:textDirection w:val="lrTb"/>
            <w:noWrap w:val="false"/>
          </w:tcPr>
          <w:p>
            <w:pPr>
              <w:ind w:left="0"/>
              <w:jc w:val="center"/>
              <w:spacing w:line="24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数量</w:t>
            </w:r>
            <w:r/>
          </w:p>
        </w:tc>
        <w:tc>
          <w:tcPr>
            <w:tcW w:w="883" w:type="dxa"/>
            <w:vAlign w:val="center"/>
            <w:textDirection w:val="lrTb"/>
            <w:noWrap w:val="false"/>
          </w:tcPr>
          <w:p>
            <w:pPr>
              <w:ind w:left="0"/>
              <w:jc w:val="center"/>
              <w:spacing w:line="24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单价限价（万元）</w:t>
            </w:r>
            <w:r/>
          </w:p>
        </w:tc>
        <w:tc>
          <w:tcPr>
            <w:tcW w:w="1196" w:type="dxa"/>
            <w:vAlign w:val="center"/>
            <w:textDirection w:val="lrTb"/>
            <w:noWrap w:val="false"/>
          </w:tcPr>
          <w:p>
            <w:pPr>
              <w:ind w:left="0"/>
              <w:jc w:val="center"/>
              <w:spacing w:line="24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核心产品</w:t>
            </w:r>
            <w:r/>
          </w:p>
        </w:tc>
        <w:tc>
          <w:tcPr>
            <w:tcW w:w="2217" w:type="dxa"/>
            <w:vAlign w:val="center"/>
            <w:textDirection w:val="lrTb"/>
            <w:noWrap w:val="false"/>
          </w:tcPr>
          <w:p>
            <w:pPr>
              <w:ind w:left="0"/>
              <w:jc w:val="center"/>
              <w:spacing w:line="24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备注</w:t>
            </w:r>
            <w:r/>
          </w:p>
        </w:tc>
      </w:tr>
      <w:tr>
        <w:trPr>
          <w:jc w:val="center"/>
          <w:trHeight w:val="17"/>
        </w:trPr>
        <w:tc>
          <w:tcPr>
            <w:tcW w:w="934" w:type="dxa"/>
            <w:vAlign w:val="center"/>
            <w:vMerge w:val="restart"/>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tcW w:w="2069"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激流救生衣</w:t>
            </w:r>
            <w:r/>
          </w:p>
        </w:tc>
        <w:tc>
          <w:tcPr>
            <w:tcW w:w="737"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rPr>
              <w:t xml:space="preserve">件</w:t>
            </w:r>
            <w:r/>
          </w:p>
        </w:tc>
        <w:tc>
          <w:tcPr>
            <w:tcW w:w="737"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202</w:t>
            </w:r>
            <w:r/>
          </w:p>
        </w:tc>
        <w:tc>
          <w:tcPr>
            <w:tcW w:w="883"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0.25</w:t>
            </w:r>
            <w:r/>
          </w:p>
        </w:tc>
        <w:tc>
          <w:tcPr>
            <w:tcW w:w="1196"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2217"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需提供样品</w:t>
            </w:r>
            <w:r/>
          </w:p>
        </w:tc>
      </w:tr>
      <w:tr>
        <w:trPr>
          <w:jc w:val="center"/>
          <w:trHeight w:val="17"/>
        </w:trPr>
        <w:tc>
          <w:tcPr>
            <w:tcW w:w="934" w:type="dxa"/>
            <w:vAlign w:val="center"/>
            <w:vMerge w:val="continue"/>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2069"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水域救援头盔</w:t>
            </w:r>
            <w:r/>
          </w:p>
        </w:tc>
        <w:tc>
          <w:tcPr>
            <w:tcW w:w="737"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顶</w:t>
            </w:r>
            <w:r/>
          </w:p>
        </w:tc>
        <w:tc>
          <w:tcPr>
            <w:tcW w:w="737"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149</w:t>
            </w:r>
            <w:r/>
          </w:p>
        </w:tc>
        <w:tc>
          <w:tcPr>
            <w:tcW w:w="883"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0.06</w:t>
            </w:r>
            <w:r/>
          </w:p>
        </w:tc>
        <w:tc>
          <w:tcPr>
            <w:tcW w:w="1196"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2217"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Height w:val="17"/>
        </w:trPr>
        <w:tc>
          <w:tcPr>
            <w:tcW w:w="934" w:type="dxa"/>
            <w:vAlign w:val="center"/>
            <w:vMerge w:val="continue"/>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2069"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湿式水域救援服</w:t>
            </w:r>
            <w:r/>
          </w:p>
        </w:tc>
        <w:tc>
          <w:tcPr>
            <w:tcW w:w="737"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rPr>
              <w:t xml:space="preserve">件</w:t>
            </w:r>
            <w:r/>
          </w:p>
        </w:tc>
        <w:tc>
          <w:tcPr>
            <w:tcW w:w="737"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207</w:t>
            </w:r>
            <w:r/>
          </w:p>
        </w:tc>
        <w:tc>
          <w:tcPr>
            <w:tcW w:w="883"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0.29</w:t>
            </w:r>
            <w:r/>
          </w:p>
        </w:tc>
        <w:tc>
          <w:tcPr>
            <w:tcW w:w="1196"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核心产品</w:t>
            </w:r>
            <w:r/>
          </w:p>
        </w:tc>
        <w:tc>
          <w:tcPr>
            <w:tcW w:w="2217"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需提供样品</w:t>
            </w:r>
            <w:r/>
          </w:p>
        </w:tc>
      </w:tr>
      <w:tr>
        <w:trPr>
          <w:jc w:val="center"/>
          <w:trHeight w:val="447"/>
        </w:trPr>
        <w:tc>
          <w:tcPr>
            <w:tcW w:w="934" w:type="dxa"/>
            <w:vAlign w:val="center"/>
            <w:vMerge w:val="continue"/>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2069"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水域救援靴</w:t>
            </w:r>
            <w:r/>
          </w:p>
        </w:tc>
        <w:tc>
          <w:tcPr>
            <w:tcW w:w="737"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rPr>
              <w:t xml:space="preserve">双</w:t>
            </w:r>
            <w:r/>
          </w:p>
        </w:tc>
        <w:tc>
          <w:tcPr>
            <w:tcW w:w="737"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249</w:t>
            </w:r>
            <w:r/>
          </w:p>
        </w:tc>
        <w:tc>
          <w:tcPr>
            <w:tcW w:w="883"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0.06</w:t>
            </w:r>
            <w:r/>
          </w:p>
        </w:tc>
        <w:tc>
          <w:tcPr>
            <w:tcW w:w="1196"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2217"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bl>
    <w:p>
      <w:pPr>
        <w:ind w:left="0" w:firstLine="422"/>
        <w:spacing w:line="360" w:lineRule="auto"/>
        <w:tabs>
          <w:tab w:val="left" w:pos="420" w:leader="none"/>
        </w:tabs>
        <w:rPr>
          <w:rFonts w:ascii="宋体" w:hAnsi="宋体"/>
          <w:b/>
          <w:sz w:val="21"/>
          <w:szCs w:val="21"/>
        </w:rPr>
      </w:pPr>
      <w:r>
        <w:rPr>
          <w:rFonts w:hint="eastAsia" w:ascii="宋体" w:hAnsi="宋体"/>
          <w:b/>
          <w:sz w:val="21"/>
          <w:szCs w:val="21"/>
        </w:rPr>
        <w:t xml:space="preserve">注：</w:t>
      </w:r>
      <w:r>
        <w:rPr>
          <w:rFonts w:hint="eastAsia" w:ascii="宋体" w:hAnsi="宋体"/>
          <w:b/>
          <w:bCs/>
          <w:sz w:val="21"/>
          <w:szCs w:val="21"/>
          <w:lang w:val="zh-CN"/>
        </w:rPr>
        <w:t xml:space="preserve">公开分项报价中的单价报价不可高于最高单价限价，否则为非实质性响应，投标无效。</w:t>
      </w:r>
      <w:r/>
    </w:p>
    <w:p>
      <w:pPr>
        <w:ind w:left="0"/>
      </w:pPr>
      <w:r/>
      <w:r/>
    </w:p>
    <w:p>
      <w:pPr>
        <w:pStyle w:val="1005"/>
        <w:ind w:left="0" w:firstLine="420"/>
        <w:spacing w:line="360" w:lineRule="auto"/>
        <w:rPr>
          <w:sz w:val="21"/>
          <w:szCs w:val="21"/>
        </w:rPr>
      </w:pPr>
      <w:r>
        <w:rPr>
          <w:rFonts w:hint="eastAsia"/>
          <w:sz w:val="21"/>
          <w:szCs w:val="21"/>
        </w:rPr>
        <w:t xml:space="preserve">（一）激流救生衣</w:t>
      </w:r>
      <w:r/>
    </w:p>
    <w:p>
      <w:pPr>
        <w:pStyle w:val="1005"/>
        <w:ind w:left="0" w:firstLine="420"/>
        <w:spacing w:line="360" w:lineRule="auto"/>
        <w:rPr>
          <w:sz w:val="21"/>
          <w:szCs w:val="21"/>
        </w:rPr>
      </w:pPr>
      <w:r>
        <w:rPr>
          <w:rFonts w:hint="eastAsia"/>
          <w:sz w:val="21"/>
          <w:szCs w:val="21"/>
        </w:rPr>
        <w:t xml:space="preserve">1.由固有浮力材料提供基础浮力，主要用于岸基、涉水结构物或救援船艇上长时间工作时，为消防员提供意外落水保护。配置示位灯、哨笛、快脱带、牛尾绳、救援刀等多种救援属具。颜色为荧光橙色。</w:t>
      </w:r>
      <w:r/>
    </w:p>
    <w:p>
      <w:pPr>
        <w:pStyle w:val="1005"/>
        <w:ind w:left="0" w:firstLine="420"/>
        <w:spacing w:line="360" w:lineRule="auto"/>
        <w:rPr>
          <w:sz w:val="21"/>
          <w:szCs w:val="21"/>
        </w:rPr>
      </w:pPr>
      <w:r>
        <w:rPr>
          <w:rFonts w:hint="eastAsia"/>
          <w:sz w:val="21"/>
          <w:szCs w:val="21"/>
        </w:rPr>
        <w:t xml:space="preserve">2.救生衣的浮体材料能覆盖穿着者的肩膀至肋骨下缘的范围；救生衣的救援属具及配件不应有尖角、毛刺等导致穿着者和被救者受伤的缺陷；救生衣所适用的胸围≥700mm且≤1400mm；救生衣具有裆带,且裆带的宽度≥25mm，并带有衬垫；救生衣的系紧和固定采用扣件和拉链形式；救生衣的正前方（如胸部、腹部位置）、肩部和背部均有反光带，且360°环形可见；在水中处于姿态稳定时，水面以上的救生衣外表面反光带的总面积≥300cm2；救生衣背部的泡沫板厚度≥12mm，有尾椎保护设计。</w:t>
      </w:r>
      <w:r/>
    </w:p>
    <w:p>
      <w:pPr>
        <w:pStyle w:val="1005"/>
        <w:ind w:left="0" w:firstLine="420"/>
        <w:spacing w:line="360" w:lineRule="auto"/>
        <w:rPr>
          <w:sz w:val="21"/>
          <w:szCs w:val="21"/>
        </w:rPr>
      </w:pPr>
      <w:r>
        <w:rPr>
          <w:rFonts w:hint="eastAsia"/>
          <w:sz w:val="21"/>
          <w:szCs w:val="21"/>
        </w:rPr>
        <w:t xml:space="preserve">3.救生衣底胸前部配备两个防水密封口袋，内部带有≥2个扁带装备环，肩部带有一个对讲机固定袋可拆卸。胸前方形挂点带有魔术贴固定带，方便固定小型装备，底部网状排水孔设计。包布、织带的耐摩擦色牢度、耐皂洗色牢度、耐人造光色牢度≥4级。救生衣包布的接缝断裂强力≥400N。固有浮力材料抗拉破断强度≥140kPa。使固有浮力材料变形至其初始厚度的75%所需的力≥7KN/m³。经500次压缩后，固有浮力材料的浮力损失≤10%。</w:t>
      </w:r>
      <w:r/>
    </w:p>
    <w:p>
      <w:pPr>
        <w:pStyle w:val="1005"/>
        <w:ind w:left="0" w:firstLine="420"/>
        <w:spacing w:line="360" w:lineRule="auto"/>
        <w:rPr>
          <w:sz w:val="21"/>
          <w:szCs w:val="21"/>
        </w:rPr>
      </w:pPr>
      <w:r>
        <w:rPr>
          <w:rFonts w:hint="eastAsia"/>
          <w:sz w:val="21"/>
          <w:szCs w:val="21"/>
        </w:rPr>
        <w:t xml:space="preserve">★4.急流救援救生衣的浮力：整体浮力为 125±5N。救生衣在淡水中浸泡24h后，其浮力损失≤3%。</w:t>
      </w:r>
      <w:r/>
    </w:p>
    <w:p>
      <w:pPr>
        <w:pStyle w:val="1005"/>
        <w:ind w:left="0" w:firstLine="420"/>
        <w:spacing w:line="360" w:lineRule="auto"/>
        <w:rPr>
          <w:sz w:val="21"/>
          <w:szCs w:val="21"/>
        </w:rPr>
      </w:pPr>
      <w:r>
        <w:rPr>
          <w:rFonts w:hint="eastAsia"/>
          <w:sz w:val="21"/>
          <w:szCs w:val="21"/>
        </w:rPr>
        <w:t xml:space="preserve">▲5.消防用救生衣衣身能承受3200N的作用力30min而不损坏；肩部能承受900N的作用力30min而不损坏；裆带与救生衣体之间能承受900N的作用力不发生脱离或损坏。</w:t>
      </w:r>
      <w:r/>
    </w:p>
    <w:p>
      <w:pPr>
        <w:pStyle w:val="1005"/>
        <w:ind w:left="0" w:firstLine="420"/>
        <w:spacing w:line="360" w:lineRule="auto"/>
        <w:rPr>
          <w:sz w:val="21"/>
          <w:szCs w:val="21"/>
        </w:rPr>
      </w:pPr>
      <w:r>
        <w:rPr>
          <w:rFonts w:hint="eastAsia"/>
          <w:sz w:val="21"/>
          <w:szCs w:val="21"/>
        </w:rPr>
        <w:t xml:space="preserve">6.人员穿着救生衣以任意方式下水后，在自由漂浮状态下，人体能处于直立姿态，且嘴部能高出水面120mm以上。</w:t>
      </w:r>
      <w:r/>
    </w:p>
    <w:p>
      <w:pPr>
        <w:pStyle w:val="1005"/>
        <w:ind w:left="0" w:firstLine="420"/>
        <w:spacing w:line="360" w:lineRule="auto"/>
        <w:rPr>
          <w:sz w:val="21"/>
          <w:szCs w:val="21"/>
        </w:rPr>
      </w:pPr>
      <w:r>
        <w:rPr>
          <w:rFonts w:hint="eastAsia"/>
          <w:sz w:val="21"/>
          <w:szCs w:val="21"/>
        </w:rPr>
        <w:t xml:space="preserve">7.配备示位灯。颜色为红色。示位灯发光方式为频闪方式。示位灯闪烁频率在45次/分钟~75次/分钟范围内。示位灯的发光强度≥0.75cd。示位灯的发光持续时间≥12h。</w:t>
      </w:r>
      <w:r/>
    </w:p>
    <w:p>
      <w:pPr>
        <w:pStyle w:val="1005"/>
        <w:ind w:left="0" w:firstLine="420"/>
        <w:spacing w:line="360" w:lineRule="auto"/>
        <w:rPr>
          <w:sz w:val="21"/>
          <w:szCs w:val="21"/>
        </w:rPr>
      </w:pPr>
      <w:r>
        <w:rPr>
          <w:rFonts w:hint="eastAsia"/>
          <w:sz w:val="21"/>
          <w:szCs w:val="21"/>
        </w:rPr>
        <w:t xml:space="preserve">8.配备哨笛，哨笛用绳索系牢在救生衣上。</w:t>
      </w:r>
      <w:r/>
    </w:p>
    <w:p>
      <w:pPr>
        <w:pStyle w:val="1005"/>
        <w:ind w:left="0" w:firstLine="420"/>
        <w:spacing w:line="360" w:lineRule="auto"/>
        <w:rPr>
          <w:sz w:val="21"/>
          <w:szCs w:val="21"/>
        </w:rPr>
      </w:pPr>
      <w:r>
        <w:rPr>
          <w:rFonts w:hint="eastAsia"/>
          <w:sz w:val="21"/>
          <w:szCs w:val="21"/>
        </w:rPr>
        <w:t xml:space="preserve">9.配备快脱带，快脱带的宽度≥40mm，其位置高于胸骨剑突，且不影响上肢活动。快脱带在扣件闭合状态下经拉力试验，织带相对扣件滑移不超过25mm，且扣件不出现开启或损坏现象。在受力状态下，快脱带扣件的开启力≤110N，且能在10s内完全脱开。</w:t>
      </w:r>
      <w:r/>
    </w:p>
    <w:p>
      <w:pPr>
        <w:pStyle w:val="1005"/>
        <w:ind w:left="0" w:firstLine="420"/>
        <w:spacing w:line="360" w:lineRule="auto"/>
        <w:rPr>
          <w:sz w:val="21"/>
          <w:szCs w:val="21"/>
        </w:rPr>
      </w:pPr>
      <w:r>
        <w:rPr>
          <w:rFonts w:hint="eastAsia"/>
          <w:sz w:val="21"/>
          <w:szCs w:val="21"/>
        </w:rPr>
        <w:t xml:space="preserve">10.配备牛尾绳，颜色为红色，牛尾绳由弹性带、管状织带套、金属圆环和安全钩等组成。牛尾绳的静态长度≥60cm且≤100cm；在1000N的轴向拉力作用下，牛尾绳伸展后的长度在静态长度的1.5～2.0倍之间；在经过5000N强度试验后，牛尾绳不出现断裂现象；牛尾绳所有金属部件经48h的中性盐雾试验后，无明显腐蚀现象。</w:t>
      </w:r>
      <w:r/>
    </w:p>
    <w:p>
      <w:pPr>
        <w:pStyle w:val="1005"/>
        <w:ind w:left="0" w:firstLine="420"/>
        <w:spacing w:line="360" w:lineRule="auto"/>
        <w:rPr>
          <w:sz w:val="21"/>
          <w:szCs w:val="21"/>
        </w:rPr>
      </w:pPr>
      <w:r>
        <w:rPr>
          <w:rFonts w:hint="eastAsia"/>
          <w:sz w:val="21"/>
          <w:szCs w:val="21"/>
        </w:rPr>
        <w:t xml:space="preserve">11.配备水域救援刀（以下简称：救援刀），救援刀的刀身采用金属材料制造，并采用直形刀体、弧形刀刃和锯齿状刀背的结构，刀头为平头且不开刃，救援刀的金属表面平整光滑，无裂纹、毛刺、凹痕或缺损等缺陷；救援刀有刀鞘，刀柄有防滑设计，可单手插拔；救援刀的整体长度≤200mm，刀柄长度≥110mm。刀体能一刀切断直径5mm的尼龙绳。救援刀经48h的中性盐雾试验后，无明显腐蚀现象。</w:t>
      </w:r>
      <w:r/>
    </w:p>
    <w:p>
      <w:pPr>
        <w:pStyle w:val="1005"/>
        <w:ind w:left="0" w:firstLine="420"/>
        <w:spacing w:line="360" w:lineRule="auto"/>
        <w:rPr>
          <w:sz w:val="21"/>
          <w:szCs w:val="21"/>
        </w:rPr>
      </w:pPr>
      <w:r>
        <w:rPr>
          <w:rFonts w:hint="eastAsia"/>
          <w:sz w:val="21"/>
          <w:szCs w:val="21"/>
        </w:rPr>
        <w:t xml:space="preserve">12.背部有30cm*10cm的魔术贴设计可以粘贴标识或者编号，内容根据用户需求印制。</w:t>
      </w:r>
      <w:r/>
    </w:p>
    <w:p>
      <w:pPr>
        <w:pStyle w:val="1005"/>
        <w:ind w:left="0" w:firstLine="422"/>
        <w:spacing w:line="360" w:lineRule="auto"/>
        <w:rPr>
          <w:b/>
          <w:bCs/>
          <w:sz w:val="21"/>
          <w:szCs w:val="21"/>
        </w:rPr>
      </w:pPr>
      <w:r>
        <w:rPr>
          <w:rFonts w:hint="eastAsia"/>
          <w:b/>
          <w:bCs/>
          <w:sz w:val="21"/>
          <w:szCs w:val="21"/>
        </w:rPr>
        <w:t xml:space="preserve">注：投标时需提供样品及检验报告（出具报告的检验机构应具有同类产品的CMA认证），至少体现第4、5项参数。</w:t>
      </w:r>
      <w:r/>
    </w:p>
    <w:p>
      <w:pPr>
        <w:pStyle w:val="1005"/>
        <w:ind w:left="0" w:firstLine="420"/>
        <w:spacing w:line="360" w:lineRule="auto"/>
        <w:rPr>
          <w:sz w:val="21"/>
          <w:szCs w:val="21"/>
        </w:rPr>
      </w:pPr>
      <w:r>
        <w:rPr>
          <w:rFonts w:hint="eastAsia"/>
          <w:sz w:val="21"/>
          <w:szCs w:val="21"/>
        </w:rPr>
        <w:t xml:space="preserve">（二）水域救援头盔</w:t>
      </w:r>
      <w:r/>
    </w:p>
    <w:p>
      <w:pPr>
        <w:pStyle w:val="1005"/>
        <w:ind w:left="0" w:firstLine="420"/>
        <w:spacing w:line="360" w:lineRule="auto"/>
        <w:rPr>
          <w:sz w:val="21"/>
          <w:szCs w:val="21"/>
        </w:rPr>
      </w:pPr>
      <w:r>
        <w:rPr>
          <w:rFonts w:hint="eastAsia"/>
          <w:sz w:val="21"/>
          <w:szCs w:val="21"/>
        </w:rPr>
        <w:t xml:space="preserve">1.头盔采用不低于ABS的外壳和加厚衬垫；颈部设有绑带，以确保固定后不会移位，带有快速卡扣，可调节大小，头盔顶部带有不少于3个反光条。</w:t>
      </w:r>
      <w:r/>
    </w:p>
    <w:p>
      <w:pPr>
        <w:pStyle w:val="1005"/>
        <w:ind w:left="0" w:firstLine="420"/>
        <w:spacing w:line="360" w:lineRule="auto"/>
        <w:rPr>
          <w:sz w:val="21"/>
          <w:szCs w:val="21"/>
        </w:rPr>
      </w:pPr>
      <w:r>
        <w:rPr>
          <w:rFonts w:hint="eastAsia"/>
          <w:sz w:val="21"/>
          <w:szCs w:val="21"/>
        </w:rPr>
        <w:t xml:space="preserve">2.头盔正前方带有头灯固定块卡扣；并采用不低于EVA材料的模制衬里，后脑位置设有滚轮式尺寸调节装置；颏杯网带可自由调节。</w:t>
      </w:r>
      <w:r/>
    </w:p>
    <w:p>
      <w:pPr>
        <w:pStyle w:val="1005"/>
        <w:ind w:left="0" w:firstLine="420"/>
        <w:spacing w:line="360" w:lineRule="auto"/>
        <w:rPr>
          <w:sz w:val="21"/>
          <w:szCs w:val="21"/>
        </w:rPr>
      </w:pPr>
      <w:r>
        <w:rPr>
          <w:rFonts w:hint="eastAsia"/>
          <w:sz w:val="21"/>
          <w:szCs w:val="21"/>
        </w:rPr>
        <w:t xml:space="preserve">▲3.冲击吸收性能：头模所受冲击力的最大值≤3800N，试验过程中，帽壳不有碎片脱落。</w:t>
      </w:r>
      <w:r/>
    </w:p>
    <w:p>
      <w:pPr>
        <w:pStyle w:val="1005"/>
        <w:ind w:left="0" w:firstLine="420"/>
        <w:spacing w:line="360" w:lineRule="auto"/>
        <w:rPr>
          <w:sz w:val="21"/>
          <w:szCs w:val="21"/>
        </w:rPr>
      </w:pPr>
      <w:r>
        <w:rPr>
          <w:rFonts w:hint="eastAsia"/>
          <w:sz w:val="21"/>
          <w:szCs w:val="21"/>
        </w:rPr>
        <w:t xml:space="preserve">▲4.抗冲击加速度性能：选取冲击吸收性能试验中头模所受冲击力最大的一项作为预处理试验条件，顶部抗冲击加速度≤250gn，侧面抗冲击加速度≤250gn。</w:t>
      </w:r>
      <w:r/>
    </w:p>
    <w:p>
      <w:pPr>
        <w:pStyle w:val="1005"/>
        <w:ind w:left="0" w:firstLine="420"/>
        <w:spacing w:line="360" w:lineRule="auto"/>
        <w:rPr>
          <w:sz w:val="21"/>
          <w:szCs w:val="21"/>
        </w:rPr>
      </w:pPr>
      <w:r>
        <w:rPr>
          <w:rFonts w:hint="eastAsia"/>
          <w:sz w:val="21"/>
          <w:szCs w:val="21"/>
        </w:rPr>
        <w:t xml:space="preserve">5.耐穿透性能：选择冲击吸收性能试验中头模所受冲击力最大的一项预处理作为试验条件。钢锥不穿透头盔与头模产生接触。</w:t>
      </w:r>
      <w:r/>
    </w:p>
    <w:p>
      <w:pPr>
        <w:pStyle w:val="1005"/>
        <w:ind w:left="0" w:firstLine="420"/>
        <w:spacing w:line="360" w:lineRule="auto"/>
        <w:rPr>
          <w:sz w:val="21"/>
          <w:szCs w:val="21"/>
        </w:rPr>
      </w:pPr>
      <w:r>
        <w:rPr>
          <w:rFonts w:hint="eastAsia"/>
          <w:sz w:val="21"/>
          <w:szCs w:val="21"/>
        </w:rPr>
        <w:t xml:space="preserve">6.淡水持续漂浮不低于24h。</w:t>
      </w:r>
      <w:r/>
    </w:p>
    <w:p>
      <w:pPr>
        <w:pStyle w:val="1005"/>
        <w:ind w:left="0" w:firstLine="420"/>
        <w:spacing w:line="360" w:lineRule="auto"/>
        <w:rPr>
          <w:sz w:val="21"/>
          <w:szCs w:val="21"/>
        </w:rPr>
      </w:pPr>
      <w:r>
        <w:rPr>
          <w:rFonts w:hint="eastAsia"/>
          <w:sz w:val="21"/>
          <w:szCs w:val="21"/>
        </w:rPr>
        <w:t xml:space="preserve">7.重量≤600g。</w:t>
      </w:r>
      <w:r/>
    </w:p>
    <w:p>
      <w:pPr>
        <w:pStyle w:val="1005"/>
        <w:ind w:left="0" w:firstLine="420"/>
        <w:spacing w:line="360" w:lineRule="auto"/>
        <w:rPr>
          <w:sz w:val="21"/>
          <w:szCs w:val="21"/>
        </w:rPr>
      </w:pPr>
      <w:r>
        <w:rPr>
          <w:rFonts w:hint="eastAsia"/>
          <w:sz w:val="21"/>
          <w:szCs w:val="21"/>
        </w:rPr>
        <w:t xml:space="preserve">8.配备与头盔配套的头灯支架。</w:t>
      </w:r>
      <w:r/>
    </w:p>
    <w:p>
      <w:pPr>
        <w:pStyle w:val="1005"/>
        <w:ind w:left="0" w:firstLine="420"/>
        <w:spacing w:line="360" w:lineRule="auto"/>
        <w:rPr>
          <w:sz w:val="21"/>
          <w:szCs w:val="21"/>
        </w:rPr>
      </w:pPr>
      <w:r>
        <w:rPr>
          <w:rFonts w:hint="eastAsia"/>
          <w:sz w:val="21"/>
          <w:szCs w:val="21"/>
        </w:rPr>
        <w:t xml:space="preserve">9.头盔颜色:提供红色、黄色、白色等颜色供用户选择。</w:t>
      </w:r>
      <w:r/>
    </w:p>
    <w:p>
      <w:pPr>
        <w:pStyle w:val="1005"/>
        <w:ind w:left="0" w:firstLine="422"/>
        <w:spacing w:line="360" w:lineRule="auto"/>
        <w:rPr>
          <w:b/>
          <w:bCs/>
          <w:sz w:val="21"/>
          <w:szCs w:val="21"/>
        </w:rPr>
      </w:pPr>
      <w:r>
        <w:rPr>
          <w:rFonts w:hint="eastAsia"/>
          <w:b/>
          <w:bCs/>
          <w:sz w:val="21"/>
          <w:szCs w:val="21"/>
        </w:rPr>
        <w:t xml:space="preserve">注：投标时需提供检验报告（出具报告的检验机构应具有同类产品的CMA认证），检验报告至少体现第3、4项参数。</w:t>
      </w:r>
      <w:r/>
    </w:p>
    <w:p>
      <w:pPr>
        <w:pStyle w:val="1005"/>
        <w:ind w:left="0" w:firstLine="420"/>
        <w:spacing w:line="360" w:lineRule="auto"/>
        <w:rPr>
          <w:sz w:val="21"/>
          <w:szCs w:val="21"/>
        </w:rPr>
      </w:pPr>
      <w:r>
        <w:rPr>
          <w:rFonts w:hint="eastAsia"/>
          <w:sz w:val="21"/>
          <w:szCs w:val="21"/>
        </w:rPr>
        <w:t xml:space="preserve">（三）湿式水域救援服</w:t>
      </w:r>
      <w:r/>
    </w:p>
    <w:p>
      <w:pPr>
        <w:pStyle w:val="1005"/>
        <w:ind w:left="0" w:firstLine="420"/>
        <w:spacing w:line="360" w:lineRule="auto"/>
        <w:rPr>
          <w:sz w:val="21"/>
          <w:szCs w:val="21"/>
        </w:rPr>
      </w:pPr>
      <w:r>
        <w:rPr>
          <w:rFonts w:hint="eastAsia"/>
          <w:sz w:val="21"/>
          <w:szCs w:val="21"/>
        </w:rPr>
        <w:t xml:space="preserve">▲1.拉伸强度：服装的面料经150N的拉伸力度持续10s，经纬均不出现断裂现象。</w:t>
      </w:r>
      <w:r/>
    </w:p>
    <w:p>
      <w:pPr>
        <w:pStyle w:val="1005"/>
        <w:ind w:left="0" w:firstLine="420"/>
        <w:spacing w:line="360" w:lineRule="auto"/>
        <w:rPr>
          <w:sz w:val="21"/>
          <w:szCs w:val="21"/>
        </w:rPr>
      </w:pPr>
      <w:r>
        <w:rPr>
          <w:rFonts w:hint="eastAsia"/>
          <w:sz w:val="21"/>
          <w:szCs w:val="21"/>
        </w:rPr>
        <w:t xml:space="preserve">▲2.接缝强度：服装的接缝经100N的拉伸力度持续10s,经纬均不出现断裂现象。</w:t>
      </w:r>
      <w:r/>
    </w:p>
    <w:p>
      <w:pPr>
        <w:pStyle w:val="1005"/>
        <w:ind w:left="0" w:firstLine="420"/>
        <w:spacing w:line="360" w:lineRule="auto"/>
        <w:rPr>
          <w:sz w:val="21"/>
          <w:szCs w:val="21"/>
        </w:rPr>
      </w:pPr>
      <w:r>
        <w:rPr>
          <w:rFonts w:hint="eastAsia"/>
          <w:sz w:val="21"/>
          <w:szCs w:val="21"/>
        </w:rPr>
        <w:t xml:space="preserve">▲3.耐磨性能：服装的面料经2000次循环摩擦后，不被磨穿。</w:t>
      </w:r>
      <w:r/>
    </w:p>
    <w:p>
      <w:pPr>
        <w:pStyle w:val="1005"/>
        <w:ind w:left="0" w:firstLine="420"/>
        <w:spacing w:line="360" w:lineRule="auto"/>
        <w:rPr>
          <w:sz w:val="21"/>
          <w:szCs w:val="21"/>
        </w:rPr>
      </w:pPr>
      <w:r>
        <w:rPr>
          <w:rFonts w:hint="eastAsia"/>
          <w:sz w:val="21"/>
          <w:szCs w:val="21"/>
        </w:rPr>
        <w:t xml:space="preserve">▲4.服装的补强材料经6000次循环摩擦后，不被磨穿。</w:t>
      </w:r>
      <w:r/>
    </w:p>
    <w:p>
      <w:pPr>
        <w:pStyle w:val="1005"/>
        <w:ind w:left="0" w:firstLine="420"/>
        <w:spacing w:line="360" w:lineRule="auto"/>
        <w:rPr>
          <w:sz w:val="21"/>
          <w:szCs w:val="21"/>
        </w:rPr>
      </w:pPr>
      <w:r>
        <w:rPr>
          <w:rFonts w:hint="eastAsia"/>
          <w:sz w:val="21"/>
          <w:szCs w:val="21"/>
        </w:rPr>
        <w:t xml:space="preserve">5.耐静水压性能：服装的面料在静水压100kPa下5min后，不出现水滴渗漏。</w:t>
      </w:r>
      <w:r/>
    </w:p>
    <w:p>
      <w:pPr>
        <w:pStyle w:val="1005"/>
        <w:ind w:left="0" w:firstLine="420"/>
        <w:spacing w:line="360" w:lineRule="auto"/>
        <w:rPr>
          <w:sz w:val="21"/>
          <w:szCs w:val="21"/>
        </w:rPr>
      </w:pPr>
      <w:r>
        <w:rPr>
          <w:rFonts w:hint="eastAsia"/>
          <w:sz w:val="21"/>
          <w:szCs w:val="21"/>
        </w:rPr>
        <w:t xml:space="preserve">6.穿着时间：≤30S。</w:t>
      </w:r>
      <w:r/>
    </w:p>
    <w:p>
      <w:pPr>
        <w:pStyle w:val="1005"/>
        <w:ind w:left="0" w:firstLine="420"/>
        <w:spacing w:line="360" w:lineRule="auto"/>
        <w:rPr>
          <w:sz w:val="21"/>
          <w:szCs w:val="21"/>
        </w:rPr>
      </w:pPr>
      <w:r>
        <w:rPr>
          <w:rFonts w:hint="eastAsia"/>
          <w:sz w:val="21"/>
          <w:szCs w:val="21"/>
        </w:rPr>
        <w:t xml:space="preserve">7.穿着者可活动性：穿着服装的人员能行走、爬行、游泳。</w:t>
      </w:r>
      <w:r/>
    </w:p>
    <w:p>
      <w:pPr>
        <w:pStyle w:val="1005"/>
        <w:ind w:left="0" w:firstLine="420"/>
        <w:spacing w:line="360" w:lineRule="auto"/>
        <w:rPr>
          <w:sz w:val="21"/>
          <w:szCs w:val="21"/>
        </w:rPr>
      </w:pPr>
      <w:r>
        <w:rPr>
          <w:rFonts w:hint="eastAsia"/>
          <w:sz w:val="21"/>
          <w:szCs w:val="21"/>
        </w:rPr>
        <w:t xml:space="preserve">8.材质为带有钛涂层的氯丁橡胶，厚度≥3mm。</w:t>
      </w:r>
      <w:r/>
    </w:p>
    <w:p>
      <w:pPr>
        <w:pStyle w:val="1005"/>
        <w:ind w:left="0" w:firstLine="420"/>
        <w:spacing w:line="360" w:lineRule="auto"/>
        <w:rPr>
          <w:sz w:val="21"/>
          <w:szCs w:val="21"/>
        </w:rPr>
      </w:pPr>
      <w:r>
        <w:rPr>
          <w:rFonts w:hint="eastAsia"/>
          <w:sz w:val="21"/>
          <w:szCs w:val="21"/>
        </w:rPr>
        <w:t xml:space="preserve">9.拉链位置：前置。</w:t>
      </w:r>
      <w:r/>
    </w:p>
    <w:p>
      <w:pPr>
        <w:pStyle w:val="1005"/>
        <w:ind w:left="0" w:firstLine="420"/>
        <w:spacing w:line="360" w:lineRule="auto"/>
        <w:rPr>
          <w:sz w:val="21"/>
          <w:szCs w:val="21"/>
        </w:rPr>
      </w:pPr>
      <w:r>
        <w:rPr>
          <w:rFonts w:hint="eastAsia"/>
          <w:sz w:val="21"/>
          <w:szCs w:val="21"/>
        </w:rPr>
        <w:t xml:space="preserve">10.缝线采取暗针缝制工艺，且加固压胶处理。</w:t>
      </w:r>
      <w:r/>
    </w:p>
    <w:p>
      <w:pPr>
        <w:pStyle w:val="1005"/>
        <w:ind w:left="0" w:firstLine="420"/>
        <w:spacing w:line="360" w:lineRule="auto"/>
        <w:rPr>
          <w:sz w:val="21"/>
          <w:szCs w:val="21"/>
        </w:rPr>
      </w:pPr>
      <w:r>
        <w:rPr>
          <w:rFonts w:hint="eastAsia"/>
          <w:sz w:val="21"/>
          <w:szCs w:val="21"/>
        </w:rPr>
        <w:t xml:space="preserve">11.腿部有加固材料垫，手臂有反光条，腿部有RESCUE救援字样，左手臂处有备件或对讲机口袋；且大腿处至少有1个口袋。</w:t>
      </w:r>
      <w:r/>
    </w:p>
    <w:p>
      <w:pPr>
        <w:pStyle w:val="1005"/>
        <w:ind w:left="0" w:firstLine="420"/>
        <w:spacing w:line="360" w:lineRule="auto"/>
        <w:rPr>
          <w:sz w:val="21"/>
          <w:szCs w:val="21"/>
        </w:rPr>
      </w:pPr>
      <w:r>
        <w:rPr>
          <w:rFonts w:hint="eastAsia"/>
          <w:sz w:val="21"/>
          <w:szCs w:val="21"/>
        </w:rPr>
        <w:t xml:space="preserve">12.湿式水域救援服为连体式。</w:t>
      </w:r>
      <w:r/>
    </w:p>
    <w:p>
      <w:pPr>
        <w:pStyle w:val="1005"/>
        <w:ind w:left="0" w:firstLine="422"/>
        <w:spacing w:line="360" w:lineRule="auto"/>
        <w:rPr>
          <w:b/>
          <w:bCs/>
          <w:sz w:val="21"/>
          <w:szCs w:val="21"/>
        </w:rPr>
      </w:pPr>
      <w:r>
        <w:rPr>
          <w:rFonts w:hint="eastAsia"/>
          <w:b/>
          <w:bCs/>
          <w:sz w:val="21"/>
          <w:szCs w:val="21"/>
        </w:rPr>
        <w:t xml:space="preserve">注：投标时需提供样品及检验报告（出具报告的检验机构应具有同类产品的CMA认证），至少体现第1至4项参数。</w:t>
      </w:r>
      <w:r/>
    </w:p>
    <w:p>
      <w:pPr>
        <w:pStyle w:val="1005"/>
        <w:ind w:left="0" w:firstLine="420"/>
        <w:spacing w:line="360" w:lineRule="auto"/>
        <w:rPr>
          <w:sz w:val="21"/>
          <w:szCs w:val="21"/>
        </w:rPr>
      </w:pPr>
      <w:r>
        <w:rPr>
          <w:rFonts w:hint="eastAsia"/>
          <w:sz w:val="21"/>
          <w:szCs w:val="21"/>
        </w:rPr>
        <w:t xml:space="preserve">（四）水域救援靴</w:t>
      </w:r>
      <w:r/>
    </w:p>
    <w:p>
      <w:pPr>
        <w:pStyle w:val="1005"/>
        <w:ind w:left="0" w:firstLine="420"/>
        <w:spacing w:line="360" w:lineRule="auto"/>
        <w:rPr>
          <w:sz w:val="21"/>
          <w:szCs w:val="21"/>
        </w:rPr>
      </w:pPr>
      <w:r>
        <w:rPr>
          <w:rFonts w:hint="eastAsia"/>
          <w:sz w:val="21"/>
          <w:szCs w:val="21"/>
        </w:rPr>
        <w:t xml:space="preserve">1.款式：一体式水域救援靴。</w:t>
      </w:r>
      <w:r/>
    </w:p>
    <w:p>
      <w:pPr>
        <w:pStyle w:val="1005"/>
        <w:ind w:left="0" w:firstLine="420"/>
        <w:spacing w:line="360" w:lineRule="auto"/>
        <w:rPr>
          <w:sz w:val="21"/>
          <w:szCs w:val="21"/>
        </w:rPr>
      </w:pPr>
      <w:r>
        <w:rPr>
          <w:rFonts w:hint="eastAsia"/>
          <w:sz w:val="21"/>
          <w:szCs w:val="21"/>
        </w:rPr>
        <w:t xml:space="preserve">▲2.水域救援靴内衬具备≥5mm氯丁橡胶涂层，且内衬与皮革一体合成。</w:t>
      </w:r>
      <w:r/>
    </w:p>
    <w:p>
      <w:pPr>
        <w:pStyle w:val="1005"/>
        <w:ind w:left="0" w:firstLine="420"/>
        <w:spacing w:line="360" w:lineRule="auto"/>
        <w:rPr>
          <w:sz w:val="21"/>
          <w:szCs w:val="21"/>
        </w:rPr>
      </w:pPr>
      <w:r>
        <w:rPr>
          <w:rFonts w:hint="eastAsia"/>
          <w:sz w:val="21"/>
          <w:szCs w:val="21"/>
        </w:rPr>
        <w:t xml:space="preserve">3.内部需有弹性潜水材料内胆，为足部提供良好的保暖性和踝部支撑。</w:t>
      </w:r>
      <w:r/>
    </w:p>
    <w:p>
      <w:pPr>
        <w:pStyle w:val="1005"/>
        <w:ind w:left="0" w:firstLine="420"/>
        <w:spacing w:line="360" w:lineRule="auto"/>
        <w:rPr>
          <w:sz w:val="21"/>
          <w:szCs w:val="21"/>
        </w:rPr>
      </w:pPr>
      <w:r>
        <w:rPr>
          <w:rFonts w:hint="eastAsia"/>
          <w:sz w:val="21"/>
          <w:szCs w:val="21"/>
        </w:rPr>
        <w:t xml:space="preserve">4.≥7mm的氯丁橡胶内底。</w:t>
      </w:r>
      <w:r/>
    </w:p>
    <w:p>
      <w:pPr>
        <w:pStyle w:val="1005"/>
        <w:ind w:left="0" w:firstLine="420"/>
        <w:spacing w:line="360" w:lineRule="auto"/>
        <w:rPr>
          <w:sz w:val="21"/>
          <w:szCs w:val="21"/>
        </w:rPr>
      </w:pPr>
      <w:r>
        <w:rPr>
          <w:rFonts w:hint="eastAsia"/>
          <w:sz w:val="21"/>
          <w:szCs w:val="21"/>
        </w:rPr>
        <w:t xml:space="preserve">5.鞋底防滑设计，能适应水面和陆地的各种地形。</w:t>
      </w:r>
      <w:r/>
    </w:p>
    <w:p>
      <w:pPr>
        <w:pStyle w:val="1005"/>
        <w:ind w:left="0" w:firstLine="420"/>
        <w:spacing w:line="360" w:lineRule="auto"/>
        <w:rPr>
          <w:sz w:val="21"/>
          <w:szCs w:val="21"/>
        </w:rPr>
      </w:pPr>
      <w:r>
        <w:rPr>
          <w:rFonts w:hint="eastAsia"/>
          <w:sz w:val="21"/>
          <w:szCs w:val="21"/>
        </w:rPr>
        <w:t xml:space="preserve">6.经常磨损区域采用合成皮革和橡胶补强处理。</w:t>
      </w:r>
      <w:r/>
    </w:p>
    <w:p>
      <w:pPr>
        <w:pStyle w:val="1005"/>
        <w:ind w:left="0" w:firstLine="420"/>
        <w:spacing w:line="360" w:lineRule="auto"/>
        <w:rPr>
          <w:sz w:val="21"/>
          <w:szCs w:val="21"/>
        </w:rPr>
      </w:pPr>
      <w:r>
        <w:rPr>
          <w:rFonts w:hint="eastAsia"/>
          <w:sz w:val="21"/>
          <w:szCs w:val="21"/>
        </w:rPr>
        <w:t xml:space="preserve">7.靴子内侧设有排水孔，方便出水。</w:t>
      </w:r>
      <w:r/>
    </w:p>
    <w:p>
      <w:pPr>
        <w:pStyle w:val="1005"/>
        <w:ind w:left="0" w:firstLine="420"/>
        <w:spacing w:line="360" w:lineRule="auto"/>
        <w:rPr>
          <w:sz w:val="21"/>
          <w:szCs w:val="21"/>
        </w:rPr>
      </w:pPr>
      <w:r>
        <w:rPr>
          <w:rFonts w:hint="eastAsia"/>
          <w:sz w:val="21"/>
          <w:szCs w:val="21"/>
        </w:rPr>
        <w:t xml:space="preserve">8.脚跟处凸起设计，方便与脚蹼搭配使用。</w:t>
      </w:r>
      <w:r/>
    </w:p>
    <w:p>
      <w:pPr>
        <w:pStyle w:val="1005"/>
        <w:ind w:left="0" w:firstLine="420"/>
        <w:spacing w:line="360" w:lineRule="auto"/>
        <w:rPr>
          <w:sz w:val="21"/>
          <w:szCs w:val="21"/>
        </w:rPr>
      </w:pPr>
      <w:r>
        <w:rPr>
          <w:rFonts w:hint="eastAsia"/>
          <w:sz w:val="21"/>
          <w:szCs w:val="21"/>
        </w:rPr>
        <w:t xml:space="preserve">9.靴底经过10万次弯折试验，靴底整体不断裂，外底裂缝长度≤9mm。</w:t>
      </w:r>
      <w:r/>
    </w:p>
    <w:p>
      <w:pPr>
        <w:pStyle w:val="1005"/>
        <w:ind w:left="0" w:firstLine="420"/>
        <w:spacing w:line="360" w:lineRule="auto"/>
        <w:rPr>
          <w:sz w:val="21"/>
          <w:szCs w:val="21"/>
        </w:rPr>
      </w:pPr>
      <w:r>
        <w:rPr>
          <w:rFonts w:hint="eastAsia"/>
          <w:sz w:val="21"/>
          <w:szCs w:val="21"/>
        </w:rPr>
        <w:t xml:space="preserve">▲10.靴帮材料最大抗刺穿能力≥50N。</w:t>
      </w:r>
      <w:r/>
    </w:p>
    <w:p>
      <w:pPr>
        <w:pStyle w:val="1005"/>
        <w:ind w:left="0" w:firstLine="420"/>
        <w:spacing w:line="360" w:lineRule="auto"/>
        <w:rPr>
          <w:sz w:val="21"/>
          <w:szCs w:val="21"/>
        </w:rPr>
      </w:pPr>
      <w:r>
        <w:rPr>
          <w:rFonts w:hint="eastAsia"/>
          <w:sz w:val="21"/>
          <w:szCs w:val="21"/>
        </w:rPr>
        <w:t xml:space="preserve">11.靴帮材料经抗切割试验后，不被割穿。</w:t>
      </w:r>
      <w:r/>
    </w:p>
    <w:p>
      <w:pPr>
        <w:pStyle w:val="1005"/>
        <w:ind w:left="0" w:firstLine="420"/>
        <w:spacing w:line="360" w:lineRule="auto"/>
        <w:rPr>
          <w:sz w:val="21"/>
          <w:szCs w:val="21"/>
        </w:rPr>
      </w:pPr>
      <w:r>
        <w:rPr>
          <w:rFonts w:hint="eastAsia"/>
          <w:sz w:val="21"/>
          <w:szCs w:val="21"/>
        </w:rPr>
        <w:t xml:space="preserve">12.靴帮材料经过20000次循环摩擦后，不出现磨穿的现象。</w:t>
      </w:r>
      <w:r/>
    </w:p>
    <w:p>
      <w:pPr>
        <w:pStyle w:val="1005"/>
        <w:ind w:left="0" w:firstLine="420"/>
        <w:spacing w:line="360" w:lineRule="auto"/>
        <w:rPr>
          <w:sz w:val="21"/>
          <w:szCs w:val="21"/>
        </w:rPr>
      </w:pPr>
      <w:r>
        <w:rPr>
          <w:rFonts w:hint="eastAsia"/>
          <w:sz w:val="21"/>
          <w:szCs w:val="21"/>
        </w:rPr>
        <w:t xml:space="preserve">13.靴帮经过反复大于等于20000次弯折后，无裂纹、松面、掉浆现象。</w:t>
      </w:r>
      <w:r/>
    </w:p>
    <w:p>
      <w:pPr>
        <w:pStyle w:val="1005"/>
        <w:ind w:left="0" w:firstLine="420"/>
        <w:spacing w:line="360" w:lineRule="auto"/>
        <w:rPr>
          <w:sz w:val="21"/>
          <w:szCs w:val="21"/>
        </w:rPr>
      </w:pPr>
      <w:r>
        <w:rPr>
          <w:rFonts w:hint="eastAsia"/>
          <w:sz w:val="21"/>
          <w:szCs w:val="21"/>
        </w:rPr>
        <w:t xml:space="preserve">14.帮底剥离强度≥95N/CM。</w:t>
      </w:r>
      <w:r/>
    </w:p>
    <w:p>
      <w:pPr>
        <w:pStyle w:val="1005"/>
        <w:ind w:left="0" w:firstLine="420"/>
        <w:spacing w:line="360" w:lineRule="auto"/>
        <w:rPr>
          <w:sz w:val="21"/>
          <w:szCs w:val="21"/>
        </w:rPr>
      </w:pPr>
      <w:r>
        <w:rPr>
          <w:rFonts w:hint="eastAsia"/>
          <w:sz w:val="21"/>
          <w:szCs w:val="21"/>
        </w:rPr>
        <w:t xml:space="preserve">15.热老化性能试验后，靴帮拉伸性能≥25Mpa。</w:t>
      </w:r>
      <w:r/>
    </w:p>
    <w:p>
      <w:pPr>
        <w:pStyle w:val="1005"/>
        <w:ind w:left="0" w:firstLine="420"/>
        <w:spacing w:line="360" w:lineRule="auto"/>
        <w:rPr>
          <w:sz w:val="21"/>
          <w:szCs w:val="21"/>
        </w:rPr>
      </w:pPr>
      <w:r>
        <w:rPr>
          <w:rFonts w:hint="eastAsia"/>
          <w:sz w:val="21"/>
          <w:szCs w:val="21"/>
        </w:rPr>
        <w:t xml:space="preserve">16.热老化性能试验后，靴底拉伸性能≥5Mpa。</w:t>
      </w:r>
      <w:r/>
    </w:p>
    <w:p>
      <w:pPr>
        <w:pStyle w:val="1005"/>
        <w:ind w:left="0" w:firstLine="420"/>
        <w:spacing w:line="360" w:lineRule="auto"/>
        <w:rPr>
          <w:sz w:val="21"/>
          <w:szCs w:val="21"/>
        </w:rPr>
      </w:pPr>
      <w:r>
        <w:rPr>
          <w:rFonts w:hint="eastAsia"/>
          <w:sz w:val="21"/>
          <w:szCs w:val="21"/>
        </w:rPr>
        <w:t xml:space="preserve">17.质量:≤1300g。</w:t>
      </w:r>
      <w:r/>
    </w:p>
    <w:p>
      <w:pPr>
        <w:pStyle w:val="1005"/>
        <w:ind w:left="0" w:firstLine="422"/>
        <w:spacing w:line="360" w:lineRule="auto"/>
        <w:rPr>
          <w:b/>
          <w:bCs/>
          <w:sz w:val="21"/>
          <w:szCs w:val="21"/>
        </w:rPr>
      </w:pPr>
      <w:r>
        <w:rPr>
          <w:rFonts w:hint="eastAsia"/>
          <w:b/>
          <w:bCs/>
          <w:sz w:val="21"/>
          <w:szCs w:val="21"/>
        </w:rPr>
        <w:t xml:space="preserve">注：投标时提供检验报告（出具报告的检验机构应具有同类产品的CMA认证），检验报告至少体现第2、4、10、13、14、17项参数。</w:t>
      </w:r>
      <w:r/>
    </w:p>
    <w:p>
      <w:pPr>
        <w:pStyle w:val="1005"/>
        <w:ind w:left="0" w:firstLine="420"/>
        <w:spacing w:line="360" w:lineRule="auto"/>
        <w:rPr>
          <w:sz w:val="21"/>
          <w:szCs w:val="21"/>
        </w:rPr>
      </w:pPr>
      <w:r>
        <w:rPr>
          <w:sz w:val="21"/>
          <w:szCs w:val="21"/>
        </w:rPr>
      </w:r>
      <w:r/>
    </w:p>
    <w:p>
      <w:pPr>
        <w:pStyle w:val="1005"/>
        <w:ind w:left="0" w:firstLine="422"/>
        <w:spacing w:line="360" w:lineRule="auto"/>
        <w:rPr>
          <w:sz w:val="21"/>
          <w:szCs w:val="21"/>
        </w:rPr>
        <w:outlineLvl w:val="0"/>
      </w:pPr>
      <w:r>
        <w:rPr>
          <w:rFonts w:hint="eastAsia"/>
          <w:b/>
          <w:bCs/>
          <w:sz w:val="21"/>
          <w:szCs w:val="21"/>
        </w:rPr>
        <w:t xml:space="preserve">包二（手提式强光照明灯）：</w:t>
      </w:r>
      <w:r/>
    </w:p>
    <w:tbl>
      <w:tblPr>
        <w:tblStyle w:val="1053"/>
        <w:tblW w:w="8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13"/>
        <w:gridCol w:w="2069"/>
        <w:gridCol w:w="737"/>
        <w:gridCol w:w="737"/>
        <w:gridCol w:w="883"/>
        <w:gridCol w:w="1196"/>
        <w:gridCol w:w="2217"/>
      </w:tblGrid>
      <w:tr>
        <w:trPr>
          <w:jc w:val="center"/>
          <w:trHeight w:val="448"/>
        </w:trPr>
        <w:tc>
          <w:tcPr>
            <w:tcW w:w="1013" w:type="dxa"/>
            <w:vAlign w:val="center"/>
            <w:textDirection w:val="lrTb"/>
            <w:noWrap w:val="false"/>
          </w:tcPr>
          <w:p>
            <w:pPr>
              <w:ind w:left="0"/>
              <w:jc w:val="center"/>
              <w:spacing w:line="24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包号</w:t>
            </w:r>
            <w:r/>
          </w:p>
        </w:tc>
        <w:tc>
          <w:tcPr>
            <w:tcW w:w="2069" w:type="dxa"/>
            <w:vAlign w:val="center"/>
            <w:textDirection w:val="lrTb"/>
            <w:noWrap w:val="false"/>
          </w:tcPr>
          <w:p>
            <w:pPr>
              <w:ind w:left="0"/>
              <w:jc w:val="center"/>
              <w:spacing w:line="24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装备名称</w:t>
            </w:r>
            <w:r/>
          </w:p>
        </w:tc>
        <w:tc>
          <w:tcPr>
            <w:tcW w:w="737" w:type="dxa"/>
            <w:vAlign w:val="center"/>
            <w:textDirection w:val="lrTb"/>
            <w:noWrap w:val="false"/>
          </w:tcPr>
          <w:p>
            <w:pPr>
              <w:ind w:left="0"/>
              <w:jc w:val="center"/>
              <w:spacing w:line="24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计量单位</w:t>
            </w:r>
            <w:r/>
          </w:p>
        </w:tc>
        <w:tc>
          <w:tcPr>
            <w:tcW w:w="737" w:type="dxa"/>
            <w:vAlign w:val="center"/>
            <w:textDirection w:val="lrTb"/>
            <w:noWrap w:val="false"/>
          </w:tcPr>
          <w:p>
            <w:pPr>
              <w:ind w:left="0"/>
              <w:jc w:val="center"/>
              <w:spacing w:line="24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数量</w:t>
            </w:r>
            <w:r/>
          </w:p>
        </w:tc>
        <w:tc>
          <w:tcPr>
            <w:tcW w:w="883" w:type="dxa"/>
            <w:vAlign w:val="center"/>
            <w:textDirection w:val="lrTb"/>
            <w:noWrap w:val="false"/>
          </w:tcPr>
          <w:p>
            <w:pPr>
              <w:ind w:left="0"/>
              <w:jc w:val="center"/>
              <w:spacing w:line="24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单价限价（万元）</w:t>
            </w:r>
            <w:r/>
          </w:p>
        </w:tc>
        <w:tc>
          <w:tcPr>
            <w:tcW w:w="1196" w:type="dxa"/>
            <w:vAlign w:val="center"/>
            <w:textDirection w:val="lrTb"/>
            <w:noWrap w:val="false"/>
          </w:tcPr>
          <w:p>
            <w:pPr>
              <w:ind w:left="0"/>
              <w:jc w:val="center"/>
              <w:spacing w:line="24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核心产品</w:t>
            </w:r>
            <w:r/>
          </w:p>
        </w:tc>
        <w:tc>
          <w:tcPr>
            <w:tcW w:w="2217" w:type="dxa"/>
            <w:vAlign w:val="center"/>
            <w:textDirection w:val="lrTb"/>
            <w:noWrap w:val="false"/>
          </w:tcPr>
          <w:p>
            <w:pPr>
              <w:ind w:left="0"/>
              <w:jc w:val="center"/>
              <w:spacing w:line="24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备注</w:t>
            </w:r>
            <w:r/>
          </w:p>
        </w:tc>
      </w:tr>
      <w:tr>
        <w:trPr>
          <w:jc w:val="center"/>
          <w:trHeight w:val="17"/>
        </w:trPr>
        <w:tc>
          <w:tcPr>
            <w:tcW w:w="1013"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p>
        </w:tc>
        <w:tc>
          <w:tcPr>
            <w:tcW w:w="2069"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pacing w:val="-4"/>
                <w:sz w:val="21"/>
                <w:szCs w:val="21"/>
              </w:rPr>
            </w:pPr>
            <w:r>
              <w:rPr>
                <w:rFonts w:hint="eastAsia" w:asciiTheme="minorEastAsia" w:hAnsiTheme="minorEastAsia" w:eastAsiaTheme="minorEastAsia" w:cstheme="minorEastAsia"/>
                <w:spacing w:val="-4"/>
                <w:sz w:val="21"/>
                <w:szCs w:val="21"/>
              </w:rPr>
              <w:t xml:space="preserve">手提式强光照明灯</w:t>
            </w:r>
            <w:r/>
          </w:p>
        </w:tc>
        <w:tc>
          <w:tcPr>
            <w:tcW w:w="737"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rPr>
              <w:t xml:space="preserve">个</w:t>
            </w:r>
            <w:r/>
          </w:p>
        </w:tc>
        <w:tc>
          <w:tcPr>
            <w:tcW w:w="737"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179</w:t>
            </w:r>
            <w:r/>
          </w:p>
        </w:tc>
        <w:tc>
          <w:tcPr>
            <w:tcW w:w="883"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0.28</w:t>
            </w:r>
            <w:r/>
          </w:p>
        </w:tc>
        <w:tc>
          <w:tcPr>
            <w:tcW w:w="1196"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2217"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需提供样品</w:t>
            </w:r>
            <w:r/>
          </w:p>
        </w:tc>
      </w:tr>
    </w:tbl>
    <w:p>
      <w:pPr>
        <w:pStyle w:val="1005"/>
        <w:ind w:left="0" w:firstLine="422"/>
        <w:spacing w:line="360" w:lineRule="auto"/>
        <w:rPr>
          <w:rFonts w:ascii="宋体" w:hAnsi="宋体"/>
          <w:b/>
          <w:bCs/>
          <w:sz w:val="21"/>
          <w:szCs w:val="21"/>
          <w:lang w:val="zh-CN"/>
        </w:rPr>
      </w:pPr>
      <w:r>
        <w:rPr>
          <w:rFonts w:hint="eastAsia" w:ascii="宋体" w:hAnsi="宋体"/>
          <w:b/>
          <w:sz w:val="21"/>
          <w:szCs w:val="21"/>
        </w:rPr>
        <w:t xml:space="preserve">注：</w:t>
      </w:r>
      <w:r>
        <w:rPr>
          <w:rFonts w:hint="eastAsia" w:ascii="宋体" w:hAnsi="宋体"/>
          <w:b/>
          <w:bCs/>
          <w:sz w:val="21"/>
          <w:szCs w:val="21"/>
          <w:lang w:val="zh-CN"/>
        </w:rPr>
        <w:t xml:space="preserve">公开分项报价中的单价报价不可高于最高单价限价，否则为非实质性响应，投标无效。</w:t>
      </w:r>
      <w:r/>
    </w:p>
    <w:p>
      <w:pPr>
        <w:pStyle w:val="1005"/>
        <w:ind w:left="0" w:firstLine="420"/>
        <w:spacing w:line="360" w:lineRule="auto"/>
        <w:rPr>
          <w:sz w:val="21"/>
          <w:szCs w:val="21"/>
        </w:rPr>
      </w:pPr>
      <w:r>
        <w:rPr>
          <w:rFonts w:hint="eastAsia"/>
          <w:sz w:val="21"/>
          <w:szCs w:val="21"/>
        </w:rPr>
        <w:t xml:space="preserve">（一）手提式强光照明灯</w:t>
      </w:r>
      <w:r/>
    </w:p>
    <w:p>
      <w:pPr>
        <w:pStyle w:val="1005"/>
        <w:ind w:left="0" w:firstLine="420"/>
        <w:spacing w:line="360" w:lineRule="auto"/>
        <w:rPr>
          <w:sz w:val="21"/>
          <w:szCs w:val="21"/>
        </w:rPr>
      </w:pPr>
      <w:r>
        <w:rPr>
          <w:rFonts w:hint="eastAsia"/>
          <w:sz w:val="21"/>
          <w:szCs w:val="21"/>
        </w:rPr>
        <w:t xml:space="preserve">1.结构组成：方位灯、充电口、充电器、灯具、提手、电量显示、按键开关、红蓝警示模块组成。 </w:t>
      </w:r>
      <w:r/>
    </w:p>
    <w:p>
      <w:pPr>
        <w:pStyle w:val="1005"/>
        <w:ind w:left="0" w:firstLine="420"/>
        <w:spacing w:line="360" w:lineRule="auto"/>
        <w:rPr>
          <w:sz w:val="21"/>
          <w:szCs w:val="21"/>
        </w:rPr>
      </w:pPr>
      <w:r>
        <w:rPr>
          <w:rFonts w:hint="eastAsia"/>
          <w:sz w:val="21"/>
          <w:szCs w:val="21"/>
        </w:rPr>
        <w:t xml:space="preserve">2.主要应用场景：适合于消防行业日常灭火、救援强光手提照明及指挥现场工作照明。</w:t>
      </w:r>
      <w:r/>
    </w:p>
    <w:p>
      <w:pPr>
        <w:pStyle w:val="1005"/>
        <w:ind w:left="0" w:firstLine="420"/>
        <w:spacing w:line="360" w:lineRule="auto"/>
        <w:rPr>
          <w:sz w:val="21"/>
          <w:szCs w:val="21"/>
        </w:rPr>
      </w:pPr>
      <w:r>
        <w:rPr>
          <w:rFonts w:hint="eastAsia"/>
          <w:sz w:val="21"/>
          <w:szCs w:val="21"/>
        </w:rPr>
        <w:t xml:space="preserve">★3.提供所投产品完整有效的检验报告（具有CMA认证），检验结果和结论都应符合GB30734-2014《消防员照明灯具》标准要求。</w:t>
      </w:r>
      <w:r/>
    </w:p>
    <w:p>
      <w:pPr>
        <w:pStyle w:val="1005"/>
        <w:ind w:left="0" w:firstLine="420"/>
        <w:spacing w:line="360" w:lineRule="auto"/>
        <w:rPr>
          <w:sz w:val="21"/>
          <w:szCs w:val="21"/>
        </w:rPr>
      </w:pPr>
      <w:r>
        <w:rPr>
          <w:rFonts w:hint="eastAsia"/>
          <w:sz w:val="21"/>
          <w:szCs w:val="21"/>
        </w:rPr>
        <w:t xml:space="preserve">▲4.提供所投产品完整有效的防爆合格证。</w:t>
      </w:r>
      <w:r/>
    </w:p>
    <w:p>
      <w:pPr>
        <w:pStyle w:val="1005"/>
        <w:ind w:left="0" w:firstLine="420"/>
        <w:spacing w:line="360" w:lineRule="auto"/>
        <w:rPr>
          <w:sz w:val="21"/>
          <w:szCs w:val="21"/>
        </w:rPr>
      </w:pPr>
      <w:r>
        <w:rPr>
          <w:rFonts w:hint="eastAsia"/>
          <w:sz w:val="21"/>
          <w:szCs w:val="21"/>
        </w:rPr>
        <w:t xml:space="preserve">5.灯具的供电电源采用可充电电池；灯具的充电器采用插头与交直流转换器分离式结构，灯具或充电器设置充电保护电路；灯具的防爆性能应符合GB3836.1-2021的要求。</w:t>
      </w:r>
      <w:r/>
    </w:p>
    <w:p>
      <w:pPr>
        <w:pStyle w:val="1005"/>
        <w:ind w:left="0" w:firstLine="420"/>
        <w:spacing w:line="360" w:lineRule="auto"/>
        <w:rPr>
          <w:sz w:val="21"/>
          <w:szCs w:val="21"/>
        </w:rPr>
      </w:pPr>
      <w:r>
        <w:rPr>
          <w:rFonts w:hint="eastAsia"/>
          <w:sz w:val="21"/>
          <w:szCs w:val="21"/>
        </w:rPr>
        <w:t xml:space="preserve">6.灯具具备强光、工作光切换，具备闪烁方式的低电压警告功能。</w:t>
      </w:r>
      <w:r/>
    </w:p>
    <w:p>
      <w:pPr>
        <w:pStyle w:val="1005"/>
        <w:ind w:left="0" w:firstLine="420"/>
        <w:spacing w:line="360" w:lineRule="auto"/>
        <w:rPr>
          <w:sz w:val="21"/>
          <w:szCs w:val="21"/>
        </w:rPr>
      </w:pPr>
      <w:r>
        <w:rPr>
          <w:rFonts w:hint="eastAsia"/>
          <w:sz w:val="21"/>
          <w:szCs w:val="21"/>
        </w:rPr>
        <w:t xml:space="preserve">7.外观清洁、光滑、整齐、无污损、腐蚀、划伤、毛刺、裂痕、变形现象。</w:t>
      </w:r>
      <w:r/>
    </w:p>
    <w:p>
      <w:pPr>
        <w:pStyle w:val="1005"/>
        <w:ind w:left="0" w:firstLine="420"/>
        <w:spacing w:line="360" w:lineRule="auto"/>
        <w:rPr>
          <w:sz w:val="21"/>
          <w:szCs w:val="21"/>
        </w:rPr>
      </w:pPr>
      <w:r>
        <w:rPr>
          <w:rFonts w:hint="eastAsia"/>
          <w:sz w:val="21"/>
          <w:szCs w:val="21"/>
        </w:rPr>
        <w:t xml:space="preserve">8.质量≤1.5kg。</w:t>
      </w:r>
      <w:r/>
    </w:p>
    <w:p>
      <w:pPr>
        <w:pStyle w:val="1005"/>
        <w:ind w:left="0" w:firstLine="420"/>
        <w:spacing w:line="360" w:lineRule="auto"/>
        <w:rPr>
          <w:sz w:val="21"/>
          <w:szCs w:val="21"/>
        </w:rPr>
      </w:pPr>
      <w:r>
        <w:rPr>
          <w:rFonts w:hint="eastAsia"/>
          <w:sz w:val="21"/>
          <w:szCs w:val="21"/>
        </w:rPr>
        <w:t xml:space="preserve">▲9.照度：5米测试距离处，强光平均值≥250Lx，强光最小值≥150Lx；弱光平均值≥150Lx，弱光最小值≥100Lx。</w:t>
      </w:r>
      <w:r/>
    </w:p>
    <w:p>
      <w:pPr>
        <w:pStyle w:val="1005"/>
        <w:ind w:left="0" w:firstLine="420"/>
        <w:spacing w:line="360" w:lineRule="auto"/>
        <w:rPr>
          <w:sz w:val="21"/>
          <w:szCs w:val="21"/>
        </w:rPr>
      </w:pPr>
      <w:r>
        <w:rPr>
          <w:rFonts w:hint="eastAsia"/>
          <w:sz w:val="21"/>
          <w:szCs w:val="21"/>
        </w:rPr>
        <w:t xml:space="preserve">▲10.连续稳定工作时间：强光≥300min，弱光≥600min。</w:t>
      </w:r>
      <w:r/>
    </w:p>
    <w:p>
      <w:pPr>
        <w:pStyle w:val="1005"/>
        <w:ind w:left="0" w:firstLine="420"/>
        <w:spacing w:line="360" w:lineRule="auto"/>
        <w:rPr>
          <w:sz w:val="21"/>
          <w:szCs w:val="21"/>
        </w:rPr>
      </w:pPr>
      <w:r>
        <w:rPr>
          <w:rFonts w:hint="eastAsia"/>
          <w:sz w:val="21"/>
          <w:szCs w:val="21"/>
        </w:rPr>
        <w:t xml:space="preserve">11.低电压报警时间：≥10s且≤20s。</w:t>
      </w:r>
      <w:r/>
    </w:p>
    <w:p>
      <w:pPr>
        <w:pStyle w:val="1005"/>
        <w:ind w:left="0" w:firstLine="420"/>
        <w:spacing w:line="360" w:lineRule="auto"/>
        <w:rPr>
          <w:sz w:val="21"/>
          <w:szCs w:val="21"/>
        </w:rPr>
      </w:pPr>
      <w:r>
        <w:rPr>
          <w:rFonts w:hint="eastAsia"/>
          <w:sz w:val="21"/>
          <w:szCs w:val="21"/>
        </w:rPr>
        <w:t xml:space="preserve">12.低电压状态下连续工作时间：强光≥15min，弱光≥30min。</w:t>
      </w:r>
      <w:r/>
    </w:p>
    <w:p>
      <w:pPr>
        <w:pStyle w:val="1005"/>
        <w:ind w:left="0" w:firstLine="420"/>
        <w:spacing w:line="360" w:lineRule="auto"/>
        <w:rPr>
          <w:sz w:val="21"/>
          <w:szCs w:val="21"/>
        </w:rPr>
      </w:pPr>
      <w:r>
        <w:rPr>
          <w:rFonts w:hint="eastAsia"/>
          <w:sz w:val="21"/>
          <w:szCs w:val="21"/>
        </w:rPr>
        <w:t xml:space="preserve">13.绝缘性能：在常温环境下，灯具带电端子与外壳间的绝缘电阻应不小于20MΩ，交变湿热试验后不小于5MΩ。</w:t>
      </w:r>
      <w:r/>
    </w:p>
    <w:p>
      <w:pPr>
        <w:pStyle w:val="1005"/>
        <w:ind w:left="0" w:firstLine="420"/>
        <w:spacing w:line="360" w:lineRule="auto"/>
        <w:rPr>
          <w:sz w:val="21"/>
          <w:szCs w:val="21"/>
        </w:rPr>
      </w:pPr>
      <w:r>
        <w:rPr>
          <w:rFonts w:hint="eastAsia"/>
          <w:sz w:val="21"/>
          <w:szCs w:val="21"/>
        </w:rPr>
        <w:t xml:space="preserve">14.耐电压性能：灯具应耐受频率为50Hz±0.5Hz，交流电压为500V±50V，历时60s±5s的耐电压试验。</w:t>
      </w:r>
      <w:r/>
    </w:p>
    <w:p>
      <w:pPr>
        <w:pStyle w:val="1005"/>
        <w:ind w:left="0" w:firstLine="420"/>
        <w:spacing w:line="360" w:lineRule="auto"/>
        <w:rPr>
          <w:sz w:val="21"/>
          <w:szCs w:val="21"/>
        </w:rPr>
      </w:pPr>
      <w:r>
        <w:rPr>
          <w:rFonts w:hint="eastAsia"/>
          <w:sz w:val="21"/>
          <w:szCs w:val="21"/>
        </w:rPr>
        <w:t xml:space="preserve">15.开关经50000次可靠性试验后保持完好，且灯具能正常点亮并实现强、弱光切换。</w:t>
      </w:r>
      <w:r/>
    </w:p>
    <w:p>
      <w:pPr>
        <w:pStyle w:val="1005"/>
        <w:ind w:left="0" w:firstLine="420"/>
        <w:spacing w:line="360" w:lineRule="auto"/>
        <w:rPr>
          <w:sz w:val="21"/>
          <w:szCs w:val="21"/>
        </w:rPr>
      </w:pPr>
      <w:r>
        <w:rPr>
          <w:rFonts w:hint="eastAsia"/>
          <w:sz w:val="21"/>
          <w:szCs w:val="21"/>
        </w:rPr>
        <w:t xml:space="preserve">▲16.外壳防尘、防水等级不低于IP68（潜水深度1.5m，持续时间1h）。</w:t>
      </w:r>
      <w:r/>
    </w:p>
    <w:p>
      <w:pPr>
        <w:pStyle w:val="1005"/>
        <w:ind w:left="0" w:firstLine="420"/>
        <w:spacing w:line="360" w:lineRule="auto"/>
        <w:rPr>
          <w:sz w:val="21"/>
          <w:szCs w:val="21"/>
        </w:rPr>
      </w:pPr>
      <w:r>
        <w:rPr>
          <w:rFonts w:hint="eastAsia"/>
          <w:sz w:val="21"/>
          <w:szCs w:val="21"/>
        </w:rPr>
        <w:t xml:space="preserve">17.灯具标志：灯具明显位置处有清晰且与灯具为一体的标志，包括以下内容：a）产品名称；b）产品型号：c）防护等级；d）防爆标志；e）生产日期；f）产品编号；g）生产厂名称。</w:t>
      </w:r>
      <w:r/>
    </w:p>
    <w:p>
      <w:pPr>
        <w:pStyle w:val="1005"/>
        <w:ind w:left="0" w:firstLine="420"/>
        <w:spacing w:line="360" w:lineRule="auto"/>
        <w:rPr>
          <w:sz w:val="21"/>
          <w:szCs w:val="21"/>
        </w:rPr>
      </w:pPr>
      <w:r>
        <w:rPr>
          <w:rFonts w:hint="eastAsia"/>
          <w:sz w:val="21"/>
          <w:szCs w:val="21"/>
        </w:rPr>
        <w:t xml:space="preserve">18.额定电压：≥DC5V。</w:t>
      </w:r>
      <w:r/>
    </w:p>
    <w:p>
      <w:pPr>
        <w:pStyle w:val="1005"/>
        <w:ind w:left="0" w:firstLine="420"/>
        <w:spacing w:line="360" w:lineRule="auto"/>
        <w:rPr>
          <w:sz w:val="21"/>
          <w:szCs w:val="21"/>
        </w:rPr>
      </w:pPr>
      <w:r>
        <w:rPr>
          <w:rFonts w:hint="eastAsia"/>
          <w:sz w:val="21"/>
          <w:szCs w:val="21"/>
        </w:rPr>
        <w:t xml:space="preserve">19.额定容量≥3Ah。</w:t>
      </w:r>
      <w:r/>
    </w:p>
    <w:p>
      <w:pPr>
        <w:pStyle w:val="1005"/>
        <w:ind w:left="0" w:firstLine="420"/>
        <w:spacing w:line="360" w:lineRule="auto"/>
        <w:rPr>
          <w:sz w:val="21"/>
          <w:szCs w:val="21"/>
        </w:rPr>
      </w:pPr>
      <w:r>
        <w:rPr>
          <w:rFonts w:hint="eastAsia"/>
          <w:sz w:val="21"/>
          <w:szCs w:val="21"/>
        </w:rPr>
        <w:t xml:space="preserve">20.光源功率：≥2*12W（聚光）。</w:t>
      </w:r>
      <w:r/>
    </w:p>
    <w:p>
      <w:pPr>
        <w:pStyle w:val="1005"/>
        <w:ind w:left="0" w:firstLine="420"/>
        <w:spacing w:line="360" w:lineRule="auto"/>
        <w:rPr>
          <w:sz w:val="21"/>
          <w:szCs w:val="21"/>
        </w:rPr>
      </w:pPr>
      <w:r>
        <w:rPr>
          <w:rFonts w:hint="eastAsia"/>
          <w:sz w:val="21"/>
          <w:szCs w:val="21"/>
        </w:rPr>
        <w:t xml:space="preserve">21.外形尺寸：≤250mm*100mm*150mm。</w:t>
      </w:r>
      <w:r/>
    </w:p>
    <w:p>
      <w:pPr>
        <w:pStyle w:val="1005"/>
        <w:ind w:left="0" w:firstLine="420"/>
        <w:spacing w:line="360" w:lineRule="auto"/>
        <w:rPr>
          <w:sz w:val="21"/>
          <w:szCs w:val="21"/>
        </w:rPr>
      </w:pPr>
      <w:r>
        <w:rPr>
          <w:rFonts w:hint="eastAsia"/>
          <w:sz w:val="21"/>
          <w:szCs w:val="21"/>
        </w:rPr>
        <w:t xml:space="preserve">22.灯具采用双光型光源配置，需同时具有暖白光源及冷白光源，可通过开关控制实现冷暖色光源的转换。</w:t>
      </w:r>
      <w:r/>
    </w:p>
    <w:p>
      <w:pPr>
        <w:pStyle w:val="1005"/>
        <w:ind w:left="0" w:firstLine="420"/>
        <w:spacing w:line="360" w:lineRule="auto"/>
        <w:rPr>
          <w:sz w:val="21"/>
          <w:szCs w:val="21"/>
        </w:rPr>
      </w:pPr>
      <w:r>
        <w:rPr>
          <w:rFonts w:hint="eastAsia"/>
          <w:sz w:val="21"/>
          <w:szCs w:val="21"/>
        </w:rPr>
        <w:t xml:space="preserve">23.灯具需具有聚光、泛光、红蓝警示功能。</w:t>
      </w:r>
      <w:r/>
    </w:p>
    <w:p>
      <w:pPr>
        <w:pStyle w:val="1005"/>
        <w:ind w:left="0" w:firstLine="420"/>
        <w:spacing w:line="360" w:lineRule="auto"/>
        <w:rPr>
          <w:sz w:val="21"/>
          <w:szCs w:val="21"/>
        </w:rPr>
      </w:pPr>
      <w:r>
        <w:rPr>
          <w:rFonts w:hint="eastAsia"/>
          <w:sz w:val="21"/>
          <w:szCs w:val="21"/>
        </w:rPr>
        <w:t xml:space="preserve">24.灯具可满足手提、肩挎。</w:t>
      </w:r>
      <w:r/>
    </w:p>
    <w:p>
      <w:pPr>
        <w:pStyle w:val="1005"/>
        <w:ind w:left="0" w:firstLine="420"/>
        <w:spacing w:line="360" w:lineRule="auto"/>
        <w:rPr>
          <w:sz w:val="21"/>
          <w:szCs w:val="21"/>
        </w:rPr>
      </w:pPr>
      <w:r>
        <w:rPr>
          <w:rFonts w:hint="eastAsia"/>
          <w:sz w:val="21"/>
          <w:szCs w:val="21"/>
        </w:rPr>
        <w:t xml:space="preserve">25.灯具可直观查看电池电量、剩余工作时间及灯具工作状态。</w:t>
      </w:r>
      <w:r/>
    </w:p>
    <w:p>
      <w:pPr>
        <w:pStyle w:val="1005"/>
        <w:ind w:left="0" w:firstLine="422"/>
        <w:spacing w:line="360" w:lineRule="auto"/>
        <w:rPr>
          <w:b/>
          <w:bCs/>
          <w:sz w:val="21"/>
          <w:szCs w:val="21"/>
        </w:rPr>
      </w:pPr>
      <w:r>
        <w:rPr>
          <w:rFonts w:hint="eastAsia"/>
          <w:b/>
          <w:bCs/>
          <w:sz w:val="21"/>
          <w:szCs w:val="21"/>
        </w:rPr>
        <w:t xml:space="preserve">注：投标时需提供样品及检验报告，检验报告至少体现第9、10、16项参数。</w:t>
      </w:r>
      <w:r/>
    </w:p>
    <w:p>
      <w:r/>
      <w:r/>
    </w:p>
    <w:p>
      <w:pPr>
        <w:pStyle w:val="1005"/>
        <w:ind w:left="0" w:firstLine="422"/>
        <w:spacing w:line="360" w:lineRule="auto"/>
        <w:rPr>
          <w:b/>
          <w:bCs/>
          <w:sz w:val="21"/>
          <w:szCs w:val="21"/>
        </w:rPr>
        <w:outlineLvl w:val="0"/>
      </w:pPr>
      <w:r>
        <w:rPr>
          <w:rFonts w:hint="eastAsia"/>
          <w:b/>
          <w:bCs/>
          <w:sz w:val="21"/>
          <w:szCs w:val="21"/>
        </w:rPr>
        <w:t xml:space="preserve">包三（消防用红外热像仪）：</w:t>
      </w:r>
      <w:r/>
    </w:p>
    <w:tbl>
      <w:tblPr>
        <w:tblStyle w:val="1053"/>
        <w:tblW w:w="87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0"/>
        <w:gridCol w:w="2069"/>
        <w:gridCol w:w="737"/>
        <w:gridCol w:w="737"/>
        <w:gridCol w:w="883"/>
        <w:gridCol w:w="1196"/>
        <w:gridCol w:w="2217"/>
      </w:tblGrid>
      <w:tr>
        <w:trPr>
          <w:jc w:val="center"/>
          <w:trHeight w:val="448"/>
        </w:trPr>
        <w:tc>
          <w:tcPr>
            <w:tcW w:w="910" w:type="dxa"/>
            <w:vAlign w:val="center"/>
            <w:textDirection w:val="lrTb"/>
            <w:noWrap w:val="false"/>
          </w:tcPr>
          <w:p>
            <w:pPr>
              <w:ind w:left="0"/>
              <w:jc w:val="center"/>
              <w:spacing w:line="24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包号</w:t>
            </w:r>
            <w:r/>
          </w:p>
        </w:tc>
        <w:tc>
          <w:tcPr>
            <w:tcW w:w="2069" w:type="dxa"/>
            <w:vAlign w:val="center"/>
            <w:textDirection w:val="lrTb"/>
            <w:noWrap w:val="false"/>
          </w:tcPr>
          <w:p>
            <w:pPr>
              <w:ind w:left="0"/>
              <w:jc w:val="center"/>
              <w:spacing w:line="24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装备名称</w:t>
            </w:r>
            <w:r/>
          </w:p>
        </w:tc>
        <w:tc>
          <w:tcPr>
            <w:tcW w:w="737" w:type="dxa"/>
            <w:vAlign w:val="center"/>
            <w:textDirection w:val="lrTb"/>
            <w:noWrap w:val="false"/>
          </w:tcPr>
          <w:p>
            <w:pPr>
              <w:ind w:left="0"/>
              <w:jc w:val="center"/>
              <w:spacing w:line="24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计量单位</w:t>
            </w:r>
            <w:r/>
          </w:p>
        </w:tc>
        <w:tc>
          <w:tcPr>
            <w:tcW w:w="737" w:type="dxa"/>
            <w:vAlign w:val="center"/>
            <w:textDirection w:val="lrTb"/>
            <w:noWrap w:val="false"/>
          </w:tcPr>
          <w:p>
            <w:pPr>
              <w:ind w:left="0"/>
              <w:jc w:val="center"/>
              <w:spacing w:line="24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数量</w:t>
            </w:r>
            <w:r/>
          </w:p>
        </w:tc>
        <w:tc>
          <w:tcPr>
            <w:tcW w:w="883" w:type="dxa"/>
            <w:vAlign w:val="center"/>
            <w:textDirection w:val="lrTb"/>
            <w:noWrap w:val="false"/>
          </w:tcPr>
          <w:p>
            <w:pPr>
              <w:ind w:left="0"/>
              <w:jc w:val="center"/>
              <w:spacing w:line="24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单价限价（万元）</w:t>
            </w:r>
            <w:r/>
          </w:p>
        </w:tc>
        <w:tc>
          <w:tcPr>
            <w:tcW w:w="1196" w:type="dxa"/>
            <w:vAlign w:val="center"/>
            <w:textDirection w:val="lrTb"/>
            <w:noWrap w:val="false"/>
          </w:tcPr>
          <w:p>
            <w:pPr>
              <w:ind w:left="0"/>
              <w:jc w:val="center"/>
              <w:spacing w:line="24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核心产品</w:t>
            </w:r>
            <w:r/>
          </w:p>
        </w:tc>
        <w:tc>
          <w:tcPr>
            <w:tcW w:w="2217" w:type="dxa"/>
            <w:vAlign w:val="center"/>
            <w:textDirection w:val="lrTb"/>
            <w:noWrap w:val="false"/>
          </w:tcPr>
          <w:p>
            <w:pPr>
              <w:ind w:left="0"/>
              <w:jc w:val="center"/>
              <w:spacing w:line="24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备注</w:t>
            </w:r>
            <w:r/>
          </w:p>
        </w:tc>
      </w:tr>
      <w:tr>
        <w:trPr>
          <w:jc w:val="center"/>
          <w:trHeight w:val="17"/>
        </w:trPr>
        <w:tc>
          <w:tcPr>
            <w:tcW w:w="910"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w:t>
            </w:r>
            <w:r/>
          </w:p>
        </w:tc>
        <w:tc>
          <w:tcPr>
            <w:tcW w:w="2069"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pacing w:val="-4"/>
                <w:sz w:val="21"/>
                <w:szCs w:val="21"/>
              </w:rPr>
            </w:pPr>
            <w:r>
              <w:rPr>
                <w:rFonts w:hint="eastAsia" w:asciiTheme="minorEastAsia" w:hAnsiTheme="minorEastAsia" w:eastAsiaTheme="minorEastAsia" w:cstheme="minorEastAsia"/>
                <w:spacing w:val="-4"/>
                <w:sz w:val="21"/>
                <w:szCs w:val="21"/>
              </w:rPr>
              <w:t xml:space="preserve">消防用红外热像仪</w:t>
            </w:r>
            <w:r/>
          </w:p>
        </w:tc>
        <w:tc>
          <w:tcPr>
            <w:tcW w:w="737"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rPr>
              <w:t xml:space="preserve">个</w:t>
            </w:r>
            <w:r/>
          </w:p>
        </w:tc>
        <w:tc>
          <w:tcPr>
            <w:tcW w:w="737"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34</w:t>
            </w:r>
            <w:r/>
          </w:p>
        </w:tc>
        <w:tc>
          <w:tcPr>
            <w:tcW w:w="883"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7.5</w:t>
            </w:r>
            <w:r/>
          </w:p>
        </w:tc>
        <w:tc>
          <w:tcPr>
            <w:tcW w:w="1196"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2217" w:type="dxa"/>
            <w:vAlign w:val="center"/>
            <w:textDirection w:val="lrTb"/>
            <w:noWrap w:val="false"/>
          </w:tcPr>
          <w:p>
            <w:pPr>
              <w:ind w:left="0"/>
              <w:jc w:val="center"/>
              <w:spacing w:line="24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提供不少于3分钟的产品操作演示视频</w:t>
            </w:r>
            <w:r/>
          </w:p>
        </w:tc>
      </w:tr>
    </w:tbl>
    <w:p>
      <w:pPr>
        <w:ind w:left="0" w:firstLine="422"/>
        <w:rPr>
          <w:b/>
          <w:bCs/>
          <w:sz w:val="21"/>
          <w:szCs w:val="21"/>
        </w:rPr>
      </w:pPr>
      <w:r>
        <w:rPr>
          <w:rFonts w:hint="eastAsia" w:ascii="宋体" w:hAnsi="宋体"/>
          <w:b/>
          <w:sz w:val="21"/>
          <w:szCs w:val="21"/>
        </w:rPr>
        <w:t xml:space="preserve">注：</w:t>
      </w:r>
      <w:r>
        <w:rPr>
          <w:rFonts w:hint="eastAsia" w:ascii="宋体" w:hAnsi="宋体"/>
          <w:b/>
          <w:bCs/>
          <w:sz w:val="21"/>
          <w:szCs w:val="21"/>
          <w:lang w:val="zh-CN"/>
        </w:rPr>
        <w:t xml:space="preserve">公开分项报价中的单价报价不可高于最高单价限价，否则为非实质性响应，投标无效。</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（一）消防用红外热像仪</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1.热像仪尺寸≤220mm*110mm*100mm。</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▲2.重量（含充电电池）≤1000克。</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3.电源系统：需标配不少于两块磷酸铁锂充电电池，完全充放电次数大于1000次，每块电池使用时间大于2小时，电池电量需在屏幕中显示。电源需标配国标可替换插头及车载12V电源线。</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4.屏幕：LCD屏幕尺寸≥2.7英寸，分辨率≥384 x 288 阵列，探测器刷新率≥60Hz; 屏幕刷新率≥30Hz;2倍和4倍数字变焦。</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▲5.传感器：需采用非晶硅材料，传感器敏感度NETD≤50mK (0.05℃)。</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★6.需提供高温锗材质滤镜，锗镜头直径需大于20毫米，锗镜头厚度大于1.8毫米并涂有耐磨涂层。</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7.屏幕色彩模式不低于6种，分别提供火场、人员搜救、预估、检测、失踪人员、火情模式便于各种情况下使用；色彩模式、系统故障警告、温度过热警告等信息需要以中文显示。</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8.热像仪防护等级需满足IP67，可以短暂置于水中；满足2米跌落试验。在-20℃至85℃之间可持续工作，在150℃环境下工作10分钟，在260℃环境下工作5分钟。</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9.直接温度测量范围需满足：-40℃---1000℃，并具有温度变化指针显示功能。需标配火场中最高温及最低温指针搜寻功能，并同时显示最高及最低温度，便于火场中快速定位及冷热追踪。</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10.充电座需同时具有充电、数据传输、下载照片及视频功能，并标配充电座固定支架、充电座与电脑USB连接线、热像仪可伸缩挂绳、热像仪口袋夹。</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11.热像仪需标配功能设置软件，与电脑连接后可以更改按键功能设置。</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12.需标配内置存储卡，可存储拍摄的照片和视频，存储容量≥16G。</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▲13.热像仪开机时间≤6秒，关机时间≤3秒。</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▲14.功能按键可分配并满足以下热像仪功能：变焦、色彩模式循环切换、图像冻结、图像拍摄、视频录制、图像播放、视频播放、最高/最低温度搜索。</w:t>
      </w:r>
      <w:r/>
    </w:p>
    <w:p>
      <w:pPr>
        <w:ind w:left="0" w:firstLine="422"/>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注：提供不少3分钟的产品操作演示视频。提供所投产品的检验报告（出具报告的检测机构应具有同类产品的CMA认证授权），至少体现1、2、5、6、8、9等相关参数。</w:t>
      </w:r>
      <w:r/>
    </w:p>
    <w:p>
      <w:pPr>
        <w:ind w:left="0" w:firstLine="420"/>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ind w:left="0" w:firstLine="422"/>
        <w:spacing w:line="360" w:lineRule="auto"/>
        <w:rPr>
          <w:rFonts w:asciiTheme="minorEastAsia" w:hAnsiTheme="minorEastAsia" w:eastAsiaTheme="minorEastAsia" w:cstheme="minorEastAsia"/>
          <w:b/>
          <w:bCs/>
          <w:sz w:val="21"/>
          <w:szCs w:val="21"/>
        </w:rPr>
        <w:outlineLvl w:val="0"/>
      </w:pPr>
      <w:r>
        <w:rPr>
          <w:rFonts w:hint="eastAsia" w:asciiTheme="minorEastAsia" w:hAnsiTheme="minorEastAsia" w:eastAsiaTheme="minorEastAsia" w:cstheme="minorEastAsia"/>
          <w:b/>
          <w:bCs/>
          <w:sz w:val="21"/>
          <w:szCs w:val="21"/>
        </w:rPr>
        <w:t xml:space="preserve">包四（有毒气体探测仪、漏电探测仪（漏电探测棒））：</w:t>
      </w:r>
      <w:r/>
    </w:p>
    <w:tbl>
      <w:tblPr>
        <w:tblStyle w:val="1053"/>
        <w:tblW w:w="87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4"/>
        <w:gridCol w:w="2069"/>
        <w:gridCol w:w="737"/>
        <w:gridCol w:w="737"/>
        <w:gridCol w:w="883"/>
        <w:gridCol w:w="1196"/>
        <w:gridCol w:w="2217"/>
      </w:tblGrid>
      <w:tr>
        <w:trPr>
          <w:jc w:val="center"/>
          <w:trHeight w:val="448"/>
        </w:trPr>
        <w:tc>
          <w:tcPr>
            <w:tcW w:w="864" w:type="dxa"/>
            <w:vAlign w:val="center"/>
            <w:textDirection w:val="lrTb"/>
            <w:noWrap w:val="false"/>
          </w:tcPr>
          <w:p>
            <w:pPr>
              <w:ind w:left="0"/>
              <w:jc w:val="center"/>
              <w:spacing w:line="240" w:lineRule="exact"/>
              <w:widowControl w:val="off"/>
              <w:rPr>
                <w:rFonts w:ascii="宋体" w:hAnsi="宋体"/>
                <w:b/>
                <w:bCs/>
                <w:sz w:val="21"/>
                <w:szCs w:val="21"/>
              </w:rPr>
            </w:pPr>
            <w:r>
              <w:rPr>
                <w:rFonts w:hint="eastAsia" w:ascii="宋体" w:hAnsi="宋体"/>
                <w:b/>
                <w:bCs/>
                <w:sz w:val="21"/>
                <w:szCs w:val="21"/>
              </w:rPr>
              <w:t xml:space="preserve">包号</w:t>
            </w:r>
            <w:r/>
          </w:p>
        </w:tc>
        <w:tc>
          <w:tcPr>
            <w:tcW w:w="2069" w:type="dxa"/>
            <w:vAlign w:val="center"/>
            <w:textDirection w:val="lrTb"/>
            <w:noWrap w:val="false"/>
          </w:tcPr>
          <w:p>
            <w:pPr>
              <w:ind w:left="0"/>
              <w:jc w:val="center"/>
              <w:spacing w:line="240" w:lineRule="exact"/>
              <w:widowControl w:val="off"/>
              <w:rPr>
                <w:rFonts w:ascii="宋体" w:hAnsi="宋体"/>
                <w:b/>
                <w:bCs/>
                <w:sz w:val="21"/>
                <w:szCs w:val="21"/>
              </w:rPr>
            </w:pPr>
            <w:r>
              <w:rPr>
                <w:rFonts w:hint="eastAsia" w:ascii="宋体" w:hAnsi="宋体"/>
                <w:b/>
                <w:bCs/>
                <w:sz w:val="21"/>
                <w:szCs w:val="21"/>
              </w:rPr>
              <w:t xml:space="preserve">装备名称</w:t>
            </w:r>
            <w:r/>
          </w:p>
        </w:tc>
        <w:tc>
          <w:tcPr>
            <w:tcW w:w="737" w:type="dxa"/>
            <w:vAlign w:val="center"/>
            <w:textDirection w:val="lrTb"/>
            <w:noWrap w:val="false"/>
          </w:tcPr>
          <w:p>
            <w:pPr>
              <w:ind w:left="0"/>
              <w:jc w:val="center"/>
              <w:spacing w:line="240" w:lineRule="exact"/>
              <w:widowControl w:val="off"/>
              <w:rPr>
                <w:rFonts w:ascii="宋体" w:hAnsi="宋体"/>
                <w:b/>
                <w:bCs/>
                <w:sz w:val="21"/>
                <w:szCs w:val="21"/>
              </w:rPr>
            </w:pPr>
            <w:r>
              <w:rPr>
                <w:rFonts w:hint="eastAsia" w:ascii="宋体" w:hAnsi="宋体"/>
                <w:b/>
                <w:bCs/>
                <w:sz w:val="21"/>
                <w:szCs w:val="21"/>
              </w:rPr>
              <w:t xml:space="preserve">计量单位</w:t>
            </w:r>
            <w:r/>
          </w:p>
        </w:tc>
        <w:tc>
          <w:tcPr>
            <w:tcW w:w="737" w:type="dxa"/>
            <w:vAlign w:val="center"/>
            <w:textDirection w:val="lrTb"/>
            <w:noWrap w:val="false"/>
          </w:tcPr>
          <w:p>
            <w:pPr>
              <w:ind w:left="0"/>
              <w:jc w:val="center"/>
              <w:spacing w:line="240" w:lineRule="exact"/>
              <w:widowControl w:val="off"/>
              <w:rPr>
                <w:rFonts w:ascii="宋体" w:hAnsi="宋体"/>
                <w:b/>
                <w:bCs/>
                <w:sz w:val="21"/>
                <w:szCs w:val="21"/>
              </w:rPr>
            </w:pPr>
            <w:r>
              <w:rPr>
                <w:rFonts w:hint="eastAsia" w:ascii="宋体" w:hAnsi="宋体"/>
                <w:b/>
                <w:bCs/>
                <w:sz w:val="21"/>
                <w:szCs w:val="21"/>
              </w:rPr>
              <w:t xml:space="preserve">数量</w:t>
            </w:r>
            <w:r/>
          </w:p>
        </w:tc>
        <w:tc>
          <w:tcPr>
            <w:tcW w:w="883" w:type="dxa"/>
            <w:vAlign w:val="center"/>
            <w:textDirection w:val="lrTb"/>
            <w:noWrap w:val="false"/>
          </w:tcPr>
          <w:p>
            <w:pPr>
              <w:ind w:left="0"/>
              <w:jc w:val="center"/>
              <w:spacing w:line="240" w:lineRule="exact"/>
              <w:widowControl w:val="off"/>
              <w:rPr>
                <w:rFonts w:ascii="宋体" w:hAnsi="宋体"/>
                <w:b/>
                <w:bCs/>
                <w:sz w:val="21"/>
                <w:szCs w:val="21"/>
              </w:rPr>
            </w:pPr>
            <w:r>
              <w:rPr>
                <w:rFonts w:hint="eastAsia" w:asciiTheme="minorEastAsia" w:hAnsiTheme="minorEastAsia" w:eastAsiaTheme="minorEastAsia" w:cstheme="minorEastAsia"/>
                <w:b/>
                <w:bCs/>
                <w:sz w:val="21"/>
                <w:szCs w:val="21"/>
              </w:rPr>
              <w:t xml:space="preserve">单价限价（万元）</w:t>
            </w:r>
            <w:r/>
          </w:p>
        </w:tc>
        <w:tc>
          <w:tcPr>
            <w:tcW w:w="1196" w:type="dxa"/>
            <w:vAlign w:val="center"/>
            <w:textDirection w:val="lrTb"/>
            <w:noWrap w:val="false"/>
          </w:tcPr>
          <w:p>
            <w:pPr>
              <w:ind w:left="0"/>
              <w:jc w:val="center"/>
              <w:spacing w:line="240" w:lineRule="exact"/>
              <w:widowControl w:val="off"/>
              <w:rPr>
                <w:rFonts w:ascii="宋体" w:hAnsi="宋体"/>
                <w:b/>
                <w:bCs/>
                <w:sz w:val="21"/>
                <w:szCs w:val="21"/>
              </w:rPr>
            </w:pPr>
            <w:r>
              <w:rPr>
                <w:rFonts w:hint="eastAsia" w:ascii="宋体" w:hAnsi="宋体"/>
                <w:b/>
                <w:bCs/>
                <w:sz w:val="21"/>
                <w:szCs w:val="21"/>
              </w:rPr>
              <w:t xml:space="preserve">核心产品</w:t>
            </w:r>
            <w:r/>
          </w:p>
        </w:tc>
        <w:tc>
          <w:tcPr>
            <w:tcW w:w="2217" w:type="dxa"/>
            <w:vAlign w:val="center"/>
            <w:textDirection w:val="lrTb"/>
            <w:noWrap w:val="false"/>
          </w:tcPr>
          <w:p>
            <w:pPr>
              <w:ind w:left="0"/>
              <w:jc w:val="center"/>
              <w:spacing w:line="240" w:lineRule="exact"/>
              <w:widowControl w:val="off"/>
              <w:rPr>
                <w:rFonts w:ascii="宋体" w:hAnsi="宋体"/>
                <w:b/>
                <w:bCs/>
                <w:sz w:val="21"/>
                <w:szCs w:val="21"/>
              </w:rPr>
            </w:pPr>
            <w:r>
              <w:rPr>
                <w:rFonts w:hint="eastAsia" w:ascii="宋体" w:hAnsi="宋体"/>
                <w:b/>
                <w:bCs/>
                <w:sz w:val="21"/>
                <w:szCs w:val="21"/>
              </w:rPr>
              <w:t xml:space="preserve">备注</w:t>
            </w:r>
            <w:r/>
          </w:p>
        </w:tc>
      </w:tr>
      <w:tr>
        <w:trPr>
          <w:jc w:val="center"/>
          <w:trHeight w:val="17"/>
        </w:trPr>
        <w:tc>
          <w:tcPr>
            <w:tcW w:w="864" w:type="dxa"/>
            <w:vAlign w:val="center"/>
            <w:vMerge w:val="restart"/>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4</w:t>
            </w:r>
            <w:r/>
          </w:p>
        </w:tc>
        <w:tc>
          <w:tcPr>
            <w:tcW w:w="2069"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有毒气体探测仪</w:t>
            </w:r>
            <w:r/>
          </w:p>
        </w:tc>
        <w:tc>
          <w:tcPr>
            <w:tcW w:w="737"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bCs/>
                <w:sz w:val="21"/>
                <w:szCs w:val="21"/>
              </w:rPr>
              <w:t xml:space="preserve">个</w:t>
            </w:r>
            <w:r/>
          </w:p>
        </w:tc>
        <w:tc>
          <w:tcPr>
            <w:tcW w:w="737"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53</w:t>
            </w:r>
            <w:r/>
          </w:p>
        </w:tc>
        <w:tc>
          <w:tcPr>
            <w:tcW w:w="883"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1.2</w:t>
            </w:r>
            <w:r/>
          </w:p>
        </w:tc>
        <w:tc>
          <w:tcPr>
            <w:tcW w:w="1196"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核心产品</w:t>
            </w:r>
            <w:r/>
          </w:p>
        </w:tc>
        <w:tc>
          <w:tcPr>
            <w:tcW w:w="2217"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需提供样品</w:t>
            </w:r>
            <w:r/>
          </w:p>
        </w:tc>
      </w:tr>
      <w:tr>
        <w:trPr>
          <w:jc w:val="center"/>
          <w:trHeight w:val="17"/>
        </w:trPr>
        <w:tc>
          <w:tcPr>
            <w:tcW w:w="864" w:type="dxa"/>
            <w:vAlign w:val="center"/>
            <w:vMerge w:val="continue"/>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2069"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漏电探测仪</w:t>
            </w:r>
            <w:r/>
          </w:p>
          <w:p>
            <w:pPr>
              <w:ind w:left="0"/>
              <w:jc w:val="center"/>
              <w:spacing w:line="276" w:lineRule="auto"/>
              <w:widowControl w:val="off"/>
              <w:rPr>
                <w:rFonts w:ascii="宋体" w:hAnsi="宋体"/>
                <w:sz w:val="21"/>
                <w:szCs w:val="21"/>
              </w:rPr>
            </w:pPr>
            <w:r>
              <w:rPr>
                <w:rFonts w:hint="eastAsia" w:ascii="宋体" w:hAnsi="宋体"/>
                <w:sz w:val="21"/>
                <w:szCs w:val="21"/>
              </w:rPr>
              <w:t xml:space="preserve">（漏电探测棒）</w:t>
            </w:r>
            <w:r/>
          </w:p>
        </w:tc>
        <w:tc>
          <w:tcPr>
            <w:tcW w:w="737" w:type="dxa"/>
            <w:vAlign w:val="center"/>
            <w:textDirection w:val="lrTb"/>
            <w:noWrap w:val="false"/>
          </w:tcPr>
          <w:p>
            <w:pPr>
              <w:ind w:left="0"/>
              <w:jc w:val="center"/>
              <w:spacing w:line="276" w:lineRule="auto"/>
              <w:widowControl w:val="off"/>
              <w:rPr>
                <w:rFonts w:ascii="宋体" w:hAnsi="宋体"/>
                <w:bCs/>
                <w:sz w:val="21"/>
                <w:szCs w:val="21"/>
              </w:rPr>
            </w:pPr>
            <w:r>
              <w:rPr>
                <w:rFonts w:hint="eastAsia" w:ascii="宋体" w:hAnsi="宋体"/>
                <w:bCs/>
                <w:sz w:val="21"/>
                <w:szCs w:val="21"/>
              </w:rPr>
              <w:t xml:space="preserve">个</w:t>
            </w:r>
            <w:r/>
          </w:p>
        </w:tc>
        <w:tc>
          <w:tcPr>
            <w:tcW w:w="737"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82</w:t>
            </w:r>
            <w:r/>
          </w:p>
        </w:tc>
        <w:tc>
          <w:tcPr>
            <w:tcW w:w="883"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0.3</w:t>
            </w:r>
            <w:r/>
          </w:p>
        </w:tc>
        <w:tc>
          <w:tcPr>
            <w:tcW w:w="1196" w:type="dxa"/>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2217"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需提供样品</w:t>
            </w:r>
            <w:r/>
          </w:p>
        </w:tc>
      </w:tr>
    </w:tbl>
    <w:p>
      <w:pPr>
        <w:ind w:left="0" w:firstLine="422"/>
        <w:spacing w:line="360" w:lineRule="auto"/>
        <w:rPr>
          <w:rFonts w:ascii="宋体" w:hAnsi="宋体"/>
          <w:b/>
          <w:bCs/>
          <w:sz w:val="21"/>
          <w:szCs w:val="21"/>
          <w:lang w:val="zh-CN"/>
        </w:rPr>
      </w:pPr>
      <w:r>
        <w:rPr>
          <w:rFonts w:hint="eastAsia" w:ascii="宋体" w:hAnsi="宋体"/>
          <w:b/>
          <w:sz w:val="21"/>
          <w:szCs w:val="21"/>
        </w:rPr>
        <w:t xml:space="preserve">注：</w:t>
      </w:r>
      <w:r>
        <w:rPr>
          <w:rFonts w:hint="eastAsia" w:ascii="宋体" w:hAnsi="宋体"/>
          <w:b/>
          <w:bCs/>
          <w:sz w:val="21"/>
          <w:szCs w:val="21"/>
          <w:lang w:val="zh-CN"/>
        </w:rPr>
        <w:t xml:space="preserve">公开分项报价中的单价报价不可高于最高单价限价，否则为非实质性响应，投标无效。</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（一）有毒气体探测仪</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1.结构组成：四合一气体探测仪主机、内置四种传感器、充电套装（电池仓及充电器）。主要应用场景：用于火灾或泄漏、受限空间等救援现场有毒有害气体探测。</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▲2.提供所投产品的消防产品认证证书，出具证书的认证机构应经国务院认证认可监督管理部门批准依法取得相应资质。</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▲3.提供防爆合格证，防爆等级不低于 Ex ia IIC T4 Ga。</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4.防护等级不低于IP68（潜水深度1.5米，潜水时间30分钟）。 </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5.至少需要提供可燃气体、O2、H2S、CO 4个气体传感器。</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6.催化燃烧式传感器同时具有0-100%LEL和0-5%VOLCH4两个量程，传感器寿命≥4年。 </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▲7.传感器可检测多种可燃性气体，内置可检测气体库。探测仪可设置测量气体、校准气体和功能测试气体。 </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8.催化燃烧式可燃气体传感器具有高抗中毒性：H2S 1000ppmh≤±2%（灵敏度）；HMDS 10ppmh ≤±5%（灵敏度）。 </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▲9.探测仪感知分辨率约为0.01%VOL，报警值可设定为 0.2%VOL和0.5%VOL。 </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10.O2 为独立传感器，量程 0—25%VOL，分辨率 0.1%VOL，T90≤10s，寿命≥5 年。 </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11.CO 为独立传感器，量程 0-1900ppm，分辨率1ppm，T90≤15s，寿命≥5 年。 </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12.H2S 为独立传感器，量程 0-100ppm，分辨率0.1ppm，T90≤15s，寿命≥5 年。 </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13.具有报警功能，提供声、光和振动报警，多音频，30 厘米处≥90 分贝。</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14.具有数据存储能力，数据存储≥1000 小时。</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15.可在-40～50℃的温度范围内正常工作。</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16.具有较强的抗震和抗摔性能，整机有效抗跌落≥2米。</w:t>
      </w:r>
      <w:r/>
    </w:p>
    <w:p>
      <w:pPr>
        <w:ind w:left="0" w:firstLine="422"/>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注：投标时需提供样品及检验报告（出具报告的检验机构应具有同类产品的CMA认证），检验报告至少体现15项参数。</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（二）漏电探测仪（漏电探测棒）</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1.用于检测各类事故造成的漏电，无需接触电源即可探测安全距离范围内泄漏电源的具体位置。</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▲2.具有3档灵敏度探测方式。在最高灵敏度探测方式下，探测46KV的测量距离≥150m，探测120/240V交流电的测量距离≥5m。</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▲3.探测棒采用符合国家电气绝缘标准的绝缘材质，长度≤550mm，直径≤50mm。具备声光报警功能，警报声和频率会随着探测到的信号强弱而自动变化。</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4.操作温度范围不低于：-20～50℃。</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5.配备可充电电池，满电状态下可持续工作≥8h。</w:t>
      </w:r>
      <w:r/>
    </w:p>
    <w:p>
      <w:pPr>
        <w:ind w:left="0" w:firstLine="422"/>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注：投标时需提供样品及检验报告（出具报告的检验机构应具有CMA认证），检验报告至少体现3、4项参数。</w:t>
      </w:r>
      <w:r/>
    </w:p>
    <w:p>
      <w:pPr>
        <w:ind w:left="0" w:firstLine="420"/>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ind w:left="0" w:firstLine="422"/>
        <w:spacing w:line="360" w:lineRule="auto"/>
        <w:rPr>
          <w:rFonts w:asciiTheme="minorEastAsia" w:hAnsiTheme="minorEastAsia" w:eastAsiaTheme="minorEastAsia" w:cstheme="minorEastAsia"/>
          <w:b/>
          <w:bCs/>
          <w:sz w:val="21"/>
          <w:szCs w:val="21"/>
        </w:rPr>
        <w:outlineLvl w:val="0"/>
      </w:pPr>
      <w:r>
        <w:rPr>
          <w:rFonts w:hint="eastAsia" w:asciiTheme="minorEastAsia" w:hAnsiTheme="minorEastAsia" w:eastAsiaTheme="minorEastAsia" w:cstheme="minorEastAsia"/>
          <w:b/>
          <w:bCs/>
          <w:sz w:val="21"/>
          <w:szCs w:val="21"/>
        </w:rPr>
        <w:t xml:space="preserve">包五（高压森林消防泵、消防拉梯（6米竹制）、消防员降温背心）：</w:t>
      </w:r>
      <w:r/>
    </w:p>
    <w:tbl>
      <w:tblPr>
        <w:tblStyle w:val="1053"/>
        <w:tblW w:w="87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4"/>
        <w:gridCol w:w="2069"/>
        <w:gridCol w:w="737"/>
        <w:gridCol w:w="737"/>
        <w:gridCol w:w="883"/>
        <w:gridCol w:w="1196"/>
        <w:gridCol w:w="2217"/>
      </w:tblGrid>
      <w:tr>
        <w:trPr>
          <w:jc w:val="center"/>
          <w:trHeight w:val="448"/>
        </w:trPr>
        <w:tc>
          <w:tcPr>
            <w:tcW w:w="864" w:type="dxa"/>
            <w:vAlign w:val="center"/>
            <w:textDirection w:val="lrTb"/>
            <w:noWrap w:val="false"/>
          </w:tcPr>
          <w:p>
            <w:pPr>
              <w:ind w:left="0"/>
              <w:jc w:val="center"/>
              <w:spacing w:line="240" w:lineRule="exact"/>
              <w:widowControl w:val="off"/>
              <w:rPr>
                <w:rFonts w:ascii="宋体" w:hAnsi="宋体"/>
                <w:b/>
                <w:bCs/>
                <w:sz w:val="21"/>
                <w:szCs w:val="21"/>
              </w:rPr>
            </w:pPr>
            <w:r>
              <w:rPr>
                <w:rFonts w:hint="eastAsia" w:ascii="宋体" w:hAnsi="宋体"/>
                <w:b/>
                <w:bCs/>
                <w:sz w:val="21"/>
                <w:szCs w:val="21"/>
              </w:rPr>
              <w:t xml:space="preserve">包号</w:t>
            </w:r>
            <w:r/>
          </w:p>
        </w:tc>
        <w:tc>
          <w:tcPr>
            <w:tcW w:w="2069" w:type="dxa"/>
            <w:vAlign w:val="center"/>
            <w:textDirection w:val="lrTb"/>
            <w:noWrap w:val="false"/>
          </w:tcPr>
          <w:p>
            <w:pPr>
              <w:ind w:left="0"/>
              <w:jc w:val="center"/>
              <w:spacing w:line="240" w:lineRule="exact"/>
              <w:widowControl w:val="off"/>
              <w:rPr>
                <w:rFonts w:ascii="宋体" w:hAnsi="宋体"/>
                <w:b/>
                <w:bCs/>
                <w:sz w:val="21"/>
                <w:szCs w:val="21"/>
              </w:rPr>
            </w:pPr>
            <w:r>
              <w:rPr>
                <w:rFonts w:hint="eastAsia" w:ascii="宋体" w:hAnsi="宋体"/>
                <w:b/>
                <w:bCs/>
                <w:sz w:val="21"/>
                <w:szCs w:val="21"/>
              </w:rPr>
              <w:t xml:space="preserve">装备名称</w:t>
            </w:r>
            <w:r/>
          </w:p>
        </w:tc>
        <w:tc>
          <w:tcPr>
            <w:tcW w:w="737" w:type="dxa"/>
            <w:vAlign w:val="center"/>
            <w:textDirection w:val="lrTb"/>
            <w:noWrap w:val="false"/>
          </w:tcPr>
          <w:p>
            <w:pPr>
              <w:ind w:left="0"/>
              <w:jc w:val="center"/>
              <w:spacing w:line="240" w:lineRule="exact"/>
              <w:widowControl w:val="off"/>
              <w:rPr>
                <w:rFonts w:ascii="宋体" w:hAnsi="宋体"/>
                <w:b/>
                <w:bCs/>
                <w:sz w:val="21"/>
                <w:szCs w:val="21"/>
              </w:rPr>
            </w:pPr>
            <w:r>
              <w:rPr>
                <w:rFonts w:hint="eastAsia" w:ascii="宋体" w:hAnsi="宋体"/>
                <w:b/>
                <w:bCs/>
                <w:sz w:val="21"/>
                <w:szCs w:val="21"/>
              </w:rPr>
              <w:t xml:space="preserve">计量单位</w:t>
            </w:r>
            <w:r/>
          </w:p>
        </w:tc>
        <w:tc>
          <w:tcPr>
            <w:tcW w:w="737" w:type="dxa"/>
            <w:vAlign w:val="center"/>
            <w:textDirection w:val="lrTb"/>
            <w:noWrap w:val="false"/>
          </w:tcPr>
          <w:p>
            <w:pPr>
              <w:ind w:left="0"/>
              <w:jc w:val="center"/>
              <w:spacing w:line="240" w:lineRule="exact"/>
              <w:widowControl w:val="off"/>
              <w:rPr>
                <w:rFonts w:ascii="宋体" w:hAnsi="宋体"/>
                <w:b/>
                <w:bCs/>
                <w:sz w:val="21"/>
                <w:szCs w:val="21"/>
              </w:rPr>
            </w:pPr>
            <w:r>
              <w:rPr>
                <w:rFonts w:hint="eastAsia" w:ascii="宋体" w:hAnsi="宋体"/>
                <w:b/>
                <w:bCs/>
                <w:sz w:val="21"/>
                <w:szCs w:val="21"/>
              </w:rPr>
              <w:t xml:space="preserve">数量</w:t>
            </w:r>
            <w:r/>
          </w:p>
        </w:tc>
        <w:tc>
          <w:tcPr>
            <w:tcW w:w="883" w:type="dxa"/>
            <w:vAlign w:val="center"/>
            <w:textDirection w:val="lrTb"/>
            <w:noWrap w:val="false"/>
          </w:tcPr>
          <w:p>
            <w:pPr>
              <w:ind w:left="0"/>
              <w:jc w:val="center"/>
              <w:spacing w:line="240" w:lineRule="exact"/>
              <w:widowControl w:val="off"/>
              <w:rPr>
                <w:rFonts w:ascii="宋体" w:hAnsi="宋体"/>
                <w:b/>
                <w:bCs/>
                <w:sz w:val="21"/>
                <w:szCs w:val="21"/>
              </w:rPr>
            </w:pPr>
            <w:r>
              <w:rPr>
                <w:rFonts w:hint="eastAsia" w:asciiTheme="minorEastAsia" w:hAnsiTheme="minorEastAsia" w:eastAsiaTheme="minorEastAsia" w:cstheme="minorEastAsia"/>
                <w:b/>
                <w:bCs/>
                <w:sz w:val="21"/>
                <w:szCs w:val="21"/>
              </w:rPr>
              <w:t xml:space="preserve">单价限价（万元）</w:t>
            </w:r>
            <w:r/>
          </w:p>
        </w:tc>
        <w:tc>
          <w:tcPr>
            <w:tcW w:w="1196" w:type="dxa"/>
            <w:vAlign w:val="center"/>
            <w:textDirection w:val="lrTb"/>
            <w:noWrap w:val="false"/>
          </w:tcPr>
          <w:p>
            <w:pPr>
              <w:ind w:left="0"/>
              <w:jc w:val="center"/>
              <w:spacing w:line="240" w:lineRule="exact"/>
              <w:widowControl w:val="off"/>
              <w:rPr>
                <w:rFonts w:ascii="宋体" w:hAnsi="宋体"/>
                <w:b/>
                <w:bCs/>
                <w:sz w:val="21"/>
                <w:szCs w:val="21"/>
              </w:rPr>
            </w:pPr>
            <w:r>
              <w:rPr>
                <w:rFonts w:hint="eastAsia" w:ascii="宋体" w:hAnsi="宋体"/>
                <w:b/>
                <w:bCs/>
                <w:sz w:val="21"/>
                <w:szCs w:val="21"/>
              </w:rPr>
              <w:t xml:space="preserve">核心产品</w:t>
            </w:r>
            <w:r/>
          </w:p>
        </w:tc>
        <w:tc>
          <w:tcPr>
            <w:tcW w:w="2217" w:type="dxa"/>
            <w:vAlign w:val="center"/>
            <w:textDirection w:val="lrTb"/>
            <w:noWrap w:val="false"/>
          </w:tcPr>
          <w:p>
            <w:pPr>
              <w:ind w:left="0"/>
              <w:jc w:val="center"/>
              <w:spacing w:line="240" w:lineRule="exact"/>
              <w:widowControl w:val="off"/>
              <w:rPr>
                <w:rFonts w:ascii="宋体" w:hAnsi="宋体"/>
                <w:b/>
                <w:bCs/>
                <w:sz w:val="21"/>
                <w:szCs w:val="21"/>
              </w:rPr>
            </w:pPr>
            <w:r>
              <w:rPr>
                <w:rFonts w:hint="eastAsia" w:ascii="宋体" w:hAnsi="宋体"/>
                <w:b/>
                <w:bCs/>
                <w:sz w:val="21"/>
                <w:szCs w:val="21"/>
              </w:rPr>
              <w:t xml:space="preserve">备注</w:t>
            </w:r>
            <w:r/>
          </w:p>
        </w:tc>
      </w:tr>
      <w:tr>
        <w:trPr>
          <w:jc w:val="center"/>
          <w:trHeight w:val="17"/>
        </w:trPr>
        <w:tc>
          <w:tcPr>
            <w:tcW w:w="864" w:type="dxa"/>
            <w:vAlign w:val="center"/>
            <w:vMerge w:val="restart"/>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5</w:t>
            </w:r>
            <w:r/>
          </w:p>
        </w:tc>
        <w:tc>
          <w:tcPr>
            <w:tcW w:w="2069"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高压森林消防泵</w:t>
            </w:r>
            <w:r/>
          </w:p>
        </w:tc>
        <w:tc>
          <w:tcPr>
            <w:tcW w:w="737"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bCs/>
                <w:sz w:val="21"/>
                <w:szCs w:val="21"/>
              </w:rPr>
              <w:t xml:space="preserve">个</w:t>
            </w:r>
            <w:r/>
          </w:p>
        </w:tc>
        <w:tc>
          <w:tcPr>
            <w:tcW w:w="737"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14</w:t>
            </w:r>
            <w:r/>
          </w:p>
        </w:tc>
        <w:tc>
          <w:tcPr>
            <w:tcW w:w="883"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6</w:t>
            </w:r>
            <w:r/>
          </w:p>
        </w:tc>
        <w:tc>
          <w:tcPr>
            <w:tcW w:w="1196"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核心产品</w:t>
            </w:r>
            <w:r/>
          </w:p>
        </w:tc>
        <w:tc>
          <w:tcPr>
            <w:tcW w:w="2217"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需提供样品</w:t>
            </w:r>
            <w:r/>
          </w:p>
        </w:tc>
      </w:tr>
      <w:tr>
        <w:trPr>
          <w:jc w:val="center"/>
          <w:trHeight w:val="16"/>
        </w:trPr>
        <w:tc>
          <w:tcPr>
            <w:tcW w:w="864" w:type="dxa"/>
            <w:vAlign w:val="center"/>
            <w:vMerge w:val="continue"/>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2069"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消防拉梯</w:t>
            </w:r>
            <w:r/>
          </w:p>
          <w:p>
            <w:pPr>
              <w:ind w:left="0"/>
              <w:jc w:val="center"/>
              <w:spacing w:line="240" w:lineRule="exact"/>
              <w:widowControl w:val="off"/>
              <w:rPr>
                <w:rFonts w:ascii="宋体" w:hAnsi="宋体"/>
                <w:sz w:val="21"/>
                <w:szCs w:val="21"/>
              </w:rPr>
            </w:pPr>
            <w:r>
              <w:rPr>
                <w:rFonts w:hint="eastAsia" w:ascii="宋体" w:hAnsi="宋体"/>
                <w:sz w:val="21"/>
                <w:szCs w:val="21"/>
              </w:rPr>
              <w:t xml:space="preserve">（6米竹制）</w:t>
            </w:r>
            <w:r/>
          </w:p>
        </w:tc>
        <w:tc>
          <w:tcPr>
            <w:tcW w:w="737"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bCs/>
                <w:sz w:val="21"/>
                <w:szCs w:val="21"/>
              </w:rPr>
              <w:t xml:space="preserve">驾</w:t>
            </w:r>
            <w:r/>
          </w:p>
        </w:tc>
        <w:tc>
          <w:tcPr>
            <w:tcW w:w="737"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141</w:t>
            </w:r>
            <w:r/>
          </w:p>
        </w:tc>
        <w:tc>
          <w:tcPr>
            <w:tcW w:w="883"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0.1</w:t>
            </w:r>
            <w:r/>
          </w:p>
        </w:tc>
        <w:tc>
          <w:tcPr>
            <w:tcW w:w="1196" w:type="dxa"/>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2217" w:type="dxa"/>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r>
      <w:tr>
        <w:trPr>
          <w:jc w:val="center"/>
          <w:trHeight w:val="16"/>
        </w:trPr>
        <w:tc>
          <w:tcPr>
            <w:tcW w:w="864" w:type="dxa"/>
            <w:vAlign w:val="center"/>
            <w:vMerge w:val="continue"/>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2069"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消防员降温背心</w:t>
            </w:r>
            <w:r/>
          </w:p>
        </w:tc>
        <w:tc>
          <w:tcPr>
            <w:tcW w:w="737" w:type="dxa"/>
            <w:vAlign w:val="center"/>
            <w:textDirection w:val="lrTb"/>
            <w:noWrap w:val="false"/>
          </w:tcPr>
          <w:p>
            <w:pPr>
              <w:ind w:left="0"/>
              <w:jc w:val="center"/>
              <w:spacing w:line="276" w:lineRule="auto"/>
              <w:widowControl w:val="off"/>
              <w:rPr>
                <w:rFonts w:ascii="宋体" w:hAnsi="宋体"/>
                <w:bCs/>
                <w:sz w:val="21"/>
                <w:szCs w:val="21"/>
              </w:rPr>
            </w:pPr>
            <w:r>
              <w:rPr>
                <w:rFonts w:hint="eastAsia" w:ascii="宋体" w:hAnsi="宋体"/>
                <w:bCs/>
                <w:sz w:val="21"/>
                <w:szCs w:val="21"/>
              </w:rPr>
              <w:t xml:space="preserve">件</w:t>
            </w:r>
            <w:r/>
          </w:p>
        </w:tc>
        <w:tc>
          <w:tcPr>
            <w:tcW w:w="737"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132</w:t>
            </w:r>
            <w:r/>
          </w:p>
        </w:tc>
        <w:tc>
          <w:tcPr>
            <w:tcW w:w="883"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0.065</w:t>
            </w:r>
            <w:r/>
          </w:p>
        </w:tc>
        <w:tc>
          <w:tcPr>
            <w:tcW w:w="1196" w:type="dxa"/>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2217" w:type="dxa"/>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r>
    </w:tbl>
    <w:p>
      <w:pPr>
        <w:ind w:left="0" w:firstLine="422"/>
        <w:spacing w:line="360" w:lineRule="auto"/>
        <w:rPr>
          <w:rFonts w:ascii="宋体" w:hAnsi="宋体"/>
          <w:b/>
          <w:bCs/>
          <w:sz w:val="21"/>
          <w:szCs w:val="21"/>
          <w:lang w:val="zh-CN"/>
        </w:rPr>
      </w:pPr>
      <w:r>
        <w:rPr>
          <w:rFonts w:hint="eastAsia" w:ascii="宋体" w:hAnsi="宋体"/>
          <w:b/>
          <w:sz w:val="21"/>
          <w:szCs w:val="21"/>
        </w:rPr>
        <w:t xml:space="preserve">注：</w:t>
      </w:r>
      <w:r>
        <w:rPr>
          <w:rFonts w:hint="eastAsia" w:ascii="宋体" w:hAnsi="宋体"/>
          <w:b/>
          <w:bCs/>
          <w:sz w:val="21"/>
          <w:szCs w:val="21"/>
          <w:lang w:val="zh-CN"/>
        </w:rPr>
        <w:t xml:space="preserve">公开分项报价中的单价报价不可高于最高单价限价，否则为非实质性响应，投标无效。</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（一）高压森林消防泵</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1.产品适用于森林消防上的灭火、供水系统等其他应急救援任务需要,可背负携带，可串联使用。</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2.二冲程风冷汽油发动机，电子点火系统。</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3.四级离心泵，泵壳、泵体具有轻质高强度防腐蚀材料制成。出水口尺寸：40±2mm。</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★4.功率≥7kw。</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▲5.最大转速≥8000RPM。</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▲6.重量≤35kg。</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7.具备电力启动、手动启动多种启动方式。</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8.发动机防超速功能。</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9.设备可连续工作时间≥6小时（一次加满燃油且全速运行时）。</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▲10.吸程不小于5米。</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★11.最大扬程≥250m；水泵出口最大压力≥2.5MPa；最大流量≥20m³/h。</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12.泵组之间可以串联架设、并联架设、串并联架设，并能正常工作。配有智能数据表，可显示发动机运行累计时间与转速。</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13.油箱容量≥20L。配套油箱背包1个：包括油管1个、吸水管1根，测试压力≥5.5MPa，重量≤3公斤，最小弯曲半径≤40厘米，接头用扩张式铜环固定，长度不小于3米。</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14.至少配备以下附件：</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(1)止回式底阀与滤器各1个;</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(2)备用火花塞2个、火花塞套筒1个；</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(3)电动引水泵1个（快速接头）；</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(4)直流喷枪1个（快速接头）；</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(5)直流水雾喷枪1个（快速接头）；</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(6)止水钳1个、水带扳手2个；</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(7)水带修补环2个;</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(8)三通阀1个（快速接头），压力≥2.4MPa;</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(9)单向阀1个（两端快速接头）;</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(10)内螺纹快速接头1个:</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(11)外螺纹快速接头1个;</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(12)充电器1个:</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(13)二分水器1个，进水口通径:65mm,出水口通径:40mm×2，适用介质:水及水泡沫混合液。</w:t>
      </w:r>
      <w:r/>
    </w:p>
    <w:p>
      <w:pPr>
        <w:ind w:left="0" w:firstLine="422"/>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注：投标时需提供样品及检验报告（出具报告的检验机构应具有同类产品的CMA认证），检验报告至少体现第4、6、10、11项参数。</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（二）消防拉梯（6米竹制）</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★1.提供所投产品完整有效的检验报告（具有CMA认证），检验结果和结论都应符合XF137-2007《消防梯》标准要求。</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2.工作高度：6±0.2m。</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3.最小梯宽：300±3mm。</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4.梯蹬间距：280±2mm。</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5.整梯质量：≤35kg。</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6.梯节扭转角：≤20°。</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7.水平弯曲残余变形比值：≤0.3%。</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8.梯蹬弯曲残余变形比值：≤0.5%。</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9.侧板悬臂弯曲最大变形值(mm)≤5</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10.侧摇摆弯曲残余变形比值(%)≤0.3。</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11.梯蹬剪切强度：梯蹬与侧板的连接处和梯蹬本身无任何断裂现象。</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12.拉梯进行单撑脚载荷试验后，撑脚及连接件没有松动、损伤及变形。</w:t>
      </w:r>
      <w:r/>
    </w:p>
    <w:p>
      <w:pPr>
        <w:ind w:left="0" w:firstLine="422"/>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注：投标时需提供检验报告，检验报告至少体现2至12项参数。</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（三）消防员降温背心</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1.结构组成：由外层、隔热层、舒适层组成。</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2.主要应用场景：用于消防员进入灾害事故现场保护消防员使用。</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★3.提供所投产品完整有效的检验报告（具有CMA认证），检验结果和结论都应符合XF1265-2015《蓄冷型消防员降温背心》标准要求。</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▲4.外层面料经阻燃性能试验后，损毁长度≤100mm,续燃时间≤1s,且不有熔融、滴落现象。</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▲5.舒适层经阻燃性能试验后不有熔融、滴落现象。</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▲6.隔冷层经180℃±5℃热稳定性能试验后，沿经、纬方向尺寸变化率≤1%,试样表面无明显变化。</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▲7.蓄冷剂相变热≥200kj/kg。总蓄冷量≥300kj。</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8.降温背心接触温度≥5℃。</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▲9.质量≤2kg。</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10.冷时间≥2h。</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11.温背心使用防止脱散工艺缝制。</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12.有永久性标签。</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13.冷剂至少提供1:1备份。</w:t>
      </w:r>
      <w:r/>
    </w:p>
    <w:p>
      <w:pPr>
        <w:ind w:left="0" w:firstLine="422"/>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注：投标时需提供检验报告，检验报告至少体现第4至9参数。</w:t>
      </w:r>
      <w:r/>
    </w:p>
    <w:p>
      <w:pPr>
        <w:ind w:left="0" w:firstLine="420"/>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ind w:left="0" w:firstLine="422"/>
        <w:spacing w:line="360" w:lineRule="auto"/>
        <w:rPr>
          <w:rFonts w:asciiTheme="minorEastAsia" w:hAnsiTheme="minorEastAsia" w:eastAsiaTheme="minorEastAsia" w:cstheme="minorEastAsia"/>
          <w:b/>
          <w:bCs/>
          <w:sz w:val="21"/>
          <w:szCs w:val="21"/>
        </w:rPr>
        <w:outlineLvl w:val="0"/>
      </w:pPr>
      <w:r>
        <w:rPr>
          <w:rFonts w:hint="eastAsia" w:asciiTheme="minorEastAsia" w:hAnsiTheme="minorEastAsia" w:eastAsiaTheme="minorEastAsia" w:cstheme="minorEastAsia"/>
          <w:b/>
          <w:bCs/>
          <w:sz w:val="21"/>
          <w:szCs w:val="21"/>
        </w:rPr>
        <w:t xml:space="preserve">包六（抗醇性水成膜泡沫灭火剂）：</w:t>
      </w:r>
      <w:r/>
    </w:p>
    <w:tbl>
      <w:tblPr>
        <w:tblStyle w:val="1053"/>
        <w:tblW w:w="87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4"/>
        <w:gridCol w:w="2069"/>
        <w:gridCol w:w="737"/>
        <w:gridCol w:w="737"/>
        <w:gridCol w:w="883"/>
        <w:gridCol w:w="1196"/>
        <w:gridCol w:w="2217"/>
      </w:tblGrid>
      <w:tr>
        <w:trPr>
          <w:jc w:val="center"/>
          <w:trHeight w:val="448"/>
        </w:trPr>
        <w:tc>
          <w:tcPr>
            <w:tcW w:w="864" w:type="dxa"/>
            <w:vAlign w:val="center"/>
            <w:textDirection w:val="lrTb"/>
            <w:noWrap w:val="false"/>
          </w:tcPr>
          <w:p>
            <w:pPr>
              <w:ind w:left="0"/>
              <w:jc w:val="center"/>
              <w:spacing w:line="240" w:lineRule="exact"/>
              <w:widowControl w:val="off"/>
              <w:rPr>
                <w:rFonts w:ascii="宋体" w:hAnsi="宋体"/>
                <w:b/>
                <w:bCs/>
                <w:sz w:val="21"/>
                <w:szCs w:val="21"/>
              </w:rPr>
            </w:pPr>
            <w:r>
              <w:rPr>
                <w:rFonts w:hint="eastAsia" w:ascii="宋体" w:hAnsi="宋体"/>
                <w:b/>
                <w:bCs/>
                <w:sz w:val="21"/>
                <w:szCs w:val="21"/>
              </w:rPr>
              <w:t xml:space="preserve">包号</w:t>
            </w:r>
            <w:r/>
          </w:p>
        </w:tc>
        <w:tc>
          <w:tcPr>
            <w:tcW w:w="2069" w:type="dxa"/>
            <w:vAlign w:val="center"/>
            <w:textDirection w:val="lrTb"/>
            <w:noWrap w:val="false"/>
          </w:tcPr>
          <w:p>
            <w:pPr>
              <w:ind w:left="0"/>
              <w:jc w:val="center"/>
              <w:spacing w:line="240" w:lineRule="exact"/>
              <w:widowControl w:val="off"/>
              <w:rPr>
                <w:rFonts w:ascii="宋体" w:hAnsi="宋体"/>
                <w:b/>
                <w:bCs/>
                <w:sz w:val="21"/>
                <w:szCs w:val="21"/>
              </w:rPr>
            </w:pPr>
            <w:r>
              <w:rPr>
                <w:rFonts w:hint="eastAsia" w:ascii="宋体" w:hAnsi="宋体"/>
                <w:b/>
                <w:bCs/>
                <w:sz w:val="21"/>
                <w:szCs w:val="21"/>
              </w:rPr>
              <w:t xml:space="preserve">装备名称</w:t>
            </w:r>
            <w:r/>
          </w:p>
        </w:tc>
        <w:tc>
          <w:tcPr>
            <w:tcW w:w="737" w:type="dxa"/>
            <w:vAlign w:val="center"/>
            <w:textDirection w:val="lrTb"/>
            <w:noWrap w:val="false"/>
          </w:tcPr>
          <w:p>
            <w:pPr>
              <w:ind w:left="0"/>
              <w:jc w:val="center"/>
              <w:spacing w:line="240" w:lineRule="exact"/>
              <w:widowControl w:val="off"/>
              <w:rPr>
                <w:rFonts w:ascii="宋体" w:hAnsi="宋体"/>
                <w:b/>
                <w:bCs/>
                <w:sz w:val="21"/>
                <w:szCs w:val="21"/>
              </w:rPr>
            </w:pPr>
            <w:r>
              <w:rPr>
                <w:rFonts w:hint="eastAsia" w:ascii="宋体" w:hAnsi="宋体"/>
                <w:b/>
                <w:bCs/>
                <w:sz w:val="21"/>
                <w:szCs w:val="21"/>
              </w:rPr>
              <w:t xml:space="preserve">计量单位</w:t>
            </w:r>
            <w:r/>
          </w:p>
        </w:tc>
        <w:tc>
          <w:tcPr>
            <w:tcW w:w="737" w:type="dxa"/>
            <w:vAlign w:val="center"/>
            <w:textDirection w:val="lrTb"/>
            <w:noWrap w:val="false"/>
          </w:tcPr>
          <w:p>
            <w:pPr>
              <w:ind w:left="0"/>
              <w:jc w:val="center"/>
              <w:spacing w:line="240" w:lineRule="exact"/>
              <w:widowControl w:val="off"/>
              <w:rPr>
                <w:rFonts w:ascii="宋体" w:hAnsi="宋体"/>
                <w:b/>
                <w:bCs/>
                <w:sz w:val="21"/>
                <w:szCs w:val="21"/>
              </w:rPr>
            </w:pPr>
            <w:r>
              <w:rPr>
                <w:rFonts w:hint="eastAsia" w:ascii="宋体" w:hAnsi="宋体"/>
                <w:b/>
                <w:bCs/>
                <w:sz w:val="21"/>
                <w:szCs w:val="21"/>
              </w:rPr>
              <w:t xml:space="preserve">数量</w:t>
            </w:r>
            <w:r/>
          </w:p>
        </w:tc>
        <w:tc>
          <w:tcPr>
            <w:tcW w:w="883" w:type="dxa"/>
            <w:vAlign w:val="center"/>
            <w:textDirection w:val="lrTb"/>
            <w:noWrap w:val="false"/>
          </w:tcPr>
          <w:p>
            <w:pPr>
              <w:ind w:left="0"/>
              <w:jc w:val="center"/>
              <w:spacing w:line="240" w:lineRule="exact"/>
              <w:widowControl w:val="off"/>
              <w:rPr>
                <w:rFonts w:ascii="宋体" w:hAnsi="宋体"/>
                <w:b/>
                <w:bCs/>
                <w:sz w:val="21"/>
                <w:szCs w:val="21"/>
              </w:rPr>
            </w:pPr>
            <w:r>
              <w:rPr>
                <w:rFonts w:hint="eastAsia" w:asciiTheme="minorEastAsia" w:hAnsiTheme="minorEastAsia" w:eastAsiaTheme="minorEastAsia" w:cstheme="minorEastAsia"/>
                <w:b/>
                <w:bCs/>
                <w:sz w:val="21"/>
                <w:szCs w:val="21"/>
              </w:rPr>
              <w:t xml:space="preserve">单价限价（万元）</w:t>
            </w:r>
            <w:r/>
          </w:p>
        </w:tc>
        <w:tc>
          <w:tcPr>
            <w:tcW w:w="1196" w:type="dxa"/>
            <w:vAlign w:val="center"/>
            <w:textDirection w:val="lrTb"/>
            <w:noWrap w:val="false"/>
          </w:tcPr>
          <w:p>
            <w:pPr>
              <w:ind w:left="0"/>
              <w:jc w:val="center"/>
              <w:spacing w:line="240" w:lineRule="exact"/>
              <w:widowControl w:val="off"/>
              <w:rPr>
                <w:rFonts w:ascii="宋体" w:hAnsi="宋体"/>
                <w:b/>
                <w:bCs/>
                <w:sz w:val="21"/>
                <w:szCs w:val="21"/>
              </w:rPr>
            </w:pPr>
            <w:r>
              <w:rPr>
                <w:rFonts w:hint="eastAsia" w:ascii="宋体" w:hAnsi="宋体"/>
                <w:b/>
                <w:bCs/>
                <w:sz w:val="21"/>
                <w:szCs w:val="21"/>
              </w:rPr>
              <w:t xml:space="preserve">核心产品</w:t>
            </w:r>
            <w:r/>
          </w:p>
        </w:tc>
        <w:tc>
          <w:tcPr>
            <w:tcW w:w="2217" w:type="dxa"/>
            <w:vAlign w:val="center"/>
            <w:textDirection w:val="lrTb"/>
            <w:noWrap w:val="false"/>
          </w:tcPr>
          <w:p>
            <w:pPr>
              <w:ind w:left="0"/>
              <w:jc w:val="center"/>
              <w:spacing w:line="240" w:lineRule="exact"/>
              <w:widowControl w:val="off"/>
              <w:rPr>
                <w:rFonts w:ascii="宋体" w:hAnsi="宋体"/>
                <w:b/>
                <w:bCs/>
                <w:sz w:val="21"/>
                <w:szCs w:val="21"/>
              </w:rPr>
            </w:pPr>
            <w:r>
              <w:rPr>
                <w:rFonts w:hint="eastAsia" w:ascii="宋体" w:hAnsi="宋体"/>
                <w:b/>
                <w:bCs/>
                <w:sz w:val="21"/>
                <w:szCs w:val="21"/>
              </w:rPr>
              <w:t xml:space="preserve">备注</w:t>
            </w:r>
            <w:r/>
          </w:p>
        </w:tc>
      </w:tr>
      <w:tr>
        <w:trPr>
          <w:jc w:val="center"/>
          <w:trHeight w:val="14"/>
        </w:trPr>
        <w:tc>
          <w:tcPr>
            <w:tcW w:w="864"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6</w:t>
            </w:r>
            <w:r/>
          </w:p>
        </w:tc>
        <w:tc>
          <w:tcPr>
            <w:tcW w:w="2069"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抗醇性水成膜泡沫灭火剂</w:t>
            </w:r>
            <w:r/>
          </w:p>
        </w:tc>
        <w:tc>
          <w:tcPr>
            <w:tcW w:w="737"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bCs/>
                <w:sz w:val="21"/>
                <w:szCs w:val="21"/>
              </w:rPr>
              <w:t xml:space="preserve">吨</w:t>
            </w:r>
            <w:r/>
          </w:p>
        </w:tc>
        <w:tc>
          <w:tcPr>
            <w:tcW w:w="737"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120</w:t>
            </w:r>
            <w:r/>
          </w:p>
        </w:tc>
        <w:tc>
          <w:tcPr>
            <w:tcW w:w="883"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0.75</w:t>
            </w:r>
            <w:r/>
          </w:p>
        </w:tc>
        <w:tc>
          <w:tcPr>
            <w:tcW w:w="1196" w:type="dxa"/>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2217" w:type="dxa"/>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r>
    </w:tbl>
    <w:p>
      <w:pPr>
        <w:ind w:left="0" w:firstLine="422"/>
        <w:spacing w:line="360" w:lineRule="auto"/>
        <w:rPr>
          <w:rFonts w:ascii="宋体" w:hAnsi="宋体"/>
          <w:b/>
          <w:bCs/>
          <w:sz w:val="21"/>
          <w:szCs w:val="21"/>
          <w:lang w:val="zh-CN"/>
        </w:rPr>
      </w:pPr>
      <w:r>
        <w:rPr>
          <w:rFonts w:hint="eastAsia" w:ascii="宋体" w:hAnsi="宋体"/>
          <w:b/>
          <w:sz w:val="21"/>
          <w:szCs w:val="21"/>
        </w:rPr>
        <w:t xml:space="preserve">注：</w:t>
      </w:r>
      <w:r>
        <w:rPr>
          <w:rFonts w:hint="eastAsia" w:ascii="宋体" w:hAnsi="宋体"/>
          <w:b/>
          <w:bCs/>
          <w:sz w:val="21"/>
          <w:szCs w:val="21"/>
          <w:lang w:val="zh-CN"/>
        </w:rPr>
        <w:t xml:space="preserve">公开分项报价中的单价报价不可高于最高单价限价，否则为非实质性响应，投标无效。</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（一）抗醇性水成膜泡沫灭火剂</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1.结构组成：发泡剂、泡沫稳定剂、降粘剂、抗冻剂、助溶剂、防腐剂以及水组成。</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2.主要应用场景：可对着火物质进行阻隔、冷却、稀释。</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★3.提供所投产品完整有效的检验报告（具有CMA认证），检验结果和结论都应符合GB15308-2006《泡沫灭火剂》标准要求。</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★4.符合联合国环境规划署《关于持久性有机污染物的斯德哥尔摩公约》相关要求，不含 PFOS 以及 PFOA 类物质，提供检验报告对此项进行验证。</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▲5.凝固点≤-15℃。</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6.抗冻结：温度处理前：无可见分层和非均相。温度处理后：无可见分层和非均相。</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7.融化性：温度处理前：无可见分层和非均相。温度处理后：无可见分层和非均相。</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8.比流动性。温度处理前：泡沫液流量不小于标准参比液的流量。温度处理后：泡沫液流量不小于标准参比液的流量。</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▲9.表面张力温度处理前：与特征值的偏差≤10%。</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10.界面张力温度处理前，与特征值的偏差≤1.0mN/m或≤特征值的10%。</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11.扩散系数：温度处理前：mN/m:≥0温度处理后：mN/m:≥0。</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12.腐蚀率：温度处理前：Q235A钢片 ≤15.0 mg/(d·dm²)，3A21铝片 ≤15.0 mg/(d·dm²)。</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13.发泡倍数与特征值的偏差≤1.0不大于特征值的20%,按上述两个二个差值中较大者判定。</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▲14.25%析液时间：与特征值的偏差≤20%。</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▲15.灭火性能：温度处理前IA级别强释放灭火时间min≤3、抗烧时间min≥10、ARIB级别灭火时间min≤3、抗烧时间min≥10。</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16.体积混合比：6%。</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17.保质期≥2年（保质期从送货之日起算）。</w:t>
      </w:r>
      <w:r/>
    </w:p>
    <w:p>
      <w:pPr>
        <w:ind w:left="0" w:firstLine="422"/>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注：投标时需提供检验报告，检验报告至少体现5至16项参数。</w:t>
      </w:r>
      <w:r/>
    </w:p>
    <w:p>
      <w:pPr>
        <w:ind w:left="0" w:firstLine="420"/>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ind w:left="0" w:firstLine="422"/>
        <w:spacing w:line="360" w:lineRule="auto"/>
        <w:rPr>
          <w:rFonts w:asciiTheme="minorEastAsia" w:hAnsiTheme="minorEastAsia" w:eastAsiaTheme="minorEastAsia" w:cstheme="minorEastAsia"/>
          <w:b/>
          <w:bCs/>
          <w:sz w:val="21"/>
          <w:szCs w:val="21"/>
        </w:rPr>
        <w:outlineLvl w:val="0"/>
      </w:pPr>
      <w:r>
        <w:rPr>
          <w:rFonts w:hint="eastAsia" w:asciiTheme="minorEastAsia" w:hAnsiTheme="minorEastAsia" w:eastAsiaTheme="minorEastAsia" w:cstheme="minorEastAsia"/>
          <w:b/>
          <w:bCs/>
          <w:sz w:val="21"/>
          <w:szCs w:val="21"/>
        </w:rPr>
        <w:t xml:space="preserve">包七（通讯面罩）：</w:t>
      </w:r>
      <w:r/>
    </w:p>
    <w:tbl>
      <w:tblPr>
        <w:tblStyle w:val="1053"/>
        <w:tblW w:w="87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4"/>
        <w:gridCol w:w="2069"/>
        <w:gridCol w:w="737"/>
        <w:gridCol w:w="737"/>
        <w:gridCol w:w="883"/>
        <w:gridCol w:w="1196"/>
        <w:gridCol w:w="2217"/>
      </w:tblGrid>
      <w:tr>
        <w:trPr>
          <w:jc w:val="center"/>
          <w:trHeight w:val="448"/>
        </w:trPr>
        <w:tc>
          <w:tcPr>
            <w:tcW w:w="864" w:type="dxa"/>
            <w:vAlign w:val="center"/>
            <w:textDirection w:val="lrTb"/>
            <w:noWrap w:val="false"/>
          </w:tcPr>
          <w:p>
            <w:pPr>
              <w:ind w:left="0"/>
              <w:jc w:val="center"/>
              <w:spacing w:line="240" w:lineRule="exact"/>
              <w:widowControl w:val="off"/>
              <w:rPr>
                <w:rFonts w:ascii="宋体" w:hAnsi="宋体"/>
                <w:b/>
                <w:bCs/>
                <w:sz w:val="21"/>
                <w:szCs w:val="21"/>
              </w:rPr>
            </w:pPr>
            <w:r>
              <w:rPr>
                <w:rFonts w:hint="eastAsia" w:ascii="宋体" w:hAnsi="宋体"/>
                <w:b/>
                <w:bCs/>
                <w:sz w:val="21"/>
                <w:szCs w:val="21"/>
              </w:rPr>
              <w:t xml:space="preserve">包号</w:t>
            </w:r>
            <w:r/>
          </w:p>
        </w:tc>
        <w:tc>
          <w:tcPr>
            <w:tcW w:w="2069" w:type="dxa"/>
            <w:vAlign w:val="center"/>
            <w:textDirection w:val="lrTb"/>
            <w:noWrap w:val="false"/>
          </w:tcPr>
          <w:p>
            <w:pPr>
              <w:ind w:left="0"/>
              <w:jc w:val="center"/>
              <w:spacing w:line="240" w:lineRule="exact"/>
              <w:widowControl w:val="off"/>
              <w:rPr>
                <w:rFonts w:ascii="宋体" w:hAnsi="宋体"/>
                <w:b/>
                <w:bCs/>
                <w:sz w:val="21"/>
                <w:szCs w:val="21"/>
              </w:rPr>
            </w:pPr>
            <w:r>
              <w:rPr>
                <w:rFonts w:hint="eastAsia" w:ascii="宋体" w:hAnsi="宋体"/>
                <w:b/>
                <w:bCs/>
                <w:sz w:val="21"/>
                <w:szCs w:val="21"/>
              </w:rPr>
              <w:t xml:space="preserve">装备名称</w:t>
            </w:r>
            <w:r/>
          </w:p>
        </w:tc>
        <w:tc>
          <w:tcPr>
            <w:tcW w:w="737" w:type="dxa"/>
            <w:vAlign w:val="center"/>
            <w:textDirection w:val="lrTb"/>
            <w:noWrap w:val="false"/>
          </w:tcPr>
          <w:p>
            <w:pPr>
              <w:ind w:left="0"/>
              <w:jc w:val="center"/>
              <w:spacing w:line="240" w:lineRule="exact"/>
              <w:widowControl w:val="off"/>
              <w:rPr>
                <w:rFonts w:ascii="宋体" w:hAnsi="宋体"/>
                <w:b/>
                <w:bCs/>
                <w:sz w:val="21"/>
                <w:szCs w:val="21"/>
              </w:rPr>
            </w:pPr>
            <w:r>
              <w:rPr>
                <w:rFonts w:hint="eastAsia" w:ascii="宋体" w:hAnsi="宋体"/>
                <w:b/>
                <w:bCs/>
                <w:sz w:val="21"/>
                <w:szCs w:val="21"/>
              </w:rPr>
              <w:t xml:space="preserve">计量单位</w:t>
            </w:r>
            <w:r/>
          </w:p>
        </w:tc>
        <w:tc>
          <w:tcPr>
            <w:tcW w:w="737" w:type="dxa"/>
            <w:vAlign w:val="center"/>
            <w:textDirection w:val="lrTb"/>
            <w:noWrap w:val="false"/>
          </w:tcPr>
          <w:p>
            <w:pPr>
              <w:ind w:left="0"/>
              <w:jc w:val="center"/>
              <w:spacing w:line="240" w:lineRule="exact"/>
              <w:widowControl w:val="off"/>
              <w:rPr>
                <w:rFonts w:ascii="宋体" w:hAnsi="宋体"/>
                <w:b/>
                <w:bCs/>
                <w:sz w:val="21"/>
                <w:szCs w:val="21"/>
              </w:rPr>
            </w:pPr>
            <w:r>
              <w:rPr>
                <w:rFonts w:hint="eastAsia" w:ascii="宋体" w:hAnsi="宋体"/>
                <w:b/>
                <w:bCs/>
                <w:sz w:val="21"/>
                <w:szCs w:val="21"/>
              </w:rPr>
              <w:t xml:space="preserve">数量</w:t>
            </w:r>
            <w:r/>
          </w:p>
        </w:tc>
        <w:tc>
          <w:tcPr>
            <w:tcW w:w="883" w:type="dxa"/>
            <w:vAlign w:val="center"/>
            <w:textDirection w:val="lrTb"/>
            <w:noWrap w:val="false"/>
          </w:tcPr>
          <w:p>
            <w:pPr>
              <w:ind w:left="0"/>
              <w:jc w:val="center"/>
              <w:spacing w:line="240" w:lineRule="exact"/>
              <w:widowControl w:val="off"/>
              <w:rPr>
                <w:rFonts w:ascii="宋体" w:hAnsi="宋体"/>
                <w:b/>
                <w:bCs/>
                <w:sz w:val="21"/>
                <w:szCs w:val="21"/>
              </w:rPr>
            </w:pPr>
            <w:r>
              <w:rPr>
                <w:rFonts w:hint="eastAsia" w:asciiTheme="minorEastAsia" w:hAnsiTheme="minorEastAsia" w:eastAsiaTheme="minorEastAsia" w:cstheme="minorEastAsia"/>
                <w:b/>
                <w:bCs/>
                <w:sz w:val="21"/>
                <w:szCs w:val="21"/>
              </w:rPr>
              <w:t xml:space="preserve">单价限价（万元）</w:t>
            </w:r>
            <w:r/>
          </w:p>
        </w:tc>
        <w:tc>
          <w:tcPr>
            <w:tcW w:w="1196" w:type="dxa"/>
            <w:vAlign w:val="center"/>
            <w:textDirection w:val="lrTb"/>
            <w:noWrap w:val="false"/>
          </w:tcPr>
          <w:p>
            <w:pPr>
              <w:ind w:left="0"/>
              <w:jc w:val="center"/>
              <w:spacing w:line="240" w:lineRule="exact"/>
              <w:widowControl w:val="off"/>
              <w:rPr>
                <w:rFonts w:ascii="宋体" w:hAnsi="宋体"/>
                <w:b/>
                <w:bCs/>
                <w:sz w:val="21"/>
                <w:szCs w:val="21"/>
              </w:rPr>
            </w:pPr>
            <w:r>
              <w:rPr>
                <w:rFonts w:hint="eastAsia" w:ascii="宋体" w:hAnsi="宋体"/>
                <w:b/>
                <w:bCs/>
                <w:sz w:val="21"/>
                <w:szCs w:val="21"/>
              </w:rPr>
              <w:t xml:space="preserve">核心产品</w:t>
            </w:r>
            <w:r/>
          </w:p>
        </w:tc>
        <w:tc>
          <w:tcPr>
            <w:tcW w:w="2217" w:type="dxa"/>
            <w:vAlign w:val="center"/>
            <w:textDirection w:val="lrTb"/>
            <w:noWrap w:val="false"/>
          </w:tcPr>
          <w:p>
            <w:pPr>
              <w:ind w:left="0"/>
              <w:jc w:val="center"/>
              <w:spacing w:line="240" w:lineRule="exact"/>
              <w:widowControl w:val="off"/>
              <w:rPr>
                <w:rFonts w:ascii="宋体" w:hAnsi="宋体"/>
                <w:b/>
                <w:bCs/>
                <w:sz w:val="21"/>
                <w:szCs w:val="21"/>
              </w:rPr>
            </w:pPr>
            <w:r>
              <w:rPr>
                <w:rFonts w:hint="eastAsia" w:ascii="宋体" w:hAnsi="宋体"/>
                <w:b/>
                <w:bCs/>
                <w:sz w:val="21"/>
                <w:szCs w:val="21"/>
              </w:rPr>
              <w:t xml:space="preserve">备注</w:t>
            </w:r>
            <w:r/>
          </w:p>
        </w:tc>
      </w:tr>
      <w:tr>
        <w:trPr>
          <w:jc w:val="center"/>
          <w:trHeight w:val="12"/>
        </w:trPr>
        <w:tc>
          <w:tcPr>
            <w:tcW w:w="864"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7</w:t>
            </w:r>
            <w:r/>
          </w:p>
        </w:tc>
        <w:tc>
          <w:tcPr>
            <w:tcW w:w="2069"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通讯面罩</w:t>
            </w:r>
            <w:r/>
          </w:p>
        </w:tc>
        <w:tc>
          <w:tcPr>
            <w:tcW w:w="737"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bCs/>
                <w:sz w:val="21"/>
                <w:szCs w:val="21"/>
              </w:rPr>
              <w:t xml:space="preserve">个</w:t>
            </w:r>
            <w:r/>
          </w:p>
        </w:tc>
        <w:tc>
          <w:tcPr>
            <w:tcW w:w="737"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40</w:t>
            </w:r>
            <w:r/>
          </w:p>
        </w:tc>
        <w:tc>
          <w:tcPr>
            <w:tcW w:w="883"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1</w:t>
            </w:r>
            <w:r/>
          </w:p>
        </w:tc>
        <w:tc>
          <w:tcPr>
            <w:tcW w:w="1196" w:type="dxa"/>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2217"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需提供样品</w:t>
            </w:r>
            <w:r/>
          </w:p>
        </w:tc>
      </w:tr>
    </w:tbl>
    <w:p>
      <w:pPr>
        <w:ind w:left="0" w:firstLine="422"/>
        <w:spacing w:line="360" w:lineRule="auto"/>
        <w:rPr>
          <w:rFonts w:ascii="宋体" w:hAnsi="宋体"/>
          <w:b/>
          <w:bCs/>
          <w:sz w:val="21"/>
          <w:szCs w:val="21"/>
          <w:lang w:val="zh-CN"/>
        </w:rPr>
      </w:pPr>
      <w:r>
        <w:rPr>
          <w:rFonts w:hint="eastAsia" w:ascii="宋体" w:hAnsi="宋体"/>
          <w:b/>
          <w:sz w:val="21"/>
          <w:szCs w:val="21"/>
        </w:rPr>
        <w:t xml:space="preserve">注：</w:t>
      </w:r>
      <w:r>
        <w:rPr>
          <w:rFonts w:hint="eastAsia" w:ascii="宋体" w:hAnsi="宋体"/>
          <w:b/>
          <w:bCs/>
          <w:sz w:val="21"/>
          <w:szCs w:val="21"/>
          <w:lang w:val="zh-CN"/>
        </w:rPr>
        <w:t xml:space="preserve">公开分项报价中的单价报价不可高于最高单价限价，否则为非实质性响应，投标无效。</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（一）</w:t>
      </w:r>
      <w:r>
        <w:rPr>
          <w:rFonts w:asciiTheme="minorEastAsia" w:hAnsiTheme="minorEastAsia" w:eastAsiaTheme="minorEastAsia" w:cstheme="minorEastAsia"/>
          <w:sz w:val="21"/>
          <w:szCs w:val="21"/>
        </w:rPr>
        <w:t xml:space="preserve">通讯面罩</w:t>
      </w:r>
      <w:r/>
    </w:p>
    <w:p>
      <w:pPr>
        <w:ind w:left="0" w:firstLine="420"/>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1. 结构组成：主要部件包括全面罩、通讯组件、听筒、通讯线等。</w:t>
      </w:r>
      <w:r/>
    </w:p>
    <w:p>
      <w:pPr>
        <w:ind w:left="0" w:firstLine="420"/>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2</w:t>
      </w:r>
      <w:r>
        <w:rPr>
          <w:rFonts w:hint="eastAsia" w:asciiTheme="minorEastAsia" w:hAnsiTheme="minorEastAsia" w:eastAsiaTheme="minorEastAsia" w:cstheme="minorEastAsia"/>
          <w:sz w:val="21"/>
          <w:szCs w:val="21"/>
        </w:rPr>
        <w:t xml:space="preserve">.</w:t>
      </w:r>
      <w:r>
        <w:rPr>
          <w:rFonts w:asciiTheme="minorEastAsia" w:hAnsiTheme="minorEastAsia" w:eastAsiaTheme="minorEastAsia" w:cstheme="minorEastAsia"/>
          <w:sz w:val="21"/>
          <w:szCs w:val="21"/>
        </w:rPr>
        <w:t xml:space="preserve">防护等级：不低于IP67。</w:t>
      </w:r>
      <w:r/>
    </w:p>
    <w:p>
      <w:pPr>
        <w:ind w:left="0" w:firstLine="420"/>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3</w:t>
      </w:r>
      <w:r>
        <w:rPr>
          <w:rFonts w:hint="eastAsia" w:asciiTheme="minorEastAsia" w:hAnsiTheme="minorEastAsia" w:eastAsiaTheme="minorEastAsia" w:cstheme="minorEastAsia"/>
          <w:sz w:val="21"/>
          <w:szCs w:val="21"/>
        </w:rPr>
        <w:t xml:space="preserve">.</w:t>
      </w:r>
      <w:r>
        <w:rPr>
          <w:rFonts w:asciiTheme="minorEastAsia" w:hAnsiTheme="minorEastAsia" w:eastAsiaTheme="minorEastAsia" w:cstheme="minorEastAsia"/>
          <w:sz w:val="21"/>
          <w:szCs w:val="21"/>
        </w:rPr>
        <w:t xml:space="preserve">防爆性能：不低于EX ib IIC T3级。</w:t>
      </w:r>
      <w:r/>
    </w:p>
    <w:p>
      <w:pPr>
        <w:ind w:left="0" w:firstLine="420"/>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4</w:t>
      </w:r>
      <w:r>
        <w:rPr>
          <w:rFonts w:hint="eastAsia" w:asciiTheme="minorEastAsia" w:hAnsiTheme="minorEastAsia" w:eastAsiaTheme="minorEastAsia" w:cstheme="minorEastAsia"/>
          <w:sz w:val="21"/>
          <w:szCs w:val="21"/>
        </w:rPr>
        <w:t xml:space="preserve">.</w:t>
      </w:r>
      <w:r>
        <w:rPr>
          <w:rFonts w:asciiTheme="minorEastAsia" w:hAnsiTheme="minorEastAsia" w:eastAsiaTheme="minorEastAsia" w:cstheme="minorEastAsia"/>
          <w:sz w:val="21"/>
          <w:szCs w:val="21"/>
        </w:rPr>
        <w:t xml:space="preserve">阻燃性能：通讯面罩整体经（950±50）℃火焰高温燃烧试验后，续燃时间≤1s。</w:t>
      </w:r>
      <w:r/>
    </w:p>
    <w:p>
      <w:pPr>
        <w:ind w:left="0" w:firstLine="420"/>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▲5</w:t>
      </w:r>
      <w:r>
        <w:rPr>
          <w:rFonts w:hint="eastAsia" w:asciiTheme="minorEastAsia" w:hAnsiTheme="minorEastAsia" w:eastAsiaTheme="minorEastAsia" w:cstheme="minorEastAsia"/>
          <w:sz w:val="21"/>
          <w:szCs w:val="21"/>
        </w:rPr>
        <w:t xml:space="preserve">.</w:t>
      </w:r>
      <w:r>
        <w:rPr>
          <w:rFonts w:asciiTheme="minorEastAsia" w:hAnsiTheme="minorEastAsia" w:eastAsiaTheme="minorEastAsia" w:cstheme="minorEastAsia"/>
          <w:sz w:val="21"/>
          <w:szCs w:val="21"/>
        </w:rPr>
        <w:t xml:space="preserve">面罩性能：总视野保留率≥80％，双目视野保留率≥70%，下方视野保留率≥35°，镜片透光率≥90％，吸入气体中的二氧化碳含量≤1％。</w:t>
      </w:r>
      <w:r/>
    </w:p>
    <w:p>
      <w:pPr>
        <w:ind w:left="0" w:firstLine="420"/>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6</w:t>
      </w:r>
      <w:r>
        <w:rPr>
          <w:rFonts w:hint="eastAsia" w:asciiTheme="minorEastAsia" w:hAnsiTheme="minorEastAsia" w:eastAsiaTheme="minorEastAsia" w:cstheme="minorEastAsia"/>
          <w:sz w:val="21"/>
          <w:szCs w:val="21"/>
        </w:rPr>
        <w:t xml:space="preserve">.</w:t>
      </w:r>
      <w:r>
        <w:rPr>
          <w:rFonts w:asciiTheme="minorEastAsia" w:hAnsiTheme="minorEastAsia" w:eastAsiaTheme="minorEastAsia" w:cstheme="minorEastAsia"/>
          <w:sz w:val="21"/>
          <w:szCs w:val="21"/>
        </w:rPr>
        <w:t xml:space="preserve">面罩接头与供气阀接头之间的连接强度≥250N。</w:t>
      </w:r>
      <w:r/>
    </w:p>
    <w:p>
      <w:pPr>
        <w:ind w:left="0" w:firstLine="420"/>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7</w:t>
      </w:r>
      <w:r>
        <w:rPr>
          <w:rFonts w:hint="eastAsia" w:asciiTheme="minorEastAsia" w:hAnsiTheme="minorEastAsia" w:eastAsiaTheme="minorEastAsia" w:cstheme="minorEastAsia"/>
          <w:sz w:val="21"/>
          <w:szCs w:val="21"/>
        </w:rPr>
        <w:t xml:space="preserve">.</w:t>
      </w:r>
      <w:r>
        <w:rPr>
          <w:rFonts w:asciiTheme="minorEastAsia" w:hAnsiTheme="minorEastAsia" w:eastAsiaTheme="minorEastAsia" w:cstheme="minorEastAsia"/>
          <w:sz w:val="21"/>
          <w:szCs w:val="21"/>
        </w:rPr>
        <w:t xml:space="preserve">在30MPa～2MPa范围内，以呼吸频率40次/min, 呼吸流量100 L/min呼吸，呼吸器的面罩内始终保持正压，且吸气阻力≤500 Pa, 呼气阻力≤1000 Pa；在2MPa～1MPa范围内，以呼吸频率25次/min, 呼吸流量50L/min呼吸，呼吸器的全面罩内保持正压，且吸气阻力≤500Pa,呼气阻力≤700Pa。</w:t>
      </w:r>
      <w:r/>
    </w:p>
    <w:p>
      <w:pPr>
        <w:ind w:left="0" w:firstLine="420"/>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▲8</w:t>
      </w:r>
      <w:r>
        <w:rPr>
          <w:rFonts w:hint="eastAsia" w:asciiTheme="minorEastAsia" w:hAnsiTheme="minorEastAsia" w:eastAsiaTheme="minorEastAsia" w:cstheme="minorEastAsia"/>
          <w:sz w:val="21"/>
          <w:szCs w:val="21"/>
        </w:rPr>
        <w:t xml:space="preserve">.</w:t>
      </w:r>
      <w:r>
        <w:rPr>
          <w:rFonts w:asciiTheme="minorEastAsia" w:hAnsiTheme="minorEastAsia" w:eastAsiaTheme="minorEastAsia" w:cstheme="minorEastAsia"/>
          <w:sz w:val="21"/>
          <w:szCs w:val="21"/>
        </w:rPr>
        <w:t xml:space="preserve">AI智能通讯面罩具备语音指令音控控制功能，无需手动操作TPP键或肩咪，即可控制对讲机音量、照明、对讲开启和关闭功能。</w:t>
      </w:r>
      <w:r/>
    </w:p>
    <w:p>
      <w:pPr>
        <w:ind w:left="0" w:firstLine="420"/>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9</w:t>
      </w:r>
      <w:r>
        <w:rPr>
          <w:rFonts w:hint="eastAsia" w:asciiTheme="minorEastAsia" w:hAnsiTheme="minorEastAsia" w:eastAsiaTheme="minorEastAsia" w:cstheme="minorEastAsia"/>
          <w:sz w:val="21"/>
          <w:szCs w:val="21"/>
        </w:rPr>
        <w:t xml:space="preserve">.</w:t>
      </w:r>
      <w:r>
        <w:rPr>
          <w:rFonts w:asciiTheme="minorEastAsia" w:hAnsiTheme="minorEastAsia" w:eastAsiaTheme="minorEastAsia" w:cstheme="minorEastAsia"/>
          <w:sz w:val="21"/>
          <w:szCs w:val="21"/>
        </w:rPr>
        <w:t xml:space="preserve">具有双扩音功能，可增大佩戴者讲话声音及对讲机声音。</w:t>
      </w:r>
      <w:r/>
    </w:p>
    <w:p>
      <w:pPr>
        <w:ind w:left="0" w:firstLine="420"/>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★10</w:t>
      </w:r>
      <w:r>
        <w:rPr>
          <w:rFonts w:hint="eastAsia" w:asciiTheme="minorEastAsia" w:hAnsiTheme="minorEastAsia" w:eastAsiaTheme="minorEastAsia" w:cstheme="minorEastAsia"/>
          <w:sz w:val="21"/>
          <w:szCs w:val="21"/>
        </w:rPr>
        <w:t xml:space="preserve">.</w:t>
      </w:r>
      <w:r>
        <w:rPr>
          <w:rFonts w:asciiTheme="minorEastAsia" w:hAnsiTheme="minorEastAsia" w:eastAsiaTheme="minorEastAsia" w:cstheme="minorEastAsia"/>
          <w:sz w:val="21"/>
          <w:szCs w:val="21"/>
        </w:rPr>
        <w:t xml:space="preserve">具有降噪功能，确保通讯音质清晰，避免啸叫和回声。</w:t>
      </w:r>
      <w:r/>
    </w:p>
    <w:p>
      <w:pPr>
        <w:ind w:left="0" w:firstLine="420"/>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▲11</w:t>
      </w:r>
      <w:r>
        <w:rPr>
          <w:rFonts w:hint="eastAsia" w:asciiTheme="minorEastAsia" w:hAnsiTheme="minorEastAsia" w:eastAsiaTheme="minorEastAsia" w:cstheme="minorEastAsia"/>
          <w:sz w:val="21"/>
          <w:szCs w:val="21"/>
        </w:rPr>
        <w:t xml:space="preserve">.</w:t>
      </w:r>
      <w:r>
        <w:rPr>
          <w:rFonts w:asciiTheme="minorEastAsia" w:hAnsiTheme="minorEastAsia" w:eastAsiaTheme="minorEastAsia" w:cstheme="minorEastAsia"/>
          <w:sz w:val="21"/>
          <w:szCs w:val="21"/>
        </w:rPr>
        <w:t xml:space="preserve">球形面屏能够承受速度≥180m/s、直径≥6mm的钢珠冲击而不破裂穿透。</w:t>
      </w:r>
      <w:r/>
    </w:p>
    <w:p>
      <w:pPr>
        <w:ind w:left="0" w:firstLine="420"/>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12</w:t>
      </w:r>
      <w:r>
        <w:rPr>
          <w:rFonts w:hint="eastAsia" w:asciiTheme="minorEastAsia" w:hAnsiTheme="minorEastAsia" w:eastAsiaTheme="minorEastAsia" w:cstheme="minorEastAsia"/>
          <w:sz w:val="21"/>
          <w:szCs w:val="21"/>
        </w:rPr>
        <w:t xml:space="preserve">.</w:t>
      </w:r>
      <w:r>
        <w:rPr>
          <w:rFonts w:asciiTheme="minorEastAsia" w:hAnsiTheme="minorEastAsia" w:eastAsiaTheme="minorEastAsia" w:cstheme="minorEastAsia"/>
          <w:sz w:val="21"/>
          <w:szCs w:val="21"/>
        </w:rPr>
        <w:t xml:space="preserve">面罩内半面罩采用医用级硅胶材质，贴合面部，密封性能良好，适合亚洲人脸型。头网罩采用阻燃芳纶材质，为编织网状，透气，采用五点式固定方式。</w:t>
      </w:r>
      <w:r/>
    </w:p>
    <w:p>
      <w:pPr>
        <w:ind w:left="0" w:firstLine="420"/>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13</w:t>
      </w:r>
      <w:r>
        <w:rPr>
          <w:rFonts w:hint="eastAsia" w:asciiTheme="minorEastAsia" w:hAnsiTheme="minorEastAsia" w:eastAsiaTheme="minorEastAsia" w:cstheme="minorEastAsia"/>
          <w:sz w:val="21"/>
          <w:szCs w:val="21"/>
        </w:rPr>
        <w:t xml:space="preserve">.</w:t>
      </w:r>
      <w:r>
        <w:rPr>
          <w:rFonts w:asciiTheme="minorEastAsia" w:hAnsiTheme="minorEastAsia" w:eastAsiaTheme="minorEastAsia" w:cstheme="minorEastAsia"/>
          <w:sz w:val="21"/>
          <w:szCs w:val="21"/>
        </w:rPr>
        <w:t xml:space="preserve">自动关机功能：在静止未使用超过30min后自动关机，以延长电池使用寿命。</w:t>
      </w:r>
      <w:r/>
    </w:p>
    <w:p>
      <w:pPr>
        <w:ind w:left="0" w:firstLine="420"/>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14</w:t>
      </w:r>
      <w:r>
        <w:rPr>
          <w:rFonts w:hint="eastAsia" w:asciiTheme="minorEastAsia" w:hAnsiTheme="minorEastAsia" w:eastAsiaTheme="minorEastAsia" w:cstheme="minorEastAsia"/>
          <w:sz w:val="21"/>
          <w:szCs w:val="21"/>
        </w:rPr>
        <w:t xml:space="preserve">.</w:t>
      </w:r>
      <w:r>
        <w:rPr>
          <w:rFonts w:asciiTheme="minorEastAsia" w:hAnsiTheme="minorEastAsia" w:eastAsiaTheme="minorEastAsia" w:cstheme="minorEastAsia"/>
          <w:sz w:val="21"/>
          <w:szCs w:val="21"/>
        </w:rPr>
        <w:t xml:space="preserve">电池欠压指示：电池欠压时，指示灯黄灯常亮，确保用户及时掌握电池状态。</w:t>
      </w:r>
      <w:r/>
    </w:p>
    <w:p>
      <w:pPr>
        <w:ind w:left="0" w:firstLine="420"/>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▲15</w:t>
      </w:r>
      <w:r>
        <w:rPr>
          <w:rFonts w:hint="eastAsia" w:asciiTheme="minorEastAsia" w:hAnsiTheme="minorEastAsia" w:eastAsiaTheme="minorEastAsia" w:cstheme="minorEastAsia"/>
          <w:sz w:val="21"/>
          <w:szCs w:val="21"/>
        </w:rPr>
        <w:t xml:space="preserve">.</w:t>
      </w:r>
      <w:r>
        <w:rPr>
          <w:rFonts w:asciiTheme="minorEastAsia" w:hAnsiTheme="minorEastAsia" w:eastAsiaTheme="minorEastAsia" w:cstheme="minorEastAsia"/>
          <w:sz w:val="21"/>
          <w:szCs w:val="21"/>
        </w:rPr>
        <w:t xml:space="preserve">连续工作时间：≥10小时，供电模式为干电池（换电）。</w:t>
      </w:r>
      <w:r/>
    </w:p>
    <w:p>
      <w:pPr>
        <w:ind w:left="0" w:firstLine="420"/>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16</w:t>
      </w:r>
      <w:r>
        <w:rPr>
          <w:rFonts w:hint="eastAsia" w:asciiTheme="minorEastAsia" w:hAnsiTheme="minorEastAsia" w:eastAsiaTheme="minorEastAsia" w:cstheme="minorEastAsia"/>
          <w:sz w:val="21"/>
          <w:szCs w:val="21"/>
        </w:rPr>
        <w:t xml:space="preserve">.</w:t>
      </w:r>
      <w:r>
        <w:rPr>
          <w:rFonts w:asciiTheme="minorEastAsia" w:hAnsiTheme="minorEastAsia" w:eastAsiaTheme="minorEastAsia" w:cstheme="minorEastAsia"/>
          <w:sz w:val="21"/>
          <w:szCs w:val="21"/>
        </w:rPr>
        <w:t xml:space="preserve">整机重量（含通讯线）：≤0.85kg。 </w:t>
      </w:r>
      <w:r/>
    </w:p>
    <w:p>
      <w:pPr>
        <w:ind w:left="0" w:firstLine="420"/>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17</w:t>
      </w:r>
      <w:r>
        <w:rPr>
          <w:rFonts w:hint="eastAsia" w:asciiTheme="minorEastAsia" w:hAnsiTheme="minorEastAsia" w:eastAsiaTheme="minorEastAsia" w:cstheme="minorEastAsia"/>
          <w:sz w:val="21"/>
          <w:szCs w:val="21"/>
        </w:rPr>
        <w:t xml:space="preserve">.</w:t>
      </w:r>
      <w:r>
        <w:rPr>
          <w:rFonts w:asciiTheme="minorEastAsia" w:hAnsiTheme="minorEastAsia" w:eastAsiaTheme="minorEastAsia" w:cstheme="minorEastAsia"/>
          <w:sz w:val="21"/>
          <w:szCs w:val="21"/>
        </w:rPr>
        <w:t xml:space="preserve">提供数据线，需与使用单位所使用对讲机匹配（包括但不限于森虎SPH6035、中兴高达ph790ExU（3）7.4V DC、优能NDP-878Z、优能NDP-878、海能达pd780）。</w:t>
      </w:r>
      <w:r/>
    </w:p>
    <w:p>
      <w:pPr>
        <w:ind w:left="0" w:firstLine="422"/>
        <w:spacing w:line="360" w:lineRule="auto"/>
        <w:rPr>
          <w:rFonts w:asciiTheme="minorEastAsia" w:hAnsiTheme="minorEastAsia" w:eastAsiaTheme="minorEastAsia" w:cstheme="minorEastAsia"/>
          <w:b/>
          <w:bCs/>
          <w:sz w:val="21"/>
          <w:szCs w:val="21"/>
        </w:rPr>
      </w:pPr>
      <w:r>
        <w:rPr>
          <w:rFonts w:asciiTheme="minorEastAsia" w:hAnsiTheme="minorEastAsia" w:eastAsiaTheme="minorEastAsia" w:cstheme="minorEastAsia"/>
          <w:b/>
          <w:bCs/>
          <w:sz w:val="21"/>
          <w:szCs w:val="21"/>
        </w:rPr>
        <w:t xml:space="preserve">注：投标时需提供样品及检验报告（出具报告的检验机构应具有同类产品的CMA认证），检验报告至少体现第2至5项参数。</w:t>
      </w:r>
      <w:r/>
    </w:p>
    <w:p>
      <w:pPr>
        <w:ind w:left="0" w:firstLine="422"/>
        <w:spacing w:line="360" w:lineRule="auto"/>
        <w:widowControl w:val="off"/>
        <w:rPr>
          <w:rFonts w:asciiTheme="minorEastAsia" w:hAnsiTheme="minorEastAsia" w:eastAsiaTheme="minorEastAsia" w:cstheme="minorEastAsia"/>
          <w:b/>
          <w:bCs/>
          <w:sz w:val="21"/>
          <w:szCs w:val="21"/>
        </w:rPr>
      </w:pPr>
      <w:r>
        <w:rPr>
          <w:rFonts w:asciiTheme="minorEastAsia" w:hAnsiTheme="minorEastAsia" w:eastAsiaTheme="minorEastAsia" w:cstheme="minorEastAsia"/>
          <w:b/>
          <w:bCs/>
          <w:sz w:val="21"/>
          <w:szCs w:val="21"/>
        </w:rPr>
      </w:r>
      <w:r/>
    </w:p>
    <w:p>
      <w:pPr>
        <w:ind w:left="0" w:firstLine="422"/>
        <w:spacing w:line="360" w:lineRule="auto"/>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注：标</w:t>
      </w:r>
      <w:r>
        <w:rPr>
          <w:rFonts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b/>
          <w:bCs/>
          <w:sz w:val="21"/>
          <w:szCs w:val="21"/>
        </w:rPr>
        <w:t xml:space="preserve">项不允许负偏离，负偏离视作非实质性响应招标文件。</w:t>
      </w:r>
      <w:r>
        <w:rPr>
          <w:rFonts w:hint="eastAsia"/>
          <w:b/>
          <w:bCs/>
          <w:sz w:val="21"/>
          <w:szCs w:val="21"/>
        </w:rPr>
        <w:t xml:space="preserve">适用于全部采购包。</w:t>
      </w:r>
      <w:r/>
    </w:p>
    <w:p>
      <w:pPr>
        <w:ind w:left="0" w:firstLine="422"/>
        <w:spacing w:line="360" w:lineRule="auto"/>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标★项参数须提供以下任意一种证明材料，未提供视作非实质性响应招标文件：</w:t>
      </w:r>
      <w:r/>
    </w:p>
    <w:p>
      <w:pPr>
        <w:ind w:left="0" w:firstLine="422"/>
        <w:spacing w:line="360" w:lineRule="auto"/>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1.相关技术资料支持（技术支持资料须为制造商公开发布的印刷资料或技术规格书或使用说明书）；2.制造商网站最新发布的资料打印件；3.检测机构出具的检验报告；</w:t>
      </w:r>
      <w:r/>
    </w:p>
    <w:p>
      <w:pPr>
        <w:ind w:left="0" w:firstLine="422"/>
        <w:spacing w:line="360" w:lineRule="auto"/>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技术参数响应指标与检验报告（采购需求中若要求提供时）或样品（采购需求中若要求提供时）实际参数或标书内其他支持文件不一致的属于负偏离。</w:t>
      </w:r>
      <w:r/>
    </w:p>
    <w:p>
      <w:pPr>
        <w:ind w:left="0" w:firstLine="422"/>
        <w:spacing w:line="360" w:lineRule="auto"/>
        <w:widowControl w:val="off"/>
        <w:rPr>
          <w:rFonts w:asciiTheme="minorEastAsia" w:hAnsiTheme="minorEastAsia" w:eastAsiaTheme="minorEastAsia" w:cstheme="minorEastAsia"/>
          <w:b/>
          <w:bCs/>
          <w:sz w:val="21"/>
          <w:szCs w:val="21"/>
        </w:rPr>
      </w:pPr>
      <w:r>
        <w:rPr>
          <w:rFonts w:asciiTheme="minorEastAsia" w:hAnsiTheme="minorEastAsia" w:eastAsiaTheme="minorEastAsia" w:cstheme="minorEastAsia"/>
          <w:b/>
          <w:bCs/>
          <w:sz w:val="21"/>
          <w:szCs w:val="21"/>
        </w:rPr>
      </w:r>
      <w:r/>
    </w:p>
    <w:p>
      <w:pPr>
        <w:ind w:left="0"/>
        <w:spacing w:line="360" w:lineRule="auto"/>
        <w:widowControl w:val="off"/>
        <w:rPr>
          <w:rFonts w:asciiTheme="minorEastAsia" w:hAnsiTheme="minorEastAsia" w:eastAsiaTheme="minorEastAsia" w:cstheme="minorEastAsia"/>
          <w:b/>
          <w:bCs/>
          <w:sz w:val="21"/>
          <w:szCs w:val="21"/>
        </w:rPr>
      </w:pPr>
      <w:r>
        <w:rPr>
          <w:rFonts w:asciiTheme="minorEastAsia" w:hAnsiTheme="minorEastAsia" w:eastAsiaTheme="minorEastAsia" w:cstheme="minorEastAsia"/>
          <w:b/>
          <w:bCs/>
          <w:sz w:val="21"/>
          <w:szCs w:val="21"/>
        </w:rPr>
      </w:r>
      <w:r/>
    </w:p>
    <w:p>
      <w:pPr>
        <w:ind w:left="0" w:firstLine="422"/>
        <w:spacing w:line="360" w:lineRule="auto"/>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出样要求（适用于包一、包二、包四、包五、包七）：</w:t>
      </w:r>
      <w:r/>
    </w:p>
    <w:p>
      <w:pPr>
        <w:ind w:left="0" w:firstLine="420"/>
        <w:spacing w:line="360" w:lineRule="auto"/>
        <w:widowControl w:val="off"/>
        <w:rPr>
          <w:rFonts w:ascii="宋体" w:hAnsi="宋体" w:cs="Times New Roman"/>
          <w:b/>
          <w:bCs/>
          <w:sz w:val="21"/>
          <w:szCs w:val="21"/>
        </w:rPr>
      </w:pPr>
      <w:r>
        <w:rPr>
          <w:rFonts w:hint="eastAsia" w:ascii="宋体" w:hAnsi="宋体" w:cs="Times New Roman"/>
          <w:sz w:val="21"/>
          <w:szCs w:val="21"/>
        </w:rPr>
        <w:t xml:space="preserve">1、</w:t>
      </w:r>
      <w:r>
        <w:rPr>
          <w:rFonts w:cs="Times New Roman" w:asciiTheme="minorEastAsia" w:hAnsiTheme="minorEastAsia" w:eastAsiaTheme="minorEastAsia"/>
          <w:bCs/>
          <w:iCs/>
          <w:sz w:val="21"/>
          <w:szCs w:val="21"/>
        </w:rPr>
        <w:t xml:space="preserve">样品采用明标评审，各投标人将样品存放在</w:t>
      </w:r>
      <w:r>
        <w:rPr>
          <w:rFonts w:hint="eastAsia" w:cs="Times New Roman" w:asciiTheme="minorEastAsia" w:hAnsiTheme="minorEastAsia"/>
          <w:bCs/>
          <w:iCs/>
          <w:sz w:val="21"/>
          <w:szCs w:val="21"/>
        </w:rPr>
        <w:t xml:space="preserve">一个</w:t>
      </w:r>
      <w:r>
        <w:rPr>
          <w:rFonts w:cs="Times New Roman" w:asciiTheme="minorEastAsia" w:hAnsiTheme="minorEastAsia" w:eastAsiaTheme="minorEastAsia"/>
          <w:bCs/>
          <w:iCs/>
          <w:sz w:val="21"/>
          <w:szCs w:val="21"/>
        </w:rPr>
        <w:t xml:space="preserve">包装箱内，箱上需标明投标人名称，包装箱需密封。</w:t>
      </w:r>
      <w:r>
        <w:rPr>
          <w:rFonts w:hint="eastAsia" w:ascii="宋体" w:hAnsi="宋体" w:cs="Times New Roman"/>
          <w:sz w:val="21"/>
          <w:szCs w:val="21"/>
        </w:rPr>
        <w:t xml:space="preserve">投标人按上述要求提供有关样品供评标委员会评审使用，评标结束后，中标人样品应立刻封样保存，并运送至采购人指定地点；未中标人样品务必在当天内各自自行取回。</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2、出样地点：</w:t>
      </w:r>
      <w:r/>
    </w:p>
    <w:p>
      <w:pPr>
        <w:ind w:left="208" w:firstLine="210"/>
        <w:spacing w:line="360" w:lineRule="auto"/>
        <w:widowControl w:val="off"/>
        <w:rPr>
          <w:rFonts w:ascii="宋体" w:hAnsi="宋体" w:cs="Times New Roman"/>
          <w:sz w:val="21"/>
          <w:szCs w:val="21"/>
        </w:rPr>
      </w:pPr>
      <w:r>
        <w:rPr>
          <w:rFonts w:ascii="宋体" w:hAnsi="宋体" w:cs="Times New Roman"/>
          <w:sz w:val="21"/>
          <w:szCs w:val="21"/>
        </w:rPr>
        <w:t xml:space="preserve">样品接收开始时间：202</w:t>
      </w:r>
      <w:r>
        <w:rPr>
          <w:rFonts w:hint="eastAsia" w:ascii="宋体" w:hAnsi="宋体" w:cs="Times New Roman"/>
          <w:sz w:val="21"/>
          <w:szCs w:val="21"/>
        </w:rPr>
        <w:t xml:space="preserve">6</w:t>
      </w:r>
      <w:r>
        <w:rPr>
          <w:rFonts w:ascii="宋体" w:hAnsi="宋体" w:cs="Times New Roman"/>
          <w:sz w:val="21"/>
          <w:szCs w:val="21"/>
        </w:rPr>
        <w:t xml:space="preserve">年</w:t>
      </w:r>
      <w:r>
        <w:rPr>
          <w:rFonts w:hint="eastAsia" w:ascii="宋体" w:hAnsi="宋体" w:cs="Times New Roman"/>
          <w:sz w:val="21"/>
          <w:szCs w:val="21"/>
          <w:lang w:val="en-US" w:eastAsia="zh-CN"/>
        </w:rPr>
        <w:t xml:space="preserve">5</w:t>
      </w:r>
      <w:r>
        <w:rPr>
          <w:rFonts w:ascii="宋体" w:hAnsi="宋体" w:cs="Times New Roman"/>
          <w:sz w:val="21"/>
          <w:szCs w:val="21"/>
        </w:rPr>
        <w:t xml:space="preserve">月</w:t>
      </w:r>
      <w:r>
        <w:rPr>
          <w:rFonts w:hint="eastAsia" w:ascii="宋体" w:hAnsi="宋体" w:cs="Times New Roman"/>
          <w:sz w:val="21"/>
          <w:szCs w:val="21"/>
          <w:lang w:val="en-US" w:eastAsia="zh-CN"/>
        </w:rPr>
        <w:t xml:space="preserve">19</w:t>
      </w:r>
      <w:r>
        <w:rPr>
          <w:rFonts w:ascii="宋体" w:hAnsi="宋体" w:cs="Times New Roman"/>
          <w:sz w:val="21"/>
          <w:szCs w:val="21"/>
        </w:rPr>
        <w:t xml:space="preserve">日8</w:t>
      </w:r>
      <w:r>
        <w:rPr>
          <w:rFonts w:hint="eastAsia" w:ascii="宋体" w:hAnsi="宋体" w:cs="Times New Roman"/>
          <w:sz w:val="21"/>
          <w:szCs w:val="21"/>
        </w:rPr>
        <w:t xml:space="preserve">点</w:t>
      </w:r>
      <w:r>
        <w:rPr>
          <w:rFonts w:hint="eastAsia" w:ascii="宋体" w:hAnsi="宋体" w:cs="Times New Roman"/>
          <w:sz w:val="21"/>
          <w:szCs w:val="21"/>
          <w:lang w:val="en-US" w:eastAsia="zh-CN"/>
        </w:rPr>
        <w:t xml:space="preserve">3</w:t>
      </w:r>
      <w:r>
        <w:rPr>
          <w:rFonts w:ascii="宋体" w:hAnsi="宋体" w:cs="Times New Roman"/>
          <w:sz w:val="21"/>
          <w:szCs w:val="21"/>
        </w:rPr>
        <w:t xml:space="preserve">0</w:t>
      </w:r>
      <w:r>
        <w:rPr>
          <w:rFonts w:hint="eastAsia" w:ascii="宋体" w:hAnsi="宋体" w:cs="Times New Roman"/>
          <w:sz w:val="21"/>
          <w:szCs w:val="21"/>
        </w:rPr>
        <w:t xml:space="preserve">分</w:t>
      </w:r>
      <w:r>
        <w:rPr>
          <w:rFonts w:ascii="宋体" w:hAnsi="宋体" w:cs="Times New Roman"/>
          <w:sz w:val="21"/>
          <w:szCs w:val="21"/>
        </w:rPr>
        <w:t xml:space="preserve">（北京时间），样品接收截止时间：202</w:t>
      </w:r>
      <w:r>
        <w:rPr>
          <w:rFonts w:hint="eastAsia" w:ascii="宋体" w:hAnsi="宋体" w:cs="Times New Roman"/>
          <w:sz w:val="21"/>
          <w:szCs w:val="21"/>
          <w:lang w:val="en-US" w:eastAsia="zh-CN"/>
        </w:rPr>
        <w:t xml:space="preserve">6</w:t>
      </w:r>
      <w:r>
        <w:rPr>
          <w:rFonts w:ascii="宋体" w:hAnsi="宋体" w:cs="Times New Roman"/>
          <w:sz w:val="21"/>
          <w:szCs w:val="21"/>
        </w:rPr>
        <w:t xml:space="preserve">年</w:t>
      </w:r>
      <w:r>
        <w:rPr>
          <w:rFonts w:hint="eastAsia" w:ascii="宋体" w:hAnsi="宋体" w:cs="Times New Roman"/>
          <w:sz w:val="21"/>
          <w:szCs w:val="21"/>
          <w:lang w:val="en-US" w:eastAsia="zh-CN"/>
        </w:rPr>
        <w:t xml:space="preserve">5</w:t>
      </w:r>
      <w:r>
        <w:rPr>
          <w:rFonts w:ascii="宋体" w:hAnsi="宋体" w:cs="Times New Roman"/>
          <w:sz w:val="21"/>
          <w:szCs w:val="21"/>
        </w:rPr>
        <w:t xml:space="preserve">月</w:t>
      </w:r>
      <w:r>
        <w:rPr>
          <w:rFonts w:hint="eastAsia" w:ascii="宋体" w:hAnsi="宋体" w:cs="Times New Roman"/>
          <w:sz w:val="21"/>
          <w:szCs w:val="21"/>
          <w:lang w:val="en-US" w:eastAsia="zh-CN"/>
        </w:rPr>
        <w:t xml:space="preserve">19</w:t>
      </w:r>
      <w:r>
        <w:rPr>
          <w:rFonts w:ascii="宋体" w:hAnsi="宋体" w:cs="Times New Roman"/>
          <w:sz w:val="21"/>
          <w:szCs w:val="21"/>
        </w:rPr>
        <w:t xml:space="preserve">日</w:t>
      </w:r>
      <w:r>
        <w:rPr>
          <w:rFonts w:hint="eastAsia" w:ascii="宋体" w:hAnsi="宋体" w:cs="Times New Roman"/>
          <w:sz w:val="21"/>
          <w:szCs w:val="21"/>
        </w:rPr>
        <w:t xml:space="preserve">  </w:t>
      </w:r>
      <w:r>
        <w:rPr>
          <w:rFonts w:hint="eastAsia" w:ascii="宋体" w:hAnsi="宋体" w:cs="Times New Roman"/>
          <w:sz w:val="21"/>
          <w:szCs w:val="21"/>
          <w:lang w:val="en-US" w:eastAsia="zh-CN"/>
        </w:rPr>
        <w:t xml:space="preserve">9</w:t>
      </w:r>
      <w:r>
        <w:rPr>
          <w:rFonts w:hint="eastAsia" w:ascii="宋体" w:hAnsi="宋体" w:cs="Times New Roman"/>
          <w:sz w:val="21"/>
          <w:szCs w:val="21"/>
        </w:rPr>
        <w:t xml:space="preserve">点</w:t>
      </w:r>
      <w:r>
        <w:rPr>
          <w:rFonts w:hint="eastAsia" w:ascii="宋体" w:hAnsi="宋体" w:cs="Times New Roman"/>
          <w:sz w:val="21"/>
          <w:szCs w:val="21"/>
          <w:lang w:val="en-US" w:eastAsia="zh-CN"/>
        </w:rPr>
        <w:t xml:space="preserve">30</w:t>
      </w:r>
      <w:r>
        <w:rPr>
          <w:rFonts w:hint="eastAsia" w:ascii="宋体" w:hAnsi="宋体" w:cs="Times New Roman"/>
          <w:sz w:val="21"/>
          <w:szCs w:val="21"/>
        </w:rPr>
        <w:t xml:space="preserve">分</w:t>
      </w:r>
      <w:r>
        <w:rPr>
          <w:rFonts w:ascii="宋体" w:hAnsi="宋体" w:cs="Times New Roman"/>
          <w:sz w:val="21"/>
          <w:szCs w:val="21"/>
        </w:rPr>
        <w:t xml:space="preserve">（北京时间）</w:t>
      </w:r>
      <w:r/>
    </w:p>
    <w:p>
      <w:pPr>
        <w:ind w:left="0" w:firstLine="420"/>
        <w:spacing w:line="360" w:lineRule="auto"/>
        <w:widowControl w:val="off"/>
        <w:rPr>
          <w:rFonts w:hint="default" w:ascii="宋体" w:hAnsi="宋体" w:eastAsia="宋体" w:cs="Times New Roman"/>
          <w:sz w:val="21"/>
          <w:szCs w:val="21"/>
          <w:lang w:val="en-US" w:eastAsia="zh-CN"/>
        </w:rPr>
      </w:pPr>
      <w:r>
        <w:rPr>
          <w:rFonts w:ascii="宋体" w:hAnsi="宋体" w:cs="Times New Roman"/>
          <w:sz w:val="21"/>
          <w:szCs w:val="21"/>
        </w:rPr>
        <w:t xml:space="preserve">样品接收</w:t>
      </w:r>
      <w:r>
        <w:rPr>
          <w:rFonts w:hint="eastAsia" w:ascii="宋体" w:hAnsi="宋体" w:cs="Times New Roman"/>
          <w:sz w:val="21"/>
          <w:szCs w:val="21"/>
        </w:rPr>
        <w:t xml:space="preserve">地点：</w:t>
      </w:r>
      <w:r>
        <w:rPr>
          <w:rFonts w:hint="eastAsia" w:ascii="宋体" w:hAnsi="宋体"/>
          <w:sz w:val="21"/>
          <w:szCs w:val="21"/>
        </w:rPr>
        <w:t xml:space="preserve">苏州高新区邓尉路105号狮山科技馆</w:t>
      </w:r>
      <w:r>
        <w:rPr>
          <w:rFonts w:hint="eastAsia" w:ascii="宋体" w:hAnsi="宋体"/>
          <w:sz w:val="21"/>
          <w:szCs w:val="21"/>
          <w:lang w:val="en-US" w:eastAsia="zh-CN"/>
        </w:rPr>
        <w:t xml:space="preserve">7</w:t>
      </w:r>
      <w:r>
        <w:rPr>
          <w:rFonts w:hint="eastAsia" w:ascii="宋体" w:hAnsi="宋体"/>
          <w:sz w:val="21"/>
          <w:szCs w:val="21"/>
        </w:rPr>
        <w:t xml:space="preserve">楼</w:t>
      </w:r>
      <w:r>
        <w:rPr>
          <w:rFonts w:hint="eastAsia" w:ascii="宋体" w:hAnsi="宋体"/>
          <w:sz w:val="21"/>
          <w:szCs w:val="21"/>
          <w:lang w:val="en-US" w:eastAsia="zh-CN"/>
        </w:rPr>
        <w:t xml:space="preserve">710室</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样品接收联系人：</w:t>
      </w:r>
      <w:r>
        <w:rPr>
          <w:rFonts w:hint="eastAsia" w:ascii="宋体" w:hAnsi="宋体" w:cs="Times New Roman"/>
          <w:sz w:val="21"/>
          <w:szCs w:val="21"/>
        </w:rPr>
        <w:t xml:space="preserve">朱工 </w:t>
      </w:r>
      <w:r>
        <w:rPr>
          <w:rFonts w:ascii="宋体" w:hAnsi="宋体" w:cs="Times New Roman"/>
          <w:sz w:val="21"/>
          <w:szCs w:val="21"/>
        </w:rPr>
        <w:t xml:space="preserve">  ；联系电话：</w:t>
      </w:r>
      <w:r>
        <w:rPr>
          <w:rFonts w:hint="eastAsia" w:ascii="宋体" w:hAnsi="宋体" w:cs="Times New Roman"/>
          <w:sz w:val="21"/>
          <w:szCs w:val="21"/>
        </w:rPr>
        <w:t xml:space="preserve">0</w:t>
      </w:r>
      <w:r>
        <w:rPr>
          <w:rFonts w:ascii="宋体" w:hAnsi="宋体" w:cs="Times New Roman"/>
          <w:sz w:val="21"/>
          <w:szCs w:val="21"/>
        </w:rPr>
        <w:t xml:space="preserve">512-69820</w:t>
      </w:r>
      <w:r>
        <w:rPr>
          <w:rFonts w:hint="eastAsia" w:ascii="宋体" w:hAnsi="宋体" w:cs="Times New Roman"/>
          <w:sz w:val="21"/>
          <w:szCs w:val="21"/>
        </w:rPr>
        <w:t xml:space="preserve">691</w:t>
      </w:r>
      <w:r>
        <w:rPr>
          <w:rFonts w:ascii="宋体" w:hAnsi="宋体" w:cs="Times New Roman"/>
          <w:sz w:val="21"/>
          <w:szCs w:val="21"/>
        </w:rPr>
        <w:t xml:space="preserve">  。</w:t>
      </w:r>
      <w:r/>
    </w:p>
    <w:p>
      <w:pPr>
        <w:ind w:left="0" w:firstLine="422"/>
        <w:spacing w:line="360" w:lineRule="auto"/>
        <w:widowControl w:val="off"/>
        <w:rPr>
          <w:rFonts w:ascii="宋体" w:hAnsi="宋体" w:cs="Times New Roman"/>
          <w:b/>
          <w:bCs/>
          <w:sz w:val="21"/>
          <w:szCs w:val="21"/>
        </w:rPr>
      </w:pPr>
      <w:r>
        <w:rPr>
          <w:rFonts w:hint="eastAsia" w:ascii="宋体" w:hAnsi="宋体" w:cs="Times New Roman"/>
          <w:b/>
          <w:bCs/>
          <w:sz w:val="21"/>
          <w:szCs w:val="21"/>
        </w:rPr>
        <w:t xml:space="preserve">3、投标供应商将样品在样品接收截止时间前送至出样地点。评审结束前，供应商不要离开现场，直至样品取回。</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4、投标供应商按照采购文件项目需求中的技术要求制作样品。</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5、中标后，中标单位的样品将封存给采购单位作为最终的验收依据之一。</w:t>
      </w:r>
      <w:r/>
    </w:p>
    <w:p>
      <w:pPr>
        <w:ind w:left="0" w:firstLine="420"/>
        <w:spacing w:line="360" w:lineRule="auto"/>
        <w:widowControl w:val="off"/>
        <w:rPr>
          <w:rFonts w:ascii="宋体" w:hAnsi="宋体" w:cs="Times New Roman"/>
          <w:sz w:val="21"/>
          <w:szCs w:val="21"/>
        </w:rPr>
      </w:pPr>
      <w:r>
        <w:rPr>
          <w:rFonts w:hint="eastAsia" w:ascii="宋体" w:hAnsi="宋体"/>
          <w:sz w:val="21"/>
          <w:szCs w:val="21"/>
        </w:rPr>
        <w:t xml:space="preserve">6、</w:t>
      </w:r>
      <w:r>
        <w:rPr>
          <w:rFonts w:hint="eastAsia" w:ascii="宋体" w:hAnsi="宋体"/>
          <w:b/>
          <w:bCs/>
          <w:sz w:val="21"/>
          <w:szCs w:val="21"/>
        </w:rPr>
        <w:t xml:space="preserve">投标供应商提交样品时须携带授权委托书（见附件13），未提供授权委托书现场将拒绝接受样品。</w:t>
      </w:r>
      <w:r/>
    </w:p>
    <w:p>
      <w:pPr>
        <w:ind w:left="0" w:firstLine="400"/>
        <w:spacing w:line="360" w:lineRule="auto"/>
      </w:pPr>
      <w:r/>
      <w:r/>
    </w:p>
    <w:p>
      <w:pPr>
        <w:ind w:left="0" w:firstLine="422"/>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商务要求（适用于全部包）：</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（一）交付时间</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签订合同后60日历天内将货物送达指定地点。</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（二）交付地点</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以具体签署的采购合同中货物交付地点为准。</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（三）履约保证金（函）</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自合同签订之日起7个工作日内，乙方向甲方缴纳合同总金额5%的履约保证金（或金融机构出具的独立保函，该保</w:t>
      </w:r>
      <w:r>
        <w:rPr>
          <w:rFonts w:hint="eastAsia" w:asciiTheme="minorEastAsia" w:hAnsiTheme="minorEastAsia" w:eastAsiaTheme="minorEastAsia" w:cstheme="minorEastAsia"/>
          <w:sz w:val="21"/>
          <w:szCs w:val="21"/>
        </w:rPr>
        <w:t xml:space="preserve">函需载明：（1）见索即付；（2）收到甲方法定代表人或授权委托代理人签字确认并加盖公章的书面索赔通知后即应不争辩、不挑剔、不可撤销地向甲方支付索赔款，直至最高担保金额；（3）有效期为保函开具之日起至验收合格后三十个工作日为止；（4）担保金额为合同金额的5%）。如乙方提供的保函未载明前述内容的，甲方可以拒收该保函，并要求乙方以银行转账的方式提供履约保证金。合同履行完毕且在乙方无违约情形或无其它甲方有权扣除时，履约保证金将在合同履行完毕后1个月内全额（无息）退回。若甲方超期未退还，则按照银行同期贷款利率支付利息。</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 付款条件（进度和方式）</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甲方在收到履约保证金（函）后，30天内向乙方支付合同总金额30%的价款。乙方按照合同约定交货，经甲方对合同中所有装备到货验收合格（甲方签署到货验收合格报告），凭乙方等额有效发票及甲方签署验收合格报告，甲方在30天内向乙方支付至合同金额的100%。</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 售后服务要求</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（1）乙方应按采购文件规定的货物性能、技术要求、质量标准向甲方提供未经使用的近六个月生产的全新产品。</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（2）中标人须负责送货上门及安装调试、使用培训。过程中的全部运输、装卸、保管等均由中标人负责。</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（3）质量保证期：从验收合格后三十六个月（双方签署验收报告时起算）。抗醇性水成膜泡沫灭火剂保质期≥2年。</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（4）响应时间：质保期内，中标人必须在接到报修电话后8小时内响应，24小时内到达现场免费维修，24小时内修复。如 24小时内无法修复的，必须全免费提供不低于故障产品规格型号档次的备用产品（或采用应急措施）供招标人临时使用，不得影响招标人的正常工作，直到故障产品修复。中标人对所有设备实行终身维护，保修期外发生维修只收配件、材料及维修期人工工时费。</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中标人须提供全天候7×24的售后服务，中标人提供统一的售后服务受理电话，在投标文件中明确售后服务受理电话号码及专门为招标人服务的客户服务经理姓名、电话。中标人应免费为招标人培训使用及维护人员，确保招标人使用人员能正确使用、维护保养。</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（6）所投产品如有备品备件，投标人须编制质保期后三年内必须的备品备件报价表。</w:t>
      </w:r>
      <w:r/>
    </w:p>
    <w:p>
      <w:pPr>
        <w:ind w:left="0" w:firstLine="420"/>
        <w:spacing w:line="360" w:lineRule="auto"/>
        <w:rPr>
          <w:rFonts w:hint="eastAsia" w:ascii="宋体" w:hAnsi="宋体"/>
          <w:sz w:val="21"/>
        </w:rPr>
      </w:pPr>
      <w:r>
        <w:rPr>
          <w:rFonts w:hint="eastAsia" w:asciiTheme="minorEastAsia" w:hAnsiTheme="minorEastAsia" w:eastAsiaTheme="minorEastAsia" w:cstheme="minorEastAsia"/>
          <w:sz w:val="21"/>
          <w:szCs w:val="21"/>
          <w:lang w:val="en-US" w:eastAsia="zh-CN"/>
        </w:rPr>
        <w:t xml:space="preserve">（四）</w:t>
      </w:r>
      <w:r>
        <w:rPr>
          <w:rFonts w:hint="eastAsia" w:ascii="宋体" w:hAnsi="宋体"/>
          <w:sz w:val="21"/>
        </w:rPr>
        <w:t xml:space="preserve">投标人根据本项目特点，制定下列</w:t>
      </w:r>
      <w:r>
        <w:rPr>
          <w:rFonts w:hint="eastAsia" w:asciiTheme="minorEastAsia" w:hAnsiTheme="minorEastAsia" w:eastAsiaTheme="minorEastAsia" w:cstheme="minorEastAsia"/>
          <w:sz w:val="21"/>
          <w:szCs w:val="21"/>
          <w:lang w:val="en-US" w:eastAsia="zh-CN"/>
        </w:rPr>
        <w:t xml:space="preserve">培训方案</w:t>
      </w:r>
      <w:r>
        <w:rPr>
          <w:rFonts w:hint="eastAsia" w:ascii="宋体" w:hAnsi="宋体"/>
          <w:sz w:val="21"/>
        </w:rPr>
        <w:t xml:space="preserve">。</w:t>
      </w:r>
      <w:r/>
    </w:p>
    <w:p>
      <w:pPr>
        <w:ind w:left="0" w:firstLine="420"/>
        <w:spacing w:line="36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1.培训时间计划及培训人员安排；</w:t>
      </w:r>
      <w:r/>
    </w:p>
    <w:p>
      <w:pPr>
        <w:ind w:left="0" w:firstLine="420"/>
        <w:spacing w:line="36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2.培训内容设计安排；</w:t>
      </w:r>
      <w:r/>
    </w:p>
    <w:p>
      <w:pPr>
        <w:ind w:left="0" w:firstLine="420"/>
        <w:spacing w:line="36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3.重点难点及培训结果保障措施</w:t>
      </w:r>
      <w:r/>
    </w:p>
    <w:p>
      <w:pPr>
        <w:ind w:left="0" w:firstLine="420"/>
        <w:spacing w:line="360" w:lineRule="auto"/>
        <w:rPr>
          <w:rFonts w:hint="eastAsia" w:ascii="宋体" w:hAnsi="宋体"/>
          <w:sz w:val="21"/>
        </w:rPr>
      </w:pPr>
      <w:r>
        <w:rPr>
          <w:rFonts w:hint="eastAsia" w:asciiTheme="minorEastAsia" w:hAnsiTheme="minorEastAsia" w:eastAsiaTheme="minorEastAsia" w:cstheme="minorEastAsia"/>
          <w:sz w:val="21"/>
          <w:szCs w:val="21"/>
          <w:lang w:val="en-US" w:eastAsia="zh-CN"/>
        </w:rPr>
        <w:t xml:space="preserve">（五）</w:t>
      </w:r>
      <w:r>
        <w:rPr>
          <w:rFonts w:hint="eastAsia" w:ascii="宋体" w:hAnsi="宋体"/>
          <w:sz w:val="21"/>
        </w:rPr>
        <w:t xml:space="preserve">投标人根据本项目特点，制定下列</w:t>
      </w:r>
      <w:r>
        <w:rPr>
          <w:rFonts w:hint="eastAsia" w:ascii="宋体" w:hAnsi="宋体"/>
          <w:sz w:val="21"/>
          <w:lang w:val="en-US" w:eastAsia="zh-CN"/>
        </w:rPr>
        <w:t xml:space="preserve">售后服务</w:t>
      </w:r>
      <w:r>
        <w:rPr>
          <w:rFonts w:hint="eastAsia" w:asciiTheme="minorEastAsia" w:hAnsiTheme="minorEastAsia" w:eastAsiaTheme="minorEastAsia" w:cstheme="minorEastAsia"/>
          <w:sz w:val="21"/>
          <w:szCs w:val="21"/>
          <w:lang w:val="en-US" w:eastAsia="zh-CN"/>
        </w:rPr>
        <w:t xml:space="preserve">方案</w:t>
      </w:r>
      <w:r>
        <w:rPr>
          <w:rFonts w:hint="eastAsia" w:ascii="宋体" w:hAnsi="宋体"/>
          <w:sz w:val="21"/>
        </w:rPr>
        <w:t xml:space="preserve">。</w:t>
      </w:r>
      <w:r/>
    </w:p>
    <w:p>
      <w:pPr>
        <w:pStyle w:val="1061"/>
        <w:ind w:left="0" w:firstLine="420"/>
        <w:keepLines w:val="0"/>
        <w:keepNext w:val="0"/>
        <w:pageBreakBefore w:val="0"/>
        <w:spacing w:after="0" w:line="360" w:lineRule="auto"/>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1.售后服务机构及人员网点配置；</w:t>
      </w:r>
      <w:r/>
    </w:p>
    <w:p>
      <w:pPr>
        <w:pStyle w:val="1061"/>
        <w:ind w:left="0" w:firstLine="420"/>
        <w:keepLines w:val="0"/>
        <w:keepNext w:val="0"/>
        <w:pageBreakBefore w:val="0"/>
        <w:spacing w:after="0" w:line="360" w:lineRule="auto"/>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2.响应时间；</w:t>
      </w:r>
      <w:r/>
    </w:p>
    <w:p>
      <w:pPr>
        <w:pStyle w:val="1061"/>
        <w:ind w:left="0" w:firstLine="420"/>
        <w:keepLines w:val="0"/>
        <w:keepNext w:val="0"/>
        <w:pageBreakBefore w:val="0"/>
        <w:spacing w:after="0" w:line="360" w:lineRule="auto"/>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3.零配件供应周期、备货储存、工时费等；</w:t>
      </w:r>
      <w:r/>
    </w:p>
    <w:p>
      <w:pPr>
        <w:pStyle w:val="1061"/>
        <w:ind w:left="0" w:firstLine="420"/>
        <w:keepLines w:val="0"/>
        <w:keepNext w:val="0"/>
        <w:pageBreakBefore w:val="0"/>
        <w:spacing w:after="0" w:line="360" w:lineRule="auto"/>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4.定期安排技术人员针对产品的使用环境、使用频率及更新等进行回访、巡检、维护、保养等方案</w:t>
      </w:r>
      <w:r/>
    </w:p>
    <w:p>
      <w:pPr>
        <w:pStyle w:val="1061"/>
        <w:ind w:left="0" w:firstLine="420"/>
        <w:keepLines w:val="0"/>
        <w:keepNext w:val="0"/>
        <w:pageBreakBefore w:val="0"/>
        <w:spacing w:after="0" w:line="360" w:lineRule="auto"/>
        <w:widowControl/>
        <w:rPr>
          <w:rFonts w:hint="eastAsia" w:ascii="宋体" w:hAnsi="宋体"/>
          <w:sz w:val="21"/>
        </w:rPr>
      </w:pPr>
      <w:r>
        <w:rPr>
          <w:rFonts w:hint="eastAsia" w:asciiTheme="minorEastAsia" w:hAnsiTheme="minorEastAsia" w:eastAsiaTheme="minorEastAsia" w:cstheme="minorEastAsia"/>
          <w:sz w:val="21"/>
          <w:szCs w:val="21"/>
          <w:lang w:val="en-US" w:eastAsia="zh-CN"/>
        </w:rPr>
        <w:t xml:space="preserve">（六）</w:t>
      </w:r>
      <w:r>
        <w:rPr>
          <w:rFonts w:hint="eastAsia" w:ascii="宋体" w:hAnsi="宋体"/>
          <w:sz w:val="21"/>
        </w:rPr>
        <w:t xml:space="preserve">投标人根据本项目特点，制定下列</w:t>
      </w:r>
      <w:r>
        <w:rPr>
          <w:rFonts w:hint="eastAsia" w:ascii="宋体" w:hAnsi="宋体"/>
          <w:sz w:val="21"/>
          <w:lang w:val="en-US" w:eastAsia="zh-CN"/>
        </w:rPr>
        <w:t xml:space="preserve">供货</w:t>
      </w:r>
      <w:r>
        <w:rPr>
          <w:rFonts w:hint="eastAsia" w:asciiTheme="minorEastAsia" w:hAnsiTheme="minorEastAsia" w:eastAsiaTheme="minorEastAsia" w:cstheme="minorEastAsia"/>
          <w:sz w:val="21"/>
          <w:szCs w:val="21"/>
          <w:lang w:val="en-US" w:eastAsia="zh-CN"/>
        </w:rPr>
        <w:t xml:space="preserve">方案</w:t>
      </w:r>
      <w:r>
        <w:rPr>
          <w:rFonts w:hint="eastAsia" w:ascii="宋体" w:hAnsi="宋体"/>
          <w:sz w:val="21"/>
        </w:rPr>
        <w:t xml:space="preserve">。</w:t>
      </w:r>
      <w:r/>
    </w:p>
    <w:p>
      <w:pPr>
        <w:pStyle w:val="1061"/>
        <w:ind w:left="0" w:firstLine="420"/>
        <w:keepLines w:val="0"/>
        <w:keepNext w:val="0"/>
        <w:pageBreakBefore w:val="0"/>
        <w:spacing w:after="0" w:line="360" w:lineRule="auto"/>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1.送货车辆的具体安排；</w:t>
      </w:r>
      <w:r/>
    </w:p>
    <w:p>
      <w:pPr>
        <w:pStyle w:val="1061"/>
        <w:ind w:left="0" w:firstLine="420"/>
        <w:keepLines w:val="0"/>
        <w:keepNext w:val="0"/>
        <w:pageBreakBefore w:val="0"/>
        <w:spacing w:after="0" w:line="360" w:lineRule="auto"/>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2.送货人员；</w:t>
      </w:r>
      <w:r/>
    </w:p>
    <w:p>
      <w:pPr>
        <w:pStyle w:val="1061"/>
        <w:ind w:left="0" w:firstLine="420"/>
        <w:keepLines w:val="0"/>
        <w:keepNext w:val="0"/>
        <w:pageBreakBefore w:val="0"/>
        <w:spacing w:after="0" w:line="360" w:lineRule="auto"/>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3.卸货人员的配备；</w:t>
      </w:r>
      <w:r/>
    </w:p>
    <w:p>
      <w:pPr>
        <w:pStyle w:val="1061"/>
        <w:ind w:left="0" w:firstLine="420"/>
        <w:keepLines w:val="0"/>
        <w:keepNext w:val="0"/>
        <w:pageBreakBefore w:val="0"/>
        <w:spacing w:after="0" w:line="360" w:lineRule="auto"/>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4.卸货辅助设备的配备情况；</w:t>
      </w:r>
      <w:r/>
    </w:p>
    <w:p>
      <w:pPr>
        <w:pStyle w:val="1061"/>
        <w:ind w:left="0" w:firstLine="420"/>
        <w:keepLines w:val="0"/>
        <w:keepNext w:val="0"/>
        <w:pageBreakBefore w:val="0"/>
        <w:spacing w:after="0" w:line="360" w:lineRule="auto"/>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5.运输的方案；</w:t>
      </w:r>
      <w:r/>
    </w:p>
    <w:p>
      <w:pPr>
        <w:pStyle w:val="1061"/>
        <w:ind w:left="0" w:firstLine="420"/>
        <w:keepLines w:val="0"/>
        <w:keepNext w:val="0"/>
        <w:pageBreakBefore w:val="0"/>
        <w:spacing w:after="0" w:line="360" w:lineRule="auto"/>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6.对现场的防护等内容</w:t>
      </w:r>
      <w:r/>
    </w:p>
    <w:p>
      <w:pPr>
        <w:ind w:left="0" w:firstLine="210"/>
        <w:jc w:val="left"/>
        <w:spacing w:line="360" w:lineRule="auto"/>
        <w:widowControl w:val="off"/>
        <w:tabs>
          <w:tab w:val="left" w:pos="420" w:leader="none"/>
        </w:tabs>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（七）履约验收</w:t>
      </w:r>
      <w:r/>
    </w:p>
    <w:p>
      <w:pPr>
        <w:ind w:left="0" w:firstLine="420"/>
        <w:jc w:val="left"/>
        <w:keepLines w:val="0"/>
        <w:keepNext w:val="0"/>
        <w:pageBreakBefore w:val="0"/>
        <w:spacing w:line="360" w:lineRule="auto"/>
        <w:widowControl w:val="off"/>
        <w:tabs>
          <w:tab w:val="left" w:pos="420" w:leader="none"/>
        </w:tabs>
        <w:rPr>
          <w:rFonts w:ascii="宋体" w:hAnsi="宋体"/>
          <w:sz w:val="21"/>
        </w:rPr>
      </w:pPr>
      <w:r>
        <w:rPr>
          <w:rFonts w:hint="eastAsia" w:ascii="宋体" w:hAnsi="宋体"/>
          <w:sz w:val="21"/>
          <w:lang w:val="en-US" w:eastAsia="zh-CN"/>
        </w:rPr>
        <w:t xml:space="preserve">1.</w:t>
      </w:r>
      <w:r>
        <w:rPr>
          <w:rFonts w:hint="eastAsia" w:ascii="宋体" w:hAnsi="宋体"/>
          <w:sz w:val="21"/>
        </w:rPr>
        <w:t xml:space="preserve">采购人将根据《江苏省财政厅关于印发&lt;江苏省政府采购履约验收管理办法&gt;的通知》(苏财规(2024)7号)相关要求，组织项目履约验收基本工作。</w:t>
      </w:r>
      <w:r/>
    </w:p>
    <w:p>
      <w:pPr>
        <w:ind w:left="0" w:firstLine="420"/>
        <w:jc w:val="left"/>
        <w:keepLines w:val="0"/>
        <w:keepNext w:val="0"/>
        <w:pageBreakBefore w:val="0"/>
        <w:spacing w:line="360" w:lineRule="auto"/>
        <w:widowControl w:val="off"/>
        <w:tabs>
          <w:tab w:val="left" w:pos="420" w:leader="none"/>
        </w:tabs>
        <w:rPr>
          <w:rFonts w:hint="eastAsia" w:ascii="宋体" w:hAnsi="宋体"/>
          <w:sz w:val="21"/>
        </w:rPr>
      </w:pPr>
      <w:r>
        <w:rPr>
          <w:rFonts w:hint="eastAsia" w:ascii="宋体" w:hAnsi="宋体"/>
          <w:sz w:val="21"/>
          <w:lang w:val="en-US" w:eastAsia="zh-CN"/>
        </w:rPr>
        <w:t xml:space="preserve">2.</w:t>
      </w:r>
      <w:r>
        <w:rPr>
          <w:rFonts w:hint="eastAsia" w:ascii="宋体" w:hAnsi="宋体"/>
          <w:sz w:val="21"/>
        </w:rPr>
        <w:t xml:space="preserve">采购文件、投标文件、政府采购合同等是履约验收工作的重要依据。在政府采购合同约定的履行验收条件达到时，中标供应商可以主动联系采购人启动履约验收工作。</w:t>
      </w:r>
      <w:r/>
    </w:p>
    <w:p>
      <w:pPr>
        <w:ind w:left="0" w:firstLine="420"/>
        <w:jc w:val="left"/>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sz w:val="21"/>
          <w:szCs w:val="21"/>
          <w:lang w:val="en-US" w:eastAsia="zh-CN"/>
        </w:rPr>
      </w:pPr>
      <w:r>
        <w:rPr>
          <w:rFonts w:hint="eastAsia" w:ascii="宋体" w:hAnsi="宋体"/>
          <w:sz w:val="21"/>
          <w:lang w:val="en-US" w:eastAsia="zh-CN"/>
        </w:rPr>
        <w:t xml:space="preserve">3.</w:t>
      </w:r>
      <w:r>
        <w:rPr>
          <w:rFonts w:hint="eastAsia" w:ascii="宋体" w:hAnsi="宋体"/>
          <w:bCs/>
          <w:color w:val="000000"/>
          <w:sz w:val="21"/>
          <w:szCs w:val="21"/>
          <w14:ligatures w14:val="standardContextual"/>
        </w:rPr>
        <w:t xml:space="preserve">采购单位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rPr>
          <w:b/>
          <w:bCs/>
          <w:sz w:val="21"/>
          <w:szCs w:val="21"/>
        </w:rPr>
      </w:pPr>
      <w:r>
        <w:rPr>
          <w:b/>
          <w:bCs/>
          <w:sz w:val="21"/>
          <w:szCs w:val="21"/>
        </w:rPr>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七、综合说明</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0" w:leader="none"/>
        </w:tabs>
        <w:rPr>
          <w:rFonts w:ascii="宋体" w:hAnsi="宋体"/>
          <w:sz w:val="21"/>
        </w:rPr>
      </w:pPr>
      <w:r>
        <w:rPr>
          <w:rFonts w:hint="eastAsia" w:ascii="宋体" w:hAnsi="宋体"/>
          <w:b/>
          <w:bCs/>
          <w:sz w:val="21"/>
        </w:rPr>
        <w:t xml:space="preserve">5、投标消防产品必须符合国家标准；没有国家标准的，必须符合行业标准。依法实行强制性产品认证的消防产品，必须由具有法定资质的认证机构按照国家标准、行业标准的强制性要求认证合格。新研制的尚未制定国家标准、行业标准的消防产品，应当按照国务院产品质量监督部门会同国务院应急管理部门规定的办法，经技术鉴定符合消防安全要求。</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根据《政府采购促进中小企业发展管理办法》（财库〔2020〕46号）、《江苏省财政厅关于进一步加大政府采购支持中小企业力度的通知》（苏财购〔2022〕</w:t>
      </w:r>
      <w:r>
        <w:rPr>
          <w:rFonts w:ascii="宋体" w:hAnsi="宋体"/>
          <w:sz w:val="21"/>
        </w:rPr>
        <w:t xml:space="preserve">45</w:t>
      </w:r>
      <w:r>
        <w:rPr>
          <w:rFonts w:hint="eastAsia" w:ascii="宋体" w:hAnsi="宋体"/>
          <w:sz w:val="21"/>
        </w:rPr>
        <w:t xml:space="preserve">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根据《政府采购促进中小企业发展管理办法》（财库〔2020〕4</w:t>
      </w:r>
      <w:r>
        <w:rPr>
          <w:rFonts w:hint="eastAsia" w:ascii="Times New Roman" w:hAnsi="Times New Roman" w:cs="Times New Roman"/>
          <w:sz w:val="21"/>
        </w:rPr>
        <w:t xml:space="preserve">6号）及《中小企业划型标准规定》（工信部联企业〔2011〕300号），</w:t>
      </w:r>
      <w:r>
        <w:rPr>
          <w:rFonts w:hint="eastAsia" w:ascii="Times New Roman" w:hAnsi="Times New Roman" w:cs="Times New Roman"/>
          <w:b/>
          <w:sz w:val="21"/>
        </w:rPr>
        <w:t xml:space="preserve">本采购标的对应的中小企业划分标准所属行业为：工业。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005"/>
      </w:p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94"/>
        <w:ind w:left="0" w:firstLine="0"/>
        <w:jc w:val="center"/>
        <w:rPr>
          <w:rFonts w:ascii="宋体" w:hAnsi="宋体"/>
          <w:b/>
          <w:sz w:val="44"/>
          <w:szCs w:val="22"/>
        </w:rPr>
      </w:pPr>
      <w:r/>
      <w:bookmarkStart w:id="97" w:name="_Toc5111"/>
      <w:r/>
      <w:bookmarkStart w:id="98" w:name="_Toc11789"/>
      <w:r/>
      <w:bookmarkStart w:id="99" w:name="_Hlk55741158"/>
      <w:r>
        <w:rPr>
          <w:rFonts w:hint="eastAsia" w:ascii="宋体" w:hAnsi="宋体"/>
          <w:b/>
          <w:sz w:val="44"/>
          <w:szCs w:val="22"/>
        </w:rPr>
        <w:br w:type="page" w:clear="all"/>
      </w:r>
      <w:bookmarkStart w:id="100" w:name="_Toc105397794"/>
      <w:r>
        <w:rPr>
          <w:rFonts w:hint="eastAsia" w:ascii="宋体" w:hAnsi="宋体"/>
          <w:b/>
          <w:sz w:val="44"/>
          <w:szCs w:val="22"/>
        </w:rPr>
        <w:t xml:space="preserve">第五章  </w:t>
      </w:r>
      <w:bookmarkStart w:id="101" w:name="合同的特殊条款"/>
      <w:r/>
      <w:bookmarkEnd w:id="101"/>
      <w:r>
        <w:rPr>
          <w:rFonts w:hint="eastAsia" w:ascii="宋体" w:hAnsi="宋体"/>
          <w:b/>
          <w:sz w:val="44"/>
          <w:szCs w:val="22"/>
        </w:rPr>
        <w:t xml:space="preserve">合同及主要条款</w:t>
      </w:r>
      <w:bookmarkEnd w:id="97"/>
      <w:r/>
      <w:bookmarkEnd w:id="98"/>
      <w:r/>
      <w:bookmarkEnd w:id="100"/>
      <w:r/>
      <w:bookmarkEnd w:id="99"/>
      <w:r/>
      <w:r/>
    </w:p>
    <w:p>
      <w:pPr>
        <w:ind w:left="0"/>
        <w:jc w:val="center"/>
        <w:spacing w:line="360" w:lineRule="auto"/>
        <w:widowControl w:val="off"/>
        <w:rPr>
          <w:rFonts w:ascii="宋体" w:hAnsi="宋体"/>
          <w:sz w:val="21"/>
          <w:szCs w:val="21"/>
        </w:rPr>
      </w:pPr>
      <w:r/>
      <w:bookmarkStart w:id="102" w:name="_Toc27667"/>
      <w:r/>
      <w:bookmarkStart w:id="103" w:name="_Toc57376410"/>
      <w:r/>
      <w:bookmarkStart w:id="104" w:name="_Toc8564"/>
      <w:r>
        <w:rPr>
          <w:rFonts w:hint="eastAsia" w:ascii="宋体" w:hAnsi="宋体"/>
          <w:b/>
          <w:sz w:val="32"/>
          <w:szCs w:val="32"/>
        </w:rPr>
        <w:t xml:space="preserve">采购合同</w:t>
      </w:r>
      <w:r/>
    </w:p>
    <w:p>
      <w:pPr>
        <w:ind w:left="0"/>
        <w:spacing w:line="360" w:lineRule="auto"/>
        <w:widowControl w:val="off"/>
        <w:rPr>
          <w:rFonts w:ascii="宋体" w:hAnsi="宋体"/>
          <w:sz w:val="22"/>
          <w:szCs w:val="22"/>
        </w:rPr>
      </w:pPr>
      <w:r>
        <w:rPr>
          <w:rFonts w:hint="eastAsia" w:ascii="宋体" w:hAnsi="宋体"/>
          <w:sz w:val="22"/>
          <w:szCs w:val="22"/>
        </w:rPr>
        <w:t xml:space="preserve">甲方：</w:t>
      </w:r>
      <w:r/>
    </w:p>
    <w:p>
      <w:pPr>
        <w:ind w:left="0"/>
        <w:spacing w:line="360" w:lineRule="auto"/>
        <w:widowControl w:val="off"/>
        <w:rPr>
          <w:rFonts w:ascii="宋体" w:hAnsi="宋体"/>
          <w:sz w:val="22"/>
          <w:szCs w:val="22"/>
        </w:rPr>
      </w:pPr>
      <w:r>
        <w:rPr>
          <w:rFonts w:hint="eastAsia" w:ascii="宋体" w:hAnsi="宋体"/>
          <w:sz w:val="22"/>
          <w:szCs w:val="22"/>
        </w:rPr>
        <w:t xml:space="preserve">乙方：</w:t>
      </w:r>
      <w:r/>
    </w:p>
    <w:p>
      <w:pPr>
        <w:ind w:left="0" w:firstLine="440"/>
        <w:spacing w:line="360" w:lineRule="auto"/>
        <w:widowControl w:val="off"/>
        <w:rPr>
          <w:rFonts w:ascii="宋体" w:hAnsi="宋体"/>
          <w:sz w:val="22"/>
          <w:szCs w:val="22"/>
        </w:rPr>
      </w:pPr>
      <w:r>
        <w:rPr>
          <w:rFonts w:hint="eastAsia" w:ascii="宋体" w:hAnsi="宋体"/>
          <w:sz w:val="22"/>
          <w:szCs w:val="22"/>
        </w:rPr>
        <w:t xml:space="preserve">根据《中华人民共和国政府采购法》《中华人民共和国民法典》等法律、法规和相关规定，通过（招标编号：</w:t>
      </w:r>
      <w:r>
        <w:rPr>
          <w:rFonts w:hint="eastAsia" w:ascii="宋体" w:hAnsi="宋体"/>
          <w:sz w:val="22"/>
          <w:szCs w:val="22"/>
          <w:u w:val="single"/>
        </w:rPr>
        <w:t xml:space="preserve">       </w:t>
      </w:r>
      <w:r>
        <w:rPr>
          <w:rFonts w:hint="eastAsia" w:ascii="宋体" w:hAnsi="宋体"/>
          <w:sz w:val="22"/>
          <w:szCs w:val="22"/>
        </w:rPr>
        <w:t xml:space="preserve">）的招标并经评审专家评定，确定为中标单位。甲方与乙方经友好商，在平等自愿、诚实守信的原则下，同意按照下面条款签属本合同。</w:t>
      </w:r>
      <w:r/>
    </w:p>
    <w:p>
      <w:pPr>
        <w:ind w:left="0" w:firstLine="440"/>
        <w:spacing w:line="360" w:lineRule="auto"/>
        <w:widowControl w:val="off"/>
        <w:rPr>
          <w:rFonts w:ascii="宋体" w:hAnsi="宋体"/>
          <w:sz w:val="22"/>
          <w:szCs w:val="22"/>
        </w:rPr>
      </w:pPr>
      <w:r>
        <w:rPr>
          <w:rFonts w:hint="eastAsia" w:ascii="宋体" w:hAnsi="宋体"/>
          <w:sz w:val="22"/>
          <w:szCs w:val="22"/>
        </w:rPr>
        <w:t xml:space="preserve">一、合同文件及优先解释顺序</w:t>
      </w:r>
      <w:r/>
    </w:p>
    <w:p>
      <w:pPr>
        <w:ind w:left="0" w:firstLine="440"/>
        <w:spacing w:line="360" w:lineRule="auto"/>
        <w:widowControl w:val="off"/>
        <w:rPr>
          <w:rFonts w:ascii="宋体" w:hAnsi="宋体"/>
          <w:sz w:val="22"/>
          <w:szCs w:val="22"/>
        </w:rPr>
      </w:pPr>
      <w:r>
        <w:rPr>
          <w:rFonts w:hint="eastAsia" w:ascii="宋体" w:hAnsi="宋体"/>
          <w:sz w:val="22"/>
          <w:szCs w:val="22"/>
        </w:rPr>
        <w:t xml:space="preserve">1.1 本合同由下列文件共同构成并视为一个整体，彼此相互解释，相互补充。各合同构成文件的优先解释顺序如下：</w:t>
      </w:r>
      <w:r/>
    </w:p>
    <w:p>
      <w:pPr>
        <w:ind w:left="0" w:firstLine="440"/>
        <w:spacing w:line="360" w:lineRule="auto"/>
        <w:widowControl w:val="off"/>
        <w:rPr>
          <w:rFonts w:ascii="宋体" w:hAnsi="宋体"/>
          <w:sz w:val="22"/>
          <w:szCs w:val="22"/>
        </w:rPr>
      </w:pPr>
      <w:r>
        <w:rPr>
          <w:rFonts w:hint="eastAsia" w:ascii="宋体" w:hAnsi="宋体"/>
          <w:sz w:val="22"/>
          <w:szCs w:val="22"/>
        </w:rPr>
        <w:t xml:space="preserve">a.合同补充协议（如有）</w:t>
      </w:r>
      <w:r/>
    </w:p>
    <w:p>
      <w:pPr>
        <w:ind w:left="0" w:firstLine="440"/>
        <w:spacing w:line="360" w:lineRule="auto"/>
        <w:widowControl w:val="off"/>
        <w:rPr>
          <w:rFonts w:ascii="宋体" w:hAnsi="宋体"/>
          <w:sz w:val="22"/>
          <w:szCs w:val="22"/>
        </w:rPr>
      </w:pPr>
      <w:r>
        <w:rPr>
          <w:rFonts w:hint="eastAsia" w:ascii="宋体" w:hAnsi="宋体"/>
          <w:sz w:val="22"/>
          <w:szCs w:val="22"/>
        </w:rPr>
        <w:t xml:space="preserve">b.本合同文本；</w:t>
      </w:r>
      <w:r/>
    </w:p>
    <w:p>
      <w:pPr>
        <w:ind w:left="0" w:firstLine="440"/>
        <w:spacing w:line="360" w:lineRule="auto"/>
        <w:widowControl w:val="off"/>
        <w:rPr>
          <w:rFonts w:ascii="宋体" w:hAnsi="宋体"/>
          <w:sz w:val="22"/>
          <w:szCs w:val="22"/>
        </w:rPr>
      </w:pPr>
      <w:r>
        <w:rPr>
          <w:rFonts w:hint="eastAsia" w:ascii="宋体" w:hAnsi="宋体"/>
          <w:sz w:val="22"/>
          <w:szCs w:val="22"/>
        </w:rPr>
        <w:t xml:space="preserve">c.合同附件（包括：报价明细表；技术协议；列明产品名称型号、详细的中文技术规格书（与投标文件技术偏离表一致）；清晰的外观照片；工具、零备件清单；产品全寿命周期的主要耗损件、易损件及维修费用价格清单（须承诺保证供应且价格合理））；</w:t>
      </w:r>
      <w:r/>
    </w:p>
    <w:p>
      <w:pPr>
        <w:ind w:left="0" w:firstLine="440"/>
        <w:spacing w:line="360" w:lineRule="auto"/>
        <w:widowControl w:val="off"/>
        <w:rPr>
          <w:rFonts w:ascii="宋体" w:hAnsi="宋体"/>
          <w:sz w:val="22"/>
          <w:szCs w:val="22"/>
        </w:rPr>
      </w:pPr>
      <w:r>
        <w:rPr>
          <w:rFonts w:hint="eastAsia" w:ascii="宋体" w:hAnsi="宋体"/>
          <w:sz w:val="22"/>
          <w:szCs w:val="22"/>
        </w:rPr>
        <w:t xml:space="preserve">d. 中标人的投标文件(含澄清文件)；</w:t>
      </w:r>
      <w:r/>
    </w:p>
    <w:p>
      <w:pPr>
        <w:ind w:left="0" w:firstLine="440"/>
        <w:spacing w:line="360" w:lineRule="auto"/>
        <w:widowControl w:val="off"/>
        <w:rPr>
          <w:rFonts w:ascii="宋体" w:hAnsi="宋体"/>
          <w:sz w:val="22"/>
          <w:szCs w:val="22"/>
        </w:rPr>
      </w:pPr>
      <w:r>
        <w:rPr>
          <w:rFonts w:hint="eastAsia" w:ascii="宋体" w:hAnsi="宋体"/>
          <w:sz w:val="22"/>
          <w:szCs w:val="22"/>
        </w:rPr>
        <w:t xml:space="preserve">e. 本项目招标文件（含招标文件补充通知、澄清文件）。</w:t>
      </w:r>
      <w:r/>
    </w:p>
    <w:p>
      <w:pPr>
        <w:ind w:left="0" w:firstLine="440"/>
        <w:spacing w:line="360" w:lineRule="auto"/>
        <w:widowControl w:val="off"/>
        <w:rPr>
          <w:rFonts w:ascii="宋体" w:hAnsi="宋体"/>
          <w:sz w:val="22"/>
          <w:szCs w:val="22"/>
        </w:rPr>
      </w:pPr>
      <w:r>
        <w:rPr>
          <w:rFonts w:hint="eastAsia" w:ascii="宋体" w:hAnsi="宋体"/>
          <w:sz w:val="22"/>
          <w:szCs w:val="22"/>
        </w:rPr>
        <w:t xml:space="preserve">1.2 本项目合同按照招标文件要求和中标人投标文件中的承诺进行签订。对于同一事项在中标人投标文件中的承诺优于招标文件要求的，或招标文件中未提出明确要求的事项，均以中标人投标文件内容为准。</w:t>
      </w:r>
      <w:r>
        <w:rPr>
          <w:rFonts w:hint="eastAsia" w:ascii="宋体" w:hAnsi="宋体"/>
          <w:b/>
          <w:sz w:val="22"/>
          <w:szCs w:val="22"/>
        </w:rPr>
        <w:t xml:space="preserve">对于招标文件中提出明确要求，但中标人投标文件中不满足或不一致的相关内容，按如下原则处理：若中标人投标文件商务偏离表和技术偏离表中明确表示无偏离、或未明确提出偏离的，均以招标文件要求为准，否则以中标人投标文件内容为准。</w:t>
      </w:r>
      <w:r/>
    </w:p>
    <w:p>
      <w:pPr>
        <w:ind w:left="0" w:firstLine="440"/>
        <w:spacing w:line="360" w:lineRule="auto"/>
        <w:widowControl w:val="off"/>
        <w:rPr>
          <w:rFonts w:ascii="宋体" w:hAnsi="宋体"/>
          <w:sz w:val="22"/>
          <w:szCs w:val="22"/>
        </w:rPr>
      </w:pPr>
      <w:r>
        <w:rPr>
          <w:rFonts w:hint="eastAsia" w:ascii="宋体" w:hAnsi="宋体"/>
          <w:sz w:val="22"/>
          <w:szCs w:val="22"/>
        </w:rPr>
        <w:t xml:space="preserve">1.3 本合同及附件的订立、效力、解释、履行、争议的解决等适用本合同签订时有效的中华人民共和国法律、法规的有关规定。</w:t>
      </w:r>
      <w:r/>
    </w:p>
    <w:p>
      <w:pPr>
        <w:ind w:left="0" w:firstLine="440"/>
        <w:spacing w:line="360" w:lineRule="auto"/>
        <w:widowControl w:val="off"/>
        <w:rPr>
          <w:rFonts w:ascii="宋体" w:hAnsi="宋体"/>
          <w:sz w:val="22"/>
          <w:szCs w:val="22"/>
        </w:rPr>
      </w:pPr>
      <w:r>
        <w:rPr>
          <w:rFonts w:hint="eastAsia" w:ascii="宋体" w:hAnsi="宋体"/>
          <w:sz w:val="22"/>
          <w:szCs w:val="22"/>
        </w:rPr>
        <w:t xml:space="preserve">1.4 在本合同履行期间，因中国法律、法规、政策的变化致使本合同的部分条款相冲突、无效或失去可强制执行效力时，双方同意将密切合作，尽快修改本合同中相冲突或无效或失去强制执行效力的有关条款。</w:t>
      </w:r>
      <w:r/>
    </w:p>
    <w:p>
      <w:pPr>
        <w:ind w:left="0" w:firstLine="440"/>
        <w:spacing w:line="360" w:lineRule="auto"/>
        <w:widowControl w:val="off"/>
        <w:rPr>
          <w:rFonts w:ascii="宋体" w:hAnsi="宋体"/>
          <w:sz w:val="22"/>
          <w:szCs w:val="22"/>
        </w:rPr>
      </w:pPr>
      <w:r>
        <w:rPr>
          <w:rFonts w:ascii="宋体" w:hAnsi="宋体"/>
          <w:sz w:val="22"/>
          <w:szCs w:val="22"/>
        </w:rPr>
      </w:r>
      <w:r/>
    </w:p>
    <w:p>
      <w:pPr>
        <w:ind w:left="0" w:firstLine="440"/>
        <w:spacing w:line="360" w:lineRule="auto"/>
        <w:widowControl w:val="off"/>
        <w:rPr>
          <w:rFonts w:ascii="宋体" w:hAnsi="宋体"/>
          <w:sz w:val="22"/>
          <w:szCs w:val="22"/>
        </w:rPr>
      </w:pPr>
      <w:r>
        <w:rPr>
          <w:rFonts w:hint="eastAsia" w:ascii="宋体" w:hAnsi="宋体"/>
          <w:sz w:val="22"/>
          <w:szCs w:val="22"/>
        </w:rPr>
        <w:t xml:space="preserve">二、产品名称、单价</w:t>
      </w:r>
      <w:r/>
    </w:p>
    <w:tbl>
      <w:tblPr>
        <w:tblStyle w:val="100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92"/>
        <w:gridCol w:w="1342"/>
        <w:gridCol w:w="1342"/>
        <w:gridCol w:w="1342"/>
        <w:gridCol w:w="1344"/>
        <w:gridCol w:w="1348"/>
        <w:gridCol w:w="2066"/>
      </w:tblGrid>
      <w:tr>
        <w:trPr>
          <w:jc w:val="center"/>
          <w:trHeight w:val="57"/>
        </w:trPr>
        <w:tc>
          <w:tcPr>
            <w:tcW w:w="641" w:type="pct"/>
            <w:vAlign w:val="center"/>
            <w:textDirection w:val="lrTb"/>
            <w:noWrap w:val="false"/>
          </w:tcPr>
          <w:p>
            <w:pPr>
              <w:ind w:left="0"/>
              <w:jc w:val="center"/>
              <w:widowControl w:val="off"/>
              <w:rPr>
                <w:rFonts w:ascii="宋体" w:hAnsi="宋体"/>
                <w:sz w:val="22"/>
                <w:szCs w:val="22"/>
              </w:rPr>
            </w:pPr>
            <w:r>
              <w:rPr>
                <w:rFonts w:hint="eastAsia" w:ascii="宋体" w:hAnsi="宋体"/>
                <w:sz w:val="22"/>
                <w:szCs w:val="22"/>
              </w:rPr>
              <w:t xml:space="preserve">品名</w:t>
            </w:r>
            <w:r/>
          </w:p>
        </w:tc>
        <w:tc>
          <w:tcPr>
            <w:tcW w:w="666" w:type="pct"/>
            <w:vAlign w:val="center"/>
            <w:textDirection w:val="lrTb"/>
            <w:noWrap w:val="false"/>
          </w:tcPr>
          <w:p>
            <w:pPr>
              <w:ind w:left="0"/>
              <w:jc w:val="center"/>
              <w:widowControl w:val="off"/>
              <w:rPr>
                <w:rFonts w:ascii="宋体" w:hAnsi="宋体"/>
                <w:sz w:val="22"/>
                <w:szCs w:val="22"/>
              </w:rPr>
            </w:pPr>
            <w:r>
              <w:rPr>
                <w:rFonts w:hint="eastAsia" w:ascii="宋体" w:hAnsi="宋体"/>
                <w:sz w:val="22"/>
                <w:szCs w:val="22"/>
              </w:rPr>
              <w:t xml:space="preserve">品牌型号</w:t>
            </w:r>
            <w:r/>
          </w:p>
        </w:tc>
        <w:tc>
          <w:tcPr>
            <w:tcW w:w="666" w:type="pct"/>
            <w:vAlign w:val="center"/>
            <w:textDirection w:val="lrTb"/>
            <w:noWrap w:val="false"/>
          </w:tcPr>
          <w:p>
            <w:pPr>
              <w:ind w:left="0"/>
              <w:jc w:val="center"/>
              <w:widowControl w:val="off"/>
              <w:rPr>
                <w:rFonts w:ascii="宋体" w:hAnsi="宋体"/>
                <w:sz w:val="22"/>
                <w:szCs w:val="22"/>
              </w:rPr>
            </w:pPr>
            <w:r>
              <w:rPr>
                <w:rFonts w:hint="eastAsia" w:ascii="宋体" w:hAnsi="宋体"/>
                <w:sz w:val="22"/>
                <w:szCs w:val="22"/>
              </w:rPr>
              <w:t xml:space="preserve">单位</w:t>
            </w:r>
            <w:r/>
          </w:p>
        </w:tc>
        <w:tc>
          <w:tcPr>
            <w:tcW w:w="666" w:type="pct"/>
            <w:vAlign w:val="center"/>
            <w:textDirection w:val="lrTb"/>
            <w:noWrap w:val="false"/>
          </w:tcPr>
          <w:p>
            <w:pPr>
              <w:ind w:left="0"/>
              <w:jc w:val="center"/>
              <w:widowControl w:val="off"/>
              <w:rPr>
                <w:rFonts w:ascii="宋体" w:hAnsi="宋体"/>
                <w:sz w:val="22"/>
                <w:szCs w:val="22"/>
              </w:rPr>
            </w:pPr>
            <w:r>
              <w:rPr>
                <w:rFonts w:hint="eastAsia" w:ascii="宋体" w:hAnsi="宋体"/>
                <w:sz w:val="22"/>
                <w:szCs w:val="22"/>
              </w:rPr>
              <w:t xml:space="preserve">数量</w:t>
            </w:r>
            <w:r/>
          </w:p>
        </w:tc>
        <w:tc>
          <w:tcPr>
            <w:tcW w:w="667" w:type="pct"/>
            <w:vAlign w:val="center"/>
            <w:textDirection w:val="lrTb"/>
            <w:noWrap w:val="false"/>
          </w:tcPr>
          <w:p>
            <w:pPr>
              <w:ind w:left="0"/>
              <w:jc w:val="center"/>
              <w:widowControl w:val="off"/>
              <w:rPr>
                <w:rFonts w:ascii="宋体" w:hAnsi="宋体"/>
                <w:sz w:val="22"/>
                <w:szCs w:val="22"/>
              </w:rPr>
            </w:pPr>
            <w:r>
              <w:rPr>
                <w:rFonts w:hint="eastAsia" w:ascii="宋体" w:hAnsi="宋体"/>
                <w:sz w:val="22"/>
                <w:szCs w:val="22"/>
              </w:rPr>
              <w:t xml:space="preserve">单价（元）</w:t>
            </w:r>
            <w:r/>
          </w:p>
        </w:tc>
        <w:tc>
          <w:tcPr>
            <w:tcW w:w="669" w:type="pct"/>
            <w:vAlign w:val="center"/>
            <w:textDirection w:val="lrTb"/>
            <w:noWrap w:val="false"/>
          </w:tcPr>
          <w:p>
            <w:pPr>
              <w:ind w:left="0"/>
              <w:jc w:val="center"/>
              <w:widowControl w:val="off"/>
              <w:rPr>
                <w:rFonts w:ascii="宋体" w:hAnsi="宋体"/>
                <w:sz w:val="22"/>
                <w:szCs w:val="22"/>
              </w:rPr>
            </w:pPr>
            <w:r>
              <w:rPr>
                <w:rFonts w:hint="eastAsia" w:ascii="宋体" w:hAnsi="宋体"/>
                <w:sz w:val="22"/>
                <w:szCs w:val="22"/>
              </w:rPr>
              <w:t xml:space="preserve">合计</w:t>
            </w:r>
            <w:r/>
          </w:p>
          <w:p>
            <w:pPr>
              <w:ind w:left="0"/>
              <w:jc w:val="center"/>
              <w:widowControl w:val="off"/>
              <w:rPr>
                <w:rFonts w:ascii="宋体" w:hAnsi="宋体"/>
                <w:sz w:val="22"/>
                <w:szCs w:val="22"/>
              </w:rPr>
            </w:pPr>
            <w:r>
              <w:rPr>
                <w:rFonts w:hint="eastAsia" w:ascii="宋体" w:hAnsi="宋体"/>
                <w:sz w:val="22"/>
                <w:szCs w:val="22"/>
              </w:rPr>
              <w:t xml:space="preserve">（元）</w:t>
            </w:r>
            <w:r/>
          </w:p>
        </w:tc>
        <w:tc>
          <w:tcPr>
            <w:tcW w:w="1025" w:type="pct"/>
            <w:vAlign w:val="center"/>
            <w:textDirection w:val="lrTb"/>
            <w:noWrap w:val="false"/>
          </w:tcPr>
          <w:p>
            <w:pPr>
              <w:ind w:left="0"/>
              <w:jc w:val="center"/>
              <w:widowControl w:val="off"/>
              <w:rPr>
                <w:rFonts w:ascii="宋体" w:hAnsi="宋体"/>
                <w:sz w:val="22"/>
                <w:szCs w:val="22"/>
              </w:rPr>
            </w:pPr>
            <w:r>
              <w:rPr>
                <w:rFonts w:hint="eastAsia" w:ascii="宋体" w:hAnsi="宋体"/>
                <w:sz w:val="22"/>
                <w:szCs w:val="22"/>
              </w:rPr>
              <w:t xml:space="preserve">备注</w:t>
            </w:r>
            <w:r/>
          </w:p>
        </w:tc>
      </w:tr>
      <w:tr>
        <w:trPr>
          <w:jc w:val="center"/>
          <w:trHeight w:val="964"/>
        </w:trPr>
        <w:tc>
          <w:tcPr>
            <w:tcW w:w="641"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6"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6"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6"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7"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9"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1025" w:type="pct"/>
            <w:vAlign w:val="center"/>
            <w:vMerge w:val="restart"/>
            <w:textDirection w:val="lrTb"/>
            <w:noWrap w:val="false"/>
          </w:tcPr>
          <w:p>
            <w:pPr>
              <w:ind w:left="0"/>
              <w:widowControl w:val="off"/>
              <w:rPr>
                <w:rFonts w:ascii="宋体" w:hAnsi="宋体"/>
                <w:sz w:val="22"/>
                <w:szCs w:val="22"/>
              </w:rPr>
            </w:pPr>
            <w:r>
              <w:rPr>
                <w:rFonts w:hint="eastAsia" w:ascii="宋体" w:hAnsi="宋体"/>
                <w:sz w:val="22"/>
                <w:szCs w:val="22"/>
              </w:rPr>
              <w:t xml:space="preserve">（需满足为完成该项目的相关运输、安装、培训、售后服务、维修、更换和质保、检验等所有费用）</w:t>
            </w:r>
            <w:r/>
          </w:p>
          <w:p>
            <w:pPr>
              <w:ind w:left="0"/>
              <w:widowControl w:val="off"/>
              <w:rPr>
                <w:rFonts w:ascii="宋体" w:hAnsi="宋体"/>
                <w:sz w:val="22"/>
                <w:szCs w:val="22"/>
              </w:rPr>
            </w:pPr>
            <w:r>
              <w:rPr>
                <w:rFonts w:hint="eastAsia" w:ascii="宋体" w:hAnsi="宋体"/>
                <w:sz w:val="22"/>
                <w:szCs w:val="22"/>
              </w:rPr>
              <w:t xml:space="preserve">如投标文件中技术条款或商务条款有正偏离，应在合同中进行明确。</w:t>
            </w:r>
            <w:r/>
          </w:p>
        </w:tc>
      </w:tr>
      <w:tr>
        <w:trPr>
          <w:jc w:val="center"/>
          <w:trHeight w:val="964"/>
        </w:trPr>
        <w:tc>
          <w:tcPr>
            <w:tcW w:w="641"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6"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6"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6"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7"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9"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1025" w:type="pct"/>
            <w:vAlign w:val="center"/>
            <w:vMerge w:val="continue"/>
            <w:textDirection w:val="lrTb"/>
            <w:noWrap w:val="false"/>
          </w:tcPr>
          <w:p>
            <w:pPr>
              <w:ind w:left="0"/>
              <w:widowControl w:val="off"/>
              <w:rPr>
                <w:rFonts w:ascii="宋体" w:hAnsi="宋体"/>
                <w:sz w:val="22"/>
                <w:szCs w:val="22"/>
              </w:rPr>
            </w:pPr>
            <w:r>
              <w:rPr>
                <w:rFonts w:ascii="宋体" w:hAnsi="宋体"/>
                <w:sz w:val="22"/>
                <w:szCs w:val="22"/>
              </w:rPr>
            </w:r>
            <w:r/>
          </w:p>
        </w:tc>
      </w:tr>
      <w:tr>
        <w:trPr>
          <w:jc w:val="center"/>
          <w:trHeight w:val="964"/>
        </w:trPr>
        <w:tc>
          <w:tcPr>
            <w:tcW w:w="641"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6"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6"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6"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7"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9"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1025" w:type="pct"/>
            <w:vAlign w:val="center"/>
            <w:vMerge w:val="continue"/>
            <w:textDirection w:val="lrTb"/>
            <w:noWrap w:val="false"/>
          </w:tcPr>
          <w:p>
            <w:pPr>
              <w:ind w:left="0"/>
              <w:widowControl w:val="off"/>
              <w:rPr>
                <w:rFonts w:ascii="宋体" w:hAnsi="宋体"/>
                <w:sz w:val="22"/>
                <w:szCs w:val="22"/>
              </w:rPr>
            </w:pPr>
            <w:r>
              <w:rPr>
                <w:rFonts w:ascii="宋体" w:hAnsi="宋体"/>
                <w:sz w:val="22"/>
                <w:szCs w:val="22"/>
              </w:rPr>
            </w:r>
            <w:r/>
          </w:p>
        </w:tc>
      </w:tr>
    </w:tbl>
    <w:p>
      <w:pPr>
        <w:spacing w:line="360" w:lineRule="auto"/>
        <w:widowControl w:val="off"/>
        <w:rPr>
          <w:rFonts w:ascii="宋体" w:hAnsi="宋体"/>
          <w:sz w:val="22"/>
          <w:szCs w:val="22"/>
        </w:rPr>
      </w:pPr>
      <w:r>
        <w:rPr>
          <w:rFonts w:ascii="宋体" w:hAnsi="宋体"/>
          <w:sz w:val="22"/>
          <w:szCs w:val="22"/>
        </w:rPr>
      </w:r>
      <w:r/>
    </w:p>
    <w:p>
      <w:pPr>
        <w:ind w:left="0" w:firstLine="440"/>
        <w:spacing w:line="360" w:lineRule="auto"/>
        <w:widowControl w:val="off"/>
        <w:rPr>
          <w:rFonts w:ascii="宋体" w:hAnsi="宋体"/>
          <w:sz w:val="22"/>
          <w:szCs w:val="22"/>
        </w:rPr>
      </w:pPr>
      <w:r>
        <w:rPr>
          <w:rFonts w:hint="eastAsia" w:ascii="宋体" w:hAnsi="宋体"/>
          <w:sz w:val="22"/>
          <w:szCs w:val="22"/>
        </w:rPr>
        <w:t xml:space="preserve">三、合同总金额</w:t>
      </w:r>
      <w:r/>
    </w:p>
    <w:p>
      <w:pPr>
        <w:ind w:left="0" w:firstLine="440"/>
        <w:spacing w:line="360" w:lineRule="auto"/>
        <w:widowControl w:val="off"/>
        <w:rPr>
          <w:rFonts w:ascii="宋体" w:hAnsi="宋体"/>
          <w:sz w:val="22"/>
          <w:szCs w:val="22"/>
        </w:rPr>
      </w:pPr>
      <w:r>
        <w:rPr>
          <w:rFonts w:hint="eastAsia" w:ascii="宋体" w:hAnsi="宋体"/>
          <w:sz w:val="22"/>
          <w:szCs w:val="22"/>
        </w:rPr>
        <w:t xml:space="preserve">3.1 本合同金额为（大写）：</w:t>
      </w:r>
      <w:r>
        <w:rPr>
          <w:rFonts w:hint="eastAsia" w:ascii="宋体" w:hAnsi="宋体"/>
          <w:sz w:val="22"/>
          <w:szCs w:val="22"/>
          <w:u w:val="single"/>
        </w:rPr>
        <w:t xml:space="preserve">    </w:t>
      </w:r>
      <w:r>
        <w:rPr>
          <w:rFonts w:hint="eastAsia" w:ascii="宋体" w:hAnsi="宋体"/>
          <w:sz w:val="22"/>
          <w:szCs w:val="22"/>
        </w:rPr>
        <w:t xml:space="preserve">元人民币（¥：</w:t>
      </w:r>
      <w:r>
        <w:rPr>
          <w:rFonts w:hint="eastAsia" w:ascii="宋体" w:hAnsi="宋体"/>
          <w:sz w:val="22"/>
          <w:szCs w:val="22"/>
          <w:u w:val="single"/>
        </w:rPr>
        <w:t xml:space="preserve">    </w:t>
      </w:r>
      <w:r>
        <w:rPr>
          <w:rFonts w:hint="eastAsia" w:ascii="宋体" w:hAnsi="宋体"/>
          <w:sz w:val="22"/>
          <w:szCs w:val="22"/>
        </w:rPr>
        <w:t xml:space="preserve">元）。</w:t>
      </w:r>
      <w:r/>
    </w:p>
    <w:p>
      <w:pPr>
        <w:ind w:left="0" w:firstLine="440"/>
        <w:spacing w:line="360" w:lineRule="auto"/>
        <w:widowControl w:val="off"/>
        <w:rPr>
          <w:rFonts w:ascii="宋体" w:hAnsi="宋体"/>
          <w:sz w:val="22"/>
          <w:szCs w:val="22"/>
        </w:rPr>
      </w:pPr>
      <w:r>
        <w:rPr>
          <w:rFonts w:hint="eastAsia" w:ascii="宋体" w:hAnsi="宋体"/>
          <w:sz w:val="22"/>
          <w:szCs w:val="22"/>
        </w:rPr>
        <w:t xml:space="preserve">3.2本合同总金额为乙方完成本合同项下全部义务（包括但不仅限于产品设计及制造、标准附件、备品备件、专用工具、系统集成、包装、运输、装卸、保险、税金、货到就位以及安装、调试、培训、保修维护等一切税金和费用等）的费用和报酬，除本合同另有约定外，甲方无须支付其他任何费用和款项。</w:t>
      </w:r>
      <w:r/>
    </w:p>
    <w:p>
      <w:pPr>
        <w:ind w:left="0"/>
        <w:spacing w:line="360" w:lineRule="auto"/>
        <w:widowControl w:val="off"/>
        <w:rPr>
          <w:rFonts w:ascii="宋体" w:hAnsi="宋体"/>
          <w:sz w:val="22"/>
          <w:szCs w:val="22"/>
        </w:rPr>
      </w:pPr>
      <w:r>
        <w:rPr>
          <w:rFonts w:ascii="宋体" w:hAnsi="宋体"/>
          <w:sz w:val="22"/>
          <w:szCs w:val="22"/>
        </w:rPr>
      </w:r>
      <w:r/>
    </w:p>
    <w:p>
      <w:pPr>
        <w:ind w:left="0" w:firstLine="440"/>
        <w:spacing w:line="360" w:lineRule="auto"/>
        <w:widowControl w:val="off"/>
        <w:rPr>
          <w:rFonts w:ascii="宋体" w:hAnsi="宋体"/>
          <w:sz w:val="22"/>
          <w:szCs w:val="22"/>
        </w:rPr>
      </w:pPr>
      <w:r>
        <w:rPr>
          <w:rFonts w:hint="eastAsia" w:ascii="宋体" w:hAnsi="宋体"/>
          <w:sz w:val="22"/>
          <w:szCs w:val="22"/>
        </w:rPr>
        <w:t xml:space="preserve">四、质量要求及技术准备</w:t>
      </w:r>
      <w:r/>
    </w:p>
    <w:p>
      <w:pPr>
        <w:ind w:left="0" w:firstLine="440"/>
        <w:spacing w:line="360" w:lineRule="auto"/>
        <w:widowControl w:val="off"/>
        <w:rPr>
          <w:rFonts w:ascii="宋体" w:hAnsi="宋体"/>
          <w:sz w:val="22"/>
          <w:szCs w:val="22"/>
        </w:rPr>
      </w:pPr>
      <w:r>
        <w:rPr>
          <w:rFonts w:hint="eastAsia" w:ascii="宋体" w:hAnsi="宋体"/>
          <w:sz w:val="22"/>
          <w:szCs w:val="22"/>
        </w:rPr>
        <w:t xml:space="preserve">4.1 乙方提供的产品或服务须符合（招标编号：</w:t>
      </w:r>
      <w:r>
        <w:rPr>
          <w:rFonts w:hint="eastAsia" w:ascii="宋体" w:hAnsi="宋体"/>
          <w:sz w:val="22"/>
          <w:szCs w:val="22"/>
          <w:u w:val="single"/>
        </w:rPr>
        <w:t xml:space="preserve">    </w:t>
      </w:r>
      <w:r>
        <w:rPr>
          <w:rFonts w:hint="eastAsia" w:ascii="宋体" w:hAnsi="宋体"/>
          <w:sz w:val="22"/>
          <w:szCs w:val="22"/>
        </w:rPr>
        <w:t xml:space="preserve">）招标文件指定标准及国家标准、行业标准、环保要求（上述标准不一致的，以严格或最新的标准为准），若本合同所涉产品涉及《强制性产品认证管理规定》，则须提供相关证明资料。</w:t>
      </w:r>
      <w:r/>
    </w:p>
    <w:p>
      <w:pPr>
        <w:ind w:left="0" w:firstLine="440"/>
        <w:spacing w:line="360" w:lineRule="auto"/>
        <w:widowControl w:val="off"/>
        <w:rPr>
          <w:rFonts w:ascii="宋体" w:hAnsi="宋体"/>
          <w:sz w:val="22"/>
          <w:szCs w:val="22"/>
        </w:rPr>
      </w:pPr>
      <w:r>
        <w:rPr>
          <w:rFonts w:hint="eastAsia" w:ascii="宋体" w:hAnsi="宋体"/>
          <w:sz w:val="22"/>
          <w:szCs w:val="22"/>
        </w:rPr>
        <w:t xml:space="preserve">4.2 乙方所供装备保证是近六个月内生产的全新的、未使用过的，完全符合合同规定的质量、规格型号和性能要求。保证所提供的装备经正确安装、正常运转和保养，在其使用寿命期内应符合合同约定的性能，并且确保通过各项检验和测试。在装备质量保证期内，乙方应对由于设计、工艺、材料和配套件缺陷所产生的任何不足或故障负责。（如因装备质量缺陷等问题导致甲方消防员或第三方在使用过程中发生伤亡的，由乙方负责一切后果，并承担法律责任）</w:t>
      </w:r>
      <w:r/>
    </w:p>
    <w:p>
      <w:pPr>
        <w:ind w:left="0" w:firstLine="440"/>
        <w:spacing w:line="360" w:lineRule="auto"/>
        <w:widowControl w:val="off"/>
        <w:rPr>
          <w:rFonts w:ascii="宋体" w:hAnsi="宋体"/>
          <w:sz w:val="22"/>
          <w:szCs w:val="22"/>
        </w:rPr>
      </w:pPr>
      <w:r>
        <w:rPr>
          <w:rFonts w:hint="eastAsia" w:ascii="宋体" w:hAnsi="宋体"/>
          <w:sz w:val="22"/>
          <w:szCs w:val="22"/>
        </w:rPr>
        <w:t xml:space="preserve">4.3 乙方除应履行按期按量交付合格装备的义务外，还应当提供下列服务:①装备现场安装、启动、调试；②装备组装和一般维修所必须的工具；③对甲方技术人员的技术指导或培训；④提供装备使用说明、影音视频等资料；⑤投标文件承诺的所有服务。</w:t>
      </w:r>
      <w:r/>
    </w:p>
    <w:p>
      <w:pPr>
        <w:ind w:left="0" w:firstLine="440"/>
        <w:spacing w:line="360" w:lineRule="auto"/>
        <w:widowControl w:val="off"/>
        <w:rPr>
          <w:rFonts w:ascii="宋体" w:hAnsi="宋体"/>
          <w:sz w:val="22"/>
          <w:szCs w:val="22"/>
        </w:rPr>
      </w:pPr>
      <w:r>
        <w:rPr>
          <w:rFonts w:hint="eastAsia" w:ascii="宋体" w:hAnsi="宋体"/>
          <w:sz w:val="22"/>
          <w:szCs w:val="22"/>
        </w:rPr>
        <w:t xml:space="preserve">4.4 根据消防救援局发布的新版装备管理系统要求，乙方须在交货前自行登录装备基础信息采集子系统，按照系统内各类交货装备信息维护要求及赋码标准，录入相关装备信息，生成装备的专属二维码和 RFID 码。交货时须将生成的二维码标签和 RFID 码标签制作成标签固定安装在每件(套)装备上赋码要求：二维码和 RFID 实现二合一(即在一个标签上体现)），实现单件(套)装备的扫码登记功能。</w:t>
      </w:r>
      <w:r/>
    </w:p>
    <w:p>
      <w:pPr>
        <w:ind w:left="0" w:firstLine="440"/>
        <w:spacing w:line="360" w:lineRule="auto"/>
        <w:widowControl w:val="off"/>
        <w:rPr>
          <w:rFonts w:ascii="宋体" w:hAnsi="宋体"/>
          <w:sz w:val="22"/>
          <w:szCs w:val="22"/>
        </w:rPr>
      </w:pPr>
      <w:r>
        <w:rPr>
          <w:rFonts w:hint="eastAsia" w:ascii="宋体" w:hAnsi="宋体"/>
          <w:sz w:val="22"/>
          <w:szCs w:val="22"/>
        </w:rPr>
        <w:t xml:space="preserve">注: 装备基础信息采集子系统为免费注册应用，系统网址 http:/xfzb.119.gov.cn。</w:t>
      </w:r>
      <w:r/>
    </w:p>
    <w:p>
      <w:pPr>
        <w:jc w:val="left"/>
        <w:spacing w:line="360" w:lineRule="auto"/>
        <w:widowControl w:val="off"/>
        <w:rPr>
          <w:rFonts w:ascii="宋体" w:hAnsi="宋体"/>
          <w:sz w:val="22"/>
          <w:szCs w:val="22"/>
        </w:rPr>
      </w:pPr>
      <w:r>
        <w:rPr>
          <w:rFonts w:ascii="宋体" w:hAnsi="宋体"/>
          <w:sz w:val="22"/>
          <w:szCs w:val="22"/>
        </w:rPr>
      </w:r>
      <w:r/>
    </w:p>
    <w:p>
      <w:pPr>
        <w:ind w:left="0" w:firstLine="440"/>
        <w:jc w:val="left"/>
        <w:spacing w:line="360" w:lineRule="auto"/>
        <w:widowControl w:val="off"/>
        <w:rPr>
          <w:rFonts w:ascii="宋体" w:hAnsi="宋体"/>
          <w:sz w:val="22"/>
          <w:szCs w:val="22"/>
        </w:rPr>
      </w:pPr>
      <w:r>
        <w:rPr>
          <w:rFonts w:hint="eastAsia" w:ascii="宋体" w:hAnsi="宋体"/>
          <w:sz w:val="22"/>
          <w:szCs w:val="22"/>
        </w:rPr>
        <w:t xml:space="preserve">五、交付使用时间、交货方式及交货地点</w:t>
      </w:r>
      <w:r/>
    </w:p>
    <w:p>
      <w:pPr>
        <w:ind w:left="0" w:firstLine="440"/>
        <w:spacing w:line="360" w:lineRule="auto"/>
        <w:widowControl w:val="off"/>
        <w:rPr>
          <w:rFonts w:ascii="宋体" w:hAnsi="宋体"/>
          <w:sz w:val="22"/>
          <w:szCs w:val="22"/>
        </w:rPr>
      </w:pPr>
      <w:r>
        <w:rPr>
          <w:rFonts w:hint="eastAsia" w:ascii="宋体" w:hAnsi="宋体"/>
          <w:sz w:val="22"/>
          <w:szCs w:val="22"/>
        </w:rPr>
        <w:t xml:space="preserve">5.1 交付使用时间：</w:t>
      </w:r>
      <w:r>
        <w:rPr>
          <w:rFonts w:hint="eastAsia" w:ascii="宋体" w:hAnsi="宋体"/>
          <w:bCs/>
          <w:sz w:val="22"/>
          <w:szCs w:val="22"/>
        </w:rPr>
        <w:t xml:space="preserve">签订合同后60日历天内将货物送达指定地点。</w:t>
      </w:r>
      <w:r/>
    </w:p>
    <w:p>
      <w:pPr>
        <w:ind w:left="0" w:firstLine="440"/>
        <w:spacing w:line="360" w:lineRule="auto"/>
        <w:widowControl w:val="off"/>
        <w:rPr>
          <w:rFonts w:ascii="宋体" w:hAnsi="宋体"/>
          <w:sz w:val="22"/>
          <w:szCs w:val="22"/>
        </w:rPr>
      </w:pPr>
      <w:r>
        <w:rPr>
          <w:rFonts w:hint="eastAsia" w:ascii="宋体" w:hAnsi="宋体"/>
          <w:sz w:val="22"/>
          <w:szCs w:val="22"/>
        </w:rPr>
        <w:t xml:space="preserve">5.2 交货地点： </w:t>
      </w:r>
      <w:r/>
    </w:p>
    <w:p>
      <w:pPr>
        <w:ind w:left="0" w:firstLine="440"/>
        <w:spacing w:line="360" w:lineRule="auto"/>
        <w:widowControl w:val="off"/>
        <w:rPr>
          <w:rFonts w:ascii="宋体" w:hAnsi="宋体"/>
          <w:sz w:val="22"/>
          <w:szCs w:val="22"/>
        </w:rPr>
      </w:pPr>
      <w:r>
        <w:rPr>
          <w:rFonts w:hint="eastAsia" w:ascii="宋体" w:hAnsi="宋体"/>
          <w:sz w:val="22"/>
          <w:szCs w:val="22"/>
        </w:rPr>
        <w:t xml:space="preserve">5.3 交货方式：由乙方送货上门。交货时甲乙双方均要有人在场负责清点移交。乙方应当按照约定或者交易习惯向甲方交付与产品有关的单证和资料。</w:t>
      </w:r>
      <w:r/>
    </w:p>
    <w:p>
      <w:pPr>
        <w:ind w:left="0"/>
        <w:spacing w:line="360" w:lineRule="auto"/>
        <w:widowControl w:val="off"/>
        <w:rPr>
          <w:rFonts w:ascii="宋体" w:hAnsi="宋体"/>
          <w:sz w:val="22"/>
          <w:szCs w:val="22"/>
        </w:rPr>
      </w:pPr>
      <w:r>
        <w:rPr>
          <w:rFonts w:ascii="宋体" w:hAnsi="宋体"/>
          <w:sz w:val="22"/>
          <w:szCs w:val="22"/>
        </w:rPr>
      </w:r>
      <w:r/>
    </w:p>
    <w:p>
      <w:pPr>
        <w:ind w:left="0" w:firstLine="440"/>
        <w:spacing w:line="360" w:lineRule="auto"/>
        <w:widowControl w:val="off"/>
        <w:rPr>
          <w:rFonts w:ascii="宋体" w:hAnsi="宋体"/>
          <w:sz w:val="22"/>
          <w:szCs w:val="22"/>
        </w:rPr>
      </w:pPr>
      <w:r>
        <w:rPr>
          <w:rFonts w:hint="eastAsia" w:ascii="宋体" w:hAnsi="宋体"/>
          <w:sz w:val="22"/>
          <w:szCs w:val="22"/>
        </w:rPr>
        <w:t xml:space="preserve">六、货款支付</w:t>
      </w:r>
      <w:r/>
    </w:p>
    <w:p>
      <w:pPr>
        <w:ind w:left="0" w:firstLine="440"/>
        <w:spacing w:line="360" w:lineRule="auto"/>
        <w:widowControl w:val="off"/>
        <w:rPr>
          <w:rFonts w:ascii="宋体" w:hAnsi="宋体"/>
          <w:sz w:val="22"/>
          <w:szCs w:val="22"/>
        </w:rPr>
      </w:pPr>
      <w:r>
        <w:rPr>
          <w:rFonts w:hint="eastAsia" w:ascii="宋体" w:hAnsi="宋体"/>
          <w:sz w:val="22"/>
          <w:szCs w:val="22"/>
        </w:rPr>
        <w:t xml:space="preserve">6 付款方式：甲方在收到履约保证金（函）后，30天内向乙方支付合同总金额30%的价款。乙方按照合同约定交货，经甲方对合同中所有装备到货验收合格（甲方签署到货验收合格报告），凭乙方等额有效发票及甲方签署验收合格报告，甲方在30天内向乙方支付至合同金额100%。</w:t>
      </w:r>
      <w:r/>
    </w:p>
    <w:p>
      <w:pPr>
        <w:ind w:left="0"/>
        <w:spacing w:line="360" w:lineRule="auto"/>
        <w:widowControl w:val="off"/>
        <w:rPr>
          <w:rFonts w:ascii="宋体" w:hAnsi="宋体"/>
          <w:sz w:val="22"/>
          <w:szCs w:val="22"/>
        </w:rPr>
      </w:pPr>
      <w:r>
        <w:rPr>
          <w:rFonts w:ascii="宋体" w:hAnsi="宋体"/>
          <w:sz w:val="22"/>
          <w:szCs w:val="22"/>
        </w:rPr>
      </w:r>
      <w:r/>
    </w:p>
    <w:p>
      <w:pPr>
        <w:ind w:left="0" w:firstLine="440"/>
        <w:spacing w:line="360" w:lineRule="auto"/>
        <w:widowControl w:val="off"/>
        <w:rPr>
          <w:rFonts w:ascii="宋体" w:hAnsi="宋体"/>
          <w:sz w:val="22"/>
          <w:szCs w:val="22"/>
        </w:rPr>
      </w:pPr>
      <w:r>
        <w:rPr>
          <w:rFonts w:hint="eastAsia" w:ascii="宋体" w:hAnsi="宋体"/>
          <w:sz w:val="22"/>
          <w:szCs w:val="22"/>
        </w:rPr>
        <w:t xml:space="preserve">七、履约保证金</w:t>
      </w:r>
      <w:r/>
    </w:p>
    <w:p>
      <w:pPr>
        <w:ind w:left="0" w:firstLine="440"/>
        <w:spacing w:line="360" w:lineRule="auto"/>
        <w:widowControl w:val="off"/>
        <w:rPr>
          <w:rFonts w:ascii="宋体" w:hAnsi="宋体"/>
          <w:sz w:val="22"/>
          <w:szCs w:val="24"/>
        </w:rPr>
      </w:pPr>
      <w:r>
        <w:rPr>
          <w:rFonts w:hint="eastAsia" w:ascii="宋体" w:hAnsi="宋体"/>
          <w:sz w:val="22"/>
          <w:szCs w:val="22"/>
        </w:rPr>
        <w:t xml:space="preserve">7.1 </w:t>
      </w:r>
      <w:r>
        <w:rPr>
          <w:rFonts w:hint="eastAsia" w:ascii="宋体" w:hAnsi="宋体"/>
          <w:sz w:val="22"/>
          <w:szCs w:val="24"/>
        </w:rPr>
        <w:t xml:space="preserve">自合同签订之日起7个工作日内，乙方向甲方缴纳合同总金额5%的履约保证金或金融机构出具的独立保函。出具的独立保函需载明：（1）见索即付；（2）收到甲方法定代表人或授权委托代理人签字确认并加盖公章的书面索赔通知后即应不争辩、不挑剔、不可撤销地向甲方支付索赔款，直至最高担保金额；（3）有效期为保函开具之日起至验收合格后三十个工作日为止；（4）担保金额为合同金额的5%），如乙方提供的保函未载明前述内容的，甲方可以拒收该保函，并要求乙方以银行转账的方式提供履约保证金。</w:t>
      </w:r>
      <w:r/>
    </w:p>
    <w:p>
      <w:pPr>
        <w:ind w:left="0" w:firstLine="440"/>
        <w:spacing w:line="360" w:lineRule="auto"/>
        <w:widowControl w:val="off"/>
        <w:rPr>
          <w:rFonts w:ascii="宋体" w:hAnsi="宋体"/>
          <w:sz w:val="22"/>
          <w:szCs w:val="22"/>
        </w:rPr>
      </w:pPr>
      <w:r>
        <w:rPr>
          <w:rFonts w:hint="eastAsia" w:ascii="宋体" w:hAnsi="宋体"/>
          <w:sz w:val="22"/>
          <w:szCs w:val="22"/>
        </w:rPr>
        <w:t xml:space="preserve">7.2 合同履行完毕且在乙方无违约情形或无其它甲方有权扣除时，履约保证金将在合同履行完毕后1个月内全额（无息）退回。若甲方超期未退还，则按照银行同期贷款利率支付利息。</w:t>
      </w:r>
      <w:r/>
    </w:p>
    <w:p>
      <w:pPr>
        <w:ind w:left="0" w:firstLine="440"/>
        <w:spacing w:line="360" w:lineRule="auto"/>
        <w:widowControl w:val="off"/>
        <w:rPr>
          <w:rFonts w:ascii="宋体" w:hAnsi="宋体"/>
          <w:sz w:val="22"/>
          <w:szCs w:val="22"/>
        </w:rPr>
      </w:pPr>
      <w:r>
        <w:rPr>
          <w:rFonts w:hint="eastAsia" w:ascii="宋体" w:hAnsi="宋体"/>
          <w:sz w:val="22"/>
          <w:szCs w:val="22"/>
        </w:rPr>
        <w:t xml:space="preserve">7.3 对于乙方应承担的违约责任/索赔金额，甲方有权直接使用履约保证金进行抵扣或向出具独立保函的金融机构主张索赔。</w:t>
      </w:r>
      <w:r/>
    </w:p>
    <w:p>
      <w:pPr>
        <w:ind w:left="0" w:firstLine="440"/>
        <w:spacing w:line="360" w:lineRule="auto"/>
        <w:widowControl w:val="off"/>
        <w:rPr>
          <w:rFonts w:ascii="宋体" w:hAnsi="宋体"/>
          <w:sz w:val="22"/>
          <w:szCs w:val="22"/>
        </w:rPr>
      </w:pPr>
      <w:r>
        <w:rPr>
          <w:rFonts w:hint="eastAsia" w:ascii="宋体" w:hAnsi="宋体"/>
          <w:sz w:val="22"/>
          <w:szCs w:val="22"/>
        </w:rPr>
        <w:t xml:space="preserve">7.4 乙方应当自履约保证金抵扣发生之日起二日内向甲方补足履约保证金。</w:t>
      </w:r>
      <w:r/>
    </w:p>
    <w:p>
      <w:pPr>
        <w:ind w:left="0"/>
        <w:spacing w:line="360" w:lineRule="auto"/>
        <w:widowControl w:val="off"/>
        <w:rPr>
          <w:rFonts w:ascii="宋体" w:hAnsi="宋体"/>
          <w:sz w:val="22"/>
          <w:szCs w:val="22"/>
        </w:rPr>
      </w:pPr>
      <w:r>
        <w:rPr>
          <w:rFonts w:ascii="宋体" w:hAnsi="宋体"/>
          <w:sz w:val="22"/>
          <w:szCs w:val="22"/>
        </w:rPr>
      </w:r>
      <w:r/>
    </w:p>
    <w:p>
      <w:pPr>
        <w:ind w:left="0" w:firstLine="440"/>
        <w:spacing w:line="360" w:lineRule="auto"/>
        <w:widowControl w:val="off"/>
        <w:rPr>
          <w:rFonts w:ascii="宋体" w:hAnsi="宋体"/>
          <w:sz w:val="22"/>
          <w:szCs w:val="22"/>
        </w:rPr>
      </w:pPr>
      <w:r>
        <w:rPr>
          <w:rFonts w:hint="eastAsia" w:ascii="宋体" w:hAnsi="宋体"/>
          <w:sz w:val="22"/>
          <w:szCs w:val="22"/>
        </w:rPr>
        <w:t xml:space="preserve">八、税费</w:t>
      </w:r>
      <w:r/>
    </w:p>
    <w:p>
      <w:pPr>
        <w:ind w:left="0" w:firstLine="440"/>
        <w:spacing w:line="360" w:lineRule="auto"/>
        <w:widowControl w:val="off"/>
        <w:rPr>
          <w:rFonts w:ascii="宋体" w:hAnsi="宋体"/>
          <w:sz w:val="22"/>
          <w:szCs w:val="22"/>
        </w:rPr>
      </w:pPr>
      <w:r>
        <w:rPr>
          <w:rFonts w:hint="eastAsia" w:ascii="宋体" w:hAnsi="宋体"/>
          <w:sz w:val="22"/>
          <w:szCs w:val="22"/>
        </w:rPr>
        <w:t xml:space="preserve">8 本合同执行中相关的一切税费均由乙方负担。</w:t>
      </w:r>
      <w:r/>
    </w:p>
    <w:p>
      <w:pPr>
        <w:ind w:left="0"/>
        <w:spacing w:line="360" w:lineRule="auto"/>
        <w:widowControl w:val="off"/>
        <w:rPr>
          <w:rFonts w:ascii="宋体" w:hAnsi="宋体"/>
          <w:sz w:val="22"/>
          <w:szCs w:val="22"/>
        </w:rPr>
      </w:pPr>
      <w:r>
        <w:rPr>
          <w:rFonts w:ascii="宋体" w:hAnsi="宋体"/>
          <w:sz w:val="22"/>
          <w:szCs w:val="22"/>
        </w:rPr>
      </w:r>
      <w:r/>
    </w:p>
    <w:p>
      <w:pPr>
        <w:ind w:left="0" w:firstLine="440"/>
        <w:spacing w:line="360" w:lineRule="auto"/>
        <w:widowControl w:val="off"/>
        <w:rPr>
          <w:rFonts w:ascii="宋体" w:hAnsi="宋体"/>
          <w:sz w:val="22"/>
          <w:szCs w:val="22"/>
        </w:rPr>
      </w:pPr>
      <w:r>
        <w:rPr>
          <w:rFonts w:hint="eastAsia" w:ascii="宋体" w:hAnsi="宋体"/>
          <w:sz w:val="22"/>
          <w:szCs w:val="22"/>
        </w:rPr>
        <w:t xml:space="preserve">九、质量保证及售后服务</w:t>
      </w:r>
      <w:r/>
    </w:p>
    <w:p>
      <w:pPr>
        <w:ind w:left="0" w:firstLine="440"/>
        <w:spacing w:line="360" w:lineRule="auto"/>
        <w:widowControl w:val="off"/>
        <w:rPr>
          <w:rFonts w:ascii="宋体" w:hAnsi="宋体"/>
          <w:sz w:val="22"/>
          <w:szCs w:val="22"/>
        </w:rPr>
      </w:pPr>
      <w:r>
        <w:rPr>
          <w:rFonts w:hint="eastAsia" w:ascii="宋体" w:hAnsi="宋体"/>
          <w:sz w:val="22"/>
          <w:szCs w:val="22"/>
        </w:rPr>
        <w:t xml:space="preserve">9.1 乙方应按采购文件规定的货物性能、技术要求、质量标准向甲方提供未经使用的全新产品。</w:t>
      </w:r>
      <w:r/>
    </w:p>
    <w:p>
      <w:pPr>
        <w:ind w:left="0" w:firstLine="440"/>
        <w:spacing w:line="360" w:lineRule="auto"/>
        <w:widowControl w:val="off"/>
        <w:rPr>
          <w:rFonts w:ascii="宋体" w:hAnsi="宋体"/>
          <w:sz w:val="22"/>
          <w:szCs w:val="22"/>
        </w:rPr>
      </w:pPr>
      <w:r>
        <w:rPr>
          <w:rFonts w:hint="eastAsia" w:ascii="宋体" w:hAnsi="宋体"/>
          <w:sz w:val="22"/>
          <w:szCs w:val="22"/>
        </w:rPr>
        <w:t xml:space="preserve">9.2 乙方提供的货物质保期具体以投标文件为准且不得低于三十六个月，乙方提供的货物在质保期内因货物本身的质量问题发生故障，乙方应负责免费更换。对超过质保期发生故障的货物，乙方应当负责维修并按照成本价收取零配件费用。对达不到技术要求者，根据实际情况，经双方协商，可按以下办法处理：</w:t>
      </w:r>
      <w:r/>
    </w:p>
    <w:p>
      <w:pPr>
        <w:ind w:left="0" w:firstLine="440"/>
        <w:spacing w:line="360" w:lineRule="auto"/>
        <w:widowControl w:val="off"/>
        <w:rPr>
          <w:rFonts w:ascii="宋体" w:hAnsi="宋体"/>
          <w:sz w:val="22"/>
          <w:szCs w:val="22"/>
        </w:rPr>
      </w:pPr>
      <w:r>
        <w:rPr>
          <w:rFonts w:hint="eastAsia" w:ascii="宋体" w:hAnsi="宋体"/>
          <w:sz w:val="22"/>
          <w:szCs w:val="22"/>
        </w:rPr>
        <w:t xml:space="preserve">（1）更换：由乙方承担所发生的全部费用。</w:t>
      </w:r>
      <w:r/>
    </w:p>
    <w:p>
      <w:pPr>
        <w:ind w:left="0" w:firstLine="440"/>
        <w:spacing w:line="360" w:lineRule="auto"/>
        <w:widowControl w:val="off"/>
        <w:rPr>
          <w:rFonts w:ascii="宋体" w:hAnsi="宋体"/>
          <w:sz w:val="22"/>
          <w:szCs w:val="22"/>
        </w:rPr>
      </w:pPr>
      <w:r>
        <w:rPr>
          <w:rFonts w:hint="eastAsia" w:ascii="宋体" w:hAnsi="宋体"/>
          <w:sz w:val="22"/>
          <w:szCs w:val="22"/>
        </w:rPr>
        <w:t xml:space="preserve">（2）退货处理：乙方应退还甲方支付的合同款，同时应承担该货物的直接费用（运输、保险、检验）。</w:t>
      </w:r>
      <w:r/>
    </w:p>
    <w:p>
      <w:pPr>
        <w:ind w:left="0" w:firstLine="440"/>
        <w:spacing w:line="360" w:lineRule="auto"/>
        <w:widowControl w:val="off"/>
        <w:rPr>
          <w:rFonts w:ascii="宋体" w:hAnsi="宋体"/>
          <w:sz w:val="22"/>
          <w:szCs w:val="22"/>
        </w:rPr>
      </w:pPr>
      <w:r>
        <w:rPr>
          <w:rFonts w:hint="eastAsia" w:ascii="宋体" w:hAnsi="宋体"/>
          <w:sz w:val="22"/>
          <w:szCs w:val="22"/>
        </w:rPr>
        <w:t xml:space="preserve">9.3 响应时间：质保期内，乙方必须在接到报修电话后8小时内响应，24小时内到达现场免费维修，24小时内修复。如 24小时内无法修复的，必须全免费提供不低于故障产品规格型号档次的备用产品（或采用应急措施）供招标人临时使用，不得影响招标人的正常工作，直到故障产品修复。乙方对所有设备实行终身维护，保修期外发生维修只收配件、材料及维修期人工工时费。</w:t>
      </w:r>
      <w:r/>
    </w:p>
    <w:p>
      <w:pPr>
        <w:ind w:left="0" w:firstLine="440"/>
        <w:spacing w:after="120" w:line="360" w:lineRule="auto"/>
        <w:widowControl w:val="off"/>
        <w:rPr>
          <w:rFonts w:ascii="宋体" w:hAnsi="宋体"/>
          <w:sz w:val="22"/>
          <w:szCs w:val="22"/>
        </w:rPr>
      </w:pPr>
      <w:r>
        <w:rPr>
          <w:rFonts w:hint="eastAsia" w:ascii="宋体" w:hAnsi="宋体"/>
          <w:sz w:val="22"/>
          <w:szCs w:val="22"/>
        </w:rPr>
        <w:t xml:space="preserve">9.4 乙方须提供全天候7×24的售后服务，乙方提供统一的售后服务受理电话，在投标文件中明确售后服务受理电话号码及专门为招标人服务的客户服务经理姓名、电话。乙方应免费为招标人培训使用及维护人员，确保招标人使用人员能正确使用、维护保养。</w:t>
      </w:r>
      <w:r/>
    </w:p>
    <w:p>
      <w:pPr>
        <w:ind w:left="0" w:firstLine="440"/>
        <w:spacing w:after="120" w:line="360" w:lineRule="auto"/>
        <w:widowControl w:val="off"/>
        <w:rPr>
          <w:rFonts w:ascii="宋体" w:hAnsi="宋体"/>
          <w:sz w:val="22"/>
          <w:szCs w:val="22"/>
        </w:rPr>
      </w:pPr>
      <w:r>
        <w:rPr>
          <w:rFonts w:hint="eastAsia" w:ascii="宋体" w:hAnsi="宋体"/>
          <w:sz w:val="22"/>
          <w:szCs w:val="22"/>
        </w:rPr>
        <w:t xml:space="preserve">9.5 所投产品如有备品备件，乙方须编制质保期后三年内必须的备品备件报价表，并承诺质保期后三年内，以报价表中的单价向甲方供应备品备件。</w:t>
      </w:r>
      <w:r/>
    </w:p>
    <w:p>
      <w:pPr>
        <w:ind w:left="0"/>
        <w:spacing w:line="360" w:lineRule="auto"/>
        <w:widowControl w:val="off"/>
        <w:rPr>
          <w:rFonts w:ascii="宋体" w:hAnsi="宋体"/>
          <w:sz w:val="22"/>
          <w:szCs w:val="22"/>
        </w:rPr>
      </w:pPr>
      <w:r>
        <w:rPr>
          <w:rFonts w:ascii="宋体" w:hAnsi="宋体"/>
          <w:sz w:val="22"/>
          <w:szCs w:val="22"/>
        </w:rPr>
      </w:r>
      <w:r/>
    </w:p>
    <w:p>
      <w:pPr>
        <w:ind w:left="0" w:firstLine="440"/>
        <w:spacing w:line="360" w:lineRule="auto"/>
        <w:widowControl w:val="off"/>
        <w:rPr>
          <w:rFonts w:ascii="宋体" w:hAnsi="宋体"/>
          <w:sz w:val="22"/>
          <w:szCs w:val="22"/>
        </w:rPr>
      </w:pPr>
      <w:r>
        <w:rPr>
          <w:rFonts w:hint="eastAsia" w:ascii="宋体" w:hAnsi="宋体"/>
          <w:sz w:val="22"/>
          <w:szCs w:val="22"/>
        </w:rPr>
        <w:t xml:space="preserve">十、调试和验收</w:t>
      </w:r>
      <w:r/>
    </w:p>
    <w:p>
      <w:pPr>
        <w:ind w:left="0" w:firstLine="440"/>
        <w:spacing w:line="360" w:lineRule="auto"/>
        <w:widowControl w:val="off"/>
        <w:rPr>
          <w:rFonts w:ascii="宋体" w:hAnsi="宋体"/>
          <w:sz w:val="22"/>
          <w:szCs w:val="22"/>
        </w:rPr>
      </w:pPr>
      <w:r>
        <w:rPr>
          <w:rFonts w:hint="eastAsia" w:ascii="宋体" w:hAnsi="宋体"/>
          <w:sz w:val="22"/>
          <w:szCs w:val="22"/>
        </w:rPr>
        <w:t xml:space="preserve">10.1 乙方交付的产品为原制造厂商生产的全新产品，整体无污染，无侵权行为。表面无划损，无任何缺陷隐患，在中国境内可依常规安全合法使用。甲方对乙方提交的货物清单数量核对给予签收，由甲方出具签收单视为交付。甲方对乙方提交的货物依据采购文件、合同上的技术规格要求和国家有关质量标准、环保标准或行业标准（以最严标准为准）进行现场验收，符合采购文件技术要求的，由甲方出具验收结果报告视为验收合格。甲方有权委托国家消防装备质量检验检测中心或其他权威第三方检测机构进行抽检送检，检测方案由甲方依据招标文件确定。</w:t>
      </w:r>
      <w:r/>
    </w:p>
    <w:p>
      <w:pPr>
        <w:ind w:left="0" w:firstLine="440"/>
        <w:spacing w:line="360" w:lineRule="auto"/>
        <w:widowControl w:val="off"/>
        <w:rPr>
          <w:rFonts w:ascii="宋体" w:hAnsi="宋体"/>
          <w:sz w:val="22"/>
          <w:szCs w:val="22"/>
        </w:rPr>
      </w:pPr>
      <w:r>
        <w:rPr>
          <w:rFonts w:hint="eastAsia" w:ascii="宋体" w:hAnsi="宋体"/>
          <w:sz w:val="22"/>
          <w:szCs w:val="22"/>
        </w:rPr>
        <w:t xml:space="preserve">10.2 乙方交货前应对产品作出全面检查和对验收文件进行整理，并列出清单，作为甲方收货验收和使用的技术条件依据，检验的结果应随货物交甲方，但不能作为交付产品质量、规格、数量或性能的最终检验结果。</w:t>
      </w:r>
      <w:r>
        <w:rPr>
          <w:rFonts w:hint="eastAsia" w:ascii="宋体" w:hAnsi="宋体"/>
          <w:b/>
          <w:sz w:val="22"/>
          <w:szCs w:val="22"/>
        </w:rPr>
        <w:t xml:space="preserve">验收时乙方须提供投标文件内检测报告原件供验收使用。</w:t>
      </w:r>
      <w:r/>
    </w:p>
    <w:p>
      <w:pPr>
        <w:ind w:left="0" w:firstLine="440"/>
        <w:spacing w:line="360" w:lineRule="auto"/>
        <w:widowControl w:val="off"/>
        <w:rPr>
          <w:rFonts w:ascii="宋体" w:hAnsi="宋体"/>
          <w:sz w:val="22"/>
          <w:szCs w:val="22"/>
        </w:rPr>
      </w:pPr>
      <w:r>
        <w:rPr>
          <w:rFonts w:hint="eastAsia" w:ascii="宋体" w:hAnsi="宋体"/>
          <w:sz w:val="22"/>
          <w:szCs w:val="22"/>
        </w:rPr>
        <w:t xml:space="preserve">10.3 依据法律规定或直观观察等日常工作经验能够直接确认的事实，可以直接作为判断是否有质量问题的依据，无需鉴定；确需鉴定的，以国家相关检测机构出具的书面鉴定意见为准，鉴定费用由乙方先行垫付。货物符合质量标准的，鉴定费用由甲方承担；货物不符合质量标准的，鉴定费用由乙方承担，并且甲方有权追究乙方的违约责任。</w:t>
      </w:r>
      <w:r/>
    </w:p>
    <w:p>
      <w:pPr>
        <w:ind w:left="0" w:firstLine="440"/>
        <w:spacing w:line="360" w:lineRule="auto"/>
        <w:widowControl w:val="off"/>
        <w:rPr>
          <w:rFonts w:ascii="宋体" w:hAnsi="宋体"/>
          <w:sz w:val="22"/>
          <w:szCs w:val="22"/>
        </w:rPr>
      </w:pPr>
      <w:r>
        <w:rPr>
          <w:rFonts w:hint="eastAsia" w:ascii="宋体" w:hAnsi="宋体"/>
          <w:sz w:val="22"/>
          <w:szCs w:val="22"/>
        </w:rPr>
        <w:t xml:space="preserve">10.4 验收时乙方必须在现场，验收完毕后作出验收结果报告。验收通过并不免除乙方因产品质量瑕疵而应承担的维修、赔偿等责任。</w:t>
      </w:r>
      <w:r/>
    </w:p>
    <w:p>
      <w:pPr>
        <w:ind w:left="0" w:firstLine="440"/>
        <w:spacing w:line="360" w:lineRule="auto"/>
        <w:widowControl w:val="off"/>
        <w:rPr>
          <w:rFonts w:ascii="宋体" w:hAnsi="宋体"/>
          <w:sz w:val="22"/>
          <w:szCs w:val="22"/>
        </w:rPr>
      </w:pPr>
      <w:r>
        <w:rPr>
          <w:rFonts w:hint="eastAsia" w:ascii="宋体" w:hAnsi="宋体"/>
          <w:sz w:val="22"/>
          <w:szCs w:val="22"/>
        </w:rPr>
        <w:t xml:space="preserve">10.5 验收通过的，由甲方提供书面验</w:t>
      </w:r>
      <w:r>
        <w:rPr>
          <w:rFonts w:hint="eastAsia" w:ascii="宋体" w:hAnsi="宋体"/>
          <w:sz w:val="22"/>
          <w:szCs w:val="22"/>
        </w:rPr>
        <w:t xml:space="preserve">收结果报告。若产品不符合合同约定，甲方有权拒收货物，同时要求乙方进行整改，整改累积次数不超过 2 次，整改时限不得超过30天。整改后仍未通过验收的，甲方将拒收或退货，并由乙方赔偿甲方由此造成的一切损失。乙方需整改的，整改期计入交货期限，乙方因整改超过交货期限交货的，甲方有权按照本合同相应要求乙方承担合同约定的逾期违约责任。乙方供货的产品经甲方3次验收不合格，甲方可以单方面解除合同，乙方在甲方解约后3个工作日内退还已付款，并按照合同总价款的5%承担违约金，违约金不足以弥补甲方损失的，还应赔偿给甲方造成的损失。</w:t>
      </w:r>
      <w:r/>
    </w:p>
    <w:p>
      <w:pPr>
        <w:ind w:left="0" w:firstLine="440"/>
        <w:spacing w:line="360" w:lineRule="auto"/>
        <w:widowControl w:val="off"/>
        <w:rPr>
          <w:rFonts w:ascii="宋体" w:hAnsi="宋体"/>
          <w:sz w:val="22"/>
          <w:szCs w:val="22"/>
        </w:rPr>
      </w:pPr>
      <w:r>
        <w:rPr>
          <w:rFonts w:hint="eastAsia" w:ascii="宋体" w:hAnsi="宋体"/>
          <w:sz w:val="22"/>
          <w:szCs w:val="22"/>
        </w:rPr>
        <w:t xml:space="preserve">10.6 产品用户手册、保修手册、有关单证资料及配备件、随机工具等均应列明清单并按清单交付给甲方。使用操作及安全须知等重要资料应附有中文说明。</w:t>
      </w:r>
      <w:r/>
    </w:p>
    <w:p>
      <w:pPr>
        <w:ind w:left="0" w:firstLine="440"/>
        <w:spacing w:line="360" w:lineRule="auto"/>
        <w:widowControl w:val="off"/>
        <w:rPr>
          <w:rFonts w:ascii="宋体" w:hAnsi="宋体"/>
          <w:sz w:val="22"/>
          <w:szCs w:val="22"/>
        </w:rPr>
      </w:pPr>
      <w:r>
        <w:rPr>
          <w:rFonts w:hint="eastAsia" w:ascii="宋体" w:hAnsi="宋体"/>
          <w:sz w:val="22"/>
          <w:szCs w:val="22"/>
        </w:rPr>
        <w:t xml:space="preserve">10.7 产品使用进口配件的，必须提供原产地证明和商检局的检验证明及合法进货渠道证明。</w:t>
      </w:r>
      <w:r/>
    </w:p>
    <w:p>
      <w:pPr>
        <w:ind w:left="0" w:firstLine="440"/>
        <w:spacing w:line="360" w:lineRule="auto"/>
        <w:widowControl w:val="off"/>
        <w:rPr>
          <w:rFonts w:ascii="宋体" w:hAnsi="宋体"/>
          <w:sz w:val="22"/>
          <w:szCs w:val="22"/>
        </w:rPr>
      </w:pPr>
      <w:r>
        <w:rPr>
          <w:rFonts w:hint="eastAsia" w:ascii="宋体" w:hAnsi="宋体"/>
          <w:sz w:val="22"/>
          <w:szCs w:val="22"/>
        </w:rPr>
        <w:t xml:space="preserve">10.8其他具体要求见附件《履约验收方案》。</w:t>
      </w:r>
      <w:r/>
    </w:p>
    <w:p>
      <w:pPr>
        <w:ind w:left="0" w:firstLine="440"/>
        <w:spacing w:line="360" w:lineRule="auto"/>
        <w:widowControl w:val="off"/>
        <w:rPr>
          <w:rFonts w:ascii="宋体" w:hAnsi="宋体"/>
          <w:sz w:val="22"/>
          <w:szCs w:val="22"/>
        </w:rPr>
      </w:pPr>
      <w:r>
        <w:rPr>
          <w:rFonts w:ascii="宋体" w:hAnsi="宋体"/>
          <w:sz w:val="22"/>
          <w:szCs w:val="22"/>
        </w:rPr>
      </w:r>
      <w:r/>
    </w:p>
    <w:p>
      <w:pPr>
        <w:ind w:left="0" w:firstLine="440"/>
        <w:spacing w:line="360" w:lineRule="auto"/>
        <w:widowControl w:val="off"/>
        <w:rPr>
          <w:rFonts w:ascii="宋体" w:hAnsi="宋体"/>
          <w:sz w:val="22"/>
          <w:szCs w:val="22"/>
        </w:rPr>
      </w:pPr>
      <w:r>
        <w:rPr>
          <w:rFonts w:hint="eastAsia" w:ascii="宋体" w:hAnsi="宋体"/>
          <w:sz w:val="22"/>
          <w:szCs w:val="22"/>
        </w:rPr>
        <w:t xml:space="preserve">十一、货物包装、发运及运输</w:t>
      </w:r>
      <w:r/>
    </w:p>
    <w:p>
      <w:pPr>
        <w:ind w:left="0" w:firstLine="440"/>
        <w:spacing w:line="360" w:lineRule="auto"/>
        <w:widowControl w:val="off"/>
        <w:rPr>
          <w:rFonts w:ascii="宋体" w:hAnsi="宋体"/>
          <w:sz w:val="22"/>
          <w:szCs w:val="22"/>
        </w:rPr>
      </w:pPr>
      <w:r>
        <w:rPr>
          <w:rFonts w:hint="eastAsia" w:ascii="宋体" w:hAnsi="宋体"/>
          <w:sz w:val="22"/>
          <w:szCs w:val="22"/>
        </w:rPr>
        <w:t xml:space="preserve">11.1 乙方应在货物发运前对其进行满足运输距离、防潮和防破损装卸等要求包装，以保证货物安全运达甲方指定地点。</w:t>
      </w:r>
      <w:r/>
    </w:p>
    <w:p>
      <w:pPr>
        <w:ind w:left="0" w:firstLine="440"/>
        <w:spacing w:line="360" w:lineRule="auto"/>
        <w:widowControl w:val="off"/>
        <w:rPr>
          <w:rFonts w:ascii="宋体" w:hAnsi="宋体"/>
          <w:sz w:val="22"/>
          <w:szCs w:val="22"/>
        </w:rPr>
      </w:pPr>
      <w:r>
        <w:rPr>
          <w:rFonts w:hint="eastAsia" w:ascii="宋体" w:hAnsi="宋体"/>
          <w:sz w:val="22"/>
          <w:szCs w:val="22"/>
        </w:rPr>
        <w:t xml:space="preserve">11.2 使用说明书、质量检验证明书以及清单一并附于货物内。</w:t>
      </w:r>
      <w:r/>
    </w:p>
    <w:p>
      <w:pPr>
        <w:ind w:left="0" w:firstLine="440"/>
        <w:spacing w:line="360" w:lineRule="auto"/>
        <w:widowControl w:val="off"/>
        <w:rPr>
          <w:rFonts w:ascii="宋体" w:hAnsi="宋体"/>
          <w:sz w:val="22"/>
          <w:szCs w:val="22"/>
        </w:rPr>
      </w:pPr>
      <w:r>
        <w:rPr>
          <w:rFonts w:hint="eastAsia" w:ascii="宋体" w:hAnsi="宋体"/>
          <w:sz w:val="22"/>
          <w:szCs w:val="22"/>
        </w:rPr>
        <w:t xml:space="preserve">11.3 乙方在货物发运手续办理完毕后24小时内或货到甲方48小时前通知甲方，以准备接货。</w:t>
      </w:r>
      <w:r/>
    </w:p>
    <w:p>
      <w:pPr>
        <w:ind w:left="0" w:firstLine="440"/>
        <w:spacing w:line="360" w:lineRule="auto"/>
        <w:widowControl w:val="off"/>
        <w:rPr>
          <w:rFonts w:ascii="宋体" w:hAnsi="宋体"/>
          <w:sz w:val="22"/>
          <w:szCs w:val="22"/>
        </w:rPr>
      </w:pPr>
      <w:r>
        <w:rPr>
          <w:rFonts w:hint="eastAsia" w:ascii="宋体" w:hAnsi="宋体"/>
          <w:sz w:val="22"/>
          <w:szCs w:val="22"/>
        </w:rPr>
        <w:t xml:space="preserve">11.4 货物在交付甲方前发生的风险均由乙方负责。</w:t>
      </w:r>
      <w:r/>
    </w:p>
    <w:p>
      <w:pPr>
        <w:ind w:left="0" w:firstLine="440"/>
        <w:spacing w:line="360" w:lineRule="auto"/>
        <w:widowControl w:val="off"/>
        <w:rPr>
          <w:rFonts w:ascii="宋体" w:hAnsi="宋体"/>
          <w:sz w:val="22"/>
          <w:szCs w:val="22"/>
        </w:rPr>
      </w:pPr>
      <w:r>
        <w:rPr>
          <w:rFonts w:hint="eastAsia" w:ascii="宋体" w:hAnsi="宋体"/>
          <w:sz w:val="22"/>
          <w:szCs w:val="22"/>
        </w:rPr>
        <w:t xml:space="preserve">11.5 货物在规定的交付期限内由乙方送达甲方指定的地点甲方出具签收单视为交付，乙方同时需通知甲方货物已送达。</w:t>
      </w:r>
      <w:r/>
    </w:p>
    <w:p>
      <w:pPr>
        <w:ind w:left="0"/>
        <w:spacing w:line="360" w:lineRule="auto"/>
        <w:widowControl w:val="off"/>
        <w:rPr>
          <w:rFonts w:ascii="宋体" w:hAnsi="宋体"/>
          <w:sz w:val="22"/>
          <w:szCs w:val="22"/>
        </w:rPr>
      </w:pPr>
      <w:r>
        <w:rPr>
          <w:rFonts w:ascii="宋体" w:hAnsi="宋体"/>
          <w:sz w:val="22"/>
          <w:szCs w:val="22"/>
        </w:rPr>
      </w:r>
      <w:r/>
    </w:p>
    <w:p>
      <w:pPr>
        <w:ind w:left="0" w:firstLine="440"/>
        <w:spacing w:line="360" w:lineRule="auto"/>
        <w:widowControl w:val="off"/>
        <w:rPr>
          <w:rFonts w:ascii="宋体" w:hAnsi="宋体"/>
          <w:sz w:val="22"/>
          <w:szCs w:val="22"/>
        </w:rPr>
      </w:pPr>
      <w:r>
        <w:rPr>
          <w:rFonts w:hint="eastAsia" w:ascii="宋体" w:hAnsi="宋体"/>
          <w:sz w:val="22"/>
          <w:szCs w:val="22"/>
        </w:rPr>
        <w:t xml:space="preserve">十二、违约责任</w:t>
      </w:r>
      <w:r/>
    </w:p>
    <w:p>
      <w:pPr>
        <w:ind w:left="0" w:firstLine="440"/>
        <w:spacing w:line="360" w:lineRule="auto"/>
        <w:widowControl w:val="off"/>
        <w:rPr>
          <w:rFonts w:ascii="宋体" w:hAnsi="宋体"/>
          <w:sz w:val="22"/>
          <w:szCs w:val="22"/>
        </w:rPr>
      </w:pPr>
      <w:r>
        <w:rPr>
          <w:rFonts w:hint="eastAsia" w:ascii="宋体" w:hAnsi="宋体"/>
          <w:sz w:val="22"/>
          <w:szCs w:val="22"/>
        </w:rPr>
        <w:t xml:space="preserve">12.1 甲方无正当理由拒收货物的，甲方向乙方偿付拒收货款总值的千分之五违约金。</w:t>
      </w:r>
      <w:r/>
    </w:p>
    <w:p>
      <w:pPr>
        <w:ind w:left="0" w:firstLine="440"/>
        <w:spacing w:line="360" w:lineRule="auto"/>
        <w:widowControl w:val="off"/>
        <w:rPr>
          <w:rFonts w:ascii="宋体" w:hAnsi="宋体"/>
          <w:sz w:val="22"/>
          <w:szCs w:val="22"/>
        </w:rPr>
      </w:pPr>
      <w:r>
        <w:rPr>
          <w:rFonts w:hint="eastAsia" w:ascii="宋体" w:hAnsi="宋体"/>
          <w:sz w:val="22"/>
          <w:szCs w:val="22"/>
        </w:rPr>
        <w:t xml:space="preserve">12.2 甲方无故逾期付款的，依法承担逾期付款责任，不超过合同总价款的5%。</w:t>
      </w:r>
      <w:r/>
    </w:p>
    <w:p>
      <w:pPr>
        <w:ind w:left="0" w:firstLine="440"/>
        <w:spacing w:line="360" w:lineRule="auto"/>
        <w:widowControl w:val="off"/>
        <w:rPr>
          <w:rFonts w:ascii="宋体" w:hAnsi="宋体"/>
          <w:sz w:val="22"/>
          <w:szCs w:val="22"/>
        </w:rPr>
      </w:pPr>
      <w:r>
        <w:rPr>
          <w:rFonts w:hint="eastAsia" w:ascii="宋体" w:hAnsi="宋体"/>
          <w:sz w:val="22"/>
          <w:szCs w:val="22"/>
        </w:rPr>
        <w:t xml:space="preserve">12.3 乙方逾期交付货物的，乙方应按逾期交货总额每日千分之六向甲方支付违约金，由甲方从待付货款中扣除。逾期超过约定日期10个工作日不能交货的，甲方可解除本合同或者起诉。乙方因逾期交货或因其他违约行为导致甲方解除合同的，乙方应在甲方解约后3个工作日内退还甲方已付款（如有），并向甲方支付合同总值5%的违约金，如造成甲方损失超过违约金的，超出部分由乙方继续承担赔偿责任。</w:t>
      </w:r>
      <w:r/>
    </w:p>
    <w:p>
      <w:pPr>
        <w:ind w:left="0" w:firstLine="440"/>
        <w:spacing w:line="360" w:lineRule="auto"/>
        <w:widowControl w:val="off"/>
        <w:rPr>
          <w:rFonts w:ascii="宋体" w:hAnsi="宋体"/>
          <w:sz w:val="22"/>
          <w:szCs w:val="22"/>
        </w:rPr>
      </w:pPr>
      <w:r>
        <w:rPr>
          <w:rFonts w:hint="eastAsia" w:ascii="宋体" w:hAnsi="宋体"/>
          <w:sz w:val="22"/>
          <w:szCs w:val="22"/>
        </w:rPr>
        <w:t xml:space="preserve">12.4 乙方所交的货物品种、型号、规格、技术参数、质量不符合合同规定及采购文件规定标准的，甲方有权拒收该货物，乙方愿意更换货物但逾期交货的，按乙方逾期交货处理。乙方拒绝更换货物或未能如期更换货物的，甲方可单方面解除合同，并要求乙方承担合同总额5%的违约金，如造成甲方损失超过违约金的，超出部分由乙方继续承担赔偿责任。</w:t>
      </w:r>
      <w:r/>
    </w:p>
    <w:p>
      <w:pPr>
        <w:ind w:left="0" w:firstLine="440"/>
        <w:spacing w:line="360" w:lineRule="auto"/>
        <w:widowControl w:val="off"/>
        <w:rPr>
          <w:rFonts w:ascii="宋体" w:hAnsi="宋体"/>
          <w:sz w:val="22"/>
          <w:szCs w:val="22"/>
        </w:rPr>
      </w:pPr>
      <w:r>
        <w:rPr>
          <w:rFonts w:hint="eastAsia" w:ascii="宋体" w:hAnsi="宋体"/>
          <w:sz w:val="22"/>
          <w:szCs w:val="22"/>
        </w:rPr>
        <w:t xml:space="preserve">12.</w:t>
      </w:r>
      <w:r>
        <w:rPr>
          <w:rFonts w:hint="eastAsia" w:ascii="宋体" w:hAnsi="宋体"/>
          <w:sz w:val="22"/>
          <w:szCs w:val="22"/>
        </w:rPr>
        <w:t xml:space="preserve">5 乙方所交的货物品种、规格、型号、技术参数、产品质量不符合合同约定和法律规定的，甲方一律拒收该货物，乙方实施更换货物或整改但逾期交货的，按乙方逾期交货处理，并追究违约责任；乙方未在合同约定的整改次数或期限内更换或整改的，甲方可按照合同约定单方面解除合同；未达验收标准责令乙方限期整改，整改次数不超过2次或总的整改时间不超过30天。因乙方责任不能按合同履约，在整改验收期间，造成该装备或配套产品不能如期装备队伍，影响队伍执勤备战，甲方有权追究乙方所造成的经济损失、法律和社会责任。签署本合同即视同乙方认可本条款。</w:t>
      </w:r>
      <w:r/>
    </w:p>
    <w:p>
      <w:pPr>
        <w:ind w:left="0" w:firstLine="440"/>
        <w:spacing w:line="360" w:lineRule="auto"/>
        <w:widowControl w:val="off"/>
        <w:rPr>
          <w:rFonts w:ascii="宋体" w:hAnsi="宋体"/>
          <w:sz w:val="22"/>
          <w:szCs w:val="22"/>
        </w:rPr>
      </w:pPr>
      <w:r>
        <w:rPr>
          <w:rFonts w:hint="eastAsia" w:ascii="宋体" w:hAnsi="宋体"/>
          <w:sz w:val="22"/>
          <w:szCs w:val="22"/>
        </w:rPr>
        <w:t xml:space="preserve">12.6 乙方应赔偿甲方的损失、支付给甲方的违约金以及其它根据本合同应支付给甲方的费用，甲方有权直接从未付货款或保证金中扣除，不足部分有权要求乙方补足。乙方赔偿甲方的损失，包括但不限于甲方为起诉、行动、请求产生的所有损失、费用和支出，包括诉讼费、保全费、保全担保费、执行申请费、鉴定费、律师费、差旅费等。</w:t>
      </w:r>
      <w:r/>
    </w:p>
    <w:p>
      <w:pPr>
        <w:ind w:left="0"/>
        <w:spacing w:line="360" w:lineRule="auto"/>
        <w:widowControl w:val="off"/>
        <w:rPr>
          <w:rFonts w:ascii="宋体" w:hAnsi="宋体"/>
          <w:sz w:val="22"/>
          <w:szCs w:val="22"/>
        </w:rPr>
      </w:pPr>
      <w:r>
        <w:rPr>
          <w:rFonts w:ascii="宋体" w:hAnsi="宋体"/>
          <w:sz w:val="22"/>
          <w:szCs w:val="22"/>
        </w:rPr>
      </w:r>
      <w:r/>
    </w:p>
    <w:p>
      <w:pPr>
        <w:ind w:left="0" w:firstLine="440"/>
        <w:spacing w:line="360" w:lineRule="auto"/>
        <w:widowControl w:val="off"/>
        <w:rPr>
          <w:rFonts w:ascii="宋体" w:hAnsi="宋体"/>
          <w:sz w:val="22"/>
          <w:szCs w:val="22"/>
        </w:rPr>
      </w:pPr>
      <w:r>
        <w:rPr>
          <w:rFonts w:hint="eastAsia" w:ascii="宋体" w:hAnsi="宋体"/>
          <w:sz w:val="22"/>
          <w:szCs w:val="22"/>
        </w:rPr>
        <w:t xml:space="preserve">十三、不可抗力事件处理</w:t>
      </w:r>
      <w:r/>
    </w:p>
    <w:p>
      <w:pPr>
        <w:ind w:left="0" w:firstLine="440"/>
        <w:spacing w:line="360" w:lineRule="auto"/>
        <w:widowControl w:val="off"/>
        <w:rPr>
          <w:rFonts w:ascii="宋体" w:hAnsi="宋体"/>
          <w:sz w:val="22"/>
          <w:szCs w:val="22"/>
        </w:rPr>
      </w:pPr>
      <w:r>
        <w:rPr>
          <w:rFonts w:hint="eastAsia" w:ascii="宋体" w:hAnsi="宋体"/>
          <w:sz w:val="22"/>
          <w:szCs w:val="22"/>
        </w:rPr>
        <w:t xml:space="preserve">13.1 在合同有效期内，任何一方因不可抗力事件导致不能履行合同，则合同履行期可延长，其延长期与不可抗力影响期相同。（不可抗力，是指不能预见、不能避免且不能克服的客观情况，例如战争、严重的地震、洪水、疫情等，但一方违约或疏忽导致合同不能履行的不属于不可抗力因素。）</w:t>
      </w:r>
      <w:r/>
    </w:p>
    <w:p>
      <w:pPr>
        <w:ind w:left="0" w:firstLine="440"/>
        <w:spacing w:line="360" w:lineRule="auto"/>
        <w:widowControl w:val="off"/>
        <w:rPr>
          <w:rFonts w:ascii="宋体" w:hAnsi="宋体"/>
          <w:sz w:val="22"/>
          <w:szCs w:val="22"/>
        </w:rPr>
      </w:pPr>
      <w:r>
        <w:rPr>
          <w:rFonts w:hint="eastAsia" w:ascii="宋体" w:hAnsi="宋体"/>
          <w:sz w:val="22"/>
          <w:szCs w:val="22"/>
        </w:rPr>
        <w:t xml:space="preserve">13.2 不可抗力事件发生后，应立即通知对方，并寄送有关权威机构出具的证明。</w:t>
      </w:r>
      <w:r/>
    </w:p>
    <w:p>
      <w:pPr>
        <w:ind w:left="0" w:firstLine="440"/>
        <w:spacing w:line="360" w:lineRule="auto"/>
        <w:widowControl w:val="off"/>
        <w:rPr>
          <w:rFonts w:ascii="宋体" w:hAnsi="宋体"/>
          <w:sz w:val="22"/>
          <w:szCs w:val="22"/>
        </w:rPr>
      </w:pPr>
      <w:r>
        <w:rPr>
          <w:rFonts w:hint="eastAsia" w:ascii="宋体" w:hAnsi="宋体"/>
          <w:sz w:val="22"/>
          <w:szCs w:val="22"/>
        </w:rPr>
        <w:t xml:space="preserve">13.3 不可抗力事件延续120天以上，双方应通过友好协商，确定是否继续履行合同。</w:t>
      </w:r>
      <w:r/>
    </w:p>
    <w:p>
      <w:pPr>
        <w:ind w:left="0"/>
        <w:spacing w:line="360" w:lineRule="auto"/>
        <w:widowControl w:val="off"/>
        <w:rPr>
          <w:rFonts w:ascii="宋体" w:hAnsi="宋体"/>
          <w:sz w:val="22"/>
          <w:szCs w:val="22"/>
        </w:rPr>
      </w:pPr>
      <w:r>
        <w:rPr>
          <w:rFonts w:ascii="宋体" w:hAnsi="宋体"/>
          <w:sz w:val="22"/>
          <w:szCs w:val="22"/>
        </w:rPr>
      </w:r>
      <w:r/>
    </w:p>
    <w:p>
      <w:pPr>
        <w:ind w:left="0" w:firstLine="440"/>
        <w:spacing w:line="360" w:lineRule="auto"/>
        <w:widowControl w:val="off"/>
        <w:rPr>
          <w:rFonts w:ascii="宋体" w:hAnsi="宋体"/>
          <w:sz w:val="22"/>
          <w:szCs w:val="22"/>
        </w:rPr>
      </w:pPr>
      <w:r>
        <w:rPr>
          <w:rFonts w:hint="eastAsia" w:ascii="宋体" w:hAnsi="宋体"/>
          <w:sz w:val="22"/>
          <w:szCs w:val="22"/>
        </w:rPr>
        <w:t xml:space="preserve">十四、诉讼</w:t>
      </w:r>
      <w:r/>
    </w:p>
    <w:p>
      <w:pPr>
        <w:ind w:left="0" w:firstLine="440"/>
        <w:spacing w:line="360" w:lineRule="auto"/>
        <w:widowControl w:val="off"/>
        <w:rPr>
          <w:rFonts w:ascii="宋体" w:hAnsi="宋体"/>
          <w:sz w:val="22"/>
          <w:szCs w:val="22"/>
        </w:rPr>
      </w:pPr>
      <w:r>
        <w:rPr>
          <w:rFonts w:hint="eastAsia" w:ascii="宋体" w:hAnsi="宋体"/>
          <w:sz w:val="22"/>
          <w:szCs w:val="22"/>
        </w:rPr>
        <w:t xml:space="preserve">14 双方在执行合同中所发生的一切争议，应通过协商解决。如协商不成，可向甲方所在地法院起诉。</w:t>
      </w:r>
      <w:r/>
    </w:p>
    <w:p>
      <w:pPr>
        <w:ind w:left="0"/>
        <w:spacing w:line="360" w:lineRule="auto"/>
        <w:widowControl w:val="off"/>
        <w:rPr>
          <w:rFonts w:ascii="宋体" w:hAnsi="宋体"/>
          <w:sz w:val="22"/>
          <w:szCs w:val="22"/>
        </w:rPr>
      </w:pPr>
      <w:r>
        <w:rPr>
          <w:rFonts w:ascii="宋体" w:hAnsi="宋体"/>
          <w:sz w:val="22"/>
          <w:szCs w:val="22"/>
        </w:rPr>
      </w:r>
      <w:r/>
    </w:p>
    <w:p>
      <w:pPr>
        <w:ind w:left="0" w:firstLine="440"/>
        <w:spacing w:line="360" w:lineRule="auto"/>
        <w:widowControl w:val="off"/>
        <w:rPr>
          <w:rFonts w:ascii="宋体" w:hAnsi="宋体"/>
          <w:sz w:val="22"/>
          <w:szCs w:val="22"/>
        </w:rPr>
      </w:pPr>
      <w:r>
        <w:rPr>
          <w:rFonts w:hint="eastAsia" w:ascii="宋体" w:hAnsi="宋体"/>
          <w:sz w:val="22"/>
          <w:szCs w:val="22"/>
        </w:rPr>
        <w:t xml:space="preserve">十五、转包</w:t>
      </w:r>
      <w:r/>
    </w:p>
    <w:p>
      <w:pPr>
        <w:ind w:left="0" w:firstLine="440"/>
        <w:spacing w:line="360" w:lineRule="auto"/>
        <w:widowControl w:val="off"/>
        <w:rPr>
          <w:rFonts w:ascii="宋体" w:hAnsi="宋体"/>
          <w:sz w:val="22"/>
          <w:szCs w:val="22"/>
        </w:rPr>
      </w:pPr>
      <w:r>
        <w:rPr>
          <w:rFonts w:hint="eastAsia" w:ascii="宋体" w:hAnsi="宋体"/>
          <w:sz w:val="22"/>
          <w:szCs w:val="22"/>
        </w:rPr>
        <w:t xml:space="preserve">15 本合同禁止转包，本合同范围的货物，应由乙方直接供应的，不得转让他人供应。</w:t>
      </w:r>
      <w:r/>
    </w:p>
    <w:p>
      <w:pPr>
        <w:ind w:left="0"/>
        <w:spacing w:line="360" w:lineRule="auto"/>
        <w:widowControl w:val="off"/>
        <w:rPr>
          <w:rFonts w:ascii="宋体" w:hAnsi="宋体"/>
          <w:sz w:val="22"/>
          <w:szCs w:val="22"/>
        </w:rPr>
      </w:pPr>
      <w:r>
        <w:rPr>
          <w:rFonts w:ascii="宋体" w:hAnsi="宋体"/>
          <w:sz w:val="22"/>
          <w:szCs w:val="22"/>
        </w:rPr>
      </w:r>
      <w:r/>
    </w:p>
    <w:p>
      <w:pPr>
        <w:ind w:left="0" w:firstLine="440"/>
        <w:spacing w:line="360" w:lineRule="auto"/>
        <w:widowControl w:val="off"/>
        <w:rPr>
          <w:rFonts w:ascii="宋体" w:hAnsi="宋体"/>
          <w:sz w:val="22"/>
          <w:szCs w:val="22"/>
        </w:rPr>
      </w:pPr>
      <w:r>
        <w:rPr>
          <w:rFonts w:hint="eastAsia" w:ascii="宋体" w:hAnsi="宋体"/>
          <w:sz w:val="22"/>
          <w:szCs w:val="22"/>
        </w:rPr>
        <w:t xml:space="preserve">十六、知识产权</w:t>
      </w:r>
      <w:r/>
    </w:p>
    <w:p>
      <w:pPr>
        <w:ind w:left="0" w:firstLine="440"/>
        <w:spacing w:line="360" w:lineRule="auto"/>
        <w:widowControl w:val="off"/>
        <w:rPr>
          <w:rFonts w:ascii="宋体" w:hAnsi="宋体"/>
          <w:sz w:val="22"/>
          <w:szCs w:val="22"/>
        </w:rPr>
      </w:pPr>
      <w:r>
        <w:rPr>
          <w:rFonts w:hint="eastAsia" w:ascii="宋体" w:hAnsi="宋体"/>
          <w:sz w:val="22"/>
          <w:szCs w:val="22"/>
        </w:rPr>
        <w:t xml:space="preserve">16.1 乙方应保证甲方在使用、接受本合同货物和服务或其任何一部分时不受第三方提出侵犯其专利权、版权、商标权和工业设计权等知识产权的起诉。一旦出现侵权，由乙方负全部责任。</w:t>
      </w:r>
      <w:r/>
    </w:p>
    <w:p>
      <w:pPr>
        <w:ind w:left="0"/>
        <w:spacing w:line="360" w:lineRule="auto"/>
        <w:widowControl w:val="off"/>
        <w:rPr>
          <w:rFonts w:ascii="宋体" w:hAnsi="宋体"/>
          <w:sz w:val="22"/>
          <w:szCs w:val="22"/>
        </w:rPr>
      </w:pPr>
      <w:r>
        <w:rPr>
          <w:rFonts w:ascii="宋体" w:hAnsi="宋体"/>
          <w:sz w:val="22"/>
          <w:szCs w:val="22"/>
        </w:rPr>
      </w:r>
      <w:r/>
    </w:p>
    <w:p>
      <w:pPr>
        <w:ind w:left="0" w:firstLine="440"/>
        <w:spacing w:line="360" w:lineRule="auto"/>
        <w:widowControl w:val="off"/>
        <w:rPr>
          <w:rFonts w:ascii="宋体" w:hAnsi="宋体"/>
          <w:sz w:val="22"/>
          <w:szCs w:val="22"/>
        </w:rPr>
      </w:pPr>
      <w:r>
        <w:rPr>
          <w:rFonts w:hint="eastAsia" w:ascii="宋体" w:hAnsi="宋体"/>
          <w:sz w:val="22"/>
          <w:szCs w:val="22"/>
        </w:rPr>
        <w:t xml:space="preserve">十七、合同生效及其它</w:t>
      </w:r>
      <w:r/>
    </w:p>
    <w:p>
      <w:pPr>
        <w:ind w:left="0" w:firstLine="440"/>
        <w:spacing w:line="360" w:lineRule="auto"/>
        <w:widowControl w:val="off"/>
        <w:rPr>
          <w:rFonts w:ascii="宋体" w:hAnsi="宋体"/>
          <w:sz w:val="22"/>
          <w:szCs w:val="22"/>
        </w:rPr>
      </w:pPr>
      <w:r>
        <w:rPr>
          <w:rFonts w:hint="eastAsia" w:ascii="宋体" w:hAnsi="宋体"/>
          <w:sz w:val="22"/>
          <w:szCs w:val="22"/>
        </w:rPr>
        <w:t xml:space="preserve">17.1 合同经甲乙双方法定代表或授权委托代表签字且加盖单位公章后生效。</w:t>
      </w:r>
      <w:r/>
    </w:p>
    <w:p>
      <w:pPr>
        <w:ind w:left="0" w:firstLine="440"/>
        <w:spacing w:line="360" w:lineRule="auto"/>
        <w:widowControl w:val="off"/>
        <w:rPr>
          <w:rFonts w:ascii="宋体" w:hAnsi="宋体"/>
          <w:sz w:val="22"/>
          <w:szCs w:val="22"/>
        </w:rPr>
      </w:pPr>
      <w:r>
        <w:rPr>
          <w:rFonts w:hint="eastAsia" w:ascii="宋体" w:hAnsi="宋体"/>
          <w:sz w:val="22"/>
          <w:szCs w:val="22"/>
        </w:rPr>
        <w:t xml:space="preserve">17.2 本合同未尽事宜，遵照《中华人民共和国民法典》有关条文执行。</w:t>
      </w:r>
      <w:r/>
    </w:p>
    <w:p>
      <w:pPr>
        <w:ind w:left="0" w:firstLine="440"/>
        <w:spacing w:line="360" w:lineRule="auto"/>
        <w:widowControl w:val="off"/>
        <w:rPr>
          <w:rFonts w:ascii="宋体" w:hAnsi="宋体"/>
          <w:sz w:val="22"/>
          <w:szCs w:val="22"/>
        </w:rPr>
      </w:pPr>
      <w:r>
        <w:rPr>
          <w:rFonts w:hint="eastAsia" w:ascii="宋体" w:hAnsi="宋体"/>
          <w:sz w:val="22"/>
          <w:szCs w:val="22"/>
        </w:rPr>
        <w:t xml:space="preserve">17.3 本合同一式肆份，具有同等法律效力，甲方、乙方各执贰份。</w:t>
      </w:r>
      <w:r/>
    </w:p>
    <w:p>
      <w:pPr>
        <w:ind w:left="0" w:firstLine="440"/>
        <w:spacing w:line="360" w:lineRule="auto"/>
        <w:widowControl w:val="off"/>
        <w:rPr>
          <w:rFonts w:ascii="宋体" w:hAnsi="宋体"/>
          <w:sz w:val="22"/>
          <w:szCs w:val="22"/>
        </w:rPr>
      </w:pPr>
      <w:r>
        <w:rPr>
          <w:rFonts w:hint="eastAsia" w:ascii="宋体" w:hAnsi="宋体"/>
          <w:sz w:val="22"/>
          <w:szCs w:val="22"/>
        </w:rPr>
        <w:t xml:space="preserve">17.4 附件：</w:t>
      </w:r>
      <w:r/>
    </w:p>
    <w:p>
      <w:pPr>
        <w:ind w:left="0" w:firstLine="440"/>
        <w:spacing w:line="360" w:lineRule="auto"/>
        <w:widowControl w:val="off"/>
        <w:rPr>
          <w:rFonts w:ascii="宋体" w:hAnsi="宋体"/>
          <w:sz w:val="22"/>
          <w:szCs w:val="22"/>
        </w:rPr>
      </w:pPr>
      <w:r>
        <w:rPr>
          <w:rFonts w:hint="eastAsia" w:ascii="宋体" w:hAnsi="宋体"/>
          <w:sz w:val="22"/>
          <w:szCs w:val="22"/>
        </w:rPr>
        <w:t xml:space="preserve">（1）投标文件中服务承诺；</w:t>
      </w:r>
      <w:r/>
    </w:p>
    <w:p>
      <w:pPr>
        <w:ind w:left="0" w:firstLine="440"/>
        <w:spacing w:line="360" w:lineRule="auto"/>
        <w:widowControl w:val="off"/>
        <w:rPr>
          <w:rFonts w:ascii="宋体" w:hAnsi="宋体"/>
          <w:sz w:val="22"/>
          <w:szCs w:val="22"/>
        </w:rPr>
      </w:pPr>
      <w:r>
        <w:rPr>
          <w:rFonts w:hint="eastAsia" w:ascii="宋体" w:hAnsi="宋体"/>
          <w:sz w:val="22"/>
          <w:szCs w:val="22"/>
        </w:rPr>
        <w:t xml:space="preserve">（2）投标明细清单及产品图片（图片展示标签黏贴标记处）；</w:t>
      </w:r>
      <w:r/>
    </w:p>
    <w:p>
      <w:pPr>
        <w:ind w:left="0" w:firstLine="440"/>
        <w:spacing w:line="360" w:lineRule="auto"/>
        <w:widowControl w:val="off"/>
        <w:rPr>
          <w:rFonts w:ascii="宋体" w:hAnsi="宋体"/>
          <w:sz w:val="22"/>
          <w:szCs w:val="22"/>
        </w:rPr>
      </w:pPr>
      <w:r>
        <w:rPr>
          <w:rFonts w:hint="eastAsia" w:ascii="宋体" w:hAnsi="宋体"/>
          <w:sz w:val="22"/>
          <w:szCs w:val="22"/>
        </w:rPr>
        <w:t xml:space="preserve">（3）投标文件技术偏离表；</w:t>
      </w:r>
      <w:r/>
    </w:p>
    <w:p>
      <w:pPr>
        <w:ind w:left="0" w:firstLine="440"/>
        <w:spacing w:line="360" w:lineRule="auto"/>
        <w:widowControl w:val="off"/>
        <w:rPr>
          <w:rFonts w:ascii="宋体" w:hAnsi="宋体"/>
          <w:sz w:val="22"/>
          <w:szCs w:val="22"/>
        </w:rPr>
      </w:pPr>
      <w:r>
        <w:rPr>
          <w:rFonts w:hint="eastAsia" w:ascii="宋体" w:hAnsi="宋体"/>
          <w:sz w:val="22"/>
          <w:szCs w:val="22"/>
        </w:rPr>
        <w:t xml:space="preserve">（4）投标文件分项报价格；</w:t>
      </w:r>
      <w:r/>
    </w:p>
    <w:p>
      <w:pPr>
        <w:ind w:left="0" w:firstLine="440"/>
        <w:spacing w:line="360" w:lineRule="auto"/>
        <w:widowControl w:val="off"/>
        <w:rPr>
          <w:rFonts w:ascii="宋体" w:hAnsi="宋体"/>
          <w:sz w:val="22"/>
          <w:szCs w:val="22"/>
        </w:rPr>
      </w:pPr>
      <w:r>
        <w:rPr>
          <w:rFonts w:hint="eastAsia" w:ascii="宋体" w:hAnsi="宋体"/>
          <w:sz w:val="22"/>
          <w:szCs w:val="22"/>
        </w:rPr>
        <w:t xml:space="preserve">（5）履约验收方案。</w:t>
      </w:r>
      <w:r/>
    </w:p>
    <w:p>
      <w:pPr>
        <w:pStyle w:val="1005"/>
      </w:pPr>
      <w:r/>
      <w:r/>
    </w:p>
    <w:p>
      <w:pPr>
        <w:ind w:left="0" w:firstLine="440"/>
        <w:spacing w:line="360" w:lineRule="auto"/>
        <w:widowControl w:val="off"/>
        <w:rPr>
          <w:rFonts w:ascii="宋体" w:hAnsi="宋体"/>
          <w:sz w:val="22"/>
          <w:szCs w:val="22"/>
        </w:rPr>
      </w:pPr>
      <w:r>
        <w:rPr>
          <w:rFonts w:hint="eastAsia" w:ascii="宋体" w:hAnsi="宋体"/>
          <w:sz w:val="22"/>
          <w:szCs w:val="22"/>
        </w:rPr>
        <w:t xml:space="preserve">补充条款：（支队根据实际情况与供货单位签署的售后服务承诺等保障合同履行的内容，但不得偏离合同实质性条款。）</w:t>
      </w:r>
      <w:r/>
    </w:p>
    <w:tbl>
      <w:tblPr>
        <w:tblStyle w:val="1004"/>
        <w:tblW w:w="4998" w:type="pct"/>
        <w:jc w:val="center"/>
        <w:tblLayout w:type="autofit"/>
        <w:tblCellMar>
          <w:left w:w="0" w:type="dxa"/>
          <w:top w:w="0" w:type="dxa"/>
          <w:right w:w="0" w:type="dxa"/>
          <w:bottom w:w="0" w:type="dxa"/>
        </w:tblCellMar>
        <w:tblLook w:val="04A0" w:firstRow="1" w:lastRow="0" w:firstColumn="1" w:lastColumn="0" w:noHBand="0" w:noVBand="1"/>
      </w:tblPr>
      <w:tblGrid>
        <w:gridCol w:w="5312"/>
        <w:gridCol w:w="4578"/>
      </w:tblGrid>
      <w:tr>
        <w:trPr>
          <w:jc w:val="center"/>
          <w:trHeight w:val="510"/>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685" w:type="pct"/>
            <w:vAlign w:val="center"/>
            <w:textDirection w:val="lrTb"/>
            <w:noWrap w:val="false"/>
          </w:tcPr>
          <w:p>
            <w:pPr>
              <w:ind w:left="0"/>
              <w:widowControl w:val="off"/>
              <w:rPr>
                <w:rFonts w:ascii="宋体" w:hAnsi="宋体"/>
                <w:sz w:val="22"/>
                <w:szCs w:val="22"/>
              </w:rPr>
            </w:pPr>
            <w:r>
              <w:rPr>
                <w:rFonts w:hint="eastAsia" w:ascii="宋体" w:hAnsi="宋体"/>
                <w:sz w:val="22"/>
                <w:szCs w:val="22"/>
              </w:rPr>
              <w:t xml:space="preserve">甲    方:</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314" w:type="pct"/>
            <w:vAlign w:val="center"/>
            <w:textDirection w:val="lrTb"/>
            <w:noWrap w:val="false"/>
          </w:tcPr>
          <w:p>
            <w:pPr>
              <w:ind w:left="0"/>
              <w:widowControl w:val="off"/>
              <w:rPr>
                <w:rFonts w:ascii="宋体" w:hAnsi="宋体"/>
                <w:sz w:val="22"/>
                <w:szCs w:val="22"/>
              </w:rPr>
            </w:pPr>
            <w:r>
              <w:rPr>
                <w:rFonts w:hint="eastAsia" w:ascii="宋体" w:hAnsi="宋体"/>
                <w:sz w:val="22"/>
                <w:szCs w:val="22"/>
              </w:rPr>
              <w:t xml:space="preserve">乙    方：</w:t>
            </w:r>
            <w:r/>
          </w:p>
        </w:tc>
      </w:tr>
      <w:tr>
        <w:trPr>
          <w:jc w:val="center"/>
          <w:trHeight w:val="510"/>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685" w:type="pct"/>
            <w:vAlign w:val="center"/>
            <w:textDirection w:val="lrTb"/>
            <w:noWrap w:val="false"/>
          </w:tcPr>
          <w:p>
            <w:pPr>
              <w:ind w:left="0"/>
              <w:widowControl w:val="off"/>
              <w:rPr>
                <w:rFonts w:ascii="宋体" w:hAnsi="宋体"/>
                <w:sz w:val="22"/>
                <w:szCs w:val="22"/>
              </w:rPr>
            </w:pPr>
            <w:r>
              <w:rPr>
                <w:rFonts w:hint="eastAsia" w:ascii="宋体" w:hAnsi="宋体"/>
                <w:sz w:val="22"/>
                <w:szCs w:val="22"/>
              </w:rPr>
              <w:t xml:space="preserve">单位名称（盖章）：</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314" w:type="pct"/>
            <w:vAlign w:val="center"/>
            <w:textDirection w:val="lrTb"/>
            <w:noWrap w:val="false"/>
          </w:tcPr>
          <w:p>
            <w:pPr>
              <w:ind w:left="0"/>
              <w:widowControl w:val="off"/>
              <w:rPr>
                <w:rFonts w:ascii="宋体" w:hAnsi="宋体"/>
                <w:sz w:val="22"/>
                <w:szCs w:val="22"/>
              </w:rPr>
            </w:pPr>
            <w:r>
              <w:rPr>
                <w:rFonts w:hint="eastAsia" w:ascii="宋体" w:hAnsi="宋体"/>
                <w:sz w:val="22"/>
                <w:szCs w:val="22"/>
              </w:rPr>
              <w:t xml:space="preserve">单位名称（盖章）:</w:t>
            </w:r>
            <w:r/>
          </w:p>
        </w:tc>
      </w:tr>
      <w:tr>
        <w:trPr>
          <w:jc w:val="center"/>
          <w:trHeight w:val="386"/>
        </w:trPr>
        <w:tc>
          <w:tcPr>
            <w:shd w:val="clear" w:color="auto" w:fill="ffffff"/>
            <w:tcBorders>
              <w:top w:val="single" w:color="auto" w:sz="4" w:space="0"/>
              <w:left w:val="single" w:color="auto" w:sz="4" w:space="0"/>
              <w:right w:val="single" w:color="auto" w:sz="4" w:space="0"/>
            </w:tcBorders>
            <w:tcMar>
              <w:left w:w="15" w:type="dxa"/>
              <w:top w:w="15" w:type="dxa"/>
              <w:right w:w="15" w:type="dxa"/>
            </w:tcMar>
            <w:tcW w:w="2685" w:type="pct"/>
            <w:vAlign w:val="center"/>
            <w:textDirection w:val="lrTb"/>
            <w:noWrap w:val="false"/>
          </w:tcPr>
          <w:p>
            <w:pPr>
              <w:ind w:left="0"/>
              <w:widowControl w:val="off"/>
              <w:rPr>
                <w:rFonts w:ascii="宋体" w:hAnsi="宋体"/>
                <w:sz w:val="22"/>
                <w:szCs w:val="22"/>
              </w:rPr>
            </w:pPr>
            <w:r>
              <w:rPr>
                <w:rFonts w:hint="eastAsia" w:ascii="宋体" w:hAnsi="宋体"/>
                <w:sz w:val="22"/>
                <w:szCs w:val="22"/>
              </w:rPr>
              <w:t xml:space="preserve">单位地址：</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314" w:type="pct"/>
            <w:vAlign w:val="center"/>
            <w:textDirection w:val="lrTb"/>
            <w:noWrap w:val="false"/>
          </w:tcPr>
          <w:p>
            <w:pPr>
              <w:ind w:left="0"/>
              <w:widowControl w:val="off"/>
              <w:rPr>
                <w:rFonts w:ascii="宋体" w:hAnsi="宋体"/>
                <w:sz w:val="22"/>
                <w:szCs w:val="22"/>
              </w:rPr>
            </w:pPr>
            <w:r>
              <w:rPr>
                <w:rFonts w:hint="eastAsia" w:ascii="宋体" w:hAnsi="宋体"/>
                <w:sz w:val="22"/>
                <w:szCs w:val="22"/>
              </w:rPr>
              <w:t xml:space="preserve">单位地址:</w:t>
            </w:r>
            <w:r/>
          </w:p>
        </w:tc>
      </w:tr>
      <w:tr>
        <w:trPr>
          <w:jc w:val="center"/>
          <w:trHeight w:val="410"/>
        </w:trPr>
        <w:tc>
          <w:tcPr>
            <w:shd w:val="clear" w:color="auto" w:fill="ffffff"/>
            <w:tcBorders>
              <w:left w:val="single" w:color="auto" w:sz="4" w:space="0"/>
              <w:right w:val="single" w:color="auto" w:sz="4" w:space="0"/>
            </w:tcBorders>
            <w:tcMar>
              <w:left w:w="15" w:type="dxa"/>
              <w:top w:w="15" w:type="dxa"/>
              <w:right w:w="15" w:type="dxa"/>
            </w:tcMar>
            <w:tcW w:w="2685" w:type="pct"/>
            <w:vAlign w:val="center"/>
            <w:textDirection w:val="lrTb"/>
            <w:noWrap w:val="false"/>
          </w:tcPr>
          <w:p>
            <w:pPr>
              <w:ind w:left="0"/>
              <w:widowControl w:val="off"/>
              <w:rPr>
                <w:rFonts w:ascii="宋体" w:hAnsi="宋体"/>
                <w:sz w:val="22"/>
                <w:szCs w:val="22"/>
              </w:rPr>
            </w:pPr>
            <w:r>
              <w:rPr>
                <w:rFonts w:hint="eastAsia" w:ascii="宋体" w:hAnsi="宋体"/>
                <w:sz w:val="22"/>
                <w:szCs w:val="22"/>
              </w:rPr>
              <w:t xml:space="preserve">银行账户信息：</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314" w:type="pct"/>
            <w:vAlign w:val="center"/>
            <w:textDirection w:val="lrTb"/>
            <w:noWrap w:val="false"/>
          </w:tcPr>
          <w:p>
            <w:pPr>
              <w:ind w:left="0"/>
              <w:widowControl w:val="off"/>
              <w:rPr>
                <w:rFonts w:ascii="宋体" w:hAnsi="宋体"/>
                <w:sz w:val="22"/>
                <w:szCs w:val="22"/>
              </w:rPr>
            </w:pPr>
            <w:r>
              <w:rPr>
                <w:rFonts w:hint="eastAsia" w:ascii="宋体" w:hAnsi="宋体"/>
                <w:sz w:val="22"/>
                <w:szCs w:val="22"/>
              </w:rPr>
              <w:t xml:space="preserve">银行账户信息：</w:t>
            </w:r>
            <w:r/>
          </w:p>
        </w:tc>
      </w:tr>
      <w:tr>
        <w:trPr>
          <w:jc w:val="center"/>
          <w:trHeight w:val="510"/>
        </w:trPr>
        <w:tc>
          <w:tcPr>
            <w:shd w:val="clear" w:color="auto" w:fill="ffffff"/>
            <w:tcBorders>
              <w:left w:val="single" w:color="auto" w:sz="4" w:space="0"/>
              <w:bottom w:val="single" w:color="auto" w:sz="4" w:space="0"/>
              <w:right w:val="single" w:color="auto" w:sz="4" w:space="0"/>
            </w:tcBorders>
            <w:tcMar>
              <w:left w:w="15" w:type="dxa"/>
              <w:top w:w="15" w:type="dxa"/>
              <w:right w:w="15" w:type="dxa"/>
            </w:tcMar>
            <w:tcW w:w="2685" w:type="pct"/>
            <w:vAlign w:val="center"/>
            <w:textDirection w:val="lrTb"/>
            <w:noWrap w:val="false"/>
          </w:tcPr>
          <w:p>
            <w:pPr>
              <w:ind w:left="0"/>
              <w:widowControl w:val="off"/>
              <w:rPr>
                <w:rFonts w:ascii="宋体" w:hAnsi="宋体"/>
                <w:sz w:val="22"/>
                <w:szCs w:val="22"/>
              </w:rPr>
            </w:pPr>
            <w:r>
              <w:rPr>
                <w:rFonts w:hint="eastAsia" w:ascii="宋体" w:hAnsi="宋体"/>
                <w:sz w:val="22"/>
                <w:szCs w:val="22"/>
              </w:rPr>
              <w:t xml:space="preserve">法定代表人（签字或盖章）：</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314" w:type="pct"/>
            <w:vAlign w:val="center"/>
            <w:textDirection w:val="lrTb"/>
            <w:noWrap w:val="false"/>
          </w:tcPr>
          <w:p>
            <w:pPr>
              <w:ind w:left="0"/>
              <w:widowControl w:val="off"/>
              <w:rPr>
                <w:rFonts w:ascii="宋体" w:hAnsi="宋体"/>
                <w:sz w:val="22"/>
                <w:szCs w:val="22"/>
              </w:rPr>
            </w:pPr>
            <w:r>
              <w:rPr>
                <w:rFonts w:hint="eastAsia" w:ascii="宋体" w:hAnsi="宋体"/>
                <w:sz w:val="22"/>
                <w:szCs w:val="22"/>
              </w:rPr>
              <w:t xml:space="preserve">法定代表人（签字或盖章）：</w:t>
            </w:r>
            <w:r/>
          </w:p>
        </w:tc>
      </w:tr>
      <w:tr>
        <w:trPr>
          <w:jc w:val="center"/>
          <w:trHeight w:val="769"/>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685" w:type="pct"/>
            <w:vAlign w:val="center"/>
            <w:textDirection w:val="lrTb"/>
            <w:noWrap w:val="false"/>
          </w:tcPr>
          <w:p>
            <w:pPr>
              <w:ind w:left="0"/>
              <w:widowControl w:val="off"/>
              <w:rPr>
                <w:rFonts w:ascii="宋体" w:hAnsi="宋体"/>
                <w:sz w:val="22"/>
                <w:szCs w:val="22"/>
              </w:rPr>
            </w:pPr>
            <w:r>
              <w:rPr>
                <w:rFonts w:hint="eastAsia" w:ascii="宋体" w:hAnsi="宋体"/>
                <w:sz w:val="22"/>
                <w:szCs w:val="22"/>
              </w:rPr>
              <w:t xml:space="preserve">委托代理人：</w:t>
            </w:r>
            <w:r/>
          </w:p>
          <w:p>
            <w:pPr>
              <w:ind w:left="0"/>
              <w:widowControl w:val="off"/>
              <w:rPr>
                <w:rFonts w:ascii="宋体" w:hAnsi="宋体"/>
                <w:sz w:val="22"/>
                <w:szCs w:val="22"/>
              </w:rPr>
            </w:pPr>
            <w:r>
              <w:rPr>
                <w:rFonts w:hint="eastAsia" w:ascii="宋体" w:hAnsi="宋体"/>
                <w:sz w:val="22"/>
                <w:szCs w:val="22"/>
              </w:rPr>
              <w:t xml:space="preserve">签约日期：</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314" w:type="pct"/>
            <w:vAlign w:val="center"/>
            <w:textDirection w:val="lrTb"/>
            <w:noWrap w:val="false"/>
          </w:tcPr>
          <w:p>
            <w:pPr>
              <w:ind w:left="0"/>
              <w:widowControl w:val="off"/>
              <w:rPr>
                <w:rFonts w:ascii="宋体" w:hAnsi="宋体"/>
                <w:sz w:val="22"/>
                <w:szCs w:val="22"/>
              </w:rPr>
            </w:pPr>
            <w:r>
              <w:rPr>
                <w:rFonts w:hint="eastAsia" w:ascii="宋体" w:hAnsi="宋体"/>
                <w:sz w:val="22"/>
                <w:szCs w:val="22"/>
              </w:rPr>
              <w:t xml:space="preserve">委托代理人：</w:t>
            </w:r>
            <w:r/>
          </w:p>
          <w:p>
            <w:pPr>
              <w:ind w:left="0"/>
              <w:widowControl w:val="off"/>
              <w:rPr>
                <w:rFonts w:ascii="宋体" w:hAnsi="宋体"/>
                <w:sz w:val="22"/>
                <w:szCs w:val="22"/>
              </w:rPr>
            </w:pPr>
            <w:r>
              <w:rPr>
                <w:rFonts w:hint="eastAsia" w:ascii="宋体" w:hAnsi="宋体"/>
                <w:sz w:val="22"/>
                <w:szCs w:val="22"/>
              </w:rPr>
              <w:t xml:space="preserve">签约日期：</w:t>
            </w:r>
            <w:r/>
          </w:p>
        </w:tc>
      </w:tr>
    </w:tbl>
    <w:p>
      <w:pPr>
        <w:ind w:left="0"/>
        <w:spacing w:line="360" w:lineRule="auto"/>
        <w:widowControl w:val="off"/>
        <w:rPr>
          <w:rFonts w:ascii="宋体" w:hAnsi="宋体"/>
          <w:sz w:val="21"/>
          <w:szCs w:val="21"/>
        </w:rPr>
      </w:pPr>
      <w:r>
        <w:rPr>
          <w:rFonts w:ascii="宋体" w:hAnsi="宋体"/>
          <w:sz w:val="21"/>
          <w:szCs w:val="21"/>
        </w:rPr>
      </w:r>
      <w:r/>
    </w:p>
    <w:p>
      <w:pPr>
        <w:pStyle w:val="1052"/>
        <w:ind w:left="400" w:firstLine="883"/>
        <w:rPr>
          <w:rFonts w:ascii="宋体" w:hAnsi="宋体"/>
          <w:b/>
          <w:sz w:val="44"/>
          <w:szCs w:val="22"/>
        </w:rPr>
      </w:pPr>
      <w:r>
        <w:rPr>
          <w:rFonts w:hint="eastAsia" w:ascii="宋体" w:hAnsi="宋体"/>
          <w:b/>
          <w:sz w:val="44"/>
          <w:szCs w:val="22"/>
        </w:rPr>
        <w:t xml:space="preserve"> </w:t>
      </w:r>
      <w:r/>
    </w:p>
    <w:p>
      <w:pPr>
        <w:rPr>
          <w:rFonts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br w:type="page" w:clear="all"/>
      </w:r>
      <w:r/>
    </w:p>
    <w:p>
      <w:pPr>
        <w:ind w:left="0" w:firstLine="422"/>
        <w:jc w:val="center"/>
        <w:spacing w:line="59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附件：履约验收方案</w:t>
      </w:r>
      <w:r/>
    </w:p>
    <w:p>
      <w:pPr>
        <w:spacing w:after="120"/>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一、验收程序</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1、在装备生产的关键环节（如装备生产调试期间），视情组织装备骨干、使用单位人员入厂开展节点验收，加强消防装备生产过程中质量控制。</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装备到货后，供应商应做好装备清理、性能测试、随车器材核对、装备自验和停放待验等准备工作，将《装备验收申请表》（附件1）及消防装备验收供应商提交资料清单（附件2）提交至支队相关使用单位申请验收。</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二、验收方法</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1、履约验收应对照合同文本以及投标文件响应逐条核查。</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2、测试验收应对照投标技术响应开展一致性核查和质量性能核查。</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一致性核查应对交付装备与投标文件约定的信息是否一致、装备组成部件和文件资料是否齐全开展逐项核查。</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质量性能核查应对交付装备的功能、性能指标进行实地测试后，与投标文件、检验报告等技术文本约定的信息进行核查。</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3、后勤装备部门验收时，视情组织抽样送专业机构检测。</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三、验收评定</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1、履约验收情况和测试验收情况均合格的方可评定为验收合格。</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2、履约验收情况经投标商务响应核查通过和检验报告、认证证书真实性核查通过的，方可评定为验收合格。</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3、测试验收情况经一致性核查、质量性能核查通过的，方可评定为验收合格。</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交付装备的名称、厂牌型号、数量规模、尺寸大小、性能参数等信息与采购合同、标书文件约定的信息一致，组成部件和文件资料齐全的，评定为一致性核查合格。</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交付装备的性能指标经过实地测试、检验报告证实或抽样送检合格，达到投标文件、检验报告等技术文本中性能指标要求的，评定为质量性能核查合格。</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4、合同约定交货期满后，整改次数不得超过2次，整改时限不得超过30天，质量未能达到投标文件承诺、供应商对存在的问题无法整改或整改超时限的，验收评定为不合格。</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附件：</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1、装备验收申请表</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2、消防装备验收供应商提交资料清单</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3、装备到货交付确认表</w:t>
      </w:r>
      <w:r/>
    </w:p>
    <w:p>
      <w:pPr>
        <w:ind w:left="0"/>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br w:type="page" w:clear="all"/>
      </w:r>
      <w:r/>
    </w:p>
    <w:p>
      <w:pPr>
        <w:ind w:left="0" w:firstLine="422"/>
        <w:spacing w:line="59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附件1：</w:t>
      </w:r>
      <w:r/>
    </w:p>
    <w:p>
      <w:pPr>
        <w:ind w:left="0" w:firstLine="420"/>
        <w:jc w:val="center"/>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装备验收申请表</w:t>
      </w:r>
      <w:r/>
    </w:p>
    <w:p>
      <w:pPr>
        <w:ind w:left="0" w:firstLine="63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我公司（盖章）下列产品已送达贵单位指定收货地点，验收资料准备完毕，现提出到货验收申请，请贵单位人员组织验收。</w:t>
      </w:r>
      <w:r/>
    </w:p>
    <w:tbl>
      <w:tblPr>
        <w:tblStyle w:val="1053"/>
        <w:tblW w:w="9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559"/>
        <w:gridCol w:w="2694"/>
        <w:gridCol w:w="992"/>
        <w:gridCol w:w="992"/>
        <w:gridCol w:w="906"/>
        <w:gridCol w:w="1504"/>
      </w:tblGrid>
      <w:tr>
        <w:trPr>
          <w:jc w:val="center"/>
        </w:trPr>
        <w:tc>
          <w:tcPr>
            <w:gridSpan w:val="2"/>
            <w:tcW w:w="2263"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项目/合同编号</w:t>
            </w:r>
            <w:r/>
          </w:p>
        </w:tc>
        <w:tc>
          <w:tcPr>
            <w:tcW w:w="2694"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装备名称</w:t>
            </w:r>
            <w:r/>
          </w:p>
        </w:tc>
        <w:tc>
          <w:tcPr>
            <w:tcW w:w="992"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数量</w:t>
            </w:r>
            <w:r/>
          </w:p>
        </w:tc>
        <w:tc>
          <w:tcPr>
            <w:tcW w:w="992"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单价</w:t>
            </w:r>
            <w:r/>
          </w:p>
        </w:tc>
        <w:tc>
          <w:tcPr>
            <w:tcW w:w="906"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总价</w:t>
            </w:r>
            <w:r/>
          </w:p>
        </w:tc>
        <w:tc>
          <w:tcPr>
            <w:tcW w:w="1504"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使用单位</w:t>
            </w:r>
            <w:r/>
          </w:p>
        </w:tc>
      </w:tr>
      <w:tr>
        <w:trPr>
          <w:jc w:val="center"/>
        </w:trPr>
        <w:tc>
          <w:tcPr>
            <w:gridSpan w:val="2"/>
            <w:tcW w:w="2263"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269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gridSpan w:val="2"/>
            <w:tcW w:w="2263"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269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gridSpan w:val="2"/>
            <w:tcW w:w="2263"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269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gridSpan w:val="2"/>
            <w:tcW w:w="2263"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269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gridSpan w:val="2"/>
            <w:tcW w:w="2263"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备注</w:t>
            </w:r>
            <w:r/>
          </w:p>
        </w:tc>
        <w:tc>
          <w:tcPr>
            <w:gridSpan w:val="5"/>
            <w:tcW w:w="7088"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如：车架号</w:t>
            </w:r>
            <w:r/>
          </w:p>
        </w:tc>
      </w:tr>
      <w:tr>
        <w:trPr>
          <w:jc w:val="center"/>
        </w:trPr>
        <w:tc>
          <w:tcPr>
            <w:gridSpan w:val="3"/>
            <w:tcW w:w="4957" w:type="dxa"/>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验收准备资料</w:t>
            </w:r>
            <w:r/>
          </w:p>
        </w:tc>
        <w:tc>
          <w:tcPr>
            <w:gridSpan w:val="4"/>
            <w:tcW w:w="4394"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是否齐全</w:t>
            </w:r>
            <w:r/>
          </w:p>
        </w:tc>
      </w:tr>
      <w:tr>
        <w:trPr>
          <w:jc w:val="center"/>
        </w:trPr>
        <w:tc>
          <w:tcPr>
            <w:tcW w:w="704"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gridSpan w:val="2"/>
            <w:tcW w:w="4253"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有效的检验报告原件、复印件</w:t>
            </w:r>
            <w:r/>
          </w:p>
        </w:tc>
        <w:tc>
          <w:tcPr>
            <w:tcW w:w="992" w:type="dxa"/>
            <w:vAlign w:val="center"/>
            <w:textDirection w:val="lrTb"/>
            <w:noWrap w:val="false"/>
          </w:tcPr>
          <w:p>
            <w:pPr>
              <w:ind w:left="0" w:firstLine="42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704"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p>
        </w:tc>
        <w:tc>
          <w:tcPr>
            <w:gridSpan w:val="2"/>
            <w:tcW w:w="4253"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生产合格证、出厂检验合格证及其复印件</w:t>
            </w:r>
            <w:r/>
          </w:p>
        </w:tc>
        <w:tc>
          <w:tcPr>
            <w:tcW w:w="992" w:type="dxa"/>
            <w:vAlign w:val="center"/>
            <w:textDirection w:val="lrTb"/>
            <w:noWrap w:val="false"/>
          </w:tcPr>
          <w:p>
            <w:pPr>
              <w:ind w:left="0" w:firstLine="42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704"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w:t>
            </w:r>
            <w:r/>
          </w:p>
        </w:tc>
        <w:tc>
          <w:tcPr>
            <w:gridSpan w:val="2"/>
            <w:tcW w:w="4253"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装备操作手册（产品说明书）、保养保修手册</w:t>
            </w:r>
            <w:r/>
          </w:p>
        </w:tc>
        <w:tc>
          <w:tcPr>
            <w:tcW w:w="992" w:type="dxa"/>
            <w:vAlign w:val="center"/>
            <w:textDirection w:val="lrTb"/>
            <w:noWrap w:val="false"/>
          </w:tcPr>
          <w:p>
            <w:pPr>
              <w:ind w:left="0" w:firstLine="42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704"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w:t>
            </w:r>
            <w:r/>
          </w:p>
        </w:tc>
        <w:tc>
          <w:tcPr>
            <w:gridSpan w:val="2"/>
            <w:tcW w:w="4253"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采购合同及投标文件中商务响应复印件</w:t>
            </w:r>
            <w:r/>
          </w:p>
        </w:tc>
        <w:tc>
          <w:tcPr>
            <w:tcW w:w="992" w:type="dxa"/>
            <w:vAlign w:val="center"/>
            <w:textDirection w:val="lrTb"/>
            <w:noWrap w:val="false"/>
          </w:tcPr>
          <w:p>
            <w:pPr>
              <w:ind w:left="0" w:firstLine="42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704"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w:t>
            </w:r>
            <w:r/>
          </w:p>
        </w:tc>
        <w:tc>
          <w:tcPr>
            <w:gridSpan w:val="2"/>
            <w:tcW w:w="4253"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其他验收有关资料</w:t>
            </w:r>
            <w:r/>
          </w:p>
        </w:tc>
        <w:tc>
          <w:tcPr>
            <w:tcW w:w="992" w:type="dxa"/>
            <w:vAlign w:val="center"/>
            <w:textDirection w:val="lrTb"/>
            <w:noWrap w:val="false"/>
          </w:tcPr>
          <w:p>
            <w:pPr>
              <w:ind w:left="0" w:firstLine="42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704"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gridSpan w:val="2"/>
            <w:tcW w:w="4253" w:type="dxa"/>
            <w:textDirection w:val="lrTb"/>
            <w:noWrap w:val="false"/>
          </w:tcPr>
          <w:p>
            <w:pPr>
              <w:ind w:left="0" w:firstLine="42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firstLine="42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704"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gridSpan w:val="2"/>
            <w:tcW w:w="4253" w:type="dxa"/>
            <w:textDirection w:val="lrTb"/>
            <w:noWrap w:val="false"/>
          </w:tcPr>
          <w:p>
            <w:pPr>
              <w:ind w:left="0" w:firstLine="42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firstLine="42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704"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gridSpan w:val="2"/>
            <w:tcW w:w="4253" w:type="dxa"/>
            <w:textDirection w:val="lrTb"/>
            <w:noWrap w:val="false"/>
          </w:tcPr>
          <w:p>
            <w:pPr>
              <w:ind w:left="0" w:firstLine="42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firstLine="42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704"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gridSpan w:val="2"/>
            <w:tcW w:w="4253" w:type="dxa"/>
            <w:textDirection w:val="lrTb"/>
            <w:noWrap w:val="false"/>
          </w:tcPr>
          <w:p>
            <w:pPr>
              <w:ind w:left="0" w:firstLine="42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firstLine="42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bl>
    <w:p>
      <w:pPr>
        <w:ind w:left="0" w:firstLine="420"/>
        <w:spacing w:line="590" w:lineRule="exact"/>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br w:type="page" w:clear="all"/>
      </w:r>
      <w:r/>
    </w:p>
    <w:p>
      <w:pPr>
        <w:ind w:left="0" w:firstLine="422"/>
        <w:spacing w:line="59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附件2：</w:t>
      </w:r>
      <w:r/>
    </w:p>
    <w:p>
      <w:pPr>
        <w:ind w:left="0" w:firstLine="420"/>
        <w:jc w:val="center"/>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消防装备验收供应商提交资料清单</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1、采购合同及投标文件中商务响应复印件；</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2、有效的检验报告原件、复印件；</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3、生产合格证、出厂检验合格证及其复印件；</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4、装备操作手册（产品说明书）、保养保修手册；</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5、其他按要求须提供的资料文本。</w:t>
      </w:r>
      <w:r/>
    </w:p>
    <w:p>
      <w:pPr>
        <w:ind w:left="0" w:firstLine="420"/>
        <w:spacing w:line="590" w:lineRule="exact"/>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ind w:left="0" w:firstLine="422"/>
        <w:spacing w:line="59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所有资料必须为中文，资料不齐全或不符合要求的不予验收。</w:t>
      </w:r>
      <w:r/>
    </w:p>
    <w:p>
      <w:pPr>
        <w:ind w:left="0" w:firstLine="422"/>
        <w:spacing w:line="590" w:lineRule="exact"/>
        <w:widowControl w:val="off"/>
        <w:rPr>
          <w:rFonts w:asciiTheme="minorEastAsia" w:hAnsiTheme="minorEastAsia" w:eastAsiaTheme="minorEastAsia" w:cstheme="minorEastAsia"/>
          <w:b/>
          <w:bCs/>
          <w:sz w:val="21"/>
          <w:szCs w:val="21"/>
        </w:rPr>
      </w:pPr>
      <w:r>
        <w:rPr>
          <w:rFonts w:asciiTheme="minorEastAsia" w:hAnsiTheme="minorEastAsia" w:eastAsiaTheme="minorEastAsia" w:cstheme="minorEastAsia"/>
          <w:b/>
          <w:bCs/>
          <w:sz w:val="21"/>
          <w:szCs w:val="21"/>
        </w:rPr>
      </w:r>
      <w:r/>
    </w:p>
    <w:p>
      <w:pPr>
        <w:ind w:left="0" w:firstLine="422"/>
        <w:spacing w:line="590" w:lineRule="exact"/>
        <w:widowControl w:val="off"/>
        <w:rPr>
          <w:rFonts w:asciiTheme="minorEastAsia" w:hAnsiTheme="minorEastAsia" w:eastAsiaTheme="minorEastAsia" w:cstheme="minorEastAsia"/>
          <w:b/>
          <w:bCs/>
          <w:sz w:val="21"/>
          <w:szCs w:val="21"/>
        </w:rPr>
      </w:pPr>
      <w:r>
        <w:rPr>
          <w:rFonts w:asciiTheme="minorEastAsia" w:hAnsiTheme="minorEastAsia" w:eastAsiaTheme="minorEastAsia" w:cstheme="minorEastAsia"/>
          <w:b/>
          <w:bCs/>
          <w:sz w:val="21"/>
          <w:szCs w:val="21"/>
        </w:rPr>
      </w:r>
      <w:r/>
    </w:p>
    <w:p>
      <w:pPr>
        <w:ind w:left="0" w:firstLine="422"/>
        <w:spacing w:line="590" w:lineRule="exact"/>
        <w:widowControl w:val="off"/>
        <w:rPr>
          <w:rFonts w:asciiTheme="minorEastAsia" w:hAnsiTheme="minorEastAsia" w:eastAsiaTheme="minorEastAsia" w:cstheme="minorEastAsia"/>
          <w:b/>
          <w:bCs/>
          <w:sz w:val="21"/>
          <w:szCs w:val="21"/>
        </w:rPr>
      </w:pPr>
      <w:r>
        <w:rPr>
          <w:rFonts w:asciiTheme="minorEastAsia" w:hAnsiTheme="minorEastAsia" w:eastAsiaTheme="minorEastAsia" w:cstheme="minorEastAsia"/>
          <w:b/>
          <w:bCs/>
          <w:sz w:val="21"/>
          <w:szCs w:val="21"/>
        </w:rPr>
      </w:r>
      <w:r/>
    </w:p>
    <w:p>
      <w:pPr>
        <w:ind w:left="0" w:firstLine="422"/>
        <w:spacing w:line="590" w:lineRule="exact"/>
        <w:widowControl w:val="off"/>
        <w:rPr>
          <w:rFonts w:asciiTheme="minorEastAsia" w:hAnsiTheme="minorEastAsia" w:eastAsiaTheme="minorEastAsia" w:cstheme="minorEastAsia"/>
          <w:b/>
          <w:bCs/>
          <w:sz w:val="21"/>
          <w:szCs w:val="21"/>
        </w:rPr>
      </w:pPr>
      <w:r>
        <w:rPr>
          <w:rFonts w:asciiTheme="minorEastAsia" w:hAnsiTheme="minorEastAsia" w:eastAsiaTheme="minorEastAsia" w:cstheme="minorEastAsia"/>
          <w:b/>
          <w:bCs/>
          <w:sz w:val="21"/>
          <w:szCs w:val="21"/>
        </w:rPr>
      </w:r>
      <w:r/>
    </w:p>
    <w:p>
      <w:pPr>
        <w:ind w:left="0" w:firstLine="422"/>
        <w:spacing w:line="590" w:lineRule="exact"/>
        <w:widowControl w:val="off"/>
        <w:rPr>
          <w:rFonts w:asciiTheme="minorEastAsia" w:hAnsiTheme="minorEastAsia" w:eastAsiaTheme="minorEastAsia" w:cstheme="minorEastAsia"/>
          <w:b/>
          <w:bCs/>
          <w:sz w:val="21"/>
          <w:szCs w:val="21"/>
        </w:rPr>
      </w:pPr>
      <w:r>
        <w:rPr>
          <w:rFonts w:asciiTheme="minorEastAsia" w:hAnsiTheme="minorEastAsia" w:eastAsiaTheme="minorEastAsia" w:cstheme="minorEastAsia"/>
          <w:b/>
          <w:bCs/>
          <w:sz w:val="21"/>
          <w:szCs w:val="21"/>
        </w:rPr>
      </w:r>
      <w:r/>
    </w:p>
    <w:p>
      <w:pPr>
        <w:ind w:left="0" w:firstLine="422"/>
        <w:spacing w:line="590" w:lineRule="exact"/>
        <w:widowControl w:val="off"/>
        <w:rPr>
          <w:rFonts w:asciiTheme="minorEastAsia" w:hAnsiTheme="minorEastAsia" w:eastAsiaTheme="minorEastAsia" w:cstheme="minorEastAsia"/>
          <w:b/>
          <w:bCs/>
          <w:sz w:val="21"/>
          <w:szCs w:val="21"/>
        </w:rPr>
      </w:pPr>
      <w:r>
        <w:rPr>
          <w:rFonts w:asciiTheme="minorEastAsia" w:hAnsiTheme="minorEastAsia" w:eastAsiaTheme="minorEastAsia" w:cstheme="minorEastAsia"/>
          <w:b/>
          <w:bCs/>
          <w:sz w:val="21"/>
          <w:szCs w:val="21"/>
        </w:rPr>
      </w:r>
      <w:r/>
    </w:p>
    <w:p>
      <w:pPr>
        <w:ind w:left="0" w:firstLine="422"/>
        <w:spacing w:line="590" w:lineRule="exact"/>
        <w:widowControl w:val="off"/>
        <w:rPr>
          <w:rFonts w:asciiTheme="minorEastAsia" w:hAnsiTheme="minorEastAsia" w:eastAsiaTheme="minorEastAsia" w:cstheme="minorEastAsia"/>
          <w:b/>
          <w:bCs/>
          <w:sz w:val="21"/>
          <w:szCs w:val="21"/>
        </w:rPr>
      </w:pPr>
      <w:r>
        <w:rPr>
          <w:rFonts w:asciiTheme="minorEastAsia" w:hAnsiTheme="minorEastAsia" w:eastAsiaTheme="minorEastAsia" w:cstheme="minorEastAsia"/>
          <w:b/>
          <w:bCs/>
          <w:sz w:val="21"/>
          <w:szCs w:val="21"/>
        </w:rPr>
      </w:r>
      <w:r/>
    </w:p>
    <w:p>
      <w:pPr>
        <w:ind w:left="0" w:firstLine="422"/>
        <w:spacing w:line="590" w:lineRule="exact"/>
        <w:widowControl w:val="off"/>
        <w:rPr>
          <w:rFonts w:asciiTheme="minorEastAsia" w:hAnsiTheme="minorEastAsia" w:eastAsiaTheme="minorEastAsia" w:cstheme="minorEastAsia"/>
          <w:b/>
          <w:bCs/>
          <w:sz w:val="21"/>
          <w:szCs w:val="21"/>
        </w:rPr>
      </w:pPr>
      <w:r>
        <w:rPr>
          <w:rFonts w:asciiTheme="minorEastAsia" w:hAnsiTheme="minorEastAsia" w:eastAsiaTheme="minorEastAsia" w:cstheme="minorEastAsia"/>
          <w:b/>
          <w:bCs/>
          <w:sz w:val="21"/>
          <w:szCs w:val="21"/>
        </w:rPr>
      </w:r>
      <w:r/>
    </w:p>
    <w:p>
      <w:pPr>
        <w:ind w:left="0" w:firstLine="422"/>
        <w:spacing w:line="590" w:lineRule="exact"/>
        <w:widowControl w:val="off"/>
        <w:rPr>
          <w:rFonts w:asciiTheme="minorEastAsia" w:hAnsiTheme="minorEastAsia" w:eastAsiaTheme="minorEastAsia" w:cstheme="minorEastAsia"/>
          <w:b/>
          <w:bCs/>
          <w:sz w:val="21"/>
          <w:szCs w:val="21"/>
        </w:rPr>
      </w:pPr>
      <w:r>
        <w:rPr>
          <w:rFonts w:asciiTheme="minorEastAsia" w:hAnsiTheme="minorEastAsia" w:eastAsiaTheme="minorEastAsia" w:cstheme="minorEastAsia"/>
          <w:b/>
          <w:bCs/>
          <w:sz w:val="21"/>
          <w:szCs w:val="21"/>
        </w:rPr>
      </w:r>
      <w:r/>
    </w:p>
    <w:p>
      <w:pPr>
        <w:ind w:left="0" w:firstLine="422"/>
        <w:spacing w:line="590" w:lineRule="exact"/>
        <w:widowControl w:val="off"/>
        <w:rPr>
          <w:rFonts w:asciiTheme="minorEastAsia" w:hAnsiTheme="minorEastAsia" w:eastAsiaTheme="minorEastAsia" w:cstheme="minorEastAsia"/>
          <w:b/>
          <w:bCs/>
          <w:sz w:val="21"/>
          <w:szCs w:val="21"/>
        </w:rPr>
      </w:pPr>
      <w:r>
        <w:rPr>
          <w:rFonts w:asciiTheme="minorEastAsia" w:hAnsiTheme="minorEastAsia" w:eastAsiaTheme="minorEastAsia" w:cstheme="minorEastAsia"/>
          <w:b/>
          <w:bCs/>
          <w:sz w:val="21"/>
          <w:szCs w:val="21"/>
        </w:rPr>
      </w:r>
      <w:r/>
    </w:p>
    <w:p>
      <w:pPr>
        <w:ind w:left="0" w:firstLine="422"/>
        <w:spacing w:line="590" w:lineRule="exact"/>
        <w:widowControl w:val="off"/>
        <w:rPr>
          <w:rFonts w:asciiTheme="minorEastAsia" w:hAnsiTheme="minorEastAsia" w:eastAsiaTheme="minorEastAsia" w:cstheme="minorEastAsia"/>
          <w:b/>
          <w:bCs/>
          <w:sz w:val="21"/>
          <w:szCs w:val="21"/>
        </w:rPr>
      </w:pPr>
      <w:r>
        <w:rPr>
          <w:rFonts w:asciiTheme="minorEastAsia" w:hAnsiTheme="minorEastAsia" w:eastAsiaTheme="minorEastAsia" w:cstheme="minorEastAsia"/>
          <w:b/>
          <w:bCs/>
          <w:sz w:val="21"/>
          <w:szCs w:val="21"/>
        </w:rPr>
      </w:r>
      <w:r/>
    </w:p>
    <w:p>
      <w:pPr>
        <w:ind w:left="0" w:firstLine="422"/>
        <w:spacing w:line="590" w:lineRule="exact"/>
        <w:widowControl w:val="off"/>
        <w:rPr>
          <w:rFonts w:asciiTheme="minorEastAsia" w:hAnsiTheme="minorEastAsia" w:eastAsiaTheme="minorEastAsia" w:cstheme="minorEastAsia"/>
          <w:b/>
          <w:bCs/>
          <w:sz w:val="21"/>
          <w:szCs w:val="21"/>
        </w:rPr>
      </w:pPr>
      <w:r>
        <w:rPr>
          <w:rFonts w:asciiTheme="minorEastAsia" w:hAnsiTheme="minorEastAsia" w:eastAsiaTheme="minorEastAsia" w:cstheme="minorEastAsia"/>
          <w:b/>
          <w:bCs/>
          <w:sz w:val="21"/>
          <w:szCs w:val="21"/>
        </w:rPr>
      </w:r>
      <w:r/>
    </w:p>
    <w:p>
      <w:pPr>
        <w:ind w:left="0"/>
        <w:spacing w:line="590" w:lineRule="exact"/>
        <w:widowControl w:val="off"/>
        <w:rPr>
          <w:rFonts w:asciiTheme="minorEastAsia" w:hAnsiTheme="minorEastAsia" w:eastAsiaTheme="minorEastAsia" w:cstheme="minorEastAsia"/>
          <w:b/>
          <w:bCs/>
          <w:sz w:val="21"/>
          <w:szCs w:val="21"/>
        </w:rPr>
      </w:pPr>
      <w:r>
        <w:rPr>
          <w:rFonts w:asciiTheme="minorEastAsia" w:hAnsiTheme="minorEastAsia" w:eastAsiaTheme="minorEastAsia" w:cstheme="minorEastAsia"/>
          <w:b/>
          <w:bCs/>
          <w:sz w:val="21"/>
          <w:szCs w:val="21"/>
        </w:rPr>
      </w:r>
      <w:r/>
    </w:p>
    <w:p>
      <w:pP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br w:type="page" w:clear="all"/>
      </w:r>
      <w:r/>
    </w:p>
    <w:p>
      <w:pPr>
        <w:ind w:left="0" w:firstLine="422"/>
        <w:spacing w:line="59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附件3：</w:t>
      </w:r>
      <w:r/>
    </w:p>
    <w:p>
      <w:pPr>
        <w:ind w:left="0" w:firstLine="420"/>
        <w:spacing w:line="590" w:lineRule="exact"/>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ind w:left="0" w:firstLine="420"/>
        <w:jc w:val="center"/>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苏州市消防救援支队装备到货交付时间确认表</w:t>
      </w:r>
      <w:r/>
    </w:p>
    <w:p>
      <w:pPr>
        <w:ind w:left="0" w:firstLine="420"/>
        <w:jc w:val="center"/>
        <w:spacing w:line="590" w:lineRule="exact"/>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bl>
      <w:tblPr>
        <w:tblStyle w:val="105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63"/>
        <w:gridCol w:w="1560"/>
        <w:gridCol w:w="1134"/>
        <w:gridCol w:w="1417"/>
        <w:gridCol w:w="1276"/>
        <w:gridCol w:w="1184"/>
      </w:tblGrid>
      <w:tr>
        <w:trPr>
          <w:jc w:val="center"/>
        </w:trPr>
        <w:tc>
          <w:tcPr>
            <w:tcW w:w="2263"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项目/合同编号</w:t>
            </w:r>
            <w:r/>
          </w:p>
        </w:tc>
        <w:tc>
          <w:tcPr>
            <w:tcW w:w="1560"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装备名称</w:t>
            </w:r>
            <w:r/>
          </w:p>
        </w:tc>
        <w:tc>
          <w:tcPr>
            <w:tcW w:w="1134"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数量</w:t>
            </w:r>
            <w:r/>
          </w:p>
        </w:tc>
        <w:tc>
          <w:tcPr>
            <w:tcW w:w="1417"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单价</w:t>
            </w:r>
            <w:r/>
          </w:p>
        </w:tc>
        <w:tc>
          <w:tcPr>
            <w:tcW w:w="1276"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总价</w:t>
            </w:r>
            <w:r/>
          </w:p>
        </w:tc>
        <w:tc>
          <w:tcPr>
            <w:tcW w:w="1184"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备注</w:t>
            </w:r>
            <w:r/>
          </w:p>
        </w:tc>
      </w:tr>
      <w:tr>
        <w:trPr>
          <w:jc w:val="center"/>
        </w:trPr>
        <w:tc>
          <w:tcPr>
            <w:tcW w:w="2263"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60"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17"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276"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8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60"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17"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276"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8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60"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17"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276"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8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60"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17"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276"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8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60"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17"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276"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8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60"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17"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276"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8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60"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17"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276"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8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60"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17"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276"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8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60"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17"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276"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8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60"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17"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276"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8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供应厂商</w:t>
            </w:r>
            <w:r/>
          </w:p>
        </w:tc>
        <w:tc>
          <w:tcPr>
            <w:tcW w:w="1560"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使用单位</w:t>
            </w:r>
            <w:r/>
          </w:p>
        </w:tc>
        <w:tc>
          <w:tcPr>
            <w:gridSpan w:val="3"/>
            <w:tcW w:w="3877"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Height w:val="1060"/>
        </w:trPr>
        <w:tc>
          <w:tcPr>
            <w:tcW w:w="2263"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合同交货时间</w:t>
            </w:r>
            <w:r/>
          </w:p>
        </w:tc>
        <w:tc>
          <w:tcPr>
            <w:tcW w:w="1560"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vMerge w:val="restart"/>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供应商（厂家）签名</w:t>
            </w:r>
            <w:r/>
          </w:p>
        </w:tc>
        <w:tc>
          <w:tcPr>
            <w:gridSpan w:val="3"/>
            <w:tcW w:w="3877" w:type="dxa"/>
            <w:vAlign w:val="center"/>
            <w:vMerge w:val="restart"/>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Height w:val="812"/>
        </w:trPr>
        <w:tc>
          <w:tcPr>
            <w:tcW w:w="2263"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实际到货时间</w:t>
            </w:r>
            <w:r/>
          </w:p>
        </w:tc>
        <w:tc>
          <w:tcPr>
            <w:tcW w:w="1560"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vMerge w:val="continue"/>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gridSpan w:val="3"/>
            <w:tcW w:w="3877" w:type="dxa"/>
            <w:vAlign w:val="center"/>
            <w:vMerge w:val="continue"/>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使用单位</w:t>
            </w:r>
            <w:r/>
          </w:p>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确认意见</w:t>
            </w:r>
            <w:r/>
          </w:p>
        </w:tc>
        <w:tc>
          <w:tcPr>
            <w:gridSpan w:val="5"/>
            <w:tcW w:w="6571"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备注</w:t>
            </w:r>
            <w:r/>
          </w:p>
        </w:tc>
        <w:tc>
          <w:tcPr>
            <w:gridSpan w:val="5"/>
            <w:tcW w:w="6571"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bl>
    <w:p>
      <w:pPr>
        <w:ind w:left="0"/>
        <w:widowControl w:val="off"/>
        <w:rPr>
          <w:rFonts w:cs="Times New Roman"/>
          <w:sz w:val="21"/>
          <w:szCs w:val="22"/>
        </w:rPr>
      </w:pPr>
      <w:r>
        <w:rPr>
          <w:rFonts w:cs="Times New Roman"/>
          <w:sz w:val="21"/>
          <w:szCs w:val="22"/>
        </w:rPr>
      </w:r>
      <w:r/>
    </w:p>
    <w:p>
      <w:pPr>
        <w:pStyle w:val="1052"/>
        <w:ind w:left="400" w:firstLine="883"/>
        <w:rPr>
          <w:rFonts w:ascii="宋体" w:hAnsi="宋体"/>
          <w:b/>
          <w:sz w:val="44"/>
          <w:szCs w:val="22"/>
        </w:rPr>
      </w:pPr>
      <w:r>
        <w:rPr>
          <w:rFonts w:hint="eastAsia" w:ascii="宋体" w:hAnsi="宋体"/>
          <w:b/>
          <w:sz w:val="44"/>
          <w:szCs w:val="22"/>
        </w:rPr>
        <w:br w:type="page" w:clear="all"/>
      </w:r>
      <w:r/>
    </w:p>
    <w:p>
      <w:pPr>
        <w:pStyle w:val="994"/>
        <w:ind w:left="0" w:firstLine="0"/>
        <w:jc w:val="center"/>
        <w:rPr>
          <w:rFonts w:ascii="宋体" w:hAnsi="宋体"/>
          <w:b/>
          <w:sz w:val="44"/>
          <w:szCs w:val="22"/>
        </w:rPr>
      </w:pPr>
      <w:r/>
      <w:bookmarkStart w:id="105" w:name="_Toc105397795"/>
      <w:r>
        <w:rPr>
          <w:rFonts w:hint="eastAsia" w:ascii="宋体" w:hAnsi="宋体"/>
          <w:b/>
          <w:sz w:val="44"/>
          <w:szCs w:val="22"/>
        </w:rPr>
        <w:t xml:space="preserve">第六章 </w:t>
      </w:r>
      <w:bookmarkStart w:id="106" w:name="评分要点"/>
      <w:r/>
      <w:bookmarkEnd w:id="106"/>
      <w:r>
        <w:rPr>
          <w:rFonts w:hint="eastAsia" w:ascii="宋体" w:hAnsi="宋体"/>
          <w:b/>
          <w:sz w:val="44"/>
          <w:szCs w:val="22"/>
        </w:rPr>
        <w:t xml:space="preserve"> 评标办法和评分标准</w:t>
      </w:r>
      <w:bookmarkEnd w:id="102"/>
      <w:r/>
      <w:bookmarkEnd w:id="103"/>
      <w:r/>
      <w:bookmarkEnd w:id="104"/>
      <w:r/>
      <w:bookmarkEnd w:id="105"/>
      <w:r/>
      <w:r/>
    </w:p>
    <w:p>
      <w:pPr>
        <w:ind w:left="0" w:firstLine="422"/>
        <w:spacing w:line="360" w:lineRule="auto"/>
        <w:rPr>
          <w:rFonts w:ascii="宋体" w:hAnsi="宋体"/>
          <w:b/>
          <w:sz w:val="21"/>
          <w:szCs w:val="21"/>
        </w:rPr>
      </w:pPr>
      <w:r/>
      <w:bookmarkStart w:id="107" w:name="_Toc17476"/>
      <w:r/>
      <w:bookmarkStart w:id="108" w:name="_Toc698"/>
      <w:r/>
      <w:bookmarkStart w:id="109" w:name="_Toc16264"/>
      <w:r>
        <w:rPr>
          <w:rFonts w:hint="eastAsia" w:ascii="宋体" w:hAnsi="宋体"/>
          <w:b/>
          <w:sz w:val="21"/>
          <w:szCs w:val="21"/>
        </w:rPr>
        <w:t xml:space="preserve">一、评标办法：</w:t>
      </w:r>
      <w:bookmarkEnd w:id="107"/>
      <w:r/>
      <w:bookmarkEnd w:id="108"/>
      <w:r/>
      <w:bookmarkEnd w:id="109"/>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b/>
          <w:sz w:val="21"/>
          <w:szCs w:val="21"/>
        </w:rPr>
      </w:pPr>
      <w:r>
        <w:rPr>
          <w:rFonts w:ascii="宋体" w:hAnsi="宋体"/>
          <w:sz w:val="21"/>
        </w:rPr>
        <w:t xml:space="preserve">5</w:t>
      </w:r>
      <w:r>
        <w:rPr>
          <w:rFonts w:hint="eastAsia" w:ascii="宋体" w:hAnsi="宋体"/>
          <w:sz w:val="21"/>
        </w:rPr>
        <w:t xml:space="preserve">.针对中小型企业、残疾人福利企业和监狱企业的评审：</w:t>
      </w:r>
      <w:r/>
    </w:p>
    <w:p>
      <w:pPr>
        <w:ind w:left="0" w:firstLine="420"/>
        <w:spacing w:line="360" w:lineRule="auto"/>
        <w:rPr>
          <w:rFonts w:ascii="宋体" w:hAnsi="宋体"/>
          <w:b/>
          <w:bCs/>
          <w:sz w:val="21"/>
          <w:szCs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江苏省财政厅关于进一步加大政府采购支持中小企业力度的通知》（苏财购〔2022〕45号）的有关规定，</w:t>
      </w:r>
      <w:r>
        <w:rPr>
          <w:rFonts w:hint="eastAsia" w:ascii="宋体" w:hAnsi="宋体"/>
          <w:b/>
          <w:bCs/>
          <w:sz w:val="21"/>
          <w:szCs w:val="21"/>
        </w:rPr>
        <w:t xml:space="preserve">本项目为专门面向中小企业采购的项目，不再执行价格评审优惠的扶持政策。</w:t>
      </w:r>
      <w:r/>
    </w:p>
    <w:p>
      <w:pPr>
        <w:ind w:left="0" w:firstLine="420"/>
        <w:spacing w:line="360" w:lineRule="auto"/>
        <w:rPr>
          <w:rFonts w:ascii="宋体" w:hAnsi="宋体"/>
          <w:b/>
          <w:bCs/>
          <w:sz w:val="21"/>
          <w:szCs w:val="21"/>
        </w:rPr>
      </w:pPr>
      <w:r>
        <w:rPr>
          <w:rFonts w:hint="eastAsia" w:ascii="宋体" w:hAnsi="宋体"/>
          <w:bCs/>
          <w:sz w:val="21"/>
        </w:rPr>
        <w:t xml:space="preserve">投标人必须提供《中小企业声明函》或《残疾人福利性单位声明函》或由省级以上监狱管理局、戒毒管理局（含新疆生产建设兵团）出具</w:t>
      </w:r>
      <w:r>
        <w:rPr>
          <w:rFonts w:hint="eastAsia" w:ascii="宋体" w:hAnsi="宋体"/>
          <w:sz w:val="21"/>
        </w:rPr>
        <w:t xml:space="preserve">的属于监狱企业的证明文件。</w:t>
      </w:r>
      <w:r>
        <w:rPr>
          <w:rFonts w:hint="eastAsia" w:ascii="宋体" w:hAnsi="宋体"/>
          <w:b/>
          <w:bCs/>
          <w:sz w:val="21"/>
          <w:szCs w:val="21"/>
        </w:rPr>
        <w:t xml:space="preserve">投标人提供的货物既有中小企业制造货物，也有大型企业制造货物的，不享受中小企业扶持政策。</w:t>
      </w:r>
      <w:r/>
    </w:p>
    <w:p>
      <w:pPr>
        <w:ind w:left="0" w:firstLine="420"/>
        <w:spacing w:line="360" w:lineRule="auto"/>
        <w:rPr>
          <w:rFonts w:ascii="宋体" w:hAnsi="宋体"/>
          <w:sz w:val="21"/>
        </w:rPr>
      </w:pPr>
      <w:r>
        <w:rPr>
          <w:rFonts w:ascii="宋体" w:hAnsi="宋体"/>
          <w:sz w:val="21"/>
        </w:rPr>
        <w:t xml:space="preserve">6.</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10" w:name="OLE_LINK25"/>
      <w:r/>
      <w:bookmarkStart w:id="111" w:name="OLE_LINK17"/>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sz w:val="21"/>
          <w:szCs w:val="21"/>
        </w:rPr>
        <w:t xml:space="preserve">3</w:t>
      </w:r>
      <w:r>
        <w:rPr>
          <w:rFonts w:hint="eastAsia" w:ascii="宋体" w:hAnsi="宋体"/>
          <w:sz w:val="21"/>
          <w:szCs w:val="21"/>
        </w:rPr>
        <w:t xml:space="preserve">公开分项报价”中填写比例数值），依法对该供应商提供的全部产品给予价格评审优惠，即对该供应商提供的全部产品的总报价给予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12"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10"/>
      <w:r/>
      <w:bookmarkEnd w:id="111"/>
      <w:r/>
      <w:bookmarkEnd w:id="112"/>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05"/>
      </w:pPr>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1005"/>
      </w:pPr>
      <w:r/>
      <w:r/>
    </w:p>
    <w:p>
      <w:pPr>
        <w:pStyle w:val="1011"/>
        <w:rPr>
          <w:rFonts w:ascii="宋体" w:hAnsi="宋体" w:cs="Times New Roman"/>
        </w:rPr>
      </w:pPr>
      <w:r>
        <w:rPr>
          <w:rFonts w:ascii="宋体" w:hAnsi="宋体" w:cs="Times New Roman"/>
        </w:rPr>
      </w:r>
      <w:r/>
    </w:p>
    <w:p>
      <w:r/>
      <w:r/>
    </w:p>
    <w:p>
      <w:pPr>
        <w:pStyle w:val="1005"/>
      </w:pPr>
      <w:r/>
      <w:r/>
    </w:p>
    <w:p>
      <w:r/>
      <w:r/>
    </w:p>
    <w:p>
      <w:pPr>
        <w:pStyle w:val="1005"/>
      </w:pPr>
      <w:r/>
      <w:r/>
    </w:p>
    <w:p>
      <w:r/>
      <w:r/>
    </w:p>
    <w:p>
      <w:pPr>
        <w:pStyle w:val="1005"/>
      </w:pPr>
      <w:r/>
      <w:r/>
    </w:p>
    <w:p>
      <w:r/>
      <w:r/>
    </w:p>
    <w:p>
      <w:pPr>
        <w:pStyle w:val="1005"/>
      </w:pPr>
      <w:r/>
      <w:r/>
    </w:p>
    <w:p>
      <w:r/>
      <w:r/>
    </w:p>
    <w:p>
      <w:pPr>
        <w:pStyle w:val="1005"/>
      </w:pPr>
      <w:r/>
      <w:r/>
    </w:p>
    <w:p>
      <w:pPr>
        <w:ind w:left="0" w:firstLine="422"/>
        <w:spacing w:line="360" w:lineRule="auto"/>
        <w:rPr>
          <w:rFonts w:ascii="宋体" w:hAnsi="宋体" w:cs="Times New Roman"/>
          <w:b/>
          <w:sz w:val="21"/>
          <w:szCs w:val="21"/>
        </w:rPr>
      </w:pPr>
      <w:r>
        <w:rPr>
          <w:rFonts w:hint="eastAsia" w:ascii="宋体" w:hAnsi="宋体" w:cs="Times New Roman"/>
          <w:b/>
          <w:sz w:val="21"/>
          <w:szCs w:val="21"/>
        </w:rPr>
        <w:t xml:space="preserve">二、评分标准：</w:t>
      </w:r>
      <w:r/>
    </w:p>
    <w:p>
      <w:pPr>
        <w:ind w:left="0" w:firstLine="422"/>
        <w:spacing w:line="360" w:lineRule="auto"/>
        <w:outlineLvl w:val="0"/>
      </w:pPr>
      <w:r>
        <w:rPr>
          <w:rFonts w:hint="eastAsia" w:ascii="宋体" w:hAnsi="宋体" w:cs="Times New Roman"/>
          <w:b/>
          <w:sz w:val="21"/>
          <w:szCs w:val="21"/>
        </w:rPr>
        <w:t xml:space="preserve">包一：</w:t>
      </w:r>
      <w:r/>
    </w:p>
    <w:tbl>
      <w:tblPr>
        <w:tblStyle w:val="1004"/>
        <w:tblpPr w:horzAnchor="text" w:tblpXSpec="left" w:vertAnchor="text" w:tblpY="1" w:leftFromText="180" w:topFromText="0" w:rightFromText="180" w:bottomFromText="0"/>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30</w:t>
            </w:r>
            <w:r>
              <w:rPr>
                <w:rFonts w:hint="eastAsia" w:ascii="宋体" w:hAnsi="宋体" w:cs="Tahoma"/>
                <w:b/>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szCs w:val="21"/>
                <w:lang w:bidi="ar"/>
              </w:rPr>
            </w:pPr>
            <w:r>
              <w:rPr>
                <w:rFonts w:hint="eastAsia" w:ascii="宋体" w:hAnsi="宋体"/>
                <w:sz w:val="21"/>
                <w:szCs w:val="21"/>
                <w:lang w:bidi="ar"/>
              </w:rPr>
              <w:t xml:space="preserve">投标报价得分＝（评标基准价/投标报价）×30％×100</w:t>
            </w:r>
            <w:r/>
          </w:p>
        </w:tc>
        <w:tc>
          <w:tcPr>
            <w:tcW w:w="2410" w:type="dxa"/>
            <w:vAlign w:val="center"/>
            <w:textDirection w:val="lrTb"/>
            <w:noWrap w:val="false"/>
          </w:tcPr>
          <w:p>
            <w:pPr>
              <w:ind w:left="0"/>
              <w:jc w:val="center"/>
              <w:widowControl w:val="off"/>
              <w:rPr>
                <w:rFonts w:ascii="宋体" w:hAnsi="宋体" w:cs="Tahoma"/>
                <w:sz w:val="21"/>
                <w:szCs w:val="21"/>
              </w:rPr>
            </w:pPr>
            <w:r>
              <w:rPr>
                <w:rFonts w:hint="eastAsia" w:ascii="宋体" w:hAnsi="宋体"/>
                <w:sz w:val="21"/>
                <w:szCs w:val="21"/>
                <w:lang w:bidi="ar"/>
              </w:rPr>
              <w:t xml:space="preserve">3</w:t>
            </w:r>
            <w:r>
              <w:rPr>
                <w:rFonts w:ascii="宋体" w:hAnsi="宋体"/>
                <w:sz w:val="21"/>
                <w:szCs w:val="21"/>
                <w:lang w:bidi="ar"/>
              </w:rPr>
              <w:t xml:space="preserve">0</w:t>
            </w:r>
            <w:r/>
          </w:p>
          <w:p>
            <w:pPr>
              <w:ind w:left="0"/>
              <w:widowControl w:val="off"/>
              <w:rPr>
                <w:rFonts w:ascii="宋体" w:hAnsi="宋体" w:cs="Tahoma"/>
                <w:sz w:val="21"/>
                <w:szCs w:val="21"/>
              </w:rPr>
            </w:pPr>
            <w:r>
              <w:rPr>
                <w:rFonts w:ascii="宋体" w:hAnsi="宋体" w:cs="Tahoma"/>
                <w:sz w:val="21"/>
                <w:szCs w:val="21"/>
              </w:rPr>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70</w:t>
            </w:r>
            <w:r>
              <w:rPr>
                <w:rFonts w:hint="eastAsia" w:ascii="宋体" w:hAnsi="宋体" w:cs="Tahoma"/>
                <w:b/>
                <w:sz w:val="21"/>
                <w:szCs w:val="21"/>
              </w:rPr>
              <w:t xml:space="preserve">分）</w:t>
            </w:r>
            <w:r/>
          </w:p>
        </w:tc>
        <w:tc>
          <w:tcPr>
            <w:tcW w:w="1417" w:type="dxa"/>
            <w:vAlign w:val="center"/>
            <w:textDirection w:val="lrTb"/>
            <w:noWrap w:val="false"/>
          </w:tcPr>
          <w:p>
            <w:pPr>
              <w:ind w:left="0"/>
              <w:jc w:val="center"/>
              <w:rPr>
                <w:rFonts w:ascii="宋体" w:hAnsi="宋体" w:cs="Tahoma"/>
                <w:sz w:val="21"/>
                <w:szCs w:val="21"/>
              </w:rPr>
            </w:pPr>
            <w:r>
              <w:rPr>
                <w:rFonts w:hint="eastAsia" w:ascii="宋体" w:hAnsi="宋体"/>
                <w:b/>
                <w:bCs/>
                <w:sz w:val="21"/>
              </w:rPr>
              <w:t xml:space="preserve">▲</w:t>
            </w:r>
            <w:r>
              <w:rPr>
                <w:rFonts w:hint="eastAsia" w:ascii="宋体" w:hAnsi="宋体"/>
                <w:sz w:val="21"/>
                <w:szCs w:val="21"/>
              </w:rPr>
              <w:t xml:space="preserve">技术参数</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1.投标人所投设备产品“▲”重要技术参数（技术参数要求共9项）完全满足招标文件要求的得满分27分，每负偏离一项扣3分，扣完27分止；</w:t>
            </w:r>
            <w:r/>
          </w:p>
          <w:p>
            <w:pPr>
              <w:ind w:left="0"/>
              <w:widowControl w:val="off"/>
              <w:rPr>
                <w:rFonts w:ascii="宋体" w:hAnsi="宋体"/>
                <w:b/>
                <w:bCs/>
                <w:sz w:val="21"/>
                <w:szCs w:val="21"/>
                <w:lang w:bidi="ar"/>
              </w:rPr>
            </w:pPr>
            <w:r>
              <w:rPr>
                <w:rFonts w:hint="eastAsia" w:ascii="宋体" w:hAnsi="宋体"/>
                <w:b/>
                <w:bCs/>
                <w:sz w:val="21"/>
                <w:szCs w:val="21"/>
                <w:lang w:bidi="ar"/>
              </w:rPr>
              <w:t xml:space="preserve">注：技术参数响应指标与检验报告（采购需求中若要求提供时）或样品（采购需求中若要求提供时）实际参数或标书内其他支持文件不一致的属于负偏离。</w:t>
            </w:r>
            <w:r/>
          </w:p>
          <w:p>
            <w:pPr>
              <w:ind w:left="0"/>
              <w:widowControl w:val="off"/>
              <w:rPr>
                <w:rFonts w:ascii="宋体" w:hAnsi="宋体"/>
                <w:sz w:val="21"/>
                <w:szCs w:val="21"/>
                <w:lang w:bidi="ar"/>
              </w:rPr>
            </w:pPr>
            <w:r>
              <w:rPr>
                <w:rFonts w:hint="eastAsia" w:ascii="宋体" w:hAnsi="宋体"/>
                <w:sz w:val="21"/>
                <w:szCs w:val="21"/>
                <w:lang w:bidi="ar"/>
              </w:rPr>
              <w:t xml:space="preserve">2.投标人对所投产品一般技术参数（技术参数要求共40项非“▲”“★”参数）完全满足招标文件要求的得满分10分，每负偏离1项扣0.25 分，扣完10分止。</w:t>
            </w:r>
            <w:r/>
          </w:p>
          <w:p>
            <w:pPr>
              <w:ind w:left="0"/>
              <w:widowControl w:val="off"/>
              <w:rPr>
                <w:rFonts w:ascii="宋体" w:hAnsi="宋体"/>
                <w:b/>
                <w:bCs/>
                <w:sz w:val="21"/>
                <w:szCs w:val="21"/>
                <w:lang w:bidi="ar"/>
              </w:rPr>
            </w:pPr>
            <w:r>
              <w:rPr>
                <w:rFonts w:hint="eastAsia" w:ascii="宋体" w:hAnsi="宋体"/>
                <w:b/>
                <w:bCs/>
                <w:sz w:val="21"/>
                <w:szCs w:val="21"/>
                <w:lang w:bidi="ar"/>
              </w:rPr>
              <w:t xml:space="preserve">注：</w:t>
            </w:r>
            <w:r/>
          </w:p>
          <w:p>
            <w:pPr>
              <w:ind w:left="0"/>
              <w:widowControl w:val="off"/>
              <w:rPr>
                <w:rFonts w:ascii="宋体" w:hAnsi="宋体"/>
                <w:b/>
                <w:bCs/>
                <w:sz w:val="21"/>
                <w:szCs w:val="21"/>
                <w:lang w:bidi="ar"/>
              </w:rPr>
            </w:pPr>
            <w:r>
              <w:rPr>
                <w:rFonts w:hint="eastAsia" w:ascii="宋体" w:hAnsi="宋体"/>
                <w:b/>
                <w:bCs/>
                <w:sz w:val="21"/>
                <w:szCs w:val="21"/>
                <w:lang w:bidi="ar"/>
              </w:rPr>
              <w:t xml:space="preserve">1.一般技术参数响应条款如有缺、漏项的，则该项视为负偏离；</w:t>
            </w:r>
            <w:r/>
          </w:p>
          <w:p>
            <w:pPr>
              <w:ind w:left="0"/>
              <w:widowControl w:val="off"/>
              <w:rPr>
                <w:rFonts w:ascii="宋体" w:hAnsi="宋体"/>
                <w:sz w:val="21"/>
                <w:szCs w:val="21"/>
                <w:lang w:bidi="ar"/>
              </w:rPr>
            </w:pPr>
            <w:r>
              <w:rPr>
                <w:rFonts w:hint="eastAsia" w:ascii="宋体" w:hAnsi="宋体"/>
                <w:b/>
                <w:bCs/>
                <w:sz w:val="21"/>
                <w:szCs w:val="21"/>
                <w:lang w:bidi="ar"/>
              </w:rPr>
              <w:t xml:space="preserve">2.技术参数响应指标与检验报告（采购需求中若要求提供时）或样品（采购需求中若要求提供时）实际参数或标书内其他支持文件不一致的属于负偏离。</w:t>
            </w:r>
            <w:r/>
          </w:p>
        </w:tc>
        <w:tc>
          <w:tcPr>
            <w:tcW w:w="241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37</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样品</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结合投标人提供的各类别产品样品与招标文件采购需求的“点对点”响应性：</w:t>
            </w:r>
            <w:r/>
          </w:p>
          <w:p>
            <w:pPr>
              <w:ind w:left="0"/>
              <w:widowControl w:val="off"/>
              <w:rPr>
                <w:rFonts w:ascii="宋体" w:hAnsi="宋体"/>
                <w:sz w:val="21"/>
                <w:szCs w:val="21"/>
                <w:lang w:bidi="ar"/>
              </w:rPr>
            </w:pPr>
            <w:r>
              <w:rPr>
                <w:rFonts w:hint="eastAsia" w:ascii="宋体" w:hAnsi="宋体"/>
                <w:sz w:val="21"/>
                <w:szCs w:val="21"/>
                <w:lang w:bidi="ar"/>
              </w:rPr>
              <w:t xml:space="preserve">1.对工艺制作细节进行评测。样品工艺组装精细，部件之间衔接紧密，标志准确清晰。</w:t>
            </w:r>
            <w:r/>
          </w:p>
          <w:p>
            <w:pPr>
              <w:ind w:left="0"/>
              <w:widowControl w:val="off"/>
              <w:rPr>
                <w:rFonts w:ascii="宋体" w:hAnsi="宋体"/>
                <w:sz w:val="21"/>
                <w:szCs w:val="21"/>
                <w:lang w:bidi="ar"/>
              </w:rPr>
            </w:pPr>
            <w:r>
              <w:rPr>
                <w:rFonts w:hint="eastAsia" w:ascii="宋体" w:hAnsi="宋体"/>
                <w:sz w:val="21"/>
                <w:szCs w:val="21"/>
                <w:lang w:bidi="ar"/>
              </w:rPr>
              <w:t xml:space="preserve">2.对舒适性进行评测。使用舒适、合体、方便，对跑、爬、跳、蹲等使用过程中可能出现的动作没有限制。</w:t>
            </w:r>
            <w:r/>
          </w:p>
          <w:p>
            <w:pPr>
              <w:ind w:left="0"/>
              <w:widowControl w:val="off"/>
              <w:rPr>
                <w:rFonts w:ascii="宋体" w:hAnsi="宋体"/>
                <w:sz w:val="21"/>
                <w:szCs w:val="21"/>
                <w:lang w:bidi="ar"/>
              </w:rPr>
            </w:pPr>
            <w:r>
              <w:rPr>
                <w:rFonts w:hint="eastAsia" w:ascii="宋体" w:hAnsi="宋体"/>
                <w:sz w:val="21"/>
                <w:szCs w:val="21"/>
                <w:lang w:bidi="ar"/>
              </w:rPr>
              <w:t xml:space="preserve">3.对用材用料进行评测。用材用料结实耐用，粘合无脱胶及表面渗胶。</w:t>
            </w:r>
            <w:r/>
          </w:p>
          <w:p>
            <w:pPr>
              <w:ind w:left="0"/>
              <w:widowControl w:val="off"/>
              <w:rPr>
                <w:rFonts w:ascii="宋体" w:hAnsi="宋体"/>
                <w:sz w:val="21"/>
                <w:szCs w:val="21"/>
                <w:lang w:bidi="ar"/>
              </w:rPr>
            </w:pPr>
            <w:r>
              <w:rPr>
                <w:rFonts w:hint="eastAsia" w:ascii="宋体" w:hAnsi="宋体"/>
                <w:sz w:val="21"/>
                <w:szCs w:val="21"/>
                <w:lang w:bidi="ar"/>
              </w:rPr>
              <w:t xml:space="preserve">4.对使用性能或易用性进行测试，样品使用按键、旋钮等操作部件反馈灵敏准确、操作及界面设计方便操作。</w:t>
            </w:r>
            <w:r/>
          </w:p>
          <w:p>
            <w:pPr>
              <w:ind w:left="0"/>
              <w:widowControl w:val="off"/>
              <w:rPr>
                <w:rFonts w:hint="eastAsia" w:ascii="宋体" w:hAnsi="宋体" w:cs="Times New Roman"/>
                <w:sz w:val="21"/>
                <w:szCs w:val="21"/>
              </w:rPr>
            </w:pPr>
            <w:r>
              <w:rPr>
                <w:rFonts w:hint="eastAsia" w:ascii="宋体" w:hAnsi="宋体"/>
                <w:sz w:val="21"/>
                <w:szCs w:val="21"/>
                <w:lang w:bidi="ar"/>
              </w:rPr>
              <w:t xml:space="preserve">5.对外观配置进行评测。使用者可能触摸到的部件表面无锐利的棱角、无毛刺，款式、号型符合消防救援队伍标识统型要求。</w:t>
            </w:r>
            <w:r/>
          </w:p>
          <w:p>
            <w:pPr>
              <w:ind w:left="0"/>
              <w:widowControl w:val="off"/>
              <w:rPr>
                <w:rFonts w:hint="eastAsia" w:eastAsia="宋体"/>
                <w:lang w:eastAsia="zh-CN"/>
              </w:rPr>
            </w:pPr>
            <w:r>
              <w:rPr>
                <w:rFonts w:hint="eastAsia" w:ascii="宋体" w:hAnsi="宋体"/>
                <w:sz w:val="21"/>
                <w:szCs w:val="21"/>
                <w:lang w:bidi="ar"/>
              </w:rPr>
              <w:t xml:space="preserve">上述每项应逐条叙述，</w:t>
            </w:r>
            <w:r>
              <w:rPr>
                <w:rFonts w:hint="eastAsia" w:ascii="宋体" w:hAnsi="宋体" w:cs="Times New Roman"/>
                <w:sz w:val="21"/>
                <w:szCs w:val="21"/>
              </w:rPr>
              <w:t xml:space="preserve">做工精良、美观整洁得3分；做工一般、整洁性一般得1.5分</w:t>
            </w:r>
            <w:r>
              <w:rPr>
                <w:rFonts w:hint="eastAsia" w:ascii="宋体" w:hAnsi="宋体" w:cs="Times New Roman"/>
                <w:sz w:val="21"/>
                <w:szCs w:val="21"/>
                <w:lang w:eastAsia="zh-CN"/>
              </w:rPr>
              <w:t xml:space="preserve">。</w:t>
            </w:r>
            <w:r>
              <w:rPr>
                <w:rFonts w:hint="eastAsia" w:ascii="宋体" w:hAnsi="宋体"/>
                <w:sz w:val="21"/>
                <w:szCs w:val="21"/>
                <w:lang w:bidi="ar"/>
              </w:rPr>
              <w:t xml:space="preserve">本项最高得</w:t>
            </w:r>
            <w:r>
              <w:rPr>
                <w:rFonts w:hint="eastAsia" w:ascii="宋体" w:hAnsi="宋体"/>
                <w:sz w:val="21"/>
                <w:szCs w:val="21"/>
                <w:lang w:val="en-US" w:eastAsia="zh-CN" w:bidi="ar"/>
              </w:rPr>
              <w:t xml:space="preserve">15</w:t>
            </w:r>
            <w:r>
              <w:rPr>
                <w:rFonts w:hint="eastAsia" w:ascii="宋体" w:hAnsi="宋体"/>
                <w:sz w:val="21"/>
                <w:szCs w:val="21"/>
                <w:lang w:bidi="ar"/>
              </w:rPr>
              <w:t xml:space="preserve">分。</w:t>
            </w:r>
            <w:r/>
          </w:p>
          <w:p>
            <w:pPr>
              <w:ind w:left="0"/>
              <w:widowControl w:val="off"/>
              <w:rPr>
                <w:rFonts w:ascii="宋体" w:hAnsi="宋体"/>
                <w:sz w:val="21"/>
                <w:szCs w:val="21"/>
                <w:lang w:bidi="ar"/>
              </w:rPr>
            </w:pPr>
            <w:r>
              <w:rPr>
                <w:rFonts w:hint="eastAsia" w:ascii="宋体" w:hAnsi="宋体"/>
                <w:b/>
                <w:bCs/>
                <w:sz w:val="21"/>
                <w:szCs w:val="21"/>
                <w:lang w:bidi="ar"/>
              </w:rPr>
              <w:t xml:space="preserve">注：未按招标文件要求提交样品的不得分。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15</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lang w:bidi="ar"/>
              </w:rPr>
            </w:pPr>
            <w:r>
              <w:rPr>
                <w:rFonts w:hint="eastAsia" w:ascii="宋体" w:hAnsi="宋体"/>
                <w:sz w:val="21"/>
                <w:szCs w:val="22"/>
              </w:rPr>
              <w:t xml:space="preserve">培训方案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结合本项目采购需求，对投标人的培训方案（①培训时间计划及培训人员安排；②培训内容设计安排；③重点难点及培训结果保障措施）等进行综合评审：</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售后服务方案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本项目采购需求，对投标人的售后服务方案（①售后服务机构及人员网点配置；②响应时间；③零配件供应周期、备货储存、工时费等；④定期安排技术人员针对产品的使用环境、使用频率及更新等进行回访、巡检、维护、保养等方案）进行综合评审：</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1分；内容基本合理、具有一定的可行性、具有一定的操作性、与项目实际基本贴合的得0.5分；每项叙述内容完全脱离采购需求或未作完整叙述的不得分。本项最高得4分。</w:t>
            </w:r>
            <w:r/>
          </w:p>
        </w:tc>
        <w:tc>
          <w:tcPr>
            <w:tcW w:w="2410"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rPr>
              <w:t xml:space="preserve">4</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b/>
                <w:bCs/>
                <w:sz w:val="21"/>
              </w:rPr>
              <w:t xml:space="preserve">▲</w:t>
            </w:r>
            <w:r>
              <w:rPr>
                <w:rFonts w:hint="eastAsia" w:ascii="宋体" w:hAnsi="宋体"/>
                <w:sz w:val="21"/>
                <w:szCs w:val="21"/>
              </w:rPr>
              <w:t xml:space="preserve">延长质保</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投标人所投产品质保期响应招标文件最低要求（质保三年）基础上每增加一年加1分，最高得2分。</w:t>
            </w:r>
            <w:r/>
          </w:p>
          <w:p>
            <w:pPr>
              <w:ind w:left="0"/>
              <w:widowControl w:val="off"/>
              <w:rPr>
                <w:rFonts w:ascii="宋体" w:hAnsi="宋体"/>
                <w:sz w:val="21"/>
                <w:szCs w:val="21"/>
                <w:lang w:bidi="ar"/>
              </w:rPr>
            </w:pPr>
            <w:r>
              <w:rPr>
                <w:rFonts w:hint="eastAsia" w:ascii="宋体" w:hAnsi="宋体"/>
                <w:b/>
                <w:bCs/>
                <w:sz w:val="21"/>
                <w:szCs w:val="21"/>
                <w:lang w:bidi="ar"/>
              </w:rPr>
              <w:t xml:space="preserve">注：投标文件需提供加盖投标人公章的质保期承诺书，不提供则不得分。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 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lang w:bidi="ar"/>
              </w:rPr>
            </w:pPr>
            <w:r>
              <w:rPr>
                <w:rFonts w:hint="eastAsia" w:ascii="宋体" w:hAnsi="宋体"/>
                <w:b/>
                <w:bCs/>
                <w:sz w:val="21"/>
              </w:rPr>
              <w:t xml:space="preserve">▲</w:t>
            </w:r>
            <w:r>
              <w:rPr>
                <w:rFonts w:hint="eastAsia" w:ascii="宋体" w:hAnsi="宋体"/>
                <w:sz w:val="21"/>
                <w:szCs w:val="21"/>
                <w:lang w:bidi="ar"/>
              </w:rPr>
              <w:t xml:space="preserve">制造商授权、制造商原厂售后服务承诺</w:t>
            </w:r>
            <w:r/>
          </w:p>
        </w:tc>
        <w:tc>
          <w:tcPr>
            <w:tcW w:w="4678" w:type="dxa"/>
            <w:vAlign w:val="center"/>
            <w:textDirection w:val="lrTb"/>
            <w:noWrap w:val="false"/>
          </w:tcPr>
          <w:p>
            <w:pPr>
              <w:ind w:left="0"/>
              <w:widowControl w:val="off"/>
              <w:rPr>
                <w:rFonts w:ascii="宋体" w:hAnsi="宋体"/>
                <w:bCs/>
                <w:sz w:val="21"/>
                <w:szCs w:val="21"/>
                <w:lang w:bidi="ar"/>
              </w:rPr>
            </w:pPr>
            <w:r>
              <w:rPr>
                <w:rFonts w:hint="eastAsia" w:ascii="宋体" w:hAnsi="宋体"/>
                <w:bCs/>
                <w:sz w:val="21"/>
                <w:szCs w:val="21"/>
                <w:lang w:bidi="ar"/>
              </w:rPr>
              <w:t xml:space="preserve">若投标人为所投产品制造商的，提供制造商声明函及售后服务承诺函的得 2 分，未提供则不得分；</w:t>
            </w:r>
            <w:r/>
          </w:p>
          <w:p>
            <w:pPr>
              <w:ind w:left="0"/>
              <w:widowControl w:val="off"/>
              <w:rPr>
                <w:rStyle w:val="1059"/>
              </w:rPr>
            </w:pPr>
            <w:r>
              <w:rPr>
                <w:rFonts w:hint="eastAsia" w:ascii="宋体" w:hAnsi="宋体"/>
                <w:bCs/>
                <w:sz w:val="21"/>
                <w:szCs w:val="21"/>
                <w:lang w:bidi="ar"/>
              </w:rPr>
              <w:t xml:space="preserve">若投标人为所投产品代理商的，提供所投产品制造商授权函及原厂售后服务承诺函的得 2 分，未提供则不得分。</w:t>
            </w:r>
            <w:r/>
          </w:p>
          <w:p>
            <w:pPr>
              <w:ind w:left="0"/>
              <w:widowControl w:val="off"/>
              <w:rPr>
                <w:rFonts w:hint="default" w:ascii="宋体" w:hAnsi="宋体" w:eastAsia="宋体"/>
                <w:b/>
                <w:sz w:val="21"/>
                <w:szCs w:val="21"/>
                <w:lang w:val="en-US" w:eastAsia="zh-CN" w:bidi="ar"/>
              </w:rPr>
            </w:pPr>
            <w:r>
              <w:rPr>
                <w:rStyle w:val="1059"/>
                <w:rFonts w:hint="eastAsia"/>
                <w:b/>
                <w:bCs/>
                <w:sz w:val="21"/>
                <w:szCs w:val="21"/>
                <w:lang w:val="en-US" w:eastAsia="zh-CN"/>
              </w:rPr>
              <w:t xml:space="preserve">本项最高2分。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
                <w:bCs/>
                <w:sz w:val="21"/>
              </w:rPr>
              <w:t xml:space="preserve">▲</w:t>
            </w:r>
            <w:r>
              <w:rPr>
                <w:rFonts w:hint="eastAsia" w:ascii="宋体" w:hAnsi="宋体"/>
                <w:sz w:val="21"/>
                <w:szCs w:val="21"/>
              </w:rPr>
              <w:t xml:space="preserve">合同履约能力</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所投产品的投标人或产品制造商（必须与投标文件中产品型号一致）近4年（自2022年4月份）以来有销售业绩的（非单一产品包为核心产品）。类似业绩日期认定：以签订合同日期为准。每提供一份有效业绩证明材料得1分，最多得4分。</w:t>
            </w:r>
            <w:r/>
          </w:p>
          <w:p>
            <w:pPr>
              <w:ind w:left="0"/>
              <w:widowControl w:val="off"/>
              <w:rPr>
                <w:rFonts w:ascii="宋体" w:hAnsi="宋体"/>
                <w:b/>
                <w:bCs/>
                <w:sz w:val="21"/>
                <w:szCs w:val="21"/>
              </w:rPr>
            </w:pPr>
            <w:r>
              <w:rPr>
                <w:rFonts w:hint="eastAsia" w:ascii="宋体" w:hAnsi="宋体"/>
                <w:b/>
                <w:bCs/>
                <w:sz w:val="21"/>
                <w:szCs w:val="21"/>
              </w:rPr>
              <w:t xml:space="preserve">注：</w:t>
            </w:r>
            <w:r/>
          </w:p>
          <w:p>
            <w:pPr>
              <w:ind w:left="0"/>
              <w:widowControl w:val="off"/>
              <w:rPr>
                <w:rFonts w:ascii="宋体" w:hAnsi="宋体"/>
                <w:b/>
                <w:bCs/>
                <w:sz w:val="21"/>
                <w:szCs w:val="21"/>
              </w:rPr>
            </w:pPr>
            <w:r>
              <w:rPr>
                <w:rFonts w:hint="eastAsia" w:ascii="宋体" w:hAnsi="宋体"/>
                <w:b/>
                <w:bCs/>
                <w:sz w:val="21"/>
                <w:szCs w:val="21"/>
              </w:rPr>
              <w:t xml:space="preserve">①业绩证明材料需同时提供合同、验收证明以及合同执行过程中任意一次付款的发票复印件加盖公章（三者缺一不可），合同须能体现签订单位信息、签订时间、产品名称、型号、价格等相关信息，否则视为无效合同）。</w:t>
            </w:r>
            <w:r/>
          </w:p>
          <w:p>
            <w:pPr>
              <w:ind w:left="0"/>
              <w:widowControl w:val="off"/>
              <w:rPr>
                <w:rFonts w:ascii="宋体" w:hAnsi="宋体"/>
                <w:b/>
                <w:bCs/>
                <w:sz w:val="21"/>
                <w:szCs w:val="21"/>
              </w:rPr>
            </w:pPr>
            <w:r>
              <w:rPr>
                <w:rFonts w:hint="eastAsia" w:ascii="宋体" w:hAnsi="宋体"/>
                <w:b/>
                <w:bCs/>
                <w:sz w:val="21"/>
                <w:szCs w:val="21"/>
              </w:rPr>
              <w:t xml:space="preserve">②统招分签的合同按一个合同业绩计。（多个合同项目名称一致的，均按一个合同计。）</w:t>
            </w:r>
            <w:r/>
          </w:p>
          <w:p>
            <w:pPr>
              <w:ind w:left="0"/>
              <w:widowControl w:val="off"/>
              <w:rPr>
                <w:rFonts w:ascii="宋体" w:hAnsi="宋体"/>
                <w:b/>
                <w:bCs/>
                <w:sz w:val="21"/>
                <w:szCs w:val="21"/>
              </w:rPr>
            </w:pPr>
            <w:r>
              <w:rPr>
                <w:rFonts w:hint="eastAsia" w:ascii="宋体" w:hAnsi="宋体"/>
                <w:b/>
                <w:bCs/>
                <w:sz w:val="21"/>
                <w:szCs w:val="21"/>
              </w:rPr>
              <w:t xml:space="preserve">③合同中的产品名称及产品型号请加以明显标记，以方便评审和核对。</w:t>
            </w:r>
            <w:r/>
          </w:p>
          <w:p>
            <w:pPr>
              <w:ind w:left="0"/>
              <w:widowControl w:val="off"/>
              <w:rPr>
                <w:rFonts w:ascii="宋体" w:hAnsi="宋体"/>
                <w:sz w:val="21"/>
                <w:szCs w:val="21"/>
              </w:rPr>
            </w:pPr>
            <w:r>
              <w:rPr>
                <w:rFonts w:hint="eastAsia" w:ascii="宋体" w:hAnsi="宋体"/>
                <w:b/>
                <w:bCs/>
                <w:sz w:val="21"/>
                <w:szCs w:val="21"/>
              </w:rPr>
              <w:t xml:space="preserve">④合同评审中的重要信息因存在内容模糊、无法辨认而产生不利于该项评审的情况，投标人自行承担后果。</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r>
    </w:tbl>
    <w:p>
      <w:pPr>
        <w:rPr>
          <w:rFonts w:ascii="宋体" w:hAnsi="宋体" w:cs="Times New Roman"/>
          <w:b/>
          <w:sz w:val="21"/>
          <w:szCs w:val="21"/>
        </w:rPr>
      </w:pPr>
      <w:r>
        <w:rPr>
          <w:rFonts w:hint="eastAsia" w:ascii="宋体" w:hAnsi="宋体" w:cs="Times New Roman"/>
          <w:b/>
          <w:sz w:val="21"/>
          <w:szCs w:val="21"/>
        </w:rPr>
        <w:br w:type="page" w:clear="all"/>
      </w:r>
      <w:r/>
    </w:p>
    <w:p>
      <w:pPr>
        <w:ind w:left="0"/>
        <w:spacing w:line="360" w:lineRule="auto"/>
        <w:rPr>
          <w:rFonts w:ascii="宋体" w:hAnsi="宋体" w:cs="Times New Roman"/>
          <w:b/>
          <w:sz w:val="21"/>
          <w:szCs w:val="21"/>
        </w:rPr>
        <w:outlineLvl w:val="0"/>
      </w:pPr>
      <w:r>
        <w:rPr>
          <w:rFonts w:hint="eastAsia" w:ascii="宋体" w:hAnsi="宋体" w:cs="Times New Roman"/>
          <w:b/>
          <w:sz w:val="21"/>
          <w:szCs w:val="21"/>
        </w:rPr>
        <w:t xml:space="preserve">包二：</w:t>
      </w:r>
      <w:r/>
    </w:p>
    <w:tbl>
      <w:tblPr>
        <w:tblStyle w:val="1004"/>
        <w:tblpPr w:horzAnchor="text" w:tblpXSpec="left" w:vertAnchor="text" w:tblpY="1" w:leftFromText="180" w:topFromText="0" w:rightFromText="180" w:bottomFromText="0"/>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30</w:t>
            </w:r>
            <w:r>
              <w:rPr>
                <w:rFonts w:hint="eastAsia" w:ascii="宋体" w:hAnsi="宋体" w:cs="Tahoma"/>
                <w:b/>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szCs w:val="21"/>
                <w:lang w:bidi="ar"/>
              </w:rPr>
            </w:pPr>
            <w:r>
              <w:rPr>
                <w:rFonts w:hint="eastAsia" w:ascii="宋体" w:hAnsi="宋体"/>
                <w:sz w:val="21"/>
                <w:szCs w:val="21"/>
                <w:lang w:bidi="ar"/>
              </w:rPr>
              <w:t xml:space="preserve">投标报价得分＝（评标基准价/投标报价）×30％×100</w:t>
            </w:r>
            <w:r/>
          </w:p>
        </w:tc>
        <w:tc>
          <w:tcPr>
            <w:tcW w:w="2410" w:type="dxa"/>
            <w:vAlign w:val="center"/>
            <w:textDirection w:val="lrTb"/>
            <w:noWrap w:val="false"/>
          </w:tcPr>
          <w:p>
            <w:pPr>
              <w:ind w:left="0"/>
              <w:jc w:val="center"/>
              <w:widowControl w:val="off"/>
              <w:rPr>
                <w:rFonts w:ascii="宋体" w:hAnsi="宋体" w:cs="Tahoma"/>
                <w:sz w:val="21"/>
                <w:szCs w:val="21"/>
              </w:rPr>
            </w:pPr>
            <w:r>
              <w:rPr>
                <w:rFonts w:hint="eastAsia" w:ascii="宋体" w:hAnsi="宋体"/>
                <w:sz w:val="21"/>
                <w:szCs w:val="21"/>
                <w:lang w:bidi="ar"/>
              </w:rPr>
              <w:t xml:space="preserve">3</w:t>
            </w:r>
            <w:r>
              <w:rPr>
                <w:rFonts w:ascii="宋体" w:hAnsi="宋体"/>
                <w:sz w:val="21"/>
                <w:szCs w:val="21"/>
                <w:lang w:bidi="ar"/>
              </w:rPr>
              <w:t xml:space="preserve">0</w:t>
            </w:r>
            <w:r/>
          </w:p>
          <w:p>
            <w:pPr>
              <w:ind w:left="0"/>
              <w:widowControl w:val="off"/>
              <w:rPr>
                <w:rFonts w:ascii="宋体" w:hAnsi="宋体" w:cs="Tahoma"/>
                <w:sz w:val="21"/>
                <w:szCs w:val="21"/>
              </w:rPr>
            </w:pPr>
            <w:r>
              <w:rPr>
                <w:rFonts w:ascii="宋体" w:hAnsi="宋体" w:cs="Tahoma"/>
                <w:sz w:val="21"/>
                <w:szCs w:val="21"/>
              </w:rPr>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70</w:t>
            </w:r>
            <w:r>
              <w:rPr>
                <w:rFonts w:hint="eastAsia" w:ascii="宋体" w:hAnsi="宋体" w:cs="Tahoma"/>
                <w:b/>
                <w:sz w:val="21"/>
                <w:szCs w:val="21"/>
              </w:rPr>
              <w:t xml:space="preserve">分）</w:t>
            </w:r>
            <w:r/>
          </w:p>
        </w:tc>
        <w:tc>
          <w:tcPr>
            <w:tcW w:w="1417" w:type="dxa"/>
            <w:vAlign w:val="center"/>
            <w:textDirection w:val="lrTb"/>
            <w:noWrap w:val="false"/>
          </w:tcPr>
          <w:p>
            <w:pPr>
              <w:ind w:left="0"/>
              <w:jc w:val="center"/>
              <w:rPr>
                <w:rFonts w:ascii="宋体" w:hAnsi="宋体" w:cs="Tahoma"/>
                <w:sz w:val="21"/>
                <w:szCs w:val="21"/>
              </w:rPr>
            </w:pPr>
            <w:r>
              <w:rPr>
                <w:rFonts w:hint="eastAsia" w:ascii="宋体" w:hAnsi="宋体"/>
                <w:b/>
                <w:bCs/>
                <w:sz w:val="21"/>
              </w:rPr>
              <w:t xml:space="preserve">▲</w:t>
            </w:r>
            <w:r>
              <w:rPr>
                <w:rFonts w:hint="eastAsia" w:ascii="宋体" w:hAnsi="宋体"/>
                <w:sz w:val="21"/>
                <w:szCs w:val="21"/>
              </w:rPr>
              <w:t xml:space="preserve">技术参数</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1.投标人所投设备产品“▲”重要技术参数（技术参数要求共4项）完全满足招标文件要求的得满分27分，每负偏离一项扣6.75分，扣完27分止；</w:t>
            </w:r>
            <w:r/>
          </w:p>
          <w:p>
            <w:pPr>
              <w:ind w:left="0"/>
              <w:widowControl w:val="off"/>
              <w:rPr>
                <w:rFonts w:ascii="宋体" w:hAnsi="宋体"/>
                <w:b/>
                <w:bCs/>
                <w:sz w:val="21"/>
                <w:szCs w:val="21"/>
                <w:lang w:bidi="ar"/>
              </w:rPr>
            </w:pPr>
            <w:r>
              <w:rPr>
                <w:rFonts w:hint="eastAsia" w:ascii="宋体" w:hAnsi="宋体"/>
                <w:b/>
                <w:bCs/>
                <w:sz w:val="21"/>
                <w:szCs w:val="21"/>
                <w:lang w:bidi="ar"/>
              </w:rPr>
              <w:t xml:space="preserve">注：技术参数响应指标与检验报告（采购需求中若要求提供时）或样品（采购需求中若要求提供时）实际参数或标书内其他支持文件不一致的属于负偏离。</w:t>
            </w:r>
            <w:r/>
          </w:p>
          <w:p>
            <w:pPr>
              <w:ind w:left="0"/>
              <w:widowControl w:val="off"/>
              <w:rPr>
                <w:rFonts w:ascii="宋体" w:hAnsi="宋体"/>
                <w:sz w:val="21"/>
                <w:szCs w:val="21"/>
                <w:lang w:bidi="ar"/>
              </w:rPr>
            </w:pPr>
            <w:r>
              <w:rPr>
                <w:rFonts w:hint="eastAsia" w:ascii="宋体" w:hAnsi="宋体"/>
                <w:sz w:val="21"/>
                <w:szCs w:val="21"/>
                <w:lang w:bidi="ar"/>
              </w:rPr>
              <w:t xml:space="preserve">2.投标人对所投产品一般技术参数（技术参数要求共20项非“▲”“★”参数）完全满足招标文件要求的得满分10分，每负偏离1项扣0.5 分，扣完10分止。</w:t>
            </w:r>
            <w:r/>
          </w:p>
          <w:p>
            <w:pPr>
              <w:ind w:left="0"/>
              <w:widowControl w:val="off"/>
              <w:rPr>
                <w:rFonts w:ascii="宋体" w:hAnsi="宋体"/>
                <w:b/>
                <w:bCs/>
                <w:sz w:val="21"/>
                <w:szCs w:val="21"/>
                <w:lang w:bidi="ar"/>
              </w:rPr>
            </w:pPr>
            <w:r>
              <w:rPr>
                <w:rFonts w:hint="eastAsia" w:ascii="宋体" w:hAnsi="宋体"/>
                <w:b/>
                <w:bCs/>
                <w:sz w:val="21"/>
                <w:szCs w:val="21"/>
                <w:lang w:bidi="ar"/>
              </w:rPr>
              <w:t xml:space="preserve">注：</w:t>
            </w:r>
            <w:r/>
          </w:p>
          <w:p>
            <w:pPr>
              <w:ind w:left="0"/>
              <w:widowControl w:val="off"/>
              <w:rPr>
                <w:rFonts w:ascii="宋体" w:hAnsi="宋体"/>
                <w:b/>
                <w:bCs/>
                <w:sz w:val="21"/>
                <w:szCs w:val="21"/>
                <w:lang w:bidi="ar"/>
              </w:rPr>
            </w:pPr>
            <w:r>
              <w:rPr>
                <w:rFonts w:hint="eastAsia" w:ascii="宋体" w:hAnsi="宋体"/>
                <w:b/>
                <w:bCs/>
                <w:sz w:val="21"/>
                <w:szCs w:val="21"/>
                <w:lang w:bidi="ar"/>
              </w:rPr>
              <w:t xml:space="preserve">1.一般技术参数响应条款如有缺、漏项的，则该项视为负偏离；</w:t>
            </w:r>
            <w:r/>
          </w:p>
          <w:p>
            <w:pPr>
              <w:ind w:left="0"/>
              <w:widowControl w:val="off"/>
              <w:rPr>
                <w:rFonts w:ascii="宋体" w:hAnsi="宋体"/>
                <w:sz w:val="21"/>
                <w:szCs w:val="21"/>
                <w:lang w:bidi="ar"/>
              </w:rPr>
            </w:pPr>
            <w:r>
              <w:rPr>
                <w:rFonts w:hint="eastAsia" w:ascii="宋体" w:hAnsi="宋体"/>
                <w:b/>
                <w:bCs/>
                <w:sz w:val="21"/>
                <w:szCs w:val="21"/>
                <w:lang w:bidi="ar"/>
              </w:rPr>
              <w:t xml:space="preserve">2.技术参数响应指标与检验报告（采购需求中若要求提供时）或样品（采购需求中若要求提供时）实际参数或标书内其他支持文件不一致的属于负偏离。</w:t>
            </w:r>
            <w:r/>
          </w:p>
        </w:tc>
        <w:tc>
          <w:tcPr>
            <w:tcW w:w="241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37</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样品</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结合投标人提供的各类别产品样品与招标文件采购需求的“点对点”响应性：</w:t>
            </w:r>
            <w:r/>
          </w:p>
          <w:p>
            <w:pPr>
              <w:ind w:left="0"/>
              <w:widowControl w:val="off"/>
              <w:rPr>
                <w:rFonts w:ascii="宋体" w:hAnsi="宋体"/>
                <w:sz w:val="21"/>
                <w:szCs w:val="21"/>
                <w:lang w:bidi="ar"/>
              </w:rPr>
            </w:pPr>
            <w:r>
              <w:rPr>
                <w:rFonts w:hint="eastAsia" w:ascii="宋体" w:hAnsi="宋体"/>
                <w:sz w:val="21"/>
                <w:szCs w:val="21"/>
                <w:lang w:bidi="ar"/>
              </w:rPr>
              <w:t xml:space="preserve">1.对工艺制作细节进行评测。样品工艺组装精细，部件之间衔接紧密，外壳接缝严密，开关按键手感清晰，充电口盖密封严实。</w:t>
            </w:r>
            <w:r/>
          </w:p>
          <w:p>
            <w:pPr>
              <w:ind w:left="0"/>
              <w:widowControl w:val="off"/>
              <w:rPr>
                <w:rFonts w:ascii="宋体" w:hAnsi="宋体"/>
                <w:sz w:val="21"/>
                <w:szCs w:val="21"/>
                <w:lang w:bidi="ar"/>
              </w:rPr>
            </w:pPr>
            <w:r>
              <w:rPr>
                <w:rFonts w:hint="eastAsia" w:ascii="宋体" w:hAnsi="宋体"/>
                <w:sz w:val="21"/>
                <w:szCs w:val="21"/>
                <w:lang w:bidi="ar"/>
              </w:rPr>
              <w:t xml:space="preserve">2.对便携性舒适性（可操作性）进行评测。重量符合招标文件要求，手提、肩挎时方便操作；操作开关便捷。</w:t>
            </w:r>
            <w:r/>
          </w:p>
          <w:p>
            <w:pPr>
              <w:ind w:left="0"/>
              <w:widowControl w:val="off"/>
              <w:rPr>
                <w:rFonts w:ascii="宋体" w:hAnsi="宋体"/>
                <w:sz w:val="21"/>
                <w:szCs w:val="21"/>
                <w:lang w:bidi="ar"/>
              </w:rPr>
            </w:pPr>
            <w:r>
              <w:rPr>
                <w:rFonts w:hint="eastAsia" w:ascii="宋体" w:hAnsi="宋体"/>
                <w:sz w:val="21"/>
                <w:szCs w:val="21"/>
                <w:lang w:bidi="ar"/>
              </w:rPr>
              <w:t xml:space="preserve">3.对用材用料进行评测。外壳坚固，符合防爆设备的基本特点；透镜透光均匀。</w:t>
            </w:r>
            <w:r/>
          </w:p>
          <w:p>
            <w:pPr>
              <w:ind w:left="0"/>
              <w:widowControl w:val="off"/>
              <w:rPr>
                <w:rFonts w:ascii="宋体" w:hAnsi="宋体"/>
                <w:sz w:val="21"/>
                <w:szCs w:val="21"/>
                <w:lang w:bidi="ar"/>
              </w:rPr>
            </w:pPr>
            <w:r>
              <w:rPr>
                <w:rFonts w:hint="eastAsia" w:ascii="宋体" w:hAnsi="宋体"/>
                <w:sz w:val="21"/>
                <w:szCs w:val="21"/>
                <w:lang w:bidi="ar"/>
              </w:rPr>
              <w:t xml:space="preserve">4.对安全防护性能进行测试。强光、弱光、爆闪模式切换正常，亮度充足；具备高防护等级的特征。</w:t>
            </w:r>
            <w:r/>
          </w:p>
          <w:p>
            <w:pPr>
              <w:ind w:left="0"/>
              <w:widowControl w:val="off"/>
              <w:rPr>
                <w:rFonts w:hint="eastAsia" w:ascii="宋体" w:hAnsi="宋体" w:cs="Times New Roman"/>
                <w:sz w:val="21"/>
                <w:szCs w:val="21"/>
              </w:rPr>
            </w:pPr>
            <w:r>
              <w:rPr>
                <w:rFonts w:hint="eastAsia" w:ascii="宋体" w:hAnsi="宋体"/>
                <w:sz w:val="21"/>
                <w:szCs w:val="21"/>
                <w:lang w:bidi="ar"/>
              </w:rPr>
              <w:t xml:space="preserve">5.对外观配置进行评测。电池电量、剩余工作时间及灯具工作状态等显示直观，标配、备用配件齐全；产品标识清晰。</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w:t>
            </w:r>
            <w:r>
              <w:rPr>
                <w:rFonts w:hint="eastAsia" w:ascii="宋体" w:hAnsi="宋体" w:cs="Times New Roman"/>
                <w:sz w:val="21"/>
                <w:szCs w:val="21"/>
              </w:rPr>
              <w:t xml:space="preserve">做工精良、美观整洁得3分；做工一般、整洁性一般得1.5分</w:t>
            </w:r>
            <w:r>
              <w:rPr>
                <w:rFonts w:hint="eastAsia" w:ascii="宋体" w:hAnsi="宋体" w:cs="Times New Roman"/>
                <w:sz w:val="21"/>
                <w:szCs w:val="21"/>
                <w:lang w:eastAsia="zh-CN"/>
              </w:rPr>
              <w:t xml:space="preserve">。</w:t>
            </w:r>
            <w:r>
              <w:rPr>
                <w:rFonts w:hint="eastAsia" w:ascii="宋体" w:hAnsi="宋体"/>
                <w:sz w:val="21"/>
                <w:szCs w:val="21"/>
                <w:lang w:bidi="ar"/>
              </w:rPr>
              <w:t xml:space="preserve">本项最高得</w:t>
            </w:r>
            <w:r>
              <w:rPr>
                <w:rFonts w:hint="eastAsia" w:ascii="宋体" w:hAnsi="宋体"/>
                <w:sz w:val="21"/>
                <w:szCs w:val="21"/>
                <w:lang w:val="en-US" w:eastAsia="zh-CN" w:bidi="ar"/>
              </w:rPr>
              <w:t xml:space="preserve">15</w:t>
            </w:r>
            <w:r>
              <w:rPr>
                <w:rFonts w:hint="eastAsia" w:ascii="宋体" w:hAnsi="宋体"/>
                <w:sz w:val="21"/>
                <w:szCs w:val="21"/>
                <w:lang w:bidi="ar"/>
              </w:rPr>
              <w:t xml:space="preserve">分。</w:t>
            </w:r>
            <w:r/>
          </w:p>
          <w:p>
            <w:pPr>
              <w:ind w:left="0"/>
              <w:widowControl w:val="off"/>
              <w:rPr>
                <w:rFonts w:ascii="宋体" w:hAnsi="宋体"/>
                <w:sz w:val="21"/>
                <w:szCs w:val="21"/>
                <w:lang w:bidi="ar"/>
              </w:rPr>
            </w:pPr>
            <w:r>
              <w:rPr>
                <w:rFonts w:hint="eastAsia" w:ascii="宋体" w:hAnsi="宋体"/>
                <w:b/>
                <w:bCs/>
                <w:sz w:val="21"/>
                <w:szCs w:val="21"/>
                <w:lang w:bidi="ar"/>
              </w:rPr>
              <w:t xml:space="preserve">注：未按招标文件要求提交样品的不得分。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15</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lang w:bidi="ar"/>
              </w:rPr>
            </w:pPr>
            <w:r>
              <w:rPr>
                <w:rFonts w:hint="eastAsia" w:ascii="宋体" w:hAnsi="宋体"/>
                <w:sz w:val="21"/>
                <w:szCs w:val="22"/>
              </w:rPr>
              <w:t xml:space="preserve">培训方案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结合本项目采购需求，对投标人的培训方案（①培训时间计划及培训人员安排；②培训内容设计安排；③重点难点及培训结果保障措施）等进行综合评审：</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售后服务方案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本项目采购需求，对投标人的售后服务方案（①售后服务机构及人员网点配置；②响应时间；③零配件供应周期、备货储存、工时费等；④定期安排技术人员针对产品的使用环境、使用频率及更新等进行回访、巡检、维护、保养等方案）进行综合评审：</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1分；内容基本合理、具有一定的可行性、具有一定的操作性、与项目实际基本贴合的得0.5分；每项叙述内容完全脱离采购需求或未作完整叙述的不得分。本项最高得4分。</w:t>
            </w:r>
            <w:r/>
          </w:p>
        </w:tc>
        <w:tc>
          <w:tcPr>
            <w:tcW w:w="2410"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rPr>
              <w:t xml:space="preserve">4</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b/>
                <w:bCs/>
                <w:sz w:val="21"/>
              </w:rPr>
              <w:t xml:space="preserve">▲</w:t>
            </w:r>
            <w:r>
              <w:rPr>
                <w:rFonts w:hint="eastAsia" w:ascii="宋体" w:hAnsi="宋体"/>
                <w:sz w:val="21"/>
                <w:szCs w:val="21"/>
              </w:rPr>
              <w:t xml:space="preserve">延长质保</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投标人所投产品质保期响应招标文件最低要求（质保三年）基础上每增加一年加1分，最高得2分。</w:t>
            </w:r>
            <w:r/>
          </w:p>
          <w:p>
            <w:pPr>
              <w:ind w:left="0"/>
              <w:widowControl w:val="off"/>
              <w:rPr>
                <w:rFonts w:ascii="宋体" w:hAnsi="宋体"/>
                <w:sz w:val="21"/>
                <w:szCs w:val="21"/>
                <w:lang w:bidi="ar"/>
              </w:rPr>
            </w:pPr>
            <w:r>
              <w:rPr>
                <w:rFonts w:hint="eastAsia" w:ascii="宋体" w:hAnsi="宋体"/>
                <w:b/>
                <w:bCs/>
                <w:sz w:val="21"/>
                <w:szCs w:val="21"/>
                <w:lang w:bidi="ar"/>
              </w:rPr>
              <w:t xml:space="preserve">注：投标文件需提供加盖投标人公章的质保期承诺书，不提供则不得分。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 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lang w:bidi="ar"/>
              </w:rPr>
            </w:pPr>
            <w:r>
              <w:rPr>
                <w:rFonts w:hint="eastAsia" w:ascii="宋体" w:hAnsi="宋体"/>
                <w:b/>
                <w:bCs/>
                <w:sz w:val="21"/>
              </w:rPr>
              <w:t xml:space="preserve">▲</w:t>
            </w:r>
            <w:r>
              <w:rPr>
                <w:rFonts w:hint="eastAsia" w:ascii="宋体" w:hAnsi="宋体"/>
                <w:sz w:val="21"/>
                <w:szCs w:val="21"/>
                <w:lang w:bidi="ar"/>
              </w:rPr>
              <w:t xml:space="preserve">制造商授权、制造商原厂售后服务承诺</w:t>
            </w:r>
            <w:r/>
          </w:p>
        </w:tc>
        <w:tc>
          <w:tcPr>
            <w:tcW w:w="4678" w:type="dxa"/>
            <w:vAlign w:val="center"/>
            <w:textDirection w:val="lrTb"/>
            <w:noWrap w:val="false"/>
          </w:tcPr>
          <w:p>
            <w:pPr>
              <w:ind w:left="0"/>
              <w:widowControl w:val="off"/>
              <w:rPr>
                <w:rFonts w:ascii="宋体" w:hAnsi="宋体"/>
                <w:bCs/>
                <w:sz w:val="21"/>
                <w:szCs w:val="21"/>
                <w:lang w:bidi="ar"/>
              </w:rPr>
            </w:pPr>
            <w:r>
              <w:rPr>
                <w:rFonts w:hint="eastAsia" w:ascii="宋体" w:hAnsi="宋体"/>
                <w:bCs/>
                <w:sz w:val="21"/>
                <w:szCs w:val="21"/>
                <w:lang w:bidi="ar"/>
              </w:rPr>
              <w:t xml:space="preserve">若投标人为所投产品制造商的，提供制造商声明函及售后服务承诺函的得 2 分，未提供则不得分；</w:t>
            </w:r>
            <w:r/>
          </w:p>
          <w:p>
            <w:pPr>
              <w:ind w:left="0"/>
              <w:widowControl w:val="off"/>
              <w:rPr>
                <w:rFonts w:hint="eastAsia" w:ascii="宋体" w:hAnsi="宋体"/>
                <w:bCs/>
                <w:sz w:val="21"/>
                <w:szCs w:val="21"/>
                <w:lang w:bidi="ar"/>
              </w:rPr>
            </w:pPr>
            <w:r>
              <w:rPr>
                <w:rFonts w:hint="eastAsia" w:ascii="宋体" w:hAnsi="宋体"/>
                <w:bCs/>
                <w:sz w:val="21"/>
                <w:szCs w:val="21"/>
                <w:lang w:bidi="ar"/>
              </w:rPr>
              <w:t xml:space="preserve">若投标人为所投产品代理商的，提供所投产品制造商授权函及原厂售后服务承诺函的得 2 分，未提供则不得分。</w:t>
            </w:r>
            <w:r/>
          </w:p>
          <w:p>
            <w:pPr>
              <w:ind w:left="0"/>
              <w:widowControl w:val="off"/>
              <w:rPr>
                <w:rFonts w:ascii="宋体" w:hAnsi="宋体"/>
                <w:b/>
                <w:sz w:val="21"/>
                <w:szCs w:val="21"/>
                <w:lang w:bidi="ar"/>
              </w:rPr>
            </w:pPr>
            <w:r>
              <w:rPr>
                <w:rStyle w:val="1059"/>
                <w:rFonts w:hint="eastAsia"/>
                <w:b/>
                <w:bCs/>
                <w:sz w:val="21"/>
                <w:szCs w:val="21"/>
                <w:lang w:val="en-US" w:eastAsia="zh-CN"/>
              </w:rPr>
              <w:t xml:space="preserve">本项最高2分。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
                <w:bCs/>
                <w:sz w:val="21"/>
              </w:rPr>
              <w:t xml:space="preserve">▲</w:t>
            </w:r>
            <w:r>
              <w:rPr>
                <w:rFonts w:hint="eastAsia" w:ascii="宋体" w:hAnsi="宋体"/>
                <w:sz w:val="21"/>
                <w:szCs w:val="21"/>
              </w:rPr>
              <w:t xml:space="preserve">合同履约能力</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所投产品的投标人或产品制造商（必须与投标文件中产品型号一致）近4年（自2022年4月份）以来有销售业绩的（非单一产品包为核心产品）。类似业绩日期认定：以签订合同日期为准。每提供一份有效业绩证明材料得1分，最多得4分。</w:t>
            </w:r>
            <w:r/>
          </w:p>
          <w:p>
            <w:pPr>
              <w:ind w:left="0"/>
              <w:widowControl w:val="off"/>
              <w:rPr>
                <w:rFonts w:ascii="宋体" w:hAnsi="宋体"/>
                <w:b/>
                <w:bCs/>
                <w:sz w:val="21"/>
                <w:szCs w:val="21"/>
              </w:rPr>
            </w:pPr>
            <w:r>
              <w:rPr>
                <w:rFonts w:hint="eastAsia" w:ascii="宋体" w:hAnsi="宋体"/>
                <w:b/>
                <w:bCs/>
                <w:sz w:val="21"/>
                <w:szCs w:val="21"/>
              </w:rPr>
              <w:t xml:space="preserve">注：</w:t>
            </w:r>
            <w:r/>
          </w:p>
          <w:p>
            <w:pPr>
              <w:ind w:left="0"/>
              <w:widowControl w:val="off"/>
              <w:rPr>
                <w:rFonts w:ascii="宋体" w:hAnsi="宋体"/>
                <w:b/>
                <w:bCs/>
                <w:sz w:val="21"/>
                <w:szCs w:val="21"/>
              </w:rPr>
            </w:pPr>
            <w:r>
              <w:rPr>
                <w:rFonts w:hint="eastAsia" w:ascii="宋体" w:hAnsi="宋体"/>
                <w:b/>
                <w:bCs/>
                <w:sz w:val="21"/>
                <w:szCs w:val="21"/>
              </w:rPr>
              <w:t xml:space="preserve">①业绩证明材料需同时提供合同、验收证明以及合同执行过程中任意一次付款的发票复印件加盖公章（三者缺一不可），合同须能体现签订单位信息、签订时间、产品名称、型号、价格等相关信息，否则视为无效合同）。</w:t>
            </w:r>
            <w:r/>
          </w:p>
          <w:p>
            <w:pPr>
              <w:ind w:left="0"/>
              <w:widowControl w:val="off"/>
              <w:rPr>
                <w:rFonts w:ascii="宋体" w:hAnsi="宋体"/>
                <w:b/>
                <w:bCs/>
                <w:sz w:val="21"/>
                <w:szCs w:val="21"/>
              </w:rPr>
            </w:pPr>
            <w:r>
              <w:rPr>
                <w:rFonts w:hint="eastAsia" w:ascii="宋体" w:hAnsi="宋体"/>
                <w:b/>
                <w:bCs/>
                <w:sz w:val="21"/>
                <w:szCs w:val="21"/>
              </w:rPr>
              <w:t xml:space="preserve">②统招分签的合同按一个合同业绩计。（多个合同项目名称一致的，均按一个合同计。）</w:t>
            </w:r>
            <w:r/>
          </w:p>
          <w:p>
            <w:pPr>
              <w:ind w:left="0"/>
              <w:widowControl w:val="off"/>
              <w:rPr>
                <w:rFonts w:ascii="宋体" w:hAnsi="宋体"/>
                <w:b/>
                <w:bCs/>
                <w:sz w:val="21"/>
                <w:szCs w:val="21"/>
              </w:rPr>
            </w:pPr>
            <w:r>
              <w:rPr>
                <w:rFonts w:hint="eastAsia" w:ascii="宋体" w:hAnsi="宋体"/>
                <w:b/>
                <w:bCs/>
                <w:sz w:val="21"/>
                <w:szCs w:val="21"/>
              </w:rPr>
              <w:t xml:space="preserve">③合同中的产品名称及产品型号请加以明显标记，以方便评审和核对。</w:t>
            </w:r>
            <w:r/>
          </w:p>
          <w:p>
            <w:pPr>
              <w:ind w:left="0"/>
              <w:widowControl w:val="off"/>
              <w:rPr>
                <w:rFonts w:ascii="宋体" w:hAnsi="宋体"/>
                <w:sz w:val="21"/>
                <w:szCs w:val="21"/>
              </w:rPr>
            </w:pPr>
            <w:r>
              <w:rPr>
                <w:rFonts w:hint="eastAsia" w:ascii="宋体" w:hAnsi="宋体"/>
                <w:b/>
                <w:bCs/>
                <w:sz w:val="21"/>
                <w:szCs w:val="21"/>
              </w:rPr>
              <w:t xml:space="preserve">④合同评审中的重要信息因存在内容模糊、无法辨认而产生不利于该项评审的情况，投标人自行承担后果。</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r>
    </w:tbl>
    <w:p>
      <w:pPr>
        <w:rPr>
          <w:rFonts w:ascii="宋体" w:hAnsi="宋体" w:cs="Times New Roman"/>
          <w:b/>
          <w:sz w:val="21"/>
          <w:szCs w:val="21"/>
        </w:rPr>
      </w:pPr>
      <w:r>
        <w:rPr>
          <w:rFonts w:hint="eastAsia" w:ascii="宋体" w:hAnsi="宋体" w:cs="Times New Roman"/>
          <w:b/>
          <w:sz w:val="21"/>
          <w:szCs w:val="21"/>
        </w:rPr>
        <w:br w:type="page" w:clear="all"/>
      </w:r>
      <w:r/>
    </w:p>
    <w:p>
      <w:pPr>
        <w:ind w:left="0"/>
        <w:spacing w:line="360" w:lineRule="auto"/>
        <w:rPr>
          <w:rFonts w:ascii="宋体" w:hAnsi="宋体" w:cs="Times New Roman"/>
          <w:b/>
          <w:sz w:val="21"/>
          <w:szCs w:val="21"/>
        </w:rPr>
        <w:outlineLvl w:val="0"/>
      </w:pPr>
      <w:r>
        <w:rPr>
          <w:rFonts w:hint="eastAsia" w:ascii="宋体" w:hAnsi="宋体" w:cs="Times New Roman"/>
          <w:b/>
          <w:sz w:val="21"/>
          <w:szCs w:val="21"/>
        </w:rPr>
        <w:t xml:space="preserve">包三：</w:t>
      </w:r>
      <w:r/>
    </w:p>
    <w:tbl>
      <w:tblPr>
        <w:tblStyle w:val="1004"/>
        <w:tblpPr w:horzAnchor="text" w:tblpXSpec="left" w:vertAnchor="text" w:tblpY="1" w:leftFromText="180" w:topFromText="0" w:rightFromText="180" w:bottomFromText="0"/>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30</w:t>
            </w:r>
            <w:r>
              <w:rPr>
                <w:rFonts w:hint="eastAsia" w:ascii="宋体" w:hAnsi="宋体" w:cs="Tahoma"/>
                <w:b/>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szCs w:val="21"/>
                <w:lang w:bidi="ar"/>
              </w:rPr>
            </w:pPr>
            <w:r>
              <w:rPr>
                <w:rFonts w:hint="eastAsia" w:ascii="宋体" w:hAnsi="宋体"/>
                <w:sz w:val="21"/>
                <w:szCs w:val="21"/>
                <w:lang w:bidi="ar"/>
              </w:rPr>
              <w:t xml:space="preserve">投标报价得分＝（评标基准价/投标报价）×30％×100</w:t>
            </w:r>
            <w:r/>
          </w:p>
        </w:tc>
        <w:tc>
          <w:tcPr>
            <w:tcW w:w="2410" w:type="dxa"/>
            <w:vAlign w:val="center"/>
            <w:textDirection w:val="lrTb"/>
            <w:noWrap w:val="false"/>
          </w:tcPr>
          <w:p>
            <w:pPr>
              <w:ind w:left="0"/>
              <w:jc w:val="center"/>
              <w:widowControl w:val="off"/>
              <w:rPr>
                <w:rFonts w:ascii="宋体" w:hAnsi="宋体" w:cs="Tahoma"/>
                <w:sz w:val="21"/>
                <w:szCs w:val="21"/>
              </w:rPr>
            </w:pPr>
            <w:r>
              <w:rPr>
                <w:rFonts w:hint="eastAsia" w:ascii="宋体" w:hAnsi="宋体"/>
                <w:sz w:val="21"/>
                <w:szCs w:val="21"/>
                <w:lang w:bidi="ar"/>
              </w:rPr>
              <w:t xml:space="preserve">3</w:t>
            </w:r>
            <w:r>
              <w:rPr>
                <w:rFonts w:ascii="宋体" w:hAnsi="宋体"/>
                <w:sz w:val="21"/>
                <w:szCs w:val="21"/>
                <w:lang w:bidi="ar"/>
              </w:rPr>
              <w:t xml:space="preserve">0</w:t>
            </w:r>
            <w:r/>
          </w:p>
          <w:p>
            <w:pPr>
              <w:ind w:left="0"/>
              <w:widowControl w:val="off"/>
              <w:rPr>
                <w:rFonts w:ascii="宋体" w:hAnsi="宋体" w:cs="Tahoma"/>
                <w:sz w:val="21"/>
                <w:szCs w:val="21"/>
              </w:rPr>
            </w:pPr>
            <w:r>
              <w:rPr>
                <w:rFonts w:ascii="宋体" w:hAnsi="宋体" w:cs="Tahoma"/>
                <w:sz w:val="21"/>
                <w:szCs w:val="21"/>
              </w:rPr>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70</w:t>
            </w:r>
            <w:r>
              <w:rPr>
                <w:rFonts w:hint="eastAsia" w:ascii="宋体" w:hAnsi="宋体" w:cs="Tahoma"/>
                <w:b/>
                <w:sz w:val="21"/>
                <w:szCs w:val="21"/>
              </w:rPr>
              <w:t xml:space="preserve">分）</w:t>
            </w:r>
            <w:r/>
          </w:p>
        </w:tc>
        <w:tc>
          <w:tcPr>
            <w:tcW w:w="1417" w:type="dxa"/>
            <w:vAlign w:val="center"/>
            <w:textDirection w:val="lrTb"/>
            <w:noWrap w:val="false"/>
          </w:tcPr>
          <w:p>
            <w:pPr>
              <w:ind w:left="0"/>
              <w:jc w:val="center"/>
              <w:rPr>
                <w:rFonts w:ascii="宋体" w:hAnsi="宋体" w:cs="Tahoma"/>
                <w:sz w:val="21"/>
                <w:szCs w:val="21"/>
              </w:rPr>
            </w:pPr>
            <w:r>
              <w:rPr>
                <w:rFonts w:hint="eastAsia" w:ascii="宋体" w:hAnsi="宋体"/>
                <w:b/>
                <w:bCs/>
                <w:sz w:val="21"/>
              </w:rPr>
              <w:t xml:space="preserve">▲</w:t>
            </w:r>
            <w:r>
              <w:rPr>
                <w:rFonts w:hint="eastAsia" w:ascii="宋体" w:hAnsi="宋体"/>
                <w:sz w:val="21"/>
                <w:szCs w:val="21"/>
              </w:rPr>
              <w:t xml:space="preserve">技术参数</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1.投标人所投设备产品“▲”重要技术参数（技术参数要求共4项）完全满足招标文件要求的得满分27.6分，每负偏离一项扣6.9分，扣完27.6分止；</w:t>
            </w:r>
            <w:r/>
          </w:p>
          <w:p>
            <w:pPr>
              <w:ind w:left="0"/>
              <w:widowControl w:val="off"/>
              <w:rPr>
                <w:rFonts w:ascii="宋体" w:hAnsi="宋体"/>
                <w:b/>
                <w:bCs/>
                <w:sz w:val="21"/>
                <w:szCs w:val="21"/>
                <w:lang w:bidi="ar"/>
              </w:rPr>
            </w:pPr>
            <w:r>
              <w:rPr>
                <w:rFonts w:hint="eastAsia" w:ascii="宋体" w:hAnsi="宋体"/>
                <w:b/>
                <w:bCs/>
                <w:sz w:val="21"/>
                <w:szCs w:val="21"/>
                <w:lang w:bidi="ar"/>
              </w:rPr>
              <w:t xml:space="preserve">注：技术参数响应指标与检验报告（采购需求中若要求提供时）或样品（采购需求中若要求提供时）实际参数或标书内其他支持文件不一致的属于负偏离。</w:t>
            </w:r>
            <w:r/>
          </w:p>
          <w:p>
            <w:pPr>
              <w:ind w:left="0"/>
              <w:widowControl w:val="off"/>
              <w:rPr>
                <w:rFonts w:ascii="宋体" w:hAnsi="宋体"/>
                <w:sz w:val="21"/>
                <w:szCs w:val="21"/>
                <w:lang w:bidi="ar"/>
              </w:rPr>
            </w:pPr>
            <w:r>
              <w:rPr>
                <w:rFonts w:hint="eastAsia" w:ascii="宋体" w:hAnsi="宋体"/>
                <w:sz w:val="21"/>
                <w:szCs w:val="21"/>
                <w:lang w:bidi="ar"/>
              </w:rPr>
              <w:t xml:space="preserve">2.投标人对所投产品一般技术参数（技术参数要求共9项非“▲”“★”参数）完全满足招标文件要求的得满分14.4分，每负偏离1项扣1.6 分，扣完14.4分止。</w:t>
            </w:r>
            <w:r/>
          </w:p>
          <w:p>
            <w:pPr>
              <w:ind w:left="0"/>
              <w:widowControl w:val="off"/>
              <w:rPr>
                <w:rFonts w:ascii="宋体" w:hAnsi="宋体"/>
                <w:b/>
                <w:bCs/>
                <w:sz w:val="21"/>
                <w:szCs w:val="21"/>
                <w:lang w:bidi="ar"/>
              </w:rPr>
            </w:pPr>
            <w:r>
              <w:rPr>
                <w:rFonts w:hint="eastAsia" w:ascii="宋体" w:hAnsi="宋体"/>
                <w:b/>
                <w:bCs/>
                <w:sz w:val="21"/>
                <w:szCs w:val="21"/>
                <w:lang w:bidi="ar"/>
              </w:rPr>
              <w:t xml:space="preserve">注：</w:t>
            </w:r>
            <w:r/>
          </w:p>
          <w:p>
            <w:pPr>
              <w:ind w:left="0"/>
              <w:widowControl w:val="off"/>
              <w:rPr>
                <w:rFonts w:ascii="宋体" w:hAnsi="宋体"/>
                <w:b/>
                <w:bCs/>
                <w:sz w:val="21"/>
                <w:szCs w:val="21"/>
                <w:lang w:bidi="ar"/>
              </w:rPr>
            </w:pPr>
            <w:r>
              <w:rPr>
                <w:rFonts w:hint="eastAsia" w:ascii="宋体" w:hAnsi="宋体"/>
                <w:b/>
                <w:bCs/>
                <w:sz w:val="21"/>
                <w:szCs w:val="21"/>
                <w:lang w:bidi="ar"/>
              </w:rPr>
              <w:t xml:space="preserve">1.一般技术参数响应条款如有缺、漏项的，则该项视为负偏离；</w:t>
            </w:r>
            <w:r/>
          </w:p>
          <w:p>
            <w:pPr>
              <w:ind w:left="0"/>
              <w:widowControl w:val="off"/>
              <w:rPr>
                <w:rFonts w:ascii="宋体" w:hAnsi="宋体"/>
                <w:sz w:val="21"/>
                <w:szCs w:val="21"/>
                <w:lang w:bidi="ar"/>
              </w:rPr>
            </w:pPr>
            <w:r>
              <w:rPr>
                <w:rFonts w:hint="eastAsia" w:ascii="宋体" w:hAnsi="宋体"/>
                <w:b/>
                <w:bCs/>
                <w:sz w:val="21"/>
                <w:szCs w:val="21"/>
                <w:lang w:bidi="ar"/>
              </w:rPr>
              <w:t xml:space="preserve">2.技术参数响应指标与检验报告（采购需求中若要求提供时）或样品（采购需求中若要求提供时）实际参数或标书内其他支持文件不一致的属于负偏离。</w:t>
            </w:r>
            <w:r/>
          </w:p>
        </w:tc>
        <w:tc>
          <w:tcPr>
            <w:tcW w:w="241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42</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演示视频</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根据各投标人所投设备的演示视频（包括但不仅限于展示设备与所投产品型号、配置的一致性以及彩色实景拍摄产品尺寸及外观与招标文件要求的相符性；彩色实景演示产品功能及操作便利性进行评审：</w:t>
            </w:r>
            <w:r/>
          </w:p>
          <w:p>
            <w:pPr>
              <w:ind w:left="0"/>
              <w:widowControl w:val="off"/>
              <w:rPr>
                <w:rFonts w:ascii="宋体" w:hAnsi="宋体"/>
                <w:sz w:val="21"/>
                <w:szCs w:val="21"/>
                <w:lang w:bidi="ar"/>
              </w:rPr>
            </w:pPr>
            <w:r>
              <w:rPr>
                <w:rFonts w:hint="eastAsia" w:ascii="宋体" w:hAnsi="宋体"/>
                <w:sz w:val="21"/>
                <w:szCs w:val="21"/>
                <w:lang w:bidi="ar"/>
              </w:rPr>
              <w:t xml:space="preserve">投标人所提供视频完整且清晰展示①各产品主要部件、型号，②温度显示、③各模式下的成像效果、④最高温及最低温指针搜寻等重点功能操作内容，⑤分辨率清晰。</w:t>
            </w:r>
            <w:r/>
          </w:p>
          <w:p>
            <w:pPr>
              <w:pStyle w:val="1061"/>
              <w:ind w:left="0"/>
            </w:pPr>
            <w:r>
              <w:rPr>
                <w:rFonts w:hint="eastAsia" w:asciiTheme="minorEastAsia" w:hAnsiTheme="minorEastAsia" w:eastAsiaTheme="minorEastAsia" w:cstheme="minorEastAsia"/>
                <w:sz w:val="21"/>
                <w:szCs w:val="21"/>
              </w:rPr>
              <w:t xml:space="preserve">上述每项应逐条根据系统功能演示进行综合评分：相关功能的演示全面、 能逐项体现采购需求中规定内容，且功能展示效果符合采购需求，所验证的相关需求参数科学可信，操作流程明确直观的得2分；相关功能的演示较全面、 能基本体现采购需求中规定内容，操作流程基本清晰的得1分；每项演示未能实现功能的不得分。本项满分10分。</w:t>
            </w:r>
            <w:r/>
          </w:p>
          <w:p>
            <w:pPr>
              <w:pStyle w:val="1061"/>
              <w:ind w:left="0"/>
              <w:rPr>
                <w:rFonts w:ascii="宋体" w:hAnsi="宋体"/>
                <w:sz w:val="21"/>
                <w:szCs w:val="21"/>
                <w:lang w:bidi="ar"/>
              </w:rPr>
            </w:pPr>
            <w:r>
              <w:rPr>
                <w:rFonts w:hint="eastAsia" w:asciiTheme="minorEastAsia" w:hAnsiTheme="minorEastAsia" w:eastAsiaTheme="minorEastAsia" w:cstheme="minorEastAsia"/>
                <w:b/>
                <w:bCs/>
                <w:sz w:val="21"/>
                <w:szCs w:val="21"/>
              </w:rPr>
              <w:t xml:space="preserve">注：1.投标人根据招标文件要求，以所投型号产品实物真实地进行视频演示，演示视频时间不少于3分钟，需在“苏采云”系统演示文件入口按系统要求上传演示文件。2.单个视频附件压缩包大小不得超过50M，整体附件压缩包不得超过300M，视频文件格式建议采用MP4、MKV、MOV、AVI格式。3.演示内容确保真实且作为项目履约验收的重要参考依据。因投标人上传文件本身损坏等自身原因导致演示资料无法正常读取的视为无效演示，本项不得分，由投标人商自行承担责任。</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10</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lang w:bidi="ar"/>
              </w:rPr>
            </w:pPr>
            <w:r>
              <w:rPr>
                <w:rFonts w:hint="eastAsia" w:ascii="宋体" w:hAnsi="宋体"/>
                <w:sz w:val="21"/>
                <w:szCs w:val="22"/>
              </w:rPr>
              <w:t xml:space="preserve">培训方案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结合本项目采购需求，对投标人的培训方案（①培训时间计划及培训人员安排；②培训内容设计安排；③重点难点及培训结果保障措施）等进行综合评审：</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售后服务方案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本项目采购需求，对投标人的售后服务方案（①售后服务机构及人员网点配置；②响应时间；③零配件供应周期、备货储存、工时费等；④定期安排技术人员针对产品的使用环境、使用频率及更新等进行回访、巡检、维护、保养等方案）进行综合评审：</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1分；内容基本合理、具有一定的可行性、具有一定的操作性、与项目实际基本贴合的得0.5分；每项叙述内容完全脱离采购需求或未作完整叙述的不得分。本项最高得4分。</w:t>
            </w:r>
            <w:r/>
          </w:p>
        </w:tc>
        <w:tc>
          <w:tcPr>
            <w:tcW w:w="2410"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rPr>
              <w:t xml:space="preserve">4</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b/>
                <w:bCs/>
                <w:sz w:val="21"/>
              </w:rPr>
              <w:t xml:space="preserve">▲</w:t>
            </w:r>
            <w:r>
              <w:rPr>
                <w:rFonts w:hint="eastAsia" w:ascii="宋体" w:hAnsi="宋体"/>
                <w:sz w:val="21"/>
                <w:szCs w:val="21"/>
              </w:rPr>
              <w:t xml:space="preserve">延长质保</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投标人所投产品质保期响应招标文件最低要求（质保三年）基础上每增加一年加1分，最高得2分。</w:t>
            </w:r>
            <w:r/>
          </w:p>
          <w:p>
            <w:pPr>
              <w:ind w:left="0"/>
              <w:widowControl w:val="off"/>
              <w:rPr>
                <w:rFonts w:ascii="宋体" w:hAnsi="宋体"/>
                <w:sz w:val="21"/>
                <w:szCs w:val="21"/>
                <w:lang w:bidi="ar"/>
              </w:rPr>
            </w:pPr>
            <w:r>
              <w:rPr>
                <w:rFonts w:hint="eastAsia" w:ascii="宋体" w:hAnsi="宋体"/>
                <w:b/>
                <w:bCs/>
                <w:sz w:val="21"/>
                <w:szCs w:val="21"/>
                <w:lang w:bidi="ar"/>
              </w:rPr>
              <w:t xml:space="preserve">注：投标文件需提供加盖投标人公章的质保期承诺书，不提供则不得分。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 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lang w:bidi="ar"/>
              </w:rPr>
            </w:pPr>
            <w:r>
              <w:rPr>
                <w:rFonts w:hint="eastAsia" w:ascii="宋体" w:hAnsi="宋体"/>
                <w:b/>
                <w:bCs/>
                <w:sz w:val="21"/>
              </w:rPr>
              <w:t xml:space="preserve">▲</w:t>
            </w:r>
            <w:r>
              <w:rPr>
                <w:rFonts w:hint="eastAsia" w:ascii="宋体" w:hAnsi="宋体"/>
                <w:sz w:val="21"/>
                <w:szCs w:val="21"/>
                <w:lang w:bidi="ar"/>
              </w:rPr>
              <w:t xml:space="preserve">制造商授权、制造商原厂售后服务承诺</w:t>
            </w:r>
            <w:r/>
          </w:p>
        </w:tc>
        <w:tc>
          <w:tcPr>
            <w:tcW w:w="4678" w:type="dxa"/>
            <w:vAlign w:val="center"/>
            <w:textDirection w:val="lrTb"/>
            <w:noWrap w:val="false"/>
          </w:tcPr>
          <w:p>
            <w:pPr>
              <w:ind w:left="0"/>
              <w:widowControl w:val="off"/>
              <w:rPr>
                <w:rFonts w:ascii="宋体" w:hAnsi="宋体"/>
                <w:bCs/>
                <w:sz w:val="21"/>
                <w:szCs w:val="21"/>
                <w:lang w:bidi="ar"/>
              </w:rPr>
            </w:pPr>
            <w:r>
              <w:rPr>
                <w:rFonts w:hint="eastAsia" w:ascii="宋体" w:hAnsi="宋体"/>
                <w:bCs/>
                <w:sz w:val="21"/>
                <w:szCs w:val="21"/>
                <w:lang w:bidi="ar"/>
              </w:rPr>
              <w:t xml:space="preserve">若投标人为所投产品制造商的，提供制造商声明函及售后服务承诺函的得 2 分，未提供则不得分；</w:t>
            </w:r>
            <w:r/>
          </w:p>
          <w:p>
            <w:pPr>
              <w:ind w:left="0"/>
              <w:widowControl w:val="off"/>
              <w:rPr>
                <w:rFonts w:hint="eastAsia" w:ascii="宋体" w:hAnsi="宋体"/>
                <w:bCs/>
                <w:sz w:val="21"/>
                <w:szCs w:val="21"/>
                <w:lang w:bidi="ar"/>
              </w:rPr>
            </w:pPr>
            <w:r>
              <w:rPr>
                <w:rFonts w:hint="eastAsia" w:ascii="宋体" w:hAnsi="宋体"/>
                <w:bCs/>
                <w:sz w:val="21"/>
                <w:szCs w:val="21"/>
                <w:lang w:bidi="ar"/>
              </w:rPr>
              <w:t xml:space="preserve">若投标人为所投产品代理商的，提供所投产品制造商授权函及原厂售后服务承诺函的得 2 分，未提供则不得分。</w:t>
            </w:r>
            <w:r/>
          </w:p>
          <w:p>
            <w:pPr>
              <w:ind w:left="0"/>
              <w:widowControl w:val="off"/>
              <w:rPr>
                <w:rFonts w:ascii="宋体" w:hAnsi="宋体"/>
                <w:b/>
                <w:sz w:val="21"/>
                <w:szCs w:val="21"/>
                <w:lang w:bidi="ar"/>
              </w:rPr>
            </w:pPr>
            <w:r>
              <w:rPr>
                <w:rStyle w:val="1059"/>
                <w:rFonts w:hint="eastAsia"/>
                <w:b/>
                <w:bCs/>
                <w:sz w:val="21"/>
                <w:szCs w:val="21"/>
                <w:lang w:val="en-US" w:eastAsia="zh-CN"/>
              </w:rPr>
              <w:t xml:space="preserve">本项最高2分。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
                <w:bCs/>
                <w:sz w:val="21"/>
              </w:rPr>
              <w:t xml:space="preserve">▲</w:t>
            </w:r>
            <w:r>
              <w:rPr>
                <w:rFonts w:hint="eastAsia" w:ascii="宋体" w:hAnsi="宋体"/>
                <w:sz w:val="21"/>
                <w:szCs w:val="21"/>
              </w:rPr>
              <w:t xml:space="preserve">合同履约能力</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所投产品的投标人或产品制造商（必须与投标文件中产品型号一致）近4年（自2022年4月份）以来有销售业绩的（非单一产品包为核心产品）。类似业绩日期认定：以签订合同日期为准。每提供一份有效业绩证明材料得1分，最多得4分。</w:t>
            </w:r>
            <w:r/>
          </w:p>
          <w:p>
            <w:pPr>
              <w:ind w:left="0"/>
              <w:widowControl w:val="off"/>
              <w:rPr>
                <w:rFonts w:ascii="宋体" w:hAnsi="宋体"/>
                <w:b/>
                <w:bCs/>
                <w:sz w:val="21"/>
                <w:szCs w:val="21"/>
              </w:rPr>
            </w:pPr>
            <w:r>
              <w:rPr>
                <w:rFonts w:hint="eastAsia" w:ascii="宋体" w:hAnsi="宋体"/>
                <w:b/>
                <w:bCs/>
                <w:sz w:val="21"/>
                <w:szCs w:val="21"/>
              </w:rPr>
              <w:t xml:space="preserve">注：</w:t>
            </w:r>
            <w:r/>
          </w:p>
          <w:p>
            <w:pPr>
              <w:ind w:left="0"/>
              <w:widowControl w:val="off"/>
              <w:rPr>
                <w:rFonts w:ascii="宋体" w:hAnsi="宋体"/>
                <w:b/>
                <w:bCs/>
                <w:sz w:val="21"/>
                <w:szCs w:val="21"/>
              </w:rPr>
            </w:pPr>
            <w:r>
              <w:rPr>
                <w:rFonts w:hint="eastAsia" w:ascii="宋体" w:hAnsi="宋体"/>
                <w:b/>
                <w:bCs/>
                <w:sz w:val="21"/>
                <w:szCs w:val="21"/>
              </w:rPr>
              <w:t xml:space="preserve">①业绩证明材料需同时提供合同、验收证明以及合同执行过程中任意一次付款的发票复印件加盖公章（三者缺一不可），合同须能体现签订单位信息、签订时间、产品名称、型号、价格等相关信息，否则视为无效合同）。</w:t>
            </w:r>
            <w:r/>
          </w:p>
          <w:p>
            <w:pPr>
              <w:ind w:left="0"/>
              <w:widowControl w:val="off"/>
              <w:rPr>
                <w:rFonts w:ascii="宋体" w:hAnsi="宋体"/>
                <w:b/>
                <w:bCs/>
                <w:sz w:val="21"/>
                <w:szCs w:val="21"/>
              </w:rPr>
            </w:pPr>
            <w:r>
              <w:rPr>
                <w:rFonts w:hint="eastAsia" w:ascii="宋体" w:hAnsi="宋体"/>
                <w:b/>
                <w:bCs/>
                <w:sz w:val="21"/>
                <w:szCs w:val="21"/>
              </w:rPr>
              <w:t xml:space="preserve">②统招分签的合同按一个合同业绩计。（多个合同项目名称一致的，均按一个合同计。）</w:t>
            </w:r>
            <w:r/>
          </w:p>
          <w:p>
            <w:pPr>
              <w:ind w:left="0"/>
              <w:widowControl w:val="off"/>
              <w:rPr>
                <w:rFonts w:ascii="宋体" w:hAnsi="宋体"/>
                <w:b/>
                <w:bCs/>
                <w:sz w:val="21"/>
                <w:szCs w:val="21"/>
              </w:rPr>
            </w:pPr>
            <w:r>
              <w:rPr>
                <w:rFonts w:hint="eastAsia" w:ascii="宋体" w:hAnsi="宋体"/>
                <w:b/>
                <w:bCs/>
                <w:sz w:val="21"/>
                <w:szCs w:val="21"/>
              </w:rPr>
              <w:t xml:space="preserve">③合同中的产品名称及产品型号请加以明显标记，以方便评审和核对。</w:t>
            </w:r>
            <w:r/>
          </w:p>
          <w:p>
            <w:pPr>
              <w:ind w:left="0"/>
              <w:widowControl w:val="off"/>
              <w:rPr>
                <w:rFonts w:ascii="宋体" w:hAnsi="宋体"/>
                <w:sz w:val="21"/>
                <w:szCs w:val="21"/>
              </w:rPr>
            </w:pPr>
            <w:r>
              <w:rPr>
                <w:rFonts w:hint="eastAsia" w:ascii="宋体" w:hAnsi="宋体"/>
                <w:b/>
                <w:bCs/>
                <w:sz w:val="21"/>
                <w:szCs w:val="21"/>
              </w:rPr>
              <w:t xml:space="preserve">④合同评审中的重要信息因存在内容模糊、无法辨认而产生不利于该项评审的情况，投标人自行承担后果。</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r>
    </w:tbl>
    <w:p>
      <w:pPr>
        <w:rPr>
          <w:rFonts w:ascii="宋体" w:hAnsi="宋体" w:cs="Times New Roman"/>
          <w:b/>
          <w:sz w:val="21"/>
          <w:szCs w:val="21"/>
        </w:rPr>
      </w:pPr>
      <w:r>
        <w:rPr>
          <w:rFonts w:hint="eastAsia" w:ascii="宋体" w:hAnsi="宋体" w:cs="Times New Roman"/>
          <w:b/>
          <w:sz w:val="21"/>
          <w:szCs w:val="21"/>
        </w:rPr>
        <w:br w:type="page" w:clear="all"/>
      </w:r>
      <w:r/>
    </w:p>
    <w:p>
      <w:pPr>
        <w:ind w:left="0"/>
        <w:spacing w:line="360" w:lineRule="auto"/>
        <w:rPr>
          <w:rFonts w:ascii="宋体" w:hAnsi="宋体" w:cs="Times New Roman"/>
          <w:b/>
          <w:sz w:val="21"/>
          <w:szCs w:val="21"/>
        </w:rPr>
        <w:outlineLvl w:val="0"/>
      </w:pPr>
      <w:r>
        <w:rPr>
          <w:rFonts w:hint="eastAsia" w:ascii="宋体" w:hAnsi="宋体" w:cs="Times New Roman"/>
          <w:b/>
          <w:sz w:val="21"/>
          <w:szCs w:val="21"/>
        </w:rPr>
        <w:t xml:space="preserve">包四：</w:t>
      </w:r>
      <w:r/>
    </w:p>
    <w:tbl>
      <w:tblPr>
        <w:tblStyle w:val="1004"/>
        <w:tblpPr w:horzAnchor="text" w:tblpXSpec="left" w:vertAnchor="text" w:tblpY="1" w:leftFromText="180" w:topFromText="0" w:rightFromText="180" w:bottomFromText="0"/>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1417"/>
        <w:gridCol w:w="4678"/>
        <w:gridCol w:w="2410"/>
      </w:tblGrid>
      <w:tr>
        <w:trPr>
          <w:trHeight w:val="113"/>
        </w:trPr>
        <w:tc>
          <w:tcPr>
            <w:shd w:val="clear" w:color="auto" w:fill="auto"/>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shd w:val="clear" w:color="auto" w:fill="auto"/>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shd w:val="clear" w:color="auto" w:fill="auto"/>
            <w:tcW w:w="4678"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shd w:val="clear" w:color="auto" w:fill="auto"/>
            <w:tcW w:w="2410"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shd w:val="clear" w:color="auto" w:fill="auto"/>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30</w:t>
            </w:r>
            <w:r>
              <w:rPr>
                <w:rFonts w:hint="eastAsia" w:ascii="宋体" w:hAnsi="宋体" w:cs="Tahoma"/>
                <w:b/>
                <w:sz w:val="21"/>
                <w:szCs w:val="21"/>
              </w:rPr>
              <w:t xml:space="preserve">分）</w:t>
            </w:r>
            <w:r/>
          </w:p>
        </w:tc>
        <w:tc>
          <w:tcPr>
            <w:shd w:val="clear" w:color="auto" w:fill="auto"/>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shd w:val="clear" w:color="auto" w:fill="auto"/>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szCs w:val="21"/>
                <w:lang w:bidi="ar"/>
              </w:rPr>
            </w:pPr>
            <w:r>
              <w:rPr>
                <w:rFonts w:hint="eastAsia" w:ascii="宋体" w:hAnsi="宋体"/>
                <w:sz w:val="21"/>
                <w:szCs w:val="21"/>
                <w:lang w:bidi="ar"/>
              </w:rPr>
              <w:t xml:space="preserve">投标报价得分＝（评标基准价/投标报价）×30％×100</w:t>
            </w:r>
            <w:r/>
          </w:p>
        </w:tc>
        <w:tc>
          <w:tcPr>
            <w:shd w:val="clear" w:color="auto" w:fill="auto"/>
            <w:tcW w:w="2410" w:type="dxa"/>
            <w:vAlign w:val="center"/>
            <w:textDirection w:val="lrTb"/>
            <w:noWrap w:val="false"/>
          </w:tcPr>
          <w:p>
            <w:pPr>
              <w:ind w:left="0"/>
              <w:jc w:val="center"/>
              <w:widowControl w:val="off"/>
              <w:rPr>
                <w:rFonts w:ascii="宋体" w:hAnsi="宋体" w:cs="Tahoma"/>
                <w:sz w:val="21"/>
                <w:szCs w:val="21"/>
              </w:rPr>
            </w:pPr>
            <w:r>
              <w:rPr>
                <w:rFonts w:hint="eastAsia" w:ascii="宋体" w:hAnsi="宋体"/>
                <w:sz w:val="21"/>
                <w:szCs w:val="21"/>
                <w:lang w:bidi="ar"/>
              </w:rPr>
              <w:t xml:space="preserve">3</w:t>
            </w:r>
            <w:r>
              <w:rPr>
                <w:rFonts w:ascii="宋体" w:hAnsi="宋体"/>
                <w:sz w:val="21"/>
                <w:szCs w:val="21"/>
                <w:lang w:bidi="ar"/>
              </w:rPr>
              <w:t xml:space="preserve">0</w:t>
            </w:r>
            <w:r/>
          </w:p>
          <w:p>
            <w:pPr>
              <w:ind w:left="0"/>
              <w:widowControl w:val="off"/>
              <w:rPr>
                <w:rFonts w:ascii="宋体" w:hAnsi="宋体" w:cs="Tahoma"/>
                <w:sz w:val="21"/>
                <w:szCs w:val="21"/>
              </w:rPr>
            </w:pPr>
            <w:r>
              <w:rPr>
                <w:rFonts w:ascii="宋体" w:hAnsi="宋体" w:cs="Tahoma"/>
                <w:sz w:val="21"/>
                <w:szCs w:val="21"/>
              </w:rPr>
            </w:r>
            <w:r/>
          </w:p>
        </w:tc>
      </w:tr>
      <w:tr>
        <w:trPr>
          <w:trHeight w:val="113"/>
        </w:trPr>
        <w:tc>
          <w:tcPr>
            <w:shd w:val="clear" w:color="auto" w:fill="auto"/>
            <w:tcW w:w="1413"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70</w:t>
            </w:r>
            <w:r>
              <w:rPr>
                <w:rFonts w:hint="eastAsia" w:ascii="宋体" w:hAnsi="宋体" w:cs="Tahoma"/>
                <w:b/>
                <w:sz w:val="21"/>
                <w:szCs w:val="21"/>
              </w:rPr>
              <w:t xml:space="preserve">分）</w:t>
            </w:r>
            <w:r/>
          </w:p>
        </w:tc>
        <w:tc>
          <w:tcPr>
            <w:shd w:val="clear" w:color="auto" w:fill="auto"/>
            <w:tcW w:w="1417" w:type="dxa"/>
            <w:vAlign w:val="center"/>
            <w:textDirection w:val="lrTb"/>
            <w:noWrap w:val="false"/>
          </w:tcPr>
          <w:p>
            <w:pPr>
              <w:ind w:left="0"/>
              <w:jc w:val="center"/>
              <w:rPr>
                <w:rFonts w:ascii="宋体" w:hAnsi="宋体" w:cs="Tahoma"/>
                <w:sz w:val="21"/>
                <w:szCs w:val="21"/>
              </w:rPr>
            </w:pPr>
            <w:r>
              <w:rPr>
                <w:rFonts w:hint="eastAsia" w:ascii="宋体" w:hAnsi="宋体"/>
                <w:b/>
                <w:bCs/>
                <w:sz w:val="21"/>
              </w:rPr>
              <w:t xml:space="preserve">▲</w:t>
            </w:r>
            <w:r>
              <w:rPr>
                <w:rFonts w:hint="eastAsia" w:ascii="宋体" w:hAnsi="宋体"/>
                <w:sz w:val="21"/>
                <w:szCs w:val="21"/>
              </w:rPr>
              <w:t xml:space="preserve">技术参数</w:t>
            </w:r>
            <w:r/>
          </w:p>
        </w:tc>
        <w:tc>
          <w:tcPr>
            <w:shd w:val="clear" w:color="auto" w:fill="auto"/>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1.投标人所投设备产品“▲”重要技术参数（技术参数要求共6项）完全满足招标文件要求的得满分28.5分，每负偏离一项扣4.75分，扣完28.5分止；</w:t>
            </w:r>
            <w:r/>
          </w:p>
          <w:p>
            <w:pPr>
              <w:ind w:left="0"/>
              <w:widowControl w:val="off"/>
              <w:rPr>
                <w:rFonts w:ascii="宋体" w:hAnsi="宋体"/>
                <w:b/>
                <w:bCs/>
                <w:sz w:val="21"/>
                <w:szCs w:val="21"/>
                <w:lang w:bidi="ar"/>
              </w:rPr>
            </w:pPr>
            <w:r>
              <w:rPr>
                <w:rFonts w:hint="eastAsia" w:ascii="宋体" w:hAnsi="宋体"/>
                <w:b/>
                <w:bCs/>
                <w:sz w:val="21"/>
                <w:szCs w:val="21"/>
                <w:lang w:bidi="ar"/>
              </w:rPr>
              <w:t xml:space="preserve">注：技术参数响应指标与检验报告（采购需求中若要求提供时）或样品（采购需求中若要求提供时）实际参数或标书内其他支持文件不一致的属于负偏离。</w:t>
            </w:r>
            <w:r/>
          </w:p>
          <w:p>
            <w:pPr>
              <w:ind w:left="0"/>
              <w:widowControl w:val="off"/>
              <w:rPr>
                <w:rFonts w:ascii="宋体" w:hAnsi="宋体"/>
                <w:sz w:val="21"/>
                <w:szCs w:val="21"/>
                <w:lang w:bidi="ar"/>
              </w:rPr>
            </w:pPr>
            <w:r>
              <w:rPr>
                <w:rFonts w:hint="eastAsia" w:ascii="宋体" w:hAnsi="宋体"/>
                <w:sz w:val="21"/>
                <w:szCs w:val="21"/>
                <w:lang w:bidi="ar"/>
              </w:rPr>
              <w:t xml:space="preserve">2.投标人对所投产品一般技术参数（技术参数要求共15项非“▲”“★”参数）完全满足招标文件要求的得满分7.5分，每负偏离1项扣0.5 分，扣完7.5分止。</w:t>
            </w:r>
            <w:r/>
          </w:p>
          <w:p>
            <w:pPr>
              <w:ind w:left="0"/>
              <w:widowControl w:val="off"/>
              <w:rPr>
                <w:rFonts w:ascii="宋体" w:hAnsi="宋体"/>
                <w:b/>
                <w:bCs/>
                <w:sz w:val="21"/>
                <w:szCs w:val="21"/>
                <w:lang w:bidi="ar"/>
              </w:rPr>
            </w:pPr>
            <w:r>
              <w:rPr>
                <w:rFonts w:hint="eastAsia" w:ascii="宋体" w:hAnsi="宋体"/>
                <w:b/>
                <w:bCs/>
                <w:sz w:val="21"/>
                <w:szCs w:val="21"/>
                <w:lang w:bidi="ar"/>
              </w:rPr>
              <w:t xml:space="preserve">注：</w:t>
            </w:r>
            <w:r/>
          </w:p>
          <w:p>
            <w:pPr>
              <w:ind w:left="0"/>
              <w:widowControl w:val="off"/>
              <w:rPr>
                <w:rFonts w:ascii="宋体" w:hAnsi="宋体"/>
                <w:b/>
                <w:bCs/>
                <w:sz w:val="21"/>
                <w:szCs w:val="21"/>
                <w:lang w:bidi="ar"/>
              </w:rPr>
            </w:pPr>
            <w:r>
              <w:rPr>
                <w:rFonts w:hint="eastAsia" w:ascii="宋体" w:hAnsi="宋体"/>
                <w:b/>
                <w:bCs/>
                <w:sz w:val="21"/>
                <w:szCs w:val="21"/>
                <w:lang w:bidi="ar"/>
              </w:rPr>
              <w:t xml:space="preserve">1.一般技术参数响应条款如有缺、漏项的，则该项视为负偏离；</w:t>
            </w:r>
            <w:r/>
          </w:p>
          <w:p>
            <w:pPr>
              <w:ind w:left="0"/>
              <w:widowControl w:val="off"/>
              <w:rPr>
                <w:rFonts w:ascii="宋体" w:hAnsi="宋体"/>
                <w:sz w:val="21"/>
                <w:szCs w:val="21"/>
                <w:lang w:bidi="ar"/>
              </w:rPr>
            </w:pPr>
            <w:r>
              <w:rPr>
                <w:rFonts w:hint="eastAsia" w:ascii="宋体" w:hAnsi="宋体"/>
                <w:b/>
                <w:bCs/>
                <w:sz w:val="21"/>
                <w:szCs w:val="21"/>
                <w:lang w:bidi="ar"/>
              </w:rPr>
              <w:t xml:space="preserve">2.技术参数响应指标与检验报告（采购需求中若要求提供时）或样品（采购需求中若要求提供时）实际参数或标书内其他支持文件不一致的属于负偏离。</w:t>
            </w:r>
            <w:r/>
          </w:p>
        </w:tc>
        <w:tc>
          <w:tcPr>
            <w:shd w:val="clear" w:color="auto" w:fill="auto"/>
            <w:tcW w:w="241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36</w:t>
            </w:r>
            <w:r/>
          </w:p>
        </w:tc>
      </w:tr>
      <w:tr>
        <w:trPr>
          <w:trHeight w:val="90"/>
        </w:trPr>
        <w:tc>
          <w:tcPr>
            <w:shd w:val="clear" w:color="auto" w:fill="auto"/>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shd w:val="clear" w:color="auto" w:fill="auto"/>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样品</w:t>
            </w:r>
            <w:r/>
          </w:p>
        </w:tc>
        <w:tc>
          <w:tcPr>
            <w:shd w:val="clear" w:color="auto" w:fill="auto"/>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结合投标人提供的各类别产品样品与招标文件采购需求的“点对点”响应性：</w:t>
            </w:r>
            <w:r/>
          </w:p>
          <w:p>
            <w:pPr>
              <w:ind w:left="0"/>
              <w:widowControl w:val="off"/>
              <w:rPr>
                <w:rFonts w:ascii="宋体" w:hAnsi="宋体"/>
                <w:sz w:val="21"/>
                <w:szCs w:val="21"/>
                <w:lang w:bidi="ar"/>
              </w:rPr>
            </w:pPr>
            <w:r>
              <w:rPr>
                <w:rFonts w:hint="eastAsia" w:ascii="宋体" w:hAnsi="宋体"/>
                <w:sz w:val="21"/>
                <w:szCs w:val="21"/>
                <w:lang w:bidi="ar"/>
              </w:rPr>
              <w:t xml:space="preserve">1.对工艺制作细节进行评测。样品工艺组装精细，部件之间衔接紧密，标志准确清晰。</w:t>
            </w:r>
            <w:r/>
          </w:p>
          <w:p>
            <w:pPr>
              <w:ind w:left="0"/>
              <w:widowControl w:val="off"/>
              <w:rPr>
                <w:rFonts w:ascii="宋体" w:hAnsi="宋体"/>
                <w:sz w:val="21"/>
                <w:szCs w:val="21"/>
                <w:lang w:bidi="ar"/>
              </w:rPr>
            </w:pPr>
            <w:r>
              <w:rPr>
                <w:rFonts w:hint="eastAsia" w:ascii="宋体" w:hAnsi="宋体"/>
                <w:sz w:val="21"/>
                <w:szCs w:val="21"/>
                <w:lang w:bidi="ar"/>
              </w:rPr>
              <w:t xml:space="preserve">2.对用材用料进行评测。用材用料结实耐用，粘合无脱胶及表面渗胶。</w:t>
            </w:r>
            <w:r/>
          </w:p>
          <w:p>
            <w:pPr>
              <w:ind w:left="0"/>
              <w:widowControl w:val="off"/>
              <w:rPr>
                <w:rFonts w:ascii="宋体" w:hAnsi="宋体"/>
                <w:sz w:val="21"/>
                <w:szCs w:val="21"/>
                <w:lang w:bidi="ar"/>
              </w:rPr>
            </w:pPr>
            <w:r>
              <w:rPr>
                <w:rFonts w:hint="eastAsia" w:ascii="宋体" w:hAnsi="宋体"/>
                <w:sz w:val="21"/>
                <w:szCs w:val="21"/>
                <w:lang w:bidi="ar"/>
              </w:rPr>
              <w:t xml:space="preserve">3.对使用性能或易用性进行测试，样品使用按键、旋钮等操作部件反馈灵敏准确、操作及界面设计方便操作。</w:t>
            </w:r>
            <w:r/>
          </w:p>
          <w:p>
            <w:pPr>
              <w:ind w:left="0"/>
              <w:widowControl w:val="off"/>
              <w:rPr>
                <w:rFonts w:hint="eastAsia" w:ascii="宋体" w:hAnsi="宋体" w:cs="Times New Roman"/>
                <w:sz w:val="21"/>
                <w:szCs w:val="21"/>
              </w:rPr>
            </w:pPr>
            <w:r>
              <w:rPr>
                <w:rFonts w:hint="eastAsia" w:ascii="宋体" w:hAnsi="宋体"/>
                <w:sz w:val="21"/>
                <w:szCs w:val="21"/>
                <w:lang w:bidi="ar"/>
              </w:rPr>
              <w:t xml:space="preserve">4.对外观配置进行评测。使用者可能触摸到的部件表面无锐利的棱角、无毛刺，款式、号型符合消防救援队伍标识统型要求。</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w:t>
            </w:r>
            <w:r>
              <w:rPr>
                <w:rFonts w:hint="eastAsia" w:ascii="宋体" w:hAnsi="宋体" w:cs="Times New Roman"/>
                <w:sz w:val="21"/>
                <w:szCs w:val="21"/>
              </w:rPr>
              <w:t xml:space="preserve">做工精良、美观整洁得</w:t>
            </w:r>
            <w:r>
              <w:rPr>
                <w:rFonts w:hint="eastAsia" w:ascii="宋体" w:hAnsi="宋体" w:cs="Times New Roman"/>
                <w:sz w:val="21"/>
                <w:szCs w:val="21"/>
                <w:lang w:val="en-US" w:eastAsia="zh-CN"/>
              </w:rPr>
              <w:t xml:space="preserve">4</w:t>
            </w:r>
            <w:r>
              <w:rPr>
                <w:rFonts w:hint="eastAsia" w:ascii="宋体" w:hAnsi="宋体" w:cs="Times New Roman"/>
                <w:sz w:val="21"/>
                <w:szCs w:val="21"/>
              </w:rPr>
              <w:t xml:space="preserve">分；做工一般、整洁性一般得</w:t>
            </w:r>
            <w:r>
              <w:rPr>
                <w:rFonts w:hint="eastAsia" w:ascii="宋体" w:hAnsi="宋体" w:cs="Times New Roman"/>
                <w:sz w:val="21"/>
                <w:szCs w:val="21"/>
                <w:lang w:val="en-US" w:eastAsia="zh-CN"/>
              </w:rPr>
              <w:t xml:space="preserve">2</w:t>
            </w:r>
            <w:r>
              <w:rPr>
                <w:rFonts w:hint="eastAsia" w:ascii="宋体" w:hAnsi="宋体" w:cs="Times New Roman"/>
                <w:sz w:val="21"/>
                <w:szCs w:val="21"/>
              </w:rPr>
              <w:t xml:space="preserve">分</w:t>
            </w:r>
            <w:r>
              <w:rPr>
                <w:rFonts w:hint="eastAsia" w:ascii="宋体" w:hAnsi="宋体" w:cs="Times New Roman"/>
                <w:sz w:val="21"/>
                <w:szCs w:val="21"/>
                <w:lang w:eastAsia="zh-CN"/>
              </w:rPr>
              <w:t xml:space="preserve">。</w:t>
            </w:r>
            <w:r>
              <w:rPr>
                <w:rFonts w:hint="eastAsia" w:ascii="宋体" w:hAnsi="宋体"/>
                <w:sz w:val="21"/>
                <w:szCs w:val="21"/>
                <w:lang w:bidi="ar"/>
              </w:rPr>
              <w:t xml:space="preserve">本项最高得</w:t>
            </w:r>
            <w:r>
              <w:rPr>
                <w:rFonts w:hint="eastAsia" w:ascii="宋体" w:hAnsi="宋体"/>
                <w:sz w:val="21"/>
                <w:szCs w:val="21"/>
                <w:lang w:val="en-US" w:eastAsia="zh-CN" w:bidi="ar"/>
              </w:rPr>
              <w:t xml:space="preserve">16</w:t>
            </w:r>
            <w:r>
              <w:rPr>
                <w:rFonts w:hint="eastAsia" w:ascii="宋体" w:hAnsi="宋体"/>
                <w:sz w:val="21"/>
                <w:szCs w:val="21"/>
                <w:lang w:bidi="ar"/>
              </w:rPr>
              <w:t xml:space="preserve">分。</w:t>
            </w:r>
            <w:r/>
          </w:p>
          <w:p>
            <w:pPr>
              <w:ind w:left="0"/>
              <w:widowControl w:val="off"/>
              <w:rPr>
                <w:rFonts w:ascii="宋体" w:hAnsi="宋体"/>
                <w:sz w:val="21"/>
                <w:szCs w:val="21"/>
                <w:lang w:bidi="ar"/>
              </w:rPr>
            </w:pPr>
            <w:r>
              <w:rPr>
                <w:rFonts w:hint="eastAsia" w:ascii="宋体" w:hAnsi="宋体"/>
                <w:b/>
                <w:bCs/>
                <w:sz w:val="21"/>
                <w:szCs w:val="21"/>
                <w:lang w:bidi="ar"/>
              </w:rPr>
              <w:t xml:space="preserve">注：未按招标文件要求提交样品的不得分。</w:t>
            </w:r>
            <w:r/>
          </w:p>
        </w:tc>
        <w:tc>
          <w:tcPr>
            <w:shd w:val="clear" w:color="auto" w:fill="auto"/>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16</w:t>
            </w:r>
            <w:r/>
          </w:p>
        </w:tc>
      </w:tr>
      <w:tr>
        <w:trPr>
          <w:trHeight w:val="113"/>
        </w:trPr>
        <w:tc>
          <w:tcPr>
            <w:shd w:val="clear" w:color="auto" w:fill="auto"/>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shd w:val="clear" w:color="auto" w:fill="auto"/>
            <w:tcW w:w="1417" w:type="dxa"/>
            <w:vAlign w:val="center"/>
            <w:textDirection w:val="lrTb"/>
            <w:noWrap w:val="false"/>
          </w:tcPr>
          <w:p>
            <w:pPr>
              <w:ind w:left="0"/>
              <w:jc w:val="center"/>
              <w:rPr>
                <w:rFonts w:ascii="宋体" w:hAnsi="宋体"/>
                <w:sz w:val="21"/>
                <w:szCs w:val="21"/>
                <w:lang w:bidi="ar"/>
              </w:rPr>
            </w:pPr>
            <w:r>
              <w:rPr>
                <w:rFonts w:hint="eastAsia" w:ascii="宋体" w:hAnsi="宋体"/>
                <w:sz w:val="21"/>
                <w:szCs w:val="22"/>
              </w:rPr>
              <w:t xml:space="preserve">培训方案</w:t>
            </w:r>
            <w:r/>
          </w:p>
        </w:tc>
        <w:tc>
          <w:tcPr>
            <w:shd w:val="clear" w:color="auto" w:fill="auto"/>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结合本项目采购需求，对投标人的培训方案（①培训时间计划及培训人员安排；②培训内容设计安排；③重点难点及培训结果保障措施）等进行综合评审：</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shd w:val="clear" w:color="auto" w:fill="auto"/>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r>
      <w:tr>
        <w:trPr>
          <w:trHeight w:val="113"/>
        </w:trPr>
        <w:tc>
          <w:tcPr>
            <w:shd w:val="clear" w:color="auto" w:fill="auto"/>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shd w:val="clear" w:color="auto" w:fill="auto"/>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售后服务方案</w:t>
            </w:r>
            <w:r/>
          </w:p>
        </w:tc>
        <w:tc>
          <w:tcPr>
            <w:shd w:val="clear" w:color="auto" w:fill="auto"/>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本项目采购需求，对投标人的售后服务方案（①售后服务机构及人员网点配置；②响应时间；③零配件供应周期、备货储存、工时费等；④定期安排技术人员针对产品的使用环境、使用频率及更新等进行回访、巡检、维护、保养等方案）进行综合评审：</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1分；内容基本合理、具有一定的可行性、具有一定的操作性、与项目实际基本贴合的得0.5分；每项叙述内容完全脱离采购需求或未作完整叙述的不得分。本项最高得4分。</w:t>
            </w:r>
            <w:r/>
          </w:p>
        </w:tc>
        <w:tc>
          <w:tcPr>
            <w:shd w:val="clear" w:color="auto" w:fill="auto"/>
            <w:tcW w:w="2410"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rPr>
              <w:t xml:space="preserve">4</w:t>
            </w:r>
            <w:r/>
          </w:p>
        </w:tc>
      </w:tr>
      <w:tr>
        <w:trPr>
          <w:trHeight w:val="782"/>
        </w:trPr>
        <w:tc>
          <w:tcPr>
            <w:shd w:val="clear" w:color="auto" w:fill="auto"/>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shd w:val="clear" w:color="auto" w:fill="auto"/>
            <w:tcW w:w="1417" w:type="dxa"/>
            <w:vAlign w:val="center"/>
            <w:textDirection w:val="lrTb"/>
            <w:noWrap w:val="false"/>
          </w:tcPr>
          <w:p>
            <w:pPr>
              <w:ind w:left="0"/>
              <w:jc w:val="center"/>
              <w:rPr>
                <w:rFonts w:ascii="宋体" w:hAnsi="宋体"/>
                <w:sz w:val="21"/>
                <w:szCs w:val="21"/>
              </w:rPr>
            </w:pPr>
            <w:r>
              <w:rPr>
                <w:rFonts w:hint="eastAsia" w:ascii="宋体" w:hAnsi="宋体"/>
                <w:b/>
                <w:bCs/>
                <w:sz w:val="21"/>
              </w:rPr>
              <w:t xml:space="preserve">▲</w:t>
            </w:r>
            <w:r>
              <w:rPr>
                <w:rFonts w:hint="eastAsia" w:ascii="宋体" w:hAnsi="宋体"/>
                <w:sz w:val="21"/>
                <w:szCs w:val="21"/>
              </w:rPr>
              <w:t xml:space="preserve">延长质保</w:t>
            </w:r>
            <w:r/>
          </w:p>
        </w:tc>
        <w:tc>
          <w:tcPr>
            <w:shd w:val="clear" w:color="auto" w:fill="auto"/>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投标人所投产品质保期响应招标文件最低要求（质保三年）基础上每增加一年加1分，最高得2分。</w:t>
            </w:r>
            <w:r/>
          </w:p>
          <w:p>
            <w:pPr>
              <w:ind w:left="0"/>
              <w:widowControl w:val="off"/>
              <w:rPr>
                <w:rFonts w:ascii="宋体" w:hAnsi="宋体"/>
                <w:sz w:val="21"/>
                <w:szCs w:val="21"/>
                <w:lang w:bidi="ar"/>
              </w:rPr>
            </w:pPr>
            <w:r>
              <w:rPr>
                <w:rFonts w:hint="eastAsia" w:ascii="宋体" w:hAnsi="宋体"/>
                <w:b/>
                <w:bCs/>
                <w:sz w:val="21"/>
                <w:szCs w:val="21"/>
                <w:lang w:bidi="ar"/>
              </w:rPr>
              <w:t xml:space="preserve">注：投标文件需提供加盖投标人公章的质保期承诺书，不提供则不得分。</w:t>
            </w:r>
            <w:r/>
          </w:p>
        </w:tc>
        <w:tc>
          <w:tcPr>
            <w:shd w:val="clear" w:color="auto" w:fill="auto"/>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 2</w:t>
            </w:r>
            <w:r/>
          </w:p>
        </w:tc>
      </w:tr>
      <w:tr>
        <w:trPr>
          <w:trHeight w:val="782"/>
        </w:trPr>
        <w:tc>
          <w:tcPr>
            <w:shd w:val="clear" w:color="auto" w:fill="auto"/>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shd w:val="clear" w:color="auto" w:fill="auto"/>
            <w:tcW w:w="1417" w:type="dxa"/>
            <w:vAlign w:val="center"/>
            <w:textDirection w:val="lrTb"/>
            <w:noWrap w:val="false"/>
          </w:tcPr>
          <w:p>
            <w:pPr>
              <w:ind w:left="0"/>
              <w:jc w:val="center"/>
              <w:widowControl w:val="off"/>
              <w:rPr>
                <w:rFonts w:ascii="宋体" w:hAnsi="宋体"/>
                <w:sz w:val="21"/>
                <w:szCs w:val="21"/>
                <w:lang w:bidi="ar"/>
              </w:rPr>
            </w:pPr>
            <w:r>
              <w:rPr>
                <w:rFonts w:hint="eastAsia" w:ascii="宋体" w:hAnsi="宋体"/>
                <w:b/>
                <w:bCs/>
                <w:sz w:val="21"/>
              </w:rPr>
              <w:t xml:space="preserve">▲</w:t>
            </w:r>
            <w:r>
              <w:rPr>
                <w:rFonts w:hint="eastAsia" w:ascii="宋体" w:hAnsi="宋体"/>
                <w:sz w:val="21"/>
                <w:szCs w:val="21"/>
                <w:lang w:bidi="ar"/>
              </w:rPr>
              <w:t xml:space="preserve">制造商授权、制造商原厂售后服务承诺</w:t>
            </w:r>
            <w:r/>
          </w:p>
        </w:tc>
        <w:tc>
          <w:tcPr>
            <w:shd w:val="clear" w:color="auto" w:fill="auto"/>
            <w:tcW w:w="4678" w:type="dxa"/>
            <w:vAlign w:val="center"/>
            <w:textDirection w:val="lrTb"/>
            <w:noWrap w:val="false"/>
          </w:tcPr>
          <w:p>
            <w:pPr>
              <w:ind w:left="0"/>
              <w:widowControl w:val="off"/>
              <w:rPr>
                <w:rFonts w:ascii="宋体" w:hAnsi="宋体"/>
                <w:bCs/>
                <w:sz w:val="21"/>
                <w:szCs w:val="21"/>
                <w:lang w:bidi="ar"/>
              </w:rPr>
            </w:pPr>
            <w:r>
              <w:rPr>
                <w:rFonts w:hint="eastAsia" w:ascii="宋体" w:hAnsi="宋体"/>
                <w:bCs/>
                <w:sz w:val="21"/>
                <w:szCs w:val="21"/>
                <w:lang w:bidi="ar"/>
              </w:rPr>
              <w:t xml:space="preserve">若投标人为所投产品制造商的，提供制造商声明函及售后服务承诺函的得 2 分，未提供则不得分；</w:t>
            </w:r>
            <w:r/>
          </w:p>
          <w:p>
            <w:pPr>
              <w:ind w:left="0"/>
              <w:widowControl w:val="off"/>
              <w:rPr>
                <w:rFonts w:hint="eastAsia" w:ascii="宋体" w:hAnsi="宋体"/>
                <w:bCs/>
                <w:sz w:val="21"/>
                <w:szCs w:val="21"/>
                <w:lang w:bidi="ar"/>
              </w:rPr>
            </w:pPr>
            <w:r>
              <w:rPr>
                <w:rFonts w:hint="eastAsia" w:ascii="宋体" w:hAnsi="宋体"/>
                <w:bCs/>
                <w:sz w:val="21"/>
                <w:szCs w:val="21"/>
                <w:lang w:bidi="ar"/>
              </w:rPr>
              <w:t xml:space="preserve">若投标人为所投产品代理商的，提供所投产品制造商授权函及原厂售后服务承诺函的得 2 分，未提供则不得分。</w:t>
            </w:r>
            <w:r/>
          </w:p>
          <w:p>
            <w:pPr>
              <w:ind w:left="0"/>
              <w:widowControl w:val="off"/>
              <w:rPr>
                <w:rFonts w:ascii="宋体" w:hAnsi="宋体"/>
                <w:b/>
                <w:sz w:val="21"/>
                <w:szCs w:val="21"/>
                <w:lang w:bidi="ar"/>
              </w:rPr>
            </w:pPr>
            <w:r>
              <w:rPr>
                <w:rStyle w:val="1059"/>
                <w:rFonts w:hint="eastAsia"/>
                <w:b/>
                <w:bCs/>
                <w:sz w:val="21"/>
                <w:szCs w:val="21"/>
                <w:lang w:val="en-US" w:eastAsia="zh-CN"/>
              </w:rPr>
              <w:t xml:space="preserve">本项最高2分。</w:t>
            </w:r>
            <w:r/>
          </w:p>
        </w:tc>
        <w:tc>
          <w:tcPr>
            <w:shd w:val="clear" w:color="auto" w:fill="auto"/>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r>
      <w:tr>
        <w:trPr>
          <w:trHeight w:val="782"/>
        </w:trPr>
        <w:tc>
          <w:tcPr>
            <w:shd w:val="clear" w:color="auto" w:fill="auto"/>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shd w:val="clear" w:color="auto" w:fill="auto"/>
            <w:tcW w:w="1417" w:type="dxa"/>
            <w:vAlign w:val="center"/>
            <w:textDirection w:val="lrTb"/>
            <w:noWrap w:val="false"/>
          </w:tcPr>
          <w:p>
            <w:pPr>
              <w:ind w:left="0"/>
              <w:jc w:val="center"/>
              <w:widowControl w:val="off"/>
              <w:rPr>
                <w:rFonts w:ascii="宋体" w:hAnsi="宋体"/>
                <w:sz w:val="21"/>
                <w:szCs w:val="21"/>
              </w:rPr>
            </w:pPr>
            <w:r>
              <w:rPr>
                <w:rFonts w:hint="eastAsia" w:ascii="宋体" w:hAnsi="宋体"/>
                <w:b/>
                <w:bCs/>
                <w:sz w:val="21"/>
              </w:rPr>
              <w:t xml:space="preserve">▲</w:t>
            </w:r>
            <w:r>
              <w:rPr>
                <w:rFonts w:hint="eastAsia" w:ascii="宋体" w:hAnsi="宋体"/>
                <w:sz w:val="21"/>
                <w:szCs w:val="21"/>
              </w:rPr>
              <w:t xml:space="preserve">合同履约能力</w:t>
            </w:r>
            <w:r/>
          </w:p>
        </w:tc>
        <w:tc>
          <w:tcPr>
            <w:shd w:val="clear" w:color="auto" w:fill="auto"/>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所投产品的投标人或产品制造商（必须与投标文件中产品型号一致）近4年（自2022年4月份）以来有销售业绩的（非单一产品包为核心产品）。类似业绩日期认定：以签订合同日期为准。每提供一份有效业绩证明材料得1分，最多得4分。</w:t>
            </w:r>
            <w:r/>
          </w:p>
          <w:p>
            <w:pPr>
              <w:ind w:left="0"/>
              <w:widowControl w:val="off"/>
              <w:rPr>
                <w:rFonts w:ascii="宋体" w:hAnsi="宋体"/>
                <w:b/>
                <w:bCs/>
                <w:sz w:val="21"/>
                <w:szCs w:val="21"/>
              </w:rPr>
            </w:pPr>
            <w:r>
              <w:rPr>
                <w:rFonts w:hint="eastAsia" w:ascii="宋体" w:hAnsi="宋体"/>
                <w:b/>
                <w:bCs/>
                <w:sz w:val="21"/>
                <w:szCs w:val="21"/>
              </w:rPr>
              <w:t xml:space="preserve">注：</w:t>
            </w:r>
            <w:r/>
          </w:p>
          <w:p>
            <w:pPr>
              <w:ind w:left="0"/>
              <w:widowControl w:val="off"/>
              <w:rPr>
                <w:rFonts w:ascii="宋体" w:hAnsi="宋体"/>
                <w:b/>
                <w:bCs/>
                <w:sz w:val="21"/>
                <w:szCs w:val="21"/>
              </w:rPr>
            </w:pPr>
            <w:r>
              <w:rPr>
                <w:rFonts w:hint="eastAsia" w:ascii="宋体" w:hAnsi="宋体"/>
                <w:b/>
                <w:bCs/>
                <w:sz w:val="21"/>
                <w:szCs w:val="21"/>
              </w:rPr>
              <w:t xml:space="preserve">①业绩证明材料需同时提供合同、验收证明以及合同执行过程中任意一次付款的发票复印件加盖公章（三者缺一不可），合同须能体现签订单位信息、签订时间、产品名称、型号、价格等相关信息，否则视为无效合同）。</w:t>
            </w:r>
            <w:r/>
          </w:p>
          <w:p>
            <w:pPr>
              <w:ind w:left="0"/>
              <w:widowControl w:val="off"/>
              <w:rPr>
                <w:rFonts w:ascii="宋体" w:hAnsi="宋体"/>
                <w:b/>
                <w:bCs/>
                <w:sz w:val="21"/>
                <w:szCs w:val="21"/>
              </w:rPr>
            </w:pPr>
            <w:r>
              <w:rPr>
                <w:rFonts w:hint="eastAsia" w:ascii="宋体" w:hAnsi="宋体"/>
                <w:b/>
                <w:bCs/>
                <w:sz w:val="21"/>
                <w:szCs w:val="21"/>
              </w:rPr>
              <w:t xml:space="preserve">②统招分签的合同按一个合同业绩计。（多个合同项目名称一致的，均按一个合同计。）</w:t>
            </w:r>
            <w:r/>
          </w:p>
          <w:p>
            <w:pPr>
              <w:ind w:left="0"/>
              <w:widowControl w:val="off"/>
              <w:rPr>
                <w:rFonts w:ascii="宋体" w:hAnsi="宋体"/>
                <w:b/>
                <w:bCs/>
                <w:sz w:val="21"/>
                <w:szCs w:val="21"/>
              </w:rPr>
            </w:pPr>
            <w:r>
              <w:rPr>
                <w:rFonts w:hint="eastAsia" w:ascii="宋体" w:hAnsi="宋体"/>
                <w:b/>
                <w:bCs/>
                <w:sz w:val="21"/>
                <w:szCs w:val="21"/>
              </w:rPr>
              <w:t xml:space="preserve">③合同中的产品名称及产品型号请加以明显标记，以方便评审和核对。</w:t>
            </w:r>
            <w:r/>
          </w:p>
          <w:p>
            <w:pPr>
              <w:ind w:left="0"/>
              <w:widowControl w:val="off"/>
              <w:rPr>
                <w:rFonts w:ascii="宋体" w:hAnsi="宋体"/>
                <w:sz w:val="21"/>
                <w:szCs w:val="21"/>
              </w:rPr>
            </w:pPr>
            <w:r>
              <w:rPr>
                <w:rFonts w:hint="eastAsia" w:ascii="宋体" w:hAnsi="宋体"/>
                <w:b/>
                <w:bCs/>
                <w:sz w:val="21"/>
                <w:szCs w:val="21"/>
              </w:rPr>
              <w:t xml:space="preserve">④合同评审中的重要信息因存在内容模糊、无法辨认而产生不利于该项评审的情况，投标人自行承担后果。</w:t>
            </w:r>
            <w:r/>
          </w:p>
        </w:tc>
        <w:tc>
          <w:tcPr>
            <w:shd w:val="clear" w:color="auto" w:fill="auto"/>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r>
    </w:tbl>
    <w:p>
      <w:pPr>
        <w:rPr>
          <w:rFonts w:ascii="宋体" w:hAnsi="宋体" w:cs="Times New Roman"/>
          <w:b/>
          <w:sz w:val="21"/>
          <w:szCs w:val="21"/>
        </w:rPr>
      </w:pPr>
      <w:r>
        <w:rPr>
          <w:rFonts w:hint="eastAsia" w:ascii="宋体" w:hAnsi="宋体" w:cs="Times New Roman"/>
          <w:b/>
          <w:sz w:val="21"/>
          <w:szCs w:val="21"/>
        </w:rPr>
        <w:br w:type="page" w:clear="all"/>
      </w:r>
      <w:r/>
    </w:p>
    <w:p>
      <w:pPr>
        <w:ind w:left="0"/>
        <w:spacing w:line="360" w:lineRule="auto"/>
        <w:rPr>
          <w:rFonts w:ascii="宋体" w:hAnsi="宋体" w:cs="Times New Roman"/>
          <w:b/>
          <w:sz w:val="21"/>
          <w:szCs w:val="21"/>
        </w:rPr>
        <w:outlineLvl w:val="0"/>
      </w:pPr>
      <w:r>
        <w:rPr>
          <w:rFonts w:hint="eastAsia" w:ascii="宋体" w:hAnsi="宋体" w:cs="Times New Roman"/>
          <w:b/>
          <w:sz w:val="21"/>
          <w:szCs w:val="21"/>
        </w:rPr>
        <w:t xml:space="preserve">包五：</w:t>
      </w:r>
      <w:r/>
    </w:p>
    <w:tbl>
      <w:tblPr>
        <w:tblStyle w:val="1004"/>
        <w:tblpPr w:horzAnchor="text" w:tblpXSpec="left" w:vertAnchor="text" w:tblpY="1" w:leftFromText="180" w:topFromText="0" w:rightFromText="180" w:bottomFromText="0"/>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30</w:t>
            </w:r>
            <w:r>
              <w:rPr>
                <w:rFonts w:hint="eastAsia" w:ascii="宋体" w:hAnsi="宋体" w:cs="Tahoma"/>
                <w:b/>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szCs w:val="21"/>
                <w:lang w:bidi="ar"/>
              </w:rPr>
            </w:pPr>
            <w:r>
              <w:rPr>
                <w:rFonts w:hint="eastAsia" w:ascii="宋体" w:hAnsi="宋体"/>
                <w:sz w:val="21"/>
                <w:szCs w:val="21"/>
                <w:lang w:bidi="ar"/>
              </w:rPr>
              <w:t xml:space="preserve">投标报价得分＝（评标基准价/投标报价）×30％×100</w:t>
            </w:r>
            <w:r/>
          </w:p>
        </w:tc>
        <w:tc>
          <w:tcPr>
            <w:tcW w:w="2410" w:type="dxa"/>
            <w:vAlign w:val="center"/>
            <w:textDirection w:val="lrTb"/>
            <w:noWrap w:val="false"/>
          </w:tcPr>
          <w:p>
            <w:pPr>
              <w:ind w:left="0"/>
              <w:jc w:val="center"/>
              <w:widowControl w:val="off"/>
              <w:rPr>
                <w:rFonts w:ascii="宋体" w:hAnsi="宋体" w:cs="Tahoma"/>
                <w:sz w:val="21"/>
                <w:szCs w:val="21"/>
              </w:rPr>
            </w:pPr>
            <w:r>
              <w:rPr>
                <w:rFonts w:hint="eastAsia" w:ascii="宋体" w:hAnsi="宋体"/>
                <w:sz w:val="21"/>
                <w:szCs w:val="21"/>
                <w:lang w:bidi="ar"/>
              </w:rPr>
              <w:t xml:space="preserve">3</w:t>
            </w:r>
            <w:r>
              <w:rPr>
                <w:rFonts w:ascii="宋体" w:hAnsi="宋体"/>
                <w:sz w:val="21"/>
                <w:szCs w:val="21"/>
                <w:lang w:bidi="ar"/>
              </w:rPr>
              <w:t xml:space="preserve">0</w:t>
            </w:r>
            <w:r/>
          </w:p>
          <w:p>
            <w:pPr>
              <w:ind w:left="0"/>
              <w:widowControl w:val="off"/>
              <w:rPr>
                <w:rFonts w:ascii="宋体" w:hAnsi="宋体" w:cs="Tahoma"/>
                <w:sz w:val="21"/>
                <w:szCs w:val="21"/>
              </w:rPr>
            </w:pPr>
            <w:r>
              <w:rPr>
                <w:rFonts w:ascii="宋体" w:hAnsi="宋体" w:cs="Tahoma"/>
                <w:sz w:val="21"/>
                <w:szCs w:val="21"/>
              </w:rPr>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70</w:t>
            </w:r>
            <w:r>
              <w:rPr>
                <w:rFonts w:hint="eastAsia" w:ascii="宋体" w:hAnsi="宋体" w:cs="Tahoma"/>
                <w:b/>
                <w:sz w:val="21"/>
                <w:szCs w:val="21"/>
              </w:rPr>
              <w:t xml:space="preserve">分）</w:t>
            </w:r>
            <w:r/>
          </w:p>
        </w:tc>
        <w:tc>
          <w:tcPr>
            <w:tcW w:w="1417" w:type="dxa"/>
            <w:vAlign w:val="center"/>
            <w:textDirection w:val="lrTb"/>
            <w:noWrap w:val="false"/>
          </w:tcPr>
          <w:p>
            <w:pPr>
              <w:ind w:left="0"/>
              <w:jc w:val="center"/>
              <w:rPr>
                <w:rFonts w:ascii="宋体" w:hAnsi="宋体" w:cs="Tahoma"/>
                <w:sz w:val="21"/>
                <w:szCs w:val="21"/>
              </w:rPr>
            </w:pPr>
            <w:r>
              <w:rPr>
                <w:rFonts w:hint="eastAsia" w:ascii="宋体" w:hAnsi="宋体"/>
                <w:b/>
                <w:bCs/>
                <w:sz w:val="21"/>
              </w:rPr>
              <w:t xml:space="preserve">▲</w:t>
            </w:r>
            <w:r>
              <w:rPr>
                <w:rFonts w:hint="eastAsia" w:ascii="宋体" w:hAnsi="宋体"/>
                <w:sz w:val="21"/>
                <w:szCs w:val="21"/>
              </w:rPr>
              <w:t xml:space="preserve">技术参数</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1.投标人所投设备产品“▲”重要技术参数（技术参数要求共8项）完全满足招标文件要求的得满分20.8分，每负偏离一项扣2.6分，扣完20.8分止；</w:t>
            </w:r>
            <w:r/>
          </w:p>
          <w:p>
            <w:pPr>
              <w:ind w:left="0"/>
              <w:widowControl w:val="off"/>
              <w:rPr>
                <w:rFonts w:ascii="宋体" w:hAnsi="宋体"/>
                <w:b/>
                <w:bCs/>
                <w:sz w:val="21"/>
                <w:szCs w:val="21"/>
                <w:lang w:bidi="ar"/>
              </w:rPr>
            </w:pPr>
            <w:r>
              <w:rPr>
                <w:rFonts w:hint="eastAsia" w:ascii="宋体" w:hAnsi="宋体"/>
                <w:b/>
                <w:bCs/>
                <w:sz w:val="21"/>
                <w:szCs w:val="21"/>
                <w:lang w:bidi="ar"/>
              </w:rPr>
              <w:t xml:space="preserve">注：技术参数响应指标与检验报告（采购需求中若要求提供时）或样品（采购需求中若要求提供时）实际参数或标书内其他支持文件不一致的属于负偏离。</w:t>
            </w:r>
            <w:r/>
          </w:p>
          <w:p>
            <w:pPr>
              <w:ind w:left="0"/>
              <w:widowControl w:val="off"/>
              <w:rPr>
                <w:rFonts w:ascii="宋体" w:hAnsi="宋体"/>
                <w:sz w:val="21"/>
                <w:szCs w:val="21"/>
                <w:lang w:bidi="ar"/>
              </w:rPr>
            </w:pPr>
            <w:r>
              <w:rPr>
                <w:rFonts w:hint="eastAsia" w:ascii="宋体" w:hAnsi="宋体"/>
                <w:sz w:val="21"/>
                <w:szCs w:val="21"/>
                <w:lang w:bidi="ar"/>
              </w:rPr>
              <w:t xml:space="preserve">2.投标人对所投产品一般技术参数（技术参数要求共27项非“▲”“★”参数）完全满足招标文件要求的得满分16.2分，每负偏离1项扣0.6分，扣完16.2分止。</w:t>
            </w:r>
            <w:r/>
          </w:p>
          <w:p>
            <w:pPr>
              <w:ind w:left="0"/>
              <w:widowControl w:val="off"/>
              <w:rPr>
                <w:rFonts w:ascii="宋体" w:hAnsi="宋体"/>
                <w:b/>
                <w:bCs/>
                <w:sz w:val="21"/>
                <w:szCs w:val="21"/>
                <w:lang w:bidi="ar"/>
              </w:rPr>
            </w:pPr>
            <w:r>
              <w:rPr>
                <w:rFonts w:hint="eastAsia" w:ascii="宋体" w:hAnsi="宋体"/>
                <w:b/>
                <w:bCs/>
                <w:sz w:val="21"/>
                <w:szCs w:val="21"/>
                <w:lang w:bidi="ar"/>
              </w:rPr>
              <w:t xml:space="preserve">注：</w:t>
            </w:r>
            <w:r/>
          </w:p>
          <w:p>
            <w:pPr>
              <w:ind w:left="0"/>
              <w:widowControl w:val="off"/>
              <w:rPr>
                <w:rFonts w:ascii="宋体" w:hAnsi="宋体"/>
                <w:b/>
                <w:bCs/>
                <w:sz w:val="21"/>
                <w:szCs w:val="21"/>
                <w:lang w:bidi="ar"/>
              </w:rPr>
            </w:pPr>
            <w:r>
              <w:rPr>
                <w:rFonts w:hint="eastAsia" w:ascii="宋体" w:hAnsi="宋体"/>
                <w:b/>
                <w:bCs/>
                <w:sz w:val="21"/>
                <w:szCs w:val="21"/>
                <w:lang w:bidi="ar"/>
              </w:rPr>
              <w:t xml:space="preserve">1.一般技术参数响应条款如有缺、漏项的，则该项视为负偏离；</w:t>
            </w:r>
            <w:r/>
          </w:p>
          <w:p>
            <w:pPr>
              <w:ind w:left="0"/>
              <w:widowControl w:val="off"/>
              <w:rPr>
                <w:rFonts w:ascii="宋体" w:hAnsi="宋体"/>
                <w:sz w:val="21"/>
                <w:szCs w:val="21"/>
                <w:lang w:bidi="ar"/>
              </w:rPr>
            </w:pPr>
            <w:r>
              <w:rPr>
                <w:rFonts w:hint="eastAsia" w:ascii="宋体" w:hAnsi="宋体"/>
                <w:b/>
                <w:bCs/>
                <w:sz w:val="21"/>
                <w:szCs w:val="21"/>
                <w:lang w:bidi="ar"/>
              </w:rPr>
              <w:t xml:space="preserve">2.技术参数响应指标与检验报告（采购需求中若要求提供时）或样品（采购需求中若要求提供时）实际参数或标书内其他支持文件不一致的属于负偏离。</w:t>
            </w:r>
            <w:r/>
          </w:p>
        </w:tc>
        <w:tc>
          <w:tcPr>
            <w:tcW w:w="241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37</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样品</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结合投标人提供的各类别产品样品与招标文件采购需求的“点对点”响应性：</w:t>
            </w:r>
            <w:r/>
          </w:p>
          <w:p>
            <w:pPr>
              <w:ind w:left="0"/>
              <w:widowControl w:val="off"/>
              <w:rPr>
                <w:rFonts w:ascii="宋体" w:hAnsi="宋体"/>
                <w:sz w:val="21"/>
                <w:szCs w:val="21"/>
                <w:lang w:bidi="ar"/>
              </w:rPr>
            </w:pPr>
            <w:r>
              <w:rPr>
                <w:rFonts w:hint="eastAsia" w:ascii="宋体" w:hAnsi="宋体"/>
                <w:sz w:val="21"/>
                <w:szCs w:val="21"/>
                <w:lang w:bidi="ar"/>
              </w:rPr>
              <w:t xml:space="preserve">1.对工艺制作细节进行评测。样品工艺组装精细，部件之间衔接紧密，标志准确清晰。样品与所投产品型号、配置一致，产品尺寸及外观与招标文件要求相符。智能数据表，可显示发动机运行累计时间与转速。</w:t>
            </w:r>
            <w:r/>
          </w:p>
          <w:p>
            <w:pPr>
              <w:ind w:left="0"/>
              <w:widowControl w:val="off"/>
              <w:rPr>
                <w:rFonts w:ascii="宋体" w:hAnsi="宋体"/>
                <w:sz w:val="21"/>
                <w:szCs w:val="21"/>
                <w:lang w:bidi="ar"/>
              </w:rPr>
            </w:pPr>
            <w:r>
              <w:rPr>
                <w:rFonts w:hint="eastAsia" w:ascii="宋体" w:hAnsi="宋体"/>
                <w:sz w:val="21"/>
                <w:szCs w:val="21"/>
                <w:lang w:bidi="ar"/>
              </w:rPr>
              <w:t xml:space="preserve">2.对舒适性进行评测。方便背负携带，泵组之间可以串联使用，并能正常工作。</w:t>
            </w:r>
            <w:r/>
          </w:p>
          <w:p>
            <w:pPr>
              <w:ind w:left="0"/>
              <w:widowControl w:val="off"/>
              <w:rPr>
                <w:rFonts w:ascii="宋体" w:hAnsi="宋体"/>
                <w:sz w:val="21"/>
                <w:szCs w:val="21"/>
                <w:lang w:bidi="ar"/>
              </w:rPr>
            </w:pPr>
            <w:r>
              <w:rPr>
                <w:rFonts w:hint="eastAsia" w:ascii="宋体" w:hAnsi="宋体"/>
                <w:sz w:val="21"/>
                <w:szCs w:val="21"/>
                <w:lang w:bidi="ar"/>
              </w:rPr>
              <w:t xml:space="preserve">3.对用材用料进行评测。离心泵的泵壳、泵体使用轻质高强度防腐蚀材料，油箱接头使用扩张式铜环固定。</w:t>
            </w:r>
            <w:r/>
          </w:p>
          <w:p>
            <w:pPr>
              <w:ind w:left="0"/>
              <w:widowControl w:val="off"/>
              <w:rPr>
                <w:rFonts w:ascii="宋体" w:hAnsi="宋体"/>
                <w:sz w:val="21"/>
                <w:szCs w:val="21"/>
                <w:lang w:bidi="ar"/>
              </w:rPr>
            </w:pPr>
            <w:r>
              <w:rPr>
                <w:rFonts w:hint="eastAsia" w:ascii="宋体" w:hAnsi="宋体"/>
                <w:sz w:val="21"/>
                <w:szCs w:val="21"/>
                <w:lang w:bidi="ar"/>
              </w:rPr>
              <w:t xml:space="preserve">4.对使用性能或易用性进行测试，样品使用按键、旋钮等操作部件反馈灵敏准确、操作及界面设计方便操作。</w:t>
            </w:r>
            <w:r/>
          </w:p>
          <w:p>
            <w:pPr>
              <w:ind w:left="0"/>
              <w:widowControl w:val="off"/>
              <w:rPr>
                <w:rFonts w:hint="eastAsia" w:ascii="宋体" w:hAnsi="宋体" w:cs="Times New Roman"/>
                <w:sz w:val="21"/>
                <w:szCs w:val="21"/>
              </w:rPr>
            </w:pPr>
            <w:r>
              <w:rPr>
                <w:rFonts w:hint="eastAsia" w:ascii="宋体" w:hAnsi="宋体"/>
                <w:sz w:val="21"/>
                <w:szCs w:val="21"/>
                <w:lang w:bidi="ar"/>
              </w:rPr>
              <w:t xml:space="preserve">5.对外观配置进行评测。使用者可能触摸到的部件表面无锐利的棱角、无毛刺，款式、号型符合消防救援队伍标识统型要求。</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w:t>
            </w:r>
            <w:r>
              <w:rPr>
                <w:rFonts w:hint="eastAsia" w:ascii="宋体" w:hAnsi="宋体" w:cs="Times New Roman"/>
                <w:sz w:val="21"/>
                <w:szCs w:val="21"/>
              </w:rPr>
              <w:t xml:space="preserve">做工精良、美观整洁得3分；做工一般、整洁性一般得1.5分</w:t>
            </w:r>
            <w:r>
              <w:rPr>
                <w:rFonts w:hint="eastAsia" w:ascii="宋体" w:hAnsi="宋体" w:cs="Times New Roman"/>
                <w:sz w:val="21"/>
                <w:szCs w:val="21"/>
                <w:lang w:eastAsia="zh-CN"/>
              </w:rPr>
              <w:t xml:space="preserve">。</w:t>
            </w:r>
            <w:r>
              <w:rPr>
                <w:rFonts w:hint="eastAsia" w:ascii="宋体" w:hAnsi="宋体"/>
                <w:sz w:val="21"/>
                <w:szCs w:val="21"/>
                <w:lang w:bidi="ar"/>
              </w:rPr>
              <w:t xml:space="preserve">本项最高得</w:t>
            </w:r>
            <w:r>
              <w:rPr>
                <w:rFonts w:hint="eastAsia" w:ascii="宋体" w:hAnsi="宋体"/>
                <w:sz w:val="21"/>
                <w:szCs w:val="21"/>
                <w:lang w:val="en-US" w:eastAsia="zh-CN" w:bidi="ar"/>
              </w:rPr>
              <w:t xml:space="preserve">15</w:t>
            </w:r>
            <w:r>
              <w:rPr>
                <w:rFonts w:hint="eastAsia" w:ascii="宋体" w:hAnsi="宋体"/>
                <w:sz w:val="21"/>
                <w:szCs w:val="21"/>
                <w:lang w:bidi="ar"/>
              </w:rPr>
              <w:t xml:space="preserve">分。</w:t>
            </w:r>
            <w:r/>
          </w:p>
          <w:p>
            <w:pPr>
              <w:ind w:left="0"/>
              <w:widowControl w:val="off"/>
              <w:rPr>
                <w:rFonts w:ascii="宋体" w:hAnsi="宋体"/>
                <w:sz w:val="21"/>
                <w:szCs w:val="21"/>
                <w:lang w:bidi="ar"/>
              </w:rPr>
            </w:pPr>
            <w:r>
              <w:rPr>
                <w:rFonts w:hint="eastAsia" w:ascii="宋体" w:hAnsi="宋体"/>
                <w:b/>
                <w:bCs/>
                <w:sz w:val="21"/>
                <w:szCs w:val="21"/>
                <w:lang w:bidi="ar"/>
              </w:rPr>
              <w:t xml:space="preserve">注：未按招标文件要求提交样品的不得分。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15</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lang w:bidi="ar"/>
              </w:rPr>
            </w:pPr>
            <w:r>
              <w:rPr>
                <w:rFonts w:hint="eastAsia" w:ascii="宋体" w:hAnsi="宋体"/>
                <w:sz w:val="21"/>
                <w:szCs w:val="22"/>
              </w:rPr>
              <w:t xml:space="preserve">培训方案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结合本项目采购需求，对投标人的培训方案（①培训时间计划及培训人员安排；②培训内容设计安排；③重点难点及培训结果保障措施）等进行综合评审：</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售后服务方案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本项目采购需求，对投标人的售后服务方案（①售后服务机构及人员网点配置；②响应时间；③零配件供应周期、备货储存、工时费等；④定期安排技术人员针对产品的使用环境、使用频率及更新等进行回访、巡检、维护、保养等方案）进行综合评审：</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1分；内容基本合理、具有一定的可行性、具有一定的操作性、与项目实际基本贴合的得0.5分；每项叙述内容完全脱离采购需求或未作完整叙述的不得分。本项最高得4分。</w:t>
            </w:r>
            <w:r/>
          </w:p>
        </w:tc>
        <w:tc>
          <w:tcPr>
            <w:tcW w:w="2410"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rPr>
              <w:t xml:space="preserve">4</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b/>
                <w:bCs/>
                <w:sz w:val="21"/>
              </w:rPr>
              <w:t xml:space="preserve">▲</w:t>
            </w:r>
            <w:r>
              <w:rPr>
                <w:rFonts w:hint="eastAsia" w:ascii="宋体" w:hAnsi="宋体"/>
                <w:sz w:val="21"/>
                <w:szCs w:val="21"/>
              </w:rPr>
              <w:t xml:space="preserve">延长质保</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投标人所投产品质保期响应招标文件最低要求（质保三年）基础上每增加一年加1分，最高得2分。</w:t>
            </w:r>
            <w:r/>
          </w:p>
          <w:p>
            <w:pPr>
              <w:ind w:left="0"/>
              <w:widowControl w:val="off"/>
              <w:rPr>
                <w:rFonts w:ascii="宋体" w:hAnsi="宋体"/>
                <w:sz w:val="21"/>
                <w:szCs w:val="21"/>
                <w:lang w:bidi="ar"/>
              </w:rPr>
            </w:pPr>
            <w:r>
              <w:rPr>
                <w:rFonts w:hint="eastAsia" w:ascii="宋体" w:hAnsi="宋体"/>
                <w:b/>
                <w:bCs/>
                <w:sz w:val="21"/>
                <w:szCs w:val="21"/>
                <w:lang w:bidi="ar"/>
              </w:rPr>
              <w:t xml:space="preserve">注：投标文件需提供加盖投标人公章的质保期承诺书，不提供则不得分。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 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lang w:bidi="ar"/>
              </w:rPr>
            </w:pPr>
            <w:r>
              <w:rPr>
                <w:rFonts w:hint="eastAsia" w:ascii="宋体" w:hAnsi="宋体"/>
                <w:b/>
                <w:bCs/>
                <w:sz w:val="21"/>
              </w:rPr>
              <w:t xml:space="preserve">▲</w:t>
            </w:r>
            <w:r>
              <w:rPr>
                <w:rFonts w:hint="eastAsia" w:ascii="宋体" w:hAnsi="宋体"/>
                <w:sz w:val="21"/>
                <w:szCs w:val="21"/>
                <w:lang w:bidi="ar"/>
              </w:rPr>
              <w:t xml:space="preserve">制造商授权、制造商原厂售后服务承诺</w:t>
            </w:r>
            <w:r/>
          </w:p>
        </w:tc>
        <w:tc>
          <w:tcPr>
            <w:tcW w:w="4678" w:type="dxa"/>
            <w:vAlign w:val="center"/>
            <w:textDirection w:val="lrTb"/>
            <w:noWrap w:val="false"/>
          </w:tcPr>
          <w:p>
            <w:pPr>
              <w:ind w:left="0"/>
              <w:widowControl w:val="off"/>
              <w:rPr>
                <w:rFonts w:ascii="宋体" w:hAnsi="宋体"/>
                <w:bCs/>
                <w:sz w:val="21"/>
                <w:szCs w:val="21"/>
                <w:lang w:bidi="ar"/>
              </w:rPr>
            </w:pPr>
            <w:r>
              <w:rPr>
                <w:rFonts w:hint="eastAsia" w:ascii="宋体" w:hAnsi="宋体"/>
                <w:bCs/>
                <w:sz w:val="21"/>
                <w:szCs w:val="21"/>
                <w:lang w:bidi="ar"/>
              </w:rPr>
              <w:t xml:space="preserve">若投标人为所投产品制造商的，提供制造商声明函及售后服务承诺函的得 2 分，未提供则不得分；</w:t>
            </w:r>
            <w:r/>
          </w:p>
          <w:p>
            <w:pPr>
              <w:ind w:left="0"/>
              <w:widowControl w:val="off"/>
              <w:rPr>
                <w:rFonts w:hint="eastAsia" w:ascii="宋体" w:hAnsi="宋体"/>
                <w:bCs/>
                <w:sz w:val="21"/>
                <w:szCs w:val="21"/>
                <w:lang w:bidi="ar"/>
              </w:rPr>
            </w:pPr>
            <w:r>
              <w:rPr>
                <w:rFonts w:hint="eastAsia" w:ascii="宋体" w:hAnsi="宋体"/>
                <w:bCs/>
                <w:sz w:val="21"/>
                <w:szCs w:val="21"/>
                <w:lang w:bidi="ar"/>
              </w:rPr>
              <w:t xml:space="preserve">若投标人为所投产品代理商的，提供所投产品制造商授权函及原厂售后服务承诺函的得 2 分，未提供则不得分。</w:t>
            </w:r>
            <w:r/>
          </w:p>
          <w:p>
            <w:pPr>
              <w:ind w:left="0"/>
              <w:widowControl w:val="off"/>
              <w:rPr>
                <w:rFonts w:ascii="宋体" w:hAnsi="宋体"/>
                <w:b/>
                <w:sz w:val="21"/>
                <w:szCs w:val="21"/>
                <w:lang w:bidi="ar"/>
              </w:rPr>
            </w:pPr>
            <w:r>
              <w:rPr>
                <w:rStyle w:val="1059"/>
                <w:rFonts w:hint="eastAsia"/>
                <w:b/>
                <w:bCs/>
                <w:sz w:val="21"/>
                <w:szCs w:val="21"/>
                <w:lang w:val="en-US" w:eastAsia="zh-CN"/>
              </w:rPr>
              <w:t xml:space="preserve">本项最高2分。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
                <w:bCs/>
                <w:sz w:val="21"/>
              </w:rPr>
              <w:t xml:space="preserve">▲</w:t>
            </w:r>
            <w:r>
              <w:rPr>
                <w:rFonts w:hint="eastAsia" w:ascii="宋体" w:hAnsi="宋体"/>
                <w:sz w:val="21"/>
                <w:szCs w:val="21"/>
              </w:rPr>
              <w:t xml:space="preserve">合同履约能力</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所投产品的投标人或产品制造商（必须与投标文件中产品型号一致）近4年（自2022年4月份）以来有销售业绩的（非单一产品包为核心产品）。类似业绩日期认定：以签订合同日期为准。每提供一份有效业绩证明材料得1分，最多得4分。</w:t>
            </w:r>
            <w:r/>
          </w:p>
          <w:p>
            <w:pPr>
              <w:ind w:left="0"/>
              <w:widowControl w:val="off"/>
              <w:rPr>
                <w:rFonts w:ascii="宋体" w:hAnsi="宋体"/>
                <w:b/>
                <w:bCs/>
                <w:sz w:val="21"/>
                <w:szCs w:val="21"/>
              </w:rPr>
            </w:pPr>
            <w:r>
              <w:rPr>
                <w:rFonts w:hint="eastAsia" w:ascii="宋体" w:hAnsi="宋体"/>
                <w:b/>
                <w:bCs/>
                <w:sz w:val="21"/>
                <w:szCs w:val="21"/>
              </w:rPr>
              <w:t xml:space="preserve">注：</w:t>
            </w:r>
            <w:r/>
          </w:p>
          <w:p>
            <w:pPr>
              <w:ind w:left="0"/>
              <w:widowControl w:val="off"/>
              <w:rPr>
                <w:rFonts w:ascii="宋体" w:hAnsi="宋体"/>
                <w:b/>
                <w:bCs/>
                <w:sz w:val="21"/>
                <w:szCs w:val="21"/>
              </w:rPr>
            </w:pPr>
            <w:r>
              <w:rPr>
                <w:rFonts w:hint="eastAsia" w:ascii="宋体" w:hAnsi="宋体"/>
                <w:b/>
                <w:bCs/>
                <w:sz w:val="21"/>
                <w:szCs w:val="21"/>
              </w:rPr>
              <w:t xml:space="preserve">①业绩证明材料需同时提供合同、验收证明以及合同执行过程中任意一次付款的发票复印件加盖公章（三者缺一不可），合同须能体现签订单位信息、签订时间、产品名称、型号、价格等相关信息，否则视为无效合同）。</w:t>
            </w:r>
            <w:r/>
          </w:p>
          <w:p>
            <w:pPr>
              <w:ind w:left="0"/>
              <w:widowControl w:val="off"/>
              <w:rPr>
                <w:rFonts w:ascii="宋体" w:hAnsi="宋体"/>
                <w:b/>
                <w:bCs/>
                <w:sz w:val="21"/>
                <w:szCs w:val="21"/>
              </w:rPr>
            </w:pPr>
            <w:r>
              <w:rPr>
                <w:rFonts w:hint="eastAsia" w:ascii="宋体" w:hAnsi="宋体"/>
                <w:b/>
                <w:bCs/>
                <w:sz w:val="21"/>
                <w:szCs w:val="21"/>
              </w:rPr>
              <w:t xml:space="preserve">②统招分签的合同按一个合同业绩计。（多个合同项目名称一致的，均按一个合同计。）</w:t>
            </w:r>
            <w:r/>
          </w:p>
          <w:p>
            <w:pPr>
              <w:ind w:left="0"/>
              <w:widowControl w:val="off"/>
              <w:rPr>
                <w:rFonts w:ascii="宋体" w:hAnsi="宋体"/>
                <w:b/>
                <w:bCs/>
                <w:sz w:val="21"/>
                <w:szCs w:val="21"/>
              </w:rPr>
            </w:pPr>
            <w:r>
              <w:rPr>
                <w:rFonts w:hint="eastAsia" w:ascii="宋体" w:hAnsi="宋体"/>
                <w:b/>
                <w:bCs/>
                <w:sz w:val="21"/>
                <w:szCs w:val="21"/>
              </w:rPr>
              <w:t xml:space="preserve">③合同中的产品名称及产品型号请加以明显标记，以方便评审和核对。</w:t>
            </w:r>
            <w:r/>
          </w:p>
          <w:p>
            <w:pPr>
              <w:ind w:left="0"/>
              <w:widowControl w:val="off"/>
              <w:rPr>
                <w:rFonts w:ascii="宋体" w:hAnsi="宋体"/>
                <w:sz w:val="21"/>
                <w:szCs w:val="21"/>
              </w:rPr>
            </w:pPr>
            <w:r>
              <w:rPr>
                <w:rFonts w:hint="eastAsia" w:ascii="宋体" w:hAnsi="宋体"/>
                <w:b/>
                <w:bCs/>
                <w:sz w:val="21"/>
                <w:szCs w:val="21"/>
              </w:rPr>
              <w:t xml:space="preserve">④合同评审中的重要信息因存在内容模糊、无法辨认而产生不利于该项评审的情况，投标人自行承担后果。</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r>
    </w:tbl>
    <w:p>
      <w:pPr>
        <w:rPr>
          <w:rFonts w:ascii="宋体" w:hAnsi="宋体" w:cs="Times New Roman"/>
          <w:b/>
          <w:sz w:val="21"/>
          <w:szCs w:val="21"/>
        </w:rPr>
      </w:pPr>
      <w:r>
        <w:rPr>
          <w:rFonts w:hint="eastAsia" w:ascii="宋体" w:hAnsi="宋体" w:cs="Times New Roman"/>
          <w:b/>
          <w:sz w:val="21"/>
          <w:szCs w:val="21"/>
        </w:rPr>
        <w:br w:type="page" w:clear="all"/>
      </w:r>
      <w:r/>
    </w:p>
    <w:p>
      <w:pPr>
        <w:ind w:left="0"/>
        <w:spacing w:line="360" w:lineRule="auto"/>
        <w:rPr>
          <w:rFonts w:ascii="宋体" w:hAnsi="宋体" w:cs="Times New Roman"/>
          <w:b/>
          <w:sz w:val="21"/>
          <w:szCs w:val="21"/>
        </w:rPr>
        <w:outlineLvl w:val="0"/>
      </w:pPr>
      <w:r>
        <w:rPr>
          <w:rFonts w:hint="eastAsia" w:ascii="宋体" w:hAnsi="宋体" w:cs="Times New Roman"/>
          <w:b/>
          <w:sz w:val="21"/>
          <w:szCs w:val="21"/>
        </w:rPr>
        <w:t xml:space="preserve">包六：</w:t>
      </w:r>
      <w:r/>
    </w:p>
    <w:tbl>
      <w:tblPr>
        <w:tblStyle w:val="1004"/>
        <w:tblpPr w:horzAnchor="text" w:tblpXSpec="left" w:vertAnchor="text" w:tblpY="1" w:leftFromText="180" w:topFromText="0" w:rightFromText="180" w:bottomFromText="0"/>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30</w:t>
            </w:r>
            <w:r>
              <w:rPr>
                <w:rFonts w:hint="eastAsia" w:ascii="宋体" w:hAnsi="宋体" w:cs="Tahoma"/>
                <w:b/>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szCs w:val="21"/>
                <w:lang w:bidi="ar"/>
              </w:rPr>
            </w:pPr>
            <w:r>
              <w:rPr>
                <w:rFonts w:hint="eastAsia" w:ascii="宋体" w:hAnsi="宋体"/>
                <w:sz w:val="21"/>
                <w:szCs w:val="21"/>
                <w:lang w:bidi="ar"/>
              </w:rPr>
              <w:t xml:space="preserve">投标报价得分＝（评标基准价/投标报价）×30％×100</w:t>
            </w:r>
            <w:r/>
          </w:p>
        </w:tc>
        <w:tc>
          <w:tcPr>
            <w:tcW w:w="2410" w:type="dxa"/>
            <w:vAlign w:val="center"/>
            <w:textDirection w:val="lrTb"/>
            <w:noWrap w:val="false"/>
          </w:tcPr>
          <w:p>
            <w:pPr>
              <w:ind w:left="0"/>
              <w:jc w:val="center"/>
              <w:widowControl w:val="off"/>
              <w:rPr>
                <w:rFonts w:ascii="宋体" w:hAnsi="宋体" w:cs="Tahoma"/>
                <w:sz w:val="21"/>
                <w:szCs w:val="21"/>
              </w:rPr>
            </w:pPr>
            <w:r>
              <w:rPr>
                <w:rFonts w:hint="eastAsia" w:ascii="宋体" w:hAnsi="宋体"/>
                <w:sz w:val="21"/>
                <w:szCs w:val="21"/>
                <w:lang w:bidi="ar"/>
              </w:rPr>
              <w:t xml:space="preserve">3</w:t>
            </w:r>
            <w:r>
              <w:rPr>
                <w:rFonts w:ascii="宋体" w:hAnsi="宋体"/>
                <w:sz w:val="21"/>
                <w:szCs w:val="21"/>
                <w:lang w:bidi="ar"/>
              </w:rPr>
              <w:t xml:space="preserve">0</w:t>
            </w:r>
            <w:r/>
          </w:p>
          <w:p>
            <w:pPr>
              <w:ind w:left="0"/>
              <w:widowControl w:val="off"/>
              <w:rPr>
                <w:rFonts w:ascii="宋体" w:hAnsi="宋体" w:cs="Tahoma"/>
                <w:sz w:val="21"/>
                <w:szCs w:val="21"/>
              </w:rPr>
            </w:pPr>
            <w:r>
              <w:rPr>
                <w:rFonts w:ascii="宋体" w:hAnsi="宋体" w:cs="Tahoma"/>
                <w:sz w:val="21"/>
                <w:szCs w:val="21"/>
              </w:rPr>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70</w:t>
            </w:r>
            <w:r>
              <w:rPr>
                <w:rFonts w:hint="eastAsia" w:ascii="宋体" w:hAnsi="宋体" w:cs="Tahoma"/>
                <w:b/>
                <w:sz w:val="21"/>
                <w:szCs w:val="21"/>
              </w:rPr>
              <w:t xml:space="preserve">分）</w:t>
            </w:r>
            <w:r/>
          </w:p>
        </w:tc>
        <w:tc>
          <w:tcPr>
            <w:tcW w:w="1417" w:type="dxa"/>
            <w:vAlign w:val="center"/>
            <w:textDirection w:val="lrTb"/>
            <w:noWrap w:val="false"/>
          </w:tcPr>
          <w:p>
            <w:pPr>
              <w:ind w:left="0"/>
              <w:jc w:val="center"/>
              <w:rPr>
                <w:rFonts w:ascii="宋体" w:hAnsi="宋体" w:cs="Tahoma"/>
                <w:sz w:val="21"/>
                <w:szCs w:val="21"/>
              </w:rPr>
            </w:pPr>
            <w:r>
              <w:rPr>
                <w:rFonts w:hint="eastAsia" w:ascii="宋体" w:hAnsi="宋体"/>
                <w:b/>
                <w:bCs/>
                <w:sz w:val="21"/>
              </w:rPr>
              <w:t xml:space="preserve">▲</w:t>
            </w:r>
            <w:r>
              <w:rPr>
                <w:rFonts w:hint="eastAsia" w:ascii="宋体" w:hAnsi="宋体"/>
                <w:sz w:val="21"/>
                <w:szCs w:val="21"/>
              </w:rPr>
              <w:t xml:space="preserve">技术参数</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1.投标人所投设备产品“▲”重要技术参数（技术参数要求共4项）完全满足招标文件要求的得满分23分，每负偏离一项扣5.75分，扣完23分止；</w:t>
            </w:r>
            <w:r/>
          </w:p>
          <w:p>
            <w:pPr>
              <w:ind w:left="0"/>
              <w:widowControl w:val="off"/>
              <w:rPr>
                <w:rFonts w:ascii="宋体" w:hAnsi="宋体"/>
                <w:b/>
                <w:bCs/>
                <w:sz w:val="21"/>
                <w:szCs w:val="21"/>
                <w:lang w:bidi="ar"/>
              </w:rPr>
            </w:pPr>
            <w:r>
              <w:rPr>
                <w:rFonts w:hint="eastAsia" w:ascii="宋体" w:hAnsi="宋体"/>
                <w:b/>
                <w:bCs/>
                <w:sz w:val="21"/>
                <w:szCs w:val="21"/>
                <w:lang w:bidi="ar"/>
              </w:rPr>
              <w:t xml:space="preserve">注：技术参数响应指标与检验报告（采购需求中若要求提供时）或样品（采购需求中若要求提供时）实际参数或标书内其他支持文件不一致的属于负偏离。</w:t>
            </w:r>
            <w:r/>
          </w:p>
          <w:p>
            <w:pPr>
              <w:ind w:left="0"/>
              <w:widowControl w:val="off"/>
              <w:rPr>
                <w:rFonts w:ascii="宋体" w:hAnsi="宋体"/>
                <w:sz w:val="21"/>
                <w:szCs w:val="21"/>
                <w:lang w:bidi="ar"/>
              </w:rPr>
            </w:pPr>
            <w:r>
              <w:rPr>
                <w:rFonts w:hint="eastAsia" w:ascii="宋体" w:hAnsi="宋体"/>
                <w:sz w:val="21"/>
                <w:szCs w:val="21"/>
                <w:lang w:bidi="ar"/>
              </w:rPr>
              <w:t xml:space="preserve">2.投标人对所投产品一般技术参数（技术参数要求共11项非“▲”“★”参数）完全满足招标文件要求的得满分22分，每负偏离1项扣2分，扣完22分止。</w:t>
            </w:r>
            <w:r/>
          </w:p>
          <w:p>
            <w:pPr>
              <w:ind w:left="0"/>
              <w:widowControl w:val="off"/>
              <w:rPr>
                <w:rFonts w:ascii="宋体" w:hAnsi="宋体"/>
                <w:b/>
                <w:bCs/>
                <w:sz w:val="21"/>
                <w:szCs w:val="21"/>
                <w:lang w:bidi="ar"/>
              </w:rPr>
            </w:pPr>
            <w:r>
              <w:rPr>
                <w:rFonts w:hint="eastAsia" w:ascii="宋体" w:hAnsi="宋体"/>
                <w:b/>
                <w:bCs/>
                <w:sz w:val="21"/>
                <w:szCs w:val="21"/>
                <w:lang w:bidi="ar"/>
              </w:rPr>
              <w:t xml:space="preserve">注：</w:t>
            </w:r>
            <w:r/>
          </w:p>
          <w:p>
            <w:pPr>
              <w:ind w:left="0"/>
              <w:widowControl w:val="off"/>
              <w:rPr>
                <w:rFonts w:ascii="宋体" w:hAnsi="宋体"/>
                <w:b/>
                <w:bCs/>
                <w:sz w:val="21"/>
                <w:szCs w:val="21"/>
                <w:lang w:bidi="ar"/>
              </w:rPr>
            </w:pPr>
            <w:r>
              <w:rPr>
                <w:rFonts w:hint="eastAsia" w:ascii="宋体" w:hAnsi="宋体"/>
                <w:b/>
                <w:bCs/>
                <w:sz w:val="21"/>
                <w:szCs w:val="21"/>
                <w:lang w:bidi="ar"/>
              </w:rPr>
              <w:t xml:space="preserve">1.一般技术参数响应条款如有缺、漏项的，则该项视为负偏离；</w:t>
            </w:r>
            <w:r/>
          </w:p>
          <w:p>
            <w:pPr>
              <w:ind w:left="0"/>
              <w:widowControl w:val="off"/>
              <w:rPr>
                <w:rFonts w:ascii="宋体" w:hAnsi="宋体"/>
                <w:sz w:val="21"/>
                <w:szCs w:val="21"/>
                <w:lang w:bidi="ar"/>
              </w:rPr>
            </w:pPr>
            <w:r>
              <w:rPr>
                <w:rFonts w:hint="eastAsia" w:ascii="宋体" w:hAnsi="宋体"/>
                <w:b/>
                <w:bCs/>
                <w:sz w:val="21"/>
                <w:szCs w:val="21"/>
                <w:lang w:bidi="ar"/>
              </w:rPr>
              <w:t xml:space="preserve">2.技术参数响应指标与检验报告（采购需求中若要求提供时）或样品（采购需求中若要求提供时）实际参数或标书内其他支持文件不一致的属于负偏离。</w:t>
            </w:r>
            <w:r/>
          </w:p>
        </w:tc>
        <w:tc>
          <w:tcPr>
            <w:tcW w:w="241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45</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供货方案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根据供应商提供的供货方案（包含但不限于：①送货车辆的具体安排、②送货人员、③卸货人员的配备、④卸货辅助设备的配备情况，⑤运输的方案、⑥对现场的防护等内容）进行综合评分：上述每项应逐条叙述，内容全面合理、可行性强、操作性强、贴合项目实际的得1分；内容基本合理、具有一定的可行性、具有一定的操作性、与项目实际基本贴合的得0.5分；每项叙述内容完全脱离采购需求或未作完整叙述的不得分。本项最高得6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产品质量控制保障方案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根据供应商提供的产品质量控制保障方案（包含但不限于：①产品质量检查、②检查人员配备、③检测设备配备、④检查流程、⑤质量控制管理制度等内容）进行综合评分：</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1分；内容基本合理、具有一定的可行性、具有一定的操作性、与项目实际基本贴合的得0.5分；每项叙述内容完全脱离采购需求或未作完整叙述的不得分。本项最高得5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5</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lang w:bidi="ar"/>
              </w:rPr>
            </w:pPr>
            <w:r>
              <w:rPr>
                <w:rFonts w:hint="eastAsia" w:ascii="宋体" w:hAnsi="宋体"/>
                <w:sz w:val="21"/>
                <w:szCs w:val="22"/>
              </w:rPr>
              <w:t xml:space="preserve">产品存储培训方案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结合本项目采购需求，对投标人的产品存储培训方案（①培训时间计划及培训人员安排；②培训内容设计安排；③重点难点及培训结果保障措施）等进行综合评审：</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b/>
                <w:bCs/>
                <w:sz w:val="21"/>
              </w:rPr>
              <w:t xml:space="preserve">▲</w:t>
            </w:r>
            <w:r>
              <w:rPr>
                <w:rFonts w:hint="eastAsia" w:ascii="宋体" w:hAnsi="宋体"/>
                <w:sz w:val="21"/>
                <w:szCs w:val="21"/>
              </w:rPr>
              <w:t xml:space="preserve">延长质保</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投标人所投产品质保期响应招标文件最低要求（质保三年）基础上每增加一年加1分，最高得2分。</w:t>
            </w:r>
            <w:r/>
          </w:p>
          <w:p>
            <w:pPr>
              <w:ind w:left="0"/>
              <w:widowControl w:val="off"/>
              <w:rPr>
                <w:rFonts w:ascii="宋体" w:hAnsi="宋体"/>
                <w:sz w:val="21"/>
                <w:szCs w:val="21"/>
                <w:lang w:bidi="ar"/>
              </w:rPr>
            </w:pPr>
            <w:r>
              <w:rPr>
                <w:rFonts w:hint="eastAsia" w:ascii="宋体" w:hAnsi="宋体"/>
                <w:b/>
                <w:bCs/>
                <w:sz w:val="21"/>
                <w:szCs w:val="21"/>
                <w:lang w:bidi="ar"/>
              </w:rPr>
              <w:t xml:space="preserve">注：投标文件需提供加盖投标人公章的质保期承诺书，不提供则不得分。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 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lang w:bidi="ar"/>
              </w:rPr>
            </w:pPr>
            <w:r>
              <w:rPr>
                <w:rFonts w:hint="eastAsia" w:ascii="宋体" w:hAnsi="宋体"/>
                <w:b/>
                <w:bCs/>
                <w:sz w:val="21"/>
              </w:rPr>
              <w:t xml:space="preserve">▲</w:t>
            </w:r>
            <w:r>
              <w:rPr>
                <w:rFonts w:hint="eastAsia" w:ascii="宋体" w:hAnsi="宋体"/>
                <w:sz w:val="21"/>
                <w:szCs w:val="21"/>
                <w:lang w:bidi="ar"/>
              </w:rPr>
              <w:t xml:space="preserve">制造商授权、制造商原厂售后服务承诺</w:t>
            </w:r>
            <w:r/>
          </w:p>
        </w:tc>
        <w:tc>
          <w:tcPr>
            <w:tcW w:w="4678" w:type="dxa"/>
            <w:vAlign w:val="center"/>
            <w:textDirection w:val="lrTb"/>
            <w:noWrap w:val="false"/>
          </w:tcPr>
          <w:p>
            <w:pPr>
              <w:ind w:left="0"/>
              <w:widowControl w:val="off"/>
              <w:rPr>
                <w:rFonts w:ascii="宋体" w:hAnsi="宋体"/>
                <w:bCs/>
                <w:sz w:val="21"/>
                <w:szCs w:val="21"/>
                <w:lang w:bidi="ar"/>
              </w:rPr>
            </w:pPr>
            <w:r>
              <w:rPr>
                <w:rFonts w:hint="eastAsia" w:ascii="宋体" w:hAnsi="宋体"/>
                <w:bCs/>
                <w:sz w:val="21"/>
                <w:szCs w:val="21"/>
                <w:lang w:bidi="ar"/>
              </w:rPr>
              <w:t xml:space="preserve">若投标人为所投产品制造商的，提供制造商声明函及售后服务承诺函的得 2 分，未提供则不得分；</w:t>
            </w:r>
            <w:r/>
          </w:p>
          <w:p>
            <w:pPr>
              <w:ind w:left="0"/>
              <w:widowControl w:val="off"/>
              <w:rPr>
                <w:rFonts w:hint="eastAsia" w:ascii="宋体" w:hAnsi="宋体"/>
                <w:bCs/>
                <w:sz w:val="21"/>
                <w:szCs w:val="21"/>
                <w:lang w:bidi="ar"/>
              </w:rPr>
            </w:pPr>
            <w:r>
              <w:rPr>
                <w:rFonts w:hint="eastAsia" w:ascii="宋体" w:hAnsi="宋体"/>
                <w:bCs/>
                <w:sz w:val="21"/>
                <w:szCs w:val="21"/>
                <w:lang w:bidi="ar"/>
              </w:rPr>
              <w:t xml:space="preserve">若投标人为所投产品代理商的，提供所投产品制造商授权函及原厂售后服务承诺函的得 2 分，未提供则不得分。</w:t>
            </w:r>
            <w:r/>
          </w:p>
          <w:p>
            <w:pPr>
              <w:ind w:left="0"/>
              <w:widowControl w:val="off"/>
              <w:rPr>
                <w:rFonts w:ascii="宋体" w:hAnsi="宋体"/>
                <w:b/>
                <w:sz w:val="21"/>
                <w:szCs w:val="21"/>
                <w:lang w:bidi="ar"/>
              </w:rPr>
            </w:pPr>
            <w:r>
              <w:rPr>
                <w:rStyle w:val="1059"/>
                <w:rFonts w:hint="eastAsia"/>
                <w:b/>
                <w:bCs/>
                <w:sz w:val="21"/>
                <w:szCs w:val="21"/>
                <w:lang w:val="en-US" w:eastAsia="zh-CN"/>
              </w:rPr>
              <w:t xml:space="preserve">本项最高2分。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
                <w:bCs/>
                <w:sz w:val="21"/>
              </w:rPr>
              <w:t xml:space="preserve">▲</w:t>
            </w:r>
            <w:r>
              <w:rPr>
                <w:rFonts w:hint="eastAsia" w:ascii="宋体" w:hAnsi="宋体"/>
                <w:sz w:val="21"/>
                <w:szCs w:val="21"/>
              </w:rPr>
              <w:t xml:space="preserve">合同履约能力</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所投产品的投标人或产品制造商（必须与投标文件中产品型号一致）近4年（自2022年4月份）以来有销售业绩的（非单一产品包为核心产品）。类似业绩日期认定：以签订合同日期为准。每提供一份有效业绩证明材料得1分，最多得4分。</w:t>
            </w:r>
            <w:r/>
          </w:p>
          <w:p>
            <w:pPr>
              <w:ind w:left="0"/>
              <w:widowControl w:val="off"/>
              <w:rPr>
                <w:rFonts w:ascii="宋体" w:hAnsi="宋体"/>
                <w:b/>
                <w:bCs/>
                <w:sz w:val="21"/>
                <w:szCs w:val="21"/>
              </w:rPr>
            </w:pPr>
            <w:r>
              <w:rPr>
                <w:rFonts w:hint="eastAsia" w:ascii="宋体" w:hAnsi="宋体"/>
                <w:b/>
                <w:bCs/>
                <w:sz w:val="21"/>
                <w:szCs w:val="21"/>
              </w:rPr>
              <w:t xml:space="preserve">注：</w:t>
            </w:r>
            <w:r/>
          </w:p>
          <w:p>
            <w:pPr>
              <w:ind w:left="0"/>
              <w:widowControl w:val="off"/>
              <w:rPr>
                <w:rFonts w:ascii="宋体" w:hAnsi="宋体"/>
                <w:b/>
                <w:bCs/>
                <w:sz w:val="21"/>
                <w:szCs w:val="21"/>
              </w:rPr>
            </w:pPr>
            <w:r>
              <w:rPr>
                <w:rFonts w:hint="eastAsia" w:ascii="宋体" w:hAnsi="宋体"/>
                <w:b/>
                <w:bCs/>
                <w:sz w:val="21"/>
                <w:szCs w:val="21"/>
              </w:rPr>
              <w:t xml:space="preserve">①业绩证明材料需同时提供合同、验收证明以及合同执行过程中任意一次付款的发票复印件加盖公章（三者缺一不可），合同须能体现签订单位信息、签订时间、产品名称、型号、价格等相关信息，否则视为无效合同）。</w:t>
            </w:r>
            <w:r/>
          </w:p>
          <w:p>
            <w:pPr>
              <w:ind w:left="0"/>
              <w:widowControl w:val="off"/>
              <w:rPr>
                <w:rFonts w:ascii="宋体" w:hAnsi="宋体"/>
                <w:b/>
                <w:bCs/>
                <w:sz w:val="21"/>
                <w:szCs w:val="21"/>
              </w:rPr>
            </w:pPr>
            <w:r>
              <w:rPr>
                <w:rFonts w:hint="eastAsia" w:ascii="宋体" w:hAnsi="宋体"/>
                <w:b/>
                <w:bCs/>
                <w:sz w:val="21"/>
                <w:szCs w:val="21"/>
              </w:rPr>
              <w:t xml:space="preserve">②统招分签的合同按一个合同业绩计。（多个合同项目名称一致的，均按一个合同计。）</w:t>
            </w:r>
            <w:r/>
          </w:p>
          <w:p>
            <w:pPr>
              <w:ind w:left="0"/>
              <w:widowControl w:val="off"/>
              <w:rPr>
                <w:rFonts w:ascii="宋体" w:hAnsi="宋体"/>
                <w:b/>
                <w:bCs/>
                <w:sz w:val="21"/>
                <w:szCs w:val="21"/>
              </w:rPr>
            </w:pPr>
            <w:r>
              <w:rPr>
                <w:rFonts w:hint="eastAsia" w:ascii="宋体" w:hAnsi="宋体"/>
                <w:b/>
                <w:bCs/>
                <w:sz w:val="21"/>
                <w:szCs w:val="21"/>
              </w:rPr>
              <w:t xml:space="preserve">③合同中的产品名称及产品型号请加以明显标记，以方便评审和核对。</w:t>
            </w:r>
            <w:r/>
          </w:p>
          <w:p>
            <w:pPr>
              <w:ind w:left="0"/>
              <w:widowControl w:val="off"/>
              <w:rPr>
                <w:rFonts w:ascii="宋体" w:hAnsi="宋体"/>
                <w:sz w:val="21"/>
                <w:szCs w:val="21"/>
              </w:rPr>
            </w:pPr>
            <w:r>
              <w:rPr>
                <w:rFonts w:hint="eastAsia" w:ascii="宋体" w:hAnsi="宋体"/>
                <w:b/>
                <w:bCs/>
                <w:sz w:val="21"/>
                <w:szCs w:val="21"/>
              </w:rPr>
              <w:t xml:space="preserve">④合同评审中的重要信息因存在内容模糊、无法辨认而产生不利于该项评审的情况，投标人自行承担后果。</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r>
    </w:tbl>
    <w:p>
      <w:pPr>
        <w:rPr>
          <w:rFonts w:ascii="宋体" w:hAnsi="宋体" w:cs="Times New Roman"/>
          <w:b/>
          <w:sz w:val="21"/>
          <w:szCs w:val="21"/>
        </w:rPr>
      </w:pPr>
      <w:r>
        <w:rPr>
          <w:rFonts w:hint="eastAsia" w:ascii="宋体" w:hAnsi="宋体" w:cs="Times New Roman"/>
          <w:b/>
          <w:sz w:val="21"/>
          <w:szCs w:val="21"/>
        </w:rPr>
        <w:br w:type="page" w:clear="all"/>
      </w:r>
      <w:r/>
    </w:p>
    <w:p>
      <w:pPr>
        <w:ind w:left="0"/>
        <w:spacing w:line="360" w:lineRule="auto"/>
        <w:rPr>
          <w:rFonts w:ascii="宋体" w:hAnsi="宋体" w:cs="Times New Roman"/>
          <w:b/>
          <w:sz w:val="21"/>
          <w:szCs w:val="21"/>
        </w:rPr>
        <w:outlineLvl w:val="0"/>
      </w:pPr>
      <w:r>
        <w:rPr>
          <w:rFonts w:hint="eastAsia" w:ascii="宋体" w:hAnsi="宋体" w:cs="Times New Roman"/>
          <w:b/>
          <w:sz w:val="21"/>
          <w:szCs w:val="21"/>
        </w:rPr>
        <w:t xml:space="preserve">包七：</w:t>
      </w:r>
      <w:r/>
    </w:p>
    <w:tbl>
      <w:tblPr>
        <w:tblStyle w:val="1004"/>
        <w:tblpPr w:horzAnchor="text" w:tblpXSpec="left" w:vertAnchor="text" w:tblpY="1" w:leftFromText="180" w:topFromText="0" w:rightFromText="180" w:bottomFromText="0"/>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30</w:t>
            </w:r>
            <w:r>
              <w:rPr>
                <w:rFonts w:hint="eastAsia" w:ascii="宋体" w:hAnsi="宋体" w:cs="Tahoma"/>
                <w:b/>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szCs w:val="21"/>
                <w:lang w:bidi="ar"/>
              </w:rPr>
            </w:pPr>
            <w:r>
              <w:rPr>
                <w:rFonts w:hint="eastAsia" w:ascii="宋体" w:hAnsi="宋体"/>
                <w:sz w:val="21"/>
                <w:szCs w:val="21"/>
                <w:lang w:bidi="ar"/>
              </w:rPr>
              <w:t xml:space="preserve">投标报价得分＝（评标基准价/投标报价）×30％×100</w:t>
            </w:r>
            <w:r/>
          </w:p>
        </w:tc>
        <w:tc>
          <w:tcPr>
            <w:tcW w:w="2410" w:type="dxa"/>
            <w:vAlign w:val="center"/>
            <w:textDirection w:val="lrTb"/>
            <w:noWrap w:val="false"/>
          </w:tcPr>
          <w:p>
            <w:pPr>
              <w:ind w:left="0"/>
              <w:jc w:val="center"/>
              <w:widowControl w:val="off"/>
              <w:rPr>
                <w:rFonts w:ascii="宋体" w:hAnsi="宋体" w:cs="Tahoma"/>
                <w:sz w:val="21"/>
                <w:szCs w:val="21"/>
              </w:rPr>
            </w:pPr>
            <w:r>
              <w:rPr>
                <w:rFonts w:hint="eastAsia" w:ascii="宋体" w:hAnsi="宋体"/>
                <w:sz w:val="21"/>
                <w:szCs w:val="21"/>
                <w:lang w:bidi="ar"/>
              </w:rPr>
              <w:t xml:space="preserve">3</w:t>
            </w:r>
            <w:r>
              <w:rPr>
                <w:rFonts w:ascii="宋体" w:hAnsi="宋体"/>
                <w:sz w:val="21"/>
                <w:szCs w:val="21"/>
                <w:lang w:bidi="ar"/>
              </w:rPr>
              <w:t xml:space="preserve">0</w:t>
            </w:r>
            <w:r/>
          </w:p>
          <w:p>
            <w:pPr>
              <w:ind w:left="0"/>
              <w:widowControl w:val="off"/>
              <w:rPr>
                <w:rFonts w:ascii="宋体" w:hAnsi="宋体" w:cs="Tahoma"/>
                <w:sz w:val="21"/>
                <w:szCs w:val="21"/>
              </w:rPr>
            </w:pPr>
            <w:r>
              <w:rPr>
                <w:rFonts w:ascii="宋体" w:hAnsi="宋体" w:cs="Tahoma"/>
                <w:sz w:val="21"/>
                <w:szCs w:val="21"/>
              </w:rPr>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70</w:t>
            </w:r>
            <w:r>
              <w:rPr>
                <w:rFonts w:hint="eastAsia" w:ascii="宋体" w:hAnsi="宋体" w:cs="Tahoma"/>
                <w:b/>
                <w:sz w:val="21"/>
                <w:szCs w:val="21"/>
              </w:rPr>
              <w:t xml:space="preserve">分）</w:t>
            </w:r>
            <w:r/>
          </w:p>
        </w:tc>
        <w:tc>
          <w:tcPr>
            <w:tcW w:w="1417" w:type="dxa"/>
            <w:vAlign w:val="center"/>
            <w:textDirection w:val="lrTb"/>
            <w:noWrap w:val="false"/>
          </w:tcPr>
          <w:p>
            <w:pPr>
              <w:ind w:left="0"/>
              <w:jc w:val="center"/>
              <w:rPr>
                <w:rFonts w:ascii="宋体" w:hAnsi="宋体" w:cs="Tahoma"/>
                <w:sz w:val="21"/>
                <w:szCs w:val="21"/>
              </w:rPr>
            </w:pPr>
            <w:r>
              <w:rPr>
                <w:rFonts w:hint="eastAsia" w:ascii="宋体" w:hAnsi="宋体"/>
                <w:b/>
                <w:bCs/>
                <w:sz w:val="21"/>
              </w:rPr>
              <w:t xml:space="preserve">▲</w:t>
            </w:r>
            <w:r>
              <w:rPr>
                <w:rFonts w:hint="eastAsia" w:ascii="宋体" w:hAnsi="宋体"/>
                <w:sz w:val="21"/>
                <w:szCs w:val="21"/>
              </w:rPr>
              <w:t xml:space="preserve">技术参数</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1.投标人所投设备产品“▲”重要技术参数（技术参数要求共4项）完全满足招标文件要求的得满分19分，每负偏离一项扣4.75分，扣完19分止；</w:t>
            </w:r>
            <w:r/>
          </w:p>
          <w:p>
            <w:pPr>
              <w:ind w:left="0"/>
              <w:widowControl w:val="off"/>
              <w:rPr>
                <w:rFonts w:ascii="宋体" w:hAnsi="宋体"/>
                <w:b/>
                <w:bCs/>
                <w:sz w:val="21"/>
                <w:szCs w:val="21"/>
                <w:lang w:bidi="ar"/>
              </w:rPr>
            </w:pPr>
            <w:r>
              <w:rPr>
                <w:rFonts w:hint="eastAsia" w:ascii="宋体" w:hAnsi="宋体"/>
                <w:b/>
                <w:bCs/>
                <w:sz w:val="21"/>
                <w:szCs w:val="21"/>
                <w:lang w:bidi="ar"/>
              </w:rPr>
              <w:t xml:space="preserve">注：技术参数响应指标与检验报告（采购需求中若要求提供时）或样品（采购需求中若要求提供时）实际参数或标书内其他支持文件不一致的属于负偏离。</w:t>
            </w:r>
            <w:r/>
          </w:p>
          <w:p>
            <w:pPr>
              <w:ind w:left="0"/>
              <w:widowControl w:val="off"/>
              <w:rPr>
                <w:rFonts w:ascii="宋体" w:hAnsi="宋体"/>
                <w:sz w:val="21"/>
                <w:szCs w:val="21"/>
                <w:lang w:bidi="ar"/>
              </w:rPr>
            </w:pPr>
            <w:r>
              <w:rPr>
                <w:rFonts w:hint="eastAsia" w:ascii="宋体" w:hAnsi="宋体"/>
                <w:sz w:val="21"/>
                <w:szCs w:val="21"/>
                <w:lang w:bidi="ar"/>
              </w:rPr>
              <w:t xml:space="preserve">2.投标人对所投产品一般技术参数（技术参数要求共12项非“▲”“★”参数）完全满足招标文件要求的得满分18分，每负偏离1项扣1.5 分，扣完18分止。</w:t>
            </w:r>
            <w:r/>
          </w:p>
          <w:p>
            <w:pPr>
              <w:ind w:left="0"/>
              <w:widowControl w:val="off"/>
              <w:rPr>
                <w:rFonts w:ascii="宋体" w:hAnsi="宋体"/>
                <w:b/>
                <w:bCs/>
                <w:sz w:val="21"/>
                <w:szCs w:val="21"/>
                <w:lang w:bidi="ar"/>
              </w:rPr>
            </w:pPr>
            <w:r>
              <w:rPr>
                <w:rFonts w:hint="eastAsia" w:ascii="宋体" w:hAnsi="宋体"/>
                <w:b/>
                <w:bCs/>
                <w:sz w:val="21"/>
                <w:szCs w:val="21"/>
                <w:lang w:bidi="ar"/>
              </w:rPr>
              <w:t xml:space="preserve">注：</w:t>
            </w:r>
            <w:r/>
          </w:p>
          <w:p>
            <w:pPr>
              <w:ind w:left="0"/>
              <w:widowControl w:val="off"/>
              <w:rPr>
                <w:rFonts w:ascii="宋体" w:hAnsi="宋体"/>
                <w:b/>
                <w:bCs/>
                <w:sz w:val="21"/>
                <w:szCs w:val="21"/>
                <w:lang w:bidi="ar"/>
              </w:rPr>
            </w:pPr>
            <w:r>
              <w:rPr>
                <w:rFonts w:hint="eastAsia" w:ascii="宋体" w:hAnsi="宋体"/>
                <w:b/>
                <w:bCs/>
                <w:sz w:val="21"/>
                <w:szCs w:val="21"/>
                <w:lang w:bidi="ar"/>
              </w:rPr>
              <w:t xml:space="preserve">1.一般技术参数响应条款如有缺、漏项的，则该项视为负偏离；</w:t>
            </w:r>
            <w:r/>
          </w:p>
          <w:p>
            <w:pPr>
              <w:ind w:left="0"/>
              <w:widowControl w:val="off"/>
              <w:rPr>
                <w:rFonts w:ascii="宋体" w:hAnsi="宋体"/>
                <w:sz w:val="21"/>
                <w:szCs w:val="21"/>
                <w:lang w:bidi="ar"/>
              </w:rPr>
            </w:pPr>
            <w:r>
              <w:rPr>
                <w:rFonts w:hint="eastAsia" w:ascii="宋体" w:hAnsi="宋体"/>
                <w:b/>
                <w:bCs/>
                <w:sz w:val="21"/>
                <w:szCs w:val="21"/>
                <w:lang w:bidi="ar"/>
              </w:rPr>
              <w:t xml:space="preserve">2.技术参数响应指标与检验报告（采购需求中若要求提供时）或样品（采购需求中若要求提供时）实际参数或标书内其他支持文件不一致的属于负偏离。</w:t>
            </w:r>
            <w:r/>
          </w:p>
        </w:tc>
        <w:tc>
          <w:tcPr>
            <w:tcW w:w="241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37</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样品</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结合投标人提供的各类别产品样品与招标文件采购需求的“点对点”响应性：</w:t>
            </w:r>
            <w:r/>
          </w:p>
          <w:p>
            <w:pPr>
              <w:ind w:left="0"/>
              <w:widowControl w:val="off"/>
              <w:rPr>
                <w:rFonts w:ascii="宋体" w:hAnsi="宋体"/>
                <w:sz w:val="21"/>
                <w:szCs w:val="21"/>
                <w:lang w:bidi="ar"/>
              </w:rPr>
            </w:pPr>
            <w:r>
              <w:rPr>
                <w:rFonts w:hint="eastAsia" w:ascii="宋体" w:hAnsi="宋体"/>
                <w:sz w:val="21"/>
                <w:szCs w:val="21"/>
                <w:lang w:bidi="ar"/>
              </w:rPr>
              <w:t xml:space="preserve">1.对工艺制作细节进行评测。样品工艺组装精细，部件之间衔接紧密，面罩结构精密，球形面屏视野开阔，固定方式做工细致。考虑使用场景进行细节设计制作，符合采购需求中所述质量要求。</w:t>
            </w:r>
            <w:r/>
          </w:p>
          <w:p>
            <w:pPr>
              <w:ind w:left="0"/>
              <w:widowControl w:val="off"/>
              <w:rPr>
                <w:rFonts w:ascii="宋体" w:hAnsi="宋体"/>
                <w:sz w:val="21"/>
                <w:szCs w:val="21"/>
                <w:lang w:bidi="ar"/>
              </w:rPr>
            </w:pPr>
            <w:r>
              <w:rPr>
                <w:rFonts w:hint="eastAsia" w:ascii="宋体" w:hAnsi="宋体"/>
                <w:sz w:val="21"/>
                <w:szCs w:val="21"/>
                <w:lang w:bidi="ar"/>
              </w:rPr>
              <w:t xml:space="preserve">2.对舒适性进行评测。佩戴时半面罩贴合面部，密封性能良好，材质舒适。头网罩透气性能良好，呼吸器工作正常，佩戴者呼吸流畅。</w:t>
            </w:r>
            <w:r/>
          </w:p>
          <w:p>
            <w:pPr>
              <w:ind w:left="0"/>
              <w:widowControl w:val="off"/>
              <w:rPr>
                <w:rFonts w:ascii="宋体" w:hAnsi="宋体"/>
                <w:sz w:val="21"/>
                <w:szCs w:val="21"/>
                <w:lang w:bidi="ar"/>
              </w:rPr>
            </w:pPr>
            <w:r>
              <w:rPr>
                <w:rFonts w:hint="eastAsia" w:ascii="宋体" w:hAnsi="宋体"/>
                <w:sz w:val="21"/>
                <w:szCs w:val="21"/>
                <w:lang w:bidi="ar"/>
              </w:rPr>
              <w:t xml:space="preserve">3.对用材用料进行评测。用材用料结实耐用，评测面罩接头与供气阀接头之间的连接结实。</w:t>
            </w:r>
            <w:r/>
          </w:p>
          <w:p>
            <w:pPr>
              <w:ind w:left="0"/>
              <w:widowControl w:val="off"/>
              <w:rPr>
                <w:rFonts w:ascii="宋体" w:hAnsi="宋体"/>
                <w:sz w:val="21"/>
                <w:szCs w:val="21"/>
                <w:lang w:bidi="ar"/>
              </w:rPr>
            </w:pPr>
            <w:r>
              <w:rPr>
                <w:rFonts w:hint="eastAsia" w:ascii="宋体" w:hAnsi="宋体"/>
                <w:sz w:val="21"/>
                <w:szCs w:val="21"/>
                <w:lang w:bidi="ar"/>
              </w:rPr>
              <w:t xml:space="preserve">4.对使用性能或易用性进行测试，样品语音指令控制操作流畅；使用投标人提供的数据线，与对讲机匹配方便迅速，通讯音质清晰无啸叫和回声。</w:t>
            </w:r>
            <w:r/>
          </w:p>
          <w:p>
            <w:pPr>
              <w:ind w:left="0"/>
              <w:widowControl w:val="off"/>
              <w:rPr>
                <w:rFonts w:hint="eastAsia" w:ascii="宋体" w:hAnsi="宋体"/>
                <w:sz w:val="21"/>
                <w:szCs w:val="21"/>
                <w:lang w:bidi="ar"/>
              </w:rPr>
            </w:pPr>
            <w:r>
              <w:rPr>
                <w:rFonts w:hint="eastAsia" w:ascii="宋体" w:hAnsi="宋体"/>
                <w:sz w:val="21"/>
                <w:szCs w:val="21"/>
                <w:lang w:bidi="ar"/>
              </w:rPr>
              <w:t xml:space="preserve">5.对外观配置进行评测。使用者可能触摸到的部件表面无锐利的棱角、无毛刺，整机重量符合招标文件要求。</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w:t>
            </w:r>
            <w:r>
              <w:rPr>
                <w:rFonts w:hint="eastAsia" w:ascii="宋体" w:hAnsi="宋体" w:cs="Times New Roman"/>
                <w:sz w:val="21"/>
                <w:szCs w:val="21"/>
              </w:rPr>
              <w:t xml:space="preserve">做工精良、美观整洁得3分；做工一般、整洁性一般得1.5分</w:t>
            </w:r>
            <w:r>
              <w:rPr>
                <w:rFonts w:hint="eastAsia" w:ascii="宋体" w:hAnsi="宋体" w:cs="Times New Roman"/>
                <w:sz w:val="21"/>
                <w:szCs w:val="21"/>
                <w:lang w:eastAsia="zh-CN"/>
              </w:rPr>
              <w:t xml:space="preserve">。</w:t>
            </w:r>
            <w:r>
              <w:rPr>
                <w:rFonts w:hint="eastAsia" w:ascii="宋体" w:hAnsi="宋体"/>
                <w:sz w:val="21"/>
                <w:szCs w:val="21"/>
                <w:lang w:bidi="ar"/>
              </w:rPr>
              <w:t xml:space="preserve">本项最高得</w:t>
            </w:r>
            <w:r>
              <w:rPr>
                <w:rFonts w:hint="eastAsia" w:ascii="宋体" w:hAnsi="宋体"/>
                <w:sz w:val="21"/>
                <w:szCs w:val="21"/>
                <w:lang w:val="en-US" w:eastAsia="zh-CN" w:bidi="ar"/>
              </w:rPr>
              <w:t xml:space="preserve">15</w:t>
            </w:r>
            <w:r>
              <w:rPr>
                <w:rFonts w:hint="eastAsia" w:ascii="宋体" w:hAnsi="宋体"/>
                <w:sz w:val="21"/>
                <w:szCs w:val="21"/>
                <w:lang w:bidi="ar"/>
              </w:rPr>
              <w:t xml:space="preserve">分。</w:t>
            </w:r>
            <w:r/>
          </w:p>
          <w:p>
            <w:pPr>
              <w:ind w:left="0"/>
              <w:widowControl w:val="off"/>
              <w:rPr>
                <w:rFonts w:ascii="宋体" w:hAnsi="宋体"/>
                <w:sz w:val="21"/>
                <w:szCs w:val="21"/>
                <w:lang w:bidi="ar"/>
              </w:rPr>
            </w:pPr>
            <w:r>
              <w:rPr>
                <w:rFonts w:hint="eastAsia" w:ascii="宋体" w:hAnsi="宋体"/>
                <w:b/>
                <w:bCs/>
                <w:sz w:val="21"/>
                <w:szCs w:val="21"/>
                <w:lang w:bidi="ar"/>
              </w:rPr>
              <w:t xml:space="preserve">注：未按招标文件要求提交样品的不得分。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15</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lang w:bidi="ar"/>
              </w:rPr>
            </w:pPr>
            <w:r>
              <w:rPr>
                <w:rFonts w:hint="eastAsia" w:ascii="宋体" w:hAnsi="宋体"/>
                <w:sz w:val="21"/>
                <w:szCs w:val="22"/>
              </w:rPr>
              <w:t xml:space="preserve">培训方案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结合本项目采购需求，对投标人的培训方案（①培训时间计划及培训人员安排；②培训内容设计安排；③重点难点及培训结果保障措施）等进行综合评审：</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售后服务方案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本项目采购需求，对投标人的售后服务方案（①售后服务机构及人员网点配置；②响应时间；③零配件供应周期、备货储存、工时费等；④定期安排技术人员针对产品的使用环境、使用频率及更新等进行回访、巡检、维护、保养等方案）进行综合评审：</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1分；内容基本合理、具有一定的可行性、具有一定的操作性、与项目实际基本贴合的得0.5分；每项叙述内容完全脱离采购需求或未作完整叙述的不得分。本项最高得4分。</w:t>
            </w:r>
            <w:r/>
          </w:p>
        </w:tc>
        <w:tc>
          <w:tcPr>
            <w:tcW w:w="2410"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rPr>
              <w:t xml:space="preserve">4</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b/>
                <w:bCs/>
                <w:sz w:val="21"/>
              </w:rPr>
              <w:t xml:space="preserve">▲</w:t>
            </w:r>
            <w:r>
              <w:rPr>
                <w:rFonts w:hint="eastAsia" w:ascii="宋体" w:hAnsi="宋体"/>
                <w:sz w:val="21"/>
                <w:szCs w:val="21"/>
              </w:rPr>
              <w:t xml:space="preserve">延长质保</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投标人所投产品质保期响应招标文件最低要求（质保三年）基础上每增加一年加1分，最高得2分。</w:t>
            </w:r>
            <w:r/>
          </w:p>
          <w:p>
            <w:pPr>
              <w:ind w:left="0"/>
              <w:widowControl w:val="off"/>
              <w:rPr>
                <w:rFonts w:ascii="宋体" w:hAnsi="宋体"/>
                <w:sz w:val="21"/>
                <w:szCs w:val="21"/>
                <w:lang w:bidi="ar"/>
              </w:rPr>
            </w:pPr>
            <w:r>
              <w:rPr>
                <w:rFonts w:hint="eastAsia" w:ascii="宋体" w:hAnsi="宋体"/>
                <w:b/>
                <w:bCs/>
                <w:sz w:val="21"/>
                <w:szCs w:val="21"/>
                <w:lang w:bidi="ar"/>
              </w:rPr>
              <w:t xml:space="preserve">注：投标文件需提供加盖投标人公章的质保期承诺书，不提供则不得分。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 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lang w:bidi="ar"/>
              </w:rPr>
            </w:pPr>
            <w:r>
              <w:rPr>
                <w:rFonts w:hint="eastAsia" w:ascii="宋体" w:hAnsi="宋体"/>
                <w:b/>
                <w:bCs/>
                <w:sz w:val="21"/>
              </w:rPr>
              <w:t xml:space="preserve">▲</w:t>
            </w:r>
            <w:r>
              <w:rPr>
                <w:rFonts w:hint="eastAsia" w:ascii="宋体" w:hAnsi="宋体"/>
                <w:sz w:val="21"/>
                <w:szCs w:val="21"/>
                <w:lang w:bidi="ar"/>
              </w:rPr>
              <w:t xml:space="preserve">制造商授权、制造商原厂售后服务承诺</w:t>
            </w:r>
            <w:r/>
          </w:p>
        </w:tc>
        <w:tc>
          <w:tcPr>
            <w:tcW w:w="4678" w:type="dxa"/>
            <w:vAlign w:val="center"/>
            <w:textDirection w:val="lrTb"/>
            <w:noWrap w:val="false"/>
          </w:tcPr>
          <w:p>
            <w:pPr>
              <w:ind w:left="0"/>
              <w:widowControl w:val="off"/>
              <w:rPr>
                <w:rFonts w:ascii="宋体" w:hAnsi="宋体"/>
                <w:bCs/>
                <w:sz w:val="21"/>
                <w:szCs w:val="21"/>
                <w:lang w:bidi="ar"/>
              </w:rPr>
            </w:pPr>
            <w:r>
              <w:rPr>
                <w:rFonts w:hint="eastAsia" w:ascii="宋体" w:hAnsi="宋体"/>
                <w:bCs/>
                <w:sz w:val="21"/>
                <w:szCs w:val="21"/>
                <w:lang w:bidi="ar"/>
              </w:rPr>
              <w:t xml:space="preserve">若投标人为所投产品制造商的，提供制造商声明函及售后服务承诺函的得 2 分，未提供则不得分；</w:t>
            </w:r>
            <w:r/>
          </w:p>
          <w:p>
            <w:pPr>
              <w:ind w:left="0"/>
              <w:widowControl w:val="off"/>
              <w:rPr>
                <w:rFonts w:hint="eastAsia" w:ascii="宋体" w:hAnsi="宋体"/>
                <w:bCs/>
                <w:sz w:val="21"/>
                <w:szCs w:val="21"/>
                <w:lang w:bidi="ar"/>
              </w:rPr>
            </w:pPr>
            <w:r>
              <w:rPr>
                <w:rFonts w:hint="eastAsia" w:ascii="宋体" w:hAnsi="宋体"/>
                <w:bCs/>
                <w:sz w:val="21"/>
                <w:szCs w:val="21"/>
                <w:lang w:bidi="ar"/>
              </w:rPr>
              <w:t xml:space="preserve">若投标人为所投产品代理商的，提供所投产品制造商授权函及原厂售后服务承诺函的得 2 分，未提供则不得分。</w:t>
            </w:r>
            <w:r/>
          </w:p>
          <w:p>
            <w:pPr>
              <w:ind w:left="0"/>
              <w:widowControl w:val="off"/>
              <w:rPr>
                <w:rFonts w:ascii="宋体" w:hAnsi="宋体"/>
                <w:b/>
                <w:sz w:val="21"/>
                <w:szCs w:val="21"/>
                <w:lang w:bidi="ar"/>
              </w:rPr>
            </w:pPr>
            <w:r>
              <w:rPr>
                <w:rStyle w:val="1059"/>
                <w:rFonts w:hint="eastAsia"/>
                <w:b/>
                <w:bCs/>
                <w:sz w:val="21"/>
                <w:szCs w:val="21"/>
                <w:lang w:val="en-US" w:eastAsia="zh-CN"/>
              </w:rPr>
              <w:t xml:space="preserve">本项最高2分。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
                <w:bCs/>
                <w:sz w:val="21"/>
              </w:rPr>
              <w:t xml:space="preserve">▲</w:t>
            </w:r>
            <w:r>
              <w:rPr>
                <w:rFonts w:hint="eastAsia" w:ascii="宋体" w:hAnsi="宋体"/>
                <w:sz w:val="21"/>
                <w:szCs w:val="21"/>
              </w:rPr>
              <w:t xml:space="preserve">合同履约能力</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所投产品的投标人或产品制造商（必须与投标文件中产品型号一致）近4年（自2022年4月份）以来有销售业绩的（非单一产品包为核心产品）。类似业绩日期认定：以签订合同日期为准。每提供一份有效业绩证明材料得1分，最多得4分。</w:t>
            </w:r>
            <w:r/>
          </w:p>
          <w:p>
            <w:pPr>
              <w:ind w:left="0"/>
              <w:widowControl w:val="off"/>
              <w:rPr>
                <w:rFonts w:ascii="宋体" w:hAnsi="宋体"/>
                <w:b/>
                <w:bCs/>
                <w:sz w:val="21"/>
                <w:szCs w:val="21"/>
              </w:rPr>
            </w:pPr>
            <w:r>
              <w:rPr>
                <w:rFonts w:hint="eastAsia" w:ascii="宋体" w:hAnsi="宋体"/>
                <w:b/>
                <w:bCs/>
                <w:sz w:val="21"/>
                <w:szCs w:val="21"/>
              </w:rPr>
              <w:t xml:space="preserve">注：</w:t>
            </w:r>
            <w:r/>
          </w:p>
          <w:p>
            <w:pPr>
              <w:ind w:left="0"/>
              <w:widowControl w:val="off"/>
              <w:rPr>
                <w:rFonts w:ascii="宋体" w:hAnsi="宋体"/>
                <w:b/>
                <w:bCs/>
                <w:sz w:val="21"/>
                <w:szCs w:val="21"/>
              </w:rPr>
            </w:pPr>
            <w:r>
              <w:rPr>
                <w:rFonts w:hint="eastAsia" w:ascii="宋体" w:hAnsi="宋体"/>
                <w:b/>
                <w:bCs/>
                <w:sz w:val="21"/>
                <w:szCs w:val="21"/>
              </w:rPr>
              <w:t xml:space="preserve">①业绩证明材料需同时提供合同、验收证明以及合同执行过程中任意一次付款的发票复印件加盖公章（三者缺一不可），合同须能体现签订单位信息、签订时间、产品名称、型号、价格等相关信息，否则视为无效合同）。</w:t>
            </w:r>
            <w:r/>
          </w:p>
          <w:p>
            <w:pPr>
              <w:ind w:left="0"/>
              <w:widowControl w:val="off"/>
              <w:rPr>
                <w:rFonts w:ascii="宋体" w:hAnsi="宋体"/>
                <w:b/>
                <w:bCs/>
                <w:sz w:val="21"/>
                <w:szCs w:val="21"/>
              </w:rPr>
            </w:pPr>
            <w:r>
              <w:rPr>
                <w:rFonts w:hint="eastAsia" w:ascii="宋体" w:hAnsi="宋体"/>
                <w:b/>
                <w:bCs/>
                <w:sz w:val="21"/>
                <w:szCs w:val="21"/>
              </w:rPr>
              <w:t xml:space="preserve">②统招分签的合同按一个合同业绩计。（多个合同项目名称一致的，均按一个合同计。）</w:t>
            </w:r>
            <w:r/>
          </w:p>
          <w:p>
            <w:pPr>
              <w:ind w:left="0"/>
              <w:widowControl w:val="off"/>
              <w:rPr>
                <w:rFonts w:ascii="宋体" w:hAnsi="宋体"/>
                <w:b/>
                <w:bCs/>
                <w:sz w:val="21"/>
                <w:szCs w:val="21"/>
              </w:rPr>
            </w:pPr>
            <w:r>
              <w:rPr>
                <w:rFonts w:hint="eastAsia" w:ascii="宋体" w:hAnsi="宋体"/>
                <w:b/>
                <w:bCs/>
                <w:sz w:val="21"/>
                <w:szCs w:val="21"/>
              </w:rPr>
              <w:t xml:space="preserve">③合同中的产品名称及产品型号请加以明显标记，以方便评审和核对。</w:t>
            </w:r>
            <w:r/>
          </w:p>
          <w:p>
            <w:pPr>
              <w:ind w:left="0"/>
              <w:widowControl w:val="off"/>
              <w:rPr>
                <w:rFonts w:ascii="宋体" w:hAnsi="宋体"/>
                <w:sz w:val="21"/>
                <w:szCs w:val="21"/>
              </w:rPr>
            </w:pPr>
            <w:r>
              <w:rPr>
                <w:rFonts w:hint="eastAsia" w:ascii="宋体" w:hAnsi="宋体"/>
                <w:b/>
                <w:bCs/>
                <w:sz w:val="21"/>
                <w:szCs w:val="21"/>
              </w:rPr>
              <w:t xml:space="preserve">④合同评审中的重要信息因存在内容模糊、无法辨认而产生不利于该项评审的情况，投标人自行承担后果。</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r>
    </w:tbl>
    <w:p>
      <w:pPr>
        <w:ind w:left="0"/>
        <w:spacing w:line="360" w:lineRule="auto"/>
        <w:rPr>
          <w:rFonts w:ascii="宋体" w:hAnsi="宋体" w:cs="Times New Roman"/>
          <w:b/>
          <w:sz w:val="21"/>
          <w:szCs w:val="21"/>
        </w:rPr>
      </w:pPr>
      <w:r>
        <w:rPr>
          <w:rFonts w:ascii="宋体" w:hAnsi="宋体" w:cs="Times New Roman"/>
          <w:b/>
          <w:sz w:val="21"/>
          <w:szCs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4"/>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4"/>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4"/>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4"/>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34"/>
                            <w:ind w:firstLine="0"/>
                          </w:pPr>
                          <w:r>
                            <w:rPr>
                              <w:rFonts w:hint="eastAsia"/>
                            </w:rPr>
                            <w:fldChar w:fldCharType="begin"/>
                          </w:r>
                          <w:r>
                            <w:rPr>
                              <w:rFonts w:hint="eastAsia"/>
                            </w:rPr>
                            <w:instrText xml:space="preserve"> PAGE  \* MERGEFORMAT </w:instrText>
                          </w:r>
                          <w:r>
                            <w:rPr>
                              <w:rFonts w:hint="eastAsia"/>
                            </w:rPr>
                            <w:fldChar w:fldCharType="separate"/>
                          </w:r>
                          <w:r>
                            <w:t xml:space="preserve">81</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34"/>
                      <w:ind w:firstLine="0"/>
                    </w:pPr>
                    <w:r>
                      <w:rPr>
                        <w:rFonts w:hint="eastAsia"/>
                      </w:rPr>
                      <w:fldChar w:fldCharType="begin"/>
                    </w:r>
                    <w:r>
                      <w:rPr>
                        <w:rFonts w:hint="eastAsia"/>
                      </w:rPr>
                      <w:instrText xml:space="preserve"> PAGE  \* MERGEFORMAT </w:instrText>
                    </w:r>
                    <w:r>
                      <w:rPr>
                        <w:rFonts w:hint="eastAsia"/>
                      </w:rPr>
                      <w:fldChar w:fldCharType="separate"/>
                    </w:r>
                    <w:r>
                      <w:t xml:space="preserve">81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4"/>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4"/>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2"/>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2"/>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2"/>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042"/>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42"/>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5">
    <w:name w:val="Heading 1 Char"/>
    <w:basedOn w:val="1003"/>
    <w:link w:val="994"/>
    <w:uiPriority w:val="9"/>
    <w:rPr>
      <w:rFonts w:ascii="Arial" w:hAnsi="Arial" w:eastAsia="Arial" w:cs="Arial"/>
      <w:sz w:val="40"/>
      <w:szCs w:val="40"/>
    </w:rPr>
  </w:style>
  <w:style w:type="character" w:styleId="846">
    <w:name w:val="Heading 2 Char"/>
    <w:basedOn w:val="1003"/>
    <w:link w:val="995"/>
    <w:uiPriority w:val="9"/>
    <w:rPr>
      <w:rFonts w:ascii="Arial" w:hAnsi="Arial" w:eastAsia="Arial" w:cs="Arial"/>
      <w:sz w:val="34"/>
    </w:rPr>
  </w:style>
  <w:style w:type="character" w:styleId="847">
    <w:name w:val="Heading 3 Char"/>
    <w:basedOn w:val="1003"/>
    <w:link w:val="996"/>
    <w:uiPriority w:val="9"/>
    <w:rPr>
      <w:rFonts w:ascii="Arial" w:hAnsi="Arial" w:eastAsia="Arial" w:cs="Arial"/>
      <w:sz w:val="30"/>
      <w:szCs w:val="30"/>
    </w:rPr>
  </w:style>
  <w:style w:type="character" w:styleId="848">
    <w:name w:val="Heading 4 Char"/>
    <w:basedOn w:val="1003"/>
    <w:link w:val="997"/>
    <w:uiPriority w:val="9"/>
    <w:rPr>
      <w:rFonts w:ascii="Arial" w:hAnsi="Arial" w:eastAsia="Arial" w:cs="Arial"/>
      <w:b/>
      <w:bCs/>
      <w:sz w:val="26"/>
      <w:szCs w:val="26"/>
    </w:rPr>
  </w:style>
  <w:style w:type="character" w:styleId="849">
    <w:name w:val="Heading 5 Char"/>
    <w:basedOn w:val="1003"/>
    <w:link w:val="998"/>
    <w:uiPriority w:val="9"/>
    <w:rPr>
      <w:rFonts w:ascii="Arial" w:hAnsi="Arial" w:eastAsia="Arial" w:cs="Arial"/>
      <w:b/>
      <w:bCs/>
      <w:sz w:val="24"/>
      <w:szCs w:val="24"/>
    </w:rPr>
  </w:style>
  <w:style w:type="character" w:styleId="850">
    <w:name w:val="Heading 6 Char"/>
    <w:basedOn w:val="1003"/>
    <w:link w:val="999"/>
    <w:uiPriority w:val="9"/>
    <w:rPr>
      <w:rFonts w:ascii="Arial" w:hAnsi="Arial" w:eastAsia="Arial" w:cs="Arial"/>
      <w:b/>
      <w:bCs/>
      <w:sz w:val="22"/>
      <w:szCs w:val="22"/>
    </w:rPr>
  </w:style>
  <w:style w:type="character" w:styleId="851">
    <w:name w:val="Heading 7 Char"/>
    <w:basedOn w:val="1003"/>
    <w:link w:val="1000"/>
    <w:uiPriority w:val="9"/>
    <w:rPr>
      <w:rFonts w:ascii="Arial" w:hAnsi="Arial" w:eastAsia="Arial" w:cs="Arial"/>
      <w:b/>
      <w:bCs/>
      <w:i/>
      <w:iCs/>
      <w:sz w:val="22"/>
      <w:szCs w:val="22"/>
    </w:rPr>
  </w:style>
  <w:style w:type="character" w:styleId="852">
    <w:name w:val="Heading 8 Char"/>
    <w:basedOn w:val="1003"/>
    <w:link w:val="1001"/>
    <w:uiPriority w:val="9"/>
    <w:rPr>
      <w:rFonts w:ascii="Arial" w:hAnsi="Arial" w:eastAsia="Arial" w:cs="Arial"/>
      <w:i/>
      <w:iCs/>
      <w:sz w:val="22"/>
      <w:szCs w:val="22"/>
    </w:rPr>
  </w:style>
  <w:style w:type="character" w:styleId="853">
    <w:name w:val="Heading 9 Char"/>
    <w:basedOn w:val="1003"/>
    <w:link w:val="1002"/>
    <w:uiPriority w:val="9"/>
    <w:rPr>
      <w:rFonts w:ascii="Arial" w:hAnsi="Arial" w:eastAsia="Arial" w:cs="Arial"/>
      <w:i/>
      <w:iCs/>
      <w:sz w:val="21"/>
      <w:szCs w:val="21"/>
    </w:rPr>
  </w:style>
  <w:style w:type="paragraph" w:styleId="854">
    <w:name w:val="No Spacing"/>
    <w:uiPriority w:val="1"/>
    <w:qFormat/>
    <w:pPr>
      <w:spacing w:before="0" w:after="0" w:line="240" w:lineRule="auto"/>
    </w:pPr>
  </w:style>
  <w:style w:type="paragraph" w:styleId="855">
    <w:name w:val="Title"/>
    <w:basedOn w:val="993"/>
    <w:next w:val="993"/>
    <w:link w:val="856"/>
    <w:uiPriority w:val="10"/>
    <w:qFormat/>
    <w:pPr>
      <w:contextualSpacing/>
      <w:spacing w:before="300" w:after="200"/>
    </w:pPr>
    <w:rPr>
      <w:sz w:val="48"/>
      <w:szCs w:val="48"/>
    </w:rPr>
  </w:style>
  <w:style w:type="character" w:styleId="856">
    <w:name w:val="Title Char"/>
    <w:basedOn w:val="1003"/>
    <w:link w:val="855"/>
    <w:uiPriority w:val="10"/>
    <w:rPr>
      <w:sz w:val="48"/>
      <w:szCs w:val="48"/>
    </w:rPr>
  </w:style>
  <w:style w:type="character" w:styleId="857">
    <w:name w:val="Subtitle Char"/>
    <w:basedOn w:val="1003"/>
    <w:link w:val="1039"/>
    <w:uiPriority w:val="11"/>
    <w:rPr>
      <w:sz w:val="24"/>
      <w:szCs w:val="24"/>
    </w:rPr>
  </w:style>
  <w:style w:type="character" w:styleId="858">
    <w:name w:val="Quote Char"/>
    <w:link w:val="1245"/>
    <w:uiPriority w:val="29"/>
    <w:rPr>
      <w:i/>
    </w:rPr>
  </w:style>
  <w:style w:type="character" w:styleId="859">
    <w:name w:val="Intense Quote Char"/>
    <w:link w:val="1371"/>
    <w:uiPriority w:val="30"/>
    <w:rPr>
      <w:i/>
    </w:rPr>
  </w:style>
  <w:style w:type="character" w:styleId="860">
    <w:name w:val="Header Char"/>
    <w:basedOn w:val="1003"/>
    <w:link w:val="1036"/>
    <w:uiPriority w:val="99"/>
  </w:style>
  <w:style w:type="character" w:styleId="861">
    <w:name w:val="Footer Char"/>
    <w:basedOn w:val="1003"/>
    <w:link w:val="1034"/>
    <w:uiPriority w:val="99"/>
  </w:style>
  <w:style w:type="character" w:styleId="862">
    <w:name w:val="Caption Char"/>
    <w:basedOn w:val="1012"/>
    <w:link w:val="1034"/>
    <w:uiPriority w:val="99"/>
  </w:style>
  <w:style w:type="table" w:styleId="863">
    <w:name w:val="Table Grid Light"/>
    <w:basedOn w:val="10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4">
    <w:name w:val="Plain Table 1"/>
    <w:basedOn w:val="10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5">
    <w:name w:val="Plain Table 2"/>
    <w:basedOn w:val="10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6">
    <w:name w:val="Plain Table 3"/>
    <w:basedOn w:val="10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7">
    <w:name w:val="Plain Table 4"/>
    <w:basedOn w:val="10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8">
    <w:name w:val="Plain Table 5"/>
    <w:basedOn w:val="10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9">
    <w:name w:val="Grid Table 1 Light"/>
    <w:basedOn w:val="10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0">
    <w:name w:val="Grid Table 1 Light - Accent 1"/>
    <w:basedOn w:val="10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1">
    <w:name w:val="Grid Table 1 Light - Accent 2"/>
    <w:basedOn w:val="10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2">
    <w:name w:val="Grid Table 1 Light - Accent 3"/>
    <w:basedOn w:val="10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3">
    <w:name w:val="Grid Table 1 Light - Accent 4"/>
    <w:basedOn w:val="10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4">
    <w:name w:val="Grid Table 1 Light - Accent 5"/>
    <w:basedOn w:val="10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5">
    <w:name w:val="Grid Table 1 Light - Accent 6"/>
    <w:basedOn w:val="10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6">
    <w:name w:val="Grid Table 2"/>
    <w:basedOn w:val="10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7">
    <w:name w:val="Grid Table 2 - Accent 1"/>
    <w:basedOn w:val="10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8">
    <w:name w:val="Grid Table 2 - Accent 2"/>
    <w:basedOn w:val="10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9">
    <w:name w:val="Grid Table 2 - Accent 3"/>
    <w:basedOn w:val="10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0">
    <w:name w:val="Grid Table 2 - Accent 4"/>
    <w:basedOn w:val="10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1">
    <w:name w:val="Grid Table 2 - Accent 5"/>
    <w:basedOn w:val="10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2">
    <w:name w:val="Grid Table 2 - Accent 6"/>
    <w:basedOn w:val="10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3">
    <w:name w:val="Grid Table 3"/>
    <w:basedOn w:val="10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1"/>
    <w:basedOn w:val="10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2"/>
    <w:basedOn w:val="10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3"/>
    <w:basedOn w:val="10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4"/>
    <w:basedOn w:val="10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5"/>
    <w:basedOn w:val="10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6"/>
    <w:basedOn w:val="10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4"/>
    <w:basedOn w:val="10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1">
    <w:name w:val="Grid Table 4 - Accent 1"/>
    <w:basedOn w:val="100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2">
    <w:name w:val="Grid Table 4 - Accent 2"/>
    <w:basedOn w:val="100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3">
    <w:name w:val="Grid Table 4 - Accent 3"/>
    <w:basedOn w:val="100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4">
    <w:name w:val="Grid Table 4 - Accent 4"/>
    <w:basedOn w:val="100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5">
    <w:name w:val="Grid Table 4 - Accent 5"/>
    <w:basedOn w:val="100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6">
    <w:name w:val="Grid Table 4 - Accent 6"/>
    <w:basedOn w:val="100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7">
    <w:name w:val="Grid Table 5 Dark"/>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8">
    <w:name w:val="Grid Table 5 Dark- Accent 1"/>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9">
    <w:name w:val="Grid Table 5 Dark - Accent 2"/>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0">
    <w:name w:val="Grid Table 5 Dark - Accent 3"/>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1">
    <w:name w:val="Grid Table 5 Dark- Accent 4"/>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2">
    <w:name w:val="Grid Table 5 Dark - Accent 5"/>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3">
    <w:name w:val="Grid Table 5 Dark - Accent 6"/>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4">
    <w:name w:val="Grid Table 6 Colorful"/>
    <w:basedOn w:val="10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5">
    <w:name w:val="Grid Table 6 Colorful - Accent 1"/>
    <w:basedOn w:val="100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6">
    <w:name w:val="Grid Table 6 Colorful - Accent 2"/>
    <w:basedOn w:val="10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7">
    <w:name w:val="Grid Table 6 Colorful - Accent 3"/>
    <w:basedOn w:val="100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8">
    <w:name w:val="Grid Table 6 Colorful - Accent 4"/>
    <w:basedOn w:val="10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9">
    <w:name w:val="Grid Table 6 Colorful - Accent 5"/>
    <w:basedOn w:val="100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0">
    <w:name w:val="Grid Table 6 Colorful - Accent 6"/>
    <w:basedOn w:val="100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1">
    <w:name w:val="Grid Table 7 Colorful"/>
    <w:basedOn w:val="10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2">
    <w:name w:val="Grid Table 7 Colorful - Accent 1"/>
    <w:basedOn w:val="100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3">
    <w:name w:val="Grid Table 7 Colorful - Accent 2"/>
    <w:basedOn w:val="100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4">
    <w:name w:val="Grid Table 7 Colorful - Accent 3"/>
    <w:basedOn w:val="100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5">
    <w:name w:val="Grid Table 7 Colorful - Accent 4"/>
    <w:basedOn w:val="100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6">
    <w:name w:val="Grid Table 7 Colorful - Accent 5"/>
    <w:basedOn w:val="100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7">
    <w:name w:val="Grid Table 7 Colorful - Accent 6"/>
    <w:basedOn w:val="100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8">
    <w:name w:val="List Table 1 Light"/>
    <w:basedOn w:val="10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9">
    <w:name w:val="List Table 1 Light - Accent 1"/>
    <w:basedOn w:val="100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0">
    <w:name w:val="List Table 1 Light - Accent 2"/>
    <w:basedOn w:val="100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1">
    <w:name w:val="List Table 1 Light - Accent 3"/>
    <w:basedOn w:val="100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2">
    <w:name w:val="List Table 1 Light - Accent 4"/>
    <w:basedOn w:val="100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3">
    <w:name w:val="List Table 1 Light - Accent 5"/>
    <w:basedOn w:val="100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4">
    <w:name w:val="List Table 1 Light - Accent 6"/>
    <w:basedOn w:val="100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5">
    <w:name w:val="List Table 2"/>
    <w:basedOn w:val="10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6">
    <w:name w:val="List Table 2 - Accent 1"/>
    <w:basedOn w:val="100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7">
    <w:name w:val="List Table 2 - Accent 2"/>
    <w:basedOn w:val="100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8">
    <w:name w:val="List Table 2 - Accent 3"/>
    <w:basedOn w:val="100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9">
    <w:name w:val="List Table 2 - Accent 4"/>
    <w:basedOn w:val="100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0">
    <w:name w:val="List Table 2 - Accent 5"/>
    <w:basedOn w:val="100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1">
    <w:name w:val="List Table 2 - Accent 6"/>
    <w:basedOn w:val="100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2">
    <w:name w:val="List Table 3"/>
    <w:basedOn w:val="10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3">
    <w:name w:val="List Table 3 - Accent 1"/>
    <w:basedOn w:val="100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4">
    <w:name w:val="List Table 3 - Accent 2"/>
    <w:basedOn w:val="10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5">
    <w:name w:val="List Table 3 - Accent 3"/>
    <w:basedOn w:val="100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6">
    <w:name w:val="List Table 3 - Accent 4"/>
    <w:basedOn w:val="10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7">
    <w:name w:val="List Table 3 - Accent 5"/>
    <w:basedOn w:val="100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8">
    <w:name w:val="List Table 3 - Accent 6"/>
    <w:basedOn w:val="100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9">
    <w:name w:val="List Table 4"/>
    <w:basedOn w:val="10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0">
    <w:name w:val="List Table 4 - Accent 1"/>
    <w:basedOn w:val="100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1">
    <w:name w:val="List Table 4 - Accent 2"/>
    <w:basedOn w:val="100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2">
    <w:name w:val="List Table 4 - Accent 3"/>
    <w:basedOn w:val="100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3">
    <w:name w:val="List Table 4 - Accent 4"/>
    <w:basedOn w:val="100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4">
    <w:name w:val="List Table 4 - Accent 5"/>
    <w:basedOn w:val="100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5">
    <w:name w:val="List Table 4 - Accent 6"/>
    <w:basedOn w:val="100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6">
    <w:name w:val="List Table 5 Dark"/>
    <w:basedOn w:val="10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1"/>
    <w:basedOn w:val="100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2"/>
    <w:basedOn w:val="100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3"/>
    <w:basedOn w:val="100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4"/>
    <w:basedOn w:val="100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5"/>
    <w:basedOn w:val="100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6"/>
    <w:basedOn w:val="100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6 Colorful"/>
    <w:basedOn w:val="10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4">
    <w:name w:val="List Table 6 Colorful - Accent 1"/>
    <w:basedOn w:val="100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5">
    <w:name w:val="List Table 6 Colorful - Accent 2"/>
    <w:basedOn w:val="100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6">
    <w:name w:val="List Table 6 Colorful - Accent 3"/>
    <w:basedOn w:val="100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7">
    <w:name w:val="List Table 6 Colorful - Accent 4"/>
    <w:basedOn w:val="100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8">
    <w:name w:val="List Table 6 Colorful - Accent 5"/>
    <w:basedOn w:val="100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9">
    <w:name w:val="List Table 6 Colorful - Accent 6"/>
    <w:basedOn w:val="100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0">
    <w:name w:val="List Table 7 Colorful"/>
    <w:basedOn w:val="10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1">
    <w:name w:val="List Table 7 Colorful - Accent 1"/>
    <w:basedOn w:val="100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2">
    <w:name w:val="List Table 7 Colorful - Accent 2"/>
    <w:basedOn w:val="100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3">
    <w:name w:val="List Table 7 Colorful - Accent 3"/>
    <w:basedOn w:val="100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4">
    <w:name w:val="List Table 7 Colorful - Accent 4"/>
    <w:basedOn w:val="100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5">
    <w:name w:val="List Table 7 Colorful - Accent 5"/>
    <w:basedOn w:val="100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6">
    <w:name w:val="List Table 7 Colorful - Accent 6"/>
    <w:basedOn w:val="100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7">
    <w:name w:val="Lined - Accent"/>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8">
    <w:name w:val="Lined - Accent 1"/>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9">
    <w:name w:val="Lined - Accent 2"/>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0">
    <w:name w:val="Lined - Accent 3"/>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1">
    <w:name w:val="Lined - Accent 4"/>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2">
    <w:name w:val="Lined - Accent 5"/>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3">
    <w:name w:val="Lined - Accent 6"/>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4">
    <w:name w:val="Bordered &amp; Lined - Accent"/>
    <w:basedOn w:val="100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5">
    <w:name w:val="Bordered &amp; Lined - Accent 1"/>
    <w:basedOn w:val="100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6">
    <w:name w:val="Bordered &amp; Lined - Accent 2"/>
    <w:basedOn w:val="100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7">
    <w:name w:val="Bordered &amp; Lined - Accent 3"/>
    <w:basedOn w:val="100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8">
    <w:name w:val="Bordered &amp; Lined - Accent 4"/>
    <w:basedOn w:val="100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9">
    <w:name w:val="Bordered &amp; Lined - Accent 5"/>
    <w:basedOn w:val="100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0">
    <w:name w:val="Bordered &amp; Lined - Accent 6"/>
    <w:basedOn w:val="100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1">
    <w:name w:val="Bordered"/>
    <w:basedOn w:val="100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2">
    <w:name w:val="Bordered - Accent 1"/>
    <w:basedOn w:val="10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3">
    <w:name w:val="Bordered - Accent 2"/>
    <w:basedOn w:val="10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4">
    <w:name w:val="Bordered - Accent 3"/>
    <w:basedOn w:val="10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5">
    <w:name w:val="Bordered - Accent 4"/>
    <w:basedOn w:val="10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6">
    <w:name w:val="Bordered - Accent 5"/>
    <w:basedOn w:val="10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7">
    <w:name w:val="Bordered - Accent 6"/>
    <w:basedOn w:val="10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8">
    <w:name w:val="Footnote Text Char"/>
    <w:link w:val="1042"/>
    <w:uiPriority w:val="99"/>
    <w:rPr>
      <w:sz w:val="18"/>
    </w:rPr>
  </w:style>
  <w:style w:type="character" w:styleId="989">
    <w:name w:val="Endnote Text Char"/>
    <w:link w:val="1031"/>
    <w:uiPriority w:val="99"/>
    <w:rPr>
      <w:sz w:val="20"/>
    </w:rPr>
  </w:style>
  <w:style w:type="character" w:styleId="990">
    <w:name w:val="endnote reference"/>
    <w:basedOn w:val="1003"/>
    <w:uiPriority w:val="99"/>
    <w:semiHidden/>
    <w:unhideWhenUsed/>
    <w:rPr>
      <w:vertAlign w:val="superscript"/>
    </w:rPr>
  </w:style>
  <w:style w:type="paragraph" w:styleId="991">
    <w:name w:val="TOC Heading"/>
    <w:uiPriority w:val="39"/>
    <w:unhideWhenUsed/>
  </w:style>
  <w:style w:type="paragraph" w:styleId="992">
    <w:name w:val="table of figures"/>
    <w:basedOn w:val="993"/>
    <w:next w:val="993"/>
    <w:uiPriority w:val="99"/>
    <w:unhideWhenUsed/>
    <w:pPr>
      <w:spacing w:after="0" w:afterAutospacing="0"/>
    </w:pPr>
  </w:style>
  <w:style w:type="paragraph" w:styleId="993" w:default="1">
    <w:name w:val="Normal"/>
    <w:next w:val="1005"/>
    <w:uiPriority w:val="0"/>
    <w:qFormat/>
    <w:pPr>
      <w:ind w:left="1024"/>
      <w:jc w:val="both"/>
    </w:pPr>
    <w:rPr>
      <w:rFonts w:ascii="Calibri" w:hAnsi="Calibri" w:eastAsia="宋体" w:cs="宋体"/>
      <w:lang w:val="en-US" w:eastAsia="zh-CN" w:bidi="ar-SA"/>
    </w:rPr>
  </w:style>
  <w:style w:type="paragraph" w:styleId="994">
    <w:name w:val="Heading 1"/>
    <w:basedOn w:val="993"/>
    <w:next w:val="993"/>
    <w:uiPriority w:val="0"/>
    <w:qFormat/>
    <w:pPr>
      <w:ind w:left="432" w:firstLine="18"/>
      <w:spacing w:before="340" w:after="330" w:line="578" w:lineRule="auto"/>
      <w:outlineLvl w:val="0"/>
    </w:pPr>
  </w:style>
  <w:style w:type="paragraph" w:styleId="995">
    <w:name w:val="Heading 2"/>
    <w:basedOn w:val="993"/>
    <w:next w:val="993"/>
    <w:uiPriority w:val="0"/>
    <w:qFormat/>
    <w:pPr>
      <w:ind w:left="576" w:firstLine="24"/>
      <w:spacing w:before="260" w:after="260" w:line="416" w:lineRule="auto"/>
      <w:outlineLvl w:val="1"/>
    </w:pPr>
    <w:rPr>
      <w:rFonts w:ascii="Times New Roman" w:hAnsi="Times New Roman" w:cs="Times New Roman"/>
    </w:rPr>
  </w:style>
  <w:style w:type="paragraph" w:styleId="996">
    <w:name w:val="Heading 3"/>
    <w:basedOn w:val="993"/>
    <w:next w:val="1006"/>
    <w:uiPriority w:val="0"/>
    <w:qFormat/>
    <w:pPr>
      <w:ind w:left="720"/>
      <w:spacing w:before="260" w:after="260" w:line="416" w:lineRule="auto"/>
      <w:outlineLvl w:val="2"/>
    </w:pPr>
    <w:rPr>
      <w:rFonts w:ascii="Times New Roman" w:hAnsi="Times New Roman" w:cs="Times New Roman"/>
    </w:rPr>
  </w:style>
  <w:style w:type="paragraph" w:styleId="997">
    <w:name w:val="Heading 4"/>
    <w:basedOn w:val="994"/>
    <w:next w:val="993"/>
    <w:uiPriority w:val="0"/>
    <w:qFormat/>
    <w:pPr>
      <w:ind w:left="864" w:firstLine="24"/>
      <w:spacing w:before="280" w:after="290" w:line="376" w:lineRule="auto"/>
      <w:outlineLvl w:val="3"/>
    </w:pPr>
    <w:rPr>
      <w:rFonts w:ascii="Times New Roman" w:hAnsi="Times New Roman" w:cs="Times New Roman"/>
    </w:rPr>
  </w:style>
  <w:style w:type="paragraph" w:styleId="998">
    <w:name w:val="Heading 5"/>
    <w:basedOn w:val="994"/>
    <w:next w:val="993"/>
    <w:uiPriority w:val="0"/>
    <w:qFormat/>
    <w:pPr>
      <w:ind w:left="1008"/>
      <w:spacing w:before="280" w:after="290" w:line="376" w:lineRule="auto"/>
      <w:outlineLvl w:val="4"/>
    </w:pPr>
    <w:rPr>
      <w:rFonts w:ascii="Times New Roman" w:hAnsi="Times New Roman" w:cs="Times New Roman"/>
    </w:rPr>
  </w:style>
  <w:style w:type="paragraph" w:styleId="999">
    <w:name w:val="Heading 6"/>
    <w:basedOn w:val="994"/>
    <w:next w:val="993"/>
    <w:uiPriority w:val="0"/>
    <w:qFormat/>
    <w:pPr>
      <w:ind w:left="1152" w:firstLine="20"/>
      <w:spacing w:before="240" w:after="64" w:line="320" w:lineRule="auto"/>
      <w:outlineLvl w:val="5"/>
    </w:pPr>
    <w:rPr>
      <w:rFonts w:ascii="Times New Roman" w:hAnsi="Times New Roman" w:cs="Times New Roman"/>
    </w:rPr>
  </w:style>
  <w:style w:type="paragraph" w:styleId="1000">
    <w:name w:val="Heading 7"/>
    <w:basedOn w:val="994"/>
    <w:next w:val="993"/>
    <w:uiPriority w:val="0"/>
    <w:qFormat/>
    <w:pPr>
      <w:ind w:left="1296" w:firstLine="14"/>
      <w:spacing w:before="240" w:after="64" w:line="320" w:lineRule="auto"/>
      <w:outlineLvl w:val="6"/>
    </w:pPr>
    <w:rPr>
      <w:rFonts w:ascii="Times New Roman" w:hAnsi="Times New Roman" w:cs="Times New Roman"/>
    </w:rPr>
  </w:style>
  <w:style w:type="paragraph" w:styleId="1001">
    <w:name w:val="Heading 8"/>
    <w:basedOn w:val="994"/>
    <w:next w:val="993"/>
    <w:uiPriority w:val="0"/>
    <w:qFormat/>
    <w:pPr>
      <w:ind w:left="1440"/>
      <w:spacing w:before="240" w:after="64" w:line="320" w:lineRule="auto"/>
      <w:outlineLvl w:val="7"/>
    </w:pPr>
    <w:rPr>
      <w:rFonts w:ascii="Times New Roman" w:hAnsi="Times New Roman" w:cs="Times New Roman"/>
    </w:rPr>
  </w:style>
  <w:style w:type="paragraph" w:styleId="1002">
    <w:name w:val="Heading 9"/>
    <w:basedOn w:val="994"/>
    <w:next w:val="993"/>
    <w:uiPriority w:val="0"/>
    <w:qFormat/>
    <w:pPr>
      <w:ind w:left="1584" w:firstLine="22"/>
      <w:spacing w:before="240" w:after="64" w:line="320" w:lineRule="auto"/>
      <w:outlineLvl w:val="8"/>
    </w:pPr>
    <w:rPr>
      <w:rFonts w:ascii="Times New Roman" w:hAnsi="Times New Roman" w:cs="Times New Roman"/>
    </w:rPr>
  </w:style>
  <w:style w:type="character" w:styleId="1003" w:default="1">
    <w:name w:val="Default Paragraph Font"/>
    <w:uiPriority w:val="1"/>
    <w:semiHidden/>
    <w:unhideWhenUsed/>
    <w:qFormat/>
  </w:style>
  <w:style w:type="table" w:styleId="1004" w:default="1">
    <w:name w:val="Normal Table"/>
    <w:uiPriority w:val="99"/>
    <w:semiHidden/>
    <w:unhideWhenUsed/>
    <w:qFormat/>
    <w:tblPr>
      <w:tblCellMar>
        <w:left w:w="108" w:type="dxa"/>
        <w:top w:w="0" w:type="dxa"/>
        <w:right w:w="108" w:type="dxa"/>
        <w:bottom w:w="0" w:type="dxa"/>
      </w:tblCellMar>
    </w:tblPr>
  </w:style>
  <w:style w:type="paragraph" w:styleId="1005">
    <w:name w:val="Body Text Indent"/>
    <w:basedOn w:val="993"/>
    <w:next w:val="993"/>
    <w:uiPriority w:val="0"/>
    <w:qFormat/>
    <w:pPr>
      <w:ind w:left="420" w:firstLine="1188"/>
      <w:spacing w:line="360" w:lineRule="exact"/>
    </w:pPr>
    <w:rPr>
      <w:rFonts w:ascii="Times New Roman" w:hAnsi="Times New Roman" w:cs="Times New Roman"/>
    </w:rPr>
  </w:style>
  <w:style w:type="paragraph" w:styleId="1006" w:customStyle="1">
    <w:name w:val="正文2"/>
    <w:basedOn w:val="993"/>
    <w:next w:val="993"/>
    <w:uiPriority w:val="0"/>
    <w:qFormat/>
    <w:pPr>
      <w:ind w:left="0" w:hanging="2155"/>
      <w:spacing w:line="360" w:lineRule="auto"/>
      <w:shd w:val="clear" w:color="auto" w:fill="ffffff"/>
    </w:pPr>
    <w:rPr>
      <w:rFonts w:ascii="宋体" w:hAnsi="宋体"/>
    </w:rPr>
  </w:style>
  <w:style w:type="paragraph" w:styleId="1007">
    <w:name w:val="toc 7"/>
    <w:basedOn w:val="994"/>
    <w:next w:val="993"/>
    <w:uiPriority w:val="0"/>
    <w:qFormat/>
    <w:pPr>
      <w:ind w:left="1640" w:firstLine="3784"/>
      <w:spacing w:before="0" w:after="0" w:line="360" w:lineRule="auto"/>
    </w:pPr>
    <w:rPr>
      <w:rFonts w:ascii="Times New Roman" w:hAnsi="Times New Roman" w:cs="Times New Roman"/>
    </w:rPr>
  </w:style>
  <w:style w:type="paragraph" w:styleId="1008">
    <w:name w:val="List Bullet 4"/>
    <w:basedOn w:val="994"/>
    <w:next w:val="1009"/>
    <w:uiPriority w:val="0"/>
    <w:qFormat/>
    <w:pPr>
      <w:ind w:left="1620" w:firstLine="2652"/>
      <w:spacing w:before="0" w:after="0" w:line="360" w:lineRule="auto"/>
    </w:pPr>
    <w:rPr>
      <w:rFonts w:ascii="Times New Roman" w:hAnsi="Times New Roman" w:cs="Times New Roman"/>
    </w:rPr>
  </w:style>
  <w:style w:type="paragraph" w:styleId="1009">
    <w:name w:val="List Bullet 2"/>
    <w:basedOn w:val="994"/>
    <w:next w:val="993"/>
    <w:uiPriority w:val="0"/>
    <w:qFormat/>
    <w:pPr>
      <w:ind w:left="900" w:firstLine="2652"/>
      <w:spacing w:before="0" w:after="0" w:line="360" w:lineRule="auto"/>
    </w:pPr>
    <w:rPr>
      <w:rFonts w:ascii="Times New Roman" w:hAnsi="Times New Roman" w:cs="Times New Roman"/>
    </w:rPr>
  </w:style>
  <w:style w:type="paragraph" w:styleId="1010">
    <w:name w:val="List Number"/>
    <w:basedOn w:val="994"/>
    <w:next w:val="993"/>
    <w:uiPriority w:val="0"/>
    <w:qFormat/>
    <w:pPr>
      <w:ind w:left="454" w:firstLine="2788"/>
      <w:spacing w:before="0" w:after="0" w:line="240" w:lineRule="auto"/>
    </w:pPr>
    <w:rPr>
      <w:rFonts w:ascii="Times New Roman" w:hAnsi="Times New Roman" w:cs="Times New Roman"/>
    </w:rPr>
  </w:style>
  <w:style w:type="paragraph" w:styleId="1011">
    <w:name w:val="Normal Indent"/>
    <w:basedOn w:val="993"/>
    <w:next w:val="993"/>
    <w:link w:val="1062"/>
    <w:uiPriority w:val="0"/>
    <w:qFormat/>
    <w:pPr>
      <w:ind w:left="420" w:firstLine="4772"/>
    </w:pPr>
  </w:style>
  <w:style w:type="paragraph" w:styleId="1012">
    <w:name w:val="Caption"/>
    <w:basedOn w:val="994"/>
    <w:next w:val="993"/>
    <w:uiPriority w:val="0"/>
    <w:qFormat/>
    <w:pPr>
      <w:ind w:left="200" w:firstLine="2248"/>
      <w:jc w:val="center"/>
      <w:spacing w:before="0" w:after="0" w:line="240" w:lineRule="auto"/>
    </w:pPr>
    <w:rPr>
      <w:rFonts w:ascii="Times New Roman" w:hAnsi="Times New Roman" w:cs="Times New Roman"/>
    </w:rPr>
  </w:style>
  <w:style w:type="paragraph" w:styleId="1013">
    <w:name w:val="List Bullet"/>
    <w:basedOn w:val="994"/>
    <w:next w:val="993"/>
    <w:uiPriority w:val="0"/>
    <w:qFormat/>
    <w:pPr>
      <w:ind w:left="900" w:firstLine="2652"/>
      <w:spacing w:before="0" w:after="0" w:line="360" w:lineRule="auto"/>
    </w:pPr>
    <w:rPr>
      <w:rFonts w:ascii="Times New Roman" w:hAnsi="Times New Roman" w:cs="Times New Roman"/>
    </w:rPr>
  </w:style>
  <w:style w:type="paragraph" w:styleId="1014">
    <w:name w:val="Document Map"/>
    <w:basedOn w:val="994"/>
    <w:next w:val="1015"/>
    <w:uiPriority w:val="0"/>
    <w:qFormat/>
    <w:pPr>
      <w:ind w:left="0" w:firstLine="4"/>
      <w:spacing w:before="0" w:after="0" w:line="240" w:lineRule="auto"/>
      <w:shd w:val="clear" w:color="000000" w:fill="000080"/>
    </w:pPr>
    <w:rPr>
      <w:rFonts w:ascii="Times New Roman" w:hAnsi="Times New Roman" w:cs="Times New Roman"/>
    </w:rPr>
  </w:style>
  <w:style w:type="paragraph" w:styleId="1015">
    <w:name w:val="annotation subject"/>
    <w:next w:val="993"/>
    <w:uiPriority w:val="0"/>
    <w:qFormat/>
    <w:pPr>
      <w:ind w:firstLine="4608"/>
      <w:spacing w:line="360" w:lineRule="auto"/>
    </w:pPr>
    <w:rPr>
      <w:rFonts w:ascii="Calibri" w:hAnsi="Calibri" w:eastAsia="宋体" w:cs="宋体"/>
      <w:lang w:val="en-US" w:eastAsia="zh-CN" w:bidi="ar-SA"/>
    </w:rPr>
  </w:style>
  <w:style w:type="paragraph" w:styleId="1016">
    <w:name w:val="annotation text"/>
    <w:basedOn w:val="993"/>
    <w:next w:val="993"/>
    <w:uiPriority w:val="0"/>
    <w:qFormat/>
    <w:pPr>
      <w:ind w:left="0" w:firstLine="3584"/>
      <w:spacing w:line="360" w:lineRule="auto"/>
    </w:pPr>
    <w:rPr>
      <w:rFonts w:ascii="Times New Roman" w:hAnsi="Times New Roman" w:cs="Times New Roman"/>
    </w:rPr>
  </w:style>
  <w:style w:type="paragraph" w:styleId="1017">
    <w:name w:val="Body Text 3"/>
    <w:basedOn w:val="994"/>
    <w:next w:val="993"/>
    <w:uiPriority w:val="0"/>
    <w:qFormat/>
    <w:pPr>
      <w:ind w:left="0" w:firstLine="2048"/>
      <w:spacing w:before="0" w:after="0" w:line="500" w:lineRule="exact"/>
    </w:pPr>
    <w:rPr>
      <w:rFonts w:ascii="Times New Roman" w:hAnsi="Times New Roman" w:cs="Times New Roman"/>
    </w:rPr>
  </w:style>
  <w:style w:type="paragraph" w:styleId="1018">
    <w:name w:val="List Bullet 3"/>
    <w:basedOn w:val="994"/>
    <w:next w:val="993"/>
    <w:uiPriority w:val="0"/>
    <w:qFormat/>
    <w:pPr>
      <w:ind w:left="900" w:firstLine="2652"/>
      <w:spacing w:before="0" w:after="0" w:line="360" w:lineRule="auto"/>
    </w:pPr>
    <w:rPr>
      <w:rFonts w:ascii="Times New Roman" w:hAnsi="Times New Roman" w:cs="Times New Roman"/>
    </w:rPr>
  </w:style>
  <w:style w:type="paragraph" w:styleId="1019">
    <w:name w:val="Body Text"/>
    <w:basedOn w:val="993"/>
    <w:next w:val="993"/>
    <w:uiPriority w:val="0"/>
    <w:qFormat/>
    <w:pPr>
      <w:ind w:left="0" w:firstLine="2560"/>
    </w:pPr>
    <w:rPr>
      <w:rFonts w:ascii="Times New Roman" w:hAnsi="Times New Roman" w:cs="Times New Roman"/>
    </w:rPr>
  </w:style>
  <w:style w:type="paragraph" w:styleId="1020">
    <w:name w:val="List Number 3"/>
    <w:basedOn w:val="994"/>
    <w:next w:val="993"/>
    <w:uiPriority w:val="0"/>
    <w:qFormat/>
    <w:pPr>
      <w:ind w:left="420" w:firstLine="3584"/>
      <w:spacing w:before="0" w:after="0" w:line="240" w:lineRule="auto"/>
    </w:pPr>
    <w:rPr>
      <w:rFonts w:ascii="Times New Roman" w:hAnsi="Times New Roman" w:cs="Times New Roman"/>
    </w:rPr>
  </w:style>
  <w:style w:type="paragraph" w:styleId="1021">
    <w:name w:val="List 2"/>
    <w:basedOn w:val="994"/>
    <w:next w:val="1007"/>
    <w:uiPriority w:val="0"/>
    <w:qFormat/>
    <w:pPr>
      <w:ind w:left="100" w:firstLine="3640"/>
      <w:spacing w:before="0" w:after="0" w:line="240" w:lineRule="auto"/>
    </w:pPr>
    <w:rPr>
      <w:rFonts w:ascii="Times New Roman" w:hAnsi="Times New Roman" w:cs="Times New Roman"/>
    </w:rPr>
  </w:style>
  <w:style w:type="paragraph" w:styleId="1022">
    <w:name w:val="Block Text"/>
    <w:basedOn w:val="994"/>
    <w:next w:val="993"/>
    <w:uiPriority w:val="0"/>
    <w:qFormat/>
    <w:pPr>
      <w:ind w:left="420" w:right="33" w:firstLine="2560"/>
      <w:spacing w:before="0" w:after="0" w:line="240" w:lineRule="auto"/>
    </w:pPr>
    <w:rPr>
      <w:rFonts w:ascii="Times New Roman" w:hAnsi="Times New Roman" w:cs="Times New Roman"/>
    </w:rPr>
  </w:style>
  <w:style w:type="paragraph" w:styleId="1023">
    <w:name w:val="toc 5"/>
    <w:basedOn w:val="994"/>
    <w:next w:val="993"/>
    <w:uiPriority w:val="0"/>
    <w:qFormat/>
    <w:pPr>
      <w:ind w:left="1160" w:firstLine="3784"/>
      <w:spacing w:before="0" w:after="0" w:line="360" w:lineRule="auto"/>
    </w:pPr>
    <w:rPr>
      <w:rFonts w:ascii="Times New Roman" w:hAnsi="Times New Roman" w:cs="Times New Roman"/>
    </w:rPr>
  </w:style>
  <w:style w:type="paragraph" w:styleId="1024">
    <w:name w:val="toc 3"/>
    <w:basedOn w:val="994"/>
    <w:next w:val="993"/>
    <w:uiPriority w:val="0"/>
    <w:qFormat/>
    <w:pPr>
      <w:ind w:left="0" w:firstLine="1024"/>
      <w:spacing w:before="0" w:after="0" w:line="360" w:lineRule="auto"/>
    </w:pPr>
    <w:rPr>
      <w:rFonts w:ascii="Times New Roman" w:hAnsi="Times New Roman" w:cs="Times New Roman"/>
    </w:rPr>
  </w:style>
  <w:style w:type="paragraph" w:styleId="1025">
    <w:name w:val="Plain Text"/>
    <w:basedOn w:val="993"/>
    <w:uiPriority w:val="0"/>
    <w:qFormat/>
    <w:pPr>
      <w:ind w:left="0" w:firstLine="2048"/>
    </w:pPr>
    <w:rPr>
      <w:rFonts w:ascii="Times New Roman" w:hAnsi="Times New Roman" w:cs="Times New Roman"/>
    </w:rPr>
  </w:style>
  <w:style w:type="paragraph" w:styleId="1026">
    <w:name w:val="List Bullet 5"/>
    <w:basedOn w:val="994"/>
    <w:next w:val="1027"/>
    <w:uiPriority w:val="0"/>
    <w:qFormat/>
    <w:pPr>
      <w:ind w:left="2040" w:firstLine="2560"/>
      <w:spacing w:before="0" w:after="0" w:line="360" w:lineRule="auto"/>
    </w:pPr>
    <w:rPr>
      <w:rFonts w:ascii="Times New Roman" w:hAnsi="Times New Roman" w:cs="Times New Roman"/>
    </w:rPr>
  </w:style>
  <w:style w:type="paragraph" w:styleId="1027" w:customStyle="1">
    <w:name w:val="正文首行缩进1"/>
    <w:next w:val="1020"/>
    <w:uiPriority w:val="0"/>
    <w:qFormat/>
    <w:pPr>
      <w:ind w:left="420" w:firstLine="2724"/>
      <w:spacing w:after="120" w:line="360" w:lineRule="auto"/>
    </w:pPr>
    <w:rPr>
      <w:rFonts w:ascii="Calibri" w:hAnsi="Calibri" w:eastAsia="宋体" w:cs="宋体"/>
      <w:lang w:val="en-US" w:eastAsia="zh-CN" w:bidi="ar-SA"/>
    </w:rPr>
  </w:style>
  <w:style w:type="paragraph" w:styleId="1028">
    <w:name w:val="toc 8"/>
    <w:basedOn w:val="994"/>
    <w:next w:val="993"/>
    <w:uiPriority w:val="0"/>
    <w:qFormat/>
    <w:pPr>
      <w:ind w:left="1880" w:firstLine="3784"/>
      <w:spacing w:before="0" w:after="0" w:line="360" w:lineRule="auto"/>
    </w:pPr>
    <w:rPr>
      <w:rFonts w:ascii="Times New Roman" w:hAnsi="Times New Roman" w:cs="Times New Roman"/>
    </w:rPr>
  </w:style>
  <w:style w:type="paragraph" w:styleId="1029">
    <w:name w:val="Date"/>
    <w:basedOn w:val="994"/>
    <w:next w:val="993"/>
    <w:uiPriority w:val="0"/>
    <w:qFormat/>
    <w:pPr>
      <w:ind w:left="0" w:firstLine="2560"/>
      <w:spacing w:before="0" w:after="0" w:line="240" w:lineRule="auto"/>
    </w:pPr>
    <w:rPr>
      <w:rFonts w:ascii="Times New Roman" w:hAnsi="Times New Roman" w:cs="Times New Roman"/>
    </w:rPr>
  </w:style>
  <w:style w:type="paragraph" w:styleId="1030">
    <w:name w:val="Body Text Indent 2"/>
    <w:basedOn w:val="994"/>
    <w:next w:val="1005"/>
    <w:uiPriority w:val="0"/>
    <w:qFormat/>
    <w:pPr>
      <w:ind w:left="481" w:firstLine="2784"/>
      <w:spacing w:before="0" w:after="0" w:line="400" w:lineRule="exact"/>
    </w:pPr>
    <w:rPr>
      <w:rFonts w:ascii="Times New Roman" w:hAnsi="Times New Roman" w:cs="Times New Roman"/>
    </w:rPr>
  </w:style>
  <w:style w:type="paragraph" w:styleId="1031">
    <w:name w:val="endnote text"/>
    <w:basedOn w:val="994"/>
    <w:next w:val="1032"/>
    <w:uiPriority w:val="0"/>
    <w:qFormat/>
    <w:pPr>
      <w:ind w:left="0" w:firstLine="2560"/>
      <w:spacing w:before="0" w:after="0" w:line="360" w:lineRule="auto"/>
    </w:pPr>
    <w:rPr>
      <w:rFonts w:ascii="Times New Roman" w:hAnsi="Times New Roman" w:cs="Times New Roman"/>
    </w:rPr>
  </w:style>
  <w:style w:type="paragraph" w:styleId="1032" w:customStyle="1">
    <w:name w:val="Char11"/>
    <w:basedOn w:val="994"/>
    <w:next w:val="993"/>
    <w:uiPriority w:val="0"/>
    <w:qFormat/>
    <w:pPr>
      <w:ind w:left="0" w:firstLine="3584"/>
      <w:spacing w:before="0" w:after="0" w:line="240" w:lineRule="auto"/>
    </w:pPr>
    <w:rPr>
      <w:rFonts w:ascii="Times New Roman" w:hAnsi="Times New Roman" w:cs="Times New Roman"/>
    </w:rPr>
  </w:style>
  <w:style w:type="paragraph" w:styleId="1033">
    <w:name w:val="Balloon Text"/>
    <w:basedOn w:val="994"/>
    <w:next w:val="1010"/>
    <w:uiPriority w:val="0"/>
    <w:qFormat/>
    <w:pPr>
      <w:ind w:left="0" w:firstLine="2048"/>
      <w:spacing w:before="0" w:after="0" w:line="240" w:lineRule="auto"/>
    </w:pPr>
    <w:rPr>
      <w:rFonts w:ascii="Times New Roman" w:hAnsi="Times New Roman" w:cs="Times New Roman"/>
    </w:rPr>
  </w:style>
  <w:style w:type="paragraph" w:styleId="1034">
    <w:name w:val="Footer"/>
    <w:basedOn w:val="993"/>
    <w:next w:val="1035"/>
    <w:link w:val="1063"/>
    <w:uiPriority w:val="0"/>
    <w:qFormat/>
    <w:pPr>
      <w:ind w:left="0" w:firstLine="3584"/>
    </w:pPr>
  </w:style>
  <w:style w:type="paragraph" w:styleId="1035" w:customStyle="1">
    <w:name w:val="Char Char Char Char Char Char Char Char Char Char Char Char Char"/>
    <w:basedOn w:val="994"/>
    <w:next w:val="993"/>
    <w:uiPriority w:val="0"/>
    <w:qFormat/>
    <w:pPr>
      <w:ind w:left="0" w:firstLine="3584"/>
      <w:spacing w:before="0" w:after="160" w:line="240" w:lineRule="exact"/>
    </w:pPr>
    <w:rPr>
      <w:rFonts w:ascii="Times New Roman" w:hAnsi="Times New Roman" w:cs="Times New Roman"/>
    </w:rPr>
  </w:style>
  <w:style w:type="paragraph" w:styleId="1036">
    <w:name w:val="Header"/>
    <w:basedOn w:val="994"/>
    <w:next w:val="1029"/>
    <w:link w:val="1064"/>
    <w:uiPriority w:val="0"/>
    <w:qFormat/>
    <w:pPr>
      <w:ind w:left="0" w:firstLine="3584"/>
      <w:jc w:val="center"/>
      <w:spacing w:before="0" w:after="0" w:line="240" w:lineRule="auto"/>
    </w:pPr>
  </w:style>
  <w:style w:type="paragraph" w:styleId="1037">
    <w:name w:val="toc 1"/>
    <w:basedOn w:val="994"/>
    <w:next w:val="993"/>
    <w:uiPriority w:val="39"/>
    <w:qFormat/>
    <w:pPr>
      <w:ind w:left="0" w:firstLine="4608"/>
      <w:spacing w:before="0" w:after="0" w:line="240" w:lineRule="auto"/>
    </w:pPr>
    <w:rPr>
      <w:rFonts w:ascii="Times New Roman" w:hAnsi="Times New Roman" w:cs="Times New Roman"/>
    </w:rPr>
  </w:style>
  <w:style w:type="paragraph" w:styleId="1038">
    <w:name w:val="toc 4"/>
    <w:basedOn w:val="994"/>
    <w:next w:val="993"/>
    <w:uiPriority w:val="0"/>
    <w:qFormat/>
    <w:pPr>
      <w:ind w:left="1260" w:firstLine="1024"/>
      <w:spacing w:before="0" w:after="0" w:line="240" w:lineRule="auto"/>
    </w:pPr>
    <w:rPr>
      <w:rFonts w:ascii="Times New Roman" w:hAnsi="Times New Roman" w:cs="Times New Roman"/>
    </w:rPr>
  </w:style>
  <w:style w:type="paragraph" w:styleId="1039">
    <w:name w:val="Subtitle"/>
    <w:next w:val="993"/>
    <w:uiPriority w:val="0"/>
    <w:qFormat/>
    <w:pPr>
      <w:ind w:left="1024"/>
      <w:jc w:val="center"/>
      <w:spacing w:after="60"/>
    </w:pPr>
    <w:rPr>
      <w:rFonts w:ascii="Calibri" w:hAnsi="Calibri" w:eastAsia="宋体" w:cs="宋体"/>
      <w:lang w:val="en-US" w:eastAsia="zh-CN" w:bidi="ar-SA"/>
    </w:rPr>
  </w:style>
  <w:style w:type="paragraph" w:styleId="1040">
    <w:name w:val="List"/>
    <w:basedOn w:val="994"/>
    <w:next w:val="1041"/>
    <w:uiPriority w:val="0"/>
    <w:qFormat/>
    <w:pPr>
      <w:ind w:left="200" w:firstLine="3640"/>
      <w:spacing w:before="0" w:after="0" w:line="240" w:lineRule="auto"/>
    </w:pPr>
    <w:rPr>
      <w:rFonts w:ascii="Times New Roman" w:hAnsi="Times New Roman" w:cs="Times New Roman"/>
    </w:rPr>
  </w:style>
  <w:style w:type="paragraph" w:styleId="1041">
    <w:name w:val="Body Text First Indent"/>
    <w:next w:val="993"/>
    <w:uiPriority w:val="0"/>
    <w:qFormat/>
    <w:pPr>
      <w:ind w:left="420" w:firstLine="3748"/>
      <w:spacing w:after="120"/>
    </w:pPr>
    <w:rPr>
      <w:rFonts w:ascii="Calibri" w:hAnsi="Calibri" w:eastAsia="宋体" w:cs="宋体"/>
      <w:lang w:val="en-US" w:eastAsia="zh-CN" w:bidi="ar-SA"/>
    </w:rPr>
  </w:style>
  <w:style w:type="paragraph" w:styleId="1042">
    <w:name w:val="footnote text"/>
    <w:basedOn w:val="994"/>
    <w:next w:val="1022"/>
    <w:uiPriority w:val="0"/>
    <w:qFormat/>
    <w:pPr>
      <w:ind w:left="0" w:firstLine="3584"/>
      <w:spacing w:before="0" w:after="0" w:line="360" w:lineRule="auto"/>
    </w:pPr>
    <w:rPr>
      <w:rFonts w:ascii="Times New Roman" w:hAnsi="Times New Roman" w:cs="Times New Roman"/>
    </w:rPr>
  </w:style>
  <w:style w:type="paragraph" w:styleId="1043">
    <w:name w:val="toc 6"/>
    <w:basedOn w:val="994"/>
    <w:next w:val="993"/>
    <w:uiPriority w:val="0"/>
    <w:qFormat/>
    <w:pPr>
      <w:ind w:left="1400" w:firstLine="3784"/>
      <w:spacing w:before="0" w:after="0" w:line="360" w:lineRule="auto"/>
    </w:pPr>
    <w:rPr>
      <w:rFonts w:ascii="Times New Roman" w:hAnsi="Times New Roman" w:cs="Times New Roman"/>
    </w:rPr>
  </w:style>
  <w:style w:type="paragraph" w:styleId="1044">
    <w:name w:val="List 5"/>
    <w:basedOn w:val="994"/>
    <w:next w:val="1019"/>
    <w:uiPriority w:val="0"/>
    <w:qFormat/>
    <w:pPr>
      <w:ind w:left="2100" w:firstLine="3676"/>
      <w:spacing w:before="0" w:after="0" w:line="240" w:lineRule="auto"/>
    </w:pPr>
    <w:rPr>
      <w:rFonts w:ascii="Times New Roman" w:hAnsi="Times New Roman" w:cs="Times New Roman"/>
    </w:rPr>
  </w:style>
  <w:style w:type="paragraph" w:styleId="1045">
    <w:name w:val="Body Text Indent 3"/>
    <w:basedOn w:val="994"/>
    <w:next w:val="1043"/>
    <w:uiPriority w:val="0"/>
    <w:qFormat/>
    <w:pPr>
      <w:ind w:left="480" w:firstLine="2784"/>
      <w:spacing w:before="0" w:after="0" w:line="400" w:lineRule="exact"/>
    </w:pPr>
    <w:rPr>
      <w:rFonts w:ascii="Times New Roman" w:hAnsi="Times New Roman" w:cs="Times New Roman"/>
    </w:rPr>
  </w:style>
  <w:style w:type="paragraph" w:styleId="1046">
    <w:name w:val="toc 2"/>
    <w:basedOn w:val="994"/>
    <w:next w:val="993"/>
    <w:uiPriority w:val="0"/>
    <w:qFormat/>
    <w:pPr>
      <w:ind w:left="0" w:firstLine="1024"/>
      <w:spacing w:before="0" w:after="0" w:line="360" w:lineRule="auto"/>
    </w:pPr>
    <w:rPr>
      <w:rFonts w:ascii="Times New Roman" w:hAnsi="Times New Roman" w:cs="Times New Roman"/>
    </w:rPr>
  </w:style>
  <w:style w:type="paragraph" w:styleId="1047">
    <w:name w:val="toc 9"/>
    <w:basedOn w:val="994"/>
    <w:next w:val="993"/>
    <w:uiPriority w:val="0"/>
    <w:qFormat/>
    <w:pPr>
      <w:ind w:left="2120" w:firstLine="3784"/>
      <w:spacing w:before="0" w:after="0" w:line="360" w:lineRule="auto"/>
    </w:pPr>
    <w:rPr>
      <w:rFonts w:ascii="Times New Roman" w:hAnsi="Times New Roman" w:cs="Times New Roman"/>
    </w:rPr>
  </w:style>
  <w:style w:type="paragraph" w:styleId="1048">
    <w:name w:val="Body Text 2"/>
    <w:basedOn w:val="994"/>
    <w:next w:val="1013"/>
    <w:uiPriority w:val="0"/>
    <w:qFormat/>
    <w:pPr>
      <w:ind w:left="0" w:firstLine="1024"/>
      <w:spacing w:before="0" w:after="120" w:line="480" w:lineRule="auto"/>
    </w:pPr>
    <w:rPr>
      <w:rFonts w:ascii="Times New Roman" w:hAnsi="Times New Roman" w:cs="Times New Roman"/>
    </w:rPr>
  </w:style>
  <w:style w:type="paragraph" w:styleId="1049">
    <w:name w:val="HTML Preformatted"/>
    <w:basedOn w:val="994"/>
    <w:next w:val="1012"/>
    <w:uiPriority w:val="0"/>
    <w:qFormat/>
    <w:pPr>
      <w:ind w:left="0" w:firstLine="2048"/>
      <w:spacing w:before="0" w:after="0" w:line="253" w:lineRule="atLeast"/>
    </w:pPr>
    <w:rPr>
      <w:rFonts w:ascii="Times New Roman" w:hAnsi="Times New Roman" w:cs="Times New Roman"/>
    </w:rPr>
  </w:style>
  <w:style w:type="paragraph" w:styleId="1050">
    <w:name w:val="Normal (Web)"/>
    <w:basedOn w:val="993"/>
    <w:next w:val="1021"/>
    <w:uiPriority w:val="0"/>
    <w:qFormat/>
    <w:pPr>
      <w:ind w:left="15" w:right="15" w:firstLine="4608"/>
      <w:spacing w:before="60" w:after="60" w:line="312" w:lineRule="auto"/>
    </w:pPr>
    <w:rPr>
      <w:rFonts w:ascii="Times New Roman" w:hAnsi="Times New Roman" w:cs="Times New Roman"/>
    </w:rPr>
  </w:style>
  <w:style w:type="paragraph" w:styleId="1051">
    <w:name w:val="index 1"/>
    <w:basedOn w:val="994"/>
    <w:next w:val="993"/>
    <w:uiPriority w:val="0"/>
    <w:qFormat/>
    <w:pPr>
      <w:ind w:left="0" w:firstLine="3584"/>
      <w:spacing w:before="0" w:after="0" w:line="240" w:lineRule="auto"/>
    </w:pPr>
    <w:rPr>
      <w:rFonts w:ascii="Times New Roman" w:hAnsi="Times New Roman" w:cs="Times New Roman"/>
    </w:rPr>
  </w:style>
  <w:style w:type="paragraph" w:styleId="1052">
    <w:name w:val="Body Text First Indent 2"/>
    <w:basedOn w:val="1005"/>
    <w:link w:val="1412"/>
    <w:uiPriority w:val="0"/>
    <w:unhideWhenUsed/>
    <w:qFormat/>
    <w:pPr>
      <w:ind w:firstLine="420"/>
    </w:pPr>
  </w:style>
  <w:style w:type="table" w:styleId="1053">
    <w:name w:val="Table Grid"/>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4">
    <w:name w:val="Strong"/>
    <w:uiPriority w:val="0"/>
    <w:qFormat/>
    <w:rPr>
      <w:rFonts w:ascii="Times New Roman" w:hAnsi="Times New Roman" w:eastAsia="宋体" w:cs="Times New Roman"/>
      <w:b/>
      <w:sz w:val="20"/>
    </w:rPr>
  </w:style>
  <w:style w:type="character" w:styleId="1055">
    <w:name w:val="page number"/>
    <w:uiPriority w:val="0"/>
    <w:qFormat/>
    <w:rPr>
      <w:rFonts w:ascii="Times New Roman" w:hAnsi="Times New Roman" w:eastAsia="宋体" w:cs="Times New Roman"/>
      <w:sz w:val="20"/>
    </w:rPr>
  </w:style>
  <w:style w:type="character" w:styleId="1056">
    <w:name w:val="FollowedHyperlink"/>
    <w:uiPriority w:val="0"/>
    <w:qFormat/>
    <w:rPr>
      <w:rFonts w:ascii="Times New Roman" w:hAnsi="Times New Roman" w:eastAsia="宋体" w:cs="Times New Roman"/>
      <w:color w:val="800080"/>
      <w:sz w:val="20"/>
      <w:u w:val="single"/>
    </w:rPr>
  </w:style>
  <w:style w:type="character" w:styleId="1057">
    <w:name w:val="Emphasis"/>
    <w:uiPriority w:val="0"/>
    <w:qFormat/>
    <w:rPr>
      <w:rFonts w:ascii="Times New Roman" w:hAnsi="Times New Roman" w:eastAsia="宋体" w:cs="Times New Roman"/>
      <w:i/>
      <w:sz w:val="21"/>
    </w:rPr>
  </w:style>
  <w:style w:type="character" w:styleId="1058">
    <w:name w:val="Hyperlink"/>
    <w:uiPriority w:val="99"/>
    <w:qFormat/>
    <w:rPr>
      <w:rFonts w:ascii="Times New Roman" w:hAnsi="Times New Roman" w:eastAsia="宋体" w:cs="Times New Roman"/>
      <w:color w:val="0000ff"/>
      <w:sz w:val="20"/>
      <w:u w:val="single"/>
    </w:rPr>
  </w:style>
  <w:style w:type="character" w:styleId="1059">
    <w:name w:val="annotation reference"/>
    <w:uiPriority w:val="0"/>
    <w:qFormat/>
    <w:rPr>
      <w:rFonts w:ascii="Times New Roman" w:hAnsi="Times New Roman" w:eastAsia="宋体" w:cs="Times New Roman"/>
      <w:sz w:val="20"/>
    </w:rPr>
  </w:style>
  <w:style w:type="character" w:styleId="1060">
    <w:name w:val="footnote reference"/>
    <w:uiPriority w:val="0"/>
    <w:qFormat/>
    <w:rPr>
      <w:rFonts w:ascii="Times New Roman" w:hAnsi="Times New Roman" w:eastAsia="宋体" w:cs="Times New Roman"/>
      <w:vertAlign w:val="superscript"/>
    </w:rPr>
  </w:style>
  <w:style w:type="paragraph" w:styleId="1061" w:customStyle="1">
    <w:name w:val="BodyText"/>
    <w:basedOn w:val="993"/>
    <w:uiPriority w:val="0"/>
    <w:qFormat/>
    <w:pPr>
      <w:spacing w:after="120"/>
    </w:pPr>
  </w:style>
  <w:style w:type="character" w:styleId="1062" w:customStyle="1">
    <w:name w:val="正文缩进 字符"/>
    <w:link w:val="1011"/>
    <w:uiPriority w:val="0"/>
    <w:qFormat/>
    <w:rPr>
      <w:rFonts w:ascii="Calibri" w:hAnsi="Calibri" w:eastAsia="宋体" w:cs="Times New Roman"/>
    </w:rPr>
  </w:style>
  <w:style w:type="character" w:styleId="1063" w:customStyle="1">
    <w:name w:val="页脚 字符"/>
    <w:link w:val="1034"/>
    <w:uiPriority w:val="0"/>
    <w:qFormat/>
    <w:rPr>
      <w:rFonts w:ascii="Calibri" w:hAnsi="Calibri" w:eastAsia="宋体" w:cs="Times New Roman"/>
    </w:rPr>
  </w:style>
  <w:style w:type="character" w:styleId="1064" w:customStyle="1">
    <w:name w:val="页眉 字符"/>
    <w:link w:val="1036"/>
    <w:uiPriority w:val="0"/>
    <w:qFormat/>
    <w:rPr>
      <w:rFonts w:ascii="Calibri" w:hAnsi="Calibri" w:eastAsia="宋体" w:cs="Times New Roman"/>
    </w:rPr>
  </w:style>
  <w:style w:type="character" w:styleId="1065" w:customStyle="1">
    <w:name w:val="日期 Char"/>
    <w:uiPriority w:val="0"/>
    <w:qFormat/>
    <w:rPr>
      <w:rFonts w:ascii="Times New Roman" w:hAnsi="Times New Roman" w:eastAsia="宋体" w:cs="Times New Roman"/>
      <w:sz w:val="20"/>
    </w:rPr>
  </w:style>
  <w:style w:type="character" w:styleId="1066" w:customStyle="1">
    <w:name w:val="批注引用1"/>
    <w:uiPriority w:val="0"/>
    <w:qFormat/>
    <w:rPr>
      <w:rFonts w:ascii="Times New Roman" w:hAnsi="Times New Roman" w:eastAsia="宋体" w:cs="Times New Roman"/>
      <w:sz w:val="20"/>
    </w:rPr>
  </w:style>
  <w:style w:type="character" w:styleId="1067" w:customStyle="1">
    <w:name w:val="应答文本 Char Char"/>
    <w:uiPriority w:val="0"/>
    <w:qFormat/>
    <w:rPr>
      <w:rFonts w:ascii="Times New Roman" w:hAnsi="Times New Roman" w:eastAsia="宋体" w:cs="Times New Roman"/>
      <w:sz w:val="20"/>
    </w:rPr>
  </w:style>
  <w:style w:type="character" w:styleId="1068" w:customStyle="1">
    <w:name w:val="图片0 Char Char"/>
    <w:uiPriority w:val="0"/>
    <w:qFormat/>
    <w:rPr>
      <w:rFonts w:ascii="Times New Roman" w:hAnsi="Times New Roman" w:eastAsia="宋体" w:cs="Times New Roman"/>
      <w:sz w:val="20"/>
    </w:rPr>
  </w:style>
  <w:style w:type="character" w:styleId="1069" w:customStyle="1">
    <w:name w:val="尾注文本 Char"/>
    <w:uiPriority w:val="0"/>
    <w:qFormat/>
    <w:rPr>
      <w:rFonts w:ascii="Times New Roman" w:hAnsi="Times New Roman" w:eastAsia="宋体" w:cs="Times New Roman"/>
      <w:sz w:val="20"/>
    </w:rPr>
  </w:style>
  <w:style w:type="character" w:styleId="1070" w:customStyle="1">
    <w:name w:val="文档结构图 字符"/>
    <w:uiPriority w:val="0"/>
    <w:qFormat/>
    <w:rPr>
      <w:rFonts w:ascii="Microsoft YaHei UI" w:hAnsi="Times New Roman" w:eastAsia="Microsoft YaHei UI" w:cs="Times New Roman"/>
      <w:sz w:val="18"/>
      <w:szCs w:val="18"/>
    </w:rPr>
  </w:style>
  <w:style w:type="character" w:styleId="1071" w:customStyle="1">
    <w:name w:val="_Style 337"/>
    <w:uiPriority w:val="0"/>
    <w:qFormat/>
    <w:rPr>
      <w:rFonts w:ascii="Times New Roman" w:hAnsi="Times New Roman" w:eastAsia="宋体" w:cs="Times New Roman"/>
      <w:color w:val="auto"/>
      <w:sz w:val="21"/>
    </w:rPr>
  </w:style>
  <w:style w:type="character" w:styleId="1072" w:customStyle="1">
    <w:name w:val="正文文本 字符"/>
    <w:uiPriority w:val="0"/>
    <w:qFormat/>
    <w:rPr>
      <w:rFonts w:ascii="Times New Roman" w:hAnsi="Times New Roman" w:eastAsia="宋体" w:cs="Times New Roman"/>
      <w:sz w:val="21"/>
    </w:rPr>
  </w:style>
  <w:style w:type="character" w:styleId="1073" w:customStyle="1">
    <w:name w:val="批注文字 字符"/>
    <w:uiPriority w:val="0"/>
    <w:qFormat/>
    <w:rPr>
      <w:rFonts w:ascii="Times New Roman" w:hAnsi="Times New Roman" w:eastAsia="宋体" w:cs="Times New Roman"/>
      <w:sz w:val="20"/>
    </w:rPr>
  </w:style>
  <w:style w:type="character" w:styleId="1074" w:customStyle="1">
    <w:name w:val="批注文字 Char1"/>
    <w:uiPriority w:val="0"/>
    <w:qFormat/>
    <w:rPr>
      <w:rFonts w:ascii="Times New Roman" w:hAnsi="Times New Roman" w:eastAsia="宋体" w:cs="Times New Roman"/>
      <w:sz w:val="20"/>
    </w:rPr>
  </w:style>
  <w:style w:type="character" w:styleId="1075" w:customStyle="1">
    <w:name w:val="txt"/>
    <w:uiPriority w:val="0"/>
    <w:qFormat/>
    <w:rPr>
      <w:rFonts w:ascii="Times New Roman" w:hAnsi="Times New Roman" w:eastAsia="宋体" w:cs="Times New Roman"/>
      <w:sz w:val="20"/>
    </w:rPr>
  </w:style>
  <w:style w:type="character" w:styleId="1076" w:customStyle="1">
    <w:name w:val="标书正文 Char"/>
    <w:uiPriority w:val="0"/>
    <w:qFormat/>
    <w:rPr>
      <w:rFonts w:ascii="Times New Roman" w:hAnsi="Times New Roman" w:eastAsia="宋体" w:cs="Times New Roman"/>
      <w:sz w:val="20"/>
    </w:rPr>
  </w:style>
  <w:style w:type="character" w:styleId="1077" w:customStyle="1">
    <w:name w:val="font21"/>
    <w:uiPriority w:val="0"/>
    <w:qFormat/>
    <w:rPr>
      <w:rFonts w:hint="eastAsia" w:ascii="宋体" w:hAnsi="宋体" w:eastAsia="宋体" w:cs="宋体"/>
      <w:color w:val="ff0000"/>
      <w:sz w:val="24"/>
      <w:szCs w:val="24"/>
      <w:u w:val="none"/>
    </w:rPr>
  </w:style>
  <w:style w:type="character" w:styleId="1078" w:customStyle="1">
    <w:name w:val="apple-converted-space"/>
    <w:uiPriority w:val="0"/>
    <w:qFormat/>
    <w:rPr>
      <w:rFonts w:ascii="Times New Roman" w:hAnsi="Times New Roman" w:eastAsia="宋体" w:cs="Times New Roman"/>
      <w:sz w:val="20"/>
    </w:rPr>
  </w:style>
  <w:style w:type="character" w:styleId="1079" w:customStyle="1">
    <w:name w:val="纯文本 Char1"/>
    <w:uiPriority w:val="0"/>
    <w:qFormat/>
    <w:rPr>
      <w:rFonts w:ascii="Times New Roman" w:hAnsi="Times New Roman" w:eastAsia="宋体" w:cs="Times New Roman"/>
      <w:sz w:val="20"/>
    </w:rPr>
  </w:style>
  <w:style w:type="character" w:styleId="1080" w:customStyle="1">
    <w:name w:val="para1"/>
    <w:uiPriority w:val="0"/>
    <w:qFormat/>
    <w:rPr>
      <w:rFonts w:ascii="Times New Roman" w:hAnsi="Times New Roman" w:eastAsia="宋体" w:cs="Times New Roman"/>
      <w:sz w:val="20"/>
    </w:rPr>
  </w:style>
  <w:style w:type="character" w:styleId="1081" w:customStyle="1">
    <w:name w:val="HTML 预设格式 Char1"/>
    <w:uiPriority w:val="0"/>
    <w:qFormat/>
    <w:rPr>
      <w:rFonts w:ascii="Times New Roman" w:hAnsi="Times New Roman" w:eastAsia="宋体" w:cs="Times New Roman"/>
      <w:sz w:val="20"/>
    </w:rPr>
  </w:style>
  <w:style w:type="character" w:styleId="1082" w:customStyle="1">
    <w:name w:val="批注文字 Char"/>
    <w:uiPriority w:val="0"/>
    <w:qFormat/>
    <w:rPr>
      <w:rFonts w:ascii="Times New Roman" w:hAnsi="Times New Roman" w:eastAsia="宋体" w:cs="Times New Roman"/>
      <w:sz w:val="20"/>
    </w:rPr>
  </w:style>
  <w:style w:type="character" w:styleId="1083" w:customStyle="1">
    <w:name w:val="文档结构图 Char"/>
    <w:uiPriority w:val="0"/>
    <w:qFormat/>
    <w:rPr>
      <w:rFonts w:ascii="Times New Roman" w:hAnsi="Times New Roman" w:eastAsia="宋体" w:cs="Times New Roman"/>
      <w:sz w:val="20"/>
    </w:rPr>
  </w:style>
  <w:style w:type="character" w:styleId="1084" w:customStyle="1">
    <w:name w:val="超级链接"/>
    <w:uiPriority w:val="0"/>
    <w:qFormat/>
    <w:rPr>
      <w:rFonts w:ascii="Times New Roman" w:hAnsi="Times New Roman" w:eastAsia="宋体" w:cs="Times New Roman"/>
      <w:color w:val="0000ff"/>
      <w:sz w:val="20"/>
      <w:u w:val="single"/>
    </w:rPr>
  </w:style>
  <w:style w:type="character" w:styleId="1085" w:customStyle="1">
    <w:name w:val="p141"/>
    <w:uiPriority w:val="0"/>
    <w:qFormat/>
    <w:rPr>
      <w:rFonts w:ascii="Times New Roman" w:hAnsi="Times New Roman" w:eastAsia="宋体" w:cs="Times New Roman"/>
      <w:color w:val="000000"/>
      <w:sz w:val="20"/>
      <w:u w:val="none"/>
    </w:rPr>
  </w:style>
  <w:style w:type="character" w:styleId="1086" w:customStyle="1">
    <w:name w:val="宏文本 Char"/>
    <w:uiPriority w:val="0"/>
    <w:qFormat/>
    <w:rPr>
      <w:rFonts w:ascii="Times New Roman" w:hAnsi="Times New Roman" w:eastAsia="宋体" w:cs="Times New Roman"/>
      <w:sz w:val="20"/>
    </w:rPr>
  </w:style>
  <w:style w:type="character" w:styleId="1087" w:customStyle="1">
    <w:name w:val="_Style 313"/>
    <w:uiPriority w:val="0"/>
    <w:qFormat/>
    <w:rPr>
      <w:rFonts w:ascii="Times New Roman" w:hAnsi="Times New Roman" w:eastAsia="宋体" w:cs="Times New Roman"/>
      <w:b/>
      <w:i/>
      <w:sz w:val="21"/>
    </w:rPr>
  </w:style>
  <w:style w:type="character" w:styleId="1088" w:customStyle="1">
    <w:name w:val="页脚 Char1"/>
    <w:uiPriority w:val="0"/>
    <w:qFormat/>
    <w:rPr>
      <w:rFonts w:ascii="Times New Roman" w:hAnsi="Times New Roman" w:eastAsia="宋体" w:cs="Times New Roman"/>
      <w:sz w:val="20"/>
    </w:rPr>
  </w:style>
  <w:style w:type="character" w:styleId="1089" w:customStyle="1">
    <w:name w:val="页眉 Char"/>
    <w:uiPriority w:val="0"/>
    <w:qFormat/>
    <w:rPr>
      <w:rFonts w:ascii="Times New Roman" w:hAnsi="Times New Roman" w:eastAsia="宋体" w:cs="Times New Roman"/>
      <w:sz w:val="20"/>
    </w:rPr>
  </w:style>
  <w:style w:type="character" w:styleId="1090" w:customStyle="1">
    <w:name w:val="标题 7 Char"/>
    <w:uiPriority w:val="0"/>
    <w:qFormat/>
    <w:rPr>
      <w:rFonts w:ascii="Times New Roman" w:hAnsi="Times New Roman" w:eastAsia="宋体" w:cs="Times New Roman"/>
      <w:b/>
      <w:sz w:val="20"/>
    </w:rPr>
  </w:style>
  <w:style w:type="character" w:styleId="1091" w:customStyle="1">
    <w:name w:val="Char Char12"/>
    <w:uiPriority w:val="0"/>
    <w:qFormat/>
    <w:rPr>
      <w:rFonts w:ascii="Times New Roman" w:hAnsi="Times New Roman" w:eastAsia="宋体" w:cs="Times New Roman"/>
      <w:sz w:val="20"/>
    </w:rPr>
  </w:style>
  <w:style w:type="character" w:styleId="1092" w:customStyle="1">
    <w:name w:val="标题 3 Char"/>
    <w:uiPriority w:val="0"/>
    <w:qFormat/>
    <w:rPr>
      <w:rFonts w:ascii="Times New Roman" w:hAnsi="Times New Roman" w:eastAsia="宋体" w:cs="Times New Roman"/>
      <w:b/>
      <w:sz w:val="20"/>
    </w:rPr>
  </w:style>
  <w:style w:type="character" w:styleId="1093" w:customStyle="1">
    <w:name w:val="正文（首行缩进 2 字符） Char Char"/>
    <w:uiPriority w:val="0"/>
    <w:qFormat/>
    <w:rPr>
      <w:rFonts w:ascii="Times New Roman" w:hAnsi="Times New Roman" w:eastAsia="宋体" w:cs="Times New Roman"/>
      <w:sz w:val="20"/>
    </w:rPr>
  </w:style>
  <w:style w:type="character" w:styleId="1094" w:customStyle="1">
    <w:name w:val="表格用 Char Char"/>
    <w:uiPriority w:val="0"/>
    <w:qFormat/>
    <w:rPr>
      <w:rFonts w:ascii="Times New Roman" w:hAnsi="Times New Roman" w:eastAsia="宋体" w:cs="Times New Roman"/>
      <w:sz w:val="20"/>
    </w:rPr>
  </w:style>
  <w:style w:type="character" w:styleId="1095" w:customStyle="1">
    <w:name w:val="正文文本缩进 3 Char1"/>
    <w:uiPriority w:val="0"/>
    <w:qFormat/>
    <w:rPr>
      <w:rFonts w:ascii="Times New Roman" w:hAnsi="Times New Roman" w:eastAsia="宋体" w:cs="Times New Roman"/>
      <w:sz w:val="20"/>
    </w:rPr>
  </w:style>
  <w:style w:type="character" w:styleId="1096" w:customStyle="1">
    <w:name w:val="正文缩进 Char"/>
    <w:uiPriority w:val="0"/>
    <w:qFormat/>
    <w:rPr>
      <w:rFonts w:ascii="Times New Roman" w:hAnsi="Times New Roman" w:eastAsia="宋体" w:cs="Times New Roman"/>
      <w:sz w:val="20"/>
    </w:rPr>
  </w:style>
  <w:style w:type="character" w:styleId="1097" w:customStyle="1">
    <w:name w:val="批注框文本 Char1"/>
    <w:uiPriority w:val="0"/>
    <w:qFormat/>
    <w:rPr>
      <w:rFonts w:ascii="Times New Roman" w:hAnsi="Times New Roman" w:eastAsia="宋体" w:cs="Times New Roman"/>
      <w:sz w:val="20"/>
    </w:rPr>
  </w:style>
  <w:style w:type="character" w:styleId="1098" w:customStyle="1">
    <w:name w:val="Char Char13"/>
    <w:uiPriority w:val="0"/>
    <w:qFormat/>
    <w:rPr>
      <w:rFonts w:ascii="Times New Roman" w:hAnsi="Times New Roman" w:eastAsia="宋体" w:cs="Times New Roman"/>
      <w:sz w:val="20"/>
    </w:rPr>
  </w:style>
  <w:style w:type="character" w:styleId="1099" w:customStyle="1">
    <w:name w:val="样式2 Char"/>
    <w:uiPriority w:val="0"/>
    <w:qFormat/>
    <w:rPr>
      <w:rFonts w:ascii="Times New Roman" w:hAnsi="Times New Roman" w:eastAsia="宋体" w:cs="Times New Roman"/>
      <w:b/>
      <w:sz w:val="20"/>
    </w:rPr>
  </w:style>
  <w:style w:type="character" w:styleId="1100" w:customStyle="1">
    <w:name w:val="页脚 Char"/>
    <w:uiPriority w:val="0"/>
    <w:qFormat/>
    <w:rPr>
      <w:rFonts w:ascii="Times New Roman" w:hAnsi="Times New Roman" w:eastAsia="宋体" w:cs="Times New Roman"/>
      <w:sz w:val="20"/>
    </w:rPr>
  </w:style>
  <w:style w:type="character" w:styleId="1101" w:customStyle="1">
    <w:name w:val="标准文本 Char"/>
    <w:uiPriority w:val="0"/>
    <w:qFormat/>
    <w:rPr>
      <w:rFonts w:ascii="Times New Roman" w:hAnsi="Times New Roman" w:eastAsia="宋体" w:cs="Times New Roman"/>
      <w:sz w:val="20"/>
    </w:rPr>
  </w:style>
  <w:style w:type="character" w:styleId="1102" w:customStyle="1">
    <w:name w:val="font01"/>
    <w:uiPriority w:val="0"/>
    <w:qFormat/>
    <w:rPr>
      <w:rFonts w:hint="eastAsia" w:ascii="宋体" w:hAnsi="宋体" w:eastAsia="宋体" w:cs="宋体"/>
      <w:color w:val="000000"/>
      <w:sz w:val="24"/>
      <w:szCs w:val="24"/>
      <w:u w:val="none"/>
    </w:rPr>
  </w:style>
  <w:style w:type="character" w:styleId="1103" w:customStyle="1">
    <w:name w:val="标题 3 Char1"/>
    <w:uiPriority w:val="0"/>
    <w:qFormat/>
    <w:rPr>
      <w:rFonts w:ascii="Times New Roman" w:hAnsi="Times New Roman" w:eastAsia="宋体" w:cs="Times New Roman"/>
      <w:b/>
      <w:sz w:val="20"/>
      <w:u w:val="single"/>
    </w:rPr>
  </w:style>
  <w:style w:type="character" w:styleId="1104" w:customStyle="1">
    <w:name w:val="表格 Char Char"/>
    <w:uiPriority w:val="0"/>
    <w:qFormat/>
    <w:rPr>
      <w:rFonts w:ascii="Times New Roman" w:hAnsi="Times New Roman" w:eastAsia="宋体" w:cs="Times New Roman"/>
      <w:sz w:val="20"/>
    </w:rPr>
  </w:style>
  <w:style w:type="character" w:styleId="1105" w:customStyle="1">
    <w:name w:val="正文首行缩进 Char"/>
    <w:uiPriority w:val="0"/>
    <w:qFormat/>
    <w:rPr>
      <w:rFonts w:ascii="Times New Roman" w:hAnsi="Times New Roman" w:eastAsia="宋体" w:cs="Times New Roman"/>
      <w:sz w:val="20"/>
    </w:rPr>
  </w:style>
  <w:style w:type="character" w:styleId="1106" w:customStyle="1">
    <w:name w:val="标题 9 Char"/>
    <w:uiPriority w:val="0"/>
    <w:qFormat/>
    <w:rPr>
      <w:rFonts w:ascii="Times New Roman" w:hAnsi="Times New Roman" w:eastAsia="宋体" w:cs="Times New Roman"/>
      <w:sz w:val="20"/>
    </w:rPr>
  </w:style>
  <w:style w:type="character" w:styleId="1107" w:customStyle="1">
    <w:name w:val="lh151"/>
    <w:uiPriority w:val="0"/>
    <w:qFormat/>
    <w:rPr>
      <w:rFonts w:ascii="Times New Roman" w:hAnsi="Times New Roman" w:eastAsia="宋体" w:cs="Times New Roman"/>
      <w:color w:val="666666"/>
      <w:sz w:val="20"/>
    </w:rPr>
  </w:style>
  <w:style w:type="character" w:styleId="1108" w:customStyle="1">
    <w:name w:val="日期 Char1"/>
    <w:uiPriority w:val="0"/>
    <w:qFormat/>
    <w:rPr>
      <w:rFonts w:ascii="Times New Roman" w:hAnsi="Times New Roman" w:eastAsia="宋体" w:cs="Times New Roman"/>
      <w:sz w:val="20"/>
    </w:rPr>
  </w:style>
  <w:style w:type="character" w:styleId="1109" w:customStyle="1">
    <w:name w:val="图片 Char Char"/>
    <w:uiPriority w:val="0"/>
    <w:qFormat/>
    <w:rPr>
      <w:rFonts w:ascii="Times New Roman" w:hAnsi="Times New Roman" w:eastAsia="宋体" w:cs="Times New Roman"/>
      <w:sz w:val="20"/>
    </w:rPr>
  </w:style>
  <w:style w:type="character" w:styleId="1110" w:customStyle="1">
    <w:name w:val="批注框文本 字符"/>
    <w:uiPriority w:val="0"/>
    <w:qFormat/>
    <w:rPr>
      <w:rFonts w:ascii="Times New Roman" w:hAnsi="Times New Roman" w:eastAsia="宋体" w:cs="Times New Roman"/>
      <w:sz w:val="20"/>
    </w:rPr>
  </w:style>
  <w:style w:type="character" w:styleId="1111" w:customStyle="1">
    <w:name w:val="HTML 预设格式 Char"/>
    <w:uiPriority w:val="0"/>
    <w:qFormat/>
    <w:rPr>
      <w:rFonts w:ascii="Times New Roman" w:hAnsi="Times New Roman" w:eastAsia="宋体" w:cs="Times New Roman"/>
      <w:sz w:val="20"/>
    </w:rPr>
  </w:style>
  <w:style w:type="character" w:styleId="1112" w:customStyle="1">
    <w:name w:val="列出段落 Char"/>
    <w:uiPriority w:val="0"/>
    <w:qFormat/>
    <w:rPr>
      <w:rFonts w:ascii="Times New Roman" w:hAnsi="Times New Roman" w:eastAsia="宋体" w:cs="Times New Roman"/>
      <w:sz w:val="20"/>
    </w:rPr>
  </w:style>
  <w:style w:type="character" w:styleId="1113" w:customStyle="1">
    <w:name w:val="标题 5 Char"/>
    <w:uiPriority w:val="0"/>
    <w:qFormat/>
    <w:rPr>
      <w:rFonts w:ascii="Times New Roman" w:hAnsi="Times New Roman" w:eastAsia="宋体" w:cs="Times New Roman"/>
      <w:b/>
      <w:sz w:val="20"/>
    </w:rPr>
  </w:style>
  <w:style w:type="character" w:styleId="1114" w:customStyle="1">
    <w:name w:val="链接"/>
    <w:uiPriority w:val="0"/>
    <w:qFormat/>
    <w:rPr>
      <w:rFonts w:ascii="Times New Roman" w:hAnsi="Times New Roman" w:eastAsia="宋体" w:cs="Times New Roman"/>
      <w:color w:val="0000ff"/>
      <w:sz w:val="20"/>
      <w:u w:val="single"/>
    </w:rPr>
  </w:style>
  <w:style w:type="character" w:styleId="1115" w:customStyle="1">
    <w:name w:val="18h1"/>
    <w:uiPriority w:val="0"/>
    <w:qFormat/>
    <w:rPr>
      <w:rFonts w:ascii="Times New Roman" w:hAnsi="Times New Roman" w:eastAsia="宋体" w:cs="Times New Roman"/>
      <w:color w:val="3b3b3b"/>
      <w:sz w:val="20"/>
    </w:rPr>
  </w:style>
  <w:style w:type="character" w:styleId="1116" w:customStyle="1">
    <w:name w:val="表格文字（两侧对齐） Char Char"/>
    <w:uiPriority w:val="0"/>
    <w:qFormat/>
    <w:rPr>
      <w:rFonts w:ascii="Times New Roman" w:hAnsi="Times New Roman" w:eastAsia="宋体" w:cs="Times New Roman"/>
      <w:sz w:val="20"/>
    </w:rPr>
  </w:style>
  <w:style w:type="character" w:styleId="1117" w:customStyle="1">
    <w:name w:val="正文文本缩进 2 Char"/>
    <w:uiPriority w:val="0"/>
    <w:qFormat/>
    <w:rPr>
      <w:rFonts w:ascii="Times New Roman" w:hAnsi="Times New Roman" w:eastAsia="宋体" w:cs="Times New Roman"/>
      <w:sz w:val="20"/>
    </w:rPr>
  </w:style>
  <w:style w:type="character" w:styleId="1118" w:customStyle="1">
    <w:name w:val="Char Char14"/>
    <w:uiPriority w:val="0"/>
    <w:qFormat/>
    <w:rPr>
      <w:rFonts w:ascii="Times New Roman" w:hAnsi="Times New Roman" w:eastAsia="宋体" w:cs="Times New Roman"/>
      <w:sz w:val="20"/>
    </w:rPr>
  </w:style>
  <w:style w:type="character" w:styleId="1119" w:customStyle="1">
    <w:name w:val="标题 1 Char1"/>
    <w:uiPriority w:val="0"/>
    <w:qFormat/>
    <w:rPr>
      <w:rFonts w:ascii="Times New Roman" w:hAnsi="Times New Roman" w:eastAsia="宋体" w:cs="Times New Roman"/>
      <w:b/>
      <w:sz w:val="20"/>
    </w:rPr>
  </w:style>
  <w:style w:type="character" w:styleId="1120" w:customStyle="1">
    <w:name w:val="批注框文本 Char"/>
    <w:uiPriority w:val="0"/>
    <w:qFormat/>
    <w:rPr>
      <w:rFonts w:ascii="Times New Roman" w:hAnsi="Times New Roman" w:eastAsia="宋体" w:cs="Times New Roman"/>
      <w:sz w:val="20"/>
    </w:rPr>
  </w:style>
  <w:style w:type="character" w:styleId="1121" w:customStyle="1">
    <w:name w:val="apple-style-span"/>
    <w:uiPriority w:val="0"/>
    <w:qFormat/>
    <w:rPr>
      <w:rFonts w:ascii="Times New Roman" w:hAnsi="Times New Roman" w:eastAsia="宋体" w:cs="Times New Roman"/>
      <w:sz w:val="20"/>
    </w:rPr>
  </w:style>
  <w:style w:type="character" w:styleId="1122" w:customStyle="1">
    <w:name w:val="插图 Char Char"/>
    <w:uiPriority w:val="0"/>
    <w:qFormat/>
    <w:rPr>
      <w:rFonts w:ascii="Times New Roman" w:hAnsi="Times New Roman" w:eastAsia="宋体" w:cs="Times New Roman"/>
      <w:sz w:val="20"/>
    </w:rPr>
  </w:style>
  <w:style w:type="character" w:styleId="1123" w:customStyle="1">
    <w:name w:val="标题 2 Char1"/>
    <w:uiPriority w:val="0"/>
    <w:qFormat/>
    <w:rPr>
      <w:rFonts w:ascii="Times New Roman" w:hAnsi="Times New Roman" w:eastAsia="宋体" w:cs="Times New Roman"/>
      <w:b/>
      <w:sz w:val="20"/>
    </w:rPr>
  </w:style>
  <w:style w:type="character" w:styleId="1124" w:customStyle="1">
    <w:name w:val="_Style 332"/>
    <w:uiPriority w:val="0"/>
    <w:qFormat/>
    <w:rPr>
      <w:rFonts w:ascii="Times New Roman" w:hAnsi="Times New Roman" w:eastAsia="宋体" w:cs="Times New Roman"/>
      <w:i/>
      <w:color w:val="auto"/>
      <w:sz w:val="21"/>
    </w:rPr>
  </w:style>
  <w:style w:type="character" w:styleId="1125" w:customStyle="1">
    <w:name w:val="正文文本 3 Char1"/>
    <w:uiPriority w:val="0"/>
    <w:qFormat/>
    <w:rPr>
      <w:rFonts w:ascii="Times New Roman" w:hAnsi="Times New Roman" w:eastAsia="宋体" w:cs="Times New Roman"/>
      <w:sz w:val="20"/>
    </w:rPr>
  </w:style>
  <w:style w:type="character" w:styleId="1126" w:customStyle="1">
    <w:name w:val="标题 5 Char1"/>
    <w:uiPriority w:val="0"/>
    <w:qFormat/>
    <w:rPr>
      <w:rFonts w:ascii="Times New Roman" w:hAnsi="Times New Roman" w:eastAsia="宋体" w:cs="Times New Roman"/>
      <w:b/>
      <w:sz w:val="20"/>
    </w:rPr>
  </w:style>
  <w:style w:type="character" w:styleId="1127" w:customStyle="1">
    <w:name w:val="批注主题 Char"/>
    <w:uiPriority w:val="0"/>
    <w:qFormat/>
    <w:rPr>
      <w:rFonts w:ascii="Times New Roman" w:hAnsi="Times New Roman" w:eastAsia="宋体" w:cs="Times New Roman"/>
      <w:b/>
      <w:sz w:val="20"/>
    </w:rPr>
  </w:style>
  <w:style w:type="character" w:styleId="1128" w:customStyle="1">
    <w:name w:val="标题 1 Char"/>
    <w:uiPriority w:val="0"/>
    <w:qFormat/>
    <w:rPr>
      <w:rFonts w:ascii="Times New Roman" w:hAnsi="Times New Roman" w:eastAsia="宋体" w:cs="Times New Roman"/>
      <w:b/>
      <w:sz w:val="20"/>
    </w:rPr>
  </w:style>
  <w:style w:type="character" w:styleId="1129" w:customStyle="1">
    <w:name w:val="正文文本 2 Char1"/>
    <w:uiPriority w:val="0"/>
    <w:qFormat/>
    <w:rPr>
      <w:rFonts w:ascii="Times New Roman" w:hAnsi="Times New Roman" w:eastAsia="宋体" w:cs="Times New Roman"/>
      <w:sz w:val="20"/>
    </w:rPr>
  </w:style>
  <w:style w:type="character" w:styleId="1130" w:customStyle="1">
    <w:name w:val="标题 4 Char1"/>
    <w:uiPriority w:val="0"/>
    <w:qFormat/>
    <w:rPr>
      <w:rFonts w:ascii="Times New Roman" w:hAnsi="Times New Roman" w:eastAsia="宋体" w:cs="Times New Roman"/>
      <w:b/>
      <w:sz w:val="20"/>
    </w:rPr>
  </w:style>
  <w:style w:type="character" w:styleId="1131" w:customStyle="1">
    <w:name w:val="正文文本 2 Char"/>
    <w:uiPriority w:val="0"/>
    <w:qFormat/>
    <w:rPr>
      <w:rFonts w:ascii="Times New Roman" w:hAnsi="Times New Roman" w:eastAsia="宋体" w:cs="Times New Roman"/>
      <w:sz w:val="20"/>
    </w:rPr>
  </w:style>
  <w:style w:type="character" w:styleId="1132" w:customStyle="1">
    <w:name w:val="_Style 376"/>
    <w:uiPriority w:val="0"/>
    <w:qFormat/>
    <w:rPr>
      <w:rFonts w:ascii="Times New Roman" w:hAnsi="Times New Roman" w:eastAsia="宋体" w:cs="Times New Roman"/>
      <w:b/>
      <w:color w:val="auto"/>
      <w:sz w:val="21"/>
    </w:rPr>
  </w:style>
  <w:style w:type="character" w:styleId="1133" w:customStyle="1">
    <w:name w:val="062"/>
    <w:uiPriority w:val="0"/>
    <w:qFormat/>
    <w:rPr>
      <w:rFonts w:ascii="Times New Roman" w:hAnsi="Times New Roman" w:eastAsia="宋体" w:cs="Times New Roman"/>
      <w:b/>
      <w:sz w:val="20"/>
    </w:rPr>
  </w:style>
  <w:style w:type="character" w:styleId="1134" w:customStyle="1">
    <w:name w:val="正文文本 Char1"/>
    <w:uiPriority w:val="0"/>
    <w:qFormat/>
    <w:rPr>
      <w:rFonts w:ascii="Times New Roman" w:hAnsi="Times New Roman" w:eastAsia="宋体" w:cs="Times New Roman"/>
      <w:sz w:val="20"/>
    </w:rPr>
  </w:style>
  <w:style w:type="character" w:styleId="1135" w:customStyle="1">
    <w:name w:val="题注 Char"/>
    <w:uiPriority w:val="0"/>
    <w:qFormat/>
    <w:rPr>
      <w:rFonts w:ascii="Times New Roman" w:hAnsi="Times New Roman" w:eastAsia="宋体" w:cs="Times New Roman"/>
      <w:sz w:val="20"/>
    </w:rPr>
  </w:style>
  <w:style w:type="character" w:styleId="1136" w:customStyle="1">
    <w:name w:val="脚注文本 Char"/>
    <w:uiPriority w:val="0"/>
    <w:qFormat/>
    <w:rPr>
      <w:rFonts w:ascii="Times New Roman" w:hAnsi="Times New Roman" w:eastAsia="宋体" w:cs="Times New Roman"/>
      <w:sz w:val="20"/>
    </w:rPr>
  </w:style>
  <w:style w:type="character" w:styleId="1137" w:customStyle="1">
    <w:name w:val="_Style 336"/>
    <w:uiPriority w:val="0"/>
    <w:qFormat/>
    <w:rPr>
      <w:rFonts w:ascii="Times New Roman" w:hAnsi="Times New Roman" w:eastAsia="宋体" w:cs="Times New Roman"/>
      <w:i/>
      <w:color w:val="auto"/>
      <w:sz w:val="21"/>
    </w:rPr>
  </w:style>
  <w:style w:type="character" w:styleId="1138" w:customStyle="1">
    <w:name w:val="表格 Char"/>
    <w:uiPriority w:val="0"/>
    <w:qFormat/>
    <w:rPr>
      <w:rFonts w:ascii="Times New Roman" w:hAnsi="Times New Roman" w:eastAsia="宋体" w:cs="Times New Roman"/>
      <w:color w:val="000000"/>
      <w:sz w:val="20"/>
    </w:rPr>
  </w:style>
  <w:style w:type="character" w:styleId="1139" w:customStyle="1">
    <w:name w:val="批注主题 字符"/>
    <w:uiPriority w:val="0"/>
    <w:qFormat/>
    <w:rPr>
      <w:rFonts w:ascii="Times New Roman" w:hAnsi="Times New Roman" w:eastAsia="宋体" w:cs="Times New Roman"/>
      <w:b/>
      <w:sz w:val="20"/>
    </w:rPr>
  </w:style>
  <w:style w:type="character" w:styleId="1140" w:customStyle="1">
    <w:name w:val="图注 Char Char"/>
    <w:uiPriority w:val="0"/>
    <w:qFormat/>
    <w:rPr>
      <w:rFonts w:ascii="Times New Roman" w:hAnsi="Times New Roman" w:eastAsia="宋体" w:cs="Times New Roman"/>
      <w:sz w:val="20"/>
    </w:rPr>
  </w:style>
  <w:style w:type="character" w:styleId="1141" w:customStyle="1">
    <w:name w:val="页码1"/>
    <w:uiPriority w:val="0"/>
    <w:qFormat/>
    <w:rPr>
      <w:rFonts w:ascii="Times New Roman" w:hAnsi="Times New Roman" w:eastAsia="宋体" w:cs="Times New Roman"/>
      <w:sz w:val="20"/>
    </w:rPr>
  </w:style>
  <w:style w:type="character" w:styleId="1142" w:customStyle="1">
    <w:name w:val="列表框1 Char Char"/>
    <w:uiPriority w:val="0"/>
    <w:qFormat/>
    <w:rPr>
      <w:rFonts w:ascii="Times New Roman" w:hAnsi="Times New Roman" w:eastAsia="宋体" w:cs="Times New Roman"/>
      <w:sz w:val="20"/>
    </w:rPr>
  </w:style>
  <w:style w:type="character" w:styleId="1143" w:customStyle="1">
    <w:name w:val="1ji Char"/>
    <w:uiPriority w:val="0"/>
    <w:qFormat/>
    <w:rPr>
      <w:rFonts w:ascii="Times New Roman" w:hAnsi="Times New Roman" w:eastAsia="宋体" w:cs="Times New Roman"/>
      <w:b/>
      <w:sz w:val="20"/>
    </w:rPr>
  </w:style>
  <w:style w:type="character" w:styleId="1144" w:customStyle="1">
    <w:name w:val="正文文本缩进 Char"/>
    <w:uiPriority w:val="0"/>
    <w:qFormat/>
    <w:rPr>
      <w:rFonts w:ascii="Times New Roman" w:hAnsi="Times New Roman" w:eastAsia="宋体" w:cs="Times New Roman"/>
      <w:sz w:val="20"/>
    </w:rPr>
  </w:style>
  <w:style w:type="character" w:styleId="1145" w:customStyle="1">
    <w:name w:val="标准文本 Char Char"/>
    <w:uiPriority w:val="0"/>
    <w:qFormat/>
    <w:rPr>
      <w:rFonts w:ascii="Times New Roman" w:hAnsi="Times New Roman" w:eastAsia="宋体" w:cs="Times New Roman"/>
      <w:sz w:val="20"/>
    </w:rPr>
  </w:style>
  <w:style w:type="character" w:styleId="1146" w:customStyle="1">
    <w:name w:val="表格用 Char"/>
    <w:uiPriority w:val="0"/>
    <w:qFormat/>
    <w:rPr>
      <w:rFonts w:ascii="Times New Roman" w:hAnsi="Times New Roman" w:eastAsia="宋体" w:cs="Times New Roman"/>
      <w:color w:val="000000"/>
      <w:sz w:val="20"/>
    </w:rPr>
  </w:style>
  <w:style w:type="character" w:styleId="1147" w:customStyle="1">
    <w:name w:val="标题 7 Char1"/>
    <w:uiPriority w:val="0"/>
    <w:qFormat/>
    <w:rPr>
      <w:rFonts w:ascii="Times New Roman" w:hAnsi="Times New Roman" w:eastAsia="宋体" w:cs="Times New Roman"/>
      <w:b/>
      <w:sz w:val="20"/>
    </w:rPr>
  </w:style>
  <w:style w:type="character" w:styleId="1148" w:customStyle="1">
    <w:name w:val="H 3 Char"/>
    <w:uiPriority w:val="0"/>
    <w:qFormat/>
    <w:rPr>
      <w:rFonts w:ascii="Times New Roman" w:hAnsi="Times New Roman" w:eastAsia="宋体" w:cs="Times New Roman"/>
      <w:b/>
      <w:sz w:val="20"/>
    </w:rPr>
  </w:style>
  <w:style w:type="character" w:styleId="1149" w:customStyle="1">
    <w:name w:val="正文文本缩进 3 字符"/>
    <w:uiPriority w:val="0"/>
    <w:qFormat/>
    <w:rPr>
      <w:rFonts w:ascii="Times New Roman" w:hAnsi="Times New Roman" w:eastAsia="宋体" w:cs="Times New Roman"/>
      <w:sz w:val="16"/>
      <w:szCs w:val="16"/>
    </w:rPr>
  </w:style>
  <w:style w:type="character" w:styleId="1150" w:customStyle="1">
    <w:name w:val="标题 Char"/>
    <w:uiPriority w:val="0"/>
    <w:qFormat/>
    <w:rPr>
      <w:rFonts w:ascii="Times New Roman" w:hAnsi="Times New Roman" w:eastAsia="宋体" w:cs="Times New Roman"/>
      <w:b/>
      <w:sz w:val="20"/>
    </w:rPr>
  </w:style>
  <w:style w:type="character" w:styleId="1151" w:customStyle="1">
    <w:name w:val="H 4 Char"/>
    <w:uiPriority w:val="0"/>
    <w:qFormat/>
    <w:rPr>
      <w:rFonts w:ascii="Times New Roman" w:hAnsi="Times New Roman" w:eastAsia="宋体" w:cs="Times New Roman"/>
      <w:b/>
      <w:sz w:val="20"/>
    </w:rPr>
  </w:style>
  <w:style w:type="character" w:styleId="1152" w:customStyle="1">
    <w:name w:val="批注主题 Char1"/>
    <w:uiPriority w:val="0"/>
    <w:qFormat/>
    <w:rPr>
      <w:rFonts w:ascii="Times New Roman" w:hAnsi="Times New Roman" w:eastAsia="宋体" w:cs="Times New Roman"/>
      <w:b/>
      <w:sz w:val="20"/>
    </w:rPr>
  </w:style>
  <w:style w:type="character" w:styleId="1153" w:customStyle="1">
    <w:name w:val="正文文本缩进 Char1"/>
    <w:uiPriority w:val="0"/>
    <w:qFormat/>
    <w:rPr>
      <w:rFonts w:ascii="Times New Roman" w:hAnsi="Times New Roman" w:eastAsia="宋体" w:cs="Times New Roman"/>
      <w:sz w:val="20"/>
    </w:rPr>
  </w:style>
  <w:style w:type="character" w:styleId="1154" w:customStyle="1">
    <w:name w:val="正文文本 3 Char"/>
    <w:uiPriority w:val="0"/>
    <w:qFormat/>
    <w:rPr>
      <w:rFonts w:ascii="Times New Roman" w:hAnsi="Times New Roman" w:eastAsia="宋体" w:cs="Times New Roman"/>
      <w:sz w:val="20"/>
    </w:rPr>
  </w:style>
  <w:style w:type="character" w:styleId="1155" w:customStyle="1">
    <w:name w:val="正文首行缩进 2 Char"/>
    <w:uiPriority w:val="0"/>
    <w:qFormat/>
    <w:rPr>
      <w:rFonts w:ascii="Times New Roman" w:hAnsi="Times New Roman" w:eastAsia="宋体" w:cs="Times New Roman"/>
      <w:sz w:val="20"/>
    </w:rPr>
  </w:style>
  <w:style w:type="character" w:styleId="1156" w:customStyle="1">
    <w:name w:val="页眉 Char1"/>
    <w:uiPriority w:val="0"/>
    <w:qFormat/>
    <w:rPr>
      <w:rFonts w:ascii="Times New Roman" w:hAnsi="Times New Roman" w:eastAsia="宋体" w:cs="Times New Roman"/>
      <w:sz w:val="20"/>
    </w:rPr>
  </w:style>
  <w:style w:type="character" w:styleId="1157" w:customStyle="1">
    <w:name w:val="Char Char2"/>
    <w:uiPriority w:val="0"/>
    <w:qFormat/>
    <w:rPr>
      <w:rFonts w:ascii="Times New Roman" w:hAnsi="Times New Roman" w:eastAsia="宋体" w:cs="Times New Roman"/>
      <w:sz w:val="20"/>
    </w:rPr>
  </w:style>
  <w:style w:type="character" w:styleId="1158" w:customStyle="1">
    <w:name w:val="样式 首行缩进:  2 字符 Char1"/>
    <w:uiPriority w:val="0"/>
    <w:qFormat/>
    <w:rPr>
      <w:rFonts w:ascii="Times New Roman" w:hAnsi="Times New Roman" w:eastAsia="宋体" w:cs="Times New Roman"/>
      <w:sz w:val="20"/>
    </w:rPr>
  </w:style>
  <w:style w:type="character" w:styleId="1159" w:customStyle="1">
    <w:name w:val="标题 2 Char"/>
    <w:uiPriority w:val="0"/>
    <w:qFormat/>
    <w:rPr>
      <w:rFonts w:ascii="Times New Roman" w:hAnsi="Times New Roman" w:eastAsia="宋体" w:cs="Times New Roman"/>
      <w:b/>
      <w:sz w:val="20"/>
    </w:rPr>
  </w:style>
  <w:style w:type="character" w:styleId="1160" w:customStyle="1">
    <w:name w:val="表格文字图表文字 Char Char"/>
    <w:uiPriority w:val="0"/>
    <w:qFormat/>
    <w:rPr>
      <w:rFonts w:ascii="Times New Roman" w:hAnsi="Times New Roman" w:eastAsia="宋体" w:cs="Times New Roman"/>
      <w:sz w:val="20"/>
    </w:rPr>
  </w:style>
  <w:style w:type="character" w:styleId="1161" w:customStyle="1">
    <w:name w:val="图片 Char"/>
    <w:uiPriority w:val="0"/>
    <w:qFormat/>
    <w:rPr>
      <w:rFonts w:ascii="Times New Roman" w:hAnsi="Times New Roman" w:eastAsia="宋体" w:cs="Times New Roman"/>
      <w:sz w:val="20"/>
    </w:rPr>
  </w:style>
  <w:style w:type="character" w:styleId="1162" w:customStyle="1">
    <w:name w:val="标题 6 Char"/>
    <w:uiPriority w:val="0"/>
    <w:qFormat/>
    <w:rPr>
      <w:rFonts w:ascii="Times New Roman" w:hAnsi="Times New Roman" w:eastAsia="宋体" w:cs="Times New Roman"/>
      <w:b/>
      <w:sz w:val="20"/>
    </w:rPr>
  </w:style>
  <w:style w:type="character" w:styleId="1163" w:customStyle="1">
    <w:name w:val="标题 4 Char"/>
    <w:uiPriority w:val="0"/>
    <w:qFormat/>
    <w:rPr>
      <w:rFonts w:ascii="Times New Roman" w:hAnsi="Times New Roman" w:eastAsia="宋体" w:cs="Times New Roman"/>
      <w:b/>
      <w:sz w:val="20"/>
    </w:rPr>
  </w:style>
  <w:style w:type="character" w:styleId="1164" w:customStyle="1">
    <w:name w:val="文档结构图 Char1"/>
    <w:uiPriority w:val="0"/>
    <w:qFormat/>
    <w:rPr>
      <w:rFonts w:ascii="Times New Roman" w:hAnsi="Times New Roman" w:eastAsia="宋体" w:cs="Times New Roman"/>
      <w:sz w:val="20"/>
    </w:rPr>
  </w:style>
  <w:style w:type="character" w:styleId="1165" w:customStyle="1">
    <w:name w:val="项目符0 Char"/>
    <w:uiPriority w:val="0"/>
    <w:qFormat/>
    <w:rPr>
      <w:rFonts w:ascii="Times New Roman" w:hAnsi="Times New Roman" w:eastAsia="宋体" w:cs="Times New Roman"/>
      <w:sz w:val="20"/>
    </w:rPr>
  </w:style>
  <w:style w:type="character" w:styleId="1166" w:customStyle="1">
    <w:name w:val="正文文本缩进 3 Char"/>
    <w:uiPriority w:val="0"/>
    <w:qFormat/>
    <w:rPr>
      <w:rFonts w:ascii="Times New Roman" w:hAnsi="Times New Roman" w:eastAsia="宋体" w:cs="Times New Roman"/>
      <w:sz w:val="20"/>
    </w:rPr>
  </w:style>
  <w:style w:type="character" w:styleId="1167" w:customStyle="1">
    <w:name w:val="Char Char3"/>
    <w:uiPriority w:val="0"/>
    <w:qFormat/>
    <w:rPr>
      <w:rFonts w:ascii="Times New Roman" w:hAnsi="Times New Roman" w:eastAsia="宋体" w:cs="Times New Roman"/>
      <w:sz w:val="20"/>
    </w:rPr>
  </w:style>
  <w:style w:type="character" w:styleId="1168" w:customStyle="1">
    <w:name w:val="纯文本 Char"/>
    <w:uiPriority w:val="0"/>
    <w:qFormat/>
    <w:rPr>
      <w:rFonts w:ascii="Times New Roman" w:hAnsi="Times New Roman" w:eastAsia="宋体" w:cs="Times New Roman"/>
      <w:sz w:val="20"/>
    </w:rPr>
  </w:style>
  <w:style w:type="character" w:styleId="1169" w:customStyle="1">
    <w:name w:val="正文文本缩进 2 Char1"/>
    <w:uiPriority w:val="0"/>
    <w:qFormat/>
    <w:rPr>
      <w:rFonts w:ascii="Times New Roman" w:hAnsi="Times New Roman" w:eastAsia="宋体" w:cs="Times New Roman"/>
      <w:sz w:val="20"/>
    </w:rPr>
  </w:style>
  <w:style w:type="character" w:styleId="1170" w:customStyle="1">
    <w:name w:val="标题 8 Char"/>
    <w:uiPriority w:val="0"/>
    <w:qFormat/>
    <w:rPr>
      <w:rFonts w:ascii="Times New Roman" w:hAnsi="Times New Roman" w:eastAsia="宋体" w:cs="Times New Roman"/>
      <w:sz w:val="20"/>
    </w:rPr>
  </w:style>
  <w:style w:type="character" w:styleId="1171" w:customStyle="1">
    <w:name w:val="标题 6 Char1"/>
    <w:uiPriority w:val="0"/>
    <w:qFormat/>
    <w:rPr>
      <w:rFonts w:ascii="Times New Roman" w:hAnsi="Times New Roman" w:eastAsia="宋体" w:cs="Times New Roman"/>
      <w:b/>
      <w:sz w:val="20"/>
    </w:rPr>
  </w:style>
  <w:style w:type="character" w:styleId="1172" w:customStyle="1">
    <w:name w:val="case31"/>
    <w:uiPriority w:val="0"/>
    <w:qFormat/>
    <w:rPr>
      <w:rFonts w:ascii="Times New Roman" w:hAnsi="Times New Roman" w:eastAsia="宋体" w:cs="Times New Roman"/>
      <w:sz w:val="20"/>
    </w:rPr>
  </w:style>
  <w:style w:type="character" w:styleId="1173" w:customStyle="1">
    <w:name w:val="正文文本 Char"/>
    <w:uiPriority w:val="0"/>
    <w:qFormat/>
    <w:rPr>
      <w:rFonts w:ascii="Times New Roman" w:hAnsi="Times New Roman" w:eastAsia="宋体" w:cs="Times New Roman"/>
      <w:sz w:val="20"/>
    </w:rPr>
  </w:style>
  <w:style w:type="paragraph" w:styleId="1174" w:customStyle="1">
    <w:name w:val="节标题"/>
    <w:basedOn w:val="994"/>
    <w:next w:val="1175"/>
    <w:uiPriority w:val="0"/>
    <w:qFormat/>
    <w:pPr>
      <w:ind w:left="0" w:firstLine="5120"/>
      <w:jc w:val="center"/>
      <w:spacing w:before="0" w:after="0" w:line="289" w:lineRule="atLeast"/>
    </w:pPr>
    <w:rPr>
      <w:rFonts w:ascii="Times New Roman" w:hAnsi="Times New Roman" w:cs="Times New Roman"/>
    </w:rPr>
  </w:style>
  <w:style w:type="paragraph" w:styleId="1175" w:customStyle="1">
    <w:name w:val="文档标题6"/>
    <w:basedOn w:val="1000"/>
    <w:next w:val="993"/>
    <w:uiPriority w:val="0"/>
    <w:qFormat/>
    <w:pPr>
      <w:ind w:left="1134" w:firstLine="20"/>
      <w:spacing w:before="280" w:after="280" w:line="360" w:lineRule="auto"/>
      <w:outlineLvl w:val="5"/>
    </w:pPr>
  </w:style>
  <w:style w:type="paragraph" w:styleId="1176" w:customStyle="1">
    <w:name w:val="正文段"/>
    <w:basedOn w:val="994"/>
    <w:next w:val="1177"/>
    <w:uiPriority w:val="0"/>
    <w:qFormat/>
    <w:pPr>
      <w:ind w:left="454" w:firstLine="1222"/>
      <w:spacing w:before="0" w:after="240" w:line="240" w:lineRule="atLeast"/>
    </w:pPr>
    <w:rPr>
      <w:rFonts w:ascii="Times New Roman" w:hAnsi="Times New Roman" w:cs="Times New Roman"/>
    </w:rPr>
  </w:style>
  <w:style w:type="paragraph" w:styleId="1177" w:customStyle="1">
    <w:name w:val="批注主题1"/>
    <w:next w:val="993"/>
    <w:uiPriority w:val="0"/>
    <w:qFormat/>
    <w:pPr>
      <w:ind w:left="200" w:firstLine="4808"/>
      <w:spacing w:line="360" w:lineRule="auto"/>
    </w:pPr>
    <w:rPr>
      <w:rFonts w:ascii="Calibri" w:hAnsi="Calibri" w:eastAsia="宋体" w:cs="宋体"/>
      <w:lang w:val="en-US" w:eastAsia="zh-CN" w:bidi="ar-SA"/>
    </w:rPr>
  </w:style>
  <w:style w:type="paragraph" w:styleId="1178" w:customStyle="1">
    <w:name w:val="_Style 224"/>
    <w:next w:val="1179"/>
    <w:uiPriority w:val="0"/>
    <w:qFormat/>
    <w:pPr>
      <w:ind w:firstLine="3584"/>
    </w:pPr>
    <w:rPr>
      <w:rFonts w:ascii="Calibri" w:hAnsi="Calibri" w:eastAsia="宋体" w:cs="宋体"/>
      <w:lang w:val="en-US" w:eastAsia="zh-CN" w:bidi="ar-SA"/>
    </w:rPr>
  </w:style>
  <w:style w:type="paragraph" w:styleId="1179" w:customStyle="1">
    <w:name w:val="编号1"/>
    <w:basedOn w:val="994"/>
    <w:next w:val="1180"/>
    <w:uiPriority w:val="0"/>
    <w:qFormat/>
    <w:pPr>
      <w:ind w:left="360" w:right="210" w:firstLine="2200"/>
      <w:spacing w:before="0" w:after="0" w:line="240" w:lineRule="auto"/>
    </w:pPr>
    <w:rPr>
      <w:rFonts w:ascii="Times New Roman" w:hAnsi="Times New Roman" w:cs="Times New Roman"/>
    </w:rPr>
  </w:style>
  <w:style w:type="paragraph" w:styleId="1180" w:customStyle="1">
    <w:name w:val="图片"/>
    <w:basedOn w:val="994"/>
    <w:next w:val="1181"/>
    <w:uiPriority w:val="0"/>
    <w:qFormat/>
    <w:pPr>
      <w:ind w:left="-283" w:firstLine="2674"/>
      <w:jc w:val="center"/>
      <w:spacing w:before="0" w:after="0" w:line="360" w:lineRule="auto"/>
    </w:pPr>
    <w:rPr>
      <w:rFonts w:ascii="Times New Roman" w:hAnsi="Times New Roman" w:cs="Times New Roman"/>
    </w:rPr>
  </w:style>
  <w:style w:type="paragraph" w:styleId="1181" w:customStyle="1">
    <w:name w:val="样式 目录 3 + 左侧:  2 字符"/>
    <w:next w:val="1045"/>
    <w:uiPriority w:val="0"/>
    <w:qFormat/>
    <w:pPr>
      <w:ind w:left="400" w:firstLine="5120"/>
      <w:spacing w:line="360" w:lineRule="auto"/>
      <w:widowControl w:val="off"/>
    </w:pPr>
    <w:rPr>
      <w:rFonts w:ascii="Calibri" w:hAnsi="Calibri" w:eastAsia="宋体" w:cs="宋体"/>
      <w:lang w:val="en-US" w:eastAsia="zh-CN" w:bidi="ar-SA"/>
    </w:rPr>
  </w:style>
  <w:style w:type="paragraph" w:styleId="1182" w:customStyle="1">
    <w:name w:val="图注"/>
    <w:next w:val="1183"/>
    <w:uiPriority w:val="0"/>
    <w:qFormat/>
    <w:pPr>
      <w:ind w:left="360" w:firstLine="2152"/>
      <w:jc w:val="center"/>
    </w:pPr>
    <w:rPr>
      <w:rFonts w:ascii="Calibri" w:hAnsi="Calibri" w:eastAsia="宋体" w:cs="宋体"/>
      <w:lang w:val="en-US" w:eastAsia="zh-CN" w:bidi="ar-SA"/>
    </w:rPr>
  </w:style>
  <w:style w:type="paragraph" w:styleId="1183" w:customStyle="1">
    <w:name w:val="列表编号 41"/>
    <w:basedOn w:val="994"/>
    <w:next w:val="1184"/>
    <w:uiPriority w:val="0"/>
    <w:qFormat/>
    <w:pPr>
      <w:ind w:left="1620" w:firstLine="2712"/>
      <w:spacing w:before="0" w:after="0" w:line="360" w:lineRule="auto"/>
    </w:pPr>
    <w:rPr>
      <w:rFonts w:ascii="Times New Roman" w:hAnsi="Times New Roman" w:cs="Times New Roman"/>
    </w:rPr>
  </w:style>
  <w:style w:type="paragraph" w:styleId="1184" w:customStyle="1">
    <w:name w:val="项目符0"/>
    <w:basedOn w:val="994"/>
    <w:next w:val="1185"/>
    <w:uiPriority w:val="0"/>
    <w:qFormat/>
    <w:pPr>
      <w:ind w:left="300" w:right="57" w:firstLine="2760"/>
      <w:spacing w:before="0" w:after="0" w:line="300" w:lineRule="auto"/>
    </w:pPr>
    <w:rPr>
      <w:rFonts w:ascii="Times New Roman" w:hAnsi="Times New Roman" w:cs="Times New Roman"/>
    </w:rPr>
  </w:style>
  <w:style w:type="paragraph" w:styleId="1185" w:customStyle="1">
    <w:name w:val="宏文本1"/>
    <w:next w:val="1186"/>
    <w:uiPriority w:val="0"/>
    <w:qFormat/>
    <w:pPr>
      <w:ind w:firstLine="5632"/>
      <w:widowControl w:val="off"/>
    </w:pPr>
    <w:rPr>
      <w:rFonts w:ascii="Calibri" w:hAnsi="Calibri" w:eastAsia="宋体" w:cs="宋体"/>
      <w:lang w:val="en-US" w:eastAsia="zh-CN" w:bidi="ar-SA"/>
    </w:rPr>
  </w:style>
  <w:style w:type="paragraph" w:styleId="1186" w:customStyle="1">
    <w:name w:val="Item Step in Table"/>
    <w:next w:val="1187"/>
    <w:uiPriority w:val="0"/>
    <w:qFormat/>
    <w:pPr>
      <w:ind w:left="397" w:firstLine="3699"/>
      <w:jc w:val="both"/>
      <w:spacing w:before="40" w:after="40"/>
    </w:pPr>
    <w:rPr>
      <w:rFonts w:ascii="Calibri" w:hAnsi="Calibri" w:eastAsia="宋体" w:cs="宋体"/>
      <w:lang w:val="en-US" w:eastAsia="zh-CN" w:bidi="ar-SA"/>
    </w:rPr>
  </w:style>
  <w:style w:type="paragraph" w:styleId="1187" w:customStyle="1">
    <w:name w:val="Char Char Char Char Char Char1 Char Char Char Char Char Char"/>
    <w:basedOn w:val="994"/>
    <w:next w:val="1188"/>
    <w:uiPriority w:val="0"/>
    <w:qFormat/>
    <w:pPr>
      <w:ind w:left="0" w:firstLine="2560"/>
      <w:spacing w:before="0" w:after="0" w:line="240" w:lineRule="auto"/>
    </w:pPr>
    <w:rPr>
      <w:rFonts w:ascii="Times New Roman" w:hAnsi="Times New Roman" w:cs="Times New Roman"/>
    </w:rPr>
  </w:style>
  <w:style w:type="paragraph" w:styleId="1188" w:customStyle="1">
    <w:name w:val="Char Char1"/>
    <w:basedOn w:val="994"/>
    <w:next w:val="1189"/>
    <w:uiPriority w:val="0"/>
    <w:qFormat/>
    <w:pPr>
      <w:ind w:left="0" w:firstLine="3584"/>
      <w:spacing w:before="0" w:after="160" w:line="240" w:lineRule="exact"/>
    </w:pPr>
    <w:rPr>
      <w:rFonts w:ascii="Times New Roman" w:hAnsi="Times New Roman" w:cs="Times New Roman"/>
    </w:rPr>
  </w:style>
  <w:style w:type="paragraph" w:styleId="1189" w:customStyle="1">
    <w:name w:val="样式 标题 3 + 行距: 1.5 倍行距"/>
    <w:basedOn w:val="997"/>
    <w:next w:val="1051"/>
    <w:uiPriority w:val="0"/>
    <w:qFormat/>
    <w:pPr>
      <w:ind w:left="200" w:firstLine="18"/>
      <w:spacing w:before="0" w:after="0" w:line="360" w:lineRule="auto"/>
      <w:outlineLvl w:val="2"/>
    </w:pPr>
  </w:style>
  <w:style w:type="paragraph" w:styleId="1190" w:customStyle="1">
    <w:name w:val="xl76"/>
    <w:basedOn w:val="994"/>
    <w:next w:val="1048"/>
    <w:uiPriority w:val="0"/>
    <w:qFormat/>
    <w:pPr>
      <w:ind w:left="0" w:firstLine="3584"/>
      <w:jc w:val="center"/>
      <w:spacing w:before="280" w:after="280" w:line="240" w:lineRule="auto"/>
    </w:pPr>
    <w:rPr>
      <w:rFonts w:ascii="Times New Roman" w:hAnsi="Times New Roman" w:cs="Times New Roman"/>
    </w:rPr>
  </w:style>
  <w:style w:type="paragraph" w:styleId="1191" w:customStyle="1">
    <w:name w:val="xl26"/>
    <w:basedOn w:val="994"/>
    <w:next w:val="1192"/>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192" w:customStyle="1">
    <w:name w:val="Char1 Char Char"/>
    <w:basedOn w:val="994"/>
    <w:next w:val="1030"/>
    <w:uiPriority w:val="0"/>
    <w:qFormat/>
    <w:pPr>
      <w:ind w:left="0" w:firstLine="2560"/>
      <w:spacing w:before="0" w:after="0" w:line="240" w:lineRule="auto"/>
    </w:pPr>
    <w:rPr>
      <w:rFonts w:ascii="Times New Roman" w:hAnsi="Times New Roman" w:cs="Times New Roman"/>
    </w:rPr>
  </w:style>
  <w:style w:type="paragraph" w:styleId="1193" w:customStyle="1">
    <w:name w:val="纯文本2"/>
    <w:basedOn w:val="994"/>
    <w:next w:val="1194"/>
    <w:uiPriority w:val="0"/>
    <w:qFormat/>
    <w:pPr>
      <w:ind w:left="0" w:firstLine="3584"/>
      <w:spacing w:before="0" w:after="0" w:line="240" w:lineRule="auto"/>
    </w:pPr>
    <w:rPr>
      <w:rFonts w:ascii="Times New Roman" w:hAnsi="Times New Roman" w:cs="Times New Roman"/>
    </w:rPr>
  </w:style>
  <w:style w:type="paragraph" w:styleId="1194" w:customStyle="1">
    <w:name w:val="xl69"/>
    <w:basedOn w:val="994"/>
    <w:next w:val="1195"/>
    <w:uiPriority w:val="0"/>
    <w:qFormat/>
    <w:pPr>
      <w:ind w:left="0" w:firstLine="3584"/>
      <w:spacing w:before="280" w:after="280" w:line="240" w:lineRule="auto"/>
    </w:pPr>
    <w:rPr>
      <w:rFonts w:ascii="Times New Roman" w:hAnsi="Times New Roman" w:cs="Times New Roman"/>
    </w:rPr>
  </w:style>
  <w:style w:type="paragraph" w:styleId="1195" w:customStyle="1">
    <w:name w:val="Char Char Char"/>
    <w:basedOn w:val="994"/>
    <w:next w:val="1196"/>
    <w:uiPriority w:val="0"/>
    <w:qFormat/>
    <w:pPr>
      <w:ind w:left="0" w:firstLine="2560"/>
      <w:spacing w:before="0" w:after="0" w:line="240" w:lineRule="auto"/>
    </w:pPr>
    <w:rPr>
      <w:rFonts w:ascii="Times New Roman" w:hAnsi="Times New Roman" w:cs="Times New Roman"/>
    </w:rPr>
  </w:style>
  <w:style w:type="paragraph" w:styleId="1196" w:customStyle="1">
    <w:name w:val="表格"/>
    <w:basedOn w:val="994"/>
    <w:next w:val="1191"/>
    <w:uiPriority w:val="0"/>
    <w:qFormat/>
    <w:pPr>
      <w:ind w:left="0" w:firstLine="2560"/>
      <w:spacing w:before="0" w:after="0" w:line="360" w:lineRule="auto"/>
    </w:pPr>
    <w:rPr>
      <w:rFonts w:ascii="Times New Roman" w:hAnsi="Times New Roman" w:cs="Times New Roman"/>
    </w:rPr>
  </w:style>
  <w:style w:type="paragraph" w:styleId="1197" w:customStyle="1">
    <w:name w:val="xl68"/>
    <w:basedOn w:val="994"/>
    <w:next w:val="1198"/>
    <w:uiPriority w:val="0"/>
    <w:qFormat/>
    <w:pPr>
      <w:ind w:left="100" w:firstLine="5220"/>
      <w:spacing w:before="280" w:after="280" w:line="240" w:lineRule="auto"/>
    </w:pPr>
    <w:rPr>
      <w:rFonts w:ascii="Times New Roman" w:hAnsi="Times New Roman" w:cs="Times New Roman"/>
    </w:rPr>
  </w:style>
  <w:style w:type="paragraph" w:styleId="1198" w:customStyle="1">
    <w:name w:val="Char1"/>
    <w:basedOn w:val="994"/>
    <w:next w:val="1199"/>
    <w:uiPriority w:val="0"/>
    <w:qFormat/>
    <w:pPr>
      <w:ind w:left="0" w:firstLine="2560"/>
      <w:spacing w:before="0" w:after="0" w:line="240" w:lineRule="auto"/>
    </w:pPr>
    <w:rPr>
      <w:rFonts w:ascii="Times New Roman" w:hAnsi="Times New Roman" w:cs="Times New Roman"/>
    </w:rPr>
  </w:style>
  <w:style w:type="paragraph" w:styleId="1199" w:customStyle="1">
    <w:name w:val="需求文档正文样式"/>
    <w:basedOn w:val="994"/>
    <w:next w:val="1200"/>
    <w:uiPriority w:val="0"/>
    <w:qFormat/>
    <w:pPr>
      <w:ind w:left="437" w:firstLine="2741"/>
      <w:spacing w:before="0" w:after="0" w:line="360" w:lineRule="auto"/>
    </w:pPr>
    <w:rPr>
      <w:rFonts w:ascii="Times New Roman" w:hAnsi="Times New Roman" w:cs="Times New Roman"/>
    </w:rPr>
  </w:style>
  <w:style w:type="paragraph" w:styleId="1200" w:customStyle="1">
    <w:name w:val="xl74"/>
    <w:basedOn w:val="994"/>
    <w:next w:val="1201"/>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201" w:customStyle="1">
    <w:name w:val="xl88"/>
    <w:basedOn w:val="994"/>
    <w:next w:val="1202"/>
    <w:uiPriority w:val="0"/>
    <w:qFormat/>
    <w:pPr>
      <w:ind w:left="0" w:firstLine="5120"/>
      <w:spacing w:before="280" w:after="280" w:line="240" w:lineRule="auto"/>
    </w:pPr>
    <w:rPr>
      <w:rFonts w:ascii="Times New Roman" w:hAnsi="Times New Roman" w:cs="Times New Roman"/>
    </w:rPr>
  </w:style>
  <w:style w:type="paragraph" w:styleId="1202" w:customStyle="1">
    <w:name w:val="xl70"/>
    <w:basedOn w:val="994"/>
    <w:next w:val="1047"/>
    <w:uiPriority w:val="0"/>
    <w:qFormat/>
    <w:pPr>
      <w:ind w:left="0" w:firstLine="1024"/>
      <w:spacing w:before="280" w:after="280" w:line="240" w:lineRule="auto"/>
    </w:pPr>
    <w:rPr>
      <w:rFonts w:ascii="Times New Roman" w:hAnsi="Times New Roman" w:cs="Times New Roman"/>
    </w:rPr>
  </w:style>
  <w:style w:type="paragraph" w:styleId="1203" w:customStyle="1">
    <w:name w:val="文档标题5"/>
    <w:basedOn w:val="999"/>
    <w:next w:val="993"/>
    <w:uiPriority w:val="0"/>
    <w:qFormat/>
    <w:pPr>
      <w:ind w:left="992" w:firstLine="18"/>
      <w:spacing w:before="280" w:after="280" w:line="360" w:lineRule="auto"/>
      <w:outlineLvl w:val="4"/>
    </w:pPr>
  </w:style>
  <w:style w:type="paragraph" w:styleId="1204" w:customStyle="1">
    <w:name w:val="样式 加粗 居中"/>
    <w:basedOn w:val="994"/>
    <w:next w:val="1205"/>
    <w:uiPriority w:val="0"/>
    <w:qFormat/>
    <w:pPr>
      <w:ind w:left="0" w:firstLine="2560"/>
      <w:jc w:val="center"/>
      <w:spacing w:before="0" w:after="0" w:line="360" w:lineRule="auto"/>
    </w:pPr>
    <w:rPr>
      <w:rFonts w:ascii="Times New Roman" w:hAnsi="Times New Roman" w:cs="Times New Roman"/>
    </w:rPr>
  </w:style>
  <w:style w:type="paragraph" w:styleId="1205" w:customStyle="1">
    <w:name w:val="_Style 12"/>
    <w:next w:val="1206"/>
    <w:uiPriority w:val="0"/>
    <w:qFormat/>
    <w:pPr>
      <w:ind w:firstLine="14"/>
      <w:spacing w:line="360" w:lineRule="auto"/>
      <w:shd w:val="clear" w:color="000000" w:fill="000080"/>
    </w:pPr>
    <w:rPr>
      <w:rFonts w:ascii="Calibri" w:hAnsi="Calibri" w:eastAsia="宋体" w:cs="宋体"/>
      <w:lang w:val="en-US" w:eastAsia="zh-CN" w:bidi="ar-SA"/>
    </w:rPr>
  </w:style>
  <w:style w:type="paragraph" w:styleId="1206" w:customStyle="1">
    <w:name w:val="正文文本缩进1"/>
    <w:basedOn w:val="994"/>
    <w:next w:val="1207"/>
    <w:uiPriority w:val="0"/>
    <w:qFormat/>
    <w:pPr>
      <w:ind w:left="420" w:firstLine="3584"/>
      <w:spacing w:before="0" w:after="120" w:line="240" w:lineRule="auto"/>
    </w:pPr>
    <w:rPr>
      <w:rFonts w:ascii="Times New Roman" w:hAnsi="Times New Roman" w:cs="Times New Roman"/>
    </w:rPr>
  </w:style>
  <w:style w:type="paragraph" w:styleId="1207" w:customStyle="1">
    <w:name w:val="列表编号 31"/>
    <w:basedOn w:val="994"/>
    <w:next w:val="1049"/>
    <w:uiPriority w:val="0"/>
    <w:qFormat/>
    <w:pPr>
      <w:ind w:left="1200" w:firstLine="2712"/>
      <w:spacing w:before="0" w:after="0" w:line="360" w:lineRule="auto"/>
    </w:pPr>
    <w:rPr>
      <w:rFonts w:ascii="Times New Roman" w:hAnsi="Times New Roman" w:cs="Times New Roman"/>
    </w:rPr>
  </w:style>
  <w:style w:type="paragraph" w:styleId="1208" w:customStyle="1">
    <w:name w:val="三号 居中"/>
    <w:basedOn w:val="994"/>
    <w:next w:val="1209"/>
    <w:uiPriority w:val="0"/>
    <w:qFormat/>
    <w:pPr>
      <w:ind w:left="0" w:firstLine="6144"/>
      <w:jc w:val="center"/>
      <w:spacing w:before="0" w:after="0" w:line="360" w:lineRule="auto"/>
    </w:pPr>
    <w:rPr>
      <w:rFonts w:ascii="Times New Roman" w:hAnsi="Times New Roman" w:cs="Times New Roman"/>
    </w:rPr>
  </w:style>
  <w:style w:type="paragraph" w:styleId="1209" w:customStyle="1">
    <w:name w:val="列出段落1"/>
    <w:basedOn w:val="994"/>
    <w:next w:val="1210"/>
    <w:uiPriority w:val="0"/>
    <w:qFormat/>
    <w:pPr>
      <w:ind w:left="420" w:firstLine="3748"/>
      <w:spacing w:before="0" w:after="0" w:line="240" w:lineRule="auto"/>
    </w:pPr>
    <w:rPr>
      <w:rFonts w:ascii="Times New Roman" w:hAnsi="Times New Roman" w:cs="Times New Roman"/>
    </w:rPr>
  </w:style>
  <w:style w:type="paragraph" w:styleId="1210" w:customStyle="1">
    <w:name w:val="Char Char Char Char Char Char1 Char Char Char1 Char Char Char"/>
    <w:basedOn w:val="994"/>
    <w:next w:val="1211"/>
    <w:uiPriority w:val="0"/>
    <w:qFormat/>
    <w:pPr>
      <w:ind w:left="0" w:firstLine="2560"/>
      <w:spacing w:before="0" w:after="0" w:line="240" w:lineRule="auto"/>
    </w:pPr>
    <w:rPr>
      <w:rFonts w:ascii="Times New Roman" w:hAnsi="Times New Roman" w:cs="Times New Roman"/>
    </w:rPr>
  </w:style>
  <w:style w:type="paragraph" w:styleId="1211" w:customStyle="1">
    <w:name w:val="Char Char Char Char Char Char1 Char Char Char1 Char"/>
    <w:basedOn w:val="994"/>
    <w:next w:val="1212"/>
    <w:uiPriority w:val="0"/>
    <w:qFormat/>
    <w:pPr>
      <w:ind w:left="0" w:firstLine="2560"/>
      <w:spacing w:before="0" w:after="0" w:line="240" w:lineRule="auto"/>
    </w:pPr>
    <w:rPr>
      <w:rFonts w:ascii="Times New Roman" w:hAnsi="Times New Roman" w:cs="Times New Roman"/>
    </w:rPr>
  </w:style>
  <w:style w:type="paragraph" w:styleId="1212" w:customStyle="1">
    <w:name w:val="正文符号4"/>
    <w:basedOn w:val="994"/>
    <w:next w:val="1204"/>
    <w:uiPriority w:val="0"/>
    <w:qFormat/>
    <w:pPr>
      <w:ind w:left="0" w:firstLine="5632"/>
      <w:spacing w:before="0" w:after="0" w:line="240" w:lineRule="auto"/>
    </w:pPr>
    <w:rPr>
      <w:rFonts w:ascii="Times New Roman" w:hAnsi="Times New Roman" w:cs="Times New Roman"/>
    </w:rPr>
  </w:style>
  <w:style w:type="paragraph" w:styleId="1213" w:customStyle="1">
    <w:name w:val="加粗（居中）"/>
    <w:next w:val="1214"/>
    <w:uiPriority w:val="0"/>
    <w:qFormat/>
    <w:pPr>
      <w:ind w:firstLine="2560"/>
    </w:pPr>
    <w:rPr>
      <w:rFonts w:ascii="Calibri" w:hAnsi="Calibri" w:eastAsia="宋体" w:cs="宋体"/>
      <w:lang w:val="en-US" w:eastAsia="zh-CN" w:bidi="ar-SA"/>
    </w:rPr>
  </w:style>
  <w:style w:type="paragraph" w:styleId="1214" w:customStyle="1">
    <w:name w:val="xl65"/>
    <w:basedOn w:val="994"/>
    <w:next w:val="1174"/>
    <w:uiPriority w:val="0"/>
    <w:qFormat/>
    <w:pPr>
      <w:ind w:left="0" w:firstLine="5120"/>
      <w:spacing w:before="280" w:after="280" w:line="240" w:lineRule="auto"/>
    </w:pPr>
    <w:rPr>
      <w:rFonts w:ascii="Times New Roman" w:hAnsi="Times New Roman" w:cs="Times New Roman"/>
    </w:rPr>
  </w:style>
  <w:style w:type="paragraph" w:styleId="1215" w:customStyle="1">
    <w:name w:val="WPSOffice手动目录 3"/>
    <w:uiPriority w:val="0"/>
    <w:qFormat/>
    <w:pPr>
      <w:ind w:left="400"/>
    </w:pPr>
    <w:rPr>
      <w:rFonts w:ascii="宋体" w:hAnsi="宋体" w:eastAsia="宋体" w:cs="宋体"/>
      <w:lang w:val="en-US" w:eastAsia="zh-CN" w:bidi="ar-SA"/>
    </w:rPr>
  </w:style>
  <w:style w:type="paragraph" w:styleId="1216" w:customStyle="1">
    <w:name w:val="xl77"/>
    <w:basedOn w:val="994"/>
    <w:next w:val="1217"/>
    <w:uiPriority w:val="0"/>
    <w:qFormat/>
    <w:pPr>
      <w:ind w:left="0" w:firstLine="3584"/>
      <w:spacing w:before="280" w:after="280" w:line="240" w:lineRule="auto"/>
    </w:pPr>
    <w:rPr>
      <w:rFonts w:ascii="Times New Roman" w:hAnsi="Times New Roman" w:cs="Times New Roman"/>
    </w:rPr>
  </w:style>
  <w:style w:type="paragraph" w:styleId="1217" w:customStyle="1">
    <w:name w:val="Char Char Char1"/>
    <w:basedOn w:val="994"/>
    <w:next w:val="1218"/>
    <w:uiPriority w:val="0"/>
    <w:qFormat/>
    <w:pPr>
      <w:ind w:left="900" w:firstLine="2096"/>
      <w:spacing w:before="0" w:after="0" w:line="240" w:lineRule="auto"/>
    </w:pPr>
    <w:rPr>
      <w:rFonts w:ascii="Times New Roman" w:hAnsi="Times New Roman" w:cs="Times New Roman"/>
    </w:rPr>
  </w:style>
  <w:style w:type="paragraph" w:styleId="1218" w:customStyle="1">
    <w:name w:val="索引 21"/>
    <w:basedOn w:val="994"/>
    <w:next w:val="993"/>
    <w:uiPriority w:val="0"/>
    <w:qFormat/>
    <w:pPr>
      <w:ind w:left="200" w:firstLine="2560"/>
      <w:jc w:val="center"/>
      <w:spacing w:before="0" w:after="0" w:line="360" w:lineRule="auto"/>
    </w:pPr>
    <w:rPr>
      <w:rFonts w:ascii="Times New Roman" w:hAnsi="Times New Roman" w:cs="Times New Roman"/>
    </w:rPr>
  </w:style>
  <w:style w:type="paragraph" w:styleId="1219" w:customStyle="1">
    <w:name w:val="正文（首行缩进 2 字符）"/>
    <w:next w:val="1220"/>
    <w:uiPriority w:val="0"/>
    <w:qFormat/>
    <w:pPr>
      <w:ind w:left="480" w:firstLine="2784"/>
      <w:jc w:val="center"/>
      <w:spacing w:line="300" w:lineRule="auto"/>
    </w:pPr>
    <w:rPr>
      <w:rFonts w:ascii="Calibri" w:hAnsi="Calibri" w:eastAsia="宋体" w:cs="宋体"/>
      <w:lang w:val="en-US" w:eastAsia="zh-CN" w:bidi="ar-SA"/>
    </w:rPr>
  </w:style>
  <w:style w:type="paragraph" w:styleId="1220" w:customStyle="1">
    <w:name w:val="xl28"/>
    <w:basedOn w:val="994"/>
    <w:next w:val="1221"/>
    <w:uiPriority w:val="0"/>
    <w:qFormat/>
    <w:pPr>
      <w:ind w:left="0" w:firstLine="20"/>
      <w:spacing w:before="280" w:after="280" w:line="240" w:lineRule="auto"/>
      <w:shd w:val="clear" w:color="000000" w:fill="ffffff"/>
    </w:pPr>
    <w:rPr>
      <w:rFonts w:ascii="Times New Roman" w:hAnsi="Times New Roman" w:cs="Times New Roman"/>
    </w:rPr>
  </w:style>
  <w:style w:type="paragraph" w:styleId="1221" w:customStyle="1">
    <w:name w:val="HTML 预设格式1"/>
    <w:basedOn w:val="994"/>
    <w:next w:val="1222"/>
    <w:uiPriority w:val="0"/>
    <w:qFormat/>
    <w:pPr>
      <w:ind w:left="0" w:firstLine="3584"/>
      <w:spacing w:before="0" w:after="0" w:line="253" w:lineRule="atLeast"/>
    </w:pPr>
    <w:rPr>
      <w:rFonts w:ascii="Times New Roman" w:hAnsi="Times New Roman" w:cs="Times New Roman"/>
    </w:rPr>
  </w:style>
  <w:style w:type="paragraph" w:styleId="1222" w:customStyle="1">
    <w:name w:val="项目符号：一级"/>
    <w:basedOn w:val="994"/>
    <w:next w:val="993"/>
    <w:uiPriority w:val="0"/>
    <w:qFormat/>
    <w:pPr>
      <w:ind w:left="425" w:firstLine="1111"/>
      <w:spacing w:before="0" w:after="0" w:line="360" w:lineRule="auto"/>
    </w:pPr>
    <w:rPr>
      <w:rFonts w:ascii="Times New Roman" w:hAnsi="Times New Roman" w:cs="Times New Roman"/>
    </w:rPr>
  </w:style>
  <w:style w:type="paragraph" w:styleId="1223" w:customStyle="1">
    <w:name w:val="Default"/>
    <w:next w:val="1026"/>
    <w:uiPriority w:val="0"/>
    <w:qFormat/>
    <w:pPr>
      <w:ind w:firstLine="5120"/>
      <w:widowControl w:val="off"/>
    </w:pPr>
    <w:rPr>
      <w:rFonts w:ascii="Calibri" w:hAnsi="Calibri" w:eastAsia="宋体" w:cs="宋体"/>
      <w:lang w:val="en-US" w:eastAsia="zh-CN" w:bidi="ar-SA"/>
    </w:rPr>
  </w:style>
  <w:style w:type="paragraph" w:styleId="1224" w:customStyle="1">
    <w:name w:val="xl84"/>
    <w:basedOn w:val="994"/>
    <w:next w:val="1225"/>
    <w:uiPriority w:val="0"/>
    <w:qFormat/>
    <w:pPr>
      <w:ind w:left="0" w:firstLine="2048"/>
      <w:jc w:val="center"/>
      <w:spacing w:before="280" w:after="280" w:line="240" w:lineRule="auto"/>
    </w:pPr>
    <w:rPr>
      <w:rFonts w:ascii="Times New Roman" w:hAnsi="Times New Roman" w:cs="Times New Roman"/>
    </w:rPr>
  </w:style>
  <w:style w:type="paragraph" w:styleId="1225" w:customStyle="1">
    <w:name w:val="2-2ji"/>
    <w:basedOn w:val="996"/>
    <w:next w:val="1226"/>
    <w:uiPriority w:val="0"/>
    <w:qFormat/>
    <w:pPr>
      <w:ind w:left="0" w:firstLine="24"/>
      <w:jc w:val="center"/>
      <w:spacing w:before="0" w:after="0" w:line="360" w:lineRule="auto"/>
      <w:outlineLvl w:val="1"/>
    </w:pPr>
  </w:style>
  <w:style w:type="paragraph" w:styleId="1226" w:customStyle="1">
    <w:name w:val="应答文本"/>
    <w:basedOn w:val="994"/>
    <w:next w:val="1227"/>
    <w:uiPriority w:val="0"/>
    <w:qFormat/>
    <w:pPr>
      <w:ind w:left="1296" w:firstLine="2112"/>
      <w:spacing w:before="0" w:after="0" w:line="460" w:lineRule="exact"/>
    </w:pPr>
    <w:rPr>
      <w:rFonts w:ascii="Times New Roman" w:hAnsi="Times New Roman" w:cs="Times New Roman"/>
    </w:rPr>
  </w:style>
  <w:style w:type="paragraph" w:styleId="1227" w:customStyle="1">
    <w:name w:val="引文目录1"/>
    <w:basedOn w:val="994"/>
    <w:next w:val="993"/>
    <w:uiPriority w:val="0"/>
    <w:qFormat/>
    <w:pPr>
      <w:ind w:left="420" w:firstLine="2560"/>
      <w:jc w:val="center"/>
      <w:spacing w:before="0" w:after="0" w:line="360" w:lineRule="auto"/>
    </w:pPr>
    <w:rPr>
      <w:rFonts w:ascii="Times New Roman" w:hAnsi="Times New Roman" w:cs="Times New Roman"/>
    </w:rPr>
  </w:style>
  <w:style w:type="paragraph" w:styleId="1228" w:customStyle="1">
    <w:name w:val="首行缩进"/>
    <w:basedOn w:val="993"/>
    <w:uiPriority w:val="0"/>
    <w:qFormat/>
    <w:pPr>
      <w:ind w:firstLine="480"/>
    </w:pPr>
    <w:rPr>
      <w:rFonts w:ascii="Times New Roman" w:hAnsi="Times New Roman" w:cs="Times New Roman"/>
      <w:lang w:val="zh-CN"/>
    </w:rPr>
  </w:style>
  <w:style w:type="paragraph" w:styleId="1229" w:customStyle="1">
    <w:name w:val="font9"/>
    <w:basedOn w:val="994"/>
    <w:next w:val="1230"/>
    <w:uiPriority w:val="0"/>
    <w:qFormat/>
    <w:pPr>
      <w:ind w:left="0" w:firstLine="7168"/>
      <w:spacing w:before="280" w:after="280" w:line="240" w:lineRule="auto"/>
    </w:pPr>
    <w:rPr>
      <w:rFonts w:ascii="Times New Roman" w:hAnsi="Times New Roman" w:cs="Times New Roman"/>
    </w:rPr>
  </w:style>
  <w:style w:type="paragraph" w:styleId="1230" w:customStyle="1">
    <w:name w:val="样式 标题 3 + (中文) 黑体 小四 非加粗 段前: 7.8 磅 段后: 0 磅 行距: 固定值 20 磅"/>
    <w:basedOn w:val="997"/>
    <w:next w:val="1231"/>
    <w:uiPriority w:val="0"/>
    <w:qFormat/>
    <w:pPr>
      <w:ind w:left="0"/>
      <w:spacing w:before="0" w:after="0" w:line="400" w:lineRule="exact"/>
      <w:outlineLvl w:val="2"/>
    </w:pPr>
  </w:style>
  <w:style w:type="paragraph" w:styleId="1231" w:customStyle="1">
    <w:name w:val="标书正文"/>
    <w:basedOn w:val="994"/>
    <w:next w:val="1232"/>
    <w:uiPriority w:val="0"/>
    <w:qFormat/>
    <w:pPr>
      <w:ind w:left="440" w:right="100" w:firstLine="2760"/>
      <w:spacing w:before="0" w:after="0" w:line="360" w:lineRule="auto"/>
    </w:pPr>
    <w:rPr>
      <w:rFonts w:ascii="Times New Roman" w:hAnsi="Times New Roman" w:cs="Times New Roman"/>
    </w:rPr>
  </w:style>
  <w:style w:type="paragraph" w:styleId="1232" w:customStyle="1">
    <w:name w:val="xl67"/>
    <w:basedOn w:val="994"/>
    <w:next w:val="1233"/>
    <w:uiPriority w:val="0"/>
    <w:qFormat/>
    <w:pPr>
      <w:ind w:left="0" w:firstLine="5120"/>
      <w:spacing w:before="280" w:after="280" w:line="240" w:lineRule="auto"/>
    </w:pPr>
    <w:rPr>
      <w:rFonts w:ascii="Times New Roman" w:hAnsi="Times New Roman" w:cs="Times New Roman"/>
    </w:rPr>
  </w:style>
  <w:style w:type="paragraph" w:styleId="1233" w:customStyle="1">
    <w:name w:val="索引 61"/>
    <w:basedOn w:val="994"/>
    <w:next w:val="993"/>
    <w:uiPriority w:val="0"/>
    <w:qFormat/>
    <w:pPr>
      <w:ind w:left="1000" w:firstLine="2560"/>
      <w:jc w:val="center"/>
      <w:spacing w:before="0" w:after="0" w:line="360" w:lineRule="auto"/>
    </w:pPr>
    <w:rPr>
      <w:rFonts w:ascii="Times New Roman" w:hAnsi="Times New Roman" w:cs="Times New Roman"/>
    </w:rPr>
  </w:style>
  <w:style w:type="paragraph" w:styleId="1234" w:customStyle="1">
    <w:name w:val="目录3"/>
    <w:basedOn w:val="994"/>
    <w:next w:val="993"/>
    <w:uiPriority w:val="0"/>
    <w:qFormat/>
    <w:pPr>
      <w:ind w:left="419" w:firstLine="5283"/>
      <w:spacing w:before="0" w:after="0" w:line="317" w:lineRule="atLeast"/>
    </w:pPr>
    <w:rPr>
      <w:rFonts w:ascii="Times New Roman" w:hAnsi="Times New Roman" w:cs="Times New Roman"/>
    </w:rPr>
  </w:style>
  <w:style w:type="paragraph" w:styleId="1235" w:customStyle="1">
    <w:name w:val="xl90"/>
    <w:basedOn w:val="994"/>
    <w:next w:val="1236"/>
    <w:uiPriority w:val="0"/>
    <w:qFormat/>
    <w:pPr>
      <w:ind w:left="0" w:firstLine="3584"/>
      <w:spacing w:before="280" w:after="280" w:line="240" w:lineRule="auto"/>
    </w:pPr>
    <w:rPr>
      <w:rFonts w:ascii="Times New Roman" w:hAnsi="Times New Roman" w:cs="Times New Roman"/>
    </w:rPr>
  </w:style>
  <w:style w:type="paragraph" w:styleId="1236" w:customStyle="1">
    <w:name w:val="列表框1"/>
    <w:next w:val="1227"/>
    <w:uiPriority w:val="0"/>
    <w:qFormat/>
    <w:pPr>
      <w:ind w:firstLine="2048"/>
      <w:spacing w:line="460" w:lineRule="exact"/>
    </w:pPr>
    <w:rPr>
      <w:rFonts w:ascii="Calibri" w:hAnsi="Calibri" w:eastAsia="宋体" w:cs="宋体"/>
      <w:lang w:val="en-US" w:eastAsia="zh-CN" w:bidi="ar-SA"/>
    </w:rPr>
  </w:style>
  <w:style w:type="paragraph" w:styleId="1237" w:customStyle="1">
    <w:name w:val="1ji"/>
    <w:basedOn w:val="995"/>
    <w:next w:val="1216"/>
    <w:uiPriority w:val="0"/>
    <w:qFormat/>
    <w:pPr>
      <w:ind w:left="0" w:firstLine="18"/>
      <w:jc w:val="center"/>
      <w:spacing w:before="0" w:after="0" w:line="240" w:lineRule="auto"/>
      <w:outlineLvl w:val="0"/>
    </w:pPr>
  </w:style>
  <w:style w:type="paragraph" w:styleId="1238" w:customStyle="1">
    <w:name w:val="索引 81"/>
    <w:basedOn w:val="994"/>
    <w:next w:val="993"/>
    <w:uiPriority w:val="0"/>
    <w:qFormat/>
    <w:pPr>
      <w:ind w:left="1400" w:firstLine="2560"/>
      <w:jc w:val="center"/>
      <w:spacing w:before="0" w:after="0" w:line="360" w:lineRule="auto"/>
    </w:pPr>
    <w:rPr>
      <w:rFonts w:ascii="Times New Roman" w:hAnsi="Times New Roman" w:cs="Times New Roman"/>
    </w:rPr>
  </w:style>
  <w:style w:type="paragraph" w:styleId="1239" w:customStyle="1">
    <w:name w:val="正文1"/>
    <w:basedOn w:val="993"/>
    <w:next w:val="993"/>
    <w:uiPriority w:val="0"/>
    <w:qFormat/>
    <w:pPr>
      <w:spacing w:line="312" w:lineRule="atLeast"/>
    </w:pPr>
    <w:rPr>
      <w:rFonts w:ascii="楷体_GB2312" w:hAnsi="Times New Roman" w:eastAsia="楷体_GB2312" w:cs="Times New Roman"/>
      <w:sz w:val="24"/>
    </w:rPr>
  </w:style>
  <w:style w:type="paragraph" w:styleId="1240" w:customStyle="1">
    <w:name w:val="Char Char Char Char Char Char1 Char Char Char1 Char Char Char Char Char Char Char Char Char Char Char Char Char Char Char Char Char Char"/>
    <w:basedOn w:val="994"/>
    <w:next w:val="1241"/>
    <w:uiPriority w:val="0"/>
    <w:qFormat/>
    <w:pPr>
      <w:ind w:left="0" w:firstLine="2560"/>
      <w:spacing w:before="0" w:after="0" w:line="240" w:lineRule="auto"/>
    </w:pPr>
    <w:rPr>
      <w:rFonts w:ascii="Times New Roman" w:hAnsi="Times New Roman" w:cs="Times New Roman"/>
    </w:rPr>
  </w:style>
  <w:style w:type="paragraph" w:styleId="1241" w:customStyle="1">
    <w:name w:val="样式 加粗 居中11"/>
    <w:basedOn w:val="994"/>
    <w:next w:val="1242"/>
    <w:uiPriority w:val="0"/>
    <w:qFormat/>
    <w:pPr>
      <w:ind w:left="0" w:firstLine="2560"/>
      <w:jc w:val="center"/>
      <w:spacing w:before="0" w:after="0" w:line="360" w:lineRule="auto"/>
    </w:pPr>
    <w:rPr>
      <w:rFonts w:ascii="Times New Roman" w:hAnsi="Times New Roman" w:cs="Times New Roman"/>
    </w:rPr>
  </w:style>
  <w:style w:type="paragraph" w:styleId="1242" w:customStyle="1">
    <w:name w:val="xl89"/>
    <w:basedOn w:val="994"/>
    <w:next w:val="1243"/>
    <w:uiPriority w:val="0"/>
    <w:qFormat/>
    <w:pPr>
      <w:ind w:left="0" w:firstLine="3584"/>
      <w:spacing w:before="280" w:after="280" w:line="240" w:lineRule="auto"/>
    </w:pPr>
    <w:rPr>
      <w:rFonts w:ascii="Times New Roman" w:hAnsi="Times New Roman" w:cs="Times New Roman"/>
    </w:rPr>
  </w:style>
  <w:style w:type="paragraph" w:styleId="1243" w:customStyle="1">
    <w:name w:val="Char Char Char Char Char Char1 Char Char Char Char Char Char1 Char Char Char Char Char Char Char Char Char"/>
    <w:basedOn w:val="994"/>
    <w:next w:val="1244"/>
    <w:uiPriority w:val="0"/>
    <w:qFormat/>
    <w:pPr>
      <w:ind w:left="0" w:firstLine="2560"/>
      <w:spacing w:before="0" w:after="0" w:line="240" w:lineRule="auto"/>
    </w:pPr>
    <w:rPr>
      <w:rFonts w:ascii="Times New Roman" w:hAnsi="Times New Roman" w:cs="Times New Roman"/>
    </w:rPr>
  </w:style>
  <w:style w:type="paragraph" w:styleId="1244" w:customStyle="1">
    <w:name w:val="文章附标题"/>
    <w:basedOn w:val="994"/>
    <w:next w:val="994"/>
    <w:uiPriority w:val="0"/>
    <w:qFormat/>
    <w:pPr>
      <w:ind w:left="0" w:firstLine="5120"/>
      <w:jc w:val="center"/>
      <w:spacing w:before="187" w:after="175" w:line="374" w:lineRule="atLeast"/>
    </w:pPr>
    <w:rPr>
      <w:rFonts w:ascii="Times New Roman" w:hAnsi="Times New Roman" w:cs="Times New Roman"/>
    </w:rPr>
  </w:style>
  <w:style w:type="paragraph" w:styleId="1245">
    <w:name w:val="Quote"/>
    <w:next w:val="993"/>
    <w:uiPriority w:val="0"/>
    <w:qFormat/>
    <w:pPr>
      <w:ind w:left="3680" w:right="864"/>
      <w:jc w:val="center"/>
      <w:spacing w:before="200" w:after="160"/>
    </w:pPr>
    <w:rPr>
      <w:rFonts w:ascii="Calibri" w:hAnsi="Calibri" w:eastAsia="宋体" w:cs="宋体"/>
      <w:i/>
      <w:lang w:val="en-US" w:eastAsia="zh-CN" w:bidi="ar-SA"/>
    </w:rPr>
  </w:style>
  <w:style w:type="paragraph" w:styleId="1246" w:customStyle="1">
    <w:name w:val="Default Paragraph Font Para Char Char Char Char Char Char"/>
    <w:basedOn w:val="994"/>
    <w:next w:val="1247"/>
    <w:uiPriority w:val="0"/>
    <w:qFormat/>
    <w:pPr>
      <w:ind w:left="0" w:firstLine="3584"/>
      <w:spacing w:before="0" w:after="160" w:line="240" w:lineRule="exact"/>
    </w:pPr>
    <w:rPr>
      <w:rFonts w:ascii="Times New Roman" w:hAnsi="Times New Roman" w:cs="Times New Roman"/>
    </w:rPr>
  </w:style>
  <w:style w:type="paragraph" w:styleId="1247" w:customStyle="1">
    <w:name w:val="xl23"/>
    <w:basedOn w:val="994"/>
    <w:next w:val="1028"/>
    <w:uiPriority w:val="0"/>
    <w:qFormat/>
    <w:pPr>
      <w:ind w:left="0" w:firstLine="20"/>
      <w:spacing w:before="280" w:after="280" w:line="240" w:lineRule="auto"/>
      <w:shd w:val="clear" w:color="000000" w:fill="ffffff"/>
    </w:pPr>
    <w:rPr>
      <w:rFonts w:ascii="Times New Roman" w:hAnsi="Times New Roman" w:cs="Times New Roman"/>
    </w:rPr>
  </w:style>
  <w:style w:type="paragraph" w:styleId="1248" w:customStyle="1">
    <w:name w:val="列出段落11"/>
    <w:basedOn w:val="994"/>
    <w:next w:val="1249"/>
    <w:uiPriority w:val="0"/>
    <w:qFormat/>
    <w:pPr>
      <w:ind w:left="420" w:firstLine="3748"/>
      <w:spacing w:before="0" w:after="0" w:line="240" w:lineRule="auto"/>
    </w:pPr>
    <w:rPr>
      <w:rFonts w:ascii="Times New Roman" w:hAnsi="Times New Roman" w:cs="Times New Roman"/>
    </w:rPr>
  </w:style>
  <w:style w:type="paragraph" w:styleId="1249" w:customStyle="1">
    <w:name w:val="样式 标题 2 + (西文) 宋体 非加粗 居中"/>
    <w:basedOn w:val="996"/>
    <w:next w:val="1250"/>
    <w:uiPriority w:val="0"/>
    <w:qFormat/>
    <w:pPr>
      <w:ind w:left="0" w:firstLine="24"/>
      <w:jc w:val="center"/>
      <w:spacing w:line="412" w:lineRule="auto"/>
      <w:outlineLvl w:val="1"/>
    </w:pPr>
  </w:style>
  <w:style w:type="paragraph" w:styleId="1250" w:customStyle="1">
    <w:name w:val="页脚 Char Char"/>
    <w:basedOn w:val="994"/>
    <w:next w:val="1251"/>
    <w:uiPriority w:val="0"/>
    <w:qFormat/>
    <w:pPr>
      <w:ind w:left="0" w:firstLine="5120"/>
      <w:spacing w:before="0" w:after="0" w:line="240" w:lineRule="auto"/>
    </w:pPr>
    <w:rPr>
      <w:rFonts w:ascii="Times New Roman" w:hAnsi="Times New Roman" w:cs="Times New Roman"/>
    </w:rPr>
  </w:style>
  <w:style w:type="paragraph" w:styleId="1251" w:customStyle="1">
    <w:name w:val="样式 标题 1 + 段前: 16 磅 段后: 16 磅"/>
    <w:basedOn w:val="995"/>
    <w:next w:val="1252"/>
    <w:uiPriority w:val="0"/>
    <w:qFormat/>
    <w:pPr>
      <w:ind w:left="0" w:firstLine="18"/>
      <w:jc w:val="center"/>
      <w:spacing w:before="120" w:after="0" w:line="360" w:lineRule="auto"/>
      <w:outlineLvl w:val="0"/>
    </w:pPr>
  </w:style>
  <w:style w:type="paragraph" w:styleId="1252" w:customStyle="1">
    <w:name w:val="Char1 Char Char Char Char Char Char"/>
    <w:basedOn w:val="994"/>
    <w:next w:val="1253"/>
    <w:uiPriority w:val="0"/>
    <w:qFormat/>
    <w:pPr>
      <w:ind w:left="0" w:firstLine="2560"/>
      <w:spacing w:before="0" w:after="0" w:line="240" w:lineRule="auto"/>
    </w:pPr>
    <w:rPr>
      <w:rFonts w:ascii="Times New Roman" w:hAnsi="Times New Roman" w:cs="Times New Roman"/>
    </w:rPr>
  </w:style>
  <w:style w:type="paragraph" w:styleId="1253" w:customStyle="1">
    <w:name w:val="文档标题4"/>
    <w:basedOn w:val="998"/>
    <w:next w:val="993"/>
    <w:uiPriority w:val="0"/>
    <w:qFormat/>
    <w:pPr>
      <w:ind w:left="851" w:firstLine="30"/>
      <w:spacing w:after="280" w:line="360" w:lineRule="auto"/>
      <w:outlineLvl w:val="3"/>
    </w:pPr>
  </w:style>
  <w:style w:type="paragraph" w:styleId="1254" w:customStyle="1">
    <w:name w:val="font0"/>
    <w:basedOn w:val="994"/>
    <w:next w:val="1229"/>
    <w:uiPriority w:val="0"/>
    <w:qFormat/>
    <w:pPr>
      <w:ind w:left="0" w:firstLine="1024"/>
      <w:spacing w:before="280" w:after="280" w:line="240" w:lineRule="auto"/>
    </w:pPr>
    <w:rPr>
      <w:rFonts w:ascii="Times New Roman" w:hAnsi="Times New Roman" w:cs="Times New Roman"/>
    </w:rPr>
  </w:style>
  <w:style w:type="paragraph" w:styleId="1255" w:customStyle="1">
    <w:name w:val="CM5"/>
    <w:basedOn w:val="994"/>
    <w:next w:val="993"/>
    <w:uiPriority w:val="0"/>
    <w:qFormat/>
    <w:pPr>
      <w:ind w:left="200" w:firstLine="2760"/>
      <w:spacing w:before="0" w:after="0" w:line="400" w:lineRule="atLeast"/>
    </w:pPr>
    <w:rPr>
      <w:rFonts w:ascii="Times New Roman" w:hAnsi="Times New Roman" w:cs="Times New Roman"/>
    </w:rPr>
  </w:style>
  <w:style w:type="paragraph" w:styleId="1256" w:customStyle="1">
    <w:name w:val="Pa0"/>
    <w:basedOn w:val="994"/>
    <w:next w:val="993"/>
    <w:uiPriority w:val="0"/>
    <w:qFormat/>
    <w:pPr>
      <w:ind w:left="0" w:firstLine="4608"/>
      <w:spacing w:before="0" w:after="0" w:line="241" w:lineRule="atLeast"/>
    </w:pPr>
    <w:rPr>
      <w:rFonts w:ascii="Times New Roman" w:hAnsi="Times New Roman" w:cs="Times New Roman"/>
    </w:rPr>
  </w:style>
  <w:style w:type="paragraph" w:styleId="1257" w:customStyle="1">
    <w:name w:val="招标文件》"/>
    <w:basedOn w:val="994"/>
    <w:next w:val="1193"/>
    <w:uiPriority w:val="0"/>
    <w:qFormat/>
    <w:pPr>
      <w:ind w:left="420" w:firstLine="2140"/>
      <w:spacing w:before="120" w:after="120" w:line="300" w:lineRule="auto"/>
    </w:pPr>
    <w:rPr>
      <w:rFonts w:ascii="Times New Roman" w:hAnsi="Times New Roman" w:cs="Times New Roman"/>
    </w:rPr>
  </w:style>
  <w:style w:type="paragraph" w:styleId="1258" w:customStyle="1">
    <w:name w:val="段"/>
    <w:next w:val="993"/>
    <w:uiPriority w:val="0"/>
    <w:qFormat/>
    <w:pPr>
      <w:ind w:firstLine="200"/>
      <w:jc w:val="both"/>
      <w:spacing w:line="360" w:lineRule="auto"/>
    </w:pPr>
    <w:rPr>
      <w:rFonts w:ascii="宋体" w:hAnsi="宋体" w:eastAsia="宋体" w:cs="宋体"/>
      <w:sz w:val="24"/>
      <w:szCs w:val="22"/>
      <w:lang w:val="en-US" w:eastAsia="zh-CN" w:bidi="ar-SA"/>
    </w:rPr>
  </w:style>
  <w:style w:type="paragraph" w:styleId="1259" w:customStyle="1">
    <w:name w:val="标书_正文"/>
    <w:basedOn w:val="994"/>
    <w:next w:val="1260"/>
    <w:uiPriority w:val="0"/>
    <w:qFormat/>
    <w:pPr>
      <w:ind w:left="420" w:firstLine="1188"/>
      <w:spacing w:before="0" w:after="0" w:line="360" w:lineRule="auto"/>
    </w:pPr>
    <w:rPr>
      <w:rFonts w:ascii="Times New Roman" w:hAnsi="Times New Roman" w:cs="Times New Roman"/>
    </w:rPr>
  </w:style>
  <w:style w:type="paragraph" w:styleId="1260" w:customStyle="1">
    <w:name w:val="样式 标题 2 + Times New Roman 四号 非加粗 段前: 5 磅 段后: 0 磅 行距: 固定值 20..."/>
    <w:basedOn w:val="996"/>
    <w:next w:val="1208"/>
    <w:uiPriority w:val="0"/>
    <w:qFormat/>
    <w:pPr>
      <w:ind w:left="0" w:firstLine="24"/>
      <w:spacing w:before="100" w:after="0" w:line="400" w:lineRule="exact"/>
      <w:outlineLvl w:val="1"/>
    </w:pPr>
  </w:style>
  <w:style w:type="paragraph" w:styleId="1261" w:customStyle="1">
    <w:name w:val="图片0"/>
    <w:basedOn w:val="994"/>
    <w:next w:val="1040"/>
    <w:uiPriority w:val="0"/>
    <w:qFormat/>
    <w:pPr>
      <w:ind w:left="-161" w:firstLine="1187"/>
      <w:spacing w:before="0" w:after="0" w:line="276" w:lineRule="auto"/>
    </w:pPr>
    <w:rPr>
      <w:rFonts w:ascii="Times New Roman" w:hAnsi="Times New Roman" w:cs="Times New Roman"/>
    </w:rPr>
  </w:style>
  <w:style w:type="paragraph" w:styleId="1262" w:customStyle="1">
    <w:name w:val="Char Char Char2 Char Char Char2 Char"/>
    <w:basedOn w:val="994"/>
    <w:next w:val="1234"/>
    <w:uiPriority w:val="0"/>
    <w:qFormat/>
    <w:pPr>
      <w:ind w:left="560" w:firstLine="3632"/>
      <w:spacing w:before="0" w:after="160" w:line="240" w:lineRule="exact"/>
    </w:pPr>
    <w:rPr>
      <w:rFonts w:ascii="Times New Roman" w:hAnsi="Times New Roman" w:cs="Times New Roman"/>
    </w:rPr>
  </w:style>
  <w:style w:type="paragraph" w:styleId="1263" w:customStyle="1">
    <w:name w:val="Char Char Char Char"/>
    <w:next w:val="1264"/>
    <w:uiPriority w:val="0"/>
    <w:qFormat/>
    <w:pPr>
      <w:ind w:firstLine="10"/>
      <w:spacing w:line="360" w:lineRule="auto"/>
      <w:shd w:val="clear" w:color="000000" w:fill="000080"/>
    </w:pPr>
    <w:rPr>
      <w:rFonts w:ascii="Calibri" w:hAnsi="Calibri" w:eastAsia="宋体" w:cs="宋体"/>
      <w:lang w:val="en-US" w:eastAsia="zh-CN" w:bidi="ar-SA"/>
    </w:rPr>
  </w:style>
  <w:style w:type="paragraph" w:styleId="1264" w:customStyle="1">
    <w:name w:val="杨昂超式样黑体主"/>
    <w:basedOn w:val="994"/>
    <w:next w:val="1265"/>
    <w:uiPriority w:val="0"/>
    <w:qFormat/>
    <w:pPr>
      <w:ind w:left="0" w:firstLine="4608"/>
      <w:spacing w:before="0" w:after="0" w:line="240" w:lineRule="auto"/>
    </w:pPr>
    <w:rPr>
      <w:rFonts w:ascii="Times New Roman" w:hAnsi="Times New Roman" w:cs="Times New Roman"/>
    </w:rPr>
  </w:style>
  <w:style w:type="paragraph" w:styleId="1265" w:customStyle="1">
    <w:name w:val="Char Char Char Char Char Char1 Char Char Char Char Char Char Char Char Char Char"/>
    <w:basedOn w:val="994"/>
    <w:next w:val="1266"/>
    <w:uiPriority w:val="0"/>
    <w:qFormat/>
    <w:pPr>
      <w:ind w:left="0" w:firstLine="2560"/>
      <w:spacing w:before="0" w:after="0" w:line="240" w:lineRule="auto"/>
    </w:pPr>
    <w:rPr>
      <w:rFonts w:ascii="Times New Roman" w:hAnsi="Times New Roman" w:cs="Times New Roman"/>
    </w:rPr>
  </w:style>
  <w:style w:type="paragraph" w:styleId="1266" w:customStyle="1">
    <w:name w:val="目录1"/>
    <w:basedOn w:val="994"/>
    <w:next w:val="993"/>
    <w:uiPriority w:val="0"/>
    <w:qFormat/>
    <w:pPr>
      <w:ind w:left="0" w:firstLine="7168"/>
      <w:spacing w:before="0" w:after="136" w:line="289" w:lineRule="atLeast"/>
    </w:pPr>
    <w:rPr>
      <w:rFonts w:ascii="Times New Roman" w:hAnsi="Times New Roman" w:cs="Times New Roman"/>
    </w:rPr>
  </w:style>
  <w:style w:type="paragraph" w:styleId="1267" w:customStyle="1">
    <w:name w:val="文档结构图1"/>
    <w:basedOn w:val="994"/>
    <w:next w:val="1268"/>
    <w:uiPriority w:val="0"/>
    <w:qFormat/>
    <w:pPr>
      <w:ind w:left="200" w:firstLine="2248"/>
      <w:spacing w:before="0" w:after="0" w:line="360" w:lineRule="auto"/>
    </w:pPr>
    <w:rPr>
      <w:rFonts w:ascii="Times New Roman" w:hAnsi="Times New Roman" w:cs="Times New Roman"/>
    </w:rPr>
  </w:style>
  <w:style w:type="paragraph" w:styleId="1268" w:customStyle="1">
    <w:name w:val="2ji"/>
    <w:basedOn w:val="996"/>
    <w:next w:val="1034"/>
    <w:uiPriority w:val="0"/>
    <w:qFormat/>
    <w:pPr>
      <w:ind w:left="0" w:firstLine="24"/>
      <w:spacing w:before="0" w:after="0" w:line="360" w:lineRule="auto"/>
      <w:outlineLvl w:val="1"/>
    </w:pPr>
  </w:style>
  <w:style w:type="paragraph" w:styleId="1269" w:customStyle="1">
    <w:name w:val="xl91"/>
    <w:basedOn w:val="994"/>
    <w:next w:val="1190"/>
    <w:uiPriority w:val="0"/>
    <w:qFormat/>
    <w:pPr>
      <w:ind w:left="0" w:firstLine="3584"/>
      <w:spacing w:before="280" w:after="280" w:line="240" w:lineRule="auto"/>
    </w:pPr>
    <w:rPr>
      <w:rFonts w:ascii="Times New Roman" w:hAnsi="Times New Roman" w:cs="Times New Roman"/>
    </w:rPr>
  </w:style>
  <w:style w:type="paragraph" w:styleId="1270" w:customStyle="1">
    <w:name w:val="Text Body"/>
    <w:basedOn w:val="994"/>
    <w:next w:val="1271"/>
    <w:uiPriority w:val="0"/>
    <w:qFormat/>
    <w:pPr>
      <w:ind w:left="0" w:firstLine="4096"/>
      <w:spacing w:before="0" w:after="120" w:line="240" w:lineRule="auto"/>
    </w:pPr>
    <w:rPr>
      <w:rFonts w:ascii="Times New Roman" w:hAnsi="Times New Roman" w:cs="Times New Roman"/>
    </w:rPr>
  </w:style>
  <w:style w:type="paragraph" w:styleId="1271" w:customStyle="1">
    <w:name w:val="项目符1"/>
    <w:basedOn w:val="994"/>
    <w:next w:val="1272"/>
    <w:uiPriority w:val="0"/>
    <w:qFormat/>
    <w:pPr>
      <w:ind w:left="1365" w:right="100" w:firstLine="2728"/>
      <w:spacing w:before="78" w:after="78" w:line="300" w:lineRule="auto"/>
    </w:pPr>
    <w:rPr>
      <w:rFonts w:ascii="Times New Roman" w:hAnsi="Times New Roman" w:cs="Times New Roman"/>
    </w:rPr>
  </w:style>
  <w:style w:type="paragraph" w:styleId="1272" w:customStyle="1">
    <w:name w:val="引文目录标题1"/>
    <w:basedOn w:val="994"/>
    <w:next w:val="993"/>
    <w:uiPriority w:val="0"/>
    <w:qFormat/>
    <w:pPr>
      <w:ind w:left="0" w:firstLine="4608"/>
      <w:jc w:val="center"/>
      <w:spacing w:before="120" w:after="0" w:line="360" w:lineRule="auto"/>
    </w:pPr>
    <w:rPr>
      <w:rFonts w:ascii="Times New Roman" w:hAnsi="Times New Roman" w:cs="Times New Roman"/>
    </w:rPr>
  </w:style>
  <w:style w:type="paragraph" w:styleId="1273" w:customStyle="1">
    <w:name w:val="样式 标题 3 + (西文) 黑体 (中文) 黑体 (符号) 宋体 小四 段前: 5 磅 段后: 5 磅 行距: 1..."/>
    <w:basedOn w:val="997"/>
    <w:next w:val="1274"/>
    <w:uiPriority w:val="0"/>
    <w:qFormat/>
    <w:pPr>
      <w:ind w:left="1429" w:firstLine="18"/>
      <w:spacing w:before="100" w:after="100" w:line="360" w:lineRule="auto"/>
      <w:outlineLvl w:val="2"/>
    </w:pPr>
  </w:style>
  <w:style w:type="paragraph" w:styleId="1274" w:customStyle="1">
    <w:name w:val="xl22"/>
    <w:basedOn w:val="994"/>
    <w:next w:val="1275"/>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275" w:customStyle="1">
    <w:name w:val="自定义一"/>
    <w:basedOn w:val="994"/>
    <w:next w:val="993"/>
    <w:uiPriority w:val="0"/>
    <w:qFormat/>
    <w:pPr>
      <w:ind w:left="0"/>
      <w:spacing w:before="0" w:after="0" w:line="360" w:lineRule="auto"/>
    </w:pPr>
    <w:rPr>
      <w:rFonts w:ascii="Times New Roman" w:hAnsi="Times New Roman" w:cs="Times New Roman"/>
    </w:rPr>
  </w:style>
  <w:style w:type="paragraph" w:styleId="1276" w:customStyle="1">
    <w:name w:val="xl78"/>
    <w:basedOn w:val="994"/>
    <w:next w:val="1277"/>
    <w:uiPriority w:val="0"/>
    <w:qFormat/>
    <w:pPr>
      <w:ind w:left="0" w:firstLine="3584"/>
      <w:jc w:val="center"/>
      <w:spacing w:before="280" w:after="280" w:line="240" w:lineRule="auto"/>
    </w:pPr>
    <w:rPr>
      <w:rFonts w:ascii="Times New Roman" w:hAnsi="Times New Roman" w:cs="Times New Roman"/>
    </w:rPr>
  </w:style>
  <w:style w:type="paragraph" w:styleId="1277" w:customStyle="1">
    <w:name w:val="段落正文"/>
    <w:next w:val="1219"/>
    <w:uiPriority w:val="0"/>
    <w:qFormat/>
    <w:pPr>
      <w:ind w:firstLine="4608"/>
      <w:jc w:val="center"/>
      <w:spacing w:line="360" w:lineRule="auto"/>
    </w:pPr>
    <w:rPr>
      <w:rFonts w:ascii="Calibri" w:hAnsi="Calibri" w:eastAsia="宋体" w:cs="宋体"/>
      <w:lang w:val="en-US" w:eastAsia="zh-CN" w:bidi="ar-SA"/>
    </w:rPr>
  </w:style>
  <w:style w:type="paragraph" w:styleId="1278" w:customStyle="1">
    <w:name w:val="_Style 169"/>
    <w:next w:val="993"/>
    <w:uiPriority w:val="0"/>
    <w:qFormat/>
    <w:pPr>
      <w:ind w:left="2560"/>
    </w:pPr>
    <w:rPr>
      <w:rFonts w:ascii="Calibri" w:hAnsi="Calibri" w:eastAsia="宋体" w:cs="宋体"/>
      <w:lang w:val="en-US" w:eastAsia="zh-CN" w:bidi="ar-SA"/>
    </w:rPr>
  </w:style>
  <w:style w:type="paragraph" w:styleId="1279" w:customStyle="1">
    <w:name w:val="样式 小四 行距: 1.5 倍行距 首行缩进:  2 字符"/>
    <w:basedOn w:val="994"/>
    <w:next w:val="1224"/>
    <w:uiPriority w:val="0"/>
    <w:qFormat/>
    <w:pPr>
      <w:ind w:left="480" w:firstLine="2784"/>
      <w:spacing w:before="0" w:after="0" w:line="360" w:lineRule="auto"/>
    </w:pPr>
    <w:rPr>
      <w:rFonts w:ascii="Times New Roman" w:hAnsi="Times New Roman" w:cs="Times New Roman"/>
    </w:rPr>
  </w:style>
  <w:style w:type="paragraph" w:styleId="1280" w:customStyle="1">
    <w:name w:val="小节标题"/>
    <w:basedOn w:val="994"/>
    <w:next w:val="993"/>
    <w:uiPriority w:val="0"/>
    <w:qFormat/>
    <w:pPr>
      <w:ind w:left="0" w:firstLine="7168"/>
      <w:spacing w:before="175" w:after="102" w:line="351" w:lineRule="atLeast"/>
    </w:pPr>
    <w:rPr>
      <w:rFonts w:ascii="Times New Roman" w:hAnsi="Times New Roman" w:cs="Times New Roman"/>
    </w:rPr>
  </w:style>
  <w:style w:type="paragraph" w:styleId="1281" w:customStyle="1">
    <w:name w:val="TOC 标题2"/>
    <w:basedOn w:val="994"/>
    <w:next w:val="993"/>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82" w:customStyle="1">
    <w:name w:val="表格文字（两侧对齐）"/>
    <w:basedOn w:val="994"/>
    <w:next w:val="1283"/>
    <w:uiPriority w:val="0"/>
    <w:qFormat/>
    <w:pPr>
      <w:ind w:left="0" w:firstLine="3584"/>
      <w:spacing w:before="0" w:after="0" w:line="240" w:lineRule="auto"/>
    </w:pPr>
    <w:rPr>
      <w:rFonts w:ascii="Times New Roman" w:hAnsi="Times New Roman" w:cs="Times New Roman"/>
    </w:rPr>
  </w:style>
  <w:style w:type="paragraph" w:styleId="1283" w:customStyle="1">
    <w:name w:val="Char"/>
    <w:basedOn w:val="994"/>
    <w:next w:val="1262"/>
    <w:uiPriority w:val="0"/>
    <w:qFormat/>
    <w:pPr>
      <w:ind w:left="900" w:firstLine="2608"/>
      <w:spacing w:before="0" w:after="0" w:line="240" w:lineRule="auto"/>
    </w:pPr>
    <w:rPr>
      <w:rFonts w:ascii="Times New Roman" w:hAnsi="Times New Roman" w:cs="Times New Roman"/>
    </w:rPr>
  </w:style>
  <w:style w:type="paragraph" w:styleId="1284" w:customStyle="1">
    <w:name w:val="xl86"/>
    <w:basedOn w:val="994"/>
    <w:next w:val="1285"/>
    <w:uiPriority w:val="0"/>
    <w:qFormat/>
    <w:pPr>
      <w:ind w:left="0" w:firstLine="5120"/>
      <w:spacing w:before="280" w:after="280" w:line="240" w:lineRule="auto"/>
    </w:pPr>
    <w:rPr>
      <w:rFonts w:ascii="Times New Roman" w:hAnsi="Times New Roman" w:cs="Times New Roman"/>
    </w:rPr>
  </w:style>
  <w:style w:type="paragraph" w:styleId="1285" w:customStyle="1">
    <w:name w:val="索引 71"/>
    <w:basedOn w:val="994"/>
    <w:next w:val="993"/>
    <w:uiPriority w:val="0"/>
    <w:qFormat/>
    <w:pPr>
      <w:ind w:left="1200" w:firstLine="2560"/>
      <w:jc w:val="center"/>
      <w:spacing w:before="0" w:after="0" w:line="360" w:lineRule="auto"/>
    </w:pPr>
    <w:rPr>
      <w:rFonts w:ascii="Times New Roman" w:hAnsi="Times New Roman" w:cs="Times New Roman"/>
    </w:rPr>
  </w:style>
  <w:style w:type="paragraph" w:styleId="1286" w:customStyle="1">
    <w:name w:val="111"/>
    <w:next w:val="1287"/>
    <w:uiPriority w:val="0"/>
    <w:qFormat/>
    <w:pPr>
      <w:ind w:left="480" w:firstLine="4320"/>
      <w:spacing w:line="440" w:lineRule="exact"/>
    </w:pPr>
    <w:rPr>
      <w:rFonts w:ascii="Calibri" w:hAnsi="Calibri" w:eastAsia="宋体" w:cs="宋体"/>
      <w:lang w:val="en-US" w:eastAsia="zh-CN" w:bidi="ar-SA"/>
    </w:rPr>
  </w:style>
  <w:style w:type="paragraph" w:styleId="1287" w:customStyle="1">
    <w:name w:val="4"/>
    <w:basedOn w:val="994"/>
    <w:next w:val="1005"/>
    <w:uiPriority w:val="0"/>
    <w:qFormat/>
    <w:pPr>
      <w:ind w:left="409" w:firstLine="3737"/>
      <w:spacing w:before="0" w:after="0" w:line="420" w:lineRule="exact"/>
    </w:pPr>
    <w:rPr>
      <w:rFonts w:ascii="Times New Roman" w:hAnsi="Times New Roman" w:cs="Times New Roman"/>
    </w:rPr>
  </w:style>
  <w:style w:type="paragraph" w:styleId="1288" w:customStyle="1">
    <w:name w:val="Char Char Char Char Char Char1 Char Char Char1 Char Char Char Char Char Char"/>
    <w:basedOn w:val="994"/>
    <w:next w:val="1273"/>
    <w:uiPriority w:val="0"/>
    <w:qFormat/>
    <w:pPr>
      <w:ind w:left="0" w:firstLine="2560"/>
      <w:spacing w:before="0" w:after="0" w:line="240" w:lineRule="auto"/>
    </w:pPr>
    <w:rPr>
      <w:rFonts w:ascii="Times New Roman" w:hAnsi="Times New Roman" w:cs="Times New Roman"/>
    </w:rPr>
  </w:style>
  <w:style w:type="paragraph" w:styleId="1289" w:customStyle="1">
    <w:name w:val="Char Char Char Char Char Char1 Char Char Char Char Char Char1 Char Char Char"/>
    <w:basedOn w:val="994"/>
    <w:next w:val="1290"/>
    <w:uiPriority w:val="0"/>
    <w:qFormat/>
    <w:pPr>
      <w:ind w:left="0" w:firstLine="2560"/>
      <w:spacing w:before="0" w:after="0" w:line="240" w:lineRule="auto"/>
    </w:pPr>
    <w:rPr>
      <w:rFonts w:ascii="Times New Roman" w:hAnsi="Times New Roman" w:cs="Times New Roman"/>
    </w:rPr>
  </w:style>
  <w:style w:type="paragraph" w:styleId="1290" w:customStyle="1">
    <w:name w:val="正文符号1"/>
    <w:basedOn w:val="994"/>
    <w:next w:val="1291"/>
    <w:uiPriority w:val="0"/>
    <w:qFormat/>
    <w:pPr>
      <w:ind w:left="987" w:firstLine="5724"/>
      <w:spacing w:before="0" w:after="0" w:line="240" w:lineRule="auto"/>
    </w:pPr>
    <w:rPr>
      <w:rFonts w:ascii="Times New Roman" w:hAnsi="Times New Roman" w:cs="Times New Roman"/>
    </w:rPr>
  </w:style>
  <w:style w:type="paragraph" w:styleId="1291" w:customStyle="1">
    <w:name w:val="索引 31"/>
    <w:basedOn w:val="994"/>
    <w:next w:val="993"/>
    <w:uiPriority w:val="0"/>
    <w:qFormat/>
    <w:pPr>
      <w:ind w:left="400" w:firstLine="2560"/>
      <w:jc w:val="center"/>
      <w:spacing w:before="0" w:after="0" w:line="360" w:lineRule="auto"/>
    </w:pPr>
    <w:rPr>
      <w:rFonts w:ascii="Times New Roman" w:hAnsi="Times New Roman" w:cs="Times New Roman"/>
    </w:rPr>
  </w:style>
  <w:style w:type="paragraph" w:styleId="1292" w:customStyle="1">
    <w:name w:val="目录4"/>
    <w:basedOn w:val="994"/>
    <w:next w:val="993"/>
    <w:uiPriority w:val="0"/>
    <w:qFormat/>
    <w:pPr>
      <w:ind w:left="629" w:firstLine="5237"/>
      <w:spacing w:before="0" w:after="0" w:line="317" w:lineRule="atLeast"/>
    </w:pPr>
    <w:rPr>
      <w:rFonts w:ascii="Times New Roman" w:hAnsi="Times New Roman" w:cs="Times New Roman"/>
    </w:rPr>
  </w:style>
  <w:style w:type="paragraph" w:styleId="1293" w:customStyle="1">
    <w:name w:val="p15"/>
    <w:basedOn w:val="993"/>
    <w:uiPriority w:val="0"/>
    <w:qFormat/>
    <w:pPr>
      <w:ind w:left="0"/>
    </w:pPr>
    <w:rPr>
      <w:rFonts w:ascii="宋体" w:hAnsi="宋体"/>
      <w:sz w:val="28"/>
      <w:szCs w:val="28"/>
    </w:rPr>
  </w:style>
  <w:style w:type="paragraph" w:styleId="1294" w:customStyle="1">
    <w:name w:val="四号 居中"/>
    <w:basedOn w:val="994"/>
    <w:next w:val="1288"/>
    <w:uiPriority w:val="0"/>
    <w:qFormat/>
    <w:pPr>
      <w:ind w:left="0" w:firstLine="6144"/>
      <w:jc w:val="center"/>
      <w:spacing w:before="0" w:after="0" w:line="360" w:lineRule="auto"/>
    </w:pPr>
    <w:rPr>
      <w:rFonts w:ascii="Times New Roman" w:hAnsi="Times New Roman" w:cs="Times New Roman"/>
    </w:rPr>
  </w:style>
  <w:style w:type="paragraph" w:styleId="1295" w:customStyle="1">
    <w:name w:val="p0"/>
    <w:next w:val="993"/>
    <w:uiPriority w:val="0"/>
    <w:qFormat/>
    <w:pPr>
      <w:ind w:firstLine="2048"/>
      <w:spacing w:line="360" w:lineRule="auto"/>
    </w:pPr>
    <w:rPr>
      <w:rFonts w:ascii="Calibri" w:hAnsi="Calibri" w:eastAsia="宋体" w:cs="宋体"/>
      <w:lang w:val="en-US" w:eastAsia="zh-CN" w:bidi="ar-SA"/>
    </w:rPr>
  </w:style>
  <w:style w:type="paragraph" w:styleId="1296" w:customStyle="1">
    <w:name w:val="列表编号 21"/>
    <w:basedOn w:val="994"/>
    <w:next w:val="1297"/>
    <w:uiPriority w:val="0"/>
    <w:qFormat/>
    <w:pPr>
      <w:ind w:left="0" w:firstLine="2560"/>
      <w:spacing w:before="0" w:after="0" w:line="360" w:lineRule="auto"/>
    </w:pPr>
    <w:rPr>
      <w:rFonts w:ascii="Times New Roman" w:hAnsi="Times New Roman" w:cs="Times New Roman"/>
    </w:rPr>
  </w:style>
  <w:style w:type="paragraph" w:styleId="1297" w:customStyle="1">
    <w:name w:val="正文文本 21"/>
    <w:basedOn w:val="994"/>
    <w:next w:val="1178"/>
    <w:uiPriority w:val="0"/>
    <w:qFormat/>
    <w:pPr>
      <w:ind w:left="0" w:firstLine="2560"/>
      <w:jc w:val="center"/>
      <w:spacing w:before="0" w:after="120" w:line="480" w:lineRule="auto"/>
    </w:pPr>
    <w:rPr>
      <w:rFonts w:ascii="Times New Roman" w:hAnsi="Times New Roman" w:cs="Times New Roman"/>
    </w:rPr>
  </w:style>
  <w:style w:type="paragraph" w:styleId="1298" w:customStyle="1">
    <w:name w:val="a2"/>
    <w:basedOn w:val="994"/>
    <w:next w:val="1031"/>
    <w:uiPriority w:val="0"/>
    <w:qFormat/>
    <w:pPr>
      <w:ind w:left="0" w:firstLine="1024"/>
      <w:spacing w:before="280" w:after="280" w:line="240" w:lineRule="auto"/>
    </w:pPr>
    <w:rPr>
      <w:rFonts w:ascii="Times New Roman" w:hAnsi="Times New Roman" w:cs="Times New Roman"/>
    </w:rPr>
  </w:style>
  <w:style w:type="paragraph" w:styleId="1299" w:customStyle="1">
    <w:name w:val="font8"/>
    <w:basedOn w:val="994"/>
    <w:next w:val="1223"/>
    <w:uiPriority w:val="0"/>
    <w:qFormat/>
    <w:pPr>
      <w:ind w:left="0" w:firstLine="2048"/>
      <w:spacing w:before="280" w:after="280" w:line="240" w:lineRule="auto"/>
    </w:pPr>
    <w:rPr>
      <w:rFonts w:ascii="Times New Roman" w:hAnsi="Times New Roman" w:cs="Times New Roman"/>
    </w:rPr>
  </w:style>
  <w:style w:type="paragraph" w:styleId="1300" w:customStyle="1">
    <w:name w:val="Char Char Char Char Char Char1 Char Char Char Char Char Char1 Char Char Char Char Char Char Char"/>
    <w:basedOn w:val="994"/>
    <w:next w:val="1301"/>
    <w:uiPriority w:val="0"/>
    <w:qFormat/>
    <w:pPr>
      <w:ind w:left="0" w:firstLine="2560"/>
      <w:spacing w:before="0" w:after="0" w:line="240" w:lineRule="auto"/>
    </w:pPr>
    <w:rPr>
      <w:rFonts w:ascii="Times New Roman" w:hAnsi="Times New Roman" w:cs="Times New Roman"/>
    </w:rPr>
  </w:style>
  <w:style w:type="paragraph" w:styleId="1301" w:customStyle="1">
    <w:name w:val="xl87"/>
    <w:basedOn w:val="994"/>
    <w:next w:val="1257"/>
    <w:uiPriority w:val="0"/>
    <w:qFormat/>
    <w:pPr>
      <w:ind w:left="0" w:firstLine="5120"/>
      <w:spacing w:before="280" w:after="280" w:line="240" w:lineRule="auto"/>
    </w:pPr>
    <w:rPr>
      <w:rFonts w:ascii="Times New Roman" w:hAnsi="Times New Roman" w:cs="Times New Roman"/>
    </w:rPr>
  </w:style>
  <w:style w:type="paragraph" w:styleId="1302" w:customStyle="1">
    <w:name w:val="444"/>
    <w:basedOn w:val="994"/>
    <w:next w:val="1014"/>
    <w:uiPriority w:val="0"/>
    <w:qFormat/>
    <w:pPr>
      <w:ind w:left="0" w:firstLine="4608"/>
      <w:jc w:val="center"/>
      <w:spacing w:before="0" w:after="0" w:line="312" w:lineRule="atLeast"/>
    </w:pPr>
    <w:rPr>
      <w:rFonts w:ascii="Times New Roman" w:hAnsi="Times New Roman" w:cs="Times New Roman"/>
    </w:rPr>
  </w:style>
  <w:style w:type="paragraph" w:styleId="1303" w:customStyle="1">
    <w:name w:val="表格文字图表文字"/>
    <w:basedOn w:val="994"/>
    <w:next w:val="1304"/>
    <w:uiPriority w:val="0"/>
    <w:qFormat/>
    <w:pPr>
      <w:ind w:left="0" w:firstLine="3584"/>
      <w:jc w:val="center"/>
      <w:spacing w:before="0" w:after="0" w:line="240" w:lineRule="auto"/>
    </w:pPr>
    <w:rPr>
      <w:rFonts w:ascii="Times New Roman" w:hAnsi="Times New Roman" w:cs="Times New Roman"/>
    </w:rPr>
  </w:style>
  <w:style w:type="paragraph" w:styleId="1304" w:customStyle="1">
    <w:name w:val="样式 目录 3 + 左侧:  2 字符1"/>
    <w:next w:val="1305"/>
    <w:uiPriority w:val="0"/>
    <w:qFormat/>
    <w:pPr>
      <w:ind w:left="960" w:firstLine="5120"/>
      <w:spacing w:line="360" w:lineRule="auto"/>
      <w:widowControl w:val="off"/>
    </w:pPr>
    <w:rPr>
      <w:rFonts w:ascii="Calibri" w:hAnsi="Calibri" w:eastAsia="宋体" w:cs="宋体"/>
      <w:lang w:val="en-US" w:eastAsia="zh-CN" w:bidi="ar-SA"/>
    </w:rPr>
  </w:style>
  <w:style w:type="paragraph" w:styleId="1305" w:customStyle="1">
    <w:name w:val="文档正文"/>
    <w:basedOn w:val="994"/>
    <w:next w:val="1306"/>
    <w:uiPriority w:val="0"/>
    <w:qFormat/>
    <w:pPr>
      <w:ind w:left="567" w:firstLine="3639"/>
      <w:spacing w:before="0" w:after="0" w:line="480" w:lineRule="atLeast"/>
    </w:pPr>
    <w:rPr>
      <w:rFonts w:ascii="Times New Roman" w:hAnsi="Times New Roman" w:cs="Times New Roman"/>
    </w:rPr>
  </w:style>
  <w:style w:type="paragraph" w:styleId="1306" w:customStyle="1">
    <w:name w:val="列表框2"/>
    <w:next w:val="1307"/>
    <w:uiPriority w:val="0"/>
    <w:qFormat/>
    <w:pPr>
      <w:ind w:firstLine="2048"/>
      <w:spacing w:line="460" w:lineRule="exact"/>
    </w:pPr>
    <w:rPr>
      <w:rFonts w:ascii="Calibri" w:hAnsi="Calibri" w:eastAsia="宋体" w:cs="宋体"/>
      <w:lang w:val="en-US" w:eastAsia="zh-CN" w:bidi="ar-SA"/>
    </w:rPr>
  </w:style>
  <w:style w:type="paragraph" w:styleId="1307" w:customStyle="1">
    <w:name w:val="font10"/>
    <w:basedOn w:val="994"/>
    <w:next w:val="1025"/>
    <w:uiPriority w:val="0"/>
    <w:qFormat/>
    <w:pPr>
      <w:ind w:left="0" w:firstLine="3584"/>
      <w:spacing w:before="280" w:after="280" w:line="240" w:lineRule="auto"/>
    </w:pPr>
    <w:rPr>
      <w:rFonts w:ascii="Times New Roman" w:hAnsi="Times New Roman" w:cs="Times New Roman"/>
    </w:rPr>
  </w:style>
  <w:style w:type="paragraph" w:styleId="1308" w:customStyle="1">
    <w:name w:val="纯文本1"/>
    <w:basedOn w:val="994"/>
    <w:next w:val="1036"/>
    <w:uiPriority w:val="0"/>
    <w:qFormat/>
    <w:pPr>
      <w:ind w:left="0" w:firstLine="3584"/>
      <w:spacing w:before="0" w:after="0" w:line="240" w:lineRule="auto"/>
    </w:pPr>
    <w:rPr>
      <w:rFonts w:ascii="Times New Roman" w:hAnsi="Times New Roman" w:cs="Times New Roman"/>
    </w:rPr>
  </w:style>
  <w:style w:type="paragraph" w:styleId="1309" w:customStyle="1">
    <w:name w:val="索引 91"/>
    <w:basedOn w:val="994"/>
    <w:next w:val="993"/>
    <w:uiPriority w:val="0"/>
    <w:qFormat/>
    <w:pPr>
      <w:ind w:left="1600" w:firstLine="2560"/>
      <w:jc w:val="center"/>
      <w:spacing w:before="0" w:after="0" w:line="360" w:lineRule="auto"/>
    </w:pPr>
    <w:rPr>
      <w:rFonts w:ascii="Times New Roman" w:hAnsi="Times New Roman" w:cs="Times New Roman"/>
    </w:rPr>
  </w:style>
  <w:style w:type="paragraph" w:styleId="1310" w:customStyle="1">
    <w:name w:val="xl79"/>
    <w:basedOn w:val="994"/>
    <w:next w:val="1286"/>
    <w:uiPriority w:val="0"/>
    <w:qFormat/>
    <w:pPr>
      <w:ind w:left="0" w:firstLine="3584"/>
      <w:jc w:val="center"/>
      <w:spacing w:before="280" w:after="280" w:line="240" w:lineRule="auto"/>
    </w:pPr>
    <w:rPr>
      <w:rFonts w:ascii="Times New Roman" w:hAnsi="Times New Roman" w:cs="Times New Roman"/>
    </w:rPr>
  </w:style>
  <w:style w:type="paragraph" w:styleId="1311" w:customStyle="1">
    <w:name w:val="表格文字（4号居中）"/>
    <w:next w:val="1312"/>
    <w:uiPriority w:val="0"/>
    <w:qFormat/>
    <w:pPr>
      <w:ind w:firstLine="2560"/>
      <w:jc w:val="center"/>
    </w:pPr>
    <w:rPr>
      <w:rFonts w:ascii="Calibri" w:hAnsi="Calibri" w:eastAsia="宋体" w:cs="宋体"/>
      <w:lang w:val="en-US" w:eastAsia="zh-CN" w:bidi="ar-SA"/>
    </w:rPr>
  </w:style>
  <w:style w:type="paragraph" w:styleId="1312" w:customStyle="1">
    <w:name w:val="!方块加粗"/>
    <w:basedOn w:val="994"/>
    <w:next w:val="1279"/>
    <w:uiPriority w:val="0"/>
    <w:qFormat/>
    <w:pPr>
      <w:ind w:left="600" w:firstLine="5212"/>
      <w:spacing w:before="0" w:after="0" w:line="360" w:lineRule="auto"/>
    </w:pPr>
    <w:rPr>
      <w:rFonts w:ascii="Times New Roman" w:hAnsi="Times New Roman" w:cs="Times New Roman"/>
    </w:rPr>
  </w:style>
  <w:style w:type="paragraph" w:styleId="1313" w:customStyle="1">
    <w:name w:val="xl75"/>
    <w:basedOn w:val="994"/>
    <w:next w:val="1038"/>
    <w:uiPriority w:val="0"/>
    <w:qFormat/>
    <w:pPr>
      <w:ind w:left="0" w:firstLine="3584"/>
      <w:jc w:val="center"/>
      <w:spacing w:before="280" w:after="280" w:line="240" w:lineRule="auto"/>
    </w:pPr>
    <w:rPr>
      <w:rFonts w:ascii="Times New Roman" w:hAnsi="Times New Roman" w:cs="Times New Roman"/>
    </w:rPr>
  </w:style>
  <w:style w:type="paragraph" w:styleId="1314" w:customStyle="1">
    <w:name w:val="xl81"/>
    <w:basedOn w:val="994"/>
    <w:next w:val="1315"/>
    <w:uiPriority w:val="0"/>
    <w:qFormat/>
    <w:pPr>
      <w:ind w:left="0" w:firstLine="5120"/>
      <w:spacing w:before="280" w:after="280" w:line="240" w:lineRule="auto"/>
    </w:pPr>
    <w:rPr>
      <w:rFonts w:ascii="Times New Roman" w:hAnsi="Times New Roman" w:cs="Times New Roman"/>
    </w:rPr>
  </w:style>
  <w:style w:type="paragraph" w:styleId="1315" w:customStyle="1">
    <w:name w:val="xl25"/>
    <w:basedOn w:val="994"/>
    <w:next w:val="1316"/>
    <w:uiPriority w:val="0"/>
    <w:qFormat/>
    <w:pPr>
      <w:ind w:left="0" w:firstLine="14"/>
      <w:spacing w:before="280" w:after="280" w:line="240" w:lineRule="auto"/>
      <w:shd w:val="clear" w:color="000000" w:fill="ffffff"/>
    </w:pPr>
    <w:rPr>
      <w:rFonts w:ascii="Times New Roman" w:hAnsi="Times New Roman" w:cs="Times New Roman"/>
    </w:rPr>
  </w:style>
  <w:style w:type="paragraph" w:styleId="1316" w:customStyle="1">
    <w:name w:val="普通(网站)1"/>
    <w:basedOn w:val="994"/>
    <w:next w:val="1317"/>
    <w:uiPriority w:val="0"/>
    <w:qFormat/>
    <w:pPr>
      <w:ind w:left="200" w:firstLine="1224"/>
      <w:spacing w:before="280" w:after="280" w:line="240" w:lineRule="auto"/>
    </w:pPr>
    <w:rPr>
      <w:rFonts w:ascii="Times New Roman" w:hAnsi="Times New Roman" w:cs="Times New Roman"/>
    </w:rPr>
  </w:style>
  <w:style w:type="paragraph" w:styleId="1317" w:customStyle="1">
    <w:name w:val="xl27"/>
    <w:basedOn w:val="994"/>
    <w:next w:val="1303"/>
    <w:uiPriority w:val="0"/>
    <w:qFormat/>
    <w:pPr>
      <w:ind w:left="0" w:firstLine="20"/>
      <w:spacing w:before="280" w:after="280" w:line="240" w:lineRule="auto"/>
      <w:shd w:val="clear" w:color="000000" w:fill="ffffff"/>
    </w:pPr>
    <w:rPr>
      <w:rFonts w:ascii="Times New Roman" w:hAnsi="Times New Roman" w:cs="Times New Roman"/>
    </w:rPr>
  </w:style>
  <w:style w:type="paragraph" w:styleId="1318" w:customStyle="1">
    <w:name w:val="H 4"/>
    <w:basedOn w:val="998"/>
    <w:next w:val="1319"/>
    <w:uiPriority w:val="0"/>
    <w:qFormat/>
    <w:pPr>
      <w:ind w:left="426" w:firstLine="24"/>
      <w:spacing w:before="0" w:after="0" w:line="360" w:lineRule="auto"/>
      <w:outlineLvl w:val="3"/>
    </w:pPr>
  </w:style>
  <w:style w:type="paragraph" w:styleId="1319" w:customStyle="1">
    <w:name w:val="xl82"/>
    <w:basedOn w:val="994"/>
    <w:next w:val="1314"/>
    <w:uiPriority w:val="0"/>
    <w:qFormat/>
    <w:pPr>
      <w:ind w:left="0" w:firstLine="5120"/>
      <w:spacing w:before="280" w:after="280" w:line="240" w:lineRule="auto"/>
    </w:pPr>
    <w:rPr>
      <w:rFonts w:ascii="Times New Roman" w:hAnsi="Times New Roman" w:cs="Times New Roman"/>
    </w:rPr>
  </w:style>
  <w:style w:type="paragraph" w:styleId="1320" w:customStyle="1">
    <w:name w:val="Char Char Char Char Char Char Char Char"/>
    <w:next w:val="1321"/>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321" w:customStyle="1">
    <w:name w:val="Char Char Char Char Char Char1 Char Char Char1 Char Char Char Char Char Char Char Char Char Char Char Char Char Char Char"/>
    <w:basedOn w:val="994"/>
    <w:next w:val="1322"/>
    <w:uiPriority w:val="0"/>
    <w:qFormat/>
    <w:pPr>
      <w:ind w:left="0" w:firstLine="2560"/>
      <w:spacing w:before="0" w:after="0" w:line="240" w:lineRule="auto"/>
    </w:pPr>
    <w:rPr>
      <w:rFonts w:ascii="Times New Roman" w:hAnsi="Times New Roman" w:cs="Times New Roman"/>
    </w:rPr>
  </w:style>
  <w:style w:type="paragraph" w:styleId="1322" w:customStyle="1">
    <w:name w:val="样式1"/>
    <w:basedOn w:val="994"/>
    <w:next w:val="1323"/>
    <w:uiPriority w:val="0"/>
    <w:qFormat/>
    <w:pPr>
      <w:ind w:left="0" w:firstLine="1536"/>
      <w:spacing w:before="120" w:after="120" w:line="300" w:lineRule="auto"/>
    </w:pPr>
    <w:rPr>
      <w:rFonts w:ascii="Times New Roman" w:hAnsi="Times New Roman" w:cs="Times New Roman"/>
    </w:rPr>
  </w:style>
  <w:style w:type="paragraph" w:styleId="1323" w:customStyle="1">
    <w:name w:val="索引 41"/>
    <w:basedOn w:val="994"/>
    <w:next w:val="993"/>
    <w:uiPriority w:val="0"/>
    <w:qFormat/>
    <w:pPr>
      <w:ind w:left="600" w:firstLine="2560"/>
      <w:jc w:val="center"/>
      <w:spacing w:before="0" w:after="0" w:line="360" w:lineRule="auto"/>
    </w:pPr>
    <w:rPr>
      <w:rFonts w:ascii="Times New Roman" w:hAnsi="Times New Roman" w:cs="Times New Roman"/>
    </w:rPr>
  </w:style>
  <w:style w:type="paragraph" w:styleId="1324" w:customStyle="1">
    <w:name w:val="自定义二"/>
    <w:basedOn w:val="994"/>
    <w:next w:val="993"/>
    <w:uiPriority w:val="0"/>
    <w:qFormat/>
    <w:pPr>
      <w:ind w:left="0" w:firstLine="14"/>
      <w:spacing w:before="0" w:after="0" w:line="360" w:lineRule="auto"/>
      <w:outlineLvl w:val="1"/>
    </w:pPr>
    <w:rPr>
      <w:rFonts w:ascii="Times New Roman" w:hAnsi="Times New Roman" w:cs="Times New Roman"/>
    </w:rPr>
  </w:style>
  <w:style w:type="paragraph" w:styleId="1325" w:customStyle="1">
    <w:name w:val="Bullet"/>
    <w:next w:val="1263"/>
    <w:uiPriority w:val="0"/>
    <w:qFormat/>
    <w:pPr>
      <w:ind w:left="567" w:right="2835" w:firstLine="3584"/>
      <w:spacing w:after="60"/>
    </w:pPr>
    <w:rPr>
      <w:rFonts w:ascii="Calibri" w:hAnsi="Calibri" w:eastAsia="宋体" w:cs="宋体"/>
      <w:lang w:val="en-US" w:eastAsia="zh-CN" w:bidi="ar-SA"/>
    </w:rPr>
  </w:style>
  <w:style w:type="paragraph" w:styleId="1326" w:customStyle="1">
    <w:name w:val="Char Char Char Char Char Char1"/>
    <w:basedOn w:val="994"/>
    <w:next w:val="1327"/>
    <w:uiPriority w:val="0"/>
    <w:qFormat/>
    <w:pPr>
      <w:ind w:left="0" w:firstLine="2560"/>
      <w:spacing w:before="0" w:after="0" w:line="240" w:lineRule="auto"/>
    </w:pPr>
    <w:rPr>
      <w:rFonts w:ascii="Times New Roman" w:hAnsi="Times New Roman" w:cs="Times New Roman"/>
    </w:rPr>
  </w:style>
  <w:style w:type="paragraph" w:styleId="1327" w:customStyle="1">
    <w:name w:val="正文缩进2"/>
    <w:basedOn w:val="994"/>
    <w:next w:val="1328"/>
    <w:uiPriority w:val="0"/>
    <w:qFormat/>
    <w:pPr>
      <w:ind w:left="420" w:firstLine="1188"/>
      <w:spacing w:before="0" w:after="0" w:line="240" w:lineRule="auto"/>
    </w:pPr>
    <w:rPr>
      <w:rFonts w:ascii="Times New Roman" w:hAnsi="Times New Roman" w:cs="Times New Roman"/>
    </w:rPr>
  </w:style>
  <w:style w:type="paragraph" w:styleId="1328" w:customStyle="1">
    <w:name w:val="列出段落2"/>
    <w:basedOn w:val="994"/>
    <w:next w:val="1329"/>
    <w:uiPriority w:val="0"/>
    <w:qFormat/>
    <w:pPr>
      <w:ind w:left="420" w:firstLine="3748"/>
      <w:spacing w:before="0" w:after="0" w:line="240" w:lineRule="auto"/>
    </w:pPr>
    <w:rPr>
      <w:rFonts w:ascii="Times New Roman" w:hAnsi="Times New Roman" w:cs="Times New Roman"/>
    </w:rPr>
  </w:style>
  <w:style w:type="paragraph" w:styleId="1329" w:customStyle="1">
    <w:name w:val="正文文本缩进 31"/>
    <w:basedOn w:val="994"/>
    <w:next w:val="1330"/>
    <w:uiPriority w:val="0"/>
    <w:qFormat/>
    <w:pPr>
      <w:ind w:left="1200" w:firstLine="1248"/>
      <w:spacing w:before="120" w:after="0" w:line="22" w:lineRule="atLeast"/>
    </w:pPr>
    <w:rPr>
      <w:rFonts w:ascii="Times New Roman" w:hAnsi="Times New Roman" w:cs="Times New Roman"/>
    </w:rPr>
  </w:style>
  <w:style w:type="paragraph" w:styleId="1330" w:customStyle="1">
    <w:name w:val="样式 正文首行缩进 + 首行缩进:  2 字符5"/>
    <w:next w:val="1331"/>
    <w:uiPriority w:val="0"/>
    <w:qFormat/>
    <w:pPr>
      <w:ind w:left="200" w:firstLine="3784"/>
      <w:spacing w:line="300" w:lineRule="auto"/>
    </w:pPr>
    <w:rPr>
      <w:rFonts w:ascii="Calibri" w:hAnsi="Calibri" w:eastAsia="宋体" w:cs="宋体"/>
      <w:lang w:val="en-US" w:eastAsia="zh-CN" w:bidi="ar-SA"/>
    </w:rPr>
  </w:style>
  <w:style w:type="paragraph" w:styleId="1331" w:customStyle="1">
    <w:name w:val="Char2"/>
    <w:basedOn w:val="994"/>
    <w:next w:val="1325"/>
    <w:uiPriority w:val="0"/>
    <w:qFormat/>
    <w:pPr>
      <w:ind w:left="0" w:firstLine="3584"/>
      <w:spacing w:before="0" w:after="160" w:line="240" w:lineRule="exact"/>
    </w:pPr>
    <w:rPr>
      <w:rFonts w:ascii="Times New Roman" w:hAnsi="Times New Roman" w:cs="Times New Roman"/>
    </w:rPr>
  </w:style>
  <w:style w:type="paragraph" w:styleId="1332" w:customStyle="1">
    <w:name w:val="WPSOffice手动目录 1"/>
    <w:uiPriority w:val="0"/>
    <w:qFormat/>
    <w:rPr>
      <w:rFonts w:ascii="宋体" w:hAnsi="宋体" w:eastAsia="宋体" w:cs="宋体"/>
      <w:lang w:val="en-US" w:eastAsia="zh-CN" w:bidi="ar-SA"/>
    </w:rPr>
  </w:style>
  <w:style w:type="paragraph" w:styleId="1333" w:customStyle="1">
    <w:name w:val="纯文本4"/>
    <w:basedOn w:val="993"/>
    <w:uiPriority w:val="0"/>
    <w:qFormat/>
    <w:pPr>
      <w:ind w:left="0"/>
      <w:widowControl w:val="off"/>
    </w:pPr>
    <w:rPr>
      <w:rFonts w:ascii="宋体" w:hAnsi="Courier New" w:eastAsia="楷体_GB2312" w:cs="Times New Roman"/>
      <w:sz w:val="26"/>
    </w:rPr>
  </w:style>
  <w:style w:type="paragraph" w:styleId="1334" w:customStyle="1">
    <w:name w:val="Char Char Char Char Char Char Char Char Char Char Char Char Char Char Char Char"/>
    <w:basedOn w:val="994"/>
    <w:next w:val="1335"/>
    <w:uiPriority w:val="0"/>
    <w:qFormat/>
    <w:pPr>
      <w:ind w:left="682" w:firstLine="1224"/>
      <w:spacing w:before="0" w:after="0" w:line="360" w:lineRule="auto"/>
    </w:pPr>
    <w:rPr>
      <w:rFonts w:ascii="Times New Roman" w:hAnsi="Times New Roman" w:cs="Times New Roman"/>
    </w:rPr>
  </w:style>
  <w:style w:type="paragraph" w:styleId="1335" w:customStyle="1">
    <w:name w:val="列表编号 51"/>
    <w:basedOn w:val="994"/>
    <w:next w:val="1336"/>
    <w:uiPriority w:val="0"/>
    <w:qFormat/>
    <w:pPr>
      <w:ind w:left="900" w:firstLine="2652"/>
      <w:spacing w:before="0" w:after="0" w:line="360" w:lineRule="auto"/>
    </w:pPr>
    <w:rPr>
      <w:rFonts w:ascii="Times New Roman" w:hAnsi="Times New Roman" w:cs="Times New Roman"/>
    </w:rPr>
  </w:style>
  <w:style w:type="paragraph" w:styleId="1336" w:customStyle="1">
    <w:name w:val="样式 标题 1 + 黑体 (符号) 宋体 三号 段前: 7.8 磅 段后: 7.8 磅 行距: 1.5 倍行距"/>
    <w:basedOn w:val="995"/>
    <w:next w:val="1337"/>
    <w:uiPriority w:val="0"/>
    <w:qFormat/>
    <w:pPr>
      <w:ind w:left="432" w:firstLine="18"/>
      <w:spacing w:before="40" w:after="40" w:line="360" w:lineRule="auto"/>
      <w:outlineLvl w:val="0"/>
    </w:pPr>
  </w:style>
  <w:style w:type="paragraph" w:styleId="1337" w:customStyle="1">
    <w:name w:val="表格用"/>
    <w:basedOn w:val="994"/>
    <w:next w:val="1294"/>
    <w:uiPriority w:val="0"/>
    <w:qFormat/>
    <w:pPr>
      <w:ind w:left="0" w:firstLine="1024"/>
      <w:spacing w:before="0" w:after="0" w:line="360" w:lineRule="auto"/>
    </w:pPr>
    <w:rPr>
      <w:rFonts w:ascii="Times New Roman" w:hAnsi="Times New Roman" w:cs="Times New Roman"/>
    </w:rPr>
  </w:style>
  <w:style w:type="paragraph" w:styleId="1338" w:customStyle="1">
    <w:name w:val="xl71"/>
    <w:basedOn w:val="994"/>
    <w:next w:val="1339"/>
    <w:uiPriority w:val="0"/>
    <w:qFormat/>
    <w:pPr>
      <w:ind w:left="0" w:firstLine="1536"/>
      <w:spacing w:before="280" w:after="280" w:line="240" w:lineRule="auto"/>
    </w:pPr>
    <w:rPr>
      <w:rFonts w:ascii="Times New Roman" w:hAnsi="Times New Roman" w:cs="Times New Roman"/>
    </w:rPr>
  </w:style>
  <w:style w:type="paragraph" w:styleId="1339" w:customStyle="1">
    <w:name w:val="正文文本 31"/>
    <w:basedOn w:val="994"/>
    <w:next w:val="1340"/>
    <w:uiPriority w:val="0"/>
    <w:qFormat/>
    <w:pPr>
      <w:ind w:left="0" w:firstLine="3584"/>
      <w:jc w:val="center"/>
      <w:spacing w:before="0" w:after="120" w:line="360" w:lineRule="auto"/>
    </w:pPr>
    <w:rPr>
      <w:rFonts w:ascii="Times New Roman" w:hAnsi="Times New Roman" w:cs="Times New Roman"/>
    </w:rPr>
  </w:style>
  <w:style w:type="paragraph" w:styleId="1340" w:customStyle="1">
    <w:name w:val="列出段落111"/>
    <w:basedOn w:val="994"/>
    <w:next w:val="1276"/>
    <w:uiPriority w:val="0"/>
    <w:qFormat/>
    <w:pPr>
      <w:ind w:left="420" w:firstLine="3748"/>
      <w:spacing w:before="0" w:after="0" w:line="240" w:lineRule="auto"/>
    </w:pPr>
    <w:rPr>
      <w:rFonts w:ascii="Times New Roman" w:hAnsi="Times New Roman" w:cs="Times New Roman"/>
    </w:rPr>
  </w:style>
  <w:style w:type="paragraph" w:styleId="1341" w:customStyle="1">
    <w:name w:val="修订1"/>
    <w:uiPriority w:val="0"/>
    <w:qFormat/>
    <w:rPr>
      <w:rFonts w:ascii="Calibri" w:hAnsi="Calibri" w:eastAsia="宋体" w:cs="宋体"/>
      <w:lang w:val="en-US" w:eastAsia="zh-CN" w:bidi="ar-SA"/>
    </w:rPr>
  </w:style>
  <w:style w:type="paragraph" w:styleId="1342" w:customStyle="1">
    <w:name w:val="正文文本缩进 21"/>
    <w:basedOn w:val="994"/>
    <w:next w:val="1282"/>
    <w:uiPriority w:val="0"/>
    <w:qFormat/>
    <w:pPr>
      <w:ind w:left="480" w:firstLine="4832"/>
      <w:spacing w:before="0" w:after="0" w:line="240" w:lineRule="auto"/>
    </w:pPr>
    <w:rPr>
      <w:rFonts w:ascii="Times New Roman" w:hAnsi="Times New Roman" w:cs="Times New Roman"/>
    </w:rPr>
  </w:style>
  <w:style w:type="paragraph" w:styleId="1343" w:customStyle="1">
    <w:name w:val="Char Char4 Char Char"/>
    <w:basedOn w:val="994"/>
    <w:next w:val="1292"/>
    <w:uiPriority w:val="0"/>
    <w:qFormat/>
    <w:pPr>
      <w:ind w:left="0" w:firstLine="2560"/>
      <w:spacing w:before="0" w:after="0" w:line="240" w:lineRule="auto"/>
    </w:pPr>
    <w:rPr>
      <w:rFonts w:ascii="Times New Roman" w:hAnsi="Times New Roman" w:cs="Times New Roman"/>
    </w:rPr>
  </w:style>
  <w:style w:type="paragraph" w:styleId="1344" w:customStyle="1">
    <w:name w:val="样式"/>
    <w:next w:val="993"/>
    <w:uiPriority w:val="0"/>
    <w:qFormat/>
    <w:pPr>
      <w:ind w:firstLine="3584"/>
      <w:widowControl w:val="off"/>
    </w:pPr>
    <w:rPr>
      <w:rFonts w:ascii="Calibri" w:hAnsi="Calibri" w:eastAsia="宋体" w:cs="宋体"/>
      <w:lang w:val="en-US" w:eastAsia="zh-CN" w:bidi="ar-SA"/>
    </w:rPr>
  </w:style>
  <w:style w:type="paragraph" w:styleId="1345" w:customStyle="1">
    <w:name w:val="TOC 标题1"/>
    <w:basedOn w:val="995"/>
    <w:next w:val="993"/>
    <w:uiPriority w:val="0"/>
    <w:qFormat/>
    <w:pPr>
      <w:ind w:left="0" w:firstLine="6144"/>
      <w:spacing w:before="480" w:after="0" w:line="276" w:lineRule="auto"/>
    </w:pPr>
    <w:rPr>
      <w:b/>
      <w:sz w:val="30"/>
    </w:rPr>
  </w:style>
  <w:style w:type="paragraph" w:styleId="1346" w:customStyle="1">
    <w:name w:val="纯文本3"/>
    <w:basedOn w:val="993"/>
    <w:uiPriority w:val="0"/>
    <w:qFormat/>
    <w:rPr>
      <w:rFonts w:ascii="宋体" w:hAnsi="Courier New" w:cs="Times New Roman"/>
    </w:rPr>
  </w:style>
  <w:style w:type="paragraph" w:styleId="1347" w:customStyle="1">
    <w:name w:val="afont"/>
    <w:basedOn w:val="994"/>
    <w:next w:val="1018"/>
    <w:uiPriority w:val="0"/>
    <w:qFormat/>
    <w:pPr>
      <w:ind w:left="0" w:firstLine="2048"/>
      <w:spacing w:before="100" w:after="100" w:line="285" w:lineRule="atLeast"/>
    </w:pPr>
    <w:rPr>
      <w:rFonts w:ascii="Times New Roman" w:hAnsi="Times New Roman" w:cs="Times New Roman"/>
    </w:rPr>
  </w:style>
  <w:style w:type="paragraph" w:styleId="1348" w:customStyle="1">
    <w:name w:val="xl85"/>
    <w:basedOn w:val="994"/>
    <w:next w:val="1349"/>
    <w:uiPriority w:val="0"/>
    <w:qFormat/>
    <w:pPr>
      <w:ind w:left="0" w:firstLine="2048"/>
      <w:jc w:val="center"/>
      <w:spacing w:before="280" w:after="280" w:line="240" w:lineRule="auto"/>
    </w:pPr>
    <w:rPr>
      <w:rFonts w:ascii="Times New Roman" w:hAnsi="Times New Roman" w:cs="Times New Roman"/>
    </w:rPr>
  </w:style>
  <w:style w:type="paragraph" w:styleId="1349" w:customStyle="1">
    <w:name w:val="文章总标题"/>
    <w:basedOn w:val="994"/>
    <w:next w:val="1350"/>
    <w:uiPriority w:val="0"/>
    <w:qFormat/>
    <w:pPr>
      <w:ind w:left="0" w:firstLine="7168"/>
      <w:jc w:val="center"/>
      <w:spacing w:before="566" w:after="544" w:line="566" w:lineRule="atLeast"/>
    </w:pPr>
    <w:rPr>
      <w:rFonts w:ascii="Times New Roman" w:hAnsi="Times New Roman" w:cs="Times New Roman"/>
    </w:rPr>
  </w:style>
  <w:style w:type="paragraph" w:styleId="1350" w:customStyle="1">
    <w:name w:val="样式 首行缩进:  2 字符"/>
    <w:basedOn w:val="994"/>
    <w:next w:val="1313"/>
    <w:uiPriority w:val="0"/>
    <w:qFormat/>
    <w:pPr>
      <w:ind w:left="200" w:firstLine="1224"/>
      <w:spacing w:before="0" w:after="0" w:line="400" w:lineRule="exact"/>
    </w:pPr>
    <w:rPr>
      <w:rFonts w:ascii="Times New Roman" w:hAnsi="Times New Roman" w:cs="Times New Roman"/>
    </w:rPr>
  </w:style>
  <w:style w:type="paragraph" w:styleId="1351" w:customStyle="1">
    <w:name w:val="二级条标题"/>
    <w:basedOn w:val="994"/>
    <w:next w:val="993"/>
    <w:uiPriority w:val="0"/>
    <w:qFormat/>
    <w:pPr>
      <w:ind w:left="0" w:firstLine="8"/>
      <w:spacing w:before="0" w:after="0" w:line="240" w:lineRule="auto"/>
      <w:outlineLvl w:val="3"/>
    </w:pPr>
    <w:rPr>
      <w:rFonts w:ascii="Times New Roman" w:hAnsi="Times New Roman" w:cs="Times New Roman"/>
    </w:rPr>
  </w:style>
  <w:style w:type="paragraph" w:styleId="1352" w:customStyle="1">
    <w:name w:val="Plain Text*"/>
    <w:basedOn w:val="993"/>
    <w:uiPriority w:val="0"/>
    <w:qFormat/>
    <w:pPr>
      <w:ind w:left="0"/>
      <w:jc w:val="left"/>
    </w:pPr>
    <w:rPr>
      <w:rFonts w:ascii="宋体" w:hAnsi="宋体" w:eastAsia="楷体_GB2312" w:cs="Courier New"/>
      <w:sz w:val="26"/>
      <w:lang w:val="zh-CN"/>
    </w:rPr>
  </w:style>
  <w:style w:type="paragraph" w:styleId="1353" w:customStyle="1">
    <w:name w:val="样式 加粗 居中2"/>
    <w:basedOn w:val="994"/>
    <w:next w:val="1205"/>
    <w:uiPriority w:val="0"/>
    <w:qFormat/>
    <w:pPr>
      <w:ind w:left="0" w:firstLine="2560"/>
      <w:jc w:val="center"/>
      <w:spacing w:before="0" w:after="0" w:line="360" w:lineRule="auto"/>
    </w:pPr>
    <w:rPr>
      <w:rFonts w:ascii="Times New Roman" w:hAnsi="Times New Roman" w:cs="Times New Roman"/>
    </w:rPr>
  </w:style>
  <w:style w:type="paragraph" w:styleId="1354" w:customStyle="1">
    <w:name w:val="标准文本"/>
    <w:basedOn w:val="994"/>
    <w:next w:val="1308"/>
    <w:uiPriority w:val="0"/>
    <w:qFormat/>
    <w:pPr>
      <w:ind w:left="480" w:firstLine="2784"/>
      <w:spacing w:before="0" w:after="0" w:line="360" w:lineRule="auto"/>
    </w:pPr>
    <w:rPr>
      <w:rFonts w:ascii="Times New Roman" w:hAnsi="Times New Roman" w:cs="Times New Roman"/>
    </w:rPr>
  </w:style>
  <w:style w:type="paragraph" w:styleId="1355" w:customStyle="1">
    <w:name w:val="font5"/>
    <w:basedOn w:val="994"/>
    <w:next w:val="1356"/>
    <w:uiPriority w:val="0"/>
    <w:qFormat/>
    <w:pPr>
      <w:ind w:left="0" w:firstLine="5120"/>
      <w:spacing w:before="280" w:after="280" w:line="240" w:lineRule="auto"/>
    </w:pPr>
    <w:rPr>
      <w:rFonts w:ascii="Times New Roman" w:hAnsi="Times New Roman" w:cs="Times New Roman"/>
    </w:rPr>
  </w:style>
  <w:style w:type="paragraph" w:styleId="1356" w:customStyle="1">
    <w:name w:val="索引标题1"/>
    <w:basedOn w:val="994"/>
    <w:next w:val="1235"/>
    <w:uiPriority w:val="0"/>
    <w:qFormat/>
    <w:pPr>
      <w:ind w:left="0" w:firstLine="4608"/>
      <w:jc w:val="center"/>
      <w:spacing w:before="0" w:after="0" w:line="360" w:lineRule="auto"/>
    </w:pPr>
    <w:rPr>
      <w:rFonts w:ascii="Times New Roman" w:hAnsi="Times New Roman" w:cs="Times New Roman"/>
    </w:rPr>
  </w:style>
  <w:style w:type="paragraph" w:styleId="1357" w:customStyle="1">
    <w:name w:val="Char Char Char Char Char Char1 Char Char Char1 Char Char Char Char Char Char Char Char Char Char Char Char Char Char Char Char"/>
    <w:basedOn w:val="994"/>
    <w:next w:val="1358"/>
    <w:uiPriority w:val="0"/>
    <w:qFormat/>
    <w:pPr>
      <w:ind w:left="0" w:firstLine="2560"/>
      <w:spacing w:before="0" w:after="0" w:line="240" w:lineRule="auto"/>
    </w:pPr>
    <w:rPr>
      <w:rFonts w:ascii="Times New Roman" w:hAnsi="Times New Roman" w:cs="Times New Roman"/>
    </w:rPr>
  </w:style>
  <w:style w:type="paragraph" w:styleId="1358" w:customStyle="1">
    <w:name w:val="1正文"/>
    <w:basedOn w:val="994"/>
    <w:next w:val="1359"/>
    <w:uiPriority w:val="0"/>
    <w:qFormat/>
    <w:pPr>
      <w:ind w:left="480" w:firstLine="2784"/>
      <w:spacing w:before="0" w:after="0" w:line="300" w:lineRule="auto"/>
    </w:pPr>
    <w:rPr>
      <w:rFonts w:ascii="Times New Roman" w:hAnsi="Times New Roman" w:cs="Times New Roman"/>
    </w:rPr>
  </w:style>
  <w:style w:type="paragraph" w:styleId="1359" w:customStyle="1">
    <w:name w:val="目录2"/>
    <w:basedOn w:val="994"/>
    <w:next w:val="993"/>
    <w:uiPriority w:val="0"/>
    <w:qFormat/>
    <w:pPr>
      <w:ind w:left="209" w:firstLine="5329"/>
      <w:spacing w:before="0" w:after="0" w:line="317" w:lineRule="atLeast"/>
    </w:pPr>
    <w:rPr>
      <w:rFonts w:ascii="Times New Roman" w:hAnsi="Times New Roman" w:cs="Times New Roman"/>
    </w:rPr>
  </w:style>
  <w:style w:type="paragraph" w:styleId="1360" w:customStyle="1">
    <w:name w:val="图表目录1"/>
    <w:basedOn w:val="994"/>
    <w:next w:val="993"/>
    <w:uiPriority w:val="0"/>
    <w:qFormat/>
    <w:pPr>
      <w:ind w:left="200" w:firstLine="2616"/>
      <w:jc w:val="center"/>
      <w:spacing w:before="0" w:after="0" w:line="360" w:lineRule="auto"/>
    </w:pPr>
    <w:rPr>
      <w:rFonts w:ascii="Times New Roman" w:hAnsi="Times New Roman" w:cs="Times New Roman"/>
    </w:rPr>
  </w:style>
  <w:style w:type="paragraph" w:styleId="1361" w:customStyle="1">
    <w:name w:val="xl63"/>
    <w:basedOn w:val="994"/>
    <w:next w:val="1311"/>
    <w:uiPriority w:val="0"/>
    <w:qFormat/>
    <w:pPr>
      <w:ind w:left="0" w:firstLine="5120"/>
      <w:spacing w:before="280" w:after="280" w:line="240" w:lineRule="auto"/>
    </w:pPr>
    <w:rPr>
      <w:rFonts w:ascii="Times New Roman" w:hAnsi="Times New Roman" w:cs="Times New Roman"/>
    </w:rPr>
  </w:style>
  <w:style w:type="paragraph" w:styleId="1362">
    <w:name w:val="List Paragraph"/>
    <w:basedOn w:val="993"/>
    <w:next w:val="1269"/>
    <w:uiPriority w:val="0"/>
    <w:qFormat/>
    <w:pPr>
      <w:ind w:left="420" w:firstLine="3748"/>
    </w:pPr>
    <w:rPr>
      <w:rFonts w:ascii="Times New Roman" w:hAnsi="Times New Roman" w:cs="Times New Roman"/>
    </w:rPr>
  </w:style>
  <w:style w:type="paragraph" w:styleId="1363" w:customStyle="1">
    <w:name w:val="xl73"/>
    <w:basedOn w:val="994"/>
    <w:next w:val="1364"/>
    <w:uiPriority w:val="0"/>
    <w:qFormat/>
    <w:pPr>
      <w:ind w:left="0" w:firstLine="3584"/>
      <w:spacing w:before="280" w:after="280" w:line="240" w:lineRule="auto"/>
    </w:pPr>
    <w:rPr>
      <w:rFonts w:ascii="Times New Roman" w:hAnsi="Times New Roman" w:cs="Times New Roman"/>
    </w:rPr>
  </w:style>
  <w:style w:type="paragraph" w:styleId="1364" w:customStyle="1">
    <w:name w:val="xl80"/>
    <w:basedOn w:val="994"/>
    <w:next w:val="1365"/>
    <w:uiPriority w:val="0"/>
    <w:qFormat/>
    <w:pPr>
      <w:ind w:left="0" w:firstLine="3584"/>
      <w:jc w:val="center"/>
      <w:spacing w:before="280" w:after="280" w:line="240" w:lineRule="auto"/>
    </w:pPr>
    <w:rPr>
      <w:rFonts w:ascii="Times New Roman" w:hAnsi="Times New Roman" w:cs="Times New Roman"/>
    </w:rPr>
  </w:style>
  <w:style w:type="paragraph" w:styleId="1365" w:customStyle="1">
    <w:name w:val="样式2"/>
    <w:basedOn w:val="999"/>
    <w:next w:val="1366"/>
    <w:uiPriority w:val="0"/>
    <w:qFormat/>
    <w:pPr>
      <w:ind w:left="1134" w:firstLine="18"/>
      <w:spacing w:before="0" w:after="0" w:line="360" w:lineRule="auto"/>
      <w:outlineLvl w:val="4"/>
    </w:pPr>
  </w:style>
  <w:style w:type="paragraph" w:styleId="1366" w:customStyle="1">
    <w:name w:val="日期1"/>
    <w:basedOn w:val="994"/>
    <w:next w:val="993"/>
    <w:uiPriority w:val="0"/>
    <w:qFormat/>
    <w:pPr>
      <w:ind w:left="100" w:firstLine="6144"/>
      <w:spacing w:before="0" w:after="0" w:line="240" w:lineRule="auto"/>
    </w:pPr>
    <w:rPr>
      <w:rFonts w:ascii="Times New Roman" w:hAnsi="Times New Roman" w:cs="Times New Roman"/>
    </w:rPr>
  </w:style>
  <w:style w:type="paragraph" w:styleId="1367" w:customStyle="1">
    <w:name w:val="图1"/>
    <w:basedOn w:val="994"/>
    <w:next w:val="993"/>
    <w:uiPriority w:val="0"/>
    <w:qFormat/>
    <w:pPr>
      <w:ind w:left="1105" w:firstLine="2580"/>
      <w:jc w:val="center"/>
      <w:spacing w:before="0" w:after="0" w:line="360" w:lineRule="auto"/>
    </w:pPr>
    <w:rPr>
      <w:rFonts w:ascii="Times New Roman" w:hAnsi="Times New Roman" w:cs="Times New Roman"/>
    </w:rPr>
  </w:style>
  <w:style w:type="paragraph" w:styleId="1368" w:customStyle="1">
    <w:name w:val="Char Char Char Char Char Char1 Char Char Char1 Char Char Char Char Char Char Char Char Char Char Char Char"/>
    <w:basedOn w:val="994"/>
    <w:next w:val="1348"/>
    <w:uiPriority w:val="0"/>
    <w:qFormat/>
    <w:pPr>
      <w:ind w:left="0" w:firstLine="2560"/>
      <w:spacing w:before="0" w:after="0" w:line="240" w:lineRule="auto"/>
    </w:pPr>
    <w:rPr>
      <w:rFonts w:ascii="Times New Roman" w:hAnsi="Times New Roman" w:cs="Times New Roman"/>
    </w:rPr>
  </w:style>
  <w:style w:type="paragraph" w:styleId="1369" w:customStyle="1">
    <w:name w:val="Char Char Char Char Char Char Char"/>
    <w:basedOn w:val="994"/>
    <w:next w:val="1254"/>
    <w:uiPriority w:val="0"/>
    <w:qFormat/>
    <w:pPr>
      <w:ind w:left="200" w:firstLine="4808"/>
      <w:spacing w:before="0" w:after="0" w:line="360" w:lineRule="auto"/>
    </w:pPr>
    <w:rPr>
      <w:rFonts w:ascii="Times New Roman" w:hAnsi="Times New Roman" w:cs="Times New Roman"/>
    </w:rPr>
  </w:style>
  <w:style w:type="paragraph" w:styleId="1370" w:customStyle="1">
    <w:name w:val="Char Char Char Char Char Char Char Char Char Char Char Char Char Char Char"/>
    <w:basedOn w:val="994"/>
    <w:next w:val="1345"/>
    <w:uiPriority w:val="0"/>
    <w:qFormat/>
    <w:pPr>
      <w:ind w:left="0" w:firstLine="3584"/>
      <w:jc w:val="center"/>
      <w:spacing w:before="0" w:after="0" w:line="400" w:lineRule="exact"/>
    </w:pPr>
    <w:rPr>
      <w:rFonts w:ascii="Times New Roman" w:hAnsi="Times New Roman" w:cs="Times New Roman"/>
    </w:rPr>
  </w:style>
  <w:style w:type="paragraph" w:styleId="1371">
    <w:name w:val="Intense Quote"/>
    <w:next w:val="993"/>
    <w:uiPriority w:val="0"/>
    <w:qFormat/>
    <w:pPr>
      <w:ind w:left="3766" w:right="950"/>
      <w:jc w:val="center"/>
      <w:spacing w:before="360" w:after="360"/>
    </w:pPr>
    <w:rPr>
      <w:rFonts w:ascii="Calibri" w:hAnsi="Calibri" w:eastAsia="宋体" w:cs="宋体"/>
      <w:i/>
      <w:lang w:val="en-US" w:eastAsia="zh-CN" w:bidi="ar-SA"/>
    </w:rPr>
  </w:style>
  <w:style w:type="paragraph" w:styleId="1372" w:customStyle="1">
    <w:name w:val="索引 51"/>
    <w:basedOn w:val="994"/>
    <w:next w:val="993"/>
    <w:uiPriority w:val="0"/>
    <w:qFormat/>
    <w:pPr>
      <w:ind w:left="800" w:firstLine="2560"/>
      <w:jc w:val="center"/>
      <w:spacing w:before="0" w:after="0" w:line="360" w:lineRule="auto"/>
    </w:pPr>
    <w:rPr>
      <w:rFonts w:ascii="Times New Roman" w:hAnsi="Times New Roman" w:cs="Times New Roman"/>
    </w:rPr>
  </w:style>
  <w:style w:type="paragraph" w:styleId="1373" w:customStyle="1">
    <w:name w:val="图表"/>
    <w:basedOn w:val="994"/>
    <w:next w:val="1374"/>
    <w:uiPriority w:val="0"/>
    <w:qFormat/>
    <w:pPr>
      <w:ind w:left="0" w:firstLine="2048"/>
      <w:jc w:val="center"/>
      <w:spacing w:before="0" w:after="0" w:line="240" w:lineRule="auto"/>
    </w:pPr>
    <w:rPr>
      <w:rFonts w:ascii="Times New Roman" w:hAnsi="Times New Roman" w:cs="Times New Roman"/>
    </w:rPr>
  </w:style>
  <w:style w:type="paragraph" w:styleId="1374" w:customStyle="1">
    <w:name w:val="reader-word-layer"/>
    <w:basedOn w:val="994"/>
    <w:next w:val="1375"/>
    <w:uiPriority w:val="0"/>
    <w:qFormat/>
    <w:pPr>
      <w:ind w:left="0" w:firstLine="1024"/>
      <w:spacing w:before="280" w:after="280" w:line="240" w:lineRule="auto"/>
    </w:pPr>
    <w:rPr>
      <w:rFonts w:ascii="Times New Roman" w:hAnsi="Times New Roman" w:cs="Times New Roman"/>
    </w:rPr>
  </w:style>
  <w:style w:type="paragraph" w:styleId="1375" w:customStyle="1">
    <w:name w:val="样式 加粗 居中1"/>
    <w:next w:val="1214"/>
    <w:uiPriority w:val="0"/>
    <w:qFormat/>
    <w:pPr>
      <w:ind w:firstLine="2560"/>
      <w:jc w:val="center"/>
    </w:pPr>
    <w:rPr>
      <w:rFonts w:ascii="Calibri" w:hAnsi="Calibri" w:eastAsia="宋体" w:cs="宋体"/>
      <w:lang w:val="en-US" w:eastAsia="zh-CN" w:bidi="ar-SA"/>
    </w:rPr>
  </w:style>
  <w:style w:type="paragraph" w:styleId="1376" w:customStyle="1">
    <w:name w:val="修订2"/>
    <w:uiPriority w:val="0"/>
    <w:qFormat/>
    <w:rPr>
      <w:rFonts w:ascii="Calibri" w:hAnsi="Calibri" w:eastAsia="宋体" w:cs="宋体"/>
      <w:lang w:val="en-US" w:eastAsia="zh-CN" w:bidi="ar-SA"/>
    </w:rPr>
  </w:style>
  <w:style w:type="paragraph" w:styleId="1377" w:customStyle="1">
    <w:name w:val="Body"/>
    <w:next w:val="1309"/>
    <w:uiPriority w:val="0"/>
    <w:qFormat/>
    <w:pPr>
      <w:ind w:left="567" w:right="2835" w:firstLine="3584"/>
      <w:spacing w:after="60"/>
    </w:pPr>
    <w:rPr>
      <w:rFonts w:ascii="Calibri" w:hAnsi="Calibri" w:eastAsia="宋体" w:cs="宋体"/>
      <w:lang w:val="en-US" w:eastAsia="zh-CN" w:bidi="ar-SA"/>
    </w:rPr>
  </w:style>
  <w:style w:type="paragraph" w:styleId="1378" w:customStyle="1">
    <w:name w:val="font6"/>
    <w:basedOn w:val="994"/>
    <w:next w:val="1379"/>
    <w:uiPriority w:val="0"/>
    <w:qFormat/>
    <w:pPr>
      <w:ind w:left="0" w:firstLine="5120"/>
      <w:spacing w:before="280" w:after="280" w:line="240" w:lineRule="auto"/>
    </w:pPr>
    <w:rPr>
      <w:rFonts w:ascii="Times New Roman" w:hAnsi="Times New Roman" w:cs="Times New Roman"/>
    </w:rPr>
  </w:style>
  <w:style w:type="paragraph" w:styleId="1379" w:customStyle="1">
    <w:name w:val="正文首行缩进 21"/>
    <w:basedOn w:val="1005"/>
    <w:next w:val="1377"/>
    <w:uiPriority w:val="0"/>
    <w:qFormat/>
    <w:pPr>
      <w:ind w:left="200" w:firstLine="3784"/>
      <w:jc w:val="center"/>
      <w:spacing w:after="120" w:line="360" w:lineRule="auto"/>
    </w:pPr>
    <w:rPr>
      <w:rFonts w:ascii="Calibri" w:hAnsi="Calibri"/>
    </w:rPr>
  </w:style>
  <w:style w:type="paragraph" w:styleId="1380" w:customStyle="1">
    <w:name w:val="Char Char"/>
    <w:next w:val="1373"/>
    <w:uiPriority w:val="0"/>
    <w:qFormat/>
    <w:pPr>
      <w:ind w:firstLine="14"/>
      <w:spacing w:line="360" w:lineRule="auto"/>
      <w:shd w:val="clear" w:color="000000" w:fill="000080"/>
    </w:pPr>
    <w:rPr>
      <w:rFonts w:ascii="Calibri" w:hAnsi="Calibri" w:eastAsia="宋体" w:cs="宋体"/>
      <w:lang w:val="en-US" w:eastAsia="zh-CN" w:bidi="ar-SA"/>
    </w:rPr>
  </w:style>
  <w:style w:type="paragraph" w:styleId="1381" w:customStyle="1">
    <w:name w:val="正文_0_0"/>
    <w:next w:val="1213"/>
    <w:uiPriority w:val="0"/>
    <w:qFormat/>
    <w:pPr>
      <w:ind w:firstLine="3584"/>
      <w:jc w:val="both"/>
      <w:widowControl w:val="off"/>
    </w:pPr>
    <w:rPr>
      <w:rFonts w:ascii="Calibri" w:hAnsi="Calibri" w:eastAsia="宋体" w:cs="宋体"/>
      <w:lang w:val="en-US" w:eastAsia="zh-CN" w:bidi="ar-SA"/>
    </w:rPr>
  </w:style>
  <w:style w:type="paragraph" w:styleId="1382" w:customStyle="1">
    <w:name w:val="font7"/>
    <w:basedOn w:val="994"/>
    <w:next w:val="1383"/>
    <w:uiPriority w:val="0"/>
    <w:qFormat/>
    <w:pPr>
      <w:ind w:left="0" w:firstLine="3584"/>
      <w:spacing w:before="280" w:after="280" w:line="240" w:lineRule="auto"/>
    </w:pPr>
    <w:rPr>
      <w:rFonts w:ascii="Times New Roman" w:hAnsi="Times New Roman" w:cs="Times New Roman"/>
    </w:rPr>
  </w:style>
  <w:style w:type="paragraph" w:styleId="1383" w:customStyle="1">
    <w:name w:val="Char Char Char Char Char Char1 Char Char Char Char Char Char1 Char Char Char1"/>
    <w:basedOn w:val="994"/>
    <w:next w:val="1384"/>
    <w:uiPriority w:val="0"/>
    <w:qFormat/>
    <w:pPr>
      <w:ind w:left="0" w:firstLine="2560"/>
      <w:spacing w:before="0" w:after="0" w:line="240" w:lineRule="auto"/>
    </w:pPr>
    <w:rPr>
      <w:rFonts w:ascii="Times New Roman" w:hAnsi="Times New Roman" w:cs="Times New Roman"/>
    </w:rPr>
  </w:style>
  <w:style w:type="paragraph" w:styleId="1384" w:customStyle="1">
    <w:name w:val="xl64"/>
    <w:basedOn w:val="994"/>
    <w:next w:val="1351"/>
    <w:uiPriority w:val="0"/>
    <w:qFormat/>
    <w:pPr>
      <w:ind w:left="0" w:firstLine="3584"/>
      <w:spacing w:before="280" w:after="280" w:line="240" w:lineRule="auto"/>
    </w:pPr>
    <w:rPr>
      <w:rFonts w:ascii="Times New Roman" w:hAnsi="Times New Roman" w:cs="Times New Roman"/>
    </w:rPr>
  </w:style>
  <w:style w:type="paragraph" w:styleId="1385" w:customStyle="1">
    <w:name w:val="style16"/>
    <w:basedOn w:val="994"/>
    <w:next w:val="1378"/>
    <w:uiPriority w:val="0"/>
    <w:qFormat/>
    <w:pPr>
      <w:ind w:left="0" w:firstLine="2048"/>
      <w:spacing w:before="280" w:after="280" w:line="240" w:lineRule="auto"/>
    </w:pPr>
    <w:rPr>
      <w:rFonts w:ascii="Times New Roman" w:hAnsi="Times New Roman" w:cs="Times New Roman"/>
    </w:rPr>
  </w:style>
  <w:style w:type="paragraph" w:styleId="1386" w:customStyle="1">
    <w:name w:val="索引 11"/>
    <w:basedOn w:val="994"/>
    <w:next w:val="993"/>
    <w:uiPriority w:val="0"/>
    <w:qFormat/>
    <w:pPr>
      <w:ind w:left="0" w:firstLine="3584"/>
      <w:spacing w:before="0" w:after="0" w:line="240" w:lineRule="auto"/>
    </w:pPr>
    <w:rPr>
      <w:rFonts w:ascii="Times New Roman" w:hAnsi="Times New Roman" w:cs="Times New Roman"/>
    </w:rPr>
  </w:style>
  <w:style w:type="paragraph" w:styleId="1387" w:customStyle="1">
    <w:name w:val="H 3"/>
    <w:basedOn w:val="997"/>
    <w:next w:val="1388"/>
    <w:uiPriority w:val="0"/>
    <w:qFormat/>
    <w:pPr>
      <w:ind w:left="1429" w:firstLine="18"/>
      <w:spacing w:before="0" w:after="0" w:line="360" w:lineRule="auto"/>
      <w:outlineLvl w:val="2"/>
    </w:pPr>
  </w:style>
  <w:style w:type="paragraph" w:styleId="1388" w:customStyle="1">
    <w:name w:val="xl83"/>
    <w:basedOn w:val="994"/>
    <w:next w:val="1369"/>
    <w:uiPriority w:val="0"/>
    <w:qFormat/>
    <w:pPr>
      <w:ind w:left="0" w:firstLine="5120"/>
      <w:spacing w:before="280" w:after="280" w:line="240" w:lineRule="auto"/>
    </w:pPr>
    <w:rPr>
      <w:rFonts w:ascii="Times New Roman" w:hAnsi="Times New Roman" w:cs="Times New Roman"/>
    </w:rPr>
  </w:style>
  <w:style w:type="paragraph" w:styleId="1389" w:customStyle="1">
    <w:name w:val="表格文字（居中）"/>
    <w:basedOn w:val="994"/>
    <w:next w:val="1385"/>
    <w:uiPriority w:val="0"/>
    <w:qFormat/>
    <w:pPr>
      <w:ind w:left="0" w:firstLine="2560"/>
      <w:jc w:val="center"/>
      <w:spacing w:before="0" w:after="0" w:line="360" w:lineRule="auto"/>
    </w:pPr>
    <w:rPr>
      <w:rFonts w:ascii="Times New Roman" w:hAnsi="Times New Roman" w:cs="Times New Roman"/>
    </w:rPr>
  </w:style>
  <w:style w:type="paragraph" w:styleId="1390" w:customStyle="1">
    <w:name w:val="正文首行缩进两字符"/>
    <w:basedOn w:val="994"/>
    <w:next w:val="1372"/>
    <w:uiPriority w:val="0"/>
    <w:qFormat/>
    <w:pPr>
      <w:ind w:left="200" w:firstLine="3784"/>
      <w:spacing w:before="0" w:after="0" w:line="360" w:lineRule="auto"/>
    </w:pPr>
    <w:rPr>
      <w:rFonts w:ascii="Times New Roman" w:hAnsi="Times New Roman" w:cs="Times New Roman"/>
    </w:rPr>
  </w:style>
  <w:style w:type="paragraph" w:styleId="1391" w:customStyle="1">
    <w:name w:val="1"/>
    <w:basedOn w:val="994"/>
    <w:next w:val="1037"/>
    <w:uiPriority w:val="0"/>
    <w:qFormat/>
    <w:pPr>
      <w:ind w:left="0" w:firstLine="2048"/>
      <w:spacing w:before="0" w:after="0" w:line="240" w:lineRule="auto"/>
    </w:pPr>
    <w:rPr>
      <w:rFonts w:ascii="Times New Roman" w:hAnsi="Times New Roman" w:cs="Times New Roman"/>
    </w:rPr>
  </w:style>
  <w:style w:type="paragraph" w:styleId="1392" w:customStyle="1">
    <w:name w:val="_Style 398"/>
    <w:basedOn w:val="994"/>
    <w:next w:val="993"/>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3" w:customStyle="1">
    <w:name w:val="Table Paragraph"/>
    <w:basedOn w:val="993"/>
    <w:uiPriority w:val="1"/>
    <w:qFormat/>
    <w:rPr>
      <w:rFonts w:ascii="宋体" w:hAnsi="宋体"/>
      <w:lang w:val="zh-CN" w:bidi="zh-CN"/>
    </w:rPr>
  </w:style>
  <w:style w:type="paragraph" w:styleId="1394" w:customStyle="1">
    <w:name w:val="_Style 400"/>
    <w:uiPriority w:val="0"/>
    <w:qFormat/>
    <w:rPr>
      <w:rFonts w:ascii="Calibri" w:hAnsi="Calibri" w:eastAsia="宋体" w:cs="宋体"/>
      <w:lang w:val="en-US" w:eastAsia="zh-CN" w:bidi="ar-SA"/>
    </w:rPr>
  </w:style>
  <w:style w:type="paragraph" w:styleId="1395" w:customStyle="1">
    <w:name w:val="Style1"/>
    <w:basedOn w:val="993"/>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396" w:customStyle="1">
    <w:name w:val="msolistparagraph"/>
    <w:basedOn w:val="994"/>
    <w:next w:val="1261"/>
    <w:uiPriority w:val="0"/>
    <w:qFormat/>
    <w:pPr>
      <w:ind w:left="420" w:firstLine="3748"/>
      <w:spacing w:before="0" w:after="0" w:line="240" w:lineRule="auto"/>
    </w:pPr>
    <w:rPr>
      <w:rFonts w:ascii="Times New Roman" w:hAnsi="Times New Roman" w:cs="Times New Roman"/>
    </w:rPr>
  </w:style>
  <w:style w:type="paragraph" w:styleId="1397" w:customStyle="1">
    <w:name w:val="Char1 Char Char Char"/>
    <w:basedOn w:val="994"/>
    <w:next w:val="1398"/>
    <w:uiPriority w:val="0"/>
    <w:qFormat/>
    <w:pPr>
      <w:ind w:left="0" w:firstLine="2560"/>
      <w:spacing w:before="0" w:after="0" w:line="240" w:lineRule="auto"/>
    </w:pPr>
    <w:rPr>
      <w:rFonts w:ascii="Times New Roman" w:hAnsi="Times New Roman" w:cs="Times New Roman"/>
    </w:rPr>
  </w:style>
  <w:style w:type="paragraph" w:styleId="1398" w:customStyle="1">
    <w:name w:val="xl24"/>
    <w:basedOn w:val="994"/>
    <w:next w:val="1343"/>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399" w:customStyle="1">
    <w:name w:val="表格文字"/>
    <w:next w:val="1357"/>
    <w:uiPriority w:val="0"/>
    <w:qFormat/>
    <w:pPr>
      <w:ind w:firstLine="3584"/>
    </w:pPr>
    <w:rPr>
      <w:rFonts w:ascii="Calibri" w:hAnsi="Calibri" w:eastAsia="宋体" w:cs="宋体"/>
      <w:lang w:val="en-US" w:eastAsia="zh-CN" w:bidi="ar-SA"/>
    </w:rPr>
  </w:style>
  <w:style w:type="paragraph" w:styleId="1400" w:customStyle="1">
    <w:name w:val="xl72"/>
    <w:basedOn w:val="994"/>
    <w:next w:val="1256"/>
    <w:uiPriority w:val="0"/>
    <w:qFormat/>
    <w:pPr>
      <w:ind w:left="0" w:firstLine="3584"/>
      <w:spacing w:before="280" w:after="280" w:line="240" w:lineRule="auto"/>
    </w:pPr>
    <w:rPr>
      <w:rFonts w:ascii="Times New Roman" w:hAnsi="Times New Roman" w:cs="Times New Roman"/>
    </w:rPr>
  </w:style>
  <w:style w:type="paragraph" w:styleId="1401" w:customStyle="1">
    <w:name w:val="插图"/>
    <w:next w:val="993"/>
    <w:uiPriority w:val="0"/>
    <w:qFormat/>
    <w:pPr>
      <w:ind w:firstLine="4608"/>
      <w:jc w:val="center"/>
    </w:pPr>
    <w:rPr>
      <w:rFonts w:ascii="Calibri" w:hAnsi="Calibri" w:eastAsia="宋体" w:cs="宋体"/>
      <w:lang w:val="en-US" w:eastAsia="zh-CN" w:bidi="ar-SA"/>
    </w:rPr>
  </w:style>
  <w:style w:type="paragraph" w:styleId="1402" w:customStyle="1">
    <w:name w:val="列出段落3"/>
    <w:basedOn w:val="994"/>
    <w:next w:val="1296"/>
    <w:uiPriority w:val="0"/>
    <w:qFormat/>
    <w:pPr>
      <w:ind w:left="420" w:firstLine="3748"/>
      <w:spacing w:before="0" w:after="0" w:line="240" w:lineRule="auto"/>
    </w:pPr>
    <w:rPr>
      <w:rFonts w:ascii="Times New Roman" w:hAnsi="Times New Roman" w:cs="Times New Roman"/>
    </w:rPr>
  </w:style>
  <w:style w:type="paragraph" w:styleId="1403" w:customStyle="1">
    <w:name w:val="目录标题"/>
    <w:basedOn w:val="994"/>
    <w:next w:val="993"/>
    <w:uiPriority w:val="0"/>
    <w:qFormat/>
    <w:pPr>
      <w:ind w:left="419" w:firstLine="7331"/>
      <w:jc w:val="center"/>
      <w:spacing w:before="566" w:after="544" w:line="566" w:lineRule="atLeast"/>
    </w:pPr>
    <w:rPr>
      <w:rFonts w:ascii="Times New Roman" w:hAnsi="Times New Roman" w:cs="Times New Roman"/>
    </w:rPr>
  </w:style>
  <w:style w:type="paragraph" w:styleId="1404" w:customStyle="1">
    <w:name w:val="默认段落字体 Para Char Char Char Char Char Char Char Char Char1 Char Char Char Char"/>
    <w:basedOn w:val="994"/>
    <w:next w:val="1299"/>
    <w:uiPriority w:val="0"/>
    <w:qFormat/>
    <w:pPr>
      <w:ind w:left="0" w:firstLine="2560"/>
      <w:spacing w:before="0" w:after="0" w:line="240" w:lineRule="auto"/>
    </w:pPr>
    <w:rPr>
      <w:rFonts w:ascii="Times New Roman" w:hAnsi="Times New Roman" w:cs="Times New Roman"/>
    </w:rPr>
  </w:style>
  <w:style w:type="paragraph" w:styleId="1405" w:customStyle="1">
    <w:name w:val="WPSOffice手动目录 2"/>
    <w:uiPriority w:val="0"/>
    <w:qFormat/>
    <w:pPr>
      <w:ind w:left="200"/>
    </w:pPr>
    <w:rPr>
      <w:rFonts w:ascii="宋体" w:hAnsi="宋体" w:eastAsia="宋体" w:cs="宋体"/>
      <w:lang w:val="en-US" w:eastAsia="zh-CN" w:bidi="ar-SA"/>
    </w:rPr>
  </w:style>
  <w:style w:type="paragraph" w:styleId="1406" w:customStyle="1">
    <w:name w:val="表内文字"/>
    <w:basedOn w:val="994"/>
    <w:next w:val="1033"/>
    <w:uiPriority w:val="0"/>
    <w:qFormat/>
    <w:pPr>
      <w:ind w:left="0" w:firstLine="7680"/>
      <w:jc w:val="center"/>
      <w:spacing w:before="50" w:after="50" w:line="240" w:lineRule="auto"/>
    </w:pPr>
    <w:rPr>
      <w:rFonts w:ascii="Times New Roman" w:hAnsi="Times New Roman" w:cs="Times New Roman"/>
    </w:rPr>
  </w:style>
  <w:style w:type="paragraph" w:styleId="1407" w:customStyle="1">
    <w:name w:val="xl66"/>
    <w:basedOn w:val="994"/>
    <w:next w:val="1389"/>
    <w:uiPriority w:val="0"/>
    <w:qFormat/>
    <w:pPr>
      <w:ind w:left="0" w:firstLine="3584"/>
      <w:spacing w:before="280" w:after="280" w:line="240" w:lineRule="auto"/>
    </w:pPr>
    <w:rPr>
      <w:rFonts w:ascii="Times New Roman" w:hAnsi="Times New Roman" w:cs="Times New Roman"/>
    </w:rPr>
  </w:style>
  <w:style w:type="paragraph" w:styleId="1408" w:customStyle="1">
    <w:name w:val="*正文"/>
    <w:basedOn w:val="993"/>
    <w:uiPriority w:val="0"/>
    <w:qFormat/>
    <w:pPr>
      <w:ind w:left="0" w:firstLine="200"/>
      <w:spacing w:line="360" w:lineRule="auto"/>
    </w:pPr>
    <w:rPr>
      <w:rFonts w:ascii="仿宋_GB2312" w:hAnsi="Times New Roman" w:eastAsia="仿宋_GB2312" w:cs="Times New Roman"/>
      <w:sz w:val="24"/>
      <w:szCs w:val="28"/>
    </w:rPr>
  </w:style>
  <w:style w:type="paragraph" w:styleId="1409" w:customStyle="1">
    <w:name w:val="0"/>
    <w:basedOn w:val="994"/>
    <w:next w:val="1302"/>
    <w:uiPriority w:val="0"/>
    <w:qFormat/>
    <w:pPr>
      <w:ind w:left="0" w:firstLine="2815"/>
      <w:spacing w:before="0" w:after="0" w:line="360" w:lineRule="auto"/>
    </w:pPr>
    <w:rPr>
      <w:rFonts w:ascii="Times New Roman" w:hAnsi="Times New Roman" w:cs="Times New Roman"/>
    </w:rPr>
  </w:style>
  <w:style w:type="table" w:styleId="1410" w:customStyle="1">
    <w:name w:val="网格型1"/>
    <w:basedOn w:val="100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11" w:customStyle="1">
    <w:name w:val="font61"/>
    <w:uiPriority w:val="0"/>
    <w:qFormat/>
    <w:rPr>
      <w:rFonts w:hint="default" w:ascii="Times New Roman" w:hAnsi="Times New Roman" w:cs="Times New Roman"/>
      <w:b/>
      <w:bCs/>
      <w:color w:val="000000"/>
      <w:sz w:val="24"/>
      <w:szCs w:val="24"/>
      <w:u w:val="none"/>
    </w:rPr>
  </w:style>
  <w:style w:type="character" w:styleId="1412" w:customStyle="1">
    <w:name w:val="正文首行缩进 2 字符"/>
    <w:basedOn w:val="1003"/>
    <w:link w:val="1052"/>
    <w:uiPriority w:val="0"/>
    <w:qFormat/>
    <w:rPr>
      <w:rFonts w:ascii="Times New Roman" w:hAnsi="Times New Roman" w:cs="Times New Roman"/>
    </w:rPr>
  </w:style>
  <w:style w:type="table" w:styleId="1413" w:customStyle="1">
    <w:name w:val="Table Normal"/>
    <w:uiPriority w:val="0"/>
    <w:semiHidden/>
    <w:unhideWhenUsed/>
    <w:qFormat/>
    <w:rPr>
      <w:rFonts w:ascii="Calibri" w:hAnsi="Calibri" w:cs="Calibri"/>
    </w:rPr>
    <w:tblPr>
      <w:tblCellMar>
        <w:left w:w="0" w:type="dxa"/>
        <w:top w:w="0" w:type="dxa"/>
        <w:right w:w="0" w:type="dxa"/>
        <w:bottom w:w="0" w:type="dxa"/>
      </w:tblCellMar>
    </w:tblPr>
  </w:style>
  <w:style w:type="numbering" w:styleId="14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824123A5-9AAC-49BD-BD34-FDD01020AFC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朱工</cp:lastModifiedBy>
  <cp:revision>255</cp:revision>
  <dcterms:created xsi:type="dcterms:W3CDTF">2023-12-20T13:18:00Z</dcterms:created>
  <dcterms:modified xsi:type="dcterms:W3CDTF">2026-05-15T05:05:01Z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eyJoZGlkIjoiZTI3ZDhjMGEyNTFkYTIxZmNhYWJhMGU5NzFkNzcwNDYiLCJ1c2VySWQiOiIxODE3Mjk1NTcwIn0=</vt:lpwstr>
  </property>
</Properties>
</file>