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center"/>
        <w:spacing w:before="120" w:after="120" w:line="360" w:lineRule="auto"/>
        <w:rPr>
          <w:rFonts w:hint="eastAsia" w:ascii="Arial" w:hAnsi="Arial"/>
          <w:b/>
          <w:bCs/>
          <w:color w:val="auto"/>
          <w:sz w:val="30"/>
          <w:szCs w:val="30"/>
          <w:highlight w:val="none"/>
        </w:rPr>
      </w:pPr>
      <w:r/>
      <w:bookmarkStart w:id="0" w:name="_Toc120614210"/>
      <w:r/>
      <w:bookmarkStart w:id="1" w:name="_Toc479757206"/>
      <w:r/>
      <w:bookmarkStart w:id="2" w:name="_Toc16938516"/>
      <w:r/>
      <w:bookmarkStart w:id="3" w:name="_Toc523127445"/>
      <w:r/>
      <w:bookmarkStart w:id="4" w:name="_Toc513029200"/>
      <w:r/>
      <w:bookmarkStart w:id="5" w:name="_Toc20823272"/>
      <w:r/>
      <w:r/>
    </w:p>
    <w:p>
      <w:pPr>
        <w:jc w:val="center"/>
        <w:spacing w:before="120" w:after="120" w:line="360" w:lineRule="auto"/>
        <w:rPr>
          <w:rFonts w:hint="eastAsia" w:ascii="Arial" w:hAnsi="Arial" w:eastAsia="宋体" w:cs="Times New Roman"/>
          <w:b/>
          <w:bCs/>
          <w:color w:val="auto"/>
          <w:sz w:val="32"/>
          <w:szCs w:val="32"/>
          <w:highlight w:val="none"/>
          <w:lang w:eastAsia="zh-CN"/>
        </w:rPr>
      </w:pPr>
      <w:r>
        <w:rPr>
          <w:rFonts w:hint="eastAsia" w:ascii="Arial" w:hAnsi="Arial"/>
          <w:b/>
          <w:bCs/>
          <w:color w:val="auto"/>
          <w:sz w:val="32"/>
          <w:szCs w:val="32"/>
          <w:highlight w:val="none"/>
        </w:rPr>
        <w:t xml:space="preserve">项目名称：</w:t>
      </w:r>
      <w:r>
        <w:rPr>
          <w:rFonts w:hint="eastAsia" w:ascii="Arial" w:hAnsi="Arial"/>
          <w:b/>
          <w:bCs/>
          <w:color w:val="auto"/>
          <w:sz w:val="32"/>
          <w:szCs w:val="32"/>
          <w:highlight w:val="none"/>
          <w:lang w:eastAsia="zh-CN"/>
        </w:rPr>
        <w:t xml:space="preserve">2026年金新街道环境整治工程</w:t>
      </w:r>
      <w:r/>
    </w:p>
    <w:p>
      <w:pPr>
        <w:ind w:firstLine="1606"/>
        <w:jc w:val="both"/>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t xml:space="preserve">项目编号：JSZC-320612-NTJD-C2026-0009</w:t>
      </w:r>
      <w:r/>
    </w:p>
    <w:p>
      <w:pPr>
        <w:pStyle w:val="1017"/>
        <w:rPr>
          <w:color w:val="auto"/>
          <w:highlight w:val="none"/>
          <w:lang w:val="en-US" w:eastAsia="zh-CN"/>
        </w:rPr>
      </w:pPr>
      <w:r>
        <w:rPr>
          <w:color w:val="auto"/>
          <w:highlight w:val="none"/>
          <w:lang w:val="en-US" w:eastAsia="zh-CN"/>
        </w:rPr>
      </w:r>
      <w:r/>
    </w:p>
    <w:p>
      <w:pPr>
        <w:rPr>
          <w:rFonts w:hint="eastAsia"/>
          <w:color w:val="auto"/>
          <w:highlight w:val="none"/>
        </w:rPr>
      </w:pPr>
      <w:r>
        <w:rPr>
          <w:rFonts w:hint="eastAsia"/>
          <w:color w:val="auto"/>
          <w:highlight w:val="none"/>
        </w:rPr>
      </w:r>
      <w:r/>
    </w:p>
    <w:p>
      <w:pPr>
        <w:ind w:left="2100" w:hanging="2100"/>
        <w:rPr>
          <w:rFonts w:hint="eastAsia" w:ascii="Times New Roman" w:hAnsi="Times New Roman"/>
          <w:b/>
          <w:color w:val="auto"/>
          <w:sz w:val="30"/>
          <w:szCs w:val="30"/>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pStyle w:val="987"/>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rPr>
          <w:rFonts w:hint="eastAsia"/>
          <w:color w:val="auto"/>
          <w:highlight w:val="none"/>
        </w:rPr>
      </w:pPr>
      <w:r>
        <w:rPr>
          <w:rFonts w:hint="eastAsia"/>
          <w:color w:val="auto"/>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1" o:title=""/>
              </v:shape>
            </w:pict>
          </mc:Fallback>
        </mc:AlternateContent>
      </w:r>
      <w:r/>
    </w:p>
    <w:p>
      <w:pPr>
        <w:ind w:left="2100" w:hanging="2100"/>
        <w:rPr>
          <w:rFonts w:hint="eastAsia" w:ascii="宋体" w:hAnsi="宋体" w:eastAsia="宋体" w:cs="宋体"/>
          <w:b/>
          <w:color w:val="auto"/>
          <w:spacing w:val="20"/>
          <w:sz w:val="44"/>
          <w:highlight w:val="none"/>
        </w:rPr>
      </w:pPr>
      <w:r>
        <w:rPr>
          <w:rFonts w:hint="eastAsia" w:ascii="宋体" w:hAnsi="宋体" w:eastAsia="宋体" w:cs="宋体"/>
          <w:b/>
          <w:color w:val="auto"/>
          <w:spacing w:val="20"/>
          <w:sz w:val="44"/>
          <w:highlight w:val="none"/>
        </w:rPr>
      </w:r>
      <w:r/>
    </w:p>
    <w:p>
      <w:pPr>
        <w:pStyle w:val="117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南通市通州区金新街道办事处</w:t>
      </w:r>
      <w:r/>
    </w:p>
    <w:p>
      <w:pPr>
        <w:pStyle w:val="1251"/>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3</w:t>
      </w:r>
      <w:r>
        <w:rPr>
          <w:rFonts w:hint="eastAsia" w:ascii="宋体" w:hAnsi="宋体" w:cs="宋体"/>
          <w:b/>
          <w:bCs/>
          <w:color w:val="auto"/>
          <w:sz w:val="32"/>
          <w:highlight w:val="none"/>
        </w:rPr>
        <w:t xml:space="preserve">月</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983"/>
        <w:tblpPr w:horzAnchor="margin" w:tblpXSpec="center" w:vertAnchor="text" w:tblpY="158" w:leftFromText="180" w:topFromText="0" w:rightFromText="180" w:bottomFromText="0"/>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48"/>
      </w:tblGrid>
      <w:tr>
        <w:trPr>
          <w:jc w:val="center"/>
          <w:trHeight w:val="2721"/>
        </w:trPr>
        <w:tc>
          <w:tcPr>
            <w:tcW w:w="8748" w:type="dxa"/>
            <w:vAlign w:val="top"/>
            <w:textDirection w:val="lrTb"/>
            <w:noWrap w:val="false"/>
          </w:tcPr>
          <w:p>
            <w:pPr>
              <w:ind w:firstLine="3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招标代理机构（签章）：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r/>
          </w:p>
        </w:tc>
      </w:tr>
      <w:tr>
        <w:trPr>
          <w:jc w:val="center"/>
          <w:trHeight w:val="4663"/>
        </w:trPr>
        <w:tc>
          <w:tcPr>
            <w:tcW w:w="87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街道条线主管部门负责人意见：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街道条线分管领导意见：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街道主要领导意见：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  期：       年    月   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备注：项目规模30万元（含）以上的项目需要街道主要领导签字。</w:t>
            </w:r>
            <w:r/>
          </w:p>
        </w:tc>
      </w:tr>
      <w:tr>
        <w:trPr>
          <w:jc w:val="center"/>
          <w:trHeight w:val="3393"/>
        </w:trPr>
        <w:tc>
          <w:tcPr>
            <w:tcW w:w="874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负责人（签字）：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       年   月   日</w:t>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南通市通州区金新街道办事处</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w:t>
      </w:r>
      <w:r>
        <w:rPr>
          <w:rFonts w:hint="eastAsia" w:ascii="宋体" w:hAnsi="宋体" w:cs="宋体"/>
          <w:color w:val="auto"/>
          <w:sz w:val="24"/>
          <w:szCs w:val="24"/>
          <w:highlight w:val="none"/>
          <w:u w:val="none"/>
          <w:lang w:eastAsia="zh-CN"/>
        </w:rPr>
        <w:t xml:space="preserve">2026年金新街道环境整治工程（</w:t>
      </w:r>
      <w:r>
        <w:rPr>
          <w:rFonts w:hint="eastAsia" w:ascii="宋体" w:hAnsi="宋体" w:cs="宋体"/>
          <w:color w:val="auto"/>
          <w:sz w:val="24"/>
          <w:szCs w:val="24"/>
          <w:highlight w:val="none"/>
          <w:lang w:val="en-US" w:eastAsia="zh-CN"/>
        </w:rPr>
        <w:t xml:space="preserve">项目编号：JSZC-320612-NTJD-C2026-0009）</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2026年金新街道环境整治工程</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35393790"/>
      <w:r/>
      <w:bookmarkStart w:id="7" w:name="_Toc35393621"/>
      <w:r/>
      <w:bookmarkStart w:id="8" w:name="_Toc38985263"/>
      <w:r/>
      <w:bookmarkStart w:id="9" w:name="_Toc28359079"/>
      <w:r/>
      <w:bookmarkStart w:id="10" w:name="_Hlk24379207"/>
      <w:r/>
      <w:bookmarkStart w:id="11" w:name="_Toc28359002"/>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bookmarkStart w:id="12" w:name="_Toc28359003"/>
      <w:r/>
      <w:bookmarkStart w:id="13" w:name="_Toc28359080"/>
      <w:r/>
      <w:bookmarkStart w:id="14" w:name="_Toc35393791"/>
      <w:r/>
      <w:bookmarkStart w:id="15" w:name="_Toc38985264"/>
      <w:r/>
      <w:bookmarkStart w:id="16" w:name="_Toc35393622"/>
      <w:r>
        <w:rPr>
          <w:rFonts w:hint="eastAsia" w:ascii="宋体" w:hAnsi="宋体" w:eastAsia="宋体" w:cs="宋体"/>
          <w:color w:val="auto"/>
          <w:sz w:val="24"/>
          <w:szCs w:val="24"/>
          <w:highlight w:val="none"/>
        </w:rPr>
        <w:t xml:space="preserve">1.项目编号：JSZC-320612-NTJD-C2026-0009</w:t>
      </w:r>
      <w:r>
        <w:rPr>
          <w:rFonts w:hint="eastAsia" w:ascii="宋体" w:hAnsi="宋体" w:cs="宋体"/>
          <w:color w:val="auto"/>
          <w:sz w:val="24"/>
          <w:szCs w:val="24"/>
          <w:highlight w:val="non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2026年金新街道环境整治工程</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127.18万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标底审计价</w:t>
      </w:r>
      <w:r>
        <w:rPr>
          <w:rFonts w:hint="eastAsia" w:ascii="宋体" w:hAnsi="宋体" w:eastAsia="宋体" w:cs="宋体"/>
          <w:color w:val="auto"/>
          <w:sz w:val="24"/>
          <w:szCs w:val="24"/>
          <w:highlight w:val="none"/>
          <w:lang w:val="en-US" w:eastAsia="zh-CN"/>
        </w:rPr>
        <w:t xml:space="preserve">*100%的费率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righ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本项目主要招两家单位，</w:t>
      </w:r>
      <w:r>
        <w:rPr>
          <w:rFonts w:hint="eastAsia" w:ascii="宋体" w:hAnsi="宋体" w:eastAsia="宋体" w:cs="宋体"/>
          <w:color w:val="auto"/>
          <w:sz w:val="24"/>
          <w:szCs w:val="24"/>
          <w:highlight w:val="none"/>
          <w:lang w:val="en-US" w:eastAsia="zh-CN"/>
        </w:rPr>
        <w:t xml:space="preserve">具体承包</w:t>
      </w:r>
      <w:r>
        <w:rPr>
          <w:rFonts w:hint="eastAsia" w:ascii="宋体" w:hAnsi="宋体" w:eastAsia="宋体" w:cs="宋体"/>
          <w:color w:val="auto"/>
          <w:sz w:val="24"/>
          <w:szCs w:val="24"/>
          <w:highlight w:val="none"/>
          <w:lang w:eastAsia="zh-CN"/>
        </w:rPr>
        <w:t xml:space="preserve">维修</w:t>
      </w:r>
      <w:r>
        <w:rPr>
          <w:rFonts w:hint="eastAsia" w:ascii="宋体" w:hAnsi="宋体" w:eastAsia="宋体" w:cs="宋体"/>
          <w:color w:val="auto"/>
          <w:sz w:val="24"/>
          <w:szCs w:val="24"/>
          <w:highlight w:val="none"/>
          <w:lang w:val="en-US" w:eastAsia="zh-CN"/>
        </w:rPr>
        <w:t xml:space="preserve">范围以业主派工单为准，如接到业主派工单，需24小时内到达现场组织施工，如晚一天，扣除1000元/天，如发现三次，业主有权终止合同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两家单位合同</w:t>
      </w:r>
      <w:r>
        <w:rPr>
          <w:rFonts w:hint="eastAsia" w:ascii="宋体" w:hAnsi="宋体" w:eastAsia="宋体" w:cs="宋体"/>
          <w:color w:val="auto"/>
          <w:sz w:val="24"/>
          <w:szCs w:val="24"/>
          <w:highlight w:val="none"/>
          <w:lang w:eastAsia="zh-CN"/>
        </w:rPr>
        <w:t xml:space="preserve">金额累计</w:t>
      </w:r>
      <w:r>
        <w:rPr>
          <w:rFonts w:hint="eastAsia" w:ascii="宋体" w:hAnsi="宋体" w:eastAsia="宋体" w:cs="宋体"/>
          <w:color w:val="auto"/>
          <w:sz w:val="24"/>
          <w:szCs w:val="24"/>
          <w:highlight w:val="none"/>
        </w:rPr>
        <w:t xml:space="preserve">不</w:t>
      </w:r>
      <w:r>
        <w:rPr>
          <w:rFonts w:hint="eastAsia" w:ascii="宋体" w:hAnsi="宋体" w:eastAsia="宋体" w:cs="宋体"/>
          <w:color w:val="auto"/>
          <w:sz w:val="24"/>
          <w:szCs w:val="24"/>
          <w:highlight w:val="none"/>
          <w:lang w:val="en-US" w:eastAsia="zh-CN"/>
        </w:rPr>
        <w:t xml:space="preserve">超过</w:t>
      </w:r>
      <w:r>
        <w:rPr>
          <w:rFonts w:hint="eastAsia" w:ascii="宋体" w:hAnsi="宋体" w:cs="宋体"/>
          <w:color w:val="auto"/>
          <w:sz w:val="24"/>
          <w:szCs w:val="24"/>
          <w:highlight w:val="none"/>
          <w:lang w:val="en-US" w:eastAsia="zh-CN"/>
        </w:rPr>
        <w:t xml:space="preserve">127.18</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（当合同金额满</w:t>
      </w:r>
      <w:r>
        <w:rPr>
          <w:rFonts w:hint="eastAsia" w:ascii="宋体" w:hAnsi="宋体" w:cs="宋体"/>
          <w:color w:val="auto"/>
          <w:sz w:val="24"/>
          <w:szCs w:val="24"/>
          <w:highlight w:val="none"/>
          <w:lang w:val="en-US" w:eastAsia="zh-CN"/>
        </w:rPr>
        <w:t xml:space="preserve">127.18</w:t>
      </w:r>
      <w:r>
        <w:rPr>
          <w:rFonts w:hint="eastAsia" w:ascii="宋体" w:hAnsi="宋体" w:eastAsia="宋体" w:cs="宋体"/>
          <w:color w:val="auto"/>
          <w:sz w:val="24"/>
          <w:szCs w:val="24"/>
          <w:highlight w:val="none"/>
          <w:lang w:val="en-US" w:eastAsia="zh-CN"/>
        </w:rPr>
        <w:t xml:space="preserve">万元时，合同终止）最终结算时以</w:t>
      </w:r>
      <w:r>
        <w:rPr>
          <w:rFonts w:hint="eastAsia" w:ascii="宋体" w:hAnsi="宋体" w:cs="宋体"/>
          <w:color w:val="auto"/>
          <w:sz w:val="24"/>
          <w:szCs w:val="24"/>
          <w:highlight w:val="none"/>
          <w:u w:val="single"/>
          <w:lang w:val="en-US" w:eastAsia="zh-CN"/>
        </w:rPr>
        <w:t xml:space="preserve">标底审计价</w:t>
      </w:r>
      <w:r>
        <w:rPr>
          <w:rFonts w:hint="eastAsia" w:ascii="宋体" w:hAnsi="宋体" w:eastAsia="宋体" w:cs="宋体"/>
          <w:color w:val="auto"/>
          <w:sz w:val="24"/>
          <w:szCs w:val="24"/>
          <w:highlight w:val="none"/>
          <w:u w:val="single"/>
          <w:lang w:val="en-US" w:eastAsia="zh-CN"/>
        </w:rPr>
        <w:t xml:space="preserve">*   %（成交费率）</w:t>
      </w:r>
      <w:r>
        <w:rPr>
          <w:rFonts w:hint="eastAsia" w:ascii="宋体" w:hAnsi="宋体" w:eastAsia="宋体" w:cs="宋体"/>
          <w:color w:val="auto"/>
          <w:sz w:val="24"/>
          <w:szCs w:val="24"/>
          <w:highlight w:val="none"/>
          <w:lang w:val="en-US" w:eastAsia="zh-CN"/>
        </w:rPr>
        <w:t xml:space="preserve">按实际工程量进行结算。</w:t>
      </w:r>
      <w:r>
        <w:rPr>
          <w:rFonts w:hint="eastAsia" w:ascii="宋体" w:hAnsi="宋体" w:eastAsia="宋体" w:cs="宋体"/>
          <w:color w:val="auto"/>
          <w:sz w:val="24"/>
          <w:szCs w:val="24"/>
          <w:highlight w:val="none"/>
          <w:lang w:eastAsia="zh-CN"/>
        </w:rPr>
        <w:t xml:space="preserve">）</w:t>
      </w:r>
      <w:r/>
    </w:p>
    <w:p>
      <w:pPr>
        <w:ind w:right="0" w:firstLine="480"/>
        <w:pageBreakBefore w:val="0"/>
        <w:spacing w:line="360" w:lineRule="auto"/>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注：</w:t>
      </w:r>
      <w:r>
        <w:rPr>
          <w:rFonts w:hint="default" w:ascii="Calibri" w:hAnsi="Calibri" w:eastAsia="宋体" w:cs="Calibri"/>
          <w:b w:val="0"/>
          <w:bCs w:val="0"/>
          <w:color w:val="auto"/>
          <w:sz w:val="24"/>
          <w:szCs w:val="24"/>
          <w:highlight w:val="none"/>
          <w:lang w:val="en-US" w:eastAsia="zh-CN"/>
        </w:rPr>
        <w:t xml:space="preserve">①</w:t>
      </w:r>
      <w:r>
        <w:rPr>
          <w:rFonts w:hint="default" w:ascii="宋体" w:hAnsi="宋体" w:eastAsia="宋体" w:cs="宋体"/>
          <w:b w:val="0"/>
          <w:bCs w:val="0"/>
          <w:color w:val="auto"/>
          <w:sz w:val="24"/>
          <w:szCs w:val="24"/>
          <w:highlight w:val="none"/>
          <w:lang w:val="en-US" w:eastAsia="zh-CN"/>
        </w:rPr>
        <w:t xml:space="preserve">因系统原因，供应商制作响应文件线上填写最终报价时，开标一览表或系统格式中响应报价有折扣率(或优惠率)等不同描述的，均按本文件中的费率进行理解，供应商请统一按费率报价形式填写。</w:t>
      </w:r>
      <w:r/>
    </w:p>
    <w:p>
      <w:pPr>
        <w:ind w:right="0" w:firstLine="480"/>
        <w:pageBreakBefore w:val="0"/>
        <w:spacing w:line="360" w:lineRule="auto"/>
        <w:rPr>
          <w:rFonts w:hint="default" w:ascii="宋体" w:hAnsi="宋体" w:eastAsia="宋体" w:cs="宋体"/>
          <w:b w:val="0"/>
          <w:bCs w:val="0"/>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②</w:t>
      </w:r>
      <w:r>
        <w:rPr>
          <w:rFonts w:hint="default" w:ascii="宋体" w:hAnsi="宋体" w:eastAsia="宋体" w:cs="宋体"/>
          <w:b w:val="0"/>
          <w:bCs w:val="0"/>
          <w:color w:val="auto"/>
          <w:sz w:val="24"/>
          <w:szCs w:val="24"/>
          <w:highlight w:val="none"/>
          <w:lang w:val="en-US" w:eastAsia="zh-CN"/>
        </w:rPr>
        <w:t xml:space="preserve">本报价函(首次报价)为格式表，不得自行改动，必须提供。首次报价，不同地方填写不一致的，以本表中填写的“投标费率”数据为准进行评审。</w:t>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default" w:ascii="Calibri" w:hAnsi="Calibri" w:eastAsia="宋体" w:cs="Calibri"/>
          <w:b w:val="0"/>
          <w:bCs w:val="0"/>
          <w:color w:val="auto"/>
          <w:sz w:val="24"/>
          <w:szCs w:val="24"/>
          <w:highlight w:val="none"/>
          <w:lang w:val="en-US" w:eastAsia="zh-CN"/>
        </w:rPr>
        <w:t xml:space="preserve">③</w:t>
      </w:r>
      <w:r>
        <w:rPr>
          <w:rFonts w:hint="default" w:ascii="宋体" w:hAnsi="宋体" w:eastAsia="宋体" w:cs="宋体"/>
          <w:b w:val="0"/>
          <w:bCs w:val="0"/>
          <w:color w:val="auto"/>
          <w:sz w:val="24"/>
          <w:szCs w:val="24"/>
          <w:highlight w:val="none"/>
          <w:lang w:val="en-US" w:eastAsia="zh-CN"/>
        </w:rPr>
        <w:t xml:space="preserve">最终结算=实际工程量*</w:t>
      </w:r>
      <w:r>
        <w:rPr>
          <w:rFonts w:hint="eastAsia" w:ascii="宋体" w:hAnsi="宋体" w:eastAsia="宋体" w:cs="宋体"/>
          <w:b w:val="0"/>
          <w:bCs w:val="0"/>
          <w:color w:val="auto"/>
          <w:sz w:val="24"/>
          <w:szCs w:val="24"/>
          <w:highlight w:val="none"/>
          <w:lang w:val="en-US" w:eastAsia="zh-CN"/>
        </w:rPr>
        <w:t xml:space="preserve">单项全费用综合单价</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中标</w:t>
      </w:r>
      <w:r>
        <w:rPr>
          <w:rFonts w:hint="default" w:ascii="宋体" w:hAnsi="宋体" w:eastAsia="宋体" w:cs="宋体"/>
          <w:b w:val="0"/>
          <w:bCs w:val="0"/>
          <w:color w:val="auto"/>
          <w:sz w:val="24"/>
          <w:szCs w:val="24"/>
          <w:highlight w:val="none"/>
          <w:lang w:val="en-US" w:eastAsia="zh-CN"/>
        </w:rPr>
        <w:t xml:space="preserve">费率。如有不清楚的，请在开标前联系招标代理，如最终报价填写错误，后果自行承担。</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本项目主要建设内容为铺防尘网、打防护桩、彩钢围档、隔离栏、围挡覆绿、划标线、围挡修补、围档覆绿修补、荷兰网、绿化带护栏、墙面涂料翻新等，</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Times New Roman" w:hAnsi="Times New Roman" w:eastAsia="宋体" w:cs="Times New Roman"/>
          <w:color w:val="auto"/>
          <w:sz w:val="24"/>
          <w:szCs w:val="24"/>
        </w:rPr>
        <w:t xml:space="preserve">签订合同后</w:t>
      </w:r>
      <w:r>
        <w:rPr>
          <w:rFonts w:hint="eastAsia" w:cs="Times New Roman"/>
          <w:color w:val="auto"/>
          <w:sz w:val="24"/>
          <w:szCs w:val="24"/>
          <w:lang w:val="en-US" w:eastAsia="zh-CN"/>
        </w:rPr>
        <w:t xml:space="preserve">两年</w:t>
      </w:r>
      <w:r>
        <w:rPr>
          <w:rFonts w:hint="eastAsia" w:ascii="Times New Roman" w:hAnsi="Times New Roman" w:eastAsia="宋体" w:cs="Times New Roman"/>
          <w:color w:val="auto"/>
          <w:sz w:val="24"/>
          <w:szCs w:val="24"/>
        </w:rPr>
        <w:t xml:space="preserve">。</w:t>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注：两家单位合同金额累计不超过127.18万元（当合同金额满127.18万元时，合同终止）</w:t>
      </w:r>
      <w:r>
        <w:rPr>
          <w:rFonts w:hint="eastAsia" w:ascii="宋体" w:hAnsi="宋体" w:cs="宋体"/>
          <w:color w:val="auto"/>
          <w:sz w:val="24"/>
          <w:szCs w:val="24"/>
          <w:highlight w:val="none"/>
          <w:lang w:val="en-US" w:eastAsia="zh-CN"/>
        </w:rPr>
        <w:t xml:space="preserve">。</w:t>
      </w:r>
      <w:r/>
    </w:p>
    <w:p>
      <w:pPr>
        <w:ind w:left="0" w:firstLine="480"/>
        <w:pageBreakBefore w:val="0"/>
        <w:spacing w:line="360" w:lineRule="auto"/>
        <w:rPr>
          <w:rFonts w:hint="eastAsia" w:ascii="Times New Roman" w:hAnsi="Times New Roman" w:eastAsia="宋体" w:cs="Times New Roman"/>
          <w:color w:val="auto"/>
          <w:sz w:val="24"/>
          <w:szCs w:val="24"/>
          <w:lang w:val="en-US" w:eastAsia="zh-CN"/>
        </w:rPr>
      </w:pPr>
      <w:r>
        <w:rPr>
          <w:rFonts w:hint="eastAsia" w:ascii="宋体" w:hAnsi="宋体" w:cs="宋体"/>
          <w:color w:val="auto"/>
          <w:sz w:val="24"/>
          <w:szCs w:val="24"/>
          <w:highlight w:val="none"/>
          <w:lang w:val="en-US" w:eastAsia="zh-CN"/>
        </w:rPr>
        <w:t xml:space="preserve">9.本项目不接受分包。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38985265"/>
      <w:r/>
      <w:bookmarkStart w:id="18" w:name="_Toc35393792"/>
      <w:r/>
      <w:bookmarkStart w:id="19" w:name="_Toc35393623"/>
      <w:r/>
      <w:bookmarkStart w:id="20" w:name="_Toc28359004"/>
      <w:r/>
      <w:bookmarkStart w:id="21" w:name="_Toc28359081"/>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2024（或2025）年度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 xml:space="preserve">（响应文件中无需提供证明材料）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供应商具备</w:t>
      </w:r>
      <w:r>
        <w:rPr>
          <w:rFonts w:hint="eastAsia" w:ascii="宋体" w:hAnsi="宋体" w:cs="宋体"/>
          <w:b/>
          <w:bCs/>
          <w:color w:val="auto"/>
          <w:sz w:val="24"/>
          <w:szCs w:val="24"/>
          <w:highlight w:val="none"/>
          <w:lang w:val="en-US" w:eastAsia="zh-CN"/>
        </w:rPr>
        <w:t xml:space="preserve">市政公用工程施工总承包三级及以上施工资质</w:t>
      </w:r>
      <w:r>
        <w:rPr>
          <w:rFonts w:hint="eastAsia" w:ascii="宋体" w:hAnsi="宋体" w:eastAsia="宋体" w:cs="宋体"/>
          <w:color w:val="auto"/>
          <w:sz w:val="24"/>
          <w:szCs w:val="24"/>
          <w:highlight w:val="none"/>
        </w:rPr>
        <w:t xml:space="preserve">，具有省级建设行政主管部门颁发的安全生产许可证，并在人员、设备、资金等方面具有相应的施工能力。</w:t>
      </w:r>
      <w:r/>
    </w:p>
    <w:p>
      <w:pPr>
        <w:ind w:firstLine="480"/>
        <w:keepLines w:val="0"/>
        <w:keepNext w:val="0"/>
        <w:pageBreakBefore w:val="0"/>
        <w:spacing w:line="360" w:lineRule="auto"/>
        <w:rPr>
          <w:rFonts w:ascii="Times New Roman" w:hAnsi="Times New Roman" w:eastAsia="宋体" w:cs="Times New Roman"/>
          <w:color w:val="auto"/>
          <w:sz w:val="24"/>
          <w:szCs w:val="24"/>
          <w:u w:val="none"/>
        </w:rPr>
      </w:pPr>
      <w:r>
        <w:rPr>
          <w:rFonts w:hint="eastAsia" w:ascii="宋体" w:hAnsi="宋体" w:cs="宋体"/>
          <w:color w:val="auto"/>
          <w:sz w:val="24"/>
          <w:szCs w:val="24"/>
          <w:highlight w:val="none"/>
          <w:lang w:val="en-US" w:eastAsia="zh-CN"/>
        </w:rPr>
        <w:t xml:space="preserve">2.拟派项目负责人须</w:t>
      </w:r>
      <w:r>
        <w:rPr>
          <w:rFonts w:hint="eastAsia" w:ascii="Times New Roman" w:hAnsi="Times New Roman" w:eastAsia="宋体" w:cs="Times New Roman"/>
          <w:b/>
          <w:color w:val="auto"/>
          <w:sz w:val="24"/>
          <w:szCs w:val="24"/>
          <w:u w:val="single"/>
        </w:rPr>
        <w:t xml:space="preserve">具有</w:t>
      </w:r>
      <w:r>
        <w:rPr>
          <w:rFonts w:hint="eastAsia" w:ascii="Times New Roman" w:hAnsi="Times New Roman" w:eastAsia="宋体" w:cs="Times New Roman"/>
          <w:b/>
          <w:color w:val="auto"/>
          <w:sz w:val="24"/>
          <w:szCs w:val="24"/>
          <w:u w:val="single"/>
          <w:lang w:eastAsia="zh-CN"/>
        </w:rPr>
        <w:t xml:space="preserve">市政公用工程专业贰级</w:t>
      </w:r>
      <w:r>
        <w:rPr>
          <w:rFonts w:hint="eastAsia" w:ascii="Times New Roman" w:hAnsi="Times New Roman" w:eastAsia="宋体" w:cs="Times New Roman"/>
          <w:b/>
          <w:color w:val="auto"/>
          <w:sz w:val="24"/>
          <w:szCs w:val="24"/>
          <w:u w:val="single"/>
        </w:rPr>
        <w:t xml:space="preserve">及以上注册建造师，且具有安全生产考核合格证（B证）</w:t>
      </w:r>
      <w:r>
        <w:rPr>
          <w:rFonts w:hint="eastAsia" w:ascii="Times New Roman" w:hAnsi="Times New Roman" w:eastAsia="宋体" w:cs="Times New Roman"/>
          <w:color w:val="auto"/>
          <w:sz w:val="24"/>
          <w:szCs w:val="24"/>
        </w:rPr>
        <w:t xml:space="preserve">；且必须满足下列条件：项目负责人须是投标申请人本单位在册人员</w:t>
      </w:r>
      <w:r>
        <w:rPr>
          <w:rFonts w:hint="eastAsia" w:ascii="Times New Roman" w:hAnsi="Times New Roman" w:eastAsia="宋体" w:cs="Times New Roman"/>
          <w:color w:val="auto"/>
          <w:sz w:val="24"/>
          <w:szCs w:val="24"/>
          <w:lang w:val="en-US" w:eastAsia="zh-CN"/>
        </w:rPr>
        <w:t xml:space="preserve">且</w:t>
      </w:r>
      <w:r>
        <w:rPr>
          <w:rFonts w:hint="eastAsia" w:ascii="Times New Roman" w:hAnsi="Times New Roman" w:eastAsia="宋体" w:cs="Times New Roman"/>
          <w:color w:val="auto"/>
          <w:sz w:val="24"/>
          <w:szCs w:val="24"/>
        </w:rPr>
        <w:t xml:space="preserve">不得同时在两个或者两个以上单位受聘或者执业</w:t>
      </w:r>
      <w:r>
        <w:rPr>
          <w:rFonts w:hint="eastAsia" w:ascii="Times New Roman" w:hAnsi="Times New Roman" w:eastAsia="宋体" w:cs="Times New Roman"/>
          <w:color w:val="auto"/>
          <w:sz w:val="24"/>
          <w:szCs w:val="24"/>
          <w:lang w:eastAsia="zh-CN"/>
        </w:rPr>
        <w:t xml:space="preserve">；</w:t>
      </w:r>
      <w:r>
        <w:rPr>
          <w:rFonts w:hint="eastAsia" w:ascii="Times New Roman" w:hAnsi="Times New Roman" w:eastAsia="宋体" w:cs="Times New Roman"/>
          <w:color w:val="auto"/>
          <w:sz w:val="24"/>
          <w:szCs w:val="24"/>
        </w:rPr>
        <w:t xml:space="preserve">拟派项目负责人无在建工程</w:t>
      </w:r>
      <w:r>
        <w:rPr>
          <w:rFonts w:hint="eastAsia" w:ascii="Times New Roman" w:hAnsi="Times New Roman" w:eastAsia="宋体" w:cs="Times New Roman"/>
          <w:color w:val="auto"/>
          <w:sz w:val="24"/>
          <w:lang w:val="en-US" w:eastAsia="zh-CN"/>
        </w:rPr>
        <w:t xml:space="preserve">及</w:t>
      </w:r>
      <w:r>
        <w:rPr>
          <w:rFonts w:hint="eastAsia" w:ascii="Times New Roman" w:hAnsi="Times New Roman" w:eastAsia="宋体" w:cs="Times New Roman"/>
          <w:color w:val="auto"/>
          <w:sz w:val="24"/>
          <w:u w:val="none"/>
          <w:lang w:val="en-US" w:eastAsia="zh-CN"/>
        </w:rPr>
        <w:t xml:space="preserve">须亲自在本项目现场</w:t>
      </w:r>
      <w:r>
        <w:rPr>
          <w:rFonts w:hint="eastAsia" w:ascii="Times New Roman" w:hAnsi="Times New Roman" w:eastAsia="宋体" w:cs="Times New Roman"/>
          <w:color w:val="auto"/>
          <w:sz w:val="24"/>
          <w:u w:val="none"/>
        </w:rPr>
        <w:t xml:space="preserve">负责工程施工全过程</w:t>
      </w:r>
      <w:r>
        <w:rPr>
          <w:rFonts w:hint="eastAsia" w:ascii="Times New Roman" w:hAnsi="Times New Roman" w:eastAsia="宋体" w:cs="Times New Roman"/>
          <w:color w:val="auto"/>
          <w:sz w:val="24"/>
          <w:u w:val="none"/>
          <w:lang w:val="en-US" w:eastAsia="zh-CN"/>
        </w:rPr>
        <w:t xml:space="preserve">中</w:t>
      </w:r>
      <w:r>
        <w:rPr>
          <w:rFonts w:hint="eastAsia" w:ascii="Times New Roman" w:hAnsi="Times New Roman" w:eastAsia="宋体" w:cs="Times New Roman"/>
          <w:color w:val="auto"/>
          <w:sz w:val="24"/>
          <w:u w:val="none"/>
        </w:rPr>
        <w:t xml:space="preserve">管理</w:t>
      </w:r>
      <w:r>
        <w:rPr>
          <w:rFonts w:hint="eastAsia" w:ascii="Times New Roman" w:hAnsi="Times New Roman" w:eastAsia="宋体" w:cs="Times New Roman"/>
          <w:color w:val="auto"/>
          <w:sz w:val="24"/>
          <w:szCs w:val="24"/>
          <w:u w:val="none"/>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b/>
          <w:bCs/>
          <w:color w:val="auto"/>
          <w:sz w:val="24"/>
          <w:szCs w:val="24"/>
        </w:rPr>
        <w:t xml:space="preserve">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如本项目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keepLines w:val="0"/>
        <w:keepNext w:val="0"/>
        <w:pageBreakBefore w:val="0"/>
        <w:spacing w:line="360" w:lineRule="auto"/>
        <w:rPr>
          <w:rFonts w:hint="eastAsia" w:ascii="Times New Roman" w:hAnsi="Times New Roman" w:eastAsia="宋体" w:cs="Times New Roman"/>
          <w:color w:val="auto"/>
          <w:sz w:val="24"/>
          <w:szCs w:val="24"/>
        </w:rPr>
      </w:pPr>
      <w:r>
        <w:rPr>
          <w:rFonts w:hint="eastAsia" w:ascii="宋体" w:hAnsi="宋体" w:eastAsia="宋体" w:cs="宋体"/>
          <w:color w:val="auto"/>
          <w:sz w:val="24"/>
          <w:szCs w:val="24"/>
          <w:highlight w:val="none"/>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p>
    <w:p>
      <w:pPr>
        <w:ind w:firstLine="480"/>
        <w:keepLines w:val="0"/>
        <w:keepNext w:val="0"/>
        <w:pageBreakBefore w:val="0"/>
        <w:spacing w:line="360" w:lineRule="auto"/>
        <w:rPr>
          <w:rFonts w:hint="eastAsia"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4.</w:t>
      </w:r>
      <w:r>
        <w:rPr>
          <w:rFonts w:hint="eastAsia" w:ascii="Times New Roman" w:hAnsi="Times New Roman" w:eastAsia="宋体" w:cs="Times New Roman"/>
          <w:bCs/>
          <w:color w:val="auto"/>
          <w:sz w:val="24"/>
          <w:szCs w:val="24"/>
        </w:rPr>
        <w:t xml:space="preserve">供应商在采购人之前的工程中没有履约评价不合格的情形。</w:t>
      </w:r>
      <w:r/>
    </w:p>
    <w:p>
      <w:pPr>
        <w:contextualSpacing/>
        <w:ind w:firstLine="480"/>
        <w:keepLines w:val="0"/>
        <w:keepNext w:val="0"/>
        <w:pageBreakBefore w:val="0"/>
        <w:spacing w:line="360" w:lineRule="auto"/>
        <w:rPr>
          <w:rFonts w:ascii="Times New Roman" w:hAnsi="Times New Roman" w:eastAsia="宋体" w:cs="Times New Roman"/>
          <w:bCs/>
          <w:color w:val="auto"/>
          <w:sz w:val="24"/>
          <w:szCs w:val="24"/>
        </w:rPr>
      </w:pPr>
      <w:r>
        <w:rPr>
          <w:rFonts w:hint="eastAsia" w:ascii="Times New Roman" w:hAnsi="Times New Roman" w:eastAsia="宋体" w:cs="Times New Roman"/>
          <w:color w:val="auto"/>
          <w:sz w:val="24"/>
          <w:szCs w:val="24"/>
          <w:lang w:val="en-US" w:eastAsia="zh-CN"/>
        </w:rPr>
        <w:t xml:space="preserve">5.</w:t>
      </w:r>
      <w:r>
        <w:rPr>
          <w:rFonts w:hint="eastAsia" w:ascii="Times New Roman" w:hAnsi="Times New Roman" w:eastAsia="宋体" w:cs="Times New Roman"/>
          <w:bCs/>
          <w:color w:val="auto"/>
          <w:sz w:val="24"/>
          <w:szCs w:val="24"/>
        </w:rPr>
        <w:t xml:space="preserve">拒绝下述供应商参加本次采购活动：</w:t>
      </w:r>
      <w:r/>
    </w:p>
    <w:p>
      <w:pPr>
        <w:contextualSpacing/>
        <w:ind w:firstLine="480"/>
        <w:keepLines w:val="0"/>
        <w:keepNext w:val="0"/>
        <w:pageBreakBefore w:val="0"/>
        <w:spacing w:line="360" w:lineRule="auto"/>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 xml:space="preserve">（1）供应商单位负责人为同一人或者存在直接控股、管理关系的不同供应商，不得参加同一合同项下的政府采购活动。</w:t>
      </w:r>
      <w:r/>
    </w:p>
    <w:p>
      <w:pPr>
        <w:contextualSpacing/>
        <w:ind w:firstLine="480"/>
        <w:keepLines w:val="0"/>
        <w:keepNext w:val="0"/>
        <w:pageBreakBefore w:val="0"/>
        <w:spacing w:line="360" w:lineRule="auto"/>
        <w:rPr>
          <w:rFonts w:hint="eastAsia"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Times New Roman" w:hAnsi="Times New Roman" w:eastAsia="宋体" w:cs="Times New Roman"/>
          <w:color w:val="auto"/>
          <w:sz w:val="24"/>
          <w:szCs w:val="24"/>
          <w:highlight w:val="none"/>
        </w:rPr>
      </w:pPr>
      <w:r>
        <w:rPr>
          <w:rFonts w:hint="eastAsia"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未被“信用中国”“中国政府采购网”列入失信被执行人</w:t>
      </w:r>
      <w:r>
        <w:rPr>
          <w:rFonts w:hint="eastAsia" w:ascii="Times New Roman" w:hAnsi="Times New Roman" w:eastAsia="宋体" w:cs="Times New Roman"/>
          <w:color w:val="auto"/>
          <w:sz w:val="24"/>
          <w:szCs w:val="24"/>
          <w:highlight w:val="none"/>
          <w:lang w:val="en-US" w:eastAsia="zh-CN"/>
        </w:rPr>
        <w:t xml:space="preserve">和</w:t>
      </w:r>
      <w:r>
        <w:rPr>
          <w:rFonts w:hint="eastAsia" w:ascii="Times New Roman" w:hAnsi="Times New Roman" w:eastAsia="宋体" w:cs="Times New Roman"/>
          <w:color w:val="auto"/>
          <w:sz w:val="24"/>
          <w:szCs w:val="24"/>
          <w:highlight w:val="none"/>
        </w:rPr>
        <w:t xml:space="preserve">政府采购严重失信行为记录名单。</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35393794"/>
      <w:r/>
      <w:bookmarkStart w:id="28" w:name="_Toc28359084"/>
      <w:r/>
      <w:bookmarkStart w:id="29" w:name="_Toc35393625"/>
      <w:r/>
      <w:bookmarkStart w:id="30" w:name="_Toc38985267"/>
      <w:r/>
      <w:bookmarkStart w:id="31" w:name="_Toc28359007"/>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8985268"/>
      <w:r/>
      <w:bookmarkStart w:id="33" w:name="_Toc35393626"/>
      <w:r/>
      <w:bookmarkStart w:id="34" w:name="_Toc35393795"/>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28359008"/>
      <w:r/>
      <w:bookmarkStart w:id="36" w:name="_Toc35393627"/>
      <w:r/>
      <w:bookmarkStart w:id="37" w:name="_Toc38985269"/>
      <w:r/>
      <w:bookmarkStart w:id="38" w:name="_Toc28359085"/>
      <w:r/>
      <w:bookmarkStart w:id="39" w:name="_Toc35393796"/>
      <w:r>
        <w:rPr>
          <w:rFonts w:hint="eastAsia" w:ascii="宋体" w:hAnsi="宋体" w:eastAsia="宋体" w:cs="宋体"/>
          <w:color w:val="auto"/>
          <w:sz w:val="24"/>
          <w:szCs w:val="24"/>
          <w:highlight w:val="none"/>
          <w:lang w:val="en-US" w:eastAsia="zh-CN" w:bidi="ar-SA"/>
        </w:rPr>
        <w:t xml:space="preserve">1.</w:t>
      </w:r>
      <w:r>
        <w:rPr>
          <w:rFonts w:hint="eastAsia" w:ascii="宋体" w:hAnsi="宋体"/>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default" w:ascii="Times New Roman" w:hAnsi="Times New Roman" w:eastAsia="宋体" w:cs="Times New Roman"/>
          <w:color w:val="auto"/>
          <w:szCs w:val="20"/>
          <w:highlight w:val="none"/>
        </w:rPr>
      </w:pPr>
      <w:r>
        <w:rPr>
          <w:rFonts w:hint="eastAsia" w:eastAsia="宋体" w:cs="Times New Roman"/>
          <w:b/>
          <w:color w:val="auto"/>
          <w:sz w:val="24"/>
          <w:szCs w:val="24"/>
          <w:highlight w:val="none"/>
          <w:lang w:val="en-US" w:eastAsia="zh-CN"/>
        </w:rPr>
        <w:t xml:space="preserve">5.</w:t>
      </w:r>
      <w:r>
        <w:rPr>
          <w:rFonts w:hint="eastAsia" w:ascii="Times New Roman" w:hAnsi="Times New Roman" w:eastAsia="宋体" w:cs="Times New Roman"/>
          <w:b/>
          <w:color w:val="auto"/>
          <w:sz w:val="24"/>
          <w:szCs w:val="24"/>
          <w:highlight w:val="none"/>
        </w:rPr>
        <w:t xml:space="preserve">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82"/>
        <w:keepLines w:val="0"/>
        <w:keepNext w:val="0"/>
        <w:pageBreakBefore w:val="0"/>
        <w:spacing w:line="360" w:lineRule="auto"/>
        <w:rPr>
          <w:rFonts w:hint="eastAsia" w:ascii="Times New Roman" w:hAnsi="Times New Roman" w:eastAsia="宋体" w:cs="Times New Roman"/>
          <w:b/>
          <w:bCs/>
          <w:color w:val="auto"/>
          <w:sz w:val="24"/>
          <w:szCs w:val="24"/>
          <w:highlight w:val="none"/>
        </w:rPr>
      </w:pPr>
      <w:r>
        <w:rPr>
          <w:rFonts w:hint="eastAsia" w:eastAsia="宋体" w:cs="Times New Roman"/>
          <w:b/>
          <w:bCs/>
          <w:color w:val="auto"/>
          <w:sz w:val="24"/>
          <w:szCs w:val="24"/>
          <w:highlight w:val="none"/>
          <w:lang w:val="en-US" w:eastAsia="zh-CN"/>
        </w:rPr>
        <w:t xml:space="preserve">6.</w:t>
      </w:r>
      <w:r>
        <w:rPr>
          <w:rFonts w:hint="eastAsia" w:ascii="Times New Roman" w:hAnsi="Times New Roman" w:eastAsia="宋体" w:cs="Times New Roman"/>
          <w:b/>
          <w:bCs/>
          <w:color w:val="auto"/>
          <w:sz w:val="24"/>
          <w:szCs w:val="24"/>
          <w:highlight w:val="none"/>
        </w:rPr>
        <w:t xml:space="preserve">相关法律法规规定：</w:t>
      </w:r>
      <w:r/>
    </w:p>
    <w:p>
      <w:pPr>
        <w:ind w:firstLine="482"/>
        <w:keepLines w:val="0"/>
        <w:keepNext w:val="0"/>
        <w:pageBreakBefore w:val="0"/>
        <w:spacing w:line="36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left="0" w:right="0" w:firstLine="480"/>
        <w:keepLines w:val="0"/>
        <w:keepNext w:val="0"/>
        <w:pageBreakBefore w:val="0"/>
        <w:spacing w:beforeAutospacing="0" w:afterAutospacing="0" w:line="360" w:lineRule="auto"/>
        <w:widowControl w:val="off"/>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pStyle w:val="988"/>
        <w:rPr>
          <w:rFonts w:hint="eastAsia"/>
          <w:color w:val="auto"/>
          <w:lang w:eastAsia="zh-CN"/>
        </w:rPr>
      </w:pPr>
      <w:r>
        <w:rPr>
          <w:rFonts w:hint="eastAsia" w:eastAsia="宋体" w:cs="Times New Roman"/>
          <w:b w:val="0"/>
          <w:bCs/>
          <w:color w:val="auto"/>
          <w:sz w:val="24"/>
          <w:szCs w:val="24"/>
          <w:highlight w:val="none"/>
          <w:lang w:val="en-US" w:eastAsia="zh-CN"/>
        </w:rPr>
        <w:t xml:space="preserve">7.</w:t>
      </w:r>
      <w:r>
        <w:rPr>
          <w:rFonts w:hint="eastAsia" w:ascii="Times New Roman" w:hAnsi="Times New Roman" w:eastAsia="宋体" w:cs="Times New Roman"/>
          <w:b w:val="0"/>
          <w:bCs/>
          <w:color w:val="auto"/>
          <w:sz w:val="24"/>
          <w:szCs w:val="24"/>
          <w:highlight w:val="none"/>
        </w:rPr>
        <w:t xml:space="preserve">本项目为</w:t>
      </w:r>
      <w:r>
        <w:rPr>
          <w:rFonts w:hint="eastAsia" w:ascii="Times New Roman" w:hAnsi="Times New Roman" w:eastAsia="宋体" w:cs="Times New Roman"/>
          <w:b/>
          <w:bCs w:val="0"/>
          <w:color w:val="auto"/>
          <w:sz w:val="24"/>
          <w:szCs w:val="24"/>
          <w:highlight w:val="none"/>
        </w:rPr>
        <w:t xml:space="preserve">固定单价合同</w:t>
      </w:r>
      <w:r>
        <w:rPr>
          <w:rFonts w:hint="eastAsia" w:ascii="Times New Roman" w:hAnsi="Times New Roman" w:eastAsia="宋体" w:cs="Times New Roman"/>
          <w:b w:val="0"/>
          <w:bCs/>
          <w:color w:val="auto"/>
          <w:sz w:val="24"/>
          <w:szCs w:val="24"/>
          <w:highlight w:val="none"/>
        </w:rPr>
        <w:t xml:space="preserve">，供应商应充分考虑本项目合同实施期间可能发生的费用，并承担由此而带来的风险。最终工程结算总价须以采购人指定的审计机构审核结果为准。</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720"/>
        <w:jc w:val="left"/>
        <w:pageBreakBefore w:val="0"/>
        <w:spacing w:line="360" w:lineRule="auto"/>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名称：</w:t>
      </w:r>
      <w:r>
        <w:rPr>
          <w:rFonts w:hint="eastAsia" w:ascii="宋体" w:hAnsi="宋体" w:cs="宋体"/>
          <w:color w:val="auto"/>
          <w:sz w:val="24"/>
          <w:szCs w:val="24"/>
          <w:highlight w:val="none"/>
          <w:u w:val="none"/>
          <w:lang w:val="en-US" w:eastAsia="zh-CN"/>
        </w:rPr>
        <w:t xml:space="preserve">南通市通州区金新街道办事处</w:t>
      </w:r>
      <w:r/>
    </w:p>
    <w:p>
      <w:pPr>
        <w:ind w:left="0" w:firstLine="720"/>
        <w:jc w:val="left"/>
        <w:pageBreakBefore w:val="0"/>
        <w:spacing w:line="360" w:lineRule="auto"/>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地址：</w:t>
      </w:r>
      <w:r>
        <w:rPr>
          <w:rFonts w:hint="eastAsia" w:ascii="宋体" w:hAnsi="宋体" w:eastAsia="宋体" w:cs="宋体"/>
          <w:color w:val="auto"/>
          <w:sz w:val="24"/>
          <w:szCs w:val="24"/>
          <w:highlight w:val="none"/>
          <w:u w:val="none"/>
          <w:lang w:val="en-US" w:eastAsia="zh-CN"/>
        </w:rPr>
        <w:t xml:space="preserve">南通市通州区</w:t>
      </w:r>
      <w:r>
        <w:rPr>
          <w:rFonts w:hint="eastAsia" w:ascii="宋体" w:hAnsi="宋体" w:eastAsia="宋体" w:cs="宋体"/>
          <w:color w:val="auto"/>
          <w:sz w:val="24"/>
          <w:szCs w:val="24"/>
          <w:highlight w:val="none"/>
          <w:u w:val="none"/>
        </w:rPr>
        <w:t xml:space="preserve">朝霞路369</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宋体"/>
          <w:color w:val="auto"/>
          <w:sz w:val="24"/>
          <w:szCs w:val="24"/>
          <w:highlight w:val="none"/>
          <w:u w:val="none"/>
        </w:rPr>
        <w:t xml:space="preserve">桑夏软件园2号楼</w:t>
      </w:r>
      <w:r/>
    </w:p>
    <w:p>
      <w:pPr>
        <w:ind w:left="0" w:firstLine="720"/>
        <w:jc w:val="left"/>
        <w:pageBreakBefore w:val="0"/>
        <w:spacing w:line="360" w:lineRule="auto"/>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联系人：</w:t>
      </w:r>
      <w:r>
        <w:rPr>
          <w:rFonts w:hint="eastAsia" w:ascii="宋体" w:hAnsi="宋体" w:cs="宋体"/>
          <w:color w:val="auto"/>
          <w:sz w:val="24"/>
          <w:szCs w:val="24"/>
          <w:highlight w:val="none"/>
          <w:u w:val="none"/>
          <w:lang w:val="en-US" w:eastAsia="zh-CN"/>
        </w:rPr>
        <w:t xml:space="preserve">钱先</w:t>
      </w:r>
      <w:r>
        <w:rPr>
          <w:rFonts w:hint="default" w:ascii="宋体" w:hAnsi="宋体" w:eastAsia="宋体" w:cs="宋体"/>
          <w:color w:val="auto"/>
          <w:sz w:val="24"/>
          <w:szCs w:val="24"/>
          <w:highlight w:val="none"/>
          <w:u w:val="none"/>
          <w:lang w:val="en-US" w:eastAsia="zh-CN"/>
        </w:rPr>
        <w:t xml:space="preserve">生</w:t>
      </w:r>
      <w:r/>
    </w:p>
    <w:p>
      <w:pPr>
        <w:ind w:left="0" w:firstLine="720"/>
        <w:jc w:val="left"/>
        <w:pageBreakBefore w:val="0"/>
        <w:spacing w:line="360" w:lineRule="auto"/>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 xml:space="preserve">联系方式：</w:t>
      </w:r>
      <w:r>
        <w:rPr>
          <w:rFonts w:hint="eastAsia" w:ascii="宋体" w:hAnsi="宋体" w:cs="宋体"/>
          <w:color w:val="auto"/>
          <w:sz w:val="24"/>
          <w:szCs w:val="24"/>
          <w:highlight w:val="none"/>
          <w:u w:val="none"/>
          <w:lang w:val="en-US" w:eastAsia="zh-CN"/>
        </w:rPr>
        <w:t xml:space="preserve">13862816179</w:t>
      </w:r>
      <w:r/>
    </w:p>
    <w:p>
      <w:pPr>
        <w:ind w:left="0" w:firstLine="480"/>
        <w:jc w:val="left"/>
        <w:pageBreakBefore w:val="0"/>
        <w:spacing w:line="360" w:lineRule="auto"/>
        <w:widowControl/>
        <w:rPr>
          <w:rFonts w:hint="eastAsia" w:ascii="宋体" w:hAnsi="宋体" w:eastAsia="宋体" w:cs="宋体"/>
          <w:color w:val="auto"/>
          <w:sz w:val="24"/>
          <w:szCs w:val="24"/>
          <w:highlight w:val="none"/>
          <w:u w:val="none"/>
        </w:rPr>
      </w:pPr>
      <w:r/>
      <w:bookmarkStart w:id="40" w:name="_Toc28359010"/>
      <w:r/>
      <w:bookmarkStart w:id="41" w:name="_Toc28359087"/>
      <w:r>
        <w:rPr>
          <w:rFonts w:hint="eastAsia" w:ascii="宋体" w:hAnsi="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采购</w:t>
      </w:r>
      <w:r>
        <w:rPr>
          <w:rFonts w:hint="eastAsia" w:ascii="宋体" w:hAnsi="宋体" w:eastAsia="宋体" w:cs="宋体"/>
          <w:color w:val="auto"/>
          <w:sz w:val="24"/>
          <w:szCs w:val="24"/>
          <w:highlight w:val="none"/>
          <w:u w:val="none"/>
        </w:rPr>
        <w:t xml:space="preserve">代理信息</w:t>
      </w:r>
      <w:r/>
    </w:p>
    <w:p>
      <w:pPr>
        <w:ind w:left="0" w:firstLine="720"/>
        <w:jc w:val="left"/>
        <w:pageBreakBefore w:val="0"/>
        <w:spacing w:line="36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南通俊达工程造价咨询有限公司</w:t>
      </w:r>
      <w:r/>
    </w:p>
    <w:p>
      <w:pPr>
        <w:ind w:left="0" w:firstLine="720"/>
        <w:jc w:val="left"/>
        <w:pageBreakBefore w:val="0"/>
        <w:spacing w:line="360" w:lineRule="auto"/>
        <w:widowControl/>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地 址：</w:t>
      </w:r>
      <w:r>
        <w:rPr>
          <w:rFonts w:hint="eastAsia" w:ascii="宋体" w:hAnsi="宋体" w:cs="宋体"/>
          <w:color w:val="auto"/>
          <w:sz w:val="24"/>
          <w:szCs w:val="24"/>
          <w:highlight w:val="none"/>
          <w:u w:val="none"/>
          <w:lang w:eastAsia="zh-CN"/>
        </w:rPr>
        <w:t xml:space="preserve">南通市通州区朝霞路鑫河湾</w:t>
      </w:r>
      <w:r/>
    </w:p>
    <w:p>
      <w:pPr>
        <w:ind w:left="0" w:firstLine="720"/>
        <w:jc w:val="left"/>
        <w:pageBreakBefore w:val="0"/>
        <w:spacing w:line="36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赵女士</w:t>
      </w:r>
      <w:r>
        <w:rPr>
          <w:rFonts w:hint="eastAsia" w:ascii="宋体" w:hAnsi="宋体" w:eastAsia="宋体" w:cs="宋体"/>
          <w:color w:val="auto"/>
          <w:sz w:val="24"/>
          <w:szCs w:val="24"/>
          <w:highlight w:val="none"/>
          <w:u w:val="none"/>
        </w:rPr>
        <w:t xml:space="preserve">  </w:t>
      </w:r>
      <w:r/>
    </w:p>
    <w:p>
      <w:pPr>
        <w:ind w:left="0" w:firstLine="720"/>
        <w:jc w:val="left"/>
        <w:pageBreakBefore w:val="0"/>
        <w:spacing w:line="360" w:lineRule="auto"/>
        <w:widowControl/>
        <w:rPr>
          <w:rFonts w:hint="default"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联系方式：</w:t>
      </w:r>
      <w:bookmarkEnd w:id="40"/>
      <w:r/>
      <w:bookmarkEnd w:id="41"/>
      <w:r/>
      <w:bookmarkStart w:id="42" w:name="_Toc120614211"/>
      <w:r>
        <w:rPr>
          <w:rFonts w:hint="eastAsia" w:ascii="宋体" w:hAnsi="宋体" w:cs="宋体"/>
          <w:color w:val="auto"/>
          <w:sz w:val="24"/>
          <w:szCs w:val="24"/>
          <w:highlight w:val="none"/>
          <w:u w:val="none"/>
          <w:lang w:val="en-US" w:eastAsia="zh-CN"/>
        </w:rPr>
        <w:t xml:space="preserve">0513-86101116、18068003528</w:t>
      </w:r>
      <w:r/>
    </w:p>
    <w:p>
      <w:pPr>
        <w:ind w:firstLine="420"/>
        <w:jc w:val="left"/>
        <w:pageBreakBefore w:val="0"/>
        <w:spacing w:line="360" w:lineRule="auto"/>
        <w:widowControl/>
        <w:rPr>
          <w:rFonts w:hint="default"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3" w:name="_Toc513029203"/>
      <w:r/>
      <w:bookmarkStart w:id="44" w:name="_Toc20823275"/>
      <w:r/>
      <w:bookmarkStart w:id="45" w:name="_Toc120614214"/>
      <w:r/>
      <w:bookmarkStart w:id="46" w:name="_Toc16938519"/>
      <w:r>
        <w:rPr>
          <w:rFonts w:hint="eastAsia" w:ascii="宋体" w:hAnsi="宋体" w:eastAsia="宋体" w:cs="宋体"/>
          <w:b/>
          <w:bCs/>
          <w:color w:val="auto"/>
          <w:sz w:val="32"/>
          <w:szCs w:val="32"/>
          <w:highlight w:val="none"/>
        </w:rPr>
        <w:t xml:space="preserve">一、总则</w:t>
      </w:r>
      <w:bookmarkEnd w:id="43"/>
      <w:r/>
      <w:bookmarkEnd w:id="44"/>
      <w:r/>
      <w:bookmarkEnd w:id="45"/>
      <w:r/>
      <w:bookmarkEnd w:id="4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宋体" w:hAnsi="宋体" w:eastAsia="宋体" w:cs="宋体"/>
          <w:color w:val="auto"/>
          <w:sz w:val="28"/>
          <w:szCs w:val="28"/>
          <w:highlight w:val="none"/>
        </w:rPr>
        <w:t xml:space="preserve">1</w:t>
      </w:r>
      <w:bookmarkEnd w:id="48"/>
      <w:r>
        <w:rPr>
          <w:rFonts w:hint="eastAsia" w:ascii="宋体" w:hAnsi="宋体" w:eastAsia="宋体" w:cs="宋体"/>
          <w:color w:val="auto"/>
          <w:sz w:val="28"/>
          <w:szCs w:val="28"/>
          <w:highlight w:val="none"/>
        </w:rPr>
        <w:t xml:space="preserve">、采购方式</w:t>
      </w:r>
      <w:bookmarkEnd w:id="49"/>
      <w:r/>
      <w:bookmarkEnd w:id="50"/>
      <w:r/>
      <w:bookmarkEnd w:id="51"/>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2" w:name="_Toc16938521"/>
      <w:r/>
      <w:bookmarkStart w:id="53" w:name="_Toc513029205"/>
      <w:r/>
      <w:bookmarkStart w:id="54" w:name="_Toc20823277"/>
      <w:r>
        <w:rPr>
          <w:rFonts w:hint="eastAsia" w:ascii="宋体" w:hAnsi="宋体" w:eastAsia="宋体" w:cs="宋体"/>
          <w:color w:val="auto"/>
          <w:sz w:val="28"/>
          <w:szCs w:val="28"/>
          <w:highlight w:val="none"/>
        </w:rPr>
        <w:t xml:space="preserve">2、合格的</w:t>
      </w:r>
      <w:bookmarkEnd w:id="52"/>
      <w:r/>
      <w:bookmarkEnd w:id="53"/>
      <w:r/>
      <w:bookmarkEnd w:id="54"/>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5" w:name="_Toc513029206"/>
      <w:r/>
      <w:bookmarkStart w:id="56" w:name="_Toc16938522"/>
      <w:r/>
      <w:bookmarkStart w:id="57" w:name="_Toc20823278"/>
      <w:r>
        <w:rPr>
          <w:rFonts w:hint="eastAsia" w:ascii="宋体" w:hAnsi="宋体" w:eastAsia="宋体" w:cs="宋体"/>
          <w:color w:val="auto"/>
          <w:sz w:val="28"/>
          <w:szCs w:val="28"/>
          <w:highlight w:val="none"/>
        </w:rPr>
        <w:t xml:space="preserve">3、适用法律</w:t>
      </w:r>
      <w:bookmarkEnd w:id="55"/>
      <w:r/>
      <w:bookmarkEnd w:id="56"/>
      <w:r/>
      <w:bookmarkEnd w:id="5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8" w:name="_Toc513029207"/>
      <w:r/>
      <w:bookmarkStart w:id="59" w:name="_Toc462564067"/>
      <w:r/>
      <w:bookmarkStart w:id="60" w:name="_Toc16938523"/>
      <w:r/>
      <w:bookmarkStart w:id="61" w:name="_Toc20823279"/>
      <w:r>
        <w:rPr>
          <w:rFonts w:hint="eastAsia" w:ascii="宋体" w:hAnsi="宋体" w:eastAsia="宋体" w:cs="宋体"/>
          <w:color w:val="auto"/>
          <w:sz w:val="28"/>
          <w:szCs w:val="28"/>
          <w:highlight w:val="none"/>
        </w:rPr>
        <w:t xml:space="preserve">4、磋商费用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本项目招标代理费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报价综合考虑，由成交供应商支付</w:t>
      </w:r>
      <w:r>
        <w:rPr>
          <w:rFonts w:hint="eastAsia" w:ascii="宋体" w:hAnsi="宋体" w:eastAsia="宋体" w:cs="宋体"/>
          <w:color w:val="auto"/>
          <w:sz w:val="24"/>
          <w:szCs w:val="24"/>
          <w:highlight w:val="none"/>
          <w:lang w:eastAsia="zh-CN"/>
        </w:rPr>
        <w:t xml:space="preserve">。</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2" w:name="_Toc16938525"/>
      <w:r/>
      <w:bookmarkStart w:id="63" w:name="_Toc20823281"/>
      <w:r/>
      <w:bookmarkStart w:id="64" w:name="_Toc120614215"/>
      <w:r/>
      <w:bookmarkStart w:id="65" w:name="_Toc513029209"/>
      <w:r>
        <w:rPr>
          <w:rFonts w:hint="eastAsia" w:ascii="宋体" w:hAnsi="宋体" w:eastAsia="宋体" w:cs="宋体"/>
          <w:b/>
          <w:bCs/>
          <w:color w:val="auto"/>
          <w:sz w:val="32"/>
          <w:szCs w:val="32"/>
          <w:highlight w:val="none"/>
        </w:rPr>
        <w:t xml:space="preserve">二、</w:t>
      </w:r>
      <w:bookmarkEnd w:id="62"/>
      <w:r/>
      <w:bookmarkEnd w:id="63"/>
      <w:r/>
      <w:bookmarkEnd w:id="64"/>
      <w:r/>
      <w:bookmarkEnd w:id="65"/>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6" w:name="_Toc513029210"/>
      <w:r/>
      <w:bookmarkStart w:id="67" w:name="_Toc20823282"/>
      <w:r/>
      <w:bookmarkStart w:id="68" w:name="_Toc16938526"/>
      <w:r>
        <w:rPr>
          <w:rFonts w:hint="eastAsia" w:ascii="宋体" w:hAnsi="宋体" w:eastAsia="宋体" w:cs="宋体"/>
          <w:color w:val="auto"/>
          <w:sz w:val="28"/>
          <w:szCs w:val="28"/>
          <w:highlight w:val="none"/>
        </w:rPr>
        <w:t xml:space="preserve">6、磋商文件构成</w:t>
      </w:r>
      <w:bookmarkEnd w:id="66"/>
      <w:r/>
      <w:bookmarkEnd w:id="67"/>
      <w:r/>
      <w:bookmarkEnd w:id="6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9" w:name="_Toc20823283"/>
      <w:r/>
      <w:bookmarkStart w:id="70" w:name="_Toc513029211"/>
      <w:r/>
      <w:bookmarkStart w:id="71" w:name="_Toc16938527"/>
      <w:r/>
      <w:bookmarkStart w:id="72" w:name="_Toc462564070"/>
      <w:r>
        <w:rPr>
          <w:rFonts w:hint="eastAsia" w:ascii="宋体" w:hAnsi="宋体" w:eastAsia="宋体" w:cs="宋体"/>
          <w:color w:val="auto"/>
          <w:sz w:val="28"/>
          <w:szCs w:val="28"/>
          <w:highlight w:val="none"/>
        </w:rPr>
        <w:t xml:space="preserve">7、磋商文件的澄清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3" w:name="_Toc16938528"/>
      <w:r/>
      <w:bookmarkStart w:id="74" w:name="_Toc462564071"/>
      <w:r/>
      <w:bookmarkStart w:id="75" w:name="_Toc513029212"/>
      <w:r/>
      <w:bookmarkStart w:id="76" w:name="_Toc20823284"/>
      <w:r>
        <w:rPr>
          <w:rFonts w:hint="eastAsia" w:ascii="宋体" w:hAnsi="宋体" w:eastAsia="宋体" w:cs="宋体"/>
          <w:color w:val="auto"/>
          <w:sz w:val="28"/>
          <w:szCs w:val="28"/>
          <w:highlight w:val="none"/>
        </w:rPr>
        <w:t xml:space="preserve">8、磋商文件的澄清和修改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7" w:name="_Toc16938529"/>
      <w:r/>
      <w:bookmarkStart w:id="78" w:name="_Toc20823285"/>
      <w:r/>
      <w:bookmarkStart w:id="79" w:name="_Toc462564072"/>
      <w:r/>
      <w:bookmarkStart w:id="80" w:name="_Toc513029213"/>
      <w:r/>
      <w:bookmarkStart w:id="81" w:name="_Toc120614216"/>
      <w:r>
        <w:rPr>
          <w:rFonts w:hint="eastAsia" w:ascii="宋体" w:hAnsi="宋体" w:eastAsia="宋体" w:cs="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2" w:name="_Toc513029214"/>
      <w:r/>
      <w:bookmarkStart w:id="83" w:name="_Toc16938530"/>
      <w:r/>
      <w:bookmarkStart w:id="84" w:name="_Toc20823286"/>
      <w:r/>
      <w:bookmarkStart w:id="85" w:name="_Toc462564073"/>
      <w:r>
        <w:rPr>
          <w:rFonts w:hint="eastAsia" w:ascii="宋体" w:hAnsi="宋体" w:eastAsia="宋体" w:cs="宋体"/>
          <w:color w:val="auto"/>
          <w:sz w:val="28"/>
          <w:szCs w:val="28"/>
          <w:highlight w:val="none"/>
        </w:rPr>
        <w:t xml:space="preserve">9、响应文件的语言及度量衡单位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6" w:name="_Toc20823287"/>
      <w:r/>
      <w:bookmarkStart w:id="87" w:name="_Toc16938531"/>
      <w:r/>
      <w:bookmarkStart w:id="88" w:name="_Toc462564074"/>
      <w:r/>
      <w:bookmarkStart w:id="89" w:name="_Toc513029215"/>
      <w:r>
        <w:rPr>
          <w:rFonts w:hint="eastAsia" w:ascii="宋体" w:hAnsi="宋体" w:eastAsia="宋体" w:cs="宋体"/>
          <w:color w:val="auto"/>
          <w:sz w:val="28"/>
          <w:szCs w:val="28"/>
          <w:highlight w:val="none"/>
        </w:rPr>
        <w:t xml:space="preserve">10、响应文件构成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10.1供应商编写的响应文件应包括资格证明文件、</w:t>
      </w:r>
      <w:r>
        <w:rPr>
          <w:rFonts w:hint="eastAsia" w:ascii="宋体" w:hAnsi="宋体" w:eastAsia="宋体" w:cs="宋体"/>
          <w:bCs/>
          <w:color w:val="auto"/>
          <w:sz w:val="24"/>
          <w:szCs w:val="21"/>
          <w:highlight w:val="none"/>
          <w:lang w:val="en-US" w:eastAsia="zh-CN"/>
        </w:rPr>
        <w:t xml:space="preserve">符合性证明文件、商务技术要求响应文件、价格文件</w:t>
      </w:r>
      <w:r>
        <w:rPr>
          <w:rFonts w:hint="eastAsia" w:ascii="宋体" w:hAnsi="宋体" w:eastAsia="宋体" w:cs="宋体"/>
          <w:bCs/>
          <w:color w:val="auto"/>
          <w:sz w:val="24"/>
          <w:szCs w:val="21"/>
          <w:highlight w:val="none"/>
        </w:rPr>
        <w:t xml:space="preserve">。供应商按“第</w:t>
      </w:r>
      <w:r>
        <w:rPr>
          <w:rFonts w:hint="eastAsia" w:ascii="宋体" w:hAnsi="宋体" w:eastAsia="宋体" w:cs="宋体"/>
          <w:bCs/>
          <w:color w:val="auto"/>
          <w:sz w:val="24"/>
          <w:szCs w:val="21"/>
          <w:highlight w:val="none"/>
          <w:lang w:val="en-US" w:eastAsia="zh-CN"/>
        </w:rPr>
        <w:t xml:space="preserve">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 xml:space="preserve">格式</w:t>
      </w:r>
      <w:r>
        <w:rPr>
          <w:rFonts w:hint="eastAsia" w:ascii="宋体" w:hAnsi="宋体" w:eastAsia="宋体" w:cs="宋体"/>
          <w:bCs/>
          <w:color w:val="auto"/>
          <w:sz w:val="24"/>
          <w:szCs w:val="21"/>
          <w:highlight w:val="none"/>
        </w:rPr>
        <w:t xml:space="preserve">”要求编写响应文件。</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0" w:name="_Hlt26670360"/>
      <w:r/>
      <w:bookmarkEnd w:id="90"/>
      <w:r/>
      <w:bookmarkStart w:id="91" w:name="_Hlt26954838"/>
      <w:r/>
      <w:bookmarkEnd w:id="91"/>
      <w:r/>
      <w:bookmarkStart w:id="92" w:name="_Hlt26668975"/>
      <w:r/>
      <w:bookmarkEnd w:id="92"/>
      <w:r/>
      <w:bookmarkStart w:id="93" w:name="_Toc14577359"/>
      <w:r/>
      <w:bookmarkStart w:id="94" w:name="_Toc49090510"/>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3"/>
      <w:r/>
      <w:bookmarkEnd w:id="9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5" w:name="_Toc14577360"/>
      <w:r/>
      <w:bookmarkStart w:id="96" w:name="_Toc4909051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5"/>
      <w:r/>
      <w:bookmarkEnd w:id="96"/>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7" w:name="_Hlt26954852"/>
      <w:r/>
      <w:bookmarkEnd w:id="97"/>
      <w:r/>
      <w:bookmarkStart w:id="98" w:name="_Hlt26954739"/>
      <w:r/>
      <w:bookmarkEnd w:id="98"/>
      <w:r/>
      <w:bookmarkStart w:id="99" w:name="_Toc120614217"/>
      <w:r/>
      <w:bookmarkStart w:id="100" w:name="_Toc16938540"/>
      <w:r/>
      <w:bookmarkStart w:id="101" w:name="_Toc20823296"/>
      <w:r/>
      <w:bookmarkStart w:id="102" w:name="_Toc513029224"/>
      <w:r>
        <w:rPr>
          <w:rFonts w:hint="eastAsia" w:ascii="宋体" w:hAnsi="宋体" w:eastAsia="宋体" w:cs="宋体"/>
          <w:b/>
          <w:bCs/>
          <w:color w:val="auto"/>
          <w:sz w:val="32"/>
          <w:szCs w:val="32"/>
          <w:highlight w:val="none"/>
        </w:rPr>
        <w:t xml:space="preserve">四、响应文件的递交</w:t>
      </w:r>
      <w:bookmarkEnd w:id="99"/>
      <w:r/>
      <w:bookmarkEnd w:id="100"/>
      <w:r/>
      <w:bookmarkEnd w:id="101"/>
      <w:r/>
      <w:bookmarkEnd w:id="102"/>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3" w:name="_Toc16938541"/>
      <w:r/>
      <w:bookmarkStart w:id="104" w:name="_Toc513029225"/>
      <w:r/>
      <w:bookmarkStart w:id="105" w:name="_Toc462564084"/>
      <w:r/>
      <w:bookmarkStart w:id="106" w:name="_Toc20823297"/>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3"/>
      <w:r/>
      <w:bookmarkEnd w:id="104"/>
      <w:r/>
      <w:bookmarkEnd w:id="105"/>
      <w:r/>
      <w:bookmarkEnd w:id="106"/>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7" w:name="_Toc20823298"/>
      <w:r/>
      <w:bookmarkStart w:id="108" w:name="_Toc513029226"/>
      <w:r/>
      <w:bookmarkStart w:id="109" w:name="_Toc16938542"/>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7"/>
      <w:r/>
      <w:bookmarkEnd w:id="108"/>
      <w:r/>
      <w:bookmarkEnd w:id="109"/>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0" w:name="_Toc513029227"/>
      <w:r/>
      <w:bookmarkStart w:id="111" w:name="_Toc20823299"/>
      <w:r/>
      <w:bookmarkStart w:id="112" w:name="_Toc16938543"/>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0"/>
      <w:r/>
      <w:bookmarkEnd w:id="111"/>
      <w:r/>
      <w:bookmarkEnd w:id="112"/>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3" w:name="_Toc513029228"/>
      <w:r/>
      <w:bookmarkStart w:id="114" w:name="_Toc20823300"/>
      <w:r/>
      <w:bookmarkStart w:id="115" w:name="_Toc16938544"/>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3"/>
      <w:r/>
      <w:bookmarkEnd w:id="114"/>
      <w:r/>
      <w:bookmarkEnd w:id="11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6" w:name="_Toc16938545"/>
      <w:r/>
      <w:bookmarkStart w:id="117" w:name="_Toc513029229"/>
      <w:r/>
      <w:bookmarkStart w:id="118" w:name="_Toc20823301"/>
      <w:r/>
      <w:bookmarkStart w:id="119" w:name="_Toc120614218"/>
      <w:r>
        <w:rPr>
          <w:rFonts w:hint="eastAsia" w:ascii="宋体" w:hAnsi="宋体" w:eastAsia="宋体" w:cs="宋体"/>
          <w:b/>
          <w:bCs/>
          <w:color w:val="auto"/>
          <w:sz w:val="32"/>
          <w:szCs w:val="32"/>
          <w:highlight w:val="none"/>
        </w:rPr>
        <w:t xml:space="preserve">五、响应文件的解密与评审</w:t>
      </w:r>
      <w:bookmarkEnd w:id="116"/>
      <w:r/>
      <w:bookmarkEnd w:id="117"/>
      <w:r/>
      <w:bookmarkEnd w:id="118"/>
      <w:r/>
      <w:bookmarkEnd w:id="119"/>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0" w:name="_Toc20823302"/>
      <w:r/>
      <w:bookmarkStart w:id="121" w:name="_Toc16938546"/>
      <w:r/>
      <w:bookmarkStart w:id="122" w:name="_Toc513029230"/>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0"/>
      <w:r/>
      <w:bookmarkEnd w:id="121"/>
      <w:r/>
      <w:bookmarkEnd w:id="122"/>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3" w:name="_Toc513029231"/>
      <w:r/>
      <w:bookmarkStart w:id="124" w:name="_Toc16938547"/>
      <w:r/>
      <w:bookmarkStart w:id="125" w:name="_Toc20823303"/>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3"/>
      <w:r/>
      <w:bookmarkEnd w:id="124"/>
      <w:r/>
      <w:bookmarkEnd w:id="125"/>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6" w:name="_Toc513029232"/>
      <w:r/>
      <w:bookmarkStart w:id="127" w:name="_Toc16938548"/>
      <w:r/>
      <w:bookmarkStart w:id="128" w:name="_Toc20823304"/>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6"/>
      <w:r/>
      <w:bookmarkEnd w:id="127"/>
      <w:r/>
      <w:bookmarkEnd w:id="12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9" w:name="_Toc16938549"/>
      <w:r/>
      <w:bookmarkStart w:id="130" w:name="_Toc20823305"/>
      <w:r/>
      <w:bookmarkStart w:id="131" w:name="_Toc513029233"/>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29"/>
      <w:r/>
      <w:bookmarkEnd w:id="130"/>
      <w:r/>
      <w:bookmarkEnd w:id="131"/>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2" w:name="_Toc513029234"/>
      <w:r/>
      <w:bookmarkStart w:id="133" w:name="_Toc16938550"/>
      <w:r/>
      <w:bookmarkStart w:id="134" w:name="_Toc20823306"/>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2"/>
      <w:r/>
      <w:bookmarkEnd w:id="133"/>
      <w:r/>
      <w:bookmarkEnd w:id="134"/>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5" w:name="_Toc513029235"/>
      <w:r/>
      <w:bookmarkStart w:id="136" w:name="_Toc20823307"/>
      <w:r/>
      <w:bookmarkStart w:id="137" w:name="_Toc16938551"/>
      <w:r/>
      <w:bookmarkStart w:id="138" w:name="_Toc120614219"/>
      <w:r>
        <w:rPr>
          <w:rFonts w:hint="eastAsia" w:ascii="宋体" w:hAnsi="宋体" w:eastAsia="宋体" w:cs="宋体"/>
          <w:b/>
          <w:bCs/>
          <w:color w:val="auto"/>
          <w:sz w:val="32"/>
          <w:szCs w:val="32"/>
          <w:highlight w:val="none"/>
        </w:rPr>
        <w:t xml:space="preserve">六、</w:t>
      </w:r>
      <w:bookmarkEnd w:id="135"/>
      <w:r/>
      <w:bookmarkEnd w:id="136"/>
      <w:r/>
      <w:bookmarkEnd w:id="137"/>
      <w:r/>
      <w:bookmarkEnd w:id="138"/>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39" w:name="_Toc513029238"/>
      <w:r/>
      <w:bookmarkStart w:id="140" w:name="_Toc20823310"/>
      <w:r/>
      <w:bookmarkStart w:id="141" w:name="_Toc16938554"/>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39"/>
      <w:r>
        <w:rPr>
          <w:rFonts w:hint="eastAsia" w:ascii="宋体" w:hAnsi="宋体" w:eastAsia="宋体" w:cs="宋体"/>
          <w:bCs/>
          <w:color w:val="auto"/>
          <w:sz w:val="30"/>
          <w:szCs w:val="30"/>
          <w:highlight w:val="none"/>
        </w:rPr>
        <w:t xml:space="preserve">确定</w:t>
      </w:r>
      <w:bookmarkEnd w:id="140"/>
      <w:r/>
      <w:bookmarkEnd w:id="141"/>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w:t>
      </w:r>
      <w:r>
        <w:rPr>
          <w:rFonts w:hint="eastAsia" w:ascii="宋体" w:hAnsi="宋体" w:eastAsia="宋体" w:cs="宋体"/>
          <w:i w:val="0"/>
          <w:iCs w:val="0"/>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2"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w:t>
      </w:r>
      <w:r>
        <w:rPr>
          <w:rFonts w:hint="eastAsia" w:ascii="宋体" w:hAnsi="宋体" w:cs="宋体"/>
          <w:color w:val="auto"/>
          <w:sz w:val="24"/>
          <w:szCs w:val="24"/>
          <w:highlight w:val="none"/>
          <w:lang w:val="en-US" w:eastAsia="zh-CN"/>
        </w:rPr>
        <w:t xml:space="preserve">力。成交通知书发出后，采购人改变成交结果的，或者成交供应商放弃成交项目的，应当依法承担法律责任。</w:t>
      </w:r>
      <w:r/>
    </w:p>
    <w:p>
      <w:p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29.3采购代理机构将在“江苏政府采购网”发布成交结果公告，公告期限为1个工作日，同时向中标人发出成交、中标通知书，中标供应商于公告期限结束后自行及时到采购人或者采购代理机构处领取，中标供应商延期领取成交、中标通知书（不会影响到中标通知书的效力和合同签订要求）后果自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3" w:name="_Toc20823308"/>
      <w:r/>
      <w:bookmarkStart w:id="144" w:name="_Toc16938552"/>
      <w:r/>
      <w:bookmarkStart w:id="145" w:name="_Toc513029236"/>
      <w:r/>
      <w:bookmarkStart w:id="146" w:name="_Toc120614220"/>
      <w:r>
        <w:rPr>
          <w:rFonts w:hint="eastAsia" w:ascii="宋体" w:hAnsi="宋体" w:eastAsia="宋体" w:cs="宋体"/>
          <w:b/>
          <w:bCs/>
          <w:color w:val="auto"/>
          <w:sz w:val="32"/>
          <w:szCs w:val="32"/>
          <w:highlight w:val="none"/>
        </w:rPr>
        <w:t xml:space="preserve">七、授予合同</w:t>
      </w:r>
      <w:bookmarkEnd w:id="143"/>
      <w:r/>
      <w:bookmarkEnd w:id="144"/>
      <w:r/>
      <w:bookmarkEnd w:id="145"/>
      <w:r/>
      <w:bookmarkEnd w:id="146"/>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7" w:name="_Toc20823309"/>
      <w:r/>
      <w:bookmarkStart w:id="148" w:name="_Toc513029237"/>
      <w:r/>
      <w:bookmarkStart w:id="149" w:name="_Toc16938553"/>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i w:val="0"/>
          <w:iCs w:val="0"/>
          <w:color w:val="auto"/>
          <w:sz w:val="24"/>
          <w:szCs w:val="24"/>
          <w:highlight w:val="none"/>
          <w:lang w:val="en-US" w:eastAsia="zh-CN"/>
        </w:rPr>
        <w:t xml:space="preserve">30.4</w:t>
      </w:r>
      <w:r>
        <w:rPr>
          <w:rFonts w:hint="eastAsia" w:ascii="Times New Roman" w:hAnsi="Times New Roman" w:eastAsia="宋体" w:cs="Times New Roman"/>
          <w:color w:val="auto"/>
          <w:sz w:val="24"/>
          <w:szCs w:val="20"/>
          <w:highlight w:val="none"/>
        </w:rPr>
        <w:t xml:space="preserve">采购人将政府采购合同进行网上备案。</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
    </w:p>
    <w:p>
      <w:pPr>
        <w:numPr>
          <w:ilvl w:val="0"/>
          <w:numId w:val="5"/>
        </w:num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中标供应商在收到中标通知书后，在签订合同前向采购人缴纳履约保证金。</w:t>
      </w:r>
      <w:r>
        <w:rPr>
          <w:rFonts w:hint="eastAsia" w:ascii="Times New Roman" w:hAnsi="Times New Roman" w:eastAsia="宋体" w:cs="Times New Roman"/>
          <w:b w:val="0"/>
          <w:bCs w:val="0"/>
          <w:color w:val="auto"/>
          <w:sz w:val="24"/>
          <w:szCs w:val="20"/>
          <w:highlight w:val="none"/>
        </w:rPr>
        <w:t xml:space="preserve">根据合同内容规定成交供应商缴纳中标价的10%作为履约保证金，履约保证金用以约束成交供应商在合同履行中的行为，弥补合同执行中由于自身行为可能给采购人带来的各种损失。如果成交供应商</w:t>
      </w:r>
      <w:r>
        <w:rPr>
          <w:rFonts w:hint="eastAsia" w:ascii="Times New Roman" w:hAnsi="Times New Roman" w:eastAsia="宋体" w:cs="Times New Roman"/>
          <w:b w:val="0"/>
          <w:bCs w:val="0"/>
          <w:color w:val="auto"/>
          <w:spacing w:val="7"/>
          <w:sz w:val="24"/>
          <w:szCs w:val="20"/>
          <w:highlight w:val="none"/>
          <w:lang w:eastAsia="zh-CN"/>
        </w:rPr>
        <w:t xml:space="preserve">（</w:t>
      </w:r>
      <w:r>
        <w:rPr>
          <w:rFonts w:hint="eastAsia" w:ascii="Times New Roman" w:hAnsi="Times New Roman" w:eastAsia="宋体" w:cs="Times New Roman"/>
          <w:b w:val="0"/>
          <w:bCs w:val="0"/>
          <w:color w:val="auto"/>
          <w:spacing w:val="7"/>
          <w:sz w:val="24"/>
          <w:szCs w:val="20"/>
          <w:highlight w:val="none"/>
          <w:lang w:val="en-US" w:eastAsia="zh-CN"/>
        </w:rPr>
        <w:t xml:space="preserve">逾期）</w:t>
      </w:r>
      <w:r>
        <w:rPr>
          <w:rFonts w:hint="eastAsia" w:ascii="Times New Roman" w:hAnsi="Times New Roman" w:eastAsia="宋体" w:cs="Times New Roman"/>
          <w:b w:val="0"/>
          <w:bCs w:val="0"/>
          <w:color w:val="auto"/>
          <w:sz w:val="24"/>
          <w:szCs w:val="20"/>
          <w:highlight w:val="none"/>
        </w:rPr>
        <w:t xml:space="preserve">未按照规定缴纳</w:t>
      </w:r>
      <w:r>
        <w:rPr>
          <w:rFonts w:hint="eastAsia" w:ascii="Times New Roman" w:hAnsi="Times New Roman" w:eastAsia="宋体" w:cs="Times New Roman"/>
          <w:b w:val="0"/>
          <w:bCs w:val="0"/>
          <w:color w:val="auto"/>
          <w:sz w:val="24"/>
          <w:szCs w:val="20"/>
          <w:highlight w:val="none"/>
          <w:lang w:val="en-US" w:eastAsia="zh-CN"/>
        </w:rPr>
        <w:t xml:space="preserve">履约保证金</w:t>
      </w:r>
      <w:r>
        <w:rPr>
          <w:rFonts w:hint="eastAsia" w:ascii="Times New Roman" w:hAnsi="Times New Roman" w:eastAsia="宋体" w:cs="Times New Roman"/>
          <w:b w:val="0"/>
          <w:bCs w:val="0"/>
          <w:color w:val="auto"/>
          <w:sz w:val="24"/>
          <w:szCs w:val="20"/>
          <w:highlight w:val="none"/>
        </w:rPr>
        <w:t xml:space="preserve">，</w:t>
      </w:r>
      <w:r>
        <w:rPr>
          <w:rFonts w:hint="eastAsia" w:ascii="Times New Roman" w:hAnsi="Times New Roman" w:eastAsia="宋体" w:cs="Times New Roman"/>
          <w:b w:val="0"/>
          <w:bCs w:val="0"/>
          <w:color w:val="auto"/>
          <w:spacing w:val="7"/>
          <w:sz w:val="24"/>
          <w:szCs w:val="20"/>
          <w:highlight w:val="none"/>
          <w:lang w:val="en-US" w:eastAsia="zh-CN"/>
        </w:rPr>
        <w:t xml:space="preserve">视为其主动放弃中标资格，</w:t>
      </w:r>
      <w:r>
        <w:rPr>
          <w:rFonts w:hint="eastAsia" w:ascii="Times New Roman" w:hAnsi="Times New Roman" w:eastAsia="宋体" w:cs="Times New Roman"/>
          <w:b w:val="0"/>
          <w:bCs w:val="0"/>
          <w:color w:val="auto"/>
          <w:sz w:val="24"/>
          <w:szCs w:val="20"/>
          <w:highlight w:val="none"/>
        </w:rPr>
        <w:t xml:space="preserve">采购人有权取消本次采购成交决定。</w:t>
      </w:r>
      <w:r/>
    </w:p>
    <w:p>
      <w:pPr>
        <w:ind w:firstLine="480"/>
        <w:pageBreakBefore w:val="0"/>
        <w:spacing w:line="360" w:lineRule="auto"/>
        <w:widowControl w:val="off"/>
        <w:rPr>
          <w:rFonts w:hint="eastAsia" w:ascii="宋体" w:hAnsi="宋体" w:eastAsia="宋体" w:cs="宋体"/>
          <w:bCs/>
          <w:i w:val="0"/>
          <w:iCs w:val="0"/>
          <w:color w:val="auto"/>
          <w:sz w:val="24"/>
          <w:szCs w:val="24"/>
          <w:highlight w:val="yellow"/>
        </w:rPr>
      </w:pPr>
      <w:r>
        <w:rPr>
          <w:rFonts w:hint="eastAsia" w:ascii="宋体" w:hAnsi="宋体" w:eastAsia="宋体" w:cs="宋体"/>
          <w:color w:val="auto"/>
          <w:sz w:val="24"/>
          <w:szCs w:val="24"/>
          <w:highlight w:val="yellow"/>
        </w:rPr>
        <w:t xml:space="preserve">履约保证金的形式：现金、转账、支票、汇票、本票或者金融机构、担保机构出具的保函等。</w:t>
      </w:r>
      <w:r>
        <w:rPr>
          <w:rFonts w:hint="eastAsia" w:ascii="宋体" w:hAnsi="宋体" w:cs="宋体"/>
          <w:bCs/>
          <w:color w:val="auto"/>
          <w:sz w:val="24"/>
          <w:szCs w:val="24"/>
          <w:highlight w:val="yellow"/>
          <w:lang w:eastAsia="zh-CN"/>
        </w:rPr>
        <w:t xml:space="preserve">保函担保有效期开具时间为合同约定工期基础延长</w:t>
      </w:r>
      <w:r>
        <w:rPr>
          <w:rFonts w:hint="eastAsia" w:ascii="宋体" w:hAnsi="宋体" w:cs="宋体"/>
          <w:bCs/>
          <w:color w:val="auto"/>
          <w:sz w:val="24"/>
          <w:szCs w:val="24"/>
          <w:highlight w:val="yellow"/>
          <w:lang w:val="en-US" w:eastAsia="zh-CN"/>
        </w:rPr>
        <w:t xml:space="preserve">一</w:t>
      </w:r>
      <w:r>
        <w:rPr>
          <w:rFonts w:hint="eastAsia" w:ascii="宋体" w:hAnsi="宋体" w:cs="宋体"/>
          <w:bCs/>
          <w:color w:val="auto"/>
          <w:sz w:val="24"/>
          <w:szCs w:val="24"/>
          <w:highlight w:val="yellow"/>
          <w:lang w:eastAsia="zh-CN"/>
        </w:rPr>
        <w:t xml:space="preserve">个月）</w:t>
      </w:r>
      <w:r>
        <w:rPr>
          <w:rFonts w:hint="eastAsia" w:ascii="宋体" w:hAnsi="宋体" w:eastAsia="宋体" w:cs="宋体"/>
          <w:bCs/>
          <w:i w:val="0"/>
          <w:iCs w:val="0"/>
          <w:color w:val="auto"/>
          <w:sz w:val="24"/>
          <w:szCs w:val="24"/>
          <w:highlight w:val="yellow"/>
          <w:lang w:eastAsia="zh-CN"/>
        </w:rPr>
        <w:t xml:space="preserve">，</w:t>
      </w:r>
      <w:r>
        <w:rPr>
          <w:rFonts w:hint="eastAsia" w:ascii="宋体" w:hAnsi="宋体" w:eastAsia="宋体" w:cs="宋体"/>
          <w:bCs/>
          <w:i w:val="0"/>
          <w:iCs w:val="0"/>
          <w:color w:val="auto"/>
          <w:sz w:val="24"/>
          <w:szCs w:val="24"/>
          <w:highlight w:val="yellow"/>
        </w:rPr>
        <w:t xml:space="preserve">逾期视为乙方自动放弃</w:t>
      </w:r>
      <w:r>
        <w:rPr>
          <w:rFonts w:hint="eastAsia" w:ascii="宋体" w:hAnsi="宋体" w:eastAsia="宋体" w:cs="宋体"/>
          <w:bCs/>
          <w:i w:val="0"/>
          <w:iCs w:val="0"/>
          <w:color w:val="auto"/>
          <w:sz w:val="24"/>
          <w:szCs w:val="24"/>
          <w:highlight w:val="yellow"/>
          <w:lang w:eastAsia="zh-CN"/>
        </w:rPr>
        <w:t xml:space="preserve">成交</w:t>
      </w:r>
      <w:r>
        <w:rPr>
          <w:rFonts w:hint="eastAsia" w:ascii="宋体" w:hAnsi="宋体" w:eastAsia="宋体" w:cs="宋体"/>
          <w:bCs/>
          <w:i w:val="0"/>
          <w:iCs w:val="0"/>
          <w:color w:val="auto"/>
          <w:sz w:val="24"/>
          <w:szCs w:val="24"/>
          <w:highlight w:val="yellow"/>
        </w:rPr>
        <w:t xml:space="preserve">资格，甲方有权按照相关程序另行确定</w:t>
      </w:r>
      <w:r>
        <w:rPr>
          <w:rFonts w:hint="eastAsia" w:ascii="宋体" w:hAnsi="宋体" w:eastAsia="宋体" w:cs="宋体"/>
          <w:bCs/>
          <w:i w:val="0"/>
          <w:iCs w:val="0"/>
          <w:color w:val="auto"/>
          <w:sz w:val="24"/>
          <w:szCs w:val="24"/>
          <w:highlight w:val="yellow"/>
          <w:lang w:eastAsia="zh-CN"/>
        </w:rPr>
        <w:t xml:space="preserve">成交</w:t>
      </w:r>
      <w:r>
        <w:rPr>
          <w:rFonts w:hint="eastAsia" w:ascii="宋体" w:hAnsi="宋体" w:eastAsia="宋体" w:cs="宋体"/>
          <w:bCs/>
          <w:i w:val="0"/>
          <w:iCs w:val="0"/>
          <w:color w:val="auto"/>
          <w:sz w:val="24"/>
          <w:szCs w:val="24"/>
          <w:highlight w:val="yellow"/>
        </w:rPr>
        <w:t xml:space="preserve">供应商。</w:t>
      </w:r>
      <w:r/>
    </w:p>
    <w:p>
      <w:pPr>
        <w:ind w:firstLine="48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32.2</w:t>
      </w:r>
      <w:r>
        <w:rPr>
          <w:rFonts w:hint="eastAsia" w:ascii="宋体" w:hAnsi="宋体" w:eastAsia="宋体" w:cs="宋体"/>
          <w:bCs/>
          <w:i w:val="0"/>
          <w:iCs w:val="0"/>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i w:val="0"/>
          <w:iCs w:val="0"/>
          <w:color w:val="auto"/>
          <w:sz w:val="24"/>
          <w:szCs w:val="24"/>
          <w:highlight w:val="none"/>
          <w:lang w:eastAsia="zh-CN"/>
        </w:rPr>
        <w:t xml:space="preserve">成交</w:t>
      </w:r>
      <w:r>
        <w:rPr>
          <w:rFonts w:hint="eastAsia" w:ascii="宋体" w:hAnsi="宋体" w:eastAsia="宋体" w:cs="宋体"/>
          <w:bCs/>
          <w:i w:val="0"/>
          <w:iCs w:val="0"/>
          <w:color w:val="auto"/>
          <w:sz w:val="24"/>
          <w:szCs w:val="24"/>
          <w:highlight w:val="none"/>
        </w:rPr>
        <w:t xml:space="preserve">供应商未缴纳履约保证金，采购人有权取消本次采购中标决定。</w:t>
      </w:r>
      <w:r/>
    </w:p>
    <w:p>
      <w:pPr>
        <w:ind w:left="0" w:right="0" w:firstLine="480"/>
        <w:keepLines w:val="0"/>
        <w:keepNext w:val="0"/>
        <w:pageBreakBefore w:val="0"/>
        <w:spacing w:line="360" w:lineRule="auto"/>
        <w:widowControl w:val="off"/>
        <w:rPr>
          <w:rFonts w:hint="default" w:ascii="Times New Roman" w:hAnsi="Times New Roman" w:eastAsia="宋体" w:cs="Times New Roman"/>
          <w:b w:val="0"/>
          <w:bCs w:val="0"/>
          <w:color w:val="auto"/>
          <w:sz w:val="24"/>
          <w:szCs w:val="20"/>
          <w:highlight w:val="none"/>
        </w:rPr>
      </w:pPr>
      <w:r>
        <w:rPr>
          <w:rFonts w:hint="eastAsia" w:ascii="宋体" w:hAnsi="宋体" w:eastAsia="宋体" w:cs="宋体"/>
          <w:bCs/>
          <w:i w:val="0"/>
          <w:iCs w:val="0"/>
          <w:color w:val="auto"/>
          <w:sz w:val="24"/>
          <w:szCs w:val="24"/>
          <w:highlight w:val="none"/>
          <w:lang w:val="en-US" w:eastAsia="zh-CN"/>
        </w:rPr>
        <w:t xml:space="preserve">32.3</w:t>
      </w:r>
      <w:r>
        <w:rPr>
          <w:rFonts w:hint="eastAsia" w:ascii="宋体" w:hAnsi="宋体" w:eastAsia="宋体" w:cs="宋体"/>
          <w:bCs/>
          <w:i w:val="0"/>
          <w:iCs w:val="0"/>
          <w:color w:val="auto"/>
          <w:sz w:val="24"/>
          <w:szCs w:val="24"/>
          <w:highlight w:val="none"/>
        </w:rPr>
        <w:t xml:space="preserve">履约保证金的退还：</w:t>
      </w:r>
      <w:r>
        <w:rPr>
          <w:rFonts w:hint="eastAsia" w:ascii="Times New Roman" w:hAnsi="Times New Roman" w:eastAsia="宋体" w:cs="Times New Roman"/>
          <w:b w:val="0"/>
          <w:bCs w:val="0"/>
          <w:color w:val="auto"/>
          <w:sz w:val="24"/>
          <w:szCs w:val="20"/>
          <w:highlight w:val="none"/>
          <w:u w:val="none"/>
        </w:rPr>
        <w:t xml:space="preserve">履约保证金依约剩余的余额，在工程竣工验收合格且工程结算通过审计局审定后的一周内可申请退还；依约扣除的履约保证金不予退还</w:t>
      </w:r>
      <w:r>
        <w:rPr>
          <w:rFonts w:hint="eastAsia" w:ascii="Times New Roman" w:hAnsi="Times New Roman" w:eastAsia="宋体" w:cs="Times New Roman"/>
          <w:b w:val="0"/>
          <w:bCs w:val="0"/>
          <w:color w:val="auto"/>
          <w:sz w:val="24"/>
          <w:szCs w:val="20"/>
          <w:highlight w:val="none"/>
        </w:rPr>
        <w:t xml:space="preserve">。</w:t>
      </w:r>
      <w:r/>
    </w:p>
    <w:p>
      <w:pPr>
        <w:ind w:left="0" w:right="0" w:firstLine="480"/>
        <w:keepLines w:val="0"/>
        <w:keepNext w:val="0"/>
        <w:pageBreakBefore w:val="0"/>
        <w:spacing w:line="360" w:lineRule="auto"/>
        <w:widowControl w:val="off"/>
        <w:rPr>
          <w:rFonts w:hint="eastAsia" w:ascii="Times New Roman" w:hAnsi="Times New Roman" w:eastAsia="宋体" w:cs="Times New Roman"/>
          <w:bCs/>
          <w:color w:val="auto"/>
          <w:sz w:val="24"/>
          <w:szCs w:val="22"/>
          <w:highlight w:val="none"/>
          <w:u w:val="none"/>
        </w:rPr>
      </w:pPr>
      <w:r>
        <w:rPr>
          <w:rFonts w:hint="eastAsia" w:ascii="Times New Roman" w:hAnsi="Times New Roman" w:eastAsia="宋体" w:cs="Times New Roman"/>
          <w:bCs/>
          <w:color w:val="auto"/>
          <w:sz w:val="24"/>
          <w:szCs w:val="22"/>
          <w:highlight w:val="none"/>
          <w:lang w:val="en-US" w:eastAsia="zh-CN"/>
        </w:rPr>
        <w:t xml:space="preserve">32.4</w:t>
      </w:r>
      <w:r>
        <w:rPr>
          <w:rFonts w:hint="eastAsia" w:ascii="Times New Roman" w:hAnsi="Times New Roman" w:eastAsia="宋体" w:cs="Times New Roman"/>
          <w:color w:val="auto"/>
          <w:sz w:val="24"/>
          <w:szCs w:val="24"/>
          <w:highlight w:val="none"/>
          <w:u w:val="none"/>
          <w:lang w:val="en-US" w:eastAsia="zh-CN"/>
        </w:rPr>
        <w:t xml:space="preserve">采购人</w:t>
      </w:r>
      <w:r>
        <w:rPr>
          <w:rFonts w:hint="eastAsia" w:ascii="Times New Roman" w:hAnsi="Times New Roman" w:eastAsia="宋体" w:cs="Times New Roman"/>
          <w:color w:val="auto"/>
          <w:sz w:val="24"/>
          <w:szCs w:val="24"/>
          <w:highlight w:val="none"/>
          <w:u w:val="none"/>
        </w:rPr>
        <w:t xml:space="preserve">拖延退还履约保证金，由</w:t>
      </w:r>
      <w:r>
        <w:rPr>
          <w:rFonts w:hint="eastAsia" w:ascii="Times New Roman" w:hAnsi="Times New Roman" w:eastAsia="宋体" w:cs="Times New Roman"/>
          <w:color w:val="auto"/>
          <w:sz w:val="24"/>
          <w:szCs w:val="24"/>
          <w:highlight w:val="none"/>
          <w:u w:val="none"/>
          <w:lang w:val="en-US" w:eastAsia="zh-CN"/>
        </w:rPr>
        <w:t xml:space="preserve">采购人</w:t>
      </w:r>
      <w:r>
        <w:rPr>
          <w:rFonts w:hint="eastAsia" w:ascii="Times New Roman" w:hAnsi="Times New Roman" w:eastAsia="宋体" w:cs="Times New Roman"/>
          <w:color w:val="auto"/>
          <w:sz w:val="24"/>
          <w:szCs w:val="24"/>
          <w:highlight w:val="none"/>
          <w:u w:val="none"/>
        </w:rPr>
        <w:t xml:space="preserve">按应退履约保证金总价款同期银行贷款利率承担违约责任。</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2"/>
          <w:highlight w:val="none"/>
          <w:lang w:val="en-US" w:eastAsia="zh-CN"/>
        </w:rPr>
        <w:t xml:space="preserve">32.5</w:t>
      </w:r>
      <w:r>
        <w:rPr>
          <w:rFonts w:hint="eastAsia" w:ascii="Times New Roman" w:hAnsi="Times New Roman" w:eastAsia="宋体" w:cs="Times New Roman"/>
          <w:color w:val="auto"/>
          <w:sz w:val="24"/>
          <w:szCs w:val="22"/>
          <w:highlight w:val="none"/>
        </w:rPr>
        <w:t xml:space="preserve">发生以下情况的，履约保证金不予退还或部分退还：</w:t>
      </w:r>
      <w:r/>
    </w:p>
    <w:p>
      <w:pPr>
        <w:ind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color w:val="auto"/>
          <w:sz w:val="24"/>
          <w:szCs w:val="22"/>
          <w:highlight w:val="none"/>
        </w:rPr>
        <w:t xml:space="preserve">（1）</w:t>
      </w:r>
      <w:r>
        <w:rPr>
          <w:rFonts w:hint="eastAsia" w:ascii="Times New Roman" w:hAnsi="Times New Roman" w:eastAsia="宋体" w:cs="Times New Roman"/>
          <w:b/>
          <w:bCs/>
          <w:color w:val="auto"/>
          <w:sz w:val="24"/>
          <w:szCs w:val="22"/>
          <w:highlight w:val="none"/>
        </w:rPr>
        <w:t xml:space="preserve">签订合同后，成交供应商不履行合同义务的，采购人有权全额扣除履约保证金，全额不予退还，同时采购人亦有权终止合同，成交供应商还须承担相应的法律赔偿责任。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2"/>
          <w:highlight w:val="none"/>
        </w:rPr>
        <w:t xml:space="preserve">（2）成交供应商在履约过程中发生违约行为，给采购人造成损失的，采购人有权在成交供应商缴纳的履约保证金中予以扣款，以弥补采购人经济损失，不足的部分成交供应商另外补齐。</w:t>
      </w:r>
      <w:r/>
    </w:p>
    <w:p>
      <w:pPr>
        <w:ind w:firstLine="480"/>
        <w:pageBreakBefore w:val="0"/>
        <w:spacing w:line="360" w:lineRule="auto"/>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val="en-US" w:eastAsia="zh-CN"/>
        </w:rPr>
        <w:t xml:space="preserve">33</w:t>
      </w:r>
      <w:bookmarkStart w:id="150" w:name="_Toc513029242"/>
      <w:r/>
      <w:bookmarkStart w:id="151" w:name="_Toc479757207"/>
      <w:r/>
      <w:bookmarkStart w:id="152" w:name="_Toc20823314"/>
      <w:r/>
      <w:bookmarkStart w:id="153" w:name="_Toc16938558"/>
      <w:r/>
      <w:bookmarkStart w:id="154" w:name="_Toc120614221"/>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33.2</w:t>
      </w:r>
      <w:r>
        <w:rPr>
          <w:rFonts w:hint="eastAsia" w:ascii="宋体" w:hAnsi="宋体" w:eastAsia="宋体" w:cs="宋体"/>
          <w:color w:val="auto"/>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t xml:space="preserve">履约验收</w:t>
      </w:r>
      <w:r/>
    </w:p>
    <w:p>
      <w:pPr>
        <w:pStyle w:val="1170"/>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履约验收的基本要求：中标供应商应按照合同约定的时间、质量、数量等要求完成本项目。本项目将严格按照项目需求中的质量和技术要求和标准进行履约验收。</w:t>
      </w:r>
      <w:r/>
    </w:p>
    <w:p>
      <w:pPr>
        <w:pStyle w:val="1170"/>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p>
    <w:p>
      <w:pPr>
        <w:pStyle w:val="1170"/>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p>
    <w:p>
      <w:pPr>
        <w:pStyle w:val="1170"/>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5" w:name="_Toc16938559"/>
      <w:r/>
      <w:bookmarkStart w:id="156" w:name="_Toc20823315"/>
      <w:r/>
      <w:bookmarkStart w:id="157" w:name="_Toc513029243"/>
      <w:r/>
      <w:bookmarkStart w:id="158" w:name="_Toc16938590"/>
      <w:r/>
      <w:bookmarkStart w:id="159" w:name="_Toc120614244"/>
      <w:r/>
      <w:bookmarkStart w:id="160" w:name="_Toc20823346"/>
      <w:r/>
      <w:bookmarkStart w:id="161" w:name="_Toc479757211"/>
      <w:r/>
      <w:bookmarkStart w:id="162" w:name="_Toc462564139"/>
      <w:r>
        <w:rPr>
          <w:rFonts w:hint="eastAsia" w:ascii="宋体" w:hAnsi="宋体" w:eastAsia="宋体" w:cs="宋体"/>
          <w:bCs/>
          <w:color w:val="auto"/>
          <w:sz w:val="24"/>
          <w:szCs w:val="24"/>
          <w:highlight w:val="none"/>
        </w:rPr>
        <w:t xml:space="preserve">以下为成交后签定本项目合同的通用条款，成交供应商不得提出实质性的修改。</w:t>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bookmarkEnd w:id="155"/>
      <w:r/>
      <w:bookmarkEnd w:id="156"/>
      <w:r/>
      <w:bookmarkEnd w:id="157"/>
      <w:r/>
      <w:r/>
    </w:p>
    <w:p>
      <w:pPr>
        <w:jc w:val="center"/>
        <w:rPr>
          <w:rFonts w:ascii="Times New Roman" w:hAnsi="Times New Roman" w:eastAsia="仿宋_GB2312"/>
          <w:color w:val="auto"/>
          <w:sz w:val="32"/>
          <w:szCs w:val="24"/>
          <w:highlight w:val="none"/>
        </w:rPr>
      </w:pPr>
      <w:r>
        <w:rPr>
          <w:rFonts w:hint="eastAsia" w:eastAsia="仿宋_GB2312"/>
          <w:color w:val="auto"/>
          <w:sz w:val="32"/>
          <w:szCs w:val="24"/>
          <w:highlight w:val="none"/>
          <w:lang w:eastAsia="zh-CN"/>
        </w:rPr>
        <w:t xml:space="preserve">(</w:t>
      </w:r>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rPr>
          <w:rFonts w:hint="eastAsia" w:eastAsia="仿宋_GB2312"/>
          <w:color w:val="auto"/>
          <w:sz w:val="32"/>
          <w:szCs w:val="24"/>
          <w:highlight w:val="none"/>
          <w:lang w:eastAsia="zh-CN"/>
        </w:rPr>
        <w:t xml:space="preserve">)</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rPr>
          <w:rFonts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 xml:space="preserve">（示范文本）</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ind w:right="2719" w:firstLine="2750"/>
        <w:jc w:val="both"/>
        <w:rPr>
          <w:rFonts w:hint="eastAsia" w:eastAsia="宋体"/>
          <w:b/>
          <w:color w:val="auto"/>
          <w:sz w:val="32"/>
          <w:szCs w:val="24"/>
          <w:highlight w:val="none"/>
        </w:rPr>
      </w:pPr>
      <w:r>
        <w:rPr>
          <w:rFonts w:hint="eastAsia" w:eastAsia="宋体"/>
          <w:b/>
          <w:color w:val="auto"/>
          <w:sz w:val="3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szCs w:val="24"/>
                              </w:rPr>
                            </w:pPr>
                            <w:r>
                              <w:rPr>
                                <w:rFonts w:hint="eastAsia" w:eastAsia="宋体"/>
                                <w:b/>
                                <w:sz w:val="32"/>
                                <w:szCs w:val="24"/>
                              </w:rPr>
                              <w:t xml:space="preserve">制定</w:t>
                            </w:r>
                            <w:r/>
                          </w:p>
                          <w:p>
                            <w:r/>
                            <w:r/>
                          </w:p>
                        </w:txbxContent>
                      </wps:txbx>
                      <wps:bodyPr wrap="square" upright="1"/>
                    </wps:wsp>
                  </a:graphicData>
                </a:graphic>
              </wp:anchor>
            </w:drawing>
          </mc:Choice>
          <mc:Fallback>
            <w:pict>
              <v:shape id="shape 9" o:spid="_x0000_s9" o:spt="202" type="#_x0000_t202" style="position:absolute;z-index:251663360;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rPr>
                          <w:b/>
                          <w:sz w:val="32"/>
                          <w:szCs w:val="24"/>
                        </w:rPr>
                      </w:pPr>
                      <w:r>
                        <w:rPr>
                          <w:rFonts w:hint="eastAsia" w:eastAsia="宋体"/>
                          <w:b/>
                          <w:sz w:val="32"/>
                          <w:szCs w:val="24"/>
                        </w:rPr>
                        <w:t xml:space="preserve">制定</w:t>
                      </w:r>
                      <w:r/>
                    </w:p>
                    <w:p>
                      <w:r/>
                      <w:r/>
                    </w:p>
                  </w:txbxContent>
                </v:textbox>
              </v:shape>
            </w:pict>
          </mc:Fallback>
        </mc:AlternateContent>
      </w:r>
      <w:r>
        <w:rPr>
          <w:rFonts w:hint="eastAsia" w:eastAsia="宋体"/>
          <w:b/>
          <w:color w:val="auto"/>
          <w:sz w:val="32"/>
          <w:szCs w:val="24"/>
          <w:highlight w:val="none"/>
          <w:lang w:eastAsia="zh-CN"/>
        </w:rPr>
        <w:t xml:space="preserve">住房和城乡建设部</w:t>
      </w:r>
      <w:r/>
    </w:p>
    <w:p>
      <w:pPr>
        <w:ind w:right="2719" w:firstLine="2750"/>
        <w:jc w:val="both"/>
        <w:rPr>
          <w:b/>
          <w:color w:val="auto"/>
          <w:sz w:val="32"/>
          <w:szCs w:val="24"/>
          <w:highlight w:val="none"/>
        </w:rPr>
      </w:pPr>
      <w:r>
        <w:rPr>
          <w:rFonts w:hint="eastAsia" w:eastAsia="宋体"/>
          <w:b/>
          <w:color w:val="auto"/>
          <w:sz w:val="32"/>
          <w:szCs w:val="24"/>
          <w:highlight w:val="none"/>
        </w:rPr>
        <w:t xml:space="preserve">国家工商行政管理总局</w:t>
      </w:r>
      <w:r/>
    </w:p>
    <w:p>
      <w:pPr>
        <w:rPr>
          <w:b/>
          <w:color w:val="auto"/>
          <w:sz w:val="21"/>
          <w:szCs w:val="24"/>
          <w:highlight w:val="none"/>
        </w:rPr>
      </w:pPr>
      <w:r>
        <w:rPr>
          <w:b/>
          <w:color w:val="auto"/>
          <w:sz w:val="21"/>
          <w:szCs w:val="24"/>
          <w:highlight w:val="none"/>
        </w:rPr>
      </w:r>
      <w:r/>
    </w:p>
    <w:p>
      <w:pPr>
        <w:pStyle w:val="1169"/>
        <w:ind w:firstLine="640"/>
        <w:jc w:val="center"/>
        <w:pageBreakBefore w:val="0"/>
        <w:spacing w:line="360" w:lineRule="auto"/>
        <w:rPr>
          <w:rFonts w:hint="eastAsia" w:ascii="宋体" w:hAnsi="宋体" w:eastAsia="宋体"/>
          <w:b w:val="0"/>
          <w:color w:val="auto"/>
          <w:sz w:val="24"/>
          <w:szCs w:val="24"/>
          <w:highlight w:val="none"/>
        </w:rPr>
      </w:pPr>
      <w:r>
        <w:rPr>
          <w:b w:val="0"/>
          <w:color w:val="auto"/>
          <w:sz w:val="32"/>
          <w:szCs w:val="24"/>
          <w:highlight w:val="none"/>
        </w:rPr>
        <w:br w:type="page" w:clear="all"/>
      </w:r>
      <w:bookmarkStart w:id="163" w:name="_Toc26644"/>
      <w:r>
        <w:rPr>
          <w:rFonts w:hint="eastAsia" w:ascii="宋体" w:hAnsi="宋体" w:eastAsia="宋体"/>
          <w:color w:val="auto"/>
          <w:sz w:val="24"/>
          <w:szCs w:val="24"/>
          <w:highlight w:val="none"/>
        </w:rPr>
        <w:t xml:space="preserve">第一部分 合同协议书</w:t>
      </w:r>
      <w:bookmarkEnd w:id="163"/>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发包人（全称）：</w:t>
      </w:r>
      <w:r>
        <w:rPr>
          <w:rFonts w:hint="eastAsia" w:ascii="宋体" w:hAnsi="宋体"/>
          <w:b/>
          <w:color w:val="auto"/>
          <w:sz w:val="24"/>
          <w:szCs w:val="24"/>
          <w:highlight w:val="none"/>
          <w:u w:val="single"/>
          <w:lang w:eastAsia="zh-CN"/>
        </w:rPr>
        <w:t xml:space="preserve">南通市通州区金新街道办事处</w:t>
      </w:r>
      <w:r>
        <w:rPr>
          <w:rFonts w:hint="eastAsia" w:ascii="宋体" w:hAnsi="宋体" w:eastAsia="宋体"/>
          <w:b/>
          <w:color w:val="auto"/>
          <w:sz w:val="24"/>
          <w:szCs w:val="24"/>
          <w:highlight w:val="none"/>
          <w:u w:val="single"/>
        </w:rPr>
        <w:t xml:space="preserve">  </w:t>
      </w:r>
      <w:r/>
    </w:p>
    <w:p>
      <w:pPr>
        <w:ind w:firstLine="482"/>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rPr>
        <w:t xml:space="preserve">承包人（全称）：</w:t>
      </w:r>
      <w:r>
        <w:rPr>
          <w:rFonts w:hint="eastAsia" w:ascii="宋体" w:hAnsi="宋体" w:eastAsia="宋体"/>
          <w:b/>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2026年金新街道环境整治工程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施工及有关事项协商一致，共同达成如下协议：</w:t>
      </w:r>
      <w:r/>
    </w:p>
    <w:p>
      <w:pPr>
        <w:pStyle w:val="1170"/>
        <w:ind w:firstLine="480"/>
        <w:pageBreakBefore w:val="0"/>
        <w:spacing w:before="120" w:after="120" w:line="360" w:lineRule="auto"/>
        <w:rPr>
          <w:rFonts w:hint="eastAsia" w:ascii="宋体" w:hAnsi="宋体"/>
          <w:color w:val="auto"/>
          <w:sz w:val="24"/>
          <w:szCs w:val="24"/>
          <w:highlight w:val="none"/>
        </w:rPr>
      </w:pPr>
      <w:r/>
      <w:bookmarkStart w:id="164" w:name="_Toc351203481"/>
      <w:r>
        <w:rPr>
          <w:rFonts w:hint="eastAsia" w:ascii="宋体" w:hAnsi="宋体"/>
          <w:b w:val="0"/>
          <w:color w:val="auto"/>
          <w:sz w:val="24"/>
          <w:szCs w:val="24"/>
          <w:highlight w:val="none"/>
        </w:rPr>
        <w:t xml:space="preserve">一、工程概况</w:t>
      </w:r>
      <w:bookmarkEnd w:id="164"/>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1.工程名称：</w:t>
      </w:r>
      <w:r>
        <w:rPr>
          <w:rFonts w:hint="eastAsia" w:ascii="宋体" w:hAnsi="宋体"/>
          <w:color w:val="auto"/>
          <w:sz w:val="24"/>
          <w:szCs w:val="24"/>
          <w:highlight w:val="none"/>
          <w:u w:val="single"/>
          <w:lang w:eastAsia="zh-CN"/>
        </w:rPr>
        <w:t xml:space="preserve">2026年金新街道环境整治工程</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2.工程地点：</w:t>
      </w:r>
      <w:r>
        <w:rPr>
          <w:rFonts w:hint="eastAsia" w:ascii="宋体" w:hAnsi="宋体"/>
          <w:color w:val="auto"/>
          <w:sz w:val="24"/>
          <w:szCs w:val="24"/>
          <w:highlight w:val="none"/>
          <w:u w:val="single"/>
          <w:lang w:eastAsia="zh-CN"/>
        </w:rPr>
        <w:t xml:space="preserve">通州区金新街道</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3.工程立项批准文号：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4.资金来源：</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5.工程内容：</w:t>
      </w:r>
      <w:r>
        <w:rPr>
          <w:rFonts w:hint="eastAsia" w:ascii="宋体" w:hAnsi="宋体" w:eastAsia="宋体"/>
          <w:color w:val="auto"/>
          <w:sz w:val="24"/>
          <w:szCs w:val="24"/>
          <w:highlight w:val="none"/>
          <w:u w:val="single"/>
        </w:rPr>
        <w:t xml:space="preserve">  详见竞争性</w:t>
      </w:r>
      <w:r>
        <w:rPr>
          <w:rFonts w:hint="eastAsia" w:ascii="宋体" w:hAnsi="宋体" w:eastAsia="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群体工程应附《承包人承揽工程项目一览表》（附件1）。</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6.工程承包范围：</w:t>
      </w:r>
      <w:r/>
    </w:p>
    <w:p>
      <w:pPr>
        <w:ind w:firstLine="480"/>
        <w:pageBreakBefore w:val="0"/>
        <w:spacing w:line="360" w:lineRule="auto"/>
        <w:rPr>
          <w:rFonts w:ascii="Times New Roman" w:hAnsi="Times New Roman" w:eastAsia="幼圆"/>
          <w:color w:val="auto"/>
          <w:sz w:val="24"/>
          <w:szCs w:val="24"/>
          <w:highlight w:val="none"/>
        </w:rPr>
      </w:pPr>
      <w:r>
        <w:rPr>
          <w:rFonts w:hint="eastAsia" w:ascii="宋体" w:hAnsi="宋体" w:eastAsia="宋体"/>
          <w:color w:val="auto"/>
          <w:sz w:val="24"/>
          <w:szCs w:val="24"/>
          <w:highlight w:val="none"/>
          <w:u w:val="single"/>
        </w:rPr>
        <w:t xml:space="preserve">  竞争性</w:t>
      </w:r>
      <w:r>
        <w:rPr>
          <w:rFonts w:hint="eastAsia" w:ascii="宋体" w:hAnsi="宋体"/>
          <w:color w:val="auto"/>
          <w:sz w:val="24"/>
          <w:szCs w:val="24"/>
          <w:highlight w:val="none"/>
          <w:u w:val="single"/>
          <w:lang w:val="en-US" w:eastAsia="zh-CN"/>
        </w:rPr>
        <w:t xml:space="preserve">磋商</w:t>
      </w:r>
      <w:r>
        <w:rPr>
          <w:rFonts w:hint="eastAsia" w:ascii="宋体" w:hAnsi="宋体" w:eastAsia="宋体"/>
          <w:color w:val="auto"/>
          <w:sz w:val="24"/>
          <w:szCs w:val="24"/>
          <w:highlight w:val="none"/>
          <w:u w:val="single"/>
        </w:rPr>
        <w:t xml:space="preserve">文件、工程量清单所含内容  </w:t>
      </w:r>
      <w:r>
        <w:rPr>
          <w:rFonts w:hint="eastAsia" w:ascii="宋体" w:hAnsi="宋体" w:eastAsia="宋体"/>
          <w:color w:val="auto"/>
          <w:sz w:val="24"/>
          <w:szCs w:val="24"/>
          <w:highlight w:val="none"/>
        </w:rPr>
        <w:t xml:space="preserve">。</w:t>
      </w:r>
      <w:r/>
    </w:p>
    <w:p>
      <w:pPr>
        <w:pStyle w:val="1170"/>
        <w:ind w:firstLine="480"/>
        <w:pageBreakBefore w:val="0"/>
        <w:spacing w:before="120" w:after="120" w:line="360" w:lineRule="auto"/>
        <w:rPr>
          <w:rFonts w:hint="eastAsia" w:ascii="宋体" w:hAnsi="宋体"/>
          <w:b w:val="0"/>
          <w:color w:val="auto"/>
          <w:sz w:val="24"/>
          <w:szCs w:val="24"/>
          <w:highlight w:val="none"/>
        </w:rPr>
      </w:pPr>
      <w:r/>
      <w:bookmarkStart w:id="165" w:name="_Toc351203482"/>
      <w:r>
        <w:rPr>
          <w:rFonts w:hint="eastAsia" w:ascii="宋体" w:hAnsi="宋体"/>
          <w:b w:val="0"/>
          <w:color w:val="auto"/>
          <w:sz w:val="24"/>
          <w:szCs w:val="24"/>
          <w:highlight w:val="none"/>
        </w:rPr>
        <w:t xml:space="preserve">二、合同工期</w:t>
      </w:r>
      <w:bookmarkEnd w:id="165"/>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计划开工日期：</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计划竣工日期：</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工期总日历天数：</w:t>
      </w:r>
      <w:r>
        <w:rPr>
          <w:rFonts w:hint="eastAsia" w:ascii="宋体" w:hAnsi="宋体"/>
          <w:color w:val="auto"/>
          <w:sz w:val="24"/>
          <w:szCs w:val="24"/>
          <w:highlight w:val="none"/>
          <w:u w:val="single"/>
          <w:lang w:val="en-US" w:eastAsia="zh-CN"/>
        </w:rPr>
        <w:t xml:space="preserve">两年</w:t>
      </w:r>
      <w:r>
        <w:rPr>
          <w:rFonts w:hint="eastAsia" w:ascii="宋体" w:hAnsi="宋体" w:eastAsia="宋体"/>
          <w:color w:val="auto"/>
          <w:sz w:val="24"/>
          <w:szCs w:val="24"/>
          <w:highlight w:val="none"/>
        </w:rPr>
        <w:t xml:space="preserve">。工期总日历天数与根据前述计划开竣工日期计算的工期天数不一致的，以工期总日历天数为准。</w:t>
      </w:r>
      <w:r/>
    </w:p>
    <w:p>
      <w:pPr>
        <w:ind w:right="0" w:firstLine="480"/>
        <w:pageBreakBefore w:val="0"/>
        <w:spacing w:line="360" w:lineRule="auto"/>
        <w:rPr>
          <w:rFonts w:hint="eastAsia" w:ascii="宋体" w:hAnsi="宋体" w:eastAsia="宋体"/>
          <w:color w:val="auto"/>
          <w:sz w:val="24"/>
          <w:szCs w:val="24"/>
          <w:highlight w:val="none"/>
        </w:rPr>
      </w:pPr>
      <w:r>
        <w:rPr>
          <w:rFonts w:hint="eastAsia" w:ascii="Times New Roman" w:hAnsi="Times New Roman" w:eastAsia="宋体" w:cs="宋体"/>
          <w:b w:val="0"/>
          <w:bCs w:val="0"/>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（当合同金额满127.18万元时，合同终止）</w:t>
      </w:r>
      <w:r>
        <w:rPr>
          <w:rFonts w:hint="eastAsia" w:ascii="宋体" w:hAnsi="宋体" w:cs="宋体"/>
          <w:color w:val="auto"/>
          <w:sz w:val="24"/>
          <w:szCs w:val="24"/>
          <w:highlight w:val="none"/>
          <w:lang w:val="en-US" w:eastAsia="zh-CN"/>
        </w:rPr>
        <w:t xml:space="preserve">。</w:t>
      </w:r>
      <w:r/>
    </w:p>
    <w:p>
      <w:pPr>
        <w:pStyle w:val="1170"/>
        <w:ind w:firstLine="480"/>
        <w:pageBreakBefore w:val="0"/>
        <w:spacing w:before="120" w:after="120" w:line="360" w:lineRule="auto"/>
        <w:rPr>
          <w:rFonts w:hint="eastAsia" w:ascii="宋体" w:hAnsi="宋体"/>
          <w:color w:val="auto"/>
          <w:sz w:val="24"/>
          <w:szCs w:val="24"/>
          <w:highlight w:val="none"/>
        </w:rPr>
      </w:pPr>
      <w:r/>
      <w:bookmarkStart w:id="166" w:name="_Toc351203483"/>
      <w:r>
        <w:rPr>
          <w:rFonts w:hint="eastAsia" w:ascii="宋体" w:hAnsi="宋体"/>
          <w:b w:val="0"/>
          <w:color w:val="auto"/>
          <w:sz w:val="24"/>
          <w:szCs w:val="24"/>
          <w:highlight w:val="none"/>
        </w:rPr>
        <w:t xml:space="preserve">三、质量标准</w:t>
      </w:r>
      <w:bookmarkEnd w:id="16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工程质量符合</w:t>
      </w:r>
      <w:r>
        <w:rPr>
          <w:rFonts w:hint="eastAsia" w:ascii="宋体" w:hAnsi="宋体" w:eastAsia="宋体"/>
          <w:color w:val="auto"/>
          <w:sz w:val="24"/>
          <w:szCs w:val="24"/>
          <w:highlight w:val="none"/>
          <w:u w:val="single"/>
        </w:rPr>
        <w:t xml:space="preserve">合格</w:t>
      </w:r>
      <w:r>
        <w:rPr>
          <w:rFonts w:hint="eastAsia" w:ascii="宋体" w:hAnsi="宋体" w:eastAsia="宋体"/>
          <w:color w:val="auto"/>
          <w:sz w:val="24"/>
          <w:szCs w:val="24"/>
          <w:highlight w:val="none"/>
        </w:rPr>
        <w:t xml:space="preserve">标准。</w:t>
      </w:r>
      <w:r/>
    </w:p>
    <w:p>
      <w:pPr>
        <w:pStyle w:val="1170"/>
        <w:pageBreakBefore w:val="0"/>
        <w:spacing w:before="120" w:after="120" w:line="360" w:lineRule="auto"/>
        <w:rPr>
          <w:rFonts w:hint="eastAsia" w:ascii="宋体" w:hAnsi="宋体"/>
          <w:color w:val="auto"/>
          <w:sz w:val="24"/>
          <w:szCs w:val="24"/>
          <w:highlight w:val="none"/>
        </w:rPr>
      </w:pPr>
      <w:r>
        <w:rPr>
          <w:rFonts w:hint="eastAsia" w:ascii="宋体" w:hAnsi="宋体"/>
          <w:b w:val="0"/>
          <w:color w:val="auto"/>
          <w:sz w:val="24"/>
          <w:szCs w:val="24"/>
          <w:highlight w:val="none"/>
        </w:rPr>
        <w:t xml:space="preserve"> </w:t>
      </w:r>
      <w:bookmarkStart w:id="167" w:name="_Toc351203484"/>
      <w:r>
        <w:rPr>
          <w:rFonts w:hint="eastAsia" w:ascii="宋体" w:hAnsi="宋体"/>
          <w:b w:val="0"/>
          <w:color w:val="auto"/>
          <w:sz w:val="24"/>
          <w:szCs w:val="24"/>
          <w:highlight w:val="none"/>
          <w:lang w:val="en-US" w:eastAsia="zh-CN"/>
        </w:rPr>
        <w:t xml:space="preserve">   </w:t>
      </w:r>
      <w:r>
        <w:rPr>
          <w:rFonts w:hint="eastAsia" w:ascii="宋体" w:hAnsi="宋体"/>
          <w:b w:val="0"/>
          <w:color w:val="auto"/>
          <w:sz w:val="24"/>
          <w:szCs w:val="24"/>
          <w:highlight w:val="none"/>
        </w:rPr>
        <w:t xml:space="preserve">四、签约合同价与合同价格形式</w:t>
      </w:r>
      <w:bookmarkEnd w:id="167"/>
      <w:r>
        <w:rPr>
          <w:rFonts w:hint="eastAsia" w:ascii="宋体" w:hAnsi="宋体"/>
          <w:b w:val="0"/>
          <w:color w:val="auto"/>
          <w:sz w:val="24"/>
          <w:szCs w:val="24"/>
          <w:highlight w:val="none"/>
        </w:rPr>
        <w:tab/>
      </w:r>
      <w:r/>
    </w:p>
    <w:p>
      <w:pPr>
        <w:numPr>
          <w:ilvl w:val="0"/>
          <w:numId w:val="0"/>
        </w:num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费率合同：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成交费率：      %</w:t>
      </w:r>
      <w:r>
        <w:rPr>
          <w:rFonts w:hint="eastAsia" w:ascii="宋体" w:hAnsi="宋体" w:eastAsia="宋体" w:cs="宋体"/>
          <w:color w:val="auto"/>
          <w:sz w:val="24"/>
          <w:szCs w:val="24"/>
          <w:highlight w:val="none"/>
        </w:rPr>
        <w:t xml:space="preserve">；</w:t>
      </w:r>
      <w:r/>
    </w:p>
    <w:p>
      <w:pPr>
        <w:ind w:left="0" w:firstLine="459"/>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以成交价中，费率最低的为合同签订费率。</w:t>
      </w:r>
      <w:r/>
    </w:p>
    <w:p>
      <w:pPr>
        <w:numPr>
          <w:ilvl w:val="0"/>
          <w:numId w:val="6"/>
        </w:num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合同价格形式：</w:t>
      </w:r>
      <w:r/>
    </w:p>
    <w:p>
      <w:pPr>
        <w:numPr>
          <w:ilvl w:val="0"/>
          <w:numId w:val="6"/>
        </w:num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费率不高于100%</w:t>
      </w:r>
      <w:r/>
    </w:p>
    <w:p>
      <w:pPr>
        <w:numPr>
          <w:ilvl w:val="0"/>
          <w:numId w:val="0"/>
        </w:numPr>
        <w:ind w:left="0" w:firstLine="72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合同金额两家累计不超过127.18万元（当合同金额满127.18万元时，合同终止）最终结算时以</w:t>
      </w:r>
      <w:r>
        <w:rPr>
          <w:rFonts w:hint="eastAsia" w:ascii="宋体" w:hAnsi="宋体" w:cs="宋体"/>
          <w:color w:val="auto"/>
          <w:sz w:val="24"/>
          <w:szCs w:val="24"/>
          <w:highlight w:val="none"/>
          <w:u w:val="single"/>
          <w:lang w:val="en-US" w:eastAsia="zh-CN"/>
        </w:rPr>
        <w:t xml:space="preserve">标底审计价</w:t>
      </w:r>
      <w:r>
        <w:rPr>
          <w:rFonts w:hint="eastAsia" w:ascii="宋体" w:hAnsi="宋体" w:eastAsia="宋体" w:cs="宋体"/>
          <w:color w:val="auto"/>
          <w:sz w:val="24"/>
          <w:szCs w:val="24"/>
          <w:highlight w:val="none"/>
          <w:u w:val="single"/>
          <w:lang w:val="en-US" w:eastAsia="zh-CN"/>
        </w:rPr>
        <w:t xml:space="preserve">*   %（成交费率）</w:t>
      </w:r>
      <w:r>
        <w:rPr>
          <w:rFonts w:hint="eastAsia" w:ascii="宋体" w:hAnsi="宋体" w:eastAsia="宋体" w:cs="宋体"/>
          <w:color w:val="auto"/>
          <w:sz w:val="24"/>
          <w:szCs w:val="24"/>
          <w:highlight w:val="none"/>
          <w:lang w:val="en-US" w:eastAsia="zh-CN"/>
        </w:rPr>
        <w:t xml:space="preserve">按实际工程量进行结算。</w:t>
      </w:r>
      <w:r/>
    </w:p>
    <w:p>
      <w:pPr>
        <w:numPr>
          <w:ilvl w:val="0"/>
          <w:numId w:val="0"/>
        </w:numPr>
        <w:ind w:left="0" w:firstLine="72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具体承包维修范围以业主派工单为准，如接到业主派工单，需24小时内到达现场组织施工，如晚一天，扣除1000元/天，如发现三次，业主有权终止合同。</w:t>
      </w:r>
      <w:r/>
    </w:p>
    <w:p>
      <w:pPr>
        <w:numPr>
          <w:ilvl w:val="0"/>
          <w:numId w:val="0"/>
        </w:numPr>
        <w:ind w:firstLine="72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b w:val="0"/>
          <w:bCs/>
          <w:color w:val="auto"/>
          <w:sz w:val="24"/>
          <w:szCs w:val="24"/>
          <w:highlight w:val="none"/>
        </w:rPr>
        <w:t xml:space="preserve">根据通政办发(2012) 10号文关于印发《南通市通州区政府投资工程建设项目标后监督管理暂行办法)的通知》精神，为促进施工单位提高工程竣工结算编制的质量，对施工单位在结算书编制中高套冒估的，经审计核减额超过送审价 5%(含5%)的，将给予一定处罚:1、经审计核减额超过送审价5%(含5%)~10%(含 10%)的，所有审计费用由施工单位支付,同时处以送审价的0.5%的罚款;2、经审计核减额超过送审价10%的，所有审计费用由施工单位支付，同时处以送审价的 1%的罚款。</w:t>
      </w:r>
      <w:r/>
    </w:p>
    <w:p>
      <w:pPr>
        <w:pStyle w:val="1170"/>
        <w:ind w:firstLine="480"/>
        <w:pageBreakBefore w:val="0"/>
        <w:spacing w:before="120" w:after="120" w:line="360" w:lineRule="auto"/>
        <w:rPr>
          <w:rFonts w:hint="eastAsia" w:ascii="宋体" w:hAnsi="宋体"/>
          <w:b w:val="0"/>
          <w:color w:val="auto"/>
          <w:sz w:val="24"/>
          <w:szCs w:val="24"/>
          <w:highlight w:val="none"/>
        </w:rPr>
      </w:pPr>
      <w:r/>
      <w:bookmarkStart w:id="168" w:name="_Toc351203485"/>
      <w:r>
        <w:rPr>
          <w:rFonts w:hint="eastAsia" w:ascii="宋体" w:hAnsi="宋体"/>
          <w:b w:val="0"/>
          <w:color w:val="auto"/>
          <w:sz w:val="24"/>
          <w:szCs w:val="24"/>
          <w:highlight w:val="none"/>
        </w:rPr>
        <w:t xml:space="preserve">五、</w:t>
      </w:r>
      <w:bookmarkEnd w:id="168"/>
      <w:r>
        <w:rPr>
          <w:rFonts w:hint="eastAsia" w:ascii="宋体" w:hAnsi="宋体"/>
          <w:b w:val="0"/>
          <w:color w:val="auto"/>
          <w:sz w:val="24"/>
          <w:szCs w:val="24"/>
          <w:highlight w:val="none"/>
        </w:rPr>
        <w:t xml:space="preserve">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承包人项目经理：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0"/>
        <w:ind w:firstLine="480"/>
        <w:pageBreakBefore w:val="0"/>
        <w:spacing w:before="120" w:after="120" w:line="360" w:lineRule="auto"/>
        <w:rPr>
          <w:rFonts w:hint="eastAsia" w:ascii="宋体" w:hAnsi="宋体"/>
          <w:color w:val="auto"/>
          <w:sz w:val="24"/>
          <w:szCs w:val="24"/>
          <w:highlight w:val="none"/>
        </w:rPr>
      </w:pPr>
      <w:r/>
      <w:bookmarkStart w:id="169" w:name="_Toc351203486"/>
      <w:r>
        <w:rPr>
          <w:rFonts w:hint="eastAsia" w:ascii="宋体" w:hAnsi="宋体"/>
          <w:b w:val="0"/>
          <w:color w:val="auto"/>
          <w:sz w:val="24"/>
          <w:szCs w:val="24"/>
          <w:highlight w:val="none"/>
        </w:rPr>
        <w:t xml:space="preserve">六、合同文件构成</w:t>
      </w:r>
      <w:bookmarkEnd w:id="169"/>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本协议书与下列文件一起构成合同文件：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lang w:eastAsia="zh-CN"/>
        </w:rPr>
        <w:t xml:space="preserve">通知书</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（2）投标书及其附录</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 </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w:t>
      </w:r>
      <w:r>
        <w:rPr>
          <w:rFonts w:hint="eastAsia" w:ascii="宋体" w:hAnsi="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lang w:eastAsia="zh-CN"/>
        </w:rPr>
        <w:t xml:space="preserve">文件及补充文件；</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）合同协议书；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）专用合同条款及其附件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）通用合同条款；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ascii="宋体" w:hAnsi="宋体" w:eastAsia="宋体" w:cs="宋体"/>
          <w:color w:val="auto"/>
          <w:sz w:val="24"/>
          <w:highlight w:val="none"/>
        </w:rPr>
        <w:t xml:space="preserve">标准、规范及有关技术文件</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）图纸</w:t>
      </w:r>
      <w:r>
        <w:rPr>
          <w:rFonts w:hint="eastAsia" w:ascii="宋体" w:hAnsi="宋体" w:eastAsia="宋体"/>
          <w:color w:val="auto"/>
          <w:sz w:val="24"/>
          <w:szCs w:val="24"/>
          <w:highlight w:val="none"/>
          <w:lang w:eastAsia="zh-CN"/>
        </w:rPr>
        <w:t xml:space="preserve">（如有）</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）已标价工程量清单或预算书；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）其他合同文件。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70"/>
        <w:ind w:firstLine="480"/>
        <w:pageBreakBefore w:val="0"/>
        <w:spacing w:before="120" w:after="120" w:line="360" w:lineRule="auto"/>
        <w:rPr>
          <w:rFonts w:hint="eastAsia" w:ascii="宋体" w:hAnsi="宋体"/>
          <w:b w:val="0"/>
          <w:color w:val="auto"/>
          <w:sz w:val="24"/>
          <w:szCs w:val="24"/>
          <w:highlight w:val="none"/>
        </w:rPr>
      </w:pPr>
      <w:r/>
      <w:bookmarkStart w:id="170" w:name="_Toc351203487"/>
      <w:r>
        <w:rPr>
          <w:rFonts w:hint="eastAsia" w:ascii="宋体" w:hAnsi="宋体"/>
          <w:b w:val="0"/>
          <w:color w:val="auto"/>
          <w:sz w:val="24"/>
          <w:szCs w:val="24"/>
          <w:highlight w:val="none"/>
        </w:rPr>
        <w:t xml:space="preserve">七、承诺</w:t>
      </w:r>
      <w:bookmarkEnd w:id="17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82"/>
        <w:pageBreakBefore w:val="0"/>
        <w:spacing w:line="360" w:lineRule="auto"/>
        <w:rPr>
          <w:rFonts w:hint="eastAsia" w:ascii="宋体" w:hAnsi="宋体" w:eastAsia="宋体"/>
          <w:color w:val="auto"/>
          <w:sz w:val="24"/>
          <w:szCs w:val="24"/>
          <w:highlight w:val="none"/>
        </w:rPr>
      </w:pPr>
      <w:r/>
      <w:bookmarkStart w:id="171" w:name="_Toc351203488"/>
      <w:r>
        <w:rPr>
          <w:rFonts w:hint="eastAsia" w:ascii="宋体" w:hAnsi="宋体" w:eastAsia="宋体"/>
          <w:b/>
          <w:color w:val="auto"/>
          <w:sz w:val="24"/>
          <w:szCs w:val="24"/>
          <w:highlight w:val="none"/>
        </w:rPr>
        <w:t xml:space="preserve">八、词语含义</w:t>
      </w:r>
      <w:bookmarkEnd w:id="171"/>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本协议书中词语含义与第二部分通用合同条款中赋予的含义相同。</w:t>
      </w:r>
      <w:r/>
    </w:p>
    <w:p>
      <w:pPr>
        <w:pStyle w:val="1170"/>
        <w:ind w:firstLine="480"/>
        <w:pageBreakBefore w:val="0"/>
        <w:spacing w:before="120" w:after="120" w:line="360" w:lineRule="auto"/>
        <w:rPr>
          <w:rFonts w:hint="eastAsia" w:ascii="宋体" w:hAnsi="宋体"/>
          <w:color w:val="auto"/>
          <w:sz w:val="24"/>
          <w:szCs w:val="24"/>
          <w:highlight w:val="none"/>
        </w:rPr>
      </w:pPr>
      <w:r/>
      <w:bookmarkStart w:id="172" w:name="_Toc351203489"/>
      <w:r>
        <w:rPr>
          <w:rFonts w:hint="eastAsia" w:ascii="宋体" w:hAnsi="宋体"/>
          <w:b w:val="0"/>
          <w:color w:val="auto"/>
          <w:sz w:val="24"/>
          <w:szCs w:val="24"/>
          <w:highlight w:val="none"/>
        </w:rPr>
        <w:t xml:space="preserve">九、签订时间</w:t>
      </w:r>
      <w:bookmarkEnd w:id="17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本合同于</w:t>
      </w:r>
      <w:r>
        <w:rPr>
          <w:rFonts w:hint="eastAsia" w:ascii="宋体" w:hAnsi="宋体"/>
          <w:color w:val="auto"/>
          <w:sz w:val="24"/>
          <w:szCs w:val="24"/>
          <w:highlight w:val="none"/>
          <w:u w:val="single"/>
          <w:lang w:val="en-US" w:eastAsia="zh-CN"/>
        </w:rPr>
        <w:t xml:space="preserve">2026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日签订。</w:t>
      </w:r>
      <w:r/>
    </w:p>
    <w:p>
      <w:pPr>
        <w:pStyle w:val="1170"/>
        <w:ind w:firstLine="480"/>
        <w:pageBreakBefore w:val="0"/>
        <w:spacing w:before="120" w:after="120" w:line="360" w:lineRule="auto"/>
        <w:rPr>
          <w:rFonts w:hint="eastAsia" w:ascii="宋体" w:hAnsi="宋体"/>
          <w:color w:val="auto"/>
          <w:sz w:val="24"/>
          <w:szCs w:val="24"/>
          <w:highlight w:val="none"/>
        </w:rPr>
      </w:pPr>
      <w:r/>
      <w:bookmarkStart w:id="173" w:name="_Toc351203490"/>
      <w:r>
        <w:rPr>
          <w:rFonts w:hint="eastAsia" w:ascii="宋体" w:hAnsi="宋体"/>
          <w:b w:val="0"/>
          <w:color w:val="auto"/>
          <w:sz w:val="24"/>
          <w:szCs w:val="24"/>
          <w:highlight w:val="none"/>
        </w:rPr>
        <w:t xml:space="preserve">十、签订地点</w:t>
      </w:r>
      <w:bookmarkEnd w:id="17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本合同在</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w:t>
      </w:r>
      <w:r/>
    </w:p>
    <w:p>
      <w:pPr>
        <w:pStyle w:val="1170"/>
        <w:ind w:firstLine="480"/>
        <w:pageBreakBefore w:val="0"/>
        <w:spacing w:before="120" w:after="120" w:line="360" w:lineRule="auto"/>
        <w:rPr>
          <w:rFonts w:hint="eastAsia" w:ascii="宋体" w:hAnsi="宋体"/>
          <w:color w:val="auto"/>
          <w:sz w:val="24"/>
          <w:szCs w:val="24"/>
          <w:highlight w:val="none"/>
        </w:rPr>
      </w:pPr>
      <w:r/>
      <w:bookmarkStart w:id="174" w:name="_Toc351203491"/>
      <w:r>
        <w:rPr>
          <w:rFonts w:hint="eastAsia" w:ascii="宋体" w:hAnsi="宋体"/>
          <w:b w:val="0"/>
          <w:color w:val="auto"/>
          <w:sz w:val="24"/>
          <w:szCs w:val="24"/>
          <w:highlight w:val="none"/>
        </w:rPr>
        <w:t xml:space="preserve">十一、补充协议</w:t>
      </w:r>
      <w:bookmarkEnd w:id="174"/>
      <w:r/>
      <w:r/>
    </w:p>
    <w:p>
      <w:pPr>
        <w:ind w:firstLine="480"/>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合同未尽事宜，合同当事人另行签订补充协议，补充协议是合同的组成部分。</w:t>
      </w:r>
      <w:r/>
    </w:p>
    <w:p>
      <w:pPr>
        <w:pStyle w:val="1170"/>
        <w:ind w:firstLine="480"/>
        <w:pageBreakBefore w:val="0"/>
        <w:spacing w:before="120" w:after="120" w:line="360" w:lineRule="auto"/>
        <w:rPr>
          <w:rFonts w:hint="eastAsia" w:ascii="宋体" w:hAnsi="宋体"/>
          <w:color w:val="auto"/>
          <w:sz w:val="24"/>
          <w:szCs w:val="24"/>
          <w:highlight w:val="none"/>
        </w:rPr>
      </w:pPr>
      <w:r/>
      <w:bookmarkStart w:id="175" w:name="_Toc351203492"/>
      <w:r>
        <w:rPr>
          <w:rFonts w:hint="eastAsia" w:ascii="宋体" w:hAnsi="宋体"/>
          <w:b w:val="0"/>
          <w:color w:val="auto"/>
          <w:sz w:val="24"/>
          <w:szCs w:val="24"/>
          <w:highlight w:val="none"/>
        </w:rPr>
        <w:t xml:space="preserve">十二、合同生效</w:t>
      </w:r>
      <w:bookmarkEnd w:id="175"/>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本合同自</w:t>
      </w:r>
      <w:r>
        <w:rPr>
          <w:rFonts w:hint="eastAsia" w:ascii="宋体" w:hAnsi="宋体" w:eastAsia="宋体"/>
          <w:color w:val="auto"/>
          <w:sz w:val="24"/>
          <w:szCs w:val="24"/>
          <w:highlight w:val="none"/>
          <w:u w:val="single"/>
        </w:rPr>
        <w:t xml:space="preserve">双方法定代表人或委托代表人签字并</w:t>
      </w:r>
      <w:r>
        <w:rPr>
          <w:rFonts w:hint="eastAsia" w:ascii="宋体" w:hAnsi="宋体" w:eastAsia="宋体"/>
          <w:color w:val="auto"/>
          <w:sz w:val="24"/>
          <w:szCs w:val="24"/>
          <w:highlight w:val="none"/>
          <w:u w:val="single"/>
          <w:lang w:eastAsia="zh-CN"/>
        </w:rPr>
        <w:t xml:space="preserve">加盖</w:t>
      </w:r>
      <w:r>
        <w:rPr>
          <w:rFonts w:hint="eastAsia" w:ascii="宋体" w:hAnsi="宋体" w:eastAsia="宋体"/>
          <w:color w:val="auto"/>
          <w:sz w:val="24"/>
          <w:szCs w:val="24"/>
          <w:highlight w:val="none"/>
          <w:u w:val="single"/>
        </w:rPr>
        <w:t xml:space="preserve">法人公章</w:t>
      </w:r>
      <w:r>
        <w:rPr>
          <w:rFonts w:hint="eastAsia" w:ascii="宋体" w:hAnsi="宋体" w:eastAsia="宋体"/>
          <w:color w:val="auto"/>
          <w:sz w:val="24"/>
          <w:szCs w:val="24"/>
          <w:highlight w:val="none"/>
        </w:rPr>
        <w:t xml:space="preserve">生效。</w:t>
      </w:r>
      <w:r/>
    </w:p>
    <w:p>
      <w:pPr>
        <w:pStyle w:val="1170"/>
        <w:ind w:firstLine="480"/>
        <w:pageBreakBefore w:val="0"/>
        <w:spacing w:before="120" w:after="120" w:line="360" w:lineRule="auto"/>
        <w:rPr>
          <w:rFonts w:hint="eastAsia" w:ascii="宋体" w:hAnsi="宋体"/>
          <w:color w:val="auto"/>
          <w:sz w:val="24"/>
          <w:szCs w:val="24"/>
          <w:highlight w:val="none"/>
        </w:rPr>
      </w:pPr>
      <w:r/>
      <w:bookmarkStart w:id="176" w:name="_Toc351203493"/>
      <w:r>
        <w:rPr>
          <w:rFonts w:hint="eastAsia" w:ascii="宋体" w:hAnsi="宋体"/>
          <w:b w:val="0"/>
          <w:color w:val="auto"/>
          <w:sz w:val="24"/>
          <w:szCs w:val="24"/>
          <w:highlight w:val="none"/>
        </w:rPr>
        <w:t xml:space="preserve">十三、合同份数</w:t>
      </w:r>
      <w:bookmarkEnd w:id="17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本合同一式</w:t>
      </w:r>
      <w:r>
        <w:rPr>
          <w:rFonts w:hint="eastAsia" w:ascii="宋体" w:hAnsi="宋体" w:eastAsia="宋体"/>
          <w:color w:val="auto"/>
          <w:sz w:val="24"/>
          <w:szCs w:val="24"/>
          <w:highlight w:val="none"/>
          <w:u w:val="single"/>
        </w:rPr>
        <w:t xml:space="preserve">捌</w:t>
      </w:r>
      <w:r>
        <w:rPr>
          <w:rFonts w:hint="eastAsia" w:ascii="宋体" w:hAnsi="宋体" w:eastAsia="宋体"/>
          <w:color w:val="auto"/>
          <w:sz w:val="24"/>
          <w:szCs w:val="24"/>
          <w:highlight w:val="none"/>
        </w:rPr>
        <w:t xml:space="preserve">份，均具有同等法律效力，发包人执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份，承包人执</w:t>
      </w:r>
      <w:r>
        <w:rPr>
          <w:rFonts w:hint="eastAsia" w:ascii="宋体" w:hAnsi="宋体" w:eastAsia="宋体"/>
          <w:color w:val="auto"/>
          <w:sz w:val="24"/>
          <w:szCs w:val="24"/>
          <w:highlight w:val="none"/>
          <w:u w:val="single"/>
        </w:rPr>
        <w:t xml:space="preserve">肆</w:t>
      </w:r>
      <w:r>
        <w:rPr>
          <w:rFonts w:hint="eastAsia" w:ascii="宋体" w:hAnsi="宋体" w:eastAsia="宋体"/>
          <w:color w:val="auto"/>
          <w:sz w:val="24"/>
          <w:szCs w:val="24"/>
          <w:highlight w:val="none"/>
        </w:rPr>
        <w:t xml:space="preserve">份。</w:t>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承包人：  </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            法定代表人或其委托代理人：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（签字）                               （签字）</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r>
      <w:r/>
    </w:p>
    <w:p>
      <w:pPr>
        <w:ind w:firstLine="480"/>
        <w:pageBreakBefore w:val="0"/>
        <w:spacing w:line="360" w:lineRule="auto"/>
        <w:tabs>
          <w:tab w:val="left" w:pos="441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rPr>
          <w:rFonts w:ascii="Times New Roman" w:hAnsi="Times New Roman" w:eastAsia="仿宋_GB2312"/>
          <w:color w:val="auto"/>
          <w:sz w:val="24"/>
          <w:szCs w:val="24"/>
          <w:highlight w:val="none"/>
          <w:u w:val="single"/>
        </w:rPr>
        <w:t xml:space="preserve">  </w:t>
      </w:r>
      <w:r>
        <w:rPr>
          <w:rFonts w:hint="eastAsia" w:ascii="Times New Roman" w:hAnsi="Times New Roman" w:eastAsia="仿宋_GB2312"/>
          <w:color w:val="auto"/>
          <w:sz w:val="24"/>
          <w:szCs w:val="24"/>
          <w:highlight w:val="none"/>
          <w:u w:val="single"/>
        </w:rPr>
        <w:t xml:space="preserve"> </w:t>
      </w:r>
      <w:r/>
    </w:p>
    <w:p>
      <w:pPr>
        <w:pStyle w:val="1169"/>
        <w:ind w:firstLine="482"/>
        <w:jc w:val="center"/>
        <w:pageBreakBefore w:val="0"/>
        <w:spacing w:line="360" w:lineRule="auto"/>
        <w:rPr>
          <w:rFonts w:hint="eastAsia" w:ascii="华文中宋" w:hAnsi="华文中宋" w:eastAsia="华文中宋"/>
          <w:color w:val="auto"/>
          <w:sz w:val="24"/>
          <w:szCs w:val="24"/>
          <w:highlight w:val="none"/>
        </w:rPr>
      </w:pPr>
      <w:r>
        <w:rPr>
          <w:rFonts w:ascii="Times New Roman" w:hAnsi="Times New Roman" w:eastAsia="仿宋_GB2312"/>
          <w:color w:val="auto"/>
          <w:sz w:val="24"/>
          <w:szCs w:val="24"/>
          <w:highlight w:val="none"/>
        </w:rPr>
        <w:br w:type="page" w:clear="all"/>
      </w:r>
      <w:bookmarkStart w:id="177" w:name="_Toc28167"/>
      <w:r/>
      <w:bookmarkStart w:id="178" w:name="_Toc351203494"/>
      <w:r>
        <w:rPr>
          <w:rFonts w:hint="eastAsia" w:ascii="宋体" w:hAnsi="宋体" w:eastAsia="宋体"/>
          <w:color w:val="auto"/>
          <w:sz w:val="24"/>
          <w:szCs w:val="24"/>
          <w:highlight w:val="none"/>
        </w:rPr>
        <w:t xml:space="preserve">第二部分 通用合同条款</w:t>
      </w:r>
      <w:bookmarkEnd w:id="177"/>
      <w:r/>
      <w:bookmarkEnd w:id="178"/>
      <w:r/>
      <w:bookmarkStart w:id="179" w:name="_Toc337558727"/>
      <w:r/>
      <w:bookmarkEnd w:id="179"/>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略 详见（GF—2017—0201）</w:t>
      </w:r>
      <w:bookmarkStart w:id="180" w:name="_Toc25770"/>
      <w:r/>
      <w:bookmarkStart w:id="181" w:name="_Toc351203632"/>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center"/>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2"/>
        <w:jc w:val="center"/>
        <w:pageBreakBefore w:val="0"/>
        <w:spacing w:line="360" w:lineRule="auto"/>
        <w:rPr>
          <w:rFonts w:hint="eastAsia" w:ascii="宋体" w:hAnsi="宋体" w:eastAsia="宋体"/>
          <w:b/>
          <w:bCs/>
          <w:color w:val="auto"/>
          <w:sz w:val="24"/>
          <w:szCs w:val="2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b/>
          <w:bCs/>
          <w:color w:val="auto"/>
          <w:sz w:val="24"/>
          <w:szCs w:val="24"/>
          <w:highlight w:val="none"/>
        </w:rPr>
      </w:r>
      <w:r/>
    </w:p>
    <w:p>
      <w:pPr>
        <w:ind w:firstLine="482"/>
        <w:jc w:val="center"/>
        <w:pageBreakBefore w:val="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第三部分 专用合同条款</w:t>
      </w:r>
      <w:bookmarkEnd w:id="180"/>
      <w:r/>
      <w:bookmarkEnd w:id="181"/>
      <w:r/>
      <w:r/>
    </w:p>
    <w:p>
      <w:pPr>
        <w:pStyle w:val="1170"/>
        <w:ind w:firstLine="482"/>
        <w:pageBreakBefore w:val="0"/>
        <w:spacing w:before="120" w:after="120" w:line="360" w:lineRule="auto"/>
        <w:rPr>
          <w:rFonts w:hint="eastAsia" w:ascii="宋体" w:hAnsi="宋体"/>
          <w:color w:val="auto"/>
          <w:sz w:val="24"/>
          <w:szCs w:val="24"/>
          <w:highlight w:val="none"/>
        </w:rPr>
      </w:pPr>
      <w:r/>
      <w:bookmarkStart w:id="182" w:name="_Toc351203633"/>
      <w:r>
        <w:rPr>
          <w:rFonts w:hint="eastAsia" w:ascii="宋体" w:hAnsi="宋体"/>
          <w:color w:val="auto"/>
          <w:sz w:val="24"/>
          <w:szCs w:val="24"/>
          <w:highlight w:val="none"/>
        </w:rPr>
        <w:t xml:space="preserve">1</w:t>
      </w:r>
      <w:bookmarkStart w:id="183" w:name="_Toc296503156"/>
      <w:r/>
      <w:bookmarkStart w:id="184" w:name="_Toc292559866"/>
      <w:r/>
      <w:bookmarkStart w:id="185" w:name="_Toc296346657"/>
      <w:r/>
      <w:bookmarkStart w:id="186" w:name="_Toc297120456"/>
      <w:r/>
      <w:bookmarkStart w:id="187" w:name="_Toc296890984"/>
      <w:r/>
      <w:bookmarkStart w:id="188" w:name="_Toc296347155"/>
      <w:r/>
      <w:bookmarkStart w:id="189" w:name="_Toc297048342"/>
      <w:r/>
      <w:bookmarkStart w:id="190" w:name="_Toc292559361"/>
      <w:r/>
      <w:bookmarkStart w:id="191" w:name="_Toc296891196"/>
      <w:r/>
      <w:bookmarkStart w:id="192" w:name="_Toc296944495"/>
      <w:r>
        <w:rPr>
          <w:rFonts w:hint="eastAsia" w:ascii="宋体" w:hAnsi="宋体"/>
          <w:color w:val="auto"/>
          <w:sz w:val="24"/>
          <w:szCs w:val="24"/>
          <w:highlight w:val="none"/>
        </w:rPr>
        <w:t xml:space="preserve">. 一般约定</w:t>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3" w:name="_Toc7931"/>
      <w:r>
        <w:rPr>
          <w:rFonts w:hint="eastAsia" w:ascii="宋体" w:hAnsi="宋体" w:eastAsia="宋体"/>
          <w:b/>
          <w:color w:val="auto"/>
          <w:sz w:val="24"/>
          <w:szCs w:val="24"/>
          <w:highlight w:val="none"/>
        </w:rPr>
        <w:t xml:space="preserve">1.1 词语定义</w:t>
      </w:r>
      <w:bookmarkEnd w:id="19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1.1.1合同</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1.1.1.1其他合同文件包括：</w:t>
      </w:r>
      <w:r>
        <w:rPr>
          <w:rFonts w:hint="eastAsia" w:ascii="宋体" w:hAnsi="宋体" w:eastAsia="宋体"/>
          <w:color w:val="auto"/>
          <w:sz w:val="24"/>
          <w:szCs w:val="24"/>
          <w:highlight w:val="none"/>
          <w:u w:val="single"/>
        </w:rPr>
        <w:t xml:space="preserve">经监理工程师、发包人代表签字并经发包人盖章确认的涉及工期、质量、价款调整内容的签证单、联系函、技术核定单等。</w:t>
      </w:r>
      <w:r/>
    </w:p>
    <w:p>
      <w:pPr>
        <w:ind w:left="0" w:firstLine="420"/>
        <w:pageBreakBefore w:val="0"/>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color w:val="auto"/>
          <w:sz w:val="24"/>
          <w:szCs w:val="24"/>
          <w:highlight w:val="none"/>
        </w:rPr>
        <w:t xml:space="preserve">1.1.2 合同当事人及其他相关方</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投标人投标前应充分考虑好须自愿认可采购人合法确定的相关项目参建方，即合同签订时承认为双方当事人共同委托的相关项目参建第三方。）</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设计人：</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资质类别和等级：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 工程和设备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作为施工现场组成部分的其他场所包括：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永久占地包括：</w:t>
      </w:r>
      <w:r>
        <w:rPr>
          <w:rFonts w:hint="eastAsia" w:ascii="宋体" w:hAnsi="宋体" w:eastAsia="宋体"/>
          <w:color w:val="auto"/>
          <w:sz w:val="24"/>
          <w:szCs w:val="24"/>
          <w:highlight w:val="none"/>
          <w:u w:val="single"/>
        </w:rPr>
        <w:t xml:space="preserve">发包人项目红线范围内的用地</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1.1.3.</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临时占地包括：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法律 </w:t>
      </w:r>
      <w:r/>
    </w:p>
    <w:p>
      <w:pPr>
        <w:ind w:firstLine="480"/>
        <w:pageBreakBefore w:val="0"/>
        <w:spacing w:after="120"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适用于合同的其他规范性文件：</w:t>
      </w:r>
      <w:r>
        <w:rPr>
          <w:rFonts w:hint="eastAsia" w:ascii="宋体" w:hAnsi="宋体" w:eastAsia="宋体"/>
          <w:color w:val="auto"/>
          <w:sz w:val="24"/>
          <w:szCs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auto"/>
          <w:sz w:val="24"/>
          <w:szCs w:val="24"/>
          <w:highlight w:val="none"/>
          <w:u w:val="single"/>
          <w:lang w:val="en-US" w:eastAsia="zh-CN"/>
        </w:rPr>
        <w:t xml:space="preserve">例</w:t>
      </w:r>
      <w:r>
        <w:rPr>
          <w:rFonts w:hint="eastAsia" w:ascii="宋体" w:hAnsi="宋体" w:eastAsia="宋体"/>
          <w:color w:val="auto"/>
          <w:sz w:val="24"/>
          <w:szCs w:val="24"/>
          <w:highlight w:val="none"/>
          <w:u w:val="single"/>
        </w:rPr>
        <w:t xml:space="preserve">》《江苏省建筑市场管理条例》等。</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标准和规范</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.1适用于工程的标准规范包括：</w:t>
      </w:r>
      <w:r>
        <w:rPr>
          <w:rFonts w:hint="eastAsia" w:ascii="宋体" w:hAnsi="宋体" w:eastAsia="宋体"/>
          <w:color w:val="auto"/>
          <w:sz w:val="24"/>
          <w:szCs w:val="24"/>
          <w:highlight w:val="none"/>
          <w:u w:val="single"/>
        </w:rPr>
        <w:t xml:space="preserve">现行建筑工程相关的规范、规程、标准、规定、图集等</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194" w:name="_Toc21365"/>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bookmarkEnd w:id="19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发包人提供国外标准、规范的份数：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发包人提供国外标准、规范的名称：</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.3发包人对工程的技术标准和功能要求的特殊要求：</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5" w:name="_Toc25091"/>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合同文件的优先顺序</w:t>
      </w:r>
      <w:bookmarkEnd w:id="195"/>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合同文件组成及优先顺序为：</w:t>
      </w:r>
      <w:r>
        <w:rPr>
          <w:rFonts w:hint="eastAsia" w:ascii="宋体" w:hAnsi="宋体" w:eastAsia="宋体"/>
          <w:color w:val="auto"/>
          <w:sz w:val="24"/>
          <w:szCs w:val="24"/>
          <w:highlight w:val="none"/>
          <w:u w:val="single"/>
        </w:rPr>
        <w:t xml:space="preserve">（1）合同协议书；（2）</w:t>
      </w:r>
      <w:r>
        <w:rPr>
          <w:rFonts w:hint="eastAsia" w:ascii="宋体" w:hAnsi="宋体" w:eastAsia="宋体"/>
          <w:color w:val="auto"/>
          <w:sz w:val="24"/>
          <w:szCs w:val="24"/>
          <w:highlight w:val="none"/>
          <w:u w:val="single"/>
          <w:lang w:val="en-US" w:eastAsia="zh-CN"/>
        </w:rPr>
        <w:t xml:space="preserve">成交</w:t>
      </w:r>
      <w:r>
        <w:rPr>
          <w:rFonts w:hint="eastAsia" w:ascii="宋体" w:hAnsi="宋体" w:eastAsia="宋体"/>
          <w:color w:val="auto"/>
          <w:sz w:val="24"/>
          <w:szCs w:val="24"/>
          <w:highlight w:val="none"/>
          <w:u w:val="single"/>
        </w:rPr>
        <w:t xml:space="preserve">通知书</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；（3）专用合同条款及其附件；（</w:t>
      </w:r>
      <w:r>
        <w:rPr>
          <w:rFonts w:hint="eastAsia" w:ascii="宋体" w:hAnsi="宋体" w:eastAsia="宋体"/>
          <w:color w:val="auto"/>
          <w:sz w:val="24"/>
          <w:szCs w:val="24"/>
          <w:highlight w:val="none"/>
          <w:u w:val="single"/>
          <w:lang w:val="en-US" w:eastAsia="zh-CN"/>
        </w:rPr>
        <w:t xml:space="preserve">4</w:t>
      </w:r>
      <w:r>
        <w:rPr>
          <w:rFonts w:hint="eastAsia" w:ascii="宋体" w:hAnsi="宋体" w:eastAsia="宋体"/>
          <w:color w:val="auto"/>
          <w:sz w:val="24"/>
          <w:szCs w:val="24"/>
          <w:highlight w:val="none"/>
          <w:u w:val="single"/>
        </w:rPr>
        <w:t xml:space="preserve">）通用合同条款；</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lang w:eastAsia="zh-CN"/>
        </w:rPr>
        <w:t xml:space="preserve">）</w:t>
      </w:r>
      <w:r>
        <w:rPr>
          <w:rFonts w:hint="eastAsia" w:ascii="宋体" w:hAnsi="宋体" w:cs="宋体"/>
          <w:color w:val="auto"/>
          <w:sz w:val="24"/>
          <w:highlight w:val="none"/>
          <w:u w:val="single"/>
          <w:lang w:val="en-US" w:eastAsia="zh-CN"/>
        </w:rPr>
        <w:t xml:space="preserve">磋商</w:t>
      </w:r>
      <w:r>
        <w:rPr>
          <w:rFonts w:ascii="宋体" w:hAnsi="宋体" w:eastAsia="宋体" w:cs="宋体"/>
          <w:color w:val="auto"/>
          <w:sz w:val="24"/>
          <w:highlight w:val="none"/>
          <w:u w:val="single"/>
        </w:rPr>
        <w:t xml:space="preserve">文件及其补充文件</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eastAsia="zh-CN"/>
        </w:rPr>
        <w:t xml:space="preserve">）</w:t>
      </w:r>
      <w:r>
        <w:rPr>
          <w:rFonts w:hint="eastAsia" w:ascii="宋体" w:hAnsi="宋体" w:eastAsia="宋体"/>
          <w:color w:val="auto"/>
          <w:sz w:val="24"/>
          <w:szCs w:val="24"/>
          <w:highlight w:val="none"/>
          <w:u w:val="single"/>
        </w:rPr>
        <w:t xml:space="preserve">投标</w:t>
      </w:r>
      <w:r>
        <w:rPr>
          <w:rFonts w:hint="eastAsia" w:ascii="宋体" w:hAnsi="宋体" w:eastAsia="宋体"/>
          <w:color w:val="auto"/>
          <w:sz w:val="24"/>
          <w:szCs w:val="24"/>
          <w:highlight w:val="none"/>
          <w:u w:val="single"/>
          <w:lang w:eastAsia="zh-CN"/>
        </w:rPr>
        <w:t xml:space="preserve">书</w:t>
      </w:r>
      <w:r>
        <w:rPr>
          <w:rFonts w:hint="eastAsia" w:ascii="宋体" w:hAnsi="宋体" w:eastAsia="宋体"/>
          <w:color w:val="auto"/>
          <w:sz w:val="24"/>
          <w:szCs w:val="24"/>
          <w:highlight w:val="none"/>
          <w:u w:val="single"/>
        </w:rPr>
        <w:t xml:space="preserve">及其附录（如果有）；（</w:t>
      </w:r>
      <w:r>
        <w:rPr>
          <w:rFonts w:hint="eastAsia" w:ascii="宋体" w:hAnsi="宋体" w:eastAsia="宋体"/>
          <w:color w:val="auto"/>
          <w:sz w:val="24"/>
          <w:szCs w:val="24"/>
          <w:highlight w:val="none"/>
          <w:u w:val="single"/>
          <w:lang w:val="en-US" w:eastAsia="zh-CN"/>
        </w:rPr>
        <w:t xml:space="preserve">7</w:t>
      </w:r>
      <w:r>
        <w:rPr>
          <w:rFonts w:hint="eastAsia" w:ascii="宋体" w:hAnsi="宋体" w:eastAsia="宋体"/>
          <w:color w:val="auto"/>
          <w:sz w:val="24"/>
          <w:szCs w:val="24"/>
          <w:highlight w:val="none"/>
          <w:u w:val="single"/>
        </w:rPr>
        <w:t xml:space="preserve">）标准、规范及有关技术文件；（</w:t>
      </w:r>
      <w:r>
        <w:rPr>
          <w:rFonts w:hint="eastAsia" w:ascii="宋体" w:hAnsi="宋体" w:eastAsia="宋体"/>
          <w:color w:val="auto"/>
          <w:sz w:val="24"/>
          <w:szCs w:val="24"/>
          <w:highlight w:val="none"/>
          <w:u w:val="single"/>
          <w:lang w:val="en-US" w:eastAsia="zh-CN"/>
        </w:rPr>
        <w:t xml:space="preserve">8</w:t>
      </w:r>
      <w:r>
        <w:rPr>
          <w:rFonts w:hint="eastAsia" w:ascii="宋体" w:hAnsi="宋体" w:eastAsia="宋体"/>
          <w:color w:val="auto"/>
          <w:sz w:val="24"/>
          <w:szCs w:val="24"/>
          <w:highlight w:val="none"/>
          <w:u w:val="single"/>
        </w:rPr>
        <w:t xml:space="preserve">）图纸</w:t>
      </w:r>
      <w:r>
        <w:rPr>
          <w:rFonts w:hint="eastAsia" w:ascii="宋体" w:hAnsi="宋体" w:eastAsia="宋体"/>
          <w:color w:val="auto"/>
          <w:sz w:val="24"/>
          <w:szCs w:val="24"/>
          <w:highlight w:val="none"/>
          <w:u w:val="single"/>
          <w:lang w:eastAsia="zh-CN"/>
        </w:rPr>
        <w:t xml:space="preserve">（如有）</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9</w:t>
      </w:r>
      <w:r>
        <w:rPr>
          <w:rFonts w:hint="eastAsia" w:ascii="宋体" w:hAnsi="宋体" w:eastAsia="宋体"/>
          <w:color w:val="auto"/>
          <w:sz w:val="24"/>
          <w:szCs w:val="24"/>
          <w:highlight w:val="none"/>
          <w:u w:val="single"/>
        </w:rPr>
        <w:t xml:space="preserve">）已标价的工程量清单或预算书；（</w:t>
      </w:r>
      <w:r>
        <w:rPr>
          <w:rFonts w:hint="eastAsia" w:ascii="宋体" w:hAnsi="宋体" w:eastAsia="宋体"/>
          <w:color w:val="auto"/>
          <w:sz w:val="24"/>
          <w:szCs w:val="24"/>
          <w:highlight w:val="none"/>
          <w:u w:val="single"/>
          <w:lang w:val="en-US" w:eastAsia="zh-CN"/>
        </w:rPr>
        <w:t xml:space="preserve">10</w:t>
      </w:r>
      <w:r>
        <w:rPr>
          <w:rFonts w:hint="eastAsia" w:ascii="宋体" w:hAnsi="宋体" w:eastAsia="宋体"/>
          <w:color w:val="auto"/>
          <w:sz w:val="24"/>
          <w:szCs w:val="24"/>
          <w:highlight w:val="none"/>
          <w:u w:val="single"/>
        </w:rPr>
        <w:t xml:space="preserve">）其他合同文件</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6" w:name="_Toc8793"/>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图纸和承包人文件</w:t>
      </w:r>
      <w:bookmarkEnd w:id="196"/>
      <w:r>
        <w:rPr>
          <w:rFonts w:hint="eastAsia" w:ascii="宋体" w:hAnsi="宋体" w:eastAsia="宋体"/>
          <w:b/>
          <w:color w:val="auto"/>
          <w:sz w:val="24"/>
          <w:szCs w:val="24"/>
          <w:highlight w:val="none"/>
        </w:rPr>
        <w:tab/>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.1 图纸的提供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发包人向承包人提供图纸的期限：</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发包人向承包人提供图纸的数量：</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发包人向承包人提供图纸的内容：</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承包人文件</w:t>
      </w:r>
      <w:r/>
    </w:p>
    <w:p>
      <w:pPr>
        <w:ind w:left="0" w:right="0" w:firstLine="482"/>
        <w:pageBreakBefore w:val="0"/>
        <w:spacing w:line="440" w:lineRule="exact"/>
        <w:rPr>
          <w:rFonts w:ascii="Times New Roman" w:hAnsi="Times New Roman" w:eastAsia="宋体" w:cs="Times New Roman"/>
          <w:color w:val="auto"/>
          <w:sz w:val="24"/>
        </w:rPr>
      </w:pPr>
      <w:r>
        <w:rPr>
          <w:rFonts w:hint="eastAsia" w:ascii="宋体" w:hAnsi="宋体" w:eastAsia="宋体"/>
          <w:color w:val="auto"/>
          <w:sz w:val="24"/>
          <w:szCs w:val="24"/>
          <w:highlight w:val="none"/>
        </w:rPr>
        <w:t xml:space="preserve">需要由承包人提供的文件，包括</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承包人提供的文件的期限为：</w:t>
      </w:r>
      <w:r>
        <w:rPr>
          <w:rFonts w:hint="eastAsia" w:ascii="宋体" w:hAnsi="宋体" w:eastAsia="宋体"/>
          <w:color w:val="auto"/>
          <w:sz w:val="24"/>
          <w:szCs w:val="24"/>
          <w:highlight w:val="none"/>
          <w:u w:val="single"/>
        </w:rPr>
        <w:t xml:space="preserve">      同上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承包人提供的文件的数量为：</w:t>
      </w:r>
      <w:r>
        <w:rPr>
          <w:rFonts w:hint="eastAsia" w:ascii="宋体" w:hAnsi="宋体" w:eastAsia="宋体"/>
          <w:color w:val="auto"/>
          <w:sz w:val="24"/>
          <w:szCs w:val="24"/>
          <w:highlight w:val="none"/>
          <w:u w:val="single"/>
        </w:rPr>
        <w:t xml:space="preserve">      一式四套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承包人提供的文件的形式为：</w:t>
      </w:r>
      <w:r>
        <w:rPr>
          <w:rFonts w:hint="eastAsia" w:ascii="宋体" w:hAnsi="宋体" w:eastAsia="宋体"/>
          <w:color w:val="auto"/>
          <w:sz w:val="24"/>
          <w:szCs w:val="24"/>
          <w:highlight w:val="none"/>
          <w:u w:val="single"/>
        </w:rPr>
        <w:t xml:space="preserve">   书面版和电子版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发包人审批承包人文件的期限：</w:t>
      </w:r>
      <w:r>
        <w:rPr>
          <w:rFonts w:ascii="宋体" w:hAnsi="宋体" w:eastAsia="宋体" w:cs="宋体"/>
          <w:color w:val="auto"/>
          <w:sz w:val="24"/>
          <w:highlight w:val="none"/>
          <w:u w:val="single"/>
        </w:rPr>
        <w:t xml:space="preserve">收到文件后</w:t>
      </w:r>
      <w:r>
        <w:rPr>
          <w:rFonts w:hint="eastAsia" w:ascii="宋体" w:hAnsi="宋体" w:eastAsia="宋体" w:cs="宋体"/>
          <w:color w:val="auto"/>
          <w:sz w:val="24"/>
          <w:highlight w:val="none"/>
          <w:u w:val="single"/>
          <w:lang w:val="en-US" w:eastAsia="zh-CN"/>
        </w:rPr>
        <w:t xml:space="preserve">5</w:t>
      </w:r>
      <w:r>
        <w:rPr>
          <w:rFonts w:ascii="宋体" w:hAnsi="宋体" w:eastAsia="宋体" w:cs="宋体"/>
          <w:color w:val="auto"/>
          <w:sz w:val="24"/>
          <w:highlight w:val="none"/>
          <w:u w:val="single"/>
        </w:rPr>
        <w:t xml:space="preserve">天</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现场图纸准备</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关于现场图纸准备的约定：</w:t>
      </w:r>
      <w:r>
        <w:rPr>
          <w:rFonts w:hint="eastAsia" w:ascii="宋体" w:hAnsi="宋体" w:eastAsia="宋体"/>
          <w:color w:val="auto"/>
          <w:sz w:val="24"/>
          <w:szCs w:val="24"/>
          <w:highlight w:val="none"/>
          <w:u w:val="single"/>
        </w:rPr>
        <w:t xml:space="preserve">由承包人负责准备现场图纸</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7" w:name="_Toc346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联络</w:t>
      </w:r>
      <w:bookmarkEnd w:id="19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.1发包人和承包人应当在</w:t>
      </w:r>
      <w:r>
        <w:rPr>
          <w:rFonts w:hint="eastAsia" w:ascii="宋体" w:hAnsi="宋体" w:eastAsia="宋体"/>
          <w:color w:val="auto"/>
          <w:sz w:val="24"/>
          <w:szCs w:val="24"/>
          <w:highlight w:val="none"/>
          <w:u w:val="single"/>
        </w:rPr>
        <w:t xml:space="preserve">3</w:t>
      </w:r>
      <w:r>
        <w:rPr>
          <w:rFonts w:hint="eastAsia" w:ascii="宋体" w:hAnsi="宋体" w:eastAsia="宋体"/>
          <w:color w:val="auto"/>
          <w:sz w:val="24"/>
          <w:szCs w:val="24"/>
          <w:highlight w:val="none"/>
        </w:rPr>
        <w:t xml:space="preserve">天内将与合同有关的通知、批准、证明、证书、指示、指令、要求、请求、同意、意见、确定和决定等书面函件送达对方当事人。</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.2</w:t>
      </w:r>
      <w:r>
        <w:rPr>
          <w:rFonts w:hint="eastAsia" w:ascii="宋体" w:hAnsi="宋体" w:eastAsia="宋体" w:cs="宋体"/>
          <w:color w:val="auto"/>
          <w:sz w:val="24"/>
          <w:szCs w:val="24"/>
          <w:highlight w:val="none"/>
        </w:rPr>
        <w:t xml:space="preserve">发包人接收文件的地点：</w:t>
      </w:r>
      <w:r>
        <w:rPr>
          <w:rFonts w:hint="eastAsia" w:ascii="宋体" w:hAnsi="宋体" w:eastAsia="宋体" w:cs="宋体"/>
          <w:color w:val="auto"/>
          <w:sz w:val="24"/>
          <w:szCs w:val="24"/>
          <w:highlight w:val="none"/>
          <w:u w:val="single"/>
        </w:rPr>
        <w:t xml:space="preserve">发包人办公室</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项目现场办公室或承包人住所地</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项目部人员</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项目现场办公室</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ascii="Times New Roman" w:hAnsi="Times New Roman" w:eastAsia="宋体" w:cs="Times New Roman"/>
          <w:color w:val="auto"/>
          <w:sz w:val="24"/>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Times New Roman" w:hAnsi="Times New Roman" w:eastAsia="宋体" w:cs="Times New Roman"/>
          <w:color w:val="auto"/>
          <w:sz w:val="24"/>
        </w:rPr>
        <w:t xml:space="preserve">。</w:t>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198" w:name="_Toc14019"/>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 交通运输</w:t>
      </w:r>
      <w:bookmarkEnd w:id="198"/>
      <w:r/>
      <w:r/>
    </w:p>
    <w:p>
      <w:pPr>
        <w:ind w:firstLine="480"/>
        <w:pageBreakBefore w:val="0"/>
        <w:spacing w:line="360" w:lineRule="auto"/>
        <w:rPr>
          <w:rFonts w:hint="eastAsia" w:ascii="宋体" w:hAnsi="宋体" w:eastAsia="宋体"/>
          <w:color w:val="auto"/>
          <w:sz w:val="24"/>
          <w:szCs w:val="24"/>
          <w:highlight w:val="none"/>
        </w:rPr>
        <w:outlineLvl w:val="0"/>
      </w:pPr>
      <w:r/>
      <w:bookmarkStart w:id="199" w:name="_Toc27740"/>
      <w:r>
        <w:rPr>
          <w:rFonts w:hint="eastAsia" w:ascii="宋体" w:hAnsi="宋体" w:eastAsia="宋体"/>
          <w:color w:val="auto"/>
          <w:sz w:val="24"/>
          <w:szCs w:val="24"/>
          <w:highlight w:val="none"/>
        </w:rPr>
        <w:t xml:space="preserve">1</w:t>
      </w:r>
      <w:bookmarkStart w:id="200" w:name="_Toc312677986"/>
      <w:r/>
      <w:bookmarkStart w:id="201" w:name="_Toc300934943"/>
      <w:r/>
      <w:bookmarkStart w:id="202" w:name="_Toc303539100"/>
      <w:r/>
      <w:bookmarkStart w:id="203" w:name="_Toc318581155"/>
      <w:r/>
      <w:bookmarkStart w:id="204" w:name="_Toc304295521"/>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 出入现场的权利</w:t>
      </w:r>
      <w:bookmarkEnd w:id="199"/>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关于出入现场的权利的约定：</w:t>
      </w:r>
      <w:r>
        <w:rPr>
          <w:rFonts w:hint="eastAsia" w:ascii="宋体" w:hAnsi="宋体" w:eastAsia="宋体"/>
          <w:color w:val="auto"/>
          <w:sz w:val="24"/>
          <w:szCs w:val="24"/>
          <w:highlight w:val="none"/>
          <w:u w:val="single"/>
        </w:rPr>
        <w:t xml:space="preserve">承包人已对施工场地现场勘察，由发包人按现状交付承包人施工，且施工场地平整等费用已包含在合同价款中。</w:t>
      </w:r>
      <w:bookmarkEnd w:id="200"/>
      <w:r/>
      <w:bookmarkEnd w:id="201"/>
      <w:r/>
      <w:bookmarkEnd w:id="202"/>
      <w:r/>
      <w:bookmarkEnd w:id="203"/>
      <w:r/>
      <w:bookmarkEnd w:id="204"/>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205" w:name="_Toc8902"/>
      <w:r>
        <w:rPr>
          <w:rFonts w:hint="eastAsia" w:ascii="宋体" w:hAnsi="宋体" w:eastAsia="宋体"/>
          <w:color w:val="auto"/>
          <w:sz w:val="24"/>
          <w:szCs w:val="24"/>
          <w:highlight w:val="none"/>
        </w:rPr>
        <w:t xml:space="preserve">1</w:t>
      </w:r>
      <w:bookmarkStart w:id="206" w:name="_Toc303539101"/>
      <w:r/>
      <w:bookmarkStart w:id="207" w:name="_Toc300934944"/>
      <w:r/>
      <w:bookmarkStart w:id="208" w:name="_Toc312677987"/>
      <w:r/>
      <w:bookmarkStart w:id="209" w:name="_Toc304295522"/>
      <w:r/>
      <w:bookmarkStart w:id="210" w:name="_Toc318581156"/>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场内交通</w:t>
      </w:r>
      <w:bookmarkEnd w:id="205"/>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关于场外交通和场内交通的边界的约定：</w:t>
      </w:r>
      <w:r>
        <w:rPr>
          <w:rFonts w:hint="eastAsia" w:ascii="宋体" w:hAnsi="宋体" w:eastAsia="宋体"/>
          <w:color w:val="auto"/>
          <w:sz w:val="24"/>
          <w:szCs w:val="24"/>
          <w:highlight w:val="none"/>
          <w:u w:val="single"/>
        </w:rPr>
        <w:t xml:space="preserve">发包人的用地红线范围为边界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关于发包人向承包人免费提供满足工程施工需要的场内道路和交通设施的约定：</w:t>
      </w:r>
      <w:bookmarkEnd w:id="206"/>
      <w:r/>
      <w:bookmarkEnd w:id="207"/>
      <w:r/>
      <w:bookmarkEnd w:id="208"/>
      <w:r/>
      <w:bookmarkEnd w:id="209"/>
      <w:r/>
      <w:bookmarkEnd w:id="210"/>
      <w:r>
        <w:rPr>
          <w:rFonts w:hint="eastAsia" w:ascii="宋体" w:hAnsi="宋体" w:eastAsia="宋体"/>
          <w:color w:val="auto"/>
          <w:sz w:val="24"/>
          <w:szCs w:val="24"/>
          <w:highlight w:val="none"/>
          <w:u w:val="single"/>
        </w:rPr>
        <w:t xml:space="preserve">均由承包人完成，费用已含在约定的合同价款计价方法中</w:t>
      </w:r>
      <w:r>
        <w:rPr>
          <w:rFonts w:hint="eastAsia" w:ascii="宋体" w:hAnsi="宋体" w:eastAsia="宋体"/>
          <w:color w:val="auto"/>
          <w:sz w:val="24"/>
          <w:szCs w:val="24"/>
          <w:highlight w:val="none"/>
        </w:rPr>
        <w:t xml:space="preserve">。</w:t>
      </w:r>
      <w:bookmarkStart w:id="211" w:name="_Toc318581157"/>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施工过程中，如遇需要占道施工、大型车辆临时停靠等情况，承包人需最少提前1天通知发包人，并按照相关部门要求负责做好施工现场警示标志、相关交通疏导等工作。</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超大件和超重件的运输</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运输超大件或超重件所需的道路和桥梁临时加固改造费用和其他有关费用由</w:t>
      </w:r>
      <w:r>
        <w:rPr>
          <w:rFonts w:hint="eastAsia" w:ascii="宋体" w:hAnsi="宋体" w:eastAsia="宋体"/>
          <w:color w:val="auto"/>
          <w:sz w:val="24"/>
          <w:szCs w:val="24"/>
          <w:highlight w:val="none"/>
          <w:u w:val="single"/>
        </w:rPr>
        <w:t xml:space="preserve">承包人</w:t>
      </w:r>
      <w:r>
        <w:rPr>
          <w:rFonts w:hint="eastAsia" w:ascii="宋体" w:hAnsi="宋体" w:eastAsia="宋体"/>
          <w:color w:val="auto"/>
          <w:sz w:val="24"/>
          <w:szCs w:val="24"/>
          <w:highlight w:val="none"/>
        </w:rPr>
        <w:t xml:space="preserve">承担。</w:t>
      </w:r>
      <w:bookmarkEnd w:id="211"/>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12" w:name="_Toc30998"/>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hint="eastAsia" w:ascii="宋体" w:hAnsi="宋体" w:eastAsia="宋体"/>
          <w:b/>
          <w:color w:val="auto"/>
          <w:sz w:val="24"/>
          <w:szCs w:val="24"/>
          <w:highlight w:val="none"/>
        </w:rPr>
        <w:t xml:space="preserve"> 知识产权</w:t>
      </w:r>
      <w:bookmarkEnd w:id="212"/>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3" w:name="_Toc19436"/>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.2 关于承包人为实施工程所编制文件的著作权的归属：</w:t>
      </w:r>
      <w:r>
        <w:rPr>
          <w:rFonts w:hint="eastAsia" w:ascii="宋体" w:hAnsi="宋体" w:eastAsia="宋体"/>
          <w:color w:val="auto"/>
          <w:sz w:val="24"/>
          <w:szCs w:val="24"/>
          <w:highlight w:val="none"/>
          <w:u w:val="single"/>
        </w:rPr>
        <w:t xml:space="preserve">发包人</w:t>
      </w:r>
      <w:r>
        <w:rPr>
          <w:rFonts w:hint="eastAsia" w:ascii="宋体" w:hAnsi="宋体" w:eastAsia="宋体"/>
          <w:color w:val="auto"/>
          <w:sz w:val="24"/>
          <w:szCs w:val="24"/>
          <w:highlight w:val="none"/>
        </w:rPr>
        <w:t xml:space="preserve">。</w:t>
      </w:r>
      <w:bookmarkEnd w:id="21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关于承包人提供的上述文件的使用限制的要求：</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214" w:name="_Toc19142"/>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承包人在施工过程中所采用的专利、专有技术、技术秘密的使用费的承担方式：</w:t>
      </w:r>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bookmarkEnd w:id="214"/>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rPr>
        <w:t xml:space="preserve">工程量清单错误的修正</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出现工程量清单错误时，是否调整合同价格：</w:t>
      </w:r>
      <w:r>
        <w:rPr>
          <w:rFonts w:hint="eastAsia" w:ascii="宋体" w:hAnsi="宋体" w:eastAsia="宋体"/>
          <w:color w:val="auto"/>
          <w:sz w:val="24"/>
          <w:szCs w:val="24"/>
          <w:highlight w:val="none"/>
          <w:u w:val="single"/>
        </w:rPr>
        <w:t xml:space="preserve">是</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允许调整合同价格的工程量偏差范围：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0"/>
        <w:ind w:firstLine="482"/>
        <w:pageBreakBefore w:val="0"/>
        <w:spacing w:before="120" w:after="120" w:line="360" w:lineRule="auto"/>
        <w:rPr>
          <w:rFonts w:hint="eastAsia" w:ascii="宋体" w:hAnsi="宋体"/>
          <w:color w:val="auto"/>
          <w:sz w:val="24"/>
          <w:szCs w:val="24"/>
          <w:highlight w:val="none"/>
        </w:rPr>
      </w:pPr>
      <w:r/>
      <w:bookmarkStart w:id="215" w:name="_Toc351203634"/>
      <w:r>
        <w:rPr>
          <w:rFonts w:hint="eastAsia" w:ascii="宋体" w:hAnsi="宋体"/>
          <w:color w:val="auto"/>
          <w:sz w:val="24"/>
          <w:szCs w:val="24"/>
          <w:highlight w:val="none"/>
        </w:rPr>
        <w:t xml:space="preserve">2</w:t>
      </w:r>
      <w:bookmarkStart w:id="216" w:name="_Toc292559867"/>
      <w:r/>
      <w:bookmarkStart w:id="217" w:name="_Toc296503157"/>
      <w:r/>
      <w:bookmarkStart w:id="218" w:name="_Toc296890985"/>
      <w:r/>
      <w:bookmarkStart w:id="219" w:name="_Toc296891197"/>
      <w:r/>
      <w:bookmarkStart w:id="220" w:name="_Toc297048343"/>
      <w:r/>
      <w:bookmarkStart w:id="221" w:name="_Toc296944496"/>
      <w:r/>
      <w:bookmarkStart w:id="222" w:name="_Toc297120457"/>
      <w:r/>
      <w:bookmarkStart w:id="223" w:name="_Toc296346658"/>
      <w:r/>
      <w:bookmarkStart w:id="224" w:name="_Toc292559362"/>
      <w:r/>
      <w:bookmarkStart w:id="225" w:name="_Toc296347156"/>
      <w:r>
        <w:rPr>
          <w:rFonts w:hint="eastAsia" w:ascii="宋体" w:hAnsi="宋体"/>
          <w:color w:val="auto"/>
          <w:sz w:val="24"/>
          <w:szCs w:val="24"/>
          <w:highlight w:val="none"/>
        </w:rPr>
        <w:t xml:space="preserve">. 发包人</w:t>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2"/>
        <w:pageBreakBefore w:val="0"/>
        <w:spacing w:after="120" w:line="360" w:lineRule="auto"/>
        <w:rPr>
          <w:rFonts w:hint="eastAsia" w:ascii="宋体" w:hAnsi="宋体" w:eastAsia="宋体"/>
          <w:b/>
          <w:color w:val="auto"/>
          <w:sz w:val="24"/>
          <w:szCs w:val="24"/>
          <w:highlight w:val="none"/>
        </w:rPr>
        <w:outlineLvl w:val="0"/>
      </w:pPr>
      <w:r/>
      <w:bookmarkStart w:id="226" w:name="_Toc15891"/>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rPr>
        <w:t xml:space="preserve"> 发包人代表</w:t>
      </w:r>
      <w:bookmarkEnd w:id="226"/>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发包人对发包人代表的授权范围如下：</w:t>
      </w:r>
      <w:r>
        <w:rPr>
          <w:rFonts w:hint="eastAsia" w:ascii="宋体" w:hAnsi="宋体" w:eastAsia="宋体"/>
          <w:color w:val="auto"/>
          <w:sz w:val="24"/>
          <w:szCs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施工现场、施工条件和基础资料的提供</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提供施工现场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关于发包人移交施工现场的期限要求：</w:t>
      </w:r>
      <w:r>
        <w:rPr>
          <w:rFonts w:hint="eastAsia" w:ascii="宋体" w:hAnsi="宋体" w:eastAsia="宋体"/>
          <w:color w:val="auto"/>
          <w:sz w:val="24"/>
          <w:szCs w:val="24"/>
          <w:highlight w:val="none"/>
          <w:u w:val="single"/>
        </w:rPr>
        <w:t xml:space="preserve">已具备移交条件</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提供施工条件</w:t>
      </w:r>
      <w:r/>
    </w:p>
    <w:p>
      <w:pPr>
        <w:ind w:firstLine="480"/>
        <w:jc w:val="left"/>
        <w:pageBreakBefore w:val="0"/>
        <w:spacing w:line="360" w:lineRule="auto"/>
        <w:widowControl/>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关于发包人应负责提供施工所需要的条件，包括：</w:t>
      </w:r>
      <w:r>
        <w:rPr>
          <w:rFonts w:hint="eastAsia" w:ascii="宋体" w:hAnsi="宋体" w:eastAsia="宋体"/>
          <w:color w:val="auto"/>
          <w:sz w:val="24"/>
          <w:szCs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水准点与坐标控制点以书面形式交给承包人，并于开工前进行现场交验；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color w:val="auto"/>
          <w:sz w:val="24"/>
          <w:szCs w:val="24"/>
          <w:highlight w:val="none"/>
          <w:u w:val="single"/>
          <w:lang w:val="en-US" w:eastAsia="zh-CN"/>
        </w:rPr>
        <w:t xml:space="preserve">如施工过程中因施工方原因对周边土地、河道、农作物、建筑等产生破坏，由承包人自行承担修复赔偿责任。</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227" w:name="_Toc21199"/>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资金来源证明及支付担保</w:t>
      </w:r>
      <w:bookmarkEnd w:id="227"/>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发包人提供资金来源证明的期限要求：</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发包人是否提供支付担保：</w:t>
      </w:r>
      <w:r>
        <w:rPr>
          <w:rFonts w:hint="eastAsia" w:ascii="宋体" w:hAnsi="宋体" w:eastAsia="宋体"/>
          <w:color w:val="auto"/>
          <w:sz w:val="24"/>
          <w:szCs w:val="24"/>
          <w:highlight w:val="none"/>
          <w:u w:val="single"/>
        </w:rPr>
        <w:t xml:space="preserve">  无支付担保                  </w:t>
      </w:r>
      <w:r>
        <w:rPr>
          <w:rFonts w:hint="eastAsia" w:ascii="宋体" w:hAnsi="宋体" w:eastAsia="宋体"/>
          <w:color w:val="auto"/>
          <w:sz w:val="24"/>
          <w:szCs w:val="24"/>
          <w:highlight w:val="none"/>
        </w:rPr>
        <w:t xml:space="preserve">。</w:t>
      </w:r>
      <w:r/>
    </w:p>
    <w:p>
      <w:pPr>
        <w:ind w:firstLine="480"/>
        <w:pageBreakBefore w:val="0"/>
        <w:spacing w:line="360" w:lineRule="auto"/>
        <w:rPr>
          <w:rFonts w:ascii="Times New Roman" w:hAnsi="Times New Roman" w:eastAsia="仿宋_GB2312"/>
          <w:color w:val="auto"/>
          <w:sz w:val="24"/>
          <w:szCs w:val="24"/>
          <w:highlight w:val="none"/>
          <w:u w:val="single"/>
        </w:rPr>
      </w:pPr>
      <w:r>
        <w:rPr>
          <w:rFonts w:hint="eastAsia" w:ascii="宋体" w:hAnsi="宋体" w:eastAsia="宋体"/>
          <w:color w:val="auto"/>
          <w:sz w:val="24"/>
          <w:szCs w:val="24"/>
          <w:highlight w:val="none"/>
        </w:rPr>
        <w:t xml:space="preserve">发包人提供支付担保的形式：</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pStyle w:val="1170"/>
        <w:ind w:firstLine="482"/>
        <w:pageBreakBefore w:val="0"/>
        <w:spacing w:line="360" w:lineRule="auto"/>
        <w:rPr>
          <w:rFonts w:hint="eastAsia" w:ascii="宋体" w:hAnsi="宋体"/>
          <w:color w:val="auto"/>
          <w:sz w:val="24"/>
          <w:szCs w:val="24"/>
          <w:highlight w:val="none"/>
        </w:rPr>
      </w:pPr>
      <w:r/>
      <w:bookmarkStart w:id="228" w:name="_Toc351203635"/>
      <w:r>
        <w:rPr>
          <w:rFonts w:hint="eastAsia" w:ascii="宋体" w:hAnsi="宋体"/>
          <w:color w:val="auto"/>
          <w:sz w:val="24"/>
          <w:szCs w:val="24"/>
          <w:highlight w:val="none"/>
        </w:rPr>
        <w:t xml:space="preserve">3</w:t>
      </w:r>
      <w:bookmarkStart w:id="229" w:name="_Toc296890986"/>
      <w:r/>
      <w:bookmarkStart w:id="230" w:name="_Toc292559868"/>
      <w:r/>
      <w:bookmarkStart w:id="231" w:name="_Toc296944497"/>
      <w:r/>
      <w:bookmarkStart w:id="232" w:name="_Toc296891198"/>
      <w:r/>
      <w:bookmarkStart w:id="233" w:name="_Toc292559363"/>
      <w:r/>
      <w:bookmarkStart w:id="234" w:name="_Toc296347157"/>
      <w:r/>
      <w:bookmarkStart w:id="235" w:name="_Toc296346659"/>
      <w:r/>
      <w:bookmarkStart w:id="236" w:name="_Toc297120458"/>
      <w:r/>
      <w:bookmarkStart w:id="237" w:name="_Toc296503158"/>
      <w:r/>
      <w:bookmarkStart w:id="238" w:name="_Toc297048344"/>
      <w:r>
        <w:rPr>
          <w:rFonts w:hint="eastAsia" w:ascii="宋体" w:hAnsi="宋体"/>
          <w:color w:val="auto"/>
          <w:sz w:val="24"/>
          <w:szCs w:val="24"/>
          <w:highlight w:val="none"/>
        </w:rPr>
        <w:t xml:space="preserve">. 承包人</w:t>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 承包人的一般义务</w:t>
      </w:r>
      <w:r/>
    </w:p>
    <w:p>
      <w:pPr>
        <w:ind w:left="0" w:right="0" w:firstLine="480"/>
        <w:pageBreakBefore w:val="0"/>
        <w:spacing w:line="440" w:lineRule="exact"/>
        <w:rPr>
          <w:rFonts w:ascii="Times New Roman" w:hAnsi="Times New Roman" w:eastAsia="宋体" w:cs="Times New Roman"/>
          <w:color w:val="auto"/>
          <w:sz w:val="24"/>
        </w:rPr>
      </w:pPr>
      <w:r>
        <w:rPr>
          <w:rFonts w:hint="eastAsia" w:ascii="宋体" w:hAnsi="宋体" w:eastAsia="宋体"/>
          <w:color w:val="auto"/>
          <w:sz w:val="24"/>
          <w:szCs w:val="24"/>
          <w:highlight w:val="none"/>
        </w:rPr>
        <w:t xml:space="preserve">（1）承包人提交的竣工资料的内容：</w:t>
      </w:r>
      <w:r>
        <w:rPr>
          <w:rFonts w:hint="eastAsia" w:ascii="Times New Roman" w:hAnsi="Times New Roman" w:eastAsia="宋体" w:cs="Times New Roman"/>
          <w:color w:val="auto"/>
          <w:sz w:val="24"/>
          <w:u w:val="single"/>
        </w:rPr>
        <w:t xml:space="preserve">承包人应按《建设工程文件归档规范》（GB/T50328-2014）及建设部建城[2002]221 号文关于《市政基础设施工程施工技术文件管理规定》的要求，向发包人提供经过</w:t>
      </w:r>
      <w:r>
        <w:rPr>
          <w:rFonts w:hint="eastAsia" w:ascii="Times New Roman" w:hAnsi="Times New Roman" w:eastAsia="宋体" w:cs="Times New Roman"/>
          <w:b/>
          <w:bCs/>
          <w:color w:val="auto"/>
          <w:sz w:val="24"/>
          <w:u w:val="single"/>
        </w:rPr>
        <w:t xml:space="preserve">总监理工程师审核认可的完整并符合要求的竣工资料，含竣工图及其它资料</w:t>
      </w:r>
      <w:r>
        <w:rPr>
          <w:rFonts w:hint="eastAsia" w:ascii="Times New Roman" w:hAnsi="Times New Roman" w:eastAsia="宋体" w:cs="Times New Roman"/>
          <w:color w:val="auto"/>
          <w:sz w:val="24"/>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承包人需要提交的竣工资料套数：三套。</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承包人提交的竣工资料的费用承担：由承包人承担。</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承包人提交的竣工资料移交时间：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承包人提交的竣工资料形式要求：书面及电子文档。</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（2）承包人应履行的其他义务：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在本合同签订后至开工前，承包人应积极做好开工前的各项准备工作。</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场内外道路：场外道路已开通，场地内施工临时道路、硬化等由承包人自行安排，相关费用由承包人承担。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3）独立、有效</w:t>
      </w:r>
      <w:r>
        <w:rPr>
          <w:rFonts w:hint="eastAsia" w:ascii="宋体" w:hAnsi="宋体" w:eastAsia="宋体"/>
          <w:color w:val="auto"/>
          <w:sz w:val="24"/>
          <w:szCs w:val="24"/>
          <w:highlight w:val="none"/>
          <w:u w:val="single"/>
          <w:lang w:eastAsia="zh-CN"/>
        </w:rPr>
        <w:t xml:space="preserve">地</w:t>
      </w:r>
      <w:r>
        <w:rPr>
          <w:rFonts w:hint="eastAsia" w:ascii="宋体" w:hAnsi="宋体" w:eastAsia="宋体"/>
          <w:color w:val="auto"/>
          <w:sz w:val="24"/>
          <w:szCs w:val="24"/>
          <w:highlight w:val="none"/>
          <w:u w:val="single"/>
        </w:rPr>
        <w:t xml:space="preserve">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应提供计划、报表的名称及完成时间：每周五下午5</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00前提供下周计划和本周完成情况统计表，完成工程量价款汇总（一式三份）交监理机构。</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承担施工安全保卫工作及非夜间施工照明的责任和要求：提供和维修非夜间施工使用的照明、围栏设施、并负责安全保卫；承包人在各种危险部位设置明显的安全警示标志，安全警示标志必须符合国家标准，如发生安全事故，责任概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向发包人提供的办公用房及设施的要求：无偿提供监理、发包人办公室等办公用房，费用已列入合同价款范围。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 需承包人办理的有关施工场地交通、环卫环保和施工噪音管理等手续：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遵守政府有关主管部门对施工场地交通、施工噪音、环境保护和安全生产等的管理规定，按规定办理有关手续，并以书面形式通知发包人，所有费用均已含在合同价款中。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 已完工程成品保护的特殊要求及费用承担：已竣工工程未交付发包人之前，承包人负责已完成工程的保护工作，所需费用含在合同价款内。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10) 施工场地周围地下管线和邻近建筑物、构筑物（含文物保护</w:t>
      </w:r>
      <w:r>
        <w:rPr>
          <w:rFonts w:hint="eastAsia" w:ascii="宋体" w:hAnsi="宋体" w:eastAsia="宋体"/>
          <w:color w:val="auto"/>
          <w:sz w:val="24"/>
          <w:szCs w:val="24"/>
          <w:highlight w:val="none"/>
          <w:u w:val="single"/>
          <w:lang w:eastAsia="zh-CN"/>
        </w:rPr>
        <w:t xml:space="preserve">建筑</w:t>
      </w:r>
      <w:r>
        <w:rPr>
          <w:rFonts w:hint="eastAsia" w:ascii="宋体" w:hAnsi="宋体" w:eastAsia="宋体"/>
          <w:color w:val="auto"/>
          <w:sz w:val="24"/>
          <w:szCs w:val="24"/>
          <w:highlight w:val="none"/>
          <w:u w:val="single"/>
        </w:rPr>
        <w:t xml:space="preserve">）、古树名木的保护要求及费用承担：负责做好施工场地周围地下管线和邻近建筑物、构筑物（含文物保护建筑）、古树名木保护措施，费用含在合同价款中。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11) 施工场地清洁卫生的要求：施工现场材料堆放要整齐，并有遮盖，不得扬尘，机械停放有序，符合清洁卫生要求，承担因自身原因违反有关规定造成的损失和罚款。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13) 双方约定承包人应做的其他工作：施工场地要设立标语、标牌，做到文明施工，树立企业形象，主动接受社会监督和有关部门的管理。</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15）承包人已仔细勘察并充分考虑施工范围内地面以上及地面以下</w:t>
      </w:r>
      <w:r>
        <w:rPr>
          <w:rFonts w:hint="eastAsia" w:ascii="宋体" w:hAnsi="宋体"/>
          <w:color w:val="auto"/>
          <w:sz w:val="24"/>
          <w:szCs w:val="24"/>
          <w:highlight w:val="none"/>
          <w:u w:val="single"/>
          <w:lang w:val="en-US" w:eastAsia="zh-CN"/>
        </w:rPr>
        <w:t xml:space="preserve">目前以及施工</w:t>
      </w:r>
      <w:r>
        <w:rPr>
          <w:rFonts w:hint="eastAsia" w:ascii="宋体" w:hAnsi="宋体" w:eastAsia="宋体"/>
          <w:color w:val="auto"/>
          <w:sz w:val="24"/>
          <w:szCs w:val="24"/>
          <w:highlight w:val="none"/>
          <w:u w:val="single"/>
        </w:rPr>
        <w:t xml:space="preserve">将产生的建筑垃圾、杂土清运的工程量，且费用已包含在合同价款中。</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firstLine="480"/>
        <w:jc w:val="left"/>
        <w:pageBreakBefore w:val="0"/>
        <w:spacing w:line="360" w:lineRule="auto"/>
        <w:widowControl/>
        <w:rPr>
          <w:rStyle w:val="1280"/>
          <w:rFonts w:hint="eastAsia"/>
          <w:color w:val="auto"/>
          <w:sz w:val="24"/>
          <w:szCs w:val="24"/>
          <w:highlight w:val="none"/>
          <w:u w:val="single"/>
        </w:rPr>
      </w:pPr>
      <w:r>
        <w:rPr>
          <w:rFonts w:hint="eastAsia" w:ascii="宋体" w:hAnsi="宋体" w:eastAsia="宋体"/>
          <w:color w:val="auto"/>
          <w:sz w:val="24"/>
          <w:szCs w:val="24"/>
          <w:highlight w:val="none"/>
          <w:u w:val="single"/>
        </w:rPr>
        <w:t xml:space="preserve">17）</w:t>
      </w:r>
      <w:r>
        <w:rPr>
          <w:rStyle w:val="1280"/>
          <w:rFonts w:hint="eastAsia"/>
          <w:color w:val="auto"/>
          <w:sz w:val="24"/>
          <w:szCs w:val="24"/>
          <w:highlight w:val="none"/>
          <w:u w:val="single"/>
        </w:rPr>
        <w:t xml:space="preserve">对于施工过程中承包人不得因承包方前期手续而索赔或消极施工，需积极配合，保证工程按计划进行。如发生类似情形，发现一次扣除履约保证金的</w:t>
      </w:r>
      <w:r>
        <w:rPr>
          <w:rStyle w:val="1281"/>
          <w:color w:val="auto"/>
          <w:sz w:val="24"/>
          <w:szCs w:val="24"/>
          <w:highlight w:val="none"/>
          <w:u w:val="single"/>
        </w:rPr>
        <w:t xml:space="preserve">10%</w:t>
      </w:r>
      <w:r>
        <w:rPr>
          <w:rStyle w:val="1281"/>
          <w:rFonts w:hint="eastAsia"/>
          <w:color w:val="auto"/>
          <w:sz w:val="24"/>
          <w:szCs w:val="24"/>
          <w:highlight w:val="none"/>
          <w:u w:val="single"/>
        </w:rPr>
        <w:t xml:space="preserve"> </w:t>
      </w:r>
      <w:r>
        <w:rPr>
          <w:rStyle w:val="1280"/>
          <w:rFonts w:hint="eastAsia"/>
          <w:color w:val="auto"/>
          <w:sz w:val="24"/>
          <w:szCs w:val="24"/>
          <w:highlight w:val="none"/>
          <w:u w:val="single"/>
        </w:rPr>
        <w:t xml:space="preserve">。</w:t>
      </w:r>
      <w:r/>
    </w:p>
    <w:p>
      <w:pPr>
        <w:ind w:firstLine="480"/>
        <w:jc w:val="left"/>
        <w:pageBreakBefore w:val="0"/>
        <w:spacing w:line="360" w:lineRule="auto"/>
        <w:widowControl/>
        <w:rPr>
          <w:rStyle w:val="1280"/>
          <w:rFonts w:hint="eastAsia"/>
          <w:color w:val="auto"/>
          <w:sz w:val="24"/>
          <w:szCs w:val="24"/>
          <w:highlight w:val="none"/>
          <w:u w:val="single"/>
        </w:rPr>
      </w:pPr>
      <w:r>
        <w:rPr>
          <w:rStyle w:val="1280"/>
          <w:rFonts w:hint="eastAsia"/>
          <w:color w:val="auto"/>
          <w:sz w:val="24"/>
          <w:szCs w:val="24"/>
          <w:highlight w:val="none"/>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 项目经理：</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身份证号：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建造师执业资格等级：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建造师注册证书号：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建造师执业印章号：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安全生产考核合格证书号：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承包人对项目经理的授权范围如下：</w:t>
      </w:r>
      <w:r>
        <w:rPr>
          <w:rFonts w:hint="eastAsia" w:ascii="宋体" w:hAnsi="宋体" w:eastAsia="宋体"/>
          <w:color w:val="auto"/>
          <w:sz w:val="24"/>
          <w:szCs w:val="24"/>
          <w:highlight w:val="none"/>
          <w:u w:val="single"/>
        </w:rPr>
        <w:t xml:space="preserve">作为承包人代表，负责本工程项目施工</w:t>
      </w:r>
      <w:r>
        <w:rPr>
          <w:rFonts w:hint="eastAsia" w:ascii="宋体" w:hAnsi="宋体"/>
          <w:color w:val="auto"/>
          <w:sz w:val="24"/>
          <w:szCs w:val="24"/>
          <w:highlight w:val="none"/>
          <w:u w:val="single"/>
          <w:lang w:eastAsia="zh-CN"/>
        </w:rPr>
        <w:t xml:space="preserve">全过程</w:t>
      </w:r>
      <w:r>
        <w:rPr>
          <w:rFonts w:hint="eastAsia" w:ascii="宋体" w:hAnsi="宋体" w:eastAsia="宋体"/>
          <w:color w:val="auto"/>
          <w:sz w:val="24"/>
          <w:szCs w:val="24"/>
          <w:highlight w:val="none"/>
          <w:u w:val="single"/>
        </w:rPr>
        <w:t xml:space="preserve">全面管理的责任和义务，全权代表承包人履行合同义务</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eastAsia="宋体"/>
          <w:color w:val="auto"/>
          <w:sz w:val="24"/>
          <w:szCs w:val="24"/>
          <w:highlight w:val="none"/>
        </w:rPr>
        <w:t xml:space="preserve">承包人未提交劳动合同，以及没有为项目经理缴纳社会保险证明的违约责任：</w:t>
      </w:r>
      <w:r>
        <w:rPr>
          <w:rFonts w:hint="eastAsia" w:ascii="宋体" w:hAnsi="宋体" w:eastAsia="宋体"/>
          <w:color w:val="auto"/>
          <w:sz w:val="24"/>
          <w:szCs w:val="24"/>
          <w:highlight w:val="none"/>
          <w:u w:val="single"/>
        </w:rPr>
        <w:t xml:space="preserve">处以3万元罚款，责令限期提交劳动合同并补缴社会保险；承包人承担因此产生的全部损失和责任，工期不予顺延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项目经理未经批准，擅自离开施工现场的违约责任：</w:t>
      </w:r>
      <w:r>
        <w:rPr>
          <w:rFonts w:hint="eastAsia" w:ascii="宋体" w:hAnsi="宋体" w:eastAsia="宋体"/>
          <w:color w:val="auto"/>
          <w:sz w:val="24"/>
          <w:szCs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 承包人擅自更换项目经理的违约责任：</w:t>
      </w:r>
      <w:r>
        <w:rPr>
          <w:rFonts w:hint="eastAsia" w:ascii="宋体" w:hAnsi="宋体" w:eastAsia="宋体"/>
          <w:color w:val="auto"/>
          <w:sz w:val="24"/>
          <w:szCs w:val="24"/>
          <w:highlight w:val="none"/>
          <w:u w:val="single"/>
        </w:rPr>
        <w:t xml:space="preserve">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3.2.4 承包人无正当理由拒绝更换项目经理的违约责任：</w:t>
      </w:r>
      <w:r>
        <w:rPr>
          <w:rFonts w:hint="eastAsia" w:ascii="宋体" w:hAnsi="宋体" w:eastAsia="宋体"/>
          <w:color w:val="auto"/>
          <w:sz w:val="24"/>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 承包人人员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3.3.1 承包人提交项目管理机构及施工现场管理人员安排报告的期限：</w:t>
      </w:r>
      <w:r>
        <w:rPr>
          <w:rFonts w:hint="eastAsia" w:ascii="宋体" w:hAnsi="宋体" w:eastAsia="宋体"/>
          <w:color w:val="auto"/>
          <w:sz w:val="24"/>
          <w:szCs w:val="24"/>
          <w:highlight w:val="none"/>
          <w:u w:val="single"/>
        </w:rPr>
        <w:t xml:space="preserve">工程开工前7天</w:t>
      </w:r>
      <w:r>
        <w:rPr>
          <w:rFonts w:hint="eastAsia" w:ascii="宋体" w:hAnsi="宋体" w:eastAsia="宋体"/>
          <w:color w:val="auto"/>
          <w:sz w:val="24"/>
          <w:szCs w:val="24"/>
          <w:highlight w:val="none"/>
        </w:rPr>
        <w:t xml:space="preserve">。</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处以2万元罚款，承包人承担上述违约给发包人造成的一切损失，发包人有权单方面解除合同，已完工程不做结算</w:t>
      </w:r>
      <w:r>
        <w:rPr>
          <w:rFonts w:hint="eastAsia" w:ascii="宋体" w:hAnsi="宋体" w:eastAsia="宋体" w:cs="宋体"/>
          <w:color w:val="auto"/>
          <w:sz w:val="24"/>
          <w:szCs w:val="24"/>
          <w:highlight w:val="none"/>
        </w:rPr>
        <w:t xml:space="preserve">。</w:t>
      </w:r>
      <w:r/>
    </w:p>
    <w:p>
      <w:pPr>
        <w:ind w:left="0" w:right="0" w:firstLine="480"/>
        <w:pageBreakBefore w:val="0"/>
        <w:spacing w:line="44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3.3.3 承包人无正当理由拒绝撤换主要施工管理人员的违约责任：</w:t>
      </w:r>
      <w:r>
        <w:rPr>
          <w:rFonts w:hint="eastAsia" w:ascii="Times New Roman" w:hAnsi="Times New Roman" w:eastAsia="宋体" w:cs="Times New Roman"/>
          <w:b/>
          <w:bCs/>
          <w:color w:val="auto"/>
          <w:sz w:val="24"/>
          <w:u w:val="single"/>
        </w:rPr>
        <w:t xml:space="preserve">处以2万元罚款，承包人承担上述违约给发包人造成的一切损失，发包人有权单方面解除合同，已完工程不做结算</w:t>
      </w:r>
      <w:r>
        <w:rPr>
          <w:rFonts w:hint="eastAsia" w:ascii="Times New Roman" w:hAnsi="Times New Roman" w:eastAsia="宋体" w:cs="Times New Roman"/>
          <w:b/>
          <w:bCs/>
          <w:color w:val="auto"/>
          <w:sz w:val="24"/>
        </w:rPr>
        <w:t xml:space="preserve">。</w:t>
      </w:r>
      <w:r/>
    </w:p>
    <w:p>
      <w:pPr>
        <w:ind w:left="0" w:right="0" w:firstLine="480"/>
        <w:pageBreakBefore w:val="0"/>
        <w:spacing w:line="440" w:lineRule="exact"/>
        <w:rPr>
          <w:rFonts w:ascii="Times New Roman" w:hAnsi="Times New Roman" w:eastAsia="宋体" w:cs="Times New Roman"/>
          <w:b/>
          <w:bCs/>
          <w:color w:val="auto"/>
          <w:sz w:val="24"/>
        </w:rPr>
      </w:pPr>
      <w:r>
        <w:rPr>
          <w:rFonts w:hint="eastAsia" w:ascii="Times New Roman" w:hAnsi="Times New Roman" w:eastAsia="宋体" w:cs="Times New Roman"/>
          <w:color w:val="auto"/>
          <w:sz w:val="24"/>
        </w:rPr>
        <w:t xml:space="preserve">3.3.4 承包人主要施工管理人员离开施工现场的批准要求：</w:t>
      </w:r>
      <w:r>
        <w:rPr>
          <w:rFonts w:hint="eastAsia" w:ascii="Times New Roman" w:hAnsi="Times New Roman" w:eastAsia="宋体" w:cs="Times New Roman"/>
          <w:b/>
          <w:bCs/>
          <w:color w:val="auto"/>
          <w:sz w:val="24"/>
          <w:u w:val="single"/>
        </w:rPr>
        <w:t xml:space="preserve">由总监理工程师批准，发包人书面认可后方可离开</w:t>
      </w:r>
      <w:r>
        <w:rPr>
          <w:rFonts w:hint="eastAsia" w:ascii="Times New Roman" w:hAnsi="Times New Roman" w:eastAsia="宋体" w:cs="Times New Roman"/>
          <w:b/>
          <w:bCs/>
          <w:color w:val="auto"/>
          <w:sz w:val="24"/>
        </w:rPr>
        <w:t xml:space="preserve">。</w:t>
      </w:r>
      <w:r/>
    </w:p>
    <w:p>
      <w:pPr>
        <w:ind w:firstLine="482"/>
        <w:pageBreakBefore w:val="0"/>
        <w:spacing w:after="120" w:line="360" w:lineRule="auto"/>
        <w:rPr>
          <w:rFonts w:hint="eastAsia" w:ascii="Times New Roman" w:hAnsi="Times New Roman" w:eastAsia="宋体" w:cs="Times New Roman"/>
          <w:color w:val="auto"/>
          <w:sz w:val="24"/>
          <w:u w:val="single"/>
        </w:rPr>
      </w:pPr>
      <w:r>
        <w:rPr>
          <w:rFonts w:hint="eastAsia" w:ascii="Times New Roman" w:hAnsi="Times New Roman" w:eastAsia="宋体" w:cs="Times New Roman"/>
          <w:color w:val="auto"/>
          <w:sz w:val="24"/>
        </w:rPr>
        <w:t xml:space="preserve">3.3.5 承包人擅自更换主要施工管理人员的违约责任：</w:t>
      </w:r>
      <w:r>
        <w:rPr>
          <w:rFonts w:hint="eastAsia" w:ascii="Times New Roman" w:hAnsi="Times New Roman" w:eastAsia="宋体" w:cs="Times New Roman"/>
          <w:color w:val="auto"/>
          <w:sz w:val="24"/>
          <w:u w:val="single"/>
        </w:rPr>
        <w:t xml:space="preserve">处以1000元罚款，承包人承担上述违约给发包人造成的一切损失，发包人有权单方面解除合同，已完工程不做结算。</w:t>
      </w:r>
      <w:r/>
    </w:p>
    <w:p>
      <w:pPr>
        <w:ind w:firstLine="482"/>
        <w:pageBreakBefore w:val="0"/>
        <w:spacing w:after="120" w:line="360" w:lineRule="auto"/>
        <w:rPr>
          <w:rFonts w:hint="eastAsia" w:ascii="Times New Roman" w:hAnsi="Times New Roman" w:eastAsia="宋体" w:cs="Times New Roman"/>
          <w:color w:val="auto"/>
          <w:sz w:val="24"/>
          <w:u w:val="single"/>
        </w:rPr>
      </w:pPr>
      <w:r>
        <w:rPr>
          <w:rFonts w:hint="eastAsia" w:ascii="Times New Roman" w:hAnsi="Times New Roman" w:eastAsia="宋体" w:cs="Times New Roman"/>
          <w:color w:val="auto"/>
          <w:sz w:val="24"/>
          <w:u w:val="single"/>
        </w:rPr>
        <w:t xml:space="preserve">承包人主要施工管理人员擅自离开施工现场的违约责任：处以 200 元罚款，承包人承担上述违约给发包人造成的一切损失</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bookmarkStart w:id="239" w:name="_Toc292559364"/>
      <w:r/>
      <w:bookmarkStart w:id="240" w:name="_Toc297123492"/>
      <w:r/>
      <w:bookmarkStart w:id="241" w:name="_Toc297216151"/>
      <w:r/>
      <w:bookmarkStart w:id="242" w:name="_Toc296944498"/>
      <w:r/>
      <w:bookmarkStart w:id="243" w:name="_Toc296503159"/>
      <w:r/>
      <w:bookmarkStart w:id="244" w:name="_Toc304295523"/>
      <w:r/>
      <w:bookmarkStart w:id="245" w:name="_Toc296890987"/>
      <w:r/>
      <w:bookmarkStart w:id="246" w:name="_Toc292559869"/>
      <w:r/>
      <w:bookmarkStart w:id="247" w:name="_Toc312677988"/>
      <w:r/>
      <w:bookmarkStart w:id="248" w:name="_Toc296346660"/>
      <w:r/>
      <w:bookmarkStart w:id="249" w:name="_Toc296891199"/>
      <w:r/>
      <w:bookmarkStart w:id="250" w:name="_Toc297120459"/>
      <w:r/>
      <w:bookmarkStart w:id="251" w:name="_Toc297048345"/>
      <w:r/>
      <w:bookmarkStart w:id="252" w:name="_Toc303539102"/>
      <w:r/>
      <w:bookmarkStart w:id="253" w:name="_Toc300934945"/>
      <w:r/>
      <w:bookmarkStart w:id="254" w:name="_Toc296347158"/>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分包</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55" w:name="_Toc292559365"/>
      <w:r/>
      <w:bookmarkStart w:id="256" w:name="_Toc296503160"/>
      <w:r/>
      <w:bookmarkStart w:id="257" w:name="_Toc296346661"/>
      <w:r/>
      <w:bookmarkStart w:id="258" w:name="_Toc296944499"/>
      <w:r/>
      <w:bookmarkStart w:id="259" w:name="_Toc297120460"/>
      <w:r/>
      <w:bookmarkStart w:id="260" w:name="_Toc304295524"/>
      <w:r/>
      <w:bookmarkStart w:id="261" w:name="_Toc296891200"/>
      <w:r/>
      <w:bookmarkStart w:id="262" w:name="_Toc303539103"/>
      <w:r/>
      <w:bookmarkStart w:id="263" w:name="_Toc297048346"/>
      <w:r/>
      <w:bookmarkStart w:id="264" w:name="_Toc292559870"/>
      <w:r/>
      <w:bookmarkStart w:id="265" w:name="_Toc296890988"/>
      <w:r/>
      <w:bookmarkStart w:id="266" w:name="_Toc296347159"/>
      <w:r/>
      <w:bookmarkStart w:id="267" w:name="_Toc300934946"/>
      <w:r/>
      <w:bookmarkStart w:id="268" w:name="_Toc297123493"/>
      <w:r/>
      <w:bookmarkStart w:id="269" w:name="_Toc297216152"/>
      <w:r/>
      <w:bookmarkStart w:id="270" w:name="_Toc312677989"/>
      <w:r/>
      <w:bookmarkStart w:id="271" w:name="_Toc318581158"/>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分包的一般约定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禁止分包的工程包括：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主体结构、关键性工作的范围：</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72" w:name="_Toc296347160"/>
      <w:r/>
      <w:bookmarkStart w:id="273" w:name="_Toc296890989"/>
      <w:r/>
      <w:bookmarkStart w:id="274" w:name="_Toc296891201"/>
      <w:r/>
      <w:bookmarkStart w:id="275" w:name="_Toc297216153"/>
      <w:r/>
      <w:bookmarkStart w:id="276" w:name="_Toc296503161"/>
      <w:r/>
      <w:bookmarkStart w:id="277" w:name="_Toc296944500"/>
      <w:r/>
      <w:bookmarkStart w:id="278" w:name="_Toc296346662"/>
      <w:r/>
      <w:bookmarkStart w:id="279" w:name="_Toc297120461"/>
      <w:r/>
      <w:bookmarkStart w:id="280" w:name="_Toc297048347"/>
      <w:r/>
      <w:bookmarkStart w:id="281" w:name="_Toc300934947"/>
      <w:r/>
      <w:bookmarkStart w:id="282" w:name="_Toc297123494"/>
      <w:r/>
      <w:bookmarkStart w:id="283" w:name="_Toc304295525"/>
      <w:r/>
      <w:bookmarkStart w:id="284" w:name="_Toc303539104"/>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bookmarkStart w:id="285" w:name="_Toc312677990"/>
      <w:r/>
      <w:bookmarkStart w:id="286" w:name="_Toc318581159"/>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.2分包的确定</w:t>
      </w:r>
      <w:r/>
    </w:p>
    <w:p>
      <w:pPr>
        <w:ind w:firstLine="480"/>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允许分包的专业工程包括：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其他关于分包的约定：</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分包合同价款</w:t>
      </w:r>
      <w:r/>
    </w:p>
    <w:p>
      <w:pPr>
        <w:ind w:firstLine="480"/>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关于分包合同价款支付的约定：</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285"/>
      <w:r/>
      <w:bookmarkEnd w:id="286"/>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工程照管与成品、半成品保护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承包人负责照管工程及工程相关的材料、工程设备的起始时间：</w:t>
      </w:r>
      <w:r>
        <w:rPr>
          <w:rFonts w:hint="eastAsia" w:ascii="宋体" w:hAnsi="宋体" w:eastAsia="宋体"/>
          <w:color w:val="auto"/>
          <w:sz w:val="24"/>
          <w:szCs w:val="24"/>
          <w:highlight w:val="none"/>
          <w:u w:val="single"/>
        </w:rPr>
        <w:t xml:space="preserve">从承包人设备、材料进场之日起，到竣工移交手续办理之日止。</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val="en-US" w:eastAsia="zh-CN"/>
        </w:rPr>
        <w:t xml:space="preserve">6</w:t>
      </w:r>
      <w:r>
        <w:rPr>
          <w:rFonts w:hint="eastAsia" w:ascii="宋体" w:hAnsi="宋体" w:eastAsia="宋体"/>
          <w:b/>
          <w:color w:val="auto"/>
          <w:sz w:val="24"/>
          <w:szCs w:val="24"/>
          <w:highlight w:val="none"/>
        </w:rPr>
        <w:t xml:space="preserve"> 履约担保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承包人是否提供履约担保：</w:t>
      </w:r>
      <w:r>
        <w:rPr>
          <w:rFonts w:hint="eastAsia" w:ascii="宋体" w:hAnsi="宋体" w:eastAsia="宋体"/>
          <w:color w:val="auto"/>
          <w:sz w:val="24"/>
          <w:szCs w:val="24"/>
          <w:highlight w:val="none"/>
          <w:u w:val="single"/>
        </w:rPr>
        <w:t xml:space="preserve">提供</w:t>
      </w:r>
      <w:r>
        <w:rPr>
          <w:rFonts w:hint="eastAsia" w:ascii="宋体" w:hAnsi="宋体" w:eastAsia="宋体"/>
          <w:color w:val="auto"/>
          <w:sz w:val="24"/>
          <w:szCs w:val="24"/>
          <w:highlight w:val="none"/>
        </w:rPr>
        <w:t xml:space="preserve">。</w:t>
      </w:r>
      <w:r/>
    </w:p>
    <w:p>
      <w:pPr>
        <w:ind w:left="0" w:right="0" w:firstLine="480"/>
        <w:pageBreakBefore w:val="0"/>
        <w:spacing w:line="440" w:lineRule="exact"/>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承包人提供履约担保的形式、金额及期限的：</w:t>
      </w:r>
      <w:r>
        <w:rPr>
          <w:rFonts w:hint="eastAsia" w:ascii="Times New Roman" w:hAnsi="Times New Roman" w:eastAsia="宋体" w:cs="Times New Roman"/>
          <w:color w:val="auto"/>
          <w:sz w:val="24"/>
          <w:u w:val="single"/>
        </w:rPr>
        <w:t xml:space="preserve">提供合同价款的10%作为履约保证金，其中：工期履约保证金为3%，质量履约保证金为3%，安全履约保证金为2%，竣工资料履约保证金为1%，廉政履约保证金为1%；提交时间为本合同签订前。上述履约保证金分别的、共同的承担合同义务和责任</w:t>
      </w:r>
      <w:r>
        <w:rPr>
          <w:rFonts w:hint="eastAsia" w:ascii="Times New Roman" w:hAnsi="Times New Roman" w:eastAsia="宋体" w:cs="Times New Roman"/>
          <w:color w:val="auto"/>
          <w:sz w:val="24"/>
        </w:rPr>
        <w:t xml:space="preserve">。</w:t>
      </w:r>
      <w:r/>
    </w:p>
    <w:p>
      <w:pPr>
        <w:ind w:left="0" w:right="0" w:firstLine="480"/>
        <w:pageBreakBefore w:val="0"/>
        <w:spacing w:line="440" w:lineRule="exact"/>
        <w:rPr>
          <w:rFonts w:hint="eastAsia" w:ascii="Times New Roman" w:hAnsi="Times New Roman" w:eastAsia="宋体" w:cs="Times New Roman"/>
          <w:color w:val="auto"/>
          <w:sz w:val="24"/>
          <w:szCs w:val="20"/>
          <w:highlight w:val="none"/>
          <w:u w:val="single"/>
        </w:rPr>
      </w:pPr>
      <w:r/>
      <w:bookmarkStart w:id="287" w:name="_Toc351203636"/>
      <w:r>
        <w:rPr>
          <w:rFonts w:hint="eastAsia" w:ascii="Times New Roman" w:hAnsi="Times New Roman" w:eastAsia="宋体" w:cs="Times New Roman"/>
          <w:color w:val="auto"/>
          <w:sz w:val="24"/>
          <w:szCs w:val="20"/>
          <w:highlight w:val="none"/>
          <w:u w:val="single"/>
        </w:rPr>
        <w:t xml:space="preserve">双方约定本工程的履约担保的效力期间为工程开工至本合同范围内的所有工程项目完工并</w:t>
      </w:r>
      <w:r>
        <w:rPr>
          <w:rFonts w:hint="eastAsia" w:ascii="Times New Roman" w:hAnsi="Times New Roman" w:eastAsia="宋体" w:cs="Times New Roman"/>
          <w:b/>
          <w:bCs/>
          <w:color w:val="auto"/>
          <w:sz w:val="24"/>
          <w:szCs w:val="20"/>
          <w:highlight w:val="none"/>
          <w:u w:val="single"/>
        </w:rPr>
        <w:t xml:space="preserve">验收合格</w:t>
      </w:r>
      <w:r>
        <w:rPr>
          <w:rFonts w:hint="eastAsia" w:ascii="Times New Roman" w:hAnsi="Times New Roman" w:eastAsia="宋体" w:cs="Times New Roman"/>
          <w:color w:val="auto"/>
          <w:sz w:val="24"/>
          <w:szCs w:val="20"/>
          <w:highlight w:val="none"/>
          <w:u w:val="single"/>
        </w:rPr>
        <w:t xml:space="preserve">。</w:t>
      </w:r>
      <w:r>
        <w:rPr>
          <w:rFonts w:hint="eastAsia" w:ascii="Times New Roman" w:hAnsi="Times New Roman" w:eastAsia="宋体" w:cs="Times New Roman"/>
          <w:b/>
          <w:bCs/>
          <w:color w:val="auto"/>
          <w:sz w:val="24"/>
          <w:szCs w:val="20"/>
          <w:highlight w:val="none"/>
          <w:u w:val="single"/>
        </w:rPr>
        <w:t xml:space="preserve">履约保证金依约剩余的余额，在工程竣工验收合格且工程结算通过审定后的一周内可申请退还；依约扣除的履约保证金不予退还。</w:t>
      </w:r>
      <w:r/>
    </w:p>
    <w:p>
      <w:pPr>
        <w:ind w:left="0" w:right="0" w:firstLine="480"/>
        <w:pageBreakBefore w:val="0"/>
        <w:spacing w:line="44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lang w:val="en-US" w:eastAsia="zh-CN"/>
        </w:rPr>
        <w:t xml:space="preserve">采购人</w:t>
      </w:r>
      <w:r>
        <w:rPr>
          <w:rFonts w:hint="eastAsia" w:ascii="Times New Roman" w:hAnsi="Times New Roman" w:eastAsia="宋体" w:cs="Times New Roman"/>
          <w:color w:val="auto"/>
          <w:sz w:val="24"/>
          <w:szCs w:val="24"/>
          <w:highlight w:val="none"/>
          <w:u w:val="single"/>
        </w:rPr>
        <w:t xml:space="preserve">拖延退还履约保证金，由</w:t>
      </w:r>
      <w:r>
        <w:rPr>
          <w:rFonts w:hint="eastAsia" w:ascii="Times New Roman" w:hAnsi="Times New Roman" w:eastAsia="宋体" w:cs="Times New Roman"/>
          <w:color w:val="auto"/>
          <w:sz w:val="24"/>
          <w:szCs w:val="24"/>
          <w:highlight w:val="none"/>
          <w:u w:val="single"/>
          <w:lang w:val="en-US" w:eastAsia="zh-CN"/>
        </w:rPr>
        <w:t xml:space="preserve">采购人</w:t>
      </w:r>
      <w:r>
        <w:rPr>
          <w:rFonts w:hint="eastAsia" w:ascii="Times New Roman" w:hAnsi="Times New Roman" w:eastAsia="宋体" w:cs="Times New Roman"/>
          <w:color w:val="auto"/>
          <w:sz w:val="24"/>
          <w:szCs w:val="24"/>
          <w:highlight w:val="none"/>
          <w:u w:val="single"/>
        </w:rPr>
        <w:t xml:space="preserve">按应退履约保证金总价款同期银行贷款利率承担违约责任。</w:t>
      </w:r>
      <w:r/>
    </w:p>
    <w:p>
      <w:pPr>
        <w:pStyle w:val="1170"/>
        <w:ind w:firstLine="482"/>
        <w:pageBreakBefore w:val="0"/>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288" w:name="_Toc296347161"/>
      <w:r/>
      <w:bookmarkStart w:id="289" w:name="_Toc292559366"/>
      <w:r/>
      <w:bookmarkStart w:id="290" w:name="_Toc297120462"/>
      <w:r/>
      <w:bookmarkStart w:id="291" w:name="_Toc296891202"/>
      <w:r/>
      <w:bookmarkStart w:id="292" w:name="_Toc267251413"/>
      <w:r/>
      <w:bookmarkStart w:id="293" w:name="_Toc296503162"/>
      <w:r/>
      <w:bookmarkStart w:id="294" w:name="_Toc296944501"/>
      <w:r/>
      <w:bookmarkStart w:id="295" w:name="_Toc297048348"/>
      <w:r/>
      <w:bookmarkStart w:id="296" w:name="_Toc296346663"/>
      <w:r/>
      <w:bookmarkStart w:id="297" w:name="_Toc296890990"/>
      <w:r/>
      <w:bookmarkStart w:id="298" w:name="_Toc292559871"/>
      <w:r>
        <w:rPr>
          <w:rFonts w:hint="eastAsia" w:ascii="宋体" w:hAnsi="宋体"/>
          <w:color w:val="auto"/>
          <w:sz w:val="24"/>
          <w:szCs w:val="24"/>
          <w:highlight w:val="none"/>
        </w:rPr>
        <w:t xml:space="preserve">. 监</w:t>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color w:val="auto"/>
          <w:sz w:val="24"/>
          <w:szCs w:val="24"/>
          <w:highlight w:val="none"/>
        </w:rPr>
        <w:t xml:space="preserve">理人</w:t>
      </w:r>
      <w:bookmarkEnd w:id="287"/>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4.1监理人的一般规定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关于监理人的监理内容：</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关于监理人的监理权限：</w:t>
      </w:r>
      <w:r>
        <w:rPr>
          <w:rFonts w:hint="eastAsia" w:ascii="宋体" w:hAnsi="宋体" w:eastAsia="宋体"/>
          <w:color w:val="auto"/>
          <w:sz w:val="24"/>
          <w:szCs w:val="24"/>
          <w:highlight w:val="none"/>
          <w:u w:val="single"/>
        </w:rPr>
        <w:t xml:space="preserve">见本工程《建设工程委托监理合同》</w:t>
      </w:r>
      <w:r>
        <w:rPr>
          <w:rFonts w:hint="eastAsia" w:ascii="宋体" w:hAnsi="宋体" w:eastAsia="宋体"/>
          <w:color w:val="auto"/>
          <w:sz w:val="24"/>
          <w:szCs w:val="24"/>
          <w:highlight w:val="none"/>
        </w:rPr>
        <w:t xml:space="preserve">。 </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关于监理人在施工现场的办公场所、生活场所的提供和费用承担的约定：</w:t>
      </w:r>
      <w:r>
        <w:rPr>
          <w:rFonts w:hint="eastAsia" w:ascii="宋体" w:hAnsi="宋体" w:eastAsia="宋体"/>
          <w:color w:val="auto"/>
          <w:sz w:val="24"/>
          <w:szCs w:val="24"/>
          <w:highlight w:val="none"/>
          <w:u w:val="single"/>
        </w:rPr>
        <w:t xml:space="preserve">提供2间办公用房（30</w:t>
      </w:r>
      <w:r>
        <w:rPr>
          <w:rFonts w:hint="eastAsia" w:ascii="宋体" w:hAnsi="宋体"/>
          <w:color w:val="auto"/>
          <w:sz w:val="24"/>
          <w:szCs w:val="24"/>
          <w:highlight w:val="none"/>
          <w:u w:val="single"/>
          <w:lang w:eastAsia="zh-CN"/>
        </w:rPr>
        <w:t xml:space="preserve">平方米</w:t>
      </w:r>
      <w:r>
        <w:rPr>
          <w:rFonts w:hint="eastAsia" w:ascii="宋体" w:hAnsi="宋体" w:eastAsia="宋体"/>
          <w:color w:val="auto"/>
          <w:sz w:val="24"/>
          <w:szCs w:val="24"/>
          <w:highlight w:val="none"/>
          <w:u w:val="single"/>
        </w:rPr>
        <w:t xml:space="preserve">），费用由承包人承担，不再单独计取费用</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4.2 监理人员</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总监理工程师：</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职    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监理工程师执业资格证书号：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通信地址：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关于监理人的其他约定：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 商定或确定</w:t>
      </w:r>
      <w:r/>
    </w:p>
    <w:p>
      <w:pPr>
        <w:ind w:firstLine="480"/>
        <w:pageBreakBefore w:val="0"/>
        <w:spacing w:line="360" w:lineRule="auto"/>
        <w:rPr>
          <w:rFonts w:hint="eastAsia" w:ascii="宋体" w:hAnsi="宋体" w:eastAsia="宋体"/>
          <w:color w:val="auto"/>
          <w:sz w:val="24"/>
          <w:szCs w:val="24"/>
          <w:highlight w:val="none"/>
        </w:rPr>
      </w:pPr>
      <w:r/>
      <w:bookmarkStart w:id="299" w:name="_Toc267251418"/>
      <w:r>
        <w:rPr>
          <w:rFonts w:hint="eastAsia" w:ascii="宋体" w:hAnsi="宋体" w:eastAsia="宋体"/>
          <w:color w:val="auto"/>
          <w:sz w:val="24"/>
          <w:szCs w:val="24"/>
          <w:highlight w:val="none"/>
        </w:rPr>
        <w:t xml:space="preserve">在发包人和承包人不能通过协商达成一致意见时，发包人授权监理人对以下事项进行确定：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0"/>
        <w:ind w:firstLine="482"/>
        <w:pageBreakBefore w:val="0"/>
        <w:spacing w:line="360" w:lineRule="auto"/>
        <w:rPr>
          <w:rFonts w:hint="eastAsia" w:ascii="宋体" w:hAnsi="宋体"/>
          <w:color w:val="auto"/>
          <w:sz w:val="24"/>
          <w:szCs w:val="24"/>
          <w:highlight w:val="none"/>
        </w:rPr>
      </w:pPr>
      <w:r/>
      <w:bookmarkStart w:id="300" w:name="_Toc351203637"/>
      <w:r>
        <w:rPr>
          <w:rFonts w:hint="eastAsia" w:ascii="宋体" w:hAnsi="宋体"/>
          <w:color w:val="auto"/>
          <w:sz w:val="24"/>
          <w:szCs w:val="24"/>
          <w:highlight w:val="none"/>
        </w:rPr>
        <w:t xml:space="preserve">5</w:t>
      </w:r>
      <w:bookmarkEnd w:id="299"/>
      <w:r/>
      <w:bookmarkStart w:id="301" w:name="_Toc296503163"/>
      <w:r/>
      <w:bookmarkStart w:id="302" w:name="_Toc297120463"/>
      <w:r/>
      <w:bookmarkStart w:id="303" w:name="_Toc296346664"/>
      <w:r/>
      <w:bookmarkStart w:id="304" w:name="_Toc296347162"/>
      <w:r/>
      <w:bookmarkStart w:id="305" w:name="_Toc292559872"/>
      <w:r/>
      <w:bookmarkStart w:id="306" w:name="_Toc297048349"/>
      <w:r/>
      <w:bookmarkStart w:id="307" w:name="_Toc296890991"/>
      <w:r/>
      <w:bookmarkStart w:id="308" w:name="_Toc296944502"/>
      <w:r/>
      <w:bookmarkStart w:id="309" w:name="_Toc296891203"/>
      <w:r/>
      <w:bookmarkStart w:id="310" w:name="_Toc292559367"/>
      <w:r>
        <w:rPr>
          <w:rFonts w:hint="eastAsia" w:ascii="宋体" w:hAnsi="宋体"/>
          <w:color w:val="auto"/>
          <w:sz w:val="24"/>
          <w:szCs w:val="24"/>
          <w:highlight w:val="none"/>
        </w:rPr>
        <w:t xml:space="preserve">. 工程质量</w:t>
      </w:r>
      <w:bookmarkEnd w:id="300"/>
      <w:r/>
      <w:r/>
    </w:p>
    <w:p>
      <w:pPr>
        <w:ind w:firstLine="482"/>
        <w:pageBreakBefore w:val="0"/>
        <w:spacing w:line="360" w:lineRule="auto"/>
        <w:rPr>
          <w:rFonts w:hint="eastAsia" w:ascii="宋体" w:hAnsi="宋体" w:eastAsia="宋体"/>
          <w:b/>
          <w:color w:val="auto"/>
          <w:sz w:val="24"/>
          <w:szCs w:val="24"/>
          <w:highlight w:val="none"/>
        </w:rPr>
        <w:outlineLvl w:val="0"/>
      </w:pPr>
      <w:r/>
      <w:bookmarkStart w:id="311" w:name="_Toc20002"/>
      <w:r>
        <w:rPr>
          <w:rFonts w:hint="eastAsia" w:ascii="宋体" w:hAnsi="宋体" w:eastAsia="宋体"/>
          <w:b/>
          <w:color w:val="auto"/>
          <w:sz w:val="24"/>
          <w:szCs w:val="24"/>
          <w:highlight w:val="none"/>
        </w:rPr>
        <w:t xml:space="preserve">5.1 质量要求</w:t>
      </w:r>
      <w:bookmarkEnd w:id="311"/>
      <w:r/>
      <w:r/>
    </w:p>
    <w:p>
      <w:pPr>
        <w:ind w:firstLine="482"/>
        <w:pageBreakBefore w:val="0"/>
        <w:spacing w:line="360" w:lineRule="auto"/>
        <w:rPr>
          <w:rFonts w:hint="eastAsia" w:ascii="宋体" w:hAnsi="宋体" w:eastAsia="宋体"/>
          <w:b/>
          <w:color w:val="auto"/>
          <w:sz w:val="24"/>
          <w:szCs w:val="24"/>
          <w:highlight w:val="none"/>
        </w:rPr>
        <w:outlineLvl w:val="0"/>
      </w:pPr>
      <w:r>
        <w:rPr>
          <w:rFonts w:hint="eastAsia" w:ascii="Times New Roman" w:hAnsi="Times New Roman" w:eastAsia="宋体" w:cs="Times New Roman"/>
          <w:color w:val="auto"/>
          <w:sz w:val="24"/>
        </w:rPr>
        <w:t xml:space="preserve">严把项目工程质量，为确保项目施工质量，避免道路建设中出现跑砂、龟裂、裂缝等质量问题，道路在浇筑过程中要夯实路基，</w:t>
      </w:r>
      <w:r>
        <w:rPr>
          <w:rFonts w:hint="eastAsia" w:ascii="Times New Roman" w:hAnsi="Times New Roman" w:eastAsia="宋体" w:cs="Times New Roman"/>
          <w:b/>
          <w:bCs/>
          <w:color w:val="auto"/>
          <w:sz w:val="24"/>
        </w:rPr>
        <w:t xml:space="preserve">统一使用不低于C35等级的商品混凝土，杜绝施工过程中偷工减料。</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5</w:t>
      </w:r>
      <w:bookmarkStart w:id="312" w:name="_Toc300934949"/>
      <w:r/>
      <w:bookmarkStart w:id="313" w:name="_Toc304295527"/>
      <w:r/>
      <w:bookmarkStart w:id="314" w:name="_Toc303539106"/>
      <w:r/>
      <w:bookmarkStart w:id="315" w:name="_Toc297216155"/>
      <w:r/>
      <w:bookmarkStart w:id="316" w:name="_Toc312677997"/>
      <w:r/>
      <w:bookmarkStart w:id="317" w:name="_Toc318581164"/>
      <w:r/>
      <w:bookmarkStart w:id="318" w:name="_Toc297123496"/>
      <w:r>
        <w:rPr>
          <w:rFonts w:hint="eastAsia" w:ascii="宋体" w:hAnsi="宋体" w:eastAsia="宋体"/>
          <w:color w:val="auto"/>
          <w:sz w:val="24"/>
          <w:szCs w:val="24"/>
          <w:highlight w:val="none"/>
        </w:rPr>
        <w:t xml:space="preserve">.1.1 特殊质量标准和要求：</w:t>
      </w:r>
      <w:r>
        <w:rPr>
          <w:rFonts w:hint="eastAsia" w:ascii="宋体" w:hAnsi="宋体" w:eastAsia="宋体"/>
          <w:color w:val="auto"/>
          <w:sz w:val="24"/>
          <w:szCs w:val="24"/>
          <w:highlight w:val="none"/>
          <w:u w:val="single"/>
        </w:rPr>
        <w:t xml:space="preserve">工程质量达不到本合同约定要求，发包人有权没收全部的质量保证金，施工单位须无偿返工直至达到合格。</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s="宋体"/>
          <w:color w:val="auto"/>
          <w:sz w:val="24"/>
          <w:szCs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技术处理（含地基处理、暗河清理、回填等）必须满足施工要求，处理方法在施工前必须获得设计单位的书面同意。</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关于工程奖项的约定：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outlineLvl w:val="0"/>
      </w:pPr>
      <w:r/>
      <w:bookmarkStart w:id="319" w:name="_Toc24386"/>
      <w:r>
        <w:rPr>
          <w:rFonts w:hint="eastAsia" w:ascii="宋体" w:hAnsi="宋体" w:eastAsia="宋体"/>
          <w:b/>
          <w:color w:val="auto"/>
          <w:sz w:val="24"/>
          <w:szCs w:val="24"/>
          <w:highlight w:val="none"/>
        </w:rPr>
        <w:t xml:space="preserve">5.</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隐蔽工程检查</w:t>
      </w:r>
      <w:bookmarkEnd w:id="319"/>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承包人提前通知监理人隐蔽工程检查的期限的约定：</w:t>
      </w:r>
      <w:r>
        <w:rPr>
          <w:rFonts w:hint="eastAsia" w:ascii="宋体" w:hAnsi="宋体" w:eastAsia="宋体"/>
          <w:color w:val="auto"/>
          <w:sz w:val="24"/>
          <w:szCs w:val="24"/>
          <w:highlight w:val="none"/>
          <w:u w:val="single"/>
        </w:rPr>
        <w:t xml:space="preserve">共同检查前24小时书面通知监理人</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监理人不能按时进行检查时，应提前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pStyle w:val="1170"/>
        <w:ind w:firstLine="482"/>
        <w:pageBreakBefore w:val="0"/>
        <w:spacing w:line="360" w:lineRule="auto"/>
        <w:rPr>
          <w:rFonts w:hint="eastAsia" w:ascii="宋体" w:hAnsi="宋体"/>
          <w:color w:val="auto"/>
          <w:sz w:val="24"/>
          <w:szCs w:val="24"/>
          <w:highlight w:val="none"/>
        </w:rPr>
      </w:pPr>
      <w:r/>
      <w:bookmarkStart w:id="320" w:name="_Toc351203638"/>
      <w:r>
        <w:rPr>
          <w:rFonts w:hint="eastAsia" w:ascii="宋体" w:hAnsi="宋体"/>
          <w:color w:val="auto"/>
          <w:sz w:val="24"/>
          <w:szCs w:val="24"/>
          <w:highlight w:val="none"/>
        </w:rPr>
        <w:t xml:space="preserve">6. 安全文明施工与环境保护</w:t>
      </w:r>
      <w:bookmarkEnd w:id="320"/>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6.1安全文明施工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6.1.1 项目安全生产的达标目标及相应事项的约定：</w:t>
      </w:r>
      <w:r>
        <w:rPr>
          <w:rFonts w:hint="eastAsia" w:ascii="宋体" w:hAnsi="宋体" w:eastAsia="宋体"/>
          <w:color w:val="auto"/>
          <w:sz w:val="24"/>
          <w:szCs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提供和维修施工使用照明、警示照明、围栏设施，指示标志、警告标志、禁止标志等安全防护措施。</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承包人若不按工程建设安全生产的有关规定组织施工及设置安全设施，或发生较大安全责任事故的，发包人有权没收安全保证金。</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关于治安保卫的特别约定：</w:t>
      </w:r>
      <w:r>
        <w:rPr>
          <w:rFonts w:hint="eastAsia" w:ascii="宋体" w:hAnsi="宋体" w:eastAsia="宋体"/>
          <w:color w:val="auto"/>
          <w:sz w:val="24"/>
          <w:szCs w:val="24"/>
          <w:highlight w:val="none"/>
          <w:u w:val="single"/>
        </w:rPr>
        <w:t xml:space="preserve">按通用条款执行</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关于编制施工场地治安管理计划的约定：</w:t>
      </w:r>
      <w:r>
        <w:rPr>
          <w:rFonts w:hint="eastAsia" w:ascii="宋体" w:hAnsi="宋体" w:eastAsia="宋体"/>
          <w:color w:val="auto"/>
          <w:sz w:val="24"/>
          <w:szCs w:val="24"/>
          <w:highlight w:val="none"/>
          <w:u w:val="single"/>
        </w:rPr>
        <w:t xml:space="preserve">承包人在开工前提供施工场地治安管理计划，负责夜间和非夜间的安全巡逻和保卫，统一管理施工场地治安保卫事项并承担相应责任。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文明施工</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合同当事人对文明施工的要求：</w:t>
      </w:r>
      <w:r>
        <w:rPr>
          <w:rFonts w:hint="eastAsia" w:ascii="宋体" w:hAnsi="宋体" w:eastAsia="宋体"/>
          <w:color w:val="auto"/>
          <w:sz w:val="24"/>
          <w:szCs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现场施工扬尘控制，必须严格按《通州区扬尘整治“654”专项行动方案》要求逐项落实，现场应编制“扬尘”控制专项方案报监理方审核，如措施不到位，处 </w:t>
      </w:r>
      <w:r>
        <w:rPr>
          <w:rFonts w:ascii="Calibri-Bold" w:hAnsi="Calibri-Bold" w:eastAsia="宋体"/>
          <w:b/>
          <w:color w:val="auto"/>
          <w:sz w:val="24"/>
          <w:szCs w:val="24"/>
          <w:highlight w:val="none"/>
          <w:u w:val="single"/>
        </w:rPr>
        <w:t xml:space="preserve">1</w:t>
      </w:r>
      <w:r>
        <w:rPr>
          <w:rFonts w:hint="eastAsia" w:ascii="MS Mincho" w:hAnsi="MS Mincho" w:eastAsia="宋体" w:cs="MS Mincho"/>
          <w:color w:val="auto"/>
          <w:sz w:val="24"/>
          <w:szCs w:val="24"/>
          <w:highlight w:val="none"/>
          <w:u w:val="single"/>
        </w:rPr>
        <w:t xml:space="preserve">〜</w:t>
      </w:r>
      <w:r>
        <w:rPr>
          <w:rFonts w:ascii="Calibri-Bold" w:hAnsi="Calibri-Bold" w:eastAsia="宋体"/>
          <w:b/>
          <w:color w:val="auto"/>
          <w:sz w:val="24"/>
          <w:szCs w:val="24"/>
          <w:highlight w:val="none"/>
          <w:u w:val="single"/>
        </w:rPr>
        <w:t xml:space="preserve">5 </w:t>
      </w:r>
      <w:r>
        <w:rPr>
          <w:rFonts w:hint="eastAsia" w:ascii="宋体" w:hAnsi="宋体" w:eastAsia="宋体"/>
          <w:color w:val="auto"/>
          <w:sz w:val="24"/>
          <w:szCs w:val="24"/>
          <w:highlight w:val="none"/>
          <w:u w:val="single"/>
        </w:rPr>
        <w:t xml:space="preserve">万元违约金。</w:t>
      </w:r>
      <w:r>
        <w:rPr>
          <w:color w:val="auto"/>
          <w:sz w:val="24"/>
          <w:szCs w:val="24"/>
          <w:highlight w:val="none"/>
          <w:u w:val="singl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6.1.</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关于安全文明施工费支付比例和支付期限的约定：</w:t>
      </w:r>
      <w:bookmarkEnd w:id="312"/>
      <w:r/>
      <w:bookmarkEnd w:id="313"/>
      <w:r/>
      <w:bookmarkEnd w:id="314"/>
      <w:r/>
      <w:bookmarkEnd w:id="315"/>
      <w:r/>
      <w:bookmarkEnd w:id="316"/>
      <w:r/>
      <w:bookmarkEnd w:id="317"/>
      <w:r/>
      <w:bookmarkEnd w:id="318"/>
      <w:r/>
      <w:bookmarkStart w:id="321" w:name="_Toc351203639"/>
      <w:r>
        <w:rPr>
          <w:rFonts w:hint="eastAsia" w:ascii="宋体" w:hAnsi="宋体" w:eastAsia="宋体"/>
          <w:color w:val="auto"/>
          <w:sz w:val="24"/>
          <w:szCs w:val="24"/>
          <w:highlight w:val="none"/>
          <w:u w:val="single"/>
        </w:rPr>
        <w:t xml:space="preserve">纳入合同价款支付。</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6.1.</w:t>
      </w:r>
      <w:r>
        <w:rPr>
          <w:rFonts w:hint="eastAsia" w:ascii="宋体" w:hAnsi="宋体" w:eastAsia="宋体"/>
          <w:color w:val="auto"/>
          <w:sz w:val="24"/>
          <w:szCs w:val="24"/>
          <w:highlight w:val="none"/>
          <w:u w:val="single"/>
          <w:lang w:val="en-US" w:eastAsia="zh-CN"/>
        </w:rPr>
        <w:t xml:space="preserve">5</w:t>
      </w:r>
      <w:r>
        <w:rPr>
          <w:rFonts w:hint="eastAsia" w:ascii="宋体" w:hAnsi="宋体" w:eastAsia="宋体"/>
          <w:color w:val="auto"/>
          <w:sz w:val="24"/>
          <w:szCs w:val="24"/>
          <w:highlight w:val="none"/>
          <w:u w:val="single"/>
        </w:rPr>
        <w:t xml:space="preserve">安全生产责任承包人应严格按《建设工程安全生产管理条例》等</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auto"/>
          <w:sz w:val="24"/>
          <w:szCs w:val="24"/>
          <w:highlight w:val="none"/>
          <w:u w:val="single"/>
          <w:lang w:eastAsia="zh-CN"/>
        </w:rPr>
        <w:t xml:space="preserve">法律法规</w:t>
      </w:r>
      <w:r>
        <w:rPr>
          <w:rFonts w:hint="eastAsia" w:ascii="宋体" w:hAnsi="宋体" w:eastAsia="宋体"/>
          <w:color w:val="auto"/>
          <w:sz w:val="24"/>
          <w:szCs w:val="24"/>
          <w:highlight w:val="none"/>
          <w:u w:val="single"/>
        </w:rPr>
        <w:t xml:space="preserve">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 工期和进度</w:t>
      </w:r>
      <w:bookmarkEnd w:id="321"/>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7.1 施工组织设计</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7.1.1 合同当事人约定的施工组织设计应包括的其他内容：</w:t>
      </w:r>
      <w:r>
        <w:rPr>
          <w:rFonts w:hint="eastAsia" w:ascii="宋体" w:hAnsi="宋体" w:eastAsia="宋体"/>
          <w:color w:val="auto"/>
          <w:sz w:val="24"/>
          <w:szCs w:val="24"/>
          <w:highlight w:val="none"/>
          <w:u w:val="single"/>
        </w:rPr>
        <w:t xml:space="preserve">按招标文件约定，招标文件无约定的按通用条款或双方另行约定。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7.1.2 施工组织设计的提交和修改</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承包人提交详细施工组织设计的期限的约定：</w:t>
      </w:r>
      <w:r>
        <w:rPr>
          <w:rFonts w:hint="eastAsia" w:ascii="宋体" w:hAnsi="宋体" w:eastAsia="宋体"/>
          <w:color w:val="auto"/>
          <w:sz w:val="24"/>
          <w:szCs w:val="24"/>
          <w:highlight w:val="none"/>
          <w:u w:val="single"/>
        </w:rPr>
        <w:t xml:space="preserve">开工前7日。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发包人和监理人在收到详细的施工组织设计后确认或提出修改意见的期限：</w:t>
      </w:r>
      <w:r>
        <w:rPr>
          <w:rFonts w:hint="eastAsia" w:ascii="宋体" w:hAnsi="宋体" w:eastAsia="宋体"/>
          <w:color w:val="auto"/>
          <w:sz w:val="24"/>
          <w:szCs w:val="24"/>
          <w:highlight w:val="none"/>
          <w:u w:val="single"/>
        </w:rPr>
        <w:t xml:space="preserve">收到后5天内予以确认或提出修改意见</w:t>
      </w:r>
      <w:r>
        <w:rPr>
          <w:rFonts w:hint="eastAsia" w:ascii="宋体" w:hAnsi="宋体" w:eastAsia="宋体"/>
          <w:b/>
          <w:color w:val="auto"/>
          <w:sz w:val="24"/>
          <w:szCs w:val="24"/>
          <w:highlight w:val="none"/>
        </w:rPr>
        <w:t xml:space="preserve">。</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2" w:name="_Toc312678005"/>
      <w:r/>
      <w:bookmarkStart w:id="323" w:name="_Toc303539123"/>
      <w:r/>
      <w:bookmarkStart w:id="324" w:name="_Toc300934966"/>
      <w:r/>
      <w:bookmarkStart w:id="325" w:name="_Toc304295541"/>
      <w:r/>
      <w:bookmarkStart w:id="326" w:name="_Toc297216173"/>
      <w:r/>
      <w:bookmarkStart w:id="327" w:name="_Toc312677479"/>
      <w:r/>
      <w:bookmarkStart w:id="328" w:name="_Toc297123514"/>
      <w:r>
        <w:rPr>
          <w:rFonts w:hint="eastAsia" w:ascii="宋体" w:hAnsi="宋体" w:eastAsia="宋体"/>
          <w:b/>
          <w:color w:val="auto"/>
          <w:sz w:val="24"/>
          <w:szCs w:val="24"/>
          <w:highlight w:val="none"/>
        </w:rPr>
        <w:t xml:space="preserve">.2 施工进度计划</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施工进度计划的修订</w:t>
      </w:r>
      <w:r/>
    </w:p>
    <w:p>
      <w:pPr>
        <w:ind w:left="0"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收到后5天内；</w:t>
      </w:r>
      <w:r/>
    </w:p>
    <w:p>
      <w:pPr>
        <w:ind w:left="0"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承包人每周五下午5：00前提供下周计划和本周完成情况统计表（一式三份）交监理机构。</w:t>
      </w:r>
      <w:r/>
    </w:p>
    <w:p>
      <w:pPr>
        <w:ind w:firstLine="482"/>
        <w:pageBreakBefore w:val="0"/>
        <w:spacing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施工月进度计划：第一次在开工前7日，以后在上月25日前提供；在每月25日前，将本月进度统计报表及纠偏措施与下月施工进度计划同时提供。</w:t>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7.3 开工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7.3.1 开工准备</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关于承包人提交工程开工报审表的期限：</w:t>
      </w:r>
      <w:r>
        <w:rPr>
          <w:rFonts w:hint="eastAsia" w:ascii="Times New Roman" w:hAnsi="Times New Roman" w:eastAsia="宋体" w:cs="Times New Roman"/>
          <w:color w:val="auto"/>
          <w:sz w:val="24"/>
          <w:u w:val="single"/>
        </w:rPr>
        <w:t xml:space="preserve">合同签订后、开工前</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关于发包人应完成的其他开工准备工作及期限：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关于承包人应完成的其他开工准备工作及期限：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7.3.2开工通知</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因发包人原因造成监理人未能在计划开工日期之日起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天内发出开工通知的，承包人有权提出价格调整要求，或者解除合同。</w:t>
      </w:r>
      <w:bookmarkEnd w:id="322"/>
      <w:r/>
      <w:bookmarkEnd w:id="323"/>
      <w:r/>
      <w:bookmarkEnd w:id="324"/>
      <w:r/>
      <w:bookmarkEnd w:id="325"/>
      <w:r/>
      <w:bookmarkEnd w:id="326"/>
      <w:r/>
      <w:bookmarkEnd w:id="327"/>
      <w:r/>
      <w:bookmarkEnd w:id="328"/>
      <w:r/>
      <w:r/>
    </w:p>
    <w:p>
      <w:pPr>
        <w:ind w:firstLine="482"/>
        <w:pageBreakBefore w:val="0"/>
        <w:spacing w:after="120"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7.4 测量放线</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7.4.1发包人通过监理人向承包人提供测量基准点、基准线和水准点及其书面资料的期限：</w:t>
      </w:r>
      <w:r>
        <w:rPr>
          <w:rFonts w:hint="eastAsia" w:ascii="宋体" w:hAnsi="宋体" w:eastAsia="宋体"/>
          <w:color w:val="auto"/>
          <w:sz w:val="24"/>
          <w:szCs w:val="24"/>
          <w:highlight w:val="none"/>
          <w:u w:val="single"/>
        </w:rPr>
        <w:t xml:space="preserve">按通用条款。</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29" w:name="_Toc297123516"/>
      <w:r/>
      <w:bookmarkStart w:id="330" w:name="_Toc297216175"/>
      <w:r/>
      <w:bookmarkStart w:id="331" w:name="_Toc312678010"/>
      <w:r/>
      <w:bookmarkStart w:id="332" w:name="_Toc303539125"/>
      <w:r/>
      <w:bookmarkStart w:id="333" w:name="_Toc312677484"/>
      <w:r/>
      <w:bookmarkStart w:id="334" w:name="_Toc304295546"/>
      <w:r/>
      <w:bookmarkStart w:id="335" w:name="_Toc300934968"/>
      <w:r>
        <w:rPr>
          <w:rFonts w:hint="eastAsia" w:ascii="宋体" w:hAnsi="宋体" w:eastAsia="宋体"/>
          <w:b/>
          <w:color w:val="auto"/>
          <w:sz w:val="24"/>
          <w:szCs w:val="24"/>
          <w:highlight w:val="none"/>
        </w:rPr>
        <w:t xml:space="preserve">.5 工期延误</w:t>
      </w:r>
      <w:bookmarkEnd w:id="329"/>
      <w:r/>
      <w:bookmarkEnd w:id="330"/>
      <w:r/>
      <w:bookmarkEnd w:id="331"/>
      <w:r/>
      <w:bookmarkEnd w:id="332"/>
      <w:r/>
      <w:bookmarkEnd w:id="333"/>
      <w:r/>
      <w:bookmarkEnd w:id="334"/>
      <w:r/>
      <w:bookmarkEnd w:id="33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7.5.1 因发包人原因导致工期延误</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（7）因发包人原因导致工期延误的其他情形：</w:t>
      </w:r>
      <w:r>
        <w:rPr>
          <w:rFonts w:hint="eastAsia" w:ascii="宋体" w:hAnsi="宋体" w:eastAsia="宋体"/>
          <w:color w:val="auto"/>
          <w:sz w:val="24"/>
          <w:szCs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bookmarkStart w:id="336" w:name="_Toc318581169"/>
      <w:r/>
      <w:bookmarkStart w:id="337" w:name="_Toc300934970"/>
      <w:r/>
      <w:bookmarkStart w:id="338" w:name="_Toc304295548"/>
      <w:r/>
      <w:bookmarkStart w:id="339" w:name="_Toc312678012"/>
      <w:r/>
      <w:bookmarkStart w:id="340" w:name="_Toc303539127"/>
      <w:r/>
      <w:bookmarkStart w:id="341" w:name="_Toc297123518"/>
      <w:r/>
      <w:bookmarkStart w:id="342" w:name="_Toc297216177"/>
      <w:r/>
      <w:bookmarkStart w:id="343" w:name="_Toc312677486"/>
      <w:r>
        <w:rPr>
          <w:rFonts w:hint="eastAsia" w:ascii="宋体" w:hAnsi="宋体" w:eastAsia="宋体"/>
          <w:color w:val="auto"/>
          <w:sz w:val="24"/>
          <w:szCs w:val="24"/>
          <w:highlight w:val="none"/>
        </w:rPr>
        <w:t xml:space="preserve">.5.2 因承包人原因导致工期延误</w:t>
      </w:r>
      <w:bookmarkEnd w:id="336"/>
      <w:r/>
      <w:bookmarkEnd w:id="337"/>
      <w:r/>
      <w:bookmarkEnd w:id="338"/>
      <w:r/>
      <w:bookmarkEnd w:id="339"/>
      <w:r/>
      <w:bookmarkEnd w:id="340"/>
      <w:r/>
      <w:bookmarkEnd w:id="341"/>
      <w:r/>
      <w:bookmarkEnd w:id="342"/>
      <w:r/>
      <w:bookmarkEnd w:id="343"/>
      <w:r/>
      <w:r/>
    </w:p>
    <w:p>
      <w:pPr>
        <w:ind w:left="0"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344" w:name="_Toc312677487"/>
      <w:r/>
      <w:bookmarkStart w:id="345" w:name="_Toc318581170"/>
      <w:r/>
      <w:bookmarkStart w:id="346" w:name="_Toc312678013"/>
      <w:r>
        <w:rPr>
          <w:rFonts w:hint="eastAsia" w:ascii="宋体" w:hAnsi="宋体" w:eastAsia="宋体" w:cs="宋体"/>
          <w:color w:val="auto"/>
          <w:sz w:val="24"/>
          <w:szCs w:val="24"/>
          <w:highlight w:val="none"/>
        </w:rPr>
        <w:t xml:space="preserve">承包人原因造成工期延误，逾期竣工违约金的计算方法为：</w:t>
      </w:r>
      <w:bookmarkEnd w:id="344"/>
      <w:r/>
      <w:bookmarkEnd w:id="345"/>
      <w:r/>
      <w:bookmarkEnd w:id="346"/>
      <w:r/>
      <w:r/>
    </w:p>
    <w:p>
      <w:pPr>
        <w:ind w:left="0"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p>
    <w:p>
      <w:pPr>
        <w:ind w:left="0"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因承包人原因未及时开工，按照约定的开工日期，每拖延一天罚款10000元。</w:t>
      </w:r>
      <w:r/>
    </w:p>
    <w:p>
      <w:pPr>
        <w:ind w:left="0"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未经发包人书面批准，承包人超过本合同约定的开工日期10天仍未开工或连续停工5天以上的，发包人有权单方解除本合同，对已完成的工程量不支付工程款。</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因承包人原因造成工期延误，逾</w:t>
      </w:r>
      <w:bookmarkStart w:id="347" w:name="_Toc318581171"/>
      <w:r/>
      <w:bookmarkStart w:id="348" w:name="_Toc312678014"/>
      <w:r>
        <w:rPr>
          <w:rFonts w:hint="eastAsia" w:ascii="宋体" w:hAnsi="宋体" w:eastAsia="宋体"/>
          <w:color w:val="auto"/>
          <w:sz w:val="24"/>
          <w:szCs w:val="24"/>
          <w:highlight w:val="none"/>
        </w:rPr>
        <w:t xml:space="preserve">期竣工违约金的上限：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347"/>
      <w:r/>
      <w:bookmarkEnd w:id="348"/>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49" w:name="_Toc304295549"/>
      <w:r/>
      <w:bookmarkStart w:id="350" w:name="_Toc312678015"/>
      <w:r/>
      <w:bookmarkStart w:id="351" w:name="_Toc297123519"/>
      <w:r/>
      <w:bookmarkStart w:id="352" w:name="_Toc297216178"/>
      <w:r/>
      <w:bookmarkStart w:id="353" w:name="_Toc300934971"/>
      <w:r/>
      <w:bookmarkStart w:id="354" w:name="_Toc303539128"/>
      <w:r>
        <w:rPr>
          <w:rFonts w:hint="eastAsia" w:ascii="宋体" w:hAnsi="宋体" w:eastAsia="宋体"/>
          <w:b/>
          <w:color w:val="auto"/>
          <w:sz w:val="24"/>
          <w:szCs w:val="24"/>
          <w:highlight w:val="none"/>
        </w:rPr>
        <w:t xml:space="preserve">.6 不</w:t>
      </w:r>
      <w:bookmarkEnd w:id="349"/>
      <w:r/>
      <w:bookmarkEnd w:id="350"/>
      <w:r/>
      <w:bookmarkEnd w:id="351"/>
      <w:r/>
      <w:bookmarkEnd w:id="352"/>
      <w:r/>
      <w:bookmarkEnd w:id="353"/>
      <w:r/>
      <w:bookmarkEnd w:id="354"/>
      <w:r>
        <w:rPr>
          <w:rFonts w:hint="eastAsia" w:ascii="宋体" w:hAnsi="宋体" w:eastAsia="宋体"/>
          <w:b/>
          <w:color w:val="auto"/>
          <w:sz w:val="24"/>
          <w:szCs w:val="24"/>
          <w:highlight w:val="none"/>
        </w:rPr>
        <w:t xml:space="preserve">利物质条件</w:t>
      </w:r>
      <w:r/>
    </w:p>
    <w:p>
      <w:pPr>
        <w:ind w:firstLine="480"/>
        <w:jc w:val="left"/>
        <w:pageBreakBefore w:val="0"/>
        <w:spacing w:line="360" w:lineRule="auto"/>
        <w:rPr>
          <w:rFonts w:hint="eastAsia" w:ascii="宋体" w:hAnsi="宋体" w:eastAsia="宋体"/>
          <w:color w:val="auto"/>
          <w:sz w:val="24"/>
          <w:szCs w:val="24"/>
          <w:highlight w:val="none"/>
        </w:rPr>
      </w:pPr>
      <w:r/>
      <w:bookmarkStart w:id="355" w:name="_Toc304295550"/>
      <w:r/>
      <w:bookmarkStart w:id="356" w:name="_Toc300934972"/>
      <w:r/>
      <w:bookmarkStart w:id="357" w:name="_Toc318581172"/>
      <w:r/>
      <w:bookmarkStart w:id="358" w:name="_Toc303539129"/>
      <w:r/>
      <w:bookmarkStart w:id="359" w:name="_Toc312678016"/>
      <w:r/>
      <w:bookmarkStart w:id="360" w:name="_Toc297216179"/>
      <w:r/>
      <w:bookmarkStart w:id="361" w:name="_Toc297123520"/>
      <w:r>
        <w:rPr>
          <w:rFonts w:hint="eastAsia" w:ascii="宋体" w:hAnsi="宋体" w:eastAsia="宋体"/>
          <w:color w:val="auto"/>
          <w:sz w:val="24"/>
          <w:szCs w:val="24"/>
          <w:highlight w:val="none"/>
        </w:rPr>
        <w:t xml:space="preserve">不利物质条件的其他情形和有关约定：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355"/>
      <w:r/>
      <w:bookmarkEnd w:id="356"/>
      <w:r/>
      <w:bookmarkEnd w:id="357"/>
      <w:r/>
      <w:bookmarkEnd w:id="358"/>
      <w:r/>
      <w:bookmarkEnd w:id="359"/>
      <w:r/>
      <w:bookmarkEnd w:id="360"/>
      <w:r/>
      <w:bookmarkEnd w:id="361"/>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bookmarkStart w:id="362" w:name="_Toc300934973"/>
      <w:r/>
      <w:bookmarkStart w:id="363" w:name="_Toc297216180"/>
      <w:r/>
      <w:bookmarkStart w:id="364" w:name="_Toc303539130"/>
      <w:r/>
      <w:bookmarkStart w:id="365" w:name="_Toc304295551"/>
      <w:r/>
      <w:bookmarkStart w:id="366" w:name="_Toc312678017"/>
      <w:r/>
      <w:bookmarkStart w:id="367" w:name="_Toc297123521"/>
      <w:r>
        <w:rPr>
          <w:rFonts w:hint="eastAsia" w:ascii="宋体" w:hAnsi="宋体" w:eastAsia="宋体"/>
          <w:b/>
          <w:color w:val="auto"/>
          <w:sz w:val="24"/>
          <w:szCs w:val="24"/>
          <w:highlight w:val="none"/>
        </w:rPr>
        <w:t xml:space="preserve">.7异常恶劣的气候条件</w:t>
      </w:r>
      <w:bookmarkEnd w:id="362"/>
      <w:r/>
      <w:bookmarkEnd w:id="363"/>
      <w:r/>
      <w:bookmarkEnd w:id="364"/>
      <w:r/>
      <w:bookmarkEnd w:id="365"/>
      <w:r/>
      <w:bookmarkEnd w:id="366"/>
      <w:r/>
      <w:bookmarkEnd w:id="36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发包人和承包人同意以下情形视为异常恶劣的气候条件：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u w:val="single"/>
        </w:rPr>
        <w:t xml:space="preserve">由市级以上有关部门正式发布和认定的自然灾害</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368" w:name="_Toc21388"/>
      <w:r>
        <w:rPr>
          <w:rFonts w:hint="eastAsia" w:ascii="宋体" w:hAnsi="宋体" w:eastAsia="宋体"/>
          <w:color w:val="auto"/>
          <w:sz w:val="24"/>
          <w:szCs w:val="24"/>
          <w:highlight w:val="none"/>
        </w:rPr>
        <w:t xml:space="preserve">7.8 提前竣工的奖励</w:t>
      </w:r>
      <w:bookmarkEnd w:id="36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7.8.1提前竣工的奖励：</w:t>
      </w:r>
      <w:r>
        <w:rPr>
          <w:rFonts w:hint="eastAsia" w:ascii="宋体" w:hAnsi="宋体" w:eastAsia="宋体"/>
          <w:color w:val="auto"/>
          <w:sz w:val="24"/>
          <w:szCs w:val="24"/>
          <w:highlight w:val="none"/>
          <w:u w:val="single"/>
        </w:rPr>
        <w:t xml:space="preserve">      无                 </w:t>
      </w:r>
      <w:r>
        <w:rPr>
          <w:rFonts w:hint="eastAsia" w:ascii="宋体" w:hAnsi="宋体" w:eastAsia="宋体"/>
          <w:color w:val="auto"/>
          <w:sz w:val="24"/>
          <w:szCs w:val="24"/>
          <w:highlight w:val="none"/>
        </w:rPr>
        <w:t xml:space="preserve">。</w:t>
      </w:r>
      <w:r/>
    </w:p>
    <w:p>
      <w:pPr>
        <w:pStyle w:val="1170"/>
        <w:ind w:firstLine="482"/>
        <w:pageBreakBefore w:val="0"/>
        <w:spacing w:line="360" w:lineRule="auto"/>
        <w:widowControl w:val="off"/>
        <w:rPr>
          <w:rFonts w:hint="eastAsia" w:ascii="宋体" w:hAnsi="宋体" w:eastAsia="宋体"/>
          <w:color w:val="auto"/>
          <w:sz w:val="24"/>
          <w:szCs w:val="24"/>
          <w:highlight w:val="none"/>
        </w:rPr>
      </w:pPr>
      <w:r/>
      <w:bookmarkStart w:id="369" w:name="_Toc351203640"/>
      <w:r>
        <w:rPr>
          <w:rFonts w:hint="eastAsia" w:ascii="宋体" w:hAnsi="宋体"/>
          <w:color w:val="auto"/>
          <w:sz w:val="24"/>
          <w:szCs w:val="24"/>
          <w:highlight w:val="none"/>
        </w:rPr>
        <w:t xml:space="preserve">8. 材料与设备</w:t>
      </w:r>
      <w:bookmarkEnd w:id="369"/>
      <w:r/>
      <w:r/>
    </w:p>
    <w:p>
      <w:pPr>
        <w:ind w:firstLine="480"/>
        <w:pageBreakBefore w:val="0"/>
        <w:spacing w:line="360" w:lineRule="auto"/>
        <w:widowControl w:val="off"/>
        <w:rPr>
          <w:rStyle w:val="124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1</w:t>
      </w:r>
      <w:r>
        <w:rPr>
          <w:rStyle w:val="1240"/>
          <w:rFonts w:hint="eastAsia" w:ascii="宋体" w:hAnsi="宋体" w:eastAsia="宋体" w:cs="宋体"/>
          <w:color w:val="auto"/>
          <w:sz w:val="24"/>
          <w:szCs w:val="24"/>
          <w:highlight w:val="none"/>
        </w:rPr>
        <w:t xml:space="preserve">承包人采购材料与工程设备</w:t>
      </w:r>
      <w:r/>
    </w:p>
    <w:p>
      <w:pPr>
        <w:ind w:firstLine="480"/>
        <w:pageBreakBefore w:val="0"/>
        <w:spacing w:line="360" w:lineRule="auto"/>
        <w:widowControl w:val="off"/>
        <w:rPr>
          <w:rStyle w:val="1240"/>
          <w:rFonts w:hint="eastAsia" w:ascii="宋体" w:hAnsi="宋体" w:eastAsia="宋体" w:cs="宋体"/>
          <w:color w:val="auto"/>
          <w:sz w:val="24"/>
          <w:szCs w:val="24"/>
          <w:highlight w:val="none"/>
        </w:rPr>
      </w:pPr>
      <w:r>
        <w:rPr>
          <w:rStyle w:val="1240"/>
          <w:rFonts w:hint="eastAsia" w:ascii="宋体" w:hAnsi="宋体" w:eastAsia="宋体" w:cs="宋体"/>
          <w:color w:val="auto"/>
          <w:sz w:val="24"/>
          <w:szCs w:val="24"/>
          <w:highlight w:val="none"/>
        </w:rPr>
        <w:t xml:space="preserve">8.</w:t>
      </w:r>
      <w:r>
        <w:rPr>
          <w:rStyle w:val="1240"/>
          <w:rFonts w:hint="eastAsia" w:ascii="宋体" w:hAnsi="宋体" w:eastAsia="宋体" w:cs="宋体"/>
          <w:color w:val="auto"/>
          <w:sz w:val="24"/>
          <w:szCs w:val="24"/>
          <w:highlight w:val="none"/>
          <w:lang w:val="en-US" w:eastAsia="zh-CN"/>
        </w:rPr>
        <w:t xml:space="preserve">1</w:t>
      </w:r>
      <w:r>
        <w:rPr>
          <w:rStyle w:val="1240"/>
          <w:rFonts w:hint="eastAsia" w:ascii="宋体" w:hAnsi="宋体" w:eastAsia="宋体" w:cs="宋体"/>
          <w:color w:val="auto"/>
          <w:sz w:val="24"/>
          <w:szCs w:val="24"/>
          <w:highlight w:val="none"/>
        </w:rPr>
        <w:t xml:space="preserve">.1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firstLine="480"/>
        <w:pageBreakBefore w:val="0"/>
        <w:spacing w:line="360" w:lineRule="auto"/>
        <w:widowControl w:val="off"/>
        <w:rPr>
          <w:rStyle w:val="1240"/>
          <w:rFonts w:hint="eastAsia" w:ascii="宋体" w:hAnsi="宋体" w:eastAsia="宋体" w:cs="宋体"/>
          <w:color w:val="auto"/>
          <w:sz w:val="24"/>
          <w:szCs w:val="24"/>
          <w:highlight w:val="none"/>
        </w:rPr>
      </w:pPr>
      <w:r>
        <w:rPr>
          <w:rStyle w:val="1240"/>
          <w:rFonts w:hint="eastAsia" w:ascii="宋体" w:hAnsi="宋体" w:eastAsia="宋体" w:cs="宋体"/>
          <w:color w:val="auto"/>
          <w:sz w:val="24"/>
          <w:szCs w:val="24"/>
          <w:highlight w:val="none"/>
        </w:rPr>
        <w:t xml:space="preserve">8.</w:t>
      </w:r>
      <w:r>
        <w:rPr>
          <w:rStyle w:val="1240"/>
          <w:rFonts w:hint="eastAsia" w:ascii="宋体" w:hAnsi="宋体" w:eastAsia="宋体" w:cs="宋体"/>
          <w:color w:val="auto"/>
          <w:sz w:val="24"/>
          <w:szCs w:val="24"/>
          <w:highlight w:val="none"/>
          <w:lang w:val="en-US" w:eastAsia="zh-CN"/>
        </w:rPr>
        <w:t xml:space="preserve">1</w:t>
      </w:r>
      <w:r>
        <w:rPr>
          <w:rStyle w:val="1240"/>
          <w:rFonts w:hint="eastAsia" w:ascii="宋体" w:hAnsi="宋体" w:eastAsia="宋体" w:cs="宋体"/>
          <w:color w:val="auto"/>
          <w:sz w:val="24"/>
          <w:szCs w:val="24"/>
          <w:highlight w:val="none"/>
        </w:rPr>
        <w:t xml:space="preserve">.2工程师或其代表可能要求在承包人或其他代表在场的情况下从每一材料中抽样用作检验，经工程师决定，这样抽取的样品应视为一批材料的代表。</w:t>
      </w:r>
      <w:r/>
    </w:p>
    <w:p>
      <w:pPr>
        <w:ind w:firstLine="480"/>
        <w:pageBreakBefore w:val="0"/>
        <w:spacing w:line="360" w:lineRule="auto"/>
        <w:widowControl w:val="off"/>
        <w:rPr>
          <w:rStyle w:val="1240"/>
          <w:rFonts w:hint="eastAsia" w:ascii="宋体" w:hAnsi="宋体" w:eastAsia="宋体" w:cs="宋体"/>
          <w:color w:val="auto"/>
          <w:sz w:val="24"/>
          <w:szCs w:val="24"/>
          <w:highlight w:val="none"/>
        </w:rPr>
      </w:pPr>
      <w:r>
        <w:rPr>
          <w:rStyle w:val="1240"/>
          <w:rFonts w:hint="eastAsia" w:ascii="宋体" w:hAnsi="宋体" w:eastAsia="宋体" w:cs="宋体"/>
          <w:color w:val="auto"/>
          <w:sz w:val="24"/>
          <w:szCs w:val="24"/>
          <w:highlight w:val="none"/>
        </w:rPr>
        <w:t xml:space="preserve">8.</w:t>
      </w:r>
      <w:r>
        <w:rPr>
          <w:rStyle w:val="1240"/>
          <w:rFonts w:hint="eastAsia" w:ascii="宋体" w:hAnsi="宋体" w:eastAsia="宋体" w:cs="宋体"/>
          <w:color w:val="auto"/>
          <w:sz w:val="24"/>
          <w:szCs w:val="24"/>
          <w:highlight w:val="none"/>
          <w:lang w:val="en-US" w:eastAsia="zh-CN"/>
        </w:rPr>
        <w:t xml:space="preserve">1</w:t>
      </w:r>
      <w:r>
        <w:rPr>
          <w:rStyle w:val="1240"/>
          <w:rFonts w:hint="eastAsia" w:ascii="宋体" w:hAnsi="宋体" w:eastAsia="宋体" w:cs="宋体"/>
          <w:color w:val="auto"/>
          <w:sz w:val="24"/>
          <w:szCs w:val="24"/>
          <w:highlight w:val="none"/>
        </w:rPr>
        <w:t xml:space="preserve">.3如果任何一批材料中的样品不符合合同要求的，材料全部均予退货，无论是否已经采用与否，其费用全部由承包人支付，且不允许由于更换而延长工期。</w:t>
      </w:r>
      <w:r/>
    </w:p>
    <w:p>
      <w:pPr>
        <w:ind w:firstLine="480"/>
        <w:pageBreakBefore w:val="0"/>
        <w:spacing w:line="360" w:lineRule="auto"/>
        <w:widowControl w:val="off"/>
        <w:rPr>
          <w:rStyle w:val="1240"/>
          <w:rFonts w:hint="eastAsia" w:ascii="宋体" w:hAnsi="宋体" w:eastAsia="宋体" w:cs="宋体"/>
          <w:color w:val="auto"/>
          <w:sz w:val="24"/>
          <w:szCs w:val="24"/>
          <w:highlight w:val="none"/>
        </w:rPr>
      </w:pPr>
      <w:r>
        <w:rPr>
          <w:rStyle w:val="1240"/>
          <w:rFonts w:hint="eastAsia" w:ascii="宋体" w:hAnsi="宋体" w:eastAsia="宋体" w:cs="宋体"/>
          <w:color w:val="auto"/>
          <w:sz w:val="24"/>
          <w:szCs w:val="24"/>
          <w:highlight w:val="none"/>
        </w:rPr>
        <w:t xml:space="preserve">8.</w:t>
      </w:r>
      <w:r>
        <w:rPr>
          <w:rStyle w:val="1240"/>
          <w:rFonts w:hint="eastAsia" w:ascii="宋体" w:hAnsi="宋体" w:eastAsia="宋体" w:cs="宋体"/>
          <w:color w:val="auto"/>
          <w:sz w:val="24"/>
          <w:szCs w:val="24"/>
          <w:highlight w:val="none"/>
          <w:lang w:val="en-US" w:eastAsia="zh-CN"/>
        </w:rPr>
        <w:t xml:space="preserve">1</w:t>
      </w:r>
      <w:r>
        <w:rPr>
          <w:rStyle w:val="1240"/>
          <w:rFonts w:hint="eastAsia" w:ascii="宋体" w:hAnsi="宋体" w:eastAsia="宋体" w:cs="宋体"/>
          <w:color w:val="auto"/>
          <w:sz w:val="24"/>
          <w:szCs w:val="24"/>
          <w:highlight w:val="none"/>
        </w:rPr>
        <w:t xml:space="preserve">.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80"/>
        <w:pageBreakBefore w:val="0"/>
        <w:spacing w:line="360" w:lineRule="auto"/>
        <w:widowControl w:val="off"/>
        <w:rPr>
          <w:rStyle w:val="1240"/>
          <w:rFonts w:hint="eastAsia" w:ascii="宋体" w:hAnsi="宋体" w:eastAsia="宋体" w:cs="宋体"/>
          <w:color w:val="auto"/>
          <w:sz w:val="24"/>
          <w:szCs w:val="24"/>
          <w:highlight w:val="none"/>
        </w:rPr>
      </w:pPr>
      <w:r>
        <w:rPr>
          <w:rStyle w:val="1240"/>
          <w:rFonts w:hint="eastAsia" w:ascii="宋体" w:hAnsi="宋体" w:eastAsia="宋体" w:cs="宋体"/>
          <w:color w:val="auto"/>
          <w:sz w:val="24"/>
          <w:szCs w:val="24"/>
          <w:highlight w:val="none"/>
        </w:rPr>
        <w:t xml:space="preserve">8.</w:t>
      </w:r>
      <w:r>
        <w:rPr>
          <w:rStyle w:val="1240"/>
          <w:rFonts w:hint="eastAsia" w:ascii="宋体" w:hAnsi="宋体" w:eastAsia="宋体" w:cs="宋体"/>
          <w:color w:val="auto"/>
          <w:sz w:val="24"/>
          <w:szCs w:val="24"/>
          <w:highlight w:val="none"/>
          <w:lang w:val="en-US" w:eastAsia="zh-CN"/>
        </w:rPr>
        <w:t xml:space="preserve">1</w:t>
      </w:r>
      <w:r>
        <w:rPr>
          <w:rStyle w:val="1240"/>
          <w:rFonts w:hint="eastAsia" w:ascii="宋体" w:hAnsi="宋体" w:eastAsia="宋体" w:cs="宋体"/>
          <w:color w:val="auto"/>
          <w:sz w:val="24"/>
          <w:szCs w:val="24"/>
          <w:highlight w:val="none"/>
        </w:rPr>
        <w:t xml:space="preserve">.5运抵到现场的所有材料，无论在施工进度款中是否已付款，未经总监的书面批准，不得</w:t>
      </w:r>
      <w:r>
        <w:rPr>
          <w:rStyle w:val="1240"/>
          <w:rFonts w:hint="eastAsia" w:ascii="宋体" w:hAnsi="宋体" w:eastAsia="宋体" w:cs="宋体"/>
          <w:color w:val="auto"/>
          <w:sz w:val="24"/>
          <w:szCs w:val="24"/>
          <w:highlight w:val="none"/>
          <w:lang w:eastAsia="zh-CN"/>
        </w:rPr>
        <w:t xml:space="preserve">从现</w:t>
      </w:r>
      <w:r>
        <w:rPr>
          <w:rStyle w:val="1240"/>
          <w:rFonts w:hint="eastAsia" w:ascii="宋体" w:hAnsi="宋体" w:eastAsia="宋体" w:cs="宋体"/>
          <w:color w:val="auto"/>
          <w:sz w:val="24"/>
          <w:szCs w:val="24"/>
          <w:highlight w:val="none"/>
        </w:rPr>
        <w:t xml:space="preserve">场搬移出去。</w:t>
      </w:r>
      <w:bookmarkEnd w:id="301"/>
      <w:r/>
      <w:bookmarkEnd w:id="302"/>
      <w:r/>
      <w:bookmarkEnd w:id="303"/>
      <w:r/>
      <w:bookmarkEnd w:id="304"/>
      <w:r/>
      <w:bookmarkEnd w:id="305"/>
      <w:r/>
      <w:bookmarkEnd w:id="306"/>
      <w:r/>
      <w:bookmarkEnd w:id="307"/>
      <w:r/>
      <w:bookmarkEnd w:id="308"/>
      <w:r/>
      <w:bookmarkEnd w:id="309"/>
      <w:r/>
      <w:bookmarkEnd w:id="31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70" w:name="_Toc297123527"/>
      <w:r/>
      <w:bookmarkStart w:id="371" w:name="_Toc303539136"/>
      <w:r/>
      <w:bookmarkStart w:id="372" w:name="_Toc297216186"/>
      <w:r/>
      <w:bookmarkStart w:id="373" w:name="_Toc312678019"/>
      <w:r/>
      <w:bookmarkStart w:id="374" w:name="_Toc297048353"/>
      <w:r/>
      <w:bookmarkStart w:id="375" w:name="_Toc296890995"/>
      <w:r/>
      <w:bookmarkStart w:id="376" w:name="_Toc280868654"/>
      <w:r/>
      <w:bookmarkStart w:id="377" w:name="_Toc296503167"/>
      <w:r/>
      <w:bookmarkStart w:id="378" w:name="_Toc296346668"/>
      <w:r/>
      <w:bookmarkStart w:id="379" w:name="_Toc312677493"/>
      <w:r/>
      <w:bookmarkStart w:id="380" w:name="_Toc296891207"/>
      <w:r/>
      <w:bookmarkStart w:id="381" w:name="_Toc300934979"/>
      <w:r/>
      <w:bookmarkStart w:id="382" w:name="_Toc304295556"/>
      <w:r/>
      <w:bookmarkStart w:id="383" w:name="_Toc292559372"/>
      <w:r/>
      <w:bookmarkStart w:id="384" w:name="_Toc296944506"/>
      <w:r/>
      <w:bookmarkStart w:id="385" w:name="_Toc292559877"/>
      <w:r/>
      <w:bookmarkStart w:id="386" w:name="_Toc296347166"/>
      <w:r/>
      <w:bookmarkStart w:id="387" w:name="_Toc297120467"/>
      <w:r/>
      <w:bookmarkStart w:id="388" w:name="_Toc280868656"/>
      <w:r/>
      <w:bookmarkStart w:id="389" w:name="_Toc280868655"/>
      <w:r/>
      <w:bookmarkStart w:id="390" w:name="_Toc267251424"/>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材料与工程设备的保管与使用</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bookmarkStart w:id="391" w:name="_Toc292559878"/>
      <w:r/>
      <w:bookmarkStart w:id="392" w:name="_Toc292559373"/>
      <w:r/>
      <w:bookmarkStart w:id="393" w:name="_Toc296891208"/>
      <w:r/>
      <w:bookmarkStart w:id="394" w:name="_Toc297123528"/>
      <w:r/>
      <w:bookmarkStart w:id="395" w:name="_Toc304295557"/>
      <w:r/>
      <w:bookmarkStart w:id="396" w:name="_Toc296503168"/>
      <w:r/>
      <w:bookmarkStart w:id="397" w:name="_Toc297216187"/>
      <w:r/>
      <w:bookmarkStart w:id="398" w:name="_Toc297048354"/>
      <w:r/>
      <w:bookmarkStart w:id="399" w:name="_Toc296944507"/>
      <w:r/>
      <w:bookmarkStart w:id="400" w:name="_Toc296346669"/>
      <w:r/>
      <w:bookmarkStart w:id="401" w:name="_Toc318581173"/>
      <w:r/>
      <w:bookmarkStart w:id="402" w:name="_Toc296347167"/>
      <w:r/>
      <w:bookmarkStart w:id="403" w:name="_Toc296890996"/>
      <w:r/>
      <w:bookmarkStart w:id="404" w:name="_Toc312677494"/>
      <w:r/>
      <w:bookmarkStart w:id="405" w:name="_Toc300934980"/>
      <w:r/>
      <w:bookmarkStart w:id="406" w:name="_Toc297120468"/>
      <w:r/>
      <w:bookmarkStart w:id="407" w:name="_Toc312678020"/>
      <w:r/>
      <w:bookmarkStart w:id="408" w:name="_Toc303539137"/>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.1发包人供应的材料设备的保管费用的承担：</w:t>
      </w:r>
      <w:bookmarkEnd w:id="391"/>
      <w:r/>
      <w:bookmarkEnd w:id="392"/>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样品</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.1样品的报送与封存</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按管理部门要求和发包人需求确定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Style w:val="124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w:t>
      </w:r>
      <w:r>
        <w:rPr>
          <w:rStyle w:val="1240"/>
          <w:rFonts w:hint="eastAsia" w:ascii="宋体" w:hAnsi="宋体" w:eastAsia="宋体" w:cs="宋体"/>
          <w:color w:val="auto"/>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80"/>
        <w:jc w:val="left"/>
        <w:pageBreakBefore w:val="0"/>
        <w:spacing w:line="360" w:lineRule="auto"/>
        <w:rPr>
          <w:rFonts w:hint="eastAsia" w:ascii="宋体" w:hAnsi="宋体" w:eastAsia="宋体" w:cs="宋体"/>
          <w:color w:val="auto"/>
          <w:sz w:val="24"/>
          <w:szCs w:val="24"/>
          <w:highlight w:val="none"/>
        </w:rPr>
      </w:pPr>
      <w:r>
        <w:rPr>
          <w:rStyle w:val="1240"/>
          <w:rFonts w:hint="eastAsia" w:ascii="宋体" w:hAnsi="宋体" w:eastAsia="宋体" w:cs="宋体"/>
          <w:color w:val="auto"/>
          <w:sz w:val="24"/>
          <w:szCs w:val="24"/>
          <w:highlight w:val="none"/>
        </w:rPr>
        <w:t xml:space="preserve">8.</w:t>
      </w:r>
      <w:r>
        <w:rPr>
          <w:rStyle w:val="1240"/>
          <w:rFonts w:hint="eastAsia" w:ascii="宋体" w:hAnsi="宋体" w:eastAsia="宋体" w:cs="宋体"/>
          <w:color w:val="auto"/>
          <w:sz w:val="24"/>
          <w:szCs w:val="24"/>
          <w:highlight w:val="none"/>
          <w:lang w:val="en-US" w:eastAsia="zh-CN"/>
        </w:rPr>
        <w:t xml:space="preserve">3</w:t>
      </w:r>
      <w:r>
        <w:rPr>
          <w:rStyle w:val="1240"/>
          <w:rFonts w:hint="eastAsia" w:ascii="宋体" w:hAnsi="宋体" w:eastAsia="宋体" w:cs="宋体"/>
          <w:color w:val="auto"/>
          <w:sz w:val="24"/>
          <w:szCs w:val="24"/>
          <w:highlight w:val="none"/>
        </w:rPr>
        <w:t xml:space="preserve">.1.2 本工程的所有材料，均由承包人按国家标准、设计文件及规范要求自行采购和保管，使用前，要有质保书或出厂合格证，并进行有关必要的检验或试验，合格后方可使用。承包人必须在监理人现场见证的情况下取样、封样和送样，样品须送至</w:t>
      </w:r>
      <w:r>
        <w:rPr>
          <w:rStyle w:val="1240"/>
          <w:rFonts w:hint="eastAsia" w:ascii="宋体" w:hAnsi="宋体" w:cs="宋体"/>
          <w:color w:val="auto"/>
          <w:sz w:val="24"/>
          <w:szCs w:val="24"/>
          <w:highlight w:val="none"/>
          <w:lang w:val="en-US" w:eastAsia="zh-CN"/>
        </w:rPr>
        <w:t xml:space="preserve">具备相关检测资质</w:t>
      </w:r>
      <w:r>
        <w:rPr>
          <w:rStyle w:val="1240"/>
          <w:rFonts w:hint="eastAsia" w:ascii="宋体" w:hAnsi="宋体" w:eastAsia="宋体" w:cs="宋体"/>
          <w:color w:val="auto"/>
          <w:sz w:val="24"/>
          <w:szCs w:val="24"/>
          <w:highlight w:val="none"/>
        </w:rPr>
        <w:t xml:space="preserve">机构进行检测，否则不予认可。检验或试验费用均由承包人承担。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承包人提供的施工设备和临时设施</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关于修建临时设施费用承担的约定：</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09" w:name="_Toc351203641"/>
      <w:r>
        <w:rPr>
          <w:rFonts w:hint="eastAsia" w:ascii="宋体" w:hAnsi="宋体" w:eastAsia="宋体"/>
          <w:color w:val="auto"/>
          <w:sz w:val="24"/>
          <w:szCs w:val="24"/>
          <w:highlight w:val="none"/>
          <w:u w:val="single"/>
        </w:rPr>
        <w:t xml:space="preserve">由承包人承担</w:t>
      </w:r>
      <w:r>
        <w:rPr>
          <w:rFonts w:hint="eastAsia" w:ascii="宋体" w:hAnsi="宋体" w:eastAsia="宋体"/>
          <w:color w:val="auto"/>
          <w:sz w:val="24"/>
          <w:szCs w:val="24"/>
          <w:highlight w:val="none"/>
        </w:rPr>
        <w:t xml:space="preserve">。</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9</w:t>
      </w:r>
      <w:bookmarkEnd w:id="388"/>
      <w:r/>
      <w:bookmarkEnd w:id="389"/>
      <w:r/>
      <w:bookmarkEnd w:id="390"/>
      <w:r/>
      <w:bookmarkStart w:id="410" w:name="_Toc300934982"/>
      <w:r/>
      <w:bookmarkStart w:id="411" w:name="_Toc312677495"/>
      <w:r/>
      <w:bookmarkStart w:id="412" w:name="_Toc303539139"/>
      <w:r/>
      <w:bookmarkStart w:id="413" w:name="_Toc312678021"/>
      <w:r/>
      <w:bookmarkStart w:id="414" w:name="_Toc297216192"/>
      <w:r/>
      <w:bookmarkStart w:id="415" w:name="_Toc297123533"/>
      <w:r/>
      <w:bookmarkStart w:id="416" w:name="_Toc304295559"/>
      <w:r/>
      <w:bookmarkStart w:id="417" w:name="_Toc296503173"/>
      <w:r/>
      <w:bookmarkStart w:id="418" w:name="_Toc296891213"/>
      <w:r/>
      <w:bookmarkStart w:id="419" w:name="_Toc296944512"/>
      <w:r/>
      <w:bookmarkStart w:id="420" w:name="_Toc267251427"/>
      <w:r/>
      <w:bookmarkStart w:id="421" w:name="_Toc296347172"/>
      <w:r/>
      <w:bookmarkStart w:id="422" w:name="_Toc297048359"/>
      <w:r/>
      <w:bookmarkStart w:id="423" w:name="_Toc296346674"/>
      <w:r/>
      <w:bookmarkStart w:id="424" w:name="_Toc292559883"/>
      <w:r/>
      <w:bookmarkStart w:id="425" w:name="_Toc297120473"/>
      <w:r/>
      <w:bookmarkStart w:id="426" w:name="_Toc292559378"/>
      <w:r/>
      <w:bookmarkStart w:id="427" w:name="_Toc267251428"/>
      <w:r/>
      <w:bookmarkStart w:id="428" w:name="_Toc296891001"/>
      <w:r>
        <w:rPr>
          <w:rFonts w:hint="eastAsia" w:ascii="宋体" w:hAnsi="宋体" w:eastAsia="宋体"/>
          <w:b/>
          <w:color w:val="auto"/>
          <w:sz w:val="24"/>
          <w:szCs w:val="24"/>
          <w:highlight w:val="none"/>
        </w:rPr>
        <w:t xml:space="preserve">. 试验与检验</w:t>
      </w:r>
      <w:bookmarkEnd w:id="409"/>
      <w:r/>
      <w:bookmarkEnd w:id="410"/>
      <w:r/>
      <w:bookmarkEnd w:id="411"/>
      <w:r/>
      <w:bookmarkEnd w:id="412"/>
      <w:r/>
      <w:bookmarkEnd w:id="413"/>
      <w:r/>
      <w:bookmarkEnd w:id="414"/>
      <w:r/>
      <w:bookmarkEnd w:id="415"/>
      <w:r/>
      <w:bookmarkEnd w:id="41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29" w:name="_Toc303539140"/>
      <w:r/>
      <w:bookmarkStart w:id="430" w:name="_Toc297216193"/>
      <w:r/>
      <w:bookmarkStart w:id="431" w:name="_Toc312678022"/>
      <w:r/>
      <w:bookmarkStart w:id="432" w:name="_Toc304295560"/>
      <w:r/>
      <w:bookmarkStart w:id="433" w:name="_Toc297123534"/>
      <w:r/>
      <w:bookmarkStart w:id="434" w:name="_Toc300934983"/>
      <w:r/>
      <w:bookmarkStart w:id="435" w:name="_Toc312677496"/>
      <w:r>
        <w:rPr>
          <w:rFonts w:hint="eastAsia" w:ascii="宋体" w:hAnsi="宋体" w:eastAsia="宋体"/>
          <w:color w:val="auto"/>
          <w:sz w:val="24"/>
          <w:szCs w:val="24"/>
          <w:highlight w:val="none"/>
        </w:rPr>
        <w:t xml:space="preserve">.1试验设备与试验人员</w:t>
      </w:r>
      <w:bookmarkEnd w:id="429"/>
      <w:r/>
      <w:bookmarkEnd w:id="430"/>
      <w:r/>
      <w:bookmarkEnd w:id="431"/>
      <w:r/>
      <w:bookmarkEnd w:id="432"/>
      <w:r/>
      <w:bookmarkEnd w:id="433"/>
      <w:r/>
      <w:bookmarkEnd w:id="434"/>
      <w:r/>
      <w:bookmarkEnd w:id="43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bookmarkStart w:id="436" w:name="_Toc312677497"/>
      <w:r/>
      <w:bookmarkStart w:id="437" w:name="_Toc300934984"/>
      <w:r/>
      <w:bookmarkStart w:id="438" w:name="_Toc297123535"/>
      <w:r/>
      <w:bookmarkStart w:id="439" w:name="_Toc304295561"/>
      <w:r/>
      <w:bookmarkStart w:id="440" w:name="_Toc297216194"/>
      <w:r/>
      <w:bookmarkStart w:id="441" w:name="_Toc312678023"/>
      <w:r/>
      <w:bookmarkStart w:id="442" w:name="_Toc303539141"/>
      <w:r/>
      <w:bookmarkStart w:id="443" w:name="_Toc318581174"/>
      <w:r>
        <w:rPr>
          <w:rFonts w:hint="eastAsia" w:ascii="宋体" w:hAnsi="宋体" w:eastAsia="宋体"/>
          <w:color w:val="auto"/>
          <w:sz w:val="24"/>
          <w:szCs w:val="24"/>
          <w:highlight w:val="none"/>
        </w:rPr>
        <w:t xml:space="preserve">.1.2 试验设备</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施工现场需要配置的试验场所：</w:t>
      </w:r>
      <w:bookmarkEnd w:id="436"/>
      <w:r/>
      <w:bookmarkEnd w:id="437"/>
      <w:r/>
      <w:bookmarkEnd w:id="438"/>
      <w:r/>
      <w:bookmarkEnd w:id="439"/>
      <w:r/>
      <w:bookmarkEnd w:id="440"/>
      <w:r/>
      <w:bookmarkEnd w:id="441"/>
      <w:r/>
      <w:bookmarkEnd w:id="442"/>
      <w:r/>
      <w:bookmarkStart w:id="444" w:name="_Toc303539142"/>
      <w:r/>
      <w:bookmarkStart w:id="445" w:name="_Toc312677498"/>
      <w:r/>
      <w:bookmarkStart w:id="446" w:name="_Toc312678024"/>
      <w:r/>
      <w:bookmarkStart w:id="447" w:name="_Toc300934985"/>
      <w:r/>
      <w:bookmarkStart w:id="448" w:name="_Toc297123536"/>
      <w:r/>
      <w:bookmarkStart w:id="449" w:name="_Toc304295562"/>
      <w:r/>
      <w:bookmarkStart w:id="450" w:name="_Toc297216195"/>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施工现场需要配备的试验设备：</w:t>
      </w:r>
      <w:r>
        <w:rPr>
          <w:rFonts w:hint="eastAsia" w:ascii="宋体" w:hAnsi="宋体" w:eastAsia="宋体"/>
          <w:color w:val="auto"/>
          <w:sz w:val="24"/>
          <w:szCs w:val="24"/>
          <w:highlight w:val="none"/>
          <w:u w:val="single"/>
        </w:rPr>
        <w:t xml:space="preserve"> 按有关规定执行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施工现场需要具备的其他试验条件：</w:t>
      </w:r>
      <w:r>
        <w:rPr>
          <w:rFonts w:hint="eastAsia" w:ascii="宋体" w:hAnsi="宋体" w:eastAsia="宋体"/>
          <w:color w:val="auto"/>
          <w:sz w:val="24"/>
          <w:szCs w:val="24"/>
          <w:highlight w:val="none"/>
          <w:u w:val="single"/>
        </w:rPr>
        <w:t xml:space="preserve">  按有关规定执行</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451" w:name="_Toc11489"/>
      <w:r>
        <w:rPr>
          <w:rFonts w:hint="eastAsia" w:ascii="宋体" w:hAnsi="宋体" w:eastAsia="宋体"/>
          <w:color w:val="auto"/>
          <w:sz w:val="24"/>
          <w:szCs w:val="24"/>
          <w:highlight w:val="none"/>
        </w:rPr>
        <w:t xml:space="preserve">9.</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现场工艺试验</w:t>
      </w:r>
      <w:bookmarkEnd w:id="451"/>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现场工艺试验的有关约定：</w:t>
      </w:r>
      <w:r>
        <w:rPr>
          <w:rFonts w:hint="eastAsia" w:ascii="宋体" w:hAnsi="宋体" w:eastAsia="宋体"/>
          <w:color w:val="auto"/>
          <w:sz w:val="24"/>
          <w:szCs w:val="24"/>
          <w:highlight w:val="none"/>
          <w:u w:val="single"/>
        </w:rPr>
        <w:t xml:space="preserve">按有关规定执行</w:t>
      </w:r>
      <w:r>
        <w:rPr>
          <w:rFonts w:hint="eastAsia" w:ascii="宋体" w:hAnsi="宋体" w:eastAsia="宋体"/>
          <w:color w:val="auto"/>
          <w:sz w:val="24"/>
          <w:szCs w:val="24"/>
          <w:highlight w:val="none"/>
        </w:rPr>
        <w:t xml:space="preserve">。</w:t>
      </w:r>
      <w:bookmarkEnd w:id="443"/>
      <w:r/>
      <w:bookmarkEnd w:id="444"/>
      <w:r/>
      <w:bookmarkEnd w:id="445"/>
      <w:r/>
      <w:bookmarkEnd w:id="446"/>
      <w:r/>
      <w:bookmarkEnd w:id="447"/>
      <w:r/>
      <w:bookmarkEnd w:id="448"/>
      <w:r/>
      <w:bookmarkEnd w:id="449"/>
      <w:r/>
      <w:bookmarkEnd w:id="450"/>
      <w:r/>
      <w:r/>
    </w:p>
    <w:p>
      <w:pPr>
        <w:pStyle w:val="1170"/>
        <w:ind w:firstLine="482"/>
        <w:pageBreakBefore w:val="0"/>
        <w:spacing w:line="360" w:lineRule="auto"/>
        <w:rPr>
          <w:rFonts w:hint="eastAsia" w:ascii="宋体" w:hAnsi="宋体"/>
          <w:color w:val="auto"/>
          <w:sz w:val="24"/>
          <w:szCs w:val="24"/>
          <w:highlight w:val="none"/>
        </w:rPr>
      </w:pPr>
      <w:r/>
      <w:bookmarkStart w:id="452" w:name="_Toc351203642"/>
      <w:r>
        <w:rPr>
          <w:rFonts w:hint="eastAsia" w:ascii="宋体" w:hAnsi="宋体"/>
          <w:color w:val="auto"/>
          <w:sz w:val="24"/>
          <w:szCs w:val="24"/>
          <w:highlight w:val="none"/>
        </w:rPr>
        <w:t xml:space="preserve">1</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53" w:name="_Toc292559398"/>
      <w:r/>
      <w:bookmarkStart w:id="454" w:name="_Toc297216199"/>
      <w:r/>
      <w:bookmarkStart w:id="455" w:name="_Toc296347192"/>
      <w:r/>
      <w:bookmarkStart w:id="456" w:name="_Toc304295566"/>
      <w:r/>
      <w:bookmarkStart w:id="457" w:name="_Toc297123540"/>
      <w:r/>
      <w:bookmarkStart w:id="458" w:name="_Toc303539146"/>
      <w:r/>
      <w:bookmarkStart w:id="459" w:name="_Toc296944532"/>
      <w:r/>
      <w:bookmarkStart w:id="460" w:name="_Toc296346694"/>
      <w:r/>
      <w:bookmarkStart w:id="461" w:name="_Toc300934989"/>
      <w:r/>
      <w:bookmarkStart w:id="462" w:name="_Toc296891233"/>
      <w:r/>
      <w:bookmarkStart w:id="463" w:name="_Toc292559903"/>
      <w:r/>
      <w:bookmarkStart w:id="464" w:name="_Toc297120493"/>
      <w:r/>
      <w:bookmarkStart w:id="465" w:name="_Toc296503193"/>
      <w:r/>
      <w:bookmarkStart w:id="466" w:name="_Toc297048379"/>
      <w:r/>
      <w:bookmarkStart w:id="467" w:name="_Toc296891021"/>
      <w:r/>
      <w:bookmarkStart w:id="468" w:name="_Toc312678025"/>
      <w:r/>
      <w:bookmarkStart w:id="469" w:name="_Toc312677499"/>
      <w:r/>
      <w:bookmarkStart w:id="470" w:name="_Toc267251437"/>
      <w:r/>
      <w:bookmarkStart w:id="471" w:name="_Toc267251439"/>
      <w:r/>
      <w:bookmarkStart w:id="472" w:name="_Toc267251441"/>
      <w:r/>
      <w:bookmarkStart w:id="473" w:name="_Toc267251435"/>
      <w:r/>
      <w:bookmarkStart w:id="474" w:name="_Toc267251433"/>
      <w:r/>
      <w:bookmarkStart w:id="475" w:name="_Toc267251440"/>
      <w:r>
        <w:rPr>
          <w:rFonts w:hint="eastAsia" w:ascii="宋体" w:hAnsi="宋体"/>
          <w:color w:val="auto"/>
          <w:sz w:val="24"/>
          <w:szCs w:val="24"/>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476" w:name="_Toc312677500"/>
      <w:r/>
      <w:bookmarkStart w:id="477" w:name="_Toc292559399"/>
      <w:r/>
      <w:bookmarkStart w:id="478" w:name="_Toc296346695"/>
      <w:r/>
      <w:bookmarkStart w:id="479" w:name="_Toc296944533"/>
      <w:r/>
      <w:bookmarkStart w:id="480" w:name="_Toc296891234"/>
      <w:r/>
      <w:bookmarkStart w:id="481" w:name="_Toc303539147"/>
      <w:r/>
      <w:bookmarkStart w:id="482" w:name="_Toc297216200"/>
      <w:r/>
      <w:bookmarkStart w:id="483" w:name="_Toc292559904"/>
      <w:r/>
      <w:bookmarkStart w:id="484" w:name="_Toc296891022"/>
      <w:r/>
      <w:bookmarkStart w:id="485" w:name="_Toc297048380"/>
      <w:r/>
      <w:bookmarkStart w:id="486" w:name="_Toc312678026"/>
      <w:r/>
      <w:bookmarkStart w:id="487" w:name="_Toc296347193"/>
      <w:r/>
      <w:bookmarkStart w:id="488" w:name="_Toc297120494"/>
      <w:r/>
      <w:bookmarkStart w:id="489" w:name="_Toc300934990"/>
      <w:r/>
      <w:bookmarkStart w:id="490" w:name="_Toc296503194"/>
      <w:r/>
      <w:bookmarkStart w:id="491" w:name="_Toc304295567"/>
      <w:r/>
      <w:bookmarkStart w:id="492" w:name="_Toc297123541"/>
      <w:r>
        <w:rPr>
          <w:rFonts w:hint="eastAsia" w:ascii="宋体" w:hAnsi="宋体" w:eastAsia="宋体"/>
          <w:b/>
          <w:color w:val="auto"/>
          <w:sz w:val="24"/>
          <w:szCs w:val="24"/>
          <w:highlight w:val="none"/>
        </w:rPr>
        <w:t xml:space="preserve">0.1变更的范围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关于变更的范围的约定：</w:t>
      </w:r>
      <w:r>
        <w:rPr>
          <w:rFonts w:hint="eastAsia" w:ascii="宋体" w:hAnsi="宋体" w:eastAsia="宋体"/>
          <w:color w:val="auto"/>
          <w:sz w:val="24"/>
          <w:szCs w:val="24"/>
          <w:highlight w:val="none"/>
          <w:u w:val="single"/>
        </w:rPr>
        <w:t xml:space="preserve">（1）工程设计变更（2）不可预见性变更（3）工程量清单特征不符、清单缺项、工程量偏差（4）涉及工程造价、质量标准等政策调整的变更（5）其他实质性变更。</w:t>
      </w:r>
      <w:r/>
    </w:p>
    <w:p>
      <w:pPr>
        <w:ind w:firstLine="482"/>
        <w:pageBreakBefore w:val="0"/>
        <w:spacing w:line="360" w:lineRule="auto"/>
        <w:rPr>
          <w:rFonts w:hint="eastAsia" w:ascii="宋体" w:hAnsi="宋体" w:eastAsia="宋体"/>
          <w:b/>
          <w:color w:val="auto"/>
          <w:sz w:val="24"/>
          <w:szCs w:val="24"/>
          <w:highlight w:val="none"/>
        </w:rPr>
        <w:outlineLvl w:val="0"/>
      </w:pPr>
      <w:r/>
      <w:bookmarkStart w:id="493" w:name="_Toc14006"/>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变更估价</w:t>
      </w:r>
      <w:bookmarkEnd w:id="49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变更估价原则</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关于变更估价的约定</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工程变更引起已标价工程量清单项目或其工程数量发生变化，应按照下列规定调整：</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auto"/>
          <w:sz w:val="24"/>
          <w:szCs w:val="24"/>
          <w:highlight w:val="none"/>
          <w:u w:val="single"/>
          <w:lang w:val="en-US" w:eastAsia="zh-CN"/>
        </w:rPr>
        <w:t xml:space="preserve">中标</w:t>
      </w:r>
      <w:r>
        <w:rPr>
          <w:rFonts w:hint="eastAsia" w:ascii="宋体" w:hAnsi="宋体" w:eastAsia="宋体"/>
          <w:color w:val="auto"/>
          <w:sz w:val="24"/>
          <w:szCs w:val="24"/>
          <w:highlight w:val="none"/>
          <w:u w:val="single"/>
        </w:rPr>
        <w:t xml:space="preserve">价/审定标底价即未按控制价调整系数调整前的价格</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*100%，下浮率的计算均需扣除采购人暂列金额、暂估价、规费、安全文明施工措施费及税金。</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（1）安全文明施工费按照实际发生变化的措施项目依据规范规定计算。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（2）采用单价计算的措施项目费，按照实际发生变化的措施项目的规定确定单价。</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如果承包人未事先将拟实施的方案提交给发包人确认，则视为工程变更不引起措施项目费的调整或承包人放弃调整措施项目费的权利。</w:t>
      </w:r>
      <w:r/>
    </w:p>
    <w:p>
      <w:pPr>
        <w:ind w:firstLine="482"/>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Start w:id="494" w:name="_Toc297120497"/>
      <w:r/>
      <w:bookmarkStart w:id="495" w:name="_Toc292559907"/>
      <w:r/>
      <w:bookmarkStart w:id="496" w:name="_Toc303539150"/>
      <w:r/>
      <w:bookmarkStart w:id="497" w:name="_Toc296891025"/>
      <w:r/>
      <w:bookmarkStart w:id="498" w:name="_Toc292559402"/>
      <w:r/>
      <w:bookmarkStart w:id="499" w:name="_Toc297048383"/>
      <w:r/>
      <w:bookmarkStart w:id="500" w:name="_Toc296944536"/>
      <w:r/>
      <w:bookmarkStart w:id="501" w:name="_Toc296347196"/>
      <w:r/>
      <w:bookmarkStart w:id="502" w:name="_Toc296891237"/>
      <w:r/>
      <w:bookmarkStart w:id="503" w:name="_Toc296346698"/>
      <w:r/>
      <w:bookmarkStart w:id="504" w:name="_Toc300934993"/>
      <w:r/>
      <w:bookmarkStart w:id="505" w:name="_Toc297216203"/>
      <w:r/>
      <w:bookmarkStart w:id="506" w:name="_Toc296503197"/>
      <w:r/>
      <w:bookmarkStart w:id="507" w:name="_Toc297123544"/>
      <w:r/>
      <w:bookmarkStart w:id="508" w:name="_Toc312677503"/>
      <w:r/>
      <w:bookmarkStart w:id="509" w:name="_Toc312678029"/>
      <w:r/>
      <w:bookmarkStart w:id="510" w:name="_Toc304295570"/>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3</w:t>
      </w:r>
      <w:r>
        <w:rPr>
          <w:rFonts w:hint="eastAsia" w:ascii="宋体" w:hAnsi="宋体" w:eastAsia="宋体"/>
          <w:b/>
          <w:color w:val="auto"/>
          <w:sz w:val="24"/>
          <w:szCs w:val="24"/>
          <w:highlight w:val="none"/>
        </w:rPr>
        <w:t xml:space="preserve">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303539151"/>
      <w:r/>
      <w:bookmarkStart w:id="512" w:name="_Toc292559913"/>
      <w:r/>
      <w:bookmarkStart w:id="513" w:name="_Toc296346704"/>
      <w:r/>
      <w:bookmarkStart w:id="514" w:name="_Toc297216204"/>
      <w:r/>
      <w:bookmarkStart w:id="515" w:name="_Toc296944542"/>
      <w:r/>
      <w:bookmarkStart w:id="516" w:name="_Toc300934994"/>
      <w:r/>
      <w:bookmarkStart w:id="517" w:name="_Toc296891031"/>
      <w:r/>
      <w:bookmarkStart w:id="518" w:name="_Toc297120503"/>
      <w:r/>
      <w:bookmarkStart w:id="519" w:name="_Toc297048389"/>
      <w:r/>
      <w:bookmarkStart w:id="520" w:name="_Toc296347202"/>
      <w:r/>
      <w:bookmarkStart w:id="521" w:name="_Toc296891243"/>
      <w:r/>
      <w:bookmarkStart w:id="522" w:name="_Toc296503203"/>
      <w:r/>
      <w:bookmarkStart w:id="523" w:name="_Toc292559408"/>
      <w:r/>
      <w:bookmarkStart w:id="524" w:name="_Toc297123545"/>
      <w:r>
        <w:rPr>
          <w:rFonts w:hint="eastAsia" w:ascii="宋体" w:hAnsi="宋体" w:eastAsia="宋体"/>
          <w:b/>
          <w:color w:val="auto"/>
          <w:sz w:val="24"/>
          <w:szCs w:val="24"/>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监理人审查承包人合理化建议的期限：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发包人审批承包人合理化建议的期限：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承</w:t>
      </w:r>
      <w:bookmarkStart w:id="525" w:name="_Toc318581175"/>
      <w:r/>
      <w:bookmarkStart w:id="526" w:name="_Toc297048390"/>
      <w:r/>
      <w:bookmarkStart w:id="527" w:name="_Toc297123546"/>
      <w:r/>
      <w:bookmarkStart w:id="528" w:name="_Toc296891032"/>
      <w:r/>
      <w:bookmarkStart w:id="529" w:name="_Toc296891244"/>
      <w:r/>
      <w:bookmarkStart w:id="530" w:name="_Toc297120504"/>
      <w:r/>
      <w:bookmarkStart w:id="531" w:name="_Toc303539152"/>
      <w:r/>
      <w:bookmarkStart w:id="532" w:name="_Toc292559914"/>
      <w:r/>
      <w:bookmarkStart w:id="533" w:name="_Toc312677504"/>
      <w:r/>
      <w:bookmarkStart w:id="534" w:name="_Toc300934995"/>
      <w:r/>
      <w:bookmarkStart w:id="535" w:name="_Toc296346705"/>
      <w:r/>
      <w:bookmarkStart w:id="536" w:name="_Toc312678030"/>
      <w:r/>
      <w:bookmarkStart w:id="537" w:name="_Toc292559409"/>
      <w:r/>
      <w:bookmarkStart w:id="538" w:name="_Toc297216205"/>
      <w:r/>
      <w:bookmarkStart w:id="539" w:name="_Toc296347203"/>
      <w:r/>
      <w:bookmarkStart w:id="540" w:name="_Toc304295571"/>
      <w:r/>
      <w:bookmarkStart w:id="541" w:name="_Toc296944543"/>
      <w:r/>
      <w:bookmarkStart w:id="542" w:name="_Toc296503204"/>
      <w:r>
        <w:rPr>
          <w:rFonts w:hint="eastAsia" w:ascii="宋体" w:hAnsi="宋体" w:eastAsia="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82"/>
        <w:pageBreakBefore w:val="0"/>
        <w:spacing w:line="360" w:lineRule="auto"/>
        <w:rPr>
          <w:rFonts w:hint="eastAsia" w:ascii="宋体" w:hAnsi="宋体" w:eastAsia="宋体"/>
          <w:b/>
          <w:color w:val="auto"/>
          <w:sz w:val="24"/>
          <w:szCs w:val="24"/>
          <w:highlight w:val="none"/>
        </w:rPr>
        <w:outlineLvl w:val="0"/>
      </w:pPr>
      <w:r/>
      <w:bookmarkStart w:id="543" w:name="_Toc28262"/>
      <w:r>
        <w:rPr>
          <w:rFonts w:hint="eastAsia" w:ascii="宋体" w:hAnsi="宋体" w:eastAsia="宋体"/>
          <w:b/>
          <w:color w:val="auto"/>
          <w:sz w:val="24"/>
          <w:szCs w:val="24"/>
          <w:highlight w:val="none"/>
        </w:rPr>
        <w:t xml:space="preserve">1</w:t>
      </w:r>
      <w:bookmarkStart w:id="544" w:name="_Toc297123548"/>
      <w:r/>
      <w:bookmarkStart w:id="545" w:name="_Toc296944538"/>
      <w:r/>
      <w:bookmarkStart w:id="546" w:name="_Toc296891027"/>
      <w:r/>
      <w:bookmarkStart w:id="547" w:name="_Toc296891239"/>
      <w:r/>
      <w:bookmarkStart w:id="548" w:name="_Toc296503199"/>
      <w:r/>
      <w:bookmarkStart w:id="549" w:name="_Toc297048385"/>
      <w:r/>
      <w:bookmarkStart w:id="550" w:name="_Toc303539154"/>
      <w:r/>
      <w:bookmarkStart w:id="551" w:name="_Toc296346700"/>
      <w:r/>
      <w:bookmarkStart w:id="552" w:name="_Toc300934997"/>
      <w:r/>
      <w:bookmarkStart w:id="553" w:name="_Toc297120499"/>
      <w:r/>
      <w:bookmarkStart w:id="554" w:name="_Toc292559909"/>
      <w:r/>
      <w:bookmarkStart w:id="555" w:name="_Toc304295574"/>
      <w:r/>
      <w:bookmarkStart w:id="556" w:name="_Toc292559404"/>
      <w:r/>
      <w:bookmarkStart w:id="557" w:name="_Toc297216207"/>
      <w:r/>
      <w:bookmarkStart w:id="558" w:name="_Toc312678033"/>
      <w:r/>
      <w:bookmarkStart w:id="559" w:name="_Toc296347198"/>
      <w:r/>
      <w:bookmarkStart w:id="560" w:name="_Toc312677507"/>
      <w:r>
        <w:rPr>
          <w:rFonts w:hint="eastAsia" w:ascii="宋体" w:hAnsi="宋体" w:eastAsia="宋体"/>
          <w:b/>
          <w:color w:val="auto"/>
          <w:sz w:val="24"/>
          <w:szCs w:val="24"/>
          <w:highlight w:val="none"/>
        </w:rPr>
        <w:t xml:space="preserve">0.</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暂</w:t>
      </w:r>
      <w:bookmarkStart w:id="561" w:name="_Toc312677508"/>
      <w:r/>
      <w:bookmarkStart w:id="562" w:name="_Toc312678034"/>
      <w:r/>
      <w:bookmarkStart w:id="563" w:name="_Toc318581176"/>
      <w:r>
        <w:rPr>
          <w:rFonts w:hint="eastAsia" w:ascii="宋体" w:hAnsi="宋体" w:eastAsia="宋体"/>
          <w:color w:val="auto"/>
          <w:sz w:val="24"/>
          <w:szCs w:val="24"/>
          <w:highlight w:val="none"/>
        </w:rPr>
        <w:t xml:space="preserve">估价材料和工程设备的明细详见附件11：《暂估价一览表》。</w:t>
      </w:r>
      <w:bookmarkEnd w:id="561"/>
      <w:r/>
      <w:bookmarkEnd w:id="562"/>
      <w:r/>
      <w:bookmarkEnd w:id="56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bookmarkStart w:id="564" w:name="_Toc312677509"/>
      <w:r/>
      <w:bookmarkStart w:id="565" w:name="_Toc318581177"/>
      <w:r/>
      <w:bookmarkStart w:id="566" w:name="_Toc312678035"/>
      <w:r>
        <w:rPr>
          <w:rFonts w:hint="eastAsia" w:ascii="宋体" w:hAnsi="宋体" w:eastAsia="宋体"/>
          <w:color w:val="auto"/>
          <w:sz w:val="24"/>
          <w:szCs w:val="24"/>
          <w:highlight w:val="none"/>
        </w:rPr>
        <w:t xml:space="preserve">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依法必须招标的暂估价项目</w:t>
      </w:r>
      <w:bookmarkEnd w:id="564"/>
      <w:r/>
      <w:bookmarkEnd w:id="565"/>
      <w:r/>
      <w:bookmarkEnd w:id="56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 不属于依法必须招标的暂估价项目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对于不属于依法必须招标的暂估价项目的确认和批准采取第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种方式确定</w:t>
      </w:r>
      <w:r>
        <w:rPr>
          <w:rFonts w:hint="eastAsia" w:ascii="宋体" w:hAnsi="宋体" w:eastAsia="宋体"/>
          <w:color w:val="auto"/>
          <w:sz w:val="24"/>
          <w:szCs w:val="24"/>
          <w:highlight w:val="none"/>
          <w:u w:val="single"/>
        </w:rPr>
        <w:t xml:space="preserve">（参照通用条款10.7条）</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第3种方式：承包人直接实施的暂估价项目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承包人直接实施的暂估价项目的约定：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2"/>
        <w:pageBreakBefore w:val="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10.</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 暂列金额</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合同当事人关于暂列金额使用的约定：</w:t>
      </w:r>
      <w:r>
        <w:rPr>
          <w:rFonts w:hint="eastAsia" w:ascii="宋体" w:hAnsi="宋体" w:eastAsia="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pStyle w:val="1170"/>
        <w:ind w:firstLine="482"/>
        <w:pageBreakBefore w:val="0"/>
        <w:spacing w:line="360" w:lineRule="auto"/>
        <w:rPr>
          <w:rFonts w:hint="eastAsia" w:ascii="宋体" w:hAnsi="宋体"/>
          <w:color w:val="auto"/>
          <w:sz w:val="24"/>
          <w:szCs w:val="24"/>
          <w:highlight w:val="none"/>
        </w:rPr>
      </w:pPr>
      <w:r/>
      <w:bookmarkStart w:id="567" w:name="_Toc351203643"/>
      <w:r>
        <w:rPr>
          <w:rFonts w:hint="eastAsia" w:ascii="宋体" w:hAnsi="宋体"/>
          <w:color w:val="auto"/>
          <w:sz w:val="24"/>
          <w:szCs w:val="24"/>
          <w:highlight w:val="none"/>
        </w:rPr>
        <w:t xml:space="preserve">11. 价格调整</w:t>
      </w:r>
      <w:bookmarkEnd w:id="567"/>
      <w:r/>
      <w:r/>
    </w:p>
    <w:p>
      <w:pPr>
        <w:ind w:firstLine="482"/>
        <w:pageBreakBefore w:val="0"/>
        <w:spacing w:line="360" w:lineRule="auto"/>
        <w:rPr>
          <w:rFonts w:hint="eastAsia" w:ascii="宋体" w:hAnsi="宋体" w:eastAsia="宋体"/>
          <w:b/>
          <w:color w:val="auto"/>
          <w:sz w:val="24"/>
          <w:szCs w:val="24"/>
          <w:highlight w:val="none"/>
        </w:rPr>
      </w:pPr>
      <w:r/>
      <w:bookmarkStart w:id="568" w:name="_Toc296503201"/>
      <w:r/>
      <w:bookmarkStart w:id="569" w:name="_Toc303539157"/>
      <w:r/>
      <w:bookmarkStart w:id="570" w:name="_Toc292559406"/>
      <w:r/>
      <w:bookmarkStart w:id="571" w:name="_Toc297048387"/>
      <w:r/>
      <w:bookmarkStart w:id="572" w:name="_Toc304295577"/>
      <w:r/>
      <w:bookmarkStart w:id="573" w:name="_Toc312678039"/>
      <w:r/>
      <w:bookmarkStart w:id="574" w:name="_Toc296891241"/>
      <w:r/>
      <w:bookmarkStart w:id="575" w:name="_Toc296944540"/>
      <w:r/>
      <w:bookmarkStart w:id="576" w:name="_Toc297216209"/>
      <w:r/>
      <w:bookmarkStart w:id="577" w:name="_Toc292559911"/>
      <w:r/>
      <w:bookmarkStart w:id="578" w:name="_Toc296891029"/>
      <w:r/>
      <w:bookmarkStart w:id="579" w:name="_Toc296347200"/>
      <w:r/>
      <w:bookmarkStart w:id="580" w:name="_Toc300935000"/>
      <w:r/>
      <w:bookmarkStart w:id="581" w:name="_Toc297123550"/>
      <w:r/>
      <w:bookmarkStart w:id="582" w:name="_Toc296346702"/>
      <w:r/>
      <w:bookmarkStart w:id="583" w:name="_Toc297120501"/>
      <w:r>
        <w:rPr>
          <w:rFonts w:hint="eastAsia" w:ascii="宋体" w:hAnsi="宋体" w:eastAsia="宋体"/>
          <w:b/>
          <w:color w:val="auto"/>
          <w:sz w:val="24"/>
          <w:szCs w:val="24"/>
          <w:highlight w:val="none"/>
        </w:rPr>
        <w:t xml:space="preserve">11.1 市场价格波动引起的调整：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市场价格波动是否调整合同价格的约定：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人工费结算不再调整，由承包人按照江苏省人工费调整幅度预测，在投标报价时综合考虑上涨因素进行报价，风险由承包人承担。</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物价波动引起价格的调整参照执行南通市建设工程造价管理处（通建价</w:t>
      </w:r>
      <w:r>
        <w:rPr>
          <w:rFonts w:hint="eastAsia" w:ascii="宋体" w:hAnsi="宋体" w:cs="宋体"/>
          <w:color w:val="auto"/>
          <w:sz w:val="24"/>
          <w:szCs w:val="24"/>
          <w:highlight w:val="none"/>
          <w:u w:val="single"/>
          <w:lang w:eastAsia="zh-CN" w:bidi="ar"/>
        </w:rPr>
        <w:t xml:space="preserve">〔2016〕22号</w:t>
      </w:r>
      <w:r>
        <w:rPr>
          <w:rFonts w:hint="eastAsia" w:ascii="宋体" w:hAnsi="宋体" w:eastAsia="宋体" w:cs="宋体"/>
          <w:color w:val="auto"/>
          <w:sz w:val="24"/>
          <w:szCs w:val="24"/>
          <w:highlight w:val="none"/>
          <w:u w:val="single"/>
          <w:lang w:bidi="ar"/>
        </w:rPr>
        <w:t xml:space="preserve">）“关于建筑业实施营改增后进一步明确建设工程材料价格风险控制及价差调整计算方法的通知”。</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因市场价格波动调整合同价格，采用以下第</w:t>
      </w:r>
      <w:r>
        <w:rPr>
          <w:rFonts w:hint="eastAsia" w:ascii="宋体" w:hAnsi="宋体" w:eastAsia="宋体" w:cs="宋体"/>
          <w:color w:val="auto"/>
          <w:sz w:val="24"/>
          <w:szCs w:val="24"/>
          <w:highlight w:val="none"/>
          <w:u w:val="single"/>
          <w:lang w:bidi="ar"/>
        </w:rPr>
        <w:t xml:space="preserve">2</w:t>
      </w:r>
      <w:r>
        <w:rPr>
          <w:rFonts w:hint="eastAsia" w:ascii="宋体" w:hAnsi="宋体" w:eastAsia="宋体" w:cs="宋体"/>
          <w:color w:val="auto"/>
          <w:sz w:val="24"/>
          <w:szCs w:val="24"/>
          <w:highlight w:val="none"/>
          <w:lang w:bidi="ar"/>
        </w:rPr>
        <w:t xml:space="preserve">种方式对合同价格进行调整：</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第1种方式：采用价格指数进行价格调整。</w:t>
      </w:r>
      <w:r/>
    </w:p>
    <w:p>
      <w:pPr>
        <w:ind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第2种方式：采用造价信息进行价格调整。</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（2）关于基准价格的约定：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1）</w:t>
      </w:r>
      <w:r>
        <w:rPr>
          <w:rFonts w:hint="eastAsia" w:ascii="宋体" w:hAnsi="宋体" w:eastAsia="宋体" w:cs="宋体"/>
          <w:color w:val="auto"/>
          <w:sz w:val="24"/>
          <w:szCs w:val="24"/>
          <w:highlight w:val="none"/>
          <w:u w:val="single"/>
          <w:lang w:bidi="ar"/>
        </w:rPr>
        <w:t xml:space="preserve">主要建筑材料费用占单位工程费用的比值a确定方法：</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a=【单位工程某类别建筑材料工程总数量（包括变更调整数量）×中标单价／单位工程结算总造价（不含人工、材料风险价差部分）】×100%。</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当a值＞5%时，该建筑材料为主要建筑材料，当a值≤5%，该建筑材料为非主要建筑材料。</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2）</w:t>
      </w:r>
      <w:r>
        <w:rPr>
          <w:rFonts w:hint="eastAsia" w:ascii="宋体" w:hAnsi="宋体" w:eastAsia="宋体" w:cs="宋体"/>
          <w:color w:val="auto"/>
          <w:sz w:val="24"/>
          <w:szCs w:val="24"/>
          <w:highlight w:val="none"/>
          <w:u w:val="single"/>
          <w:lang w:bidi="ar"/>
        </w:rPr>
        <w:t xml:space="preserve">承包人应承担的主要建筑材料价格涨跌风险幅度b应为5%：</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3）</w:t>
      </w:r>
      <w:r>
        <w:rPr>
          <w:rFonts w:hint="eastAsia" w:ascii="宋体" w:hAnsi="宋体" w:eastAsia="宋体" w:cs="宋体"/>
          <w:color w:val="auto"/>
          <w:sz w:val="24"/>
          <w:szCs w:val="24"/>
          <w:highlight w:val="none"/>
          <w:u w:val="single"/>
          <w:lang w:bidi="ar"/>
        </w:rPr>
        <w:t xml:space="preserve">主要建筑材料单价价差的取定：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施工期间主要建筑材料加权平均指导价=Σ（每月实际使用量×当月材料指导价）／该材料总用量。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4．主要建筑材料数量的取定：</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原则上调整主要建筑材料的数量应为已标价工程量清单及其综合单价分析表中的含量乘以实际完成的相应工程量。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5．主要建筑材料价差调整金额的计算：</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①上涨超出b时，差价（正值）=【施工期间可调价材料加权平均指导价格-基准日档期的月份指导价格×(1+b</w:t>
      </w:r>
      <w:r>
        <w:rPr>
          <w:rFonts w:hint="eastAsia" w:ascii="宋体" w:hAnsi="宋体" w:cs="宋体"/>
          <w:color w:val="auto"/>
          <w:sz w:val="24"/>
          <w:szCs w:val="24"/>
          <w:highlight w:val="none"/>
          <w:u w:val="single"/>
          <w:lang w:eastAsia="zh-CN" w:bidi="ar"/>
        </w:rPr>
        <w:t xml:space="preserve">）</w:t>
      </w:r>
      <w:r>
        <w:rPr>
          <w:rFonts w:hint="eastAsia" w:ascii="宋体" w:hAnsi="宋体" w:eastAsia="宋体" w:cs="宋体"/>
          <w:color w:val="auto"/>
          <w:sz w:val="24"/>
          <w:szCs w:val="24"/>
          <w:highlight w:val="none"/>
          <w:u w:val="single"/>
          <w:lang w:bidi="ar"/>
        </w:rPr>
        <w:t xml:space="preserve">】×该类主要建筑材料数量</w:t>
      </w:r>
      <w:r>
        <w:rPr>
          <w:rFonts w:hint="eastAsia" w:ascii="宋体" w:hAnsi="宋体" w:eastAsia="宋体" w:cs="宋体"/>
          <w:color w:val="auto"/>
          <w:sz w:val="24"/>
          <w:szCs w:val="24"/>
          <w:highlight w:val="none"/>
          <w:u w:val="single"/>
          <w:lang w:eastAsia="zh-CN" w:bidi="ar"/>
        </w:rPr>
        <w:t xml:space="preserve">；</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②下跌超出b时，差价（负值）=【施工期间可调价材料加权平均指导价格-基准日档期的月份指导价格×（1-b）】× 该类主要建筑材料数量。</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6．主要建筑材料差价应根据计价定额规则计取相关费用和税金，并作为追加（减）合同价款和工程进度款同期支付。</w:t>
      </w:r>
      <w:r/>
    </w:p>
    <w:p>
      <w:pPr>
        <w:ind w:firstLine="480"/>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7．因发包人原因造成工期延误的，延误期间发生的材料价格上涨差额由发包人承担；因承包人原因造成工期延误的，延误期间发生的材料价格上涨差额由承包人承担。</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lang w:bidi="ar"/>
        </w:rPr>
        <w:t xml:space="preserve">第3种方式：其他价格调整方式：</w:t>
      </w:r>
      <w:r>
        <w:rPr>
          <w:rFonts w:hint="eastAsia" w:ascii="宋体" w:hAnsi="宋体" w:eastAsia="宋体" w:cs="宋体"/>
          <w:color w:val="auto"/>
          <w:sz w:val="24"/>
          <w:szCs w:val="24"/>
          <w:highlight w:val="none"/>
          <w:u w:val="single"/>
          <w:lang w:bidi="ar"/>
        </w:rPr>
        <w:t xml:space="preserve">/</w:t>
      </w:r>
      <w:r>
        <w:rPr>
          <w:rFonts w:hint="eastAsia" w:ascii="宋体" w:hAnsi="宋体" w:eastAsia="宋体" w:cs="宋体"/>
          <w:color w:val="auto"/>
          <w:sz w:val="24"/>
          <w:szCs w:val="24"/>
          <w:highlight w:val="none"/>
          <w:lang w:bidi="ar"/>
        </w:rPr>
        <w:t xml:space="preserve">。</w:t>
      </w:r>
      <w:bookmarkEnd w:id="470"/>
      <w:r/>
      <w:bookmarkEnd w:id="471"/>
      <w:r/>
      <w:bookmarkEnd w:id="472"/>
      <w:r/>
      <w:bookmarkEnd w:id="473"/>
      <w:r/>
      <w:bookmarkEnd w:id="474"/>
      <w:r/>
      <w:bookmarkEnd w:id="475"/>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pStyle w:val="1170"/>
        <w:ind w:firstLine="482"/>
        <w:pageBreakBefore w:val="0"/>
        <w:spacing w:before="120" w:after="120" w:line="360" w:lineRule="auto"/>
        <w:rPr>
          <w:rFonts w:hint="eastAsia" w:ascii="宋体" w:hAnsi="宋体"/>
          <w:color w:val="auto"/>
          <w:sz w:val="24"/>
          <w:szCs w:val="24"/>
          <w:highlight w:val="none"/>
        </w:rPr>
      </w:pPr>
      <w:r/>
      <w:bookmarkStart w:id="584" w:name="_Toc296891033"/>
      <w:r/>
      <w:bookmarkStart w:id="585" w:name="_Toc297120505"/>
      <w:r/>
      <w:bookmarkStart w:id="586" w:name="_Toc297048391"/>
      <w:r/>
      <w:bookmarkStart w:id="587" w:name="_Toc292559410"/>
      <w:r/>
      <w:bookmarkStart w:id="588" w:name="_Toc296346706"/>
      <w:r/>
      <w:bookmarkStart w:id="589" w:name="_Toc296944544"/>
      <w:r/>
      <w:bookmarkStart w:id="590" w:name="_Toc296503205"/>
      <w:r/>
      <w:bookmarkStart w:id="591" w:name="_Toc296891245"/>
      <w:r/>
      <w:bookmarkStart w:id="592" w:name="_Toc292559915"/>
      <w:r/>
      <w:bookmarkStart w:id="593" w:name="_Toc296347204"/>
      <w:r/>
      <w:bookmarkStart w:id="594" w:name="_Toc351203644"/>
      <w:r/>
      <w:bookmarkStart w:id="595" w:name="_Toc300935002"/>
      <w:r/>
      <w:bookmarkStart w:id="596" w:name="_Toc304295579"/>
      <w:r/>
      <w:bookmarkStart w:id="597" w:name="_Toc312678040"/>
      <w:r/>
      <w:bookmarkStart w:id="598" w:name="_Toc297216211"/>
      <w:r/>
      <w:bookmarkStart w:id="599" w:name="_Toc303539159"/>
      <w:r/>
      <w:bookmarkStart w:id="600" w:name="_Toc297123552"/>
      <w:r>
        <w:rPr>
          <w:rFonts w:hint="eastAsia" w:ascii="宋体" w:hAnsi="宋体"/>
          <w:color w:val="auto"/>
          <w:sz w:val="24"/>
          <w:szCs w:val="24"/>
          <w:highlight w:val="none"/>
        </w:rPr>
        <w:t xml:space="preserve">12. </w:t>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color w:val="auto"/>
          <w:sz w:val="24"/>
          <w:szCs w:val="24"/>
          <w:highlight w:val="none"/>
        </w:rPr>
        <w:t xml:space="preserve">合同价格、计量与支付</w:t>
      </w:r>
      <w:bookmarkEnd w:id="594"/>
      <w:r/>
      <w:bookmarkEnd w:id="595"/>
      <w:r/>
      <w:bookmarkEnd w:id="596"/>
      <w:r/>
      <w:bookmarkEnd w:id="597"/>
      <w:r/>
      <w:bookmarkEnd w:id="598"/>
      <w:r/>
      <w:bookmarkEnd w:id="599"/>
      <w:r/>
      <w:bookmarkEnd w:id="600"/>
      <w:r/>
      <w:r/>
    </w:p>
    <w:p>
      <w:pPr>
        <w:ind w:firstLine="482"/>
        <w:pageBreakBefore w:val="0"/>
        <w:spacing w:after="120" w:line="360" w:lineRule="auto"/>
        <w:rPr>
          <w:rFonts w:hint="eastAsia" w:ascii="宋体" w:hAnsi="宋体" w:eastAsia="宋体"/>
          <w:b/>
          <w:color w:val="auto"/>
          <w:sz w:val="24"/>
          <w:szCs w:val="24"/>
          <w:highlight w:val="none"/>
        </w:rPr>
      </w:pPr>
      <w:r/>
      <w:bookmarkStart w:id="601" w:name="_Toc292559916"/>
      <w:r/>
      <w:bookmarkStart w:id="602" w:name="_Toc267251461"/>
      <w:r/>
      <w:bookmarkStart w:id="603" w:name="_Toc292559411"/>
      <w:r/>
      <w:bookmarkStart w:id="604" w:name="_Toc297120506"/>
      <w:r/>
      <w:bookmarkStart w:id="605" w:name="_Toc296891034"/>
      <w:r/>
      <w:bookmarkStart w:id="606" w:name="_Toc296944545"/>
      <w:r/>
      <w:bookmarkStart w:id="607" w:name="_Toc297048392"/>
      <w:r/>
      <w:bookmarkStart w:id="608" w:name="_Toc296347205"/>
      <w:r/>
      <w:bookmarkStart w:id="609" w:name="_Toc296346707"/>
      <w:r/>
      <w:bookmarkStart w:id="610" w:name="_Toc296891246"/>
      <w:r/>
      <w:bookmarkStart w:id="611" w:name="_Toc296503206"/>
      <w:r/>
      <w:bookmarkStart w:id="612" w:name="_Toc303539160"/>
      <w:r/>
      <w:bookmarkStart w:id="613" w:name="_Toc300935003"/>
      <w:r/>
      <w:bookmarkStart w:id="614" w:name="_Toc312678041"/>
      <w:r/>
      <w:bookmarkStart w:id="615" w:name="_Toc297216212"/>
      <w:r/>
      <w:bookmarkStart w:id="616" w:name="_Toc304295580"/>
      <w:r/>
      <w:bookmarkStart w:id="617" w:name="_Toc297123553"/>
      <w:r>
        <w:rPr>
          <w:rFonts w:hint="eastAsia" w:ascii="宋体" w:hAnsi="宋体" w:eastAsia="宋体"/>
          <w:b/>
          <w:color w:val="auto"/>
          <w:sz w:val="24"/>
          <w:szCs w:val="24"/>
          <w:highlight w:val="none"/>
        </w:rPr>
        <w:t xml:space="preserve">12.1 合</w:t>
      </w:r>
      <w:bookmarkEnd w:id="601"/>
      <w:r/>
      <w:bookmarkEnd w:id="602"/>
      <w:r/>
      <w:bookmarkEnd w:id="603"/>
      <w:r>
        <w:rPr>
          <w:rFonts w:hint="eastAsia" w:ascii="宋体" w:hAnsi="宋体" w:eastAsia="宋体"/>
          <w:b/>
          <w:color w:val="auto"/>
          <w:sz w:val="24"/>
          <w:szCs w:val="24"/>
          <w:highlight w:val="none"/>
        </w:rPr>
        <w:t xml:space="preserve">同价</w:t>
      </w:r>
      <w:bookmarkEnd w:id="604"/>
      <w:r/>
      <w:bookmarkEnd w:id="605"/>
      <w:r/>
      <w:bookmarkEnd w:id="606"/>
      <w:r/>
      <w:bookmarkEnd w:id="607"/>
      <w:r/>
      <w:bookmarkEnd w:id="608"/>
      <w:r/>
      <w:bookmarkEnd w:id="609"/>
      <w:r/>
      <w:bookmarkEnd w:id="610"/>
      <w:r/>
      <w:bookmarkEnd w:id="611"/>
      <w:r>
        <w:rPr>
          <w:rFonts w:hint="eastAsia" w:ascii="宋体" w:hAnsi="宋体" w:eastAsia="宋体"/>
          <w:b/>
          <w:color w:val="auto"/>
          <w:sz w:val="24"/>
          <w:szCs w:val="24"/>
          <w:highlight w:val="none"/>
        </w:rPr>
        <w:t xml:space="preserve">格形式</w:t>
      </w:r>
      <w:bookmarkEnd w:id="612"/>
      <w:r/>
      <w:bookmarkEnd w:id="613"/>
      <w:r/>
      <w:bookmarkEnd w:id="614"/>
      <w:r/>
      <w:bookmarkEnd w:id="615"/>
      <w:r/>
      <w:bookmarkEnd w:id="616"/>
      <w:r/>
      <w:bookmarkEnd w:id="617"/>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费率</w:t>
      </w:r>
      <w:r>
        <w:rPr>
          <w:rFonts w:hint="eastAsia" w:ascii="宋体" w:hAnsi="宋体" w:eastAsia="宋体" w:cs="宋体"/>
          <w:color w:val="auto"/>
          <w:sz w:val="24"/>
          <w:szCs w:val="24"/>
          <w:highlight w:val="none"/>
        </w:rPr>
        <w:t xml:space="preserve">合同。</w:t>
      </w:r>
      <w:r/>
    </w:p>
    <w:p>
      <w:pPr>
        <w:ind w:left="0"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各种因素引起的人工工资、施工机械使用费、管理费、利润等变化及风险因素均不作调整。</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均不作调整</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总价包含的风险范围：</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风险费用的计算方法：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风险范围以外合同价格的调整方法：</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pPr>
      <w:r/>
      <w:bookmarkStart w:id="618" w:name="_Toc312678042"/>
      <w:r/>
      <w:bookmarkStart w:id="619" w:name="_Toc304295581"/>
      <w:r/>
      <w:bookmarkStart w:id="620" w:name="_Toc300935004"/>
      <w:r/>
      <w:bookmarkStart w:id="621" w:name="_Toc297216213"/>
      <w:r/>
      <w:bookmarkStart w:id="622" w:name="_Toc303539161"/>
      <w:r/>
      <w:bookmarkStart w:id="623" w:name="_Toc297123554"/>
      <w:r/>
      <w:bookmarkStart w:id="624" w:name="_Toc296891247"/>
      <w:r/>
      <w:bookmarkStart w:id="625" w:name="_Toc297120507"/>
      <w:r/>
      <w:bookmarkStart w:id="626" w:name="_Toc296944546"/>
      <w:r/>
      <w:bookmarkStart w:id="627" w:name="_Toc296891035"/>
      <w:r/>
      <w:bookmarkStart w:id="628" w:name="_Toc292559412"/>
      <w:r/>
      <w:bookmarkStart w:id="629" w:name="_Toc297048393"/>
      <w:r/>
      <w:bookmarkStart w:id="630" w:name="_Toc296503207"/>
      <w:r/>
      <w:bookmarkStart w:id="631" w:name="_Toc296346708"/>
      <w:r/>
      <w:bookmarkStart w:id="632" w:name="_Toc292559917"/>
      <w:r/>
      <w:bookmarkStart w:id="633" w:name="_Toc296347206"/>
      <w:r>
        <w:rPr>
          <w:rFonts w:hint="eastAsia" w:ascii="宋体" w:hAnsi="宋体" w:eastAsia="宋体"/>
          <w:color w:val="auto"/>
          <w:sz w:val="24"/>
          <w:szCs w:val="24"/>
          <w:highlight w:val="none"/>
        </w:rPr>
        <w:t xml:space="preserve">12.2 预付款</w:t>
      </w:r>
      <w:bookmarkEnd w:id="618"/>
      <w:r/>
      <w:bookmarkEnd w:id="619"/>
      <w:r/>
      <w:bookmarkEnd w:id="620"/>
      <w:r/>
      <w:bookmarkEnd w:id="621"/>
      <w:r/>
      <w:bookmarkEnd w:id="622"/>
      <w:r/>
      <w:bookmarkEnd w:id="623"/>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12.2.1 预付款的支付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预付款支付比例或金额：</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预付款支付期限：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预付款扣回的方式：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12.2.2 预付款担保</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承包人提交预付款担保的期限：</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预付款担保的形式为：</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24"/>
      <w:r/>
      <w:bookmarkEnd w:id="625"/>
      <w:r/>
      <w:bookmarkEnd w:id="626"/>
      <w:r/>
      <w:bookmarkEnd w:id="627"/>
      <w:r/>
      <w:bookmarkEnd w:id="628"/>
      <w:r/>
      <w:bookmarkEnd w:id="629"/>
      <w:r/>
      <w:bookmarkEnd w:id="630"/>
      <w:r/>
      <w:bookmarkEnd w:id="631"/>
      <w:r/>
      <w:bookmarkEnd w:id="632"/>
      <w:r/>
      <w:bookmarkEnd w:id="633"/>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 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12.3.1 计量原则</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工程量计算规则：</w:t>
      </w:r>
      <w:r>
        <w:rPr>
          <w:rFonts w:hint="eastAsia" w:ascii="宋体" w:hAnsi="宋体" w:eastAsia="宋体"/>
          <w:color w:val="auto"/>
          <w:sz w:val="24"/>
          <w:szCs w:val="24"/>
          <w:highlight w:val="none"/>
          <w:u w:val="single"/>
        </w:rPr>
        <w:t xml:space="preserve">《建设工程工程量清单计价规范》(GB50500-2013</w:t>
      </w:r>
      <w:r>
        <w:rPr>
          <w:rFonts w:hint="eastAsia" w:ascii="宋体" w:hAnsi="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及其9本工程量计算规范、苏建价〔2014〕448号文、工程技术要求等；《建设工程工程量清单计价规范》（2014）版，《江苏省建筑与市政工程计价表》（2014），《江苏省安装工程计价表》（2014），《江苏省市政工程计价表》（2014），《江苏省建设工程费用定额》（2014）营改增；税金费率按江苏省住房和城乡建设厅苏建函价</w:t>
      </w:r>
      <w:r>
        <w:rPr>
          <w:rFonts w:hint="eastAsia" w:ascii="宋体" w:hAnsi="宋体"/>
          <w:color w:val="auto"/>
          <w:sz w:val="24"/>
          <w:szCs w:val="24"/>
          <w:highlight w:val="none"/>
          <w:u w:val="single"/>
          <w:lang w:eastAsia="zh-CN"/>
        </w:rPr>
        <w:t xml:space="preserve">〔2019〕411号</w:t>
      </w:r>
      <w:r>
        <w:rPr>
          <w:rFonts w:hint="eastAsia" w:ascii="宋体" w:hAnsi="宋体" w:eastAsia="宋体"/>
          <w:color w:val="auto"/>
          <w:sz w:val="24"/>
          <w:szCs w:val="24"/>
          <w:highlight w:val="none"/>
          <w:u w:val="single"/>
        </w:rPr>
        <w:t xml:space="preserve">；人工工资按苏建函价</w:t>
      </w:r>
      <w:r>
        <w:rPr>
          <w:rFonts w:hint="eastAsia" w:ascii="宋体" w:hAnsi="宋体"/>
          <w:color w:val="auto"/>
          <w:sz w:val="24"/>
          <w:szCs w:val="24"/>
          <w:highlight w:val="none"/>
          <w:u w:val="single"/>
          <w:lang w:eastAsia="zh-CN"/>
        </w:rPr>
        <w:t xml:space="preserve">〔2024〕348号</w:t>
      </w:r>
      <w:r>
        <w:rPr>
          <w:rFonts w:hint="eastAsia" w:ascii="宋体" w:hAnsi="宋体" w:eastAsia="宋体"/>
          <w:color w:val="auto"/>
          <w:sz w:val="24"/>
          <w:szCs w:val="24"/>
          <w:highlight w:val="none"/>
          <w:u w:val="single"/>
        </w:rPr>
        <w:t xml:space="preserve">《省住房城乡建设厅关于发布建设工程人工工资指导价的通知》执行；现行南通市建设行政主管部门的文件及有关规定。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12.3.2 计量周期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关于计量周期的约定：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12.3.3 单价合同的计量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关于单价合同计量的约定：</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12.3.4 总价合同的计量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关于总价合同计量的约定：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12.3.6 其他价格形式合同的计量</w:t>
      </w:r>
      <w:r/>
    </w:p>
    <w:p>
      <w:pPr>
        <w:ind w:firstLine="480"/>
        <w:jc w:val="left"/>
        <w:pageBreakBefore w:val="0"/>
        <w:spacing w:line="360" w:lineRule="auto"/>
        <w:rPr>
          <w:rFonts w:ascii="Times New Roman" w:hAnsi="Times New Roman" w:eastAsia="仿宋_GB2312"/>
          <w:color w:val="auto"/>
          <w:sz w:val="24"/>
          <w:szCs w:val="24"/>
          <w:highlight w:val="none"/>
        </w:rPr>
      </w:pPr>
      <w:r>
        <w:rPr>
          <w:rFonts w:hint="eastAsia" w:ascii="宋体" w:hAnsi="宋体" w:eastAsia="宋体"/>
          <w:color w:val="auto"/>
          <w:sz w:val="24"/>
          <w:szCs w:val="24"/>
          <w:highlight w:val="none"/>
        </w:rPr>
        <w:t xml:space="preserve">其他价格形式的计量方式和程序：</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 工程进度款支付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12.4.1 付款周期</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关于付款周期的约定：</w:t>
      </w:r>
      <w:r/>
    </w:p>
    <w:p>
      <w:pPr>
        <w:pStyle w:val="985"/>
        <w:ind w:left="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每</w:t>
      </w:r>
      <w:r>
        <w:rPr>
          <w:rFonts w:hint="default" w:ascii="宋体" w:hAnsi="宋体" w:cs="宋体"/>
          <w:b/>
          <w:color w:val="auto"/>
          <w:sz w:val="24"/>
          <w:szCs w:val="24"/>
          <w:highlight w:val="none"/>
          <w:lang w:eastAsia="zh-CN"/>
        </w:rPr>
        <w:t xml:space="preserve">月验收一次，每</w:t>
      </w:r>
      <w:r>
        <w:rPr>
          <w:rFonts w:hint="eastAsia" w:ascii="宋体" w:hAnsi="宋体" w:eastAsia="宋体" w:cs="宋体"/>
          <w:b/>
          <w:color w:val="auto"/>
          <w:sz w:val="24"/>
          <w:szCs w:val="24"/>
          <w:highlight w:val="none"/>
          <w:lang w:val="en-US" w:eastAsia="zh-CN"/>
        </w:rPr>
        <w:t xml:space="preserve">季度按实际施工费的50%支付一次，季度审计结束后付至审计价的80%，质保期满凭竣工验收合格证明、审计报告付清余款。</w:t>
      </w:r>
      <w:r/>
    </w:p>
    <w:p>
      <w:pPr>
        <w:pStyle w:val="985"/>
        <w:ind w:left="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（实际施工费=实际工程量*</w:t>
      </w:r>
      <w:r>
        <w:rPr>
          <w:rFonts w:hint="eastAsia" w:ascii="宋体" w:hAnsi="宋体" w:cs="宋体"/>
          <w:b/>
          <w:color w:val="auto"/>
          <w:sz w:val="24"/>
          <w:szCs w:val="24"/>
          <w:highlight w:val="none"/>
          <w:lang w:val="en-US" w:eastAsia="zh-CN"/>
        </w:rPr>
        <w:t xml:space="preserve">标底审计价</w:t>
      </w:r>
      <w:r>
        <w:rPr>
          <w:rFonts w:hint="eastAsia" w:ascii="宋体" w:hAnsi="宋体" w:eastAsia="宋体" w:cs="宋体"/>
          <w:b/>
          <w:color w:val="auto"/>
          <w:sz w:val="24"/>
          <w:szCs w:val="24"/>
          <w:highlight w:val="none"/>
          <w:lang w:val="en-US" w:eastAsia="zh-CN"/>
        </w:rPr>
        <w:t xml:space="preserve">*成交费率）</w:t>
      </w:r>
      <w:r/>
    </w:p>
    <w:p>
      <w:pPr>
        <w:ind w:firstLine="480"/>
        <w:jc w:val="left"/>
        <w:pageBreakBefore w:val="0"/>
        <w:spacing w:line="360" w:lineRule="auto"/>
        <w:rPr>
          <w:rFonts w:hint="eastAsia" w:ascii="宋体" w:hAnsi="宋体" w:eastAsia="宋体"/>
          <w:b/>
          <w:color w:val="auto"/>
          <w:sz w:val="24"/>
          <w:szCs w:val="24"/>
          <w:highlight w:val="none"/>
          <w:u w:val="single"/>
        </w:rPr>
      </w:pPr>
      <w:r>
        <w:rPr>
          <w:rFonts w:hint="eastAsia" w:ascii="宋体" w:hAnsi="宋体" w:eastAsia="宋体" w:cs="宋体"/>
          <w:b/>
          <w:color w:val="auto"/>
          <w:sz w:val="24"/>
          <w:szCs w:val="24"/>
          <w:highlight w:val="none"/>
          <w:lang w:eastAsia="zh-CN"/>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12.4.2 进度付款申请单的编制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关于进度付款申请单编制的约定：</w:t>
      </w:r>
      <w:r>
        <w:rPr>
          <w:rFonts w:hint="eastAsia" w:ascii="宋体" w:hAnsi="宋体" w:eastAsia="宋体"/>
          <w:color w:val="auto"/>
          <w:sz w:val="24"/>
          <w:szCs w:val="24"/>
          <w:highlight w:val="none"/>
          <w:u w:val="single"/>
        </w:rPr>
        <w:t xml:space="preserve">已完成约定进度的证明，相应金额的税务发票</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12.4.3 进度付款申请单的提交</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（1）单价合同进度付款申请单提交的约定：</w:t>
      </w:r>
      <w:r>
        <w:rPr>
          <w:rFonts w:hint="eastAsia" w:ascii="宋体" w:hAnsi="宋体" w:eastAsia="宋体"/>
          <w:color w:val="auto"/>
          <w:sz w:val="24"/>
          <w:szCs w:val="24"/>
          <w:highlight w:val="none"/>
          <w:u w:val="single"/>
        </w:rPr>
        <w:t xml:space="preserve">按节点提交</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（3）其他价格形式合同进度付款申请单提交的约定：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12.4.4 进度款审核和支付</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（1）监理人审查并报送发包人的期限：</w:t>
      </w:r>
      <w:r>
        <w:rPr>
          <w:rFonts w:hint="eastAsia" w:ascii="宋体" w:hAnsi="宋体" w:eastAsia="宋体"/>
          <w:color w:val="auto"/>
          <w:sz w:val="24"/>
          <w:szCs w:val="24"/>
          <w:highlight w:val="none"/>
          <w:u w:val="single"/>
        </w:rPr>
        <w:t xml:space="preserve">  收到申请7天内   </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发包人完成审批并签发进度款支付证书的期限：</w:t>
      </w:r>
      <w:r>
        <w:rPr>
          <w:rFonts w:hint="eastAsia" w:ascii="宋体" w:hAnsi="宋体" w:eastAsia="宋体"/>
          <w:color w:val="auto"/>
          <w:sz w:val="24"/>
          <w:szCs w:val="24"/>
          <w:highlight w:val="none"/>
          <w:u w:val="single"/>
        </w:rPr>
        <w:t xml:space="preserve">收到通过监理审查的审核表后10天内。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（2）发包人支付进度款的期限：</w:t>
      </w:r>
      <w:r>
        <w:rPr>
          <w:rFonts w:hint="eastAsia" w:ascii="宋体" w:hAnsi="宋体" w:eastAsia="宋体"/>
          <w:color w:val="auto"/>
          <w:sz w:val="24"/>
          <w:szCs w:val="24"/>
          <w:highlight w:val="none"/>
          <w:u w:val="single"/>
        </w:rPr>
        <w:t xml:space="preserve">按合同要求执行</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发包人逾期支付进度款的违约金的计算方式：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12.4.</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 支付分解表的编制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2、总价合同支付分解表的编制与审批：</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3、单价合同的总价项目支付分解表的编制与审批：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1170"/>
        <w:ind w:firstLine="480"/>
        <w:pageBreakBefore w:val="0"/>
        <w:spacing w:line="360" w:lineRule="auto"/>
        <w:rPr>
          <w:rFonts w:hint="eastAsia" w:ascii="宋体" w:hAnsi="宋体"/>
          <w:b w:val="0"/>
          <w:color w:val="auto"/>
          <w:sz w:val="24"/>
          <w:szCs w:val="24"/>
          <w:highlight w:val="none"/>
        </w:rPr>
      </w:pPr>
      <w:r/>
      <w:bookmarkStart w:id="634" w:name="_Toc351203645"/>
      <w:r/>
      <w:bookmarkStart w:id="635" w:name="_Toc292559929"/>
      <w:r/>
      <w:bookmarkStart w:id="636" w:name="_Toc296503219"/>
      <w:r/>
      <w:bookmarkStart w:id="637" w:name="_Toc297216223"/>
      <w:r/>
      <w:bookmarkStart w:id="638" w:name="_Toc296891259"/>
      <w:r/>
      <w:bookmarkStart w:id="639" w:name="_Toc304295593"/>
      <w:r/>
      <w:bookmarkStart w:id="640" w:name="_Toc296347218"/>
      <w:r/>
      <w:bookmarkStart w:id="641" w:name="_Toc296346720"/>
      <w:r/>
      <w:bookmarkStart w:id="642" w:name="_Toc296891047"/>
      <w:r/>
      <w:bookmarkStart w:id="643" w:name="_Toc303539172"/>
      <w:r/>
      <w:bookmarkStart w:id="644" w:name="_Toc297120519"/>
      <w:r/>
      <w:bookmarkStart w:id="645" w:name="_Toc297123564"/>
      <w:r/>
      <w:bookmarkStart w:id="646" w:name="_Toc296944558"/>
      <w:r/>
      <w:bookmarkStart w:id="647" w:name="_Toc300935015"/>
      <w:r/>
      <w:bookmarkStart w:id="648" w:name="_Toc292559424"/>
      <w:r/>
      <w:bookmarkStart w:id="649" w:name="_Toc297048405"/>
      <w:r/>
      <w:bookmarkStart w:id="650" w:name="_Toc312678053"/>
      <w:r>
        <w:rPr>
          <w:rFonts w:hint="eastAsia" w:ascii="宋体" w:hAnsi="宋体"/>
          <w:b w:val="0"/>
          <w:color w:val="auto"/>
          <w:sz w:val="24"/>
          <w:szCs w:val="24"/>
          <w:highlight w:val="none"/>
        </w:rPr>
        <w:t xml:space="preserve">13. 验收和工程试车</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 分部分项工程验收</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监理人不能按时进行验收时，应提前</w:t>
      </w:r>
      <w:r>
        <w:rPr>
          <w:rFonts w:hint="eastAsia" w:ascii="宋体" w:hAnsi="宋体" w:eastAsia="宋体"/>
          <w:color w:val="auto"/>
          <w:sz w:val="24"/>
          <w:szCs w:val="24"/>
          <w:highlight w:val="none"/>
          <w:u w:val="single"/>
        </w:rPr>
        <w:t xml:space="preserve">12</w:t>
      </w:r>
      <w:r>
        <w:rPr>
          <w:rFonts w:hint="eastAsia" w:ascii="宋体" w:hAnsi="宋体" w:eastAsia="宋体"/>
          <w:color w:val="auto"/>
          <w:sz w:val="24"/>
          <w:szCs w:val="24"/>
          <w:highlight w:val="none"/>
        </w:rPr>
        <w:t xml:space="preserve">小时提交书面延期要求。</w:t>
      </w:r>
      <w:r/>
    </w:p>
    <w:p>
      <w:pPr>
        <w:ind w:firstLine="480"/>
        <w:jc w:val="left"/>
        <w:pageBreakBefore w:val="0"/>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关于延期最长不得超过：</w:t>
      </w:r>
      <w:r>
        <w:rPr>
          <w:rFonts w:hint="eastAsia" w:ascii="宋体" w:hAnsi="宋体" w:eastAsia="宋体"/>
          <w:color w:val="auto"/>
          <w:sz w:val="24"/>
          <w:szCs w:val="24"/>
          <w:highlight w:val="none"/>
          <w:u w:val="single"/>
        </w:rPr>
        <w:t xml:space="preserve">24</w:t>
      </w:r>
      <w:r>
        <w:rPr>
          <w:rFonts w:hint="eastAsia" w:ascii="宋体" w:hAnsi="宋体" w:eastAsia="宋体"/>
          <w:color w:val="auto"/>
          <w:sz w:val="24"/>
          <w:szCs w:val="24"/>
          <w:highlight w:val="none"/>
        </w:rPr>
        <w:t xml:space="preserve">小时。</w:t>
      </w:r>
      <w:r/>
    </w:p>
    <w:p>
      <w:pPr>
        <w:ind w:firstLine="480"/>
        <w:pageBreakBefore w:val="0"/>
        <w:spacing w:line="360" w:lineRule="auto"/>
        <w:rPr>
          <w:rFonts w:hint="eastAsia" w:ascii="宋体" w:hAnsi="宋体" w:eastAsia="宋体"/>
          <w:color w:val="auto"/>
          <w:sz w:val="24"/>
          <w:szCs w:val="24"/>
          <w:highlight w:val="none"/>
        </w:rPr>
      </w:pPr>
      <w:r/>
      <w:bookmarkStart w:id="651" w:name="_Toc297048409"/>
      <w:r/>
      <w:bookmarkStart w:id="652" w:name="_Toc296891051"/>
      <w:r/>
      <w:bookmarkStart w:id="653" w:name="_Toc312678056"/>
      <w:r/>
      <w:bookmarkStart w:id="654" w:name="_Toc292559933"/>
      <w:r/>
      <w:bookmarkStart w:id="655" w:name="_Toc303539173"/>
      <w:r/>
      <w:bookmarkStart w:id="656" w:name="_Toc300935016"/>
      <w:r/>
      <w:bookmarkStart w:id="657" w:name="_Toc297216224"/>
      <w:r/>
      <w:bookmarkStart w:id="658" w:name="_Toc296944562"/>
      <w:r/>
      <w:bookmarkStart w:id="659" w:name="_Toc296891263"/>
      <w:r/>
      <w:bookmarkStart w:id="660" w:name="_Toc296346724"/>
      <w:r/>
      <w:bookmarkStart w:id="661" w:name="_Toc304295596"/>
      <w:r/>
      <w:bookmarkStart w:id="662" w:name="_Toc296503223"/>
      <w:r/>
      <w:bookmarkStart w:id="663" w:name="_Toc297123565"/>
      <w:r/>
      <w:bookmarkStart w:id="664" w:name="_Toc297120523"/>
      <w:r/>
      <w:bookmarkStart w:id="665" w:name="_Toc292559428"/>
      <w:r/>
      <w:bookmarkStart w:id="666" w:name="_Toc296347222"/>
      <w:r/>
      <w:bookmarkStart w:id="667" w:name="_Toc267251476"/>
      <w:r/>
      <w:bookmarkStart w:id="668" w:name="_Toc267251472"/>
      <w:r/>
      <w:bookmarkStart w:id="669" w:name="_Toc267251474"/>
      <w:r/>
      <w:bookmarkStart w:id="670" w:name="_Toc267251471"/>
      <w:r/>
      <w:bookmarkStart w:id="671" w:name="_Toc267251473"/>
      <w:r/>
      <w:bookmarkStart w:id="672" w:name="_Toc267251470"/>
      <w:r/>
      <w:bookmarkStart w:id="673" w:name="_Toc267251475"/>
      <w:r>
        <w:rPr>
          <w:rFonts w:hint="eastAsia" w:ascii="宋体" w:hAnsi="宋体" w:eastAsia="宋体"/>
          <w:color w:val="auto"/>
          <w:sz w:val="24"/>
          <w:szCs w:val="24"/>
          <w:highlight w:val="none"/>
        </w:rPr>
        <w:t xml:space="preserve">13.2 竣工验收</w:t>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ind w:firstLine="480"/>
        <w:jc w:val="left"/>
        <w:pageBreakBefore w:val="0"/>
        <w:spacing w:line="360" w:lineRule="auto"/>
        <w:rPr>
          <w:rFonts w:hint="eastAsia" w:ascii="宋体" w:hAnsi="宋体" w:eastAsia="宋体"/>
          <w:color w:val="auto"/>
          <w:sz w:val="24"/>
          <w:szCs w:val="24"/>
          <w:highlight w:val="none"/>
        </w:rPr>
      </w:pPr>
      <w:r/>
      <w:bookmarkStart w:id="674" w:name="_Toc280868704"/>
      <w:r/>
      <w:bookmarkStart w:id="675" w:name="_Toc280868705"/>
      <w:r/>
      <w:bookmarkStart w:id="676" w:name="_Toc280868706"/>
      <w:r/>
      <w:bookmarkStart w:id="677" w:name="_Toc280868707"/>
      <w:r/>
      <w:bookmarkStart w:id="678" w:name="_Toc280868708"/>
      <w:r/>
      <w:bookmarkStart w:id="679" w:name="_Toc280868709"/>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竣工验收程序</w:t>
      </w:r>
      <w:bookmarkEnd w:id="674"/>
      <w:r/>
      <w:r/>
    </w:p>
    <w:p>
      <w:pPr>
        <w:ind w:left="0" w:firstLine="453"/>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olor w:val="auto"/>
          <w:sz w:val="24"/>
          <w:szCs w:val="24"/>
          <w:highlight w:val="none"/>
        </w:rPr>
        <w:t xml:space="preserve">关于竣工验收程序的约定：</w:t>
      </w:r>
      <w:bookmarkEnd w:id="675"/>
      <w:r>
        <w:rPr>
          <w:rFonts w:hint="eastAsia" w:ascii="宋体" w:hAnsi="宋体" w:eastAsia="宋体" w:cs="宋体"/>
          <w:color w:val="auto"/>
          <w:sz w:val="24"/>
          <w:szCs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left="0" w:firstLine="475"/>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left="0" w:firstLine="475"/>
        <w:jc w:val="left"/>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（3）承包人竣工验收通过后30天内向发包人移交完整的竣工资料及竣工图纸三套及相应的电子文档资料（竣工资料及竣工图纸必须准确真实的反映实际施工情况）。</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w:t>
      </w:r>
      <w:r>
        <w:rPr>
          <w:rFonts w:hint="eastAsia" w:ascii="宋体" w:hAnsi="宋体" w:eastAsia="宋体" w:cs="宋体"/>
          <w:color w:val="auto"/>
          <w:sz w:val="24"/>
          <w:szCs w:val="24"/>
          <w:highlight w:val="none"/>
          <w:u w:val="single"/>
        </w:rPr>
        <w:t xml:space="preserve">竣工资料履约保证金不予退还，并额外承担违约金，违约金的计算方法：按通用条款执行</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13.2.</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移交、接收全部与部分工程</w:t>
      </w:r>
      <w:bookmarkEnd w:id="67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承包人向发包人移交工程的期限：</w:t>
      </w:r>
      <w:r>
        <w:rPr>
          <w:rFonts w:hint="eastAsia" w:ascii="宋体" w:hAnsi="宋体" w:eastAsia="宋体"/>
          <w:color w:val="auto"/>
          <w:sz w:val="24"/>
          <w:szCs w:val="24"/>
          <w:highlight w:val="none"/>
          <w:u w:val="single"/>
        </w:rPr>
        <w:t xml:space="preserve">按通用条款</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发包人未按本合同约定接收全部或部分工程的，违约金的计算方法为：</w:t>
      </w:r>
      <w:r>
        <w:rPr>
          <w:rFonts w:hint="eastAsia" w:ascii="宋体" w:hAnsi="宋体" w:eastAsia="宋体"/>
          <w:color w:val="auto"/>
          <w:sz w:val="24"/>
          <w:szCs w:val="24"/>
          <w:highlight w:val="none"/>
          <w:u w:val="single"/>
        </w:rPr>
        <w:t xml:space="preserve">                               </w:t>
      </w:r>
      <w:bookmarkEnd w:id="677"/>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承包人未按时移交工程的，违约金的计算方法为：</w:t>
      </w:r>
      <w:r>
        <w:rPr>
          <w:rFonts w:hint="eastAsia" w:ascii="宋体" w:hAnsi="宋体" w:eastAsia="宋体"/>
          <w:color w:val="auto"/>
          <w:sz w:val="24"/>
          <w:szCs w:val="24"/>
          <w:highlight w:val="none"/>
          <w:u w:val="single"/>
        </w:rPr>
        <w:t xml:space="preserve">承包人每日需向发包人按照工程合同暂定造价0.5‰承担违约责任，赔偿未按时移交工程给发包人产生的其他直接和间接损失。</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 工程试车</w:t>
      </w:r>
      <w:bookmarkEnd w:id="67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13.3.1 试车程序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工程试车内容：</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（1）单机无负荷试车费用由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（2）无负荷联动试车费用由</w:t>
      </w:r>
      <w:r>
        <w:rPr>
          <w:rFonts w:hint="eastAsia" w:ascii="宋体" w:hAnsi="宋体" w:eastAsia="宋体"/>
          <w:color w:val="auto"/>
          <w:sz w:val="24"/>
          <w:szCs w:val="24"/>
          <w:highlight w:val="none"/>
          <w:u w:val="single"/>
        </w:rPr>
        <w:t xml:space="preserve">  已含在双方约定的计价中  </w:t>
      </w:r>
      <w:r>
        <w:rPr>
          <w:rFonts w:hint="eastAsia" w:ascii="宋体" w:hAnsi="宋体" w:eastAsia="宋体"/>
          <w:color w:val="auto"/>
          <w:sz w:val="24"/>
          <w:szCs w:val="24"/>
          <w:highlight w:val="none"/>
        </w:rPr>
        <w:t xml:space="preserve">承担。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13.3.</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投料试车</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关于投料试车相关事项的约定：</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outlineLvl w:val="0"/>
      </w:pPr>
      <w:r/>
      <w:bookmarkStart w:id="680" w:name="_Toc17339"/>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 竣工退场</w:t>
      </w:r>
      <w:bookmarkEnd w:id="680"/>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 竣工退场</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承包人完成竣工退场的期限：</w:t>
      </w:r>
      <w:r>
        <w:rPr>
          <w:rFonts w:hint="eastAsia" w:ascii="宋体" w:hAnsi="宋体" w:eastAsia="宋体"/>
          <w:color w:val="auto"/>
          <w:sz w:val="24"/>
          <w:szCs w:val="24"/>
          <w:highlight w:val="none"/>
          <w:u w:val="single"/>
        </w:rPr>
        <w:t xml:space="preserve">工程竣工验收后15天内</w:t>
      </w:r>
      <w:r>
        <w:rPr>
          <w:rFonts w:hint="eastAsia" w:ascii="宋体" w:hAnsi="宋体" w:eastAsia="宋体"/>
          <w:color w:val="auto"/>
          <w:sz w:val="24"/>
          <w:szCs w:val="24"/>
          <w:highlight w:val="none"/>
          <w:u w:val="single"/>
          <w:lang w:eastAsia="zh-CN"/>
        </w:rPr>
        <w:t xml:space="preserve">，</w:t>
      </w:r>
      <w:r>
        <w:rPr>
          <w:rFonts w:hint="eastAsia" w:ascii="宋体" w:hAnsi="宋体" w:eastAsia="宋体"/>
          <w:color w:val="auto"/>
          <w:sz w:val="24"/>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1170"/>
        <w:ind w:firstLine="480"/>
        <w:pageBreakBefore w:val="0"/>
        <w:spacing w:line="360" w:lineRule="auto"/>
        <w:rPr>
          <w:rFonts w:hint="eastAsia" w:ascii="宋体" w:hAnsi="宋体"/>
          <w:b w:val="0"/>
          <w:color w:val="auto"/>
          <w:sz w:val="24"/>
          <w:szCs w:val="24"/>
          <w:highlight w:val="none"/>
        </w:rPr>
      </w:pPr>
      <w:r/>
      <w:bookmarkStart w:id="681" w:name="_Toc351203646"/>
      <w:r>
        <w:rPr>
          <w:rFonts w:hint="eastAsia" w:ascii="宋体" w:hAnsi="宋体"/>
          <w:b w:val="0"/>
          <w:color w:val="auto"/>
          <w:sz w:val="24"/>
          <w:szCs w:val="24"/>
          <w:highlight w:val="none"/>
        </w:rPr>
        <w:t xml:space="preserve">14. 竣工结算</w:t>
      </w:r>
      <w:bookmarkEnd w:id="681"/>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14.1 竣工结算申请</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承包人提交竣工结算申请单的期限：</w:t>
      </w:r>
      <w:r>
        <w:rPr>
          <w:rFonts w:hint="eastAsia" w:ascii="宋体" w:hAnsi="宋体" w:eastAsia="宋体"/>
          <w:color w:val="auto"/>
          <w:sz w:val="24"/>
          <w:szCs w:val="24"/>
          <w:highlight w:val="none"/>
          <w:u w:val="single"/>
        </w:rPr>
        <w:t xml:space="preserve">工程竣工验收合格，且工程竣工验收备案通过后30天内向发包人和监理人提交竣工结算申请单，并提交完整的结算资料。</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rPr>
        <w:t xml:space="preserve">按通用条款，提交的竣工结算资料必须完整，发包人不分次接受竣工结算资料；承包人逾期提交结算资料，造成竣工结算迟延支付的，发包人不承担违约责任。</w:t>
      </w:r>
      <w:r/>
    </w:p>
    <w:p>
      <w:pPr>
        <w:ind w:firstLine="480"/>
        <w:pageBreakBefore w:val="0"/>
        <w:spacing w:line="360" w:lineRule="auto"/>
        <w:rPr>
          <w:rFonts w:hint="eastAsia" w:ascii="宋体" w:hAnsi="宋体" w:eastAsia="宋体"/>
          <w:color w:val="auto"/>
          <w:sz w:val="24"/>
          <w:szCs w:val="24"/>
          <w:highlight w:val="none"/>
        </w:rPr>
        <w:outlineLvl w:val="0"/>
      </w:pPr>
      <w:r/>
      <w:bookmarkStart w:id="682" w:name="_Toc6846"/>
      <w:r>
        <w:rPr>
          <w:rFonts w:hint="eastAsia" w:ascii="宋体" w:hAnsi="宋体" w:eastAsia="宋体"/>
          <w:color w:val="auto"/>
          <w:sz w:val="24"/>
          <w:szCs w:val="24"/>
          <w:highlight w:val="none"/>
        </w:rPr>
        <w:t xml:space="preserve">14.2 竣工结算审核</w:t>
      </w:r>
      <w:bookmarkEnd w:id="682"/>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发包人审批竣工付款申请单的期限：</w:t>
      </w:r>
      <w:r>
        <w:rPr>
          <w:rFonts w:hint="eastAsia" w:ascii="宋体" w:hAnsi="宋体" w:eastAsia="宋体"/>
          <w:color w:val="auto"/>
          <w:sz w:val="24"/>
          <w:szCs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auto"/>
          <w:sz w:val="24"/>
          <w:szCs w:val="24"/>
          <w:highlight w:val="none"/>
          <w:u w:val="single"/>
          <w:lang w:eastAsia="zh-CN"/>
        </w:rPr>
        <w:t xml:space="preserve">及时给予</w:t>
      </w:r>
      <w:r>
        <w:rPr>
          <w:rFonts w:hint="eastAsia" w:ascii="宋体" w:hAnsi="宋体" w:eastAsia="宋体"/>
          <w:color w:val="auto"/>
          <w:sz w:val="24"/>
          <w:szCs w:val="24"/>
          <w:highlight w:val="none"/>
          <w:u w:val="single"/>
        </w:rPr>
        <w:t xml:space="preserve">修正和确认，承包人不配合、不及时修正、不及时确认的，发包人有权相应顺延审计期；竣工结算的审计单位为发包人指定的具有相应资质的审计单位。</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发包人完成竣工付款的期限：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关于竣工付款证书异议部分复核的方式和程序：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 最终结清</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最终结清申请单</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承包人提交最终结清申请单的份数：</w:t>
      </w:r>
      <w:r>
        <w:rPr>
          <w:rFonts w:hint="eastAsia" w:ascii="宋体" w:hAnsi="宋体" w:eastAsia="宋体"/>
          <w:color w:val="auto"/>
          <w:sz w:val="24"/>
          <w:szCs w:val="24"/>
          <w:highlight w:val="none"/>
          <w:u w:val="single"/>
        </w:rPr>
        <w:t xml:space="preserve">四份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承包人提交最终结算申请单的期限：</w:t>
      </w:r>
      <w:r>
        <w:rPr>
          <w:rFonts w:hint="eastAsia" w:ascii="宋体" w:hAnsi="宋体" w:eastAsia="宋体"/>
          <w:color w:val="auto"/>
          <w:sz w:val="24"/>
          <w:szCs w:val="24"/>
          <w:highlight w:val="none"/>
          <w:u w:val="single"/>
        </w:rPr>
        <w:t xml:space="preserve">质量保修期满</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 最终结清证书和支付</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（1）发包人完成最终结清申请单的审批并颁发最终结清证书的期限：</w:t>
      </w:r>
      <w:r>
        <w:rPr>
          <w:rFonts w:hint="eastAsia" w:ascii="宋体" w:hAnsi="宋体" w:eastAsia="宋体"/>
          <w:color w:val="auto"/>
          <w:sz w:val="24"/>
          <w:szCs w:val="24"/>
          <w:highlight w:val="none"/>
          <w:u w:val="single"/>
        </w:rPr>
        <w:t xml:space="preserve">收到申请28天内</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（2）发包人完成支付的期限：</w:t>
      </w:r>
      <w:r>
        <w:rPr>
          <w:rFonts w:hint="eastAsia" w:ascii="宋体" w:hAnsi="宋体" w:eastAsia="宋体"/>
          <w:color w:val="auto"/>
          <w:sz w:val="24"/>
          <w:szCs w:val="24"/>
          <w:highlight w:val="none"/>
          <w:u w:val="single"/>
        </w:rPr>
        <w:t xml:space="preserve">申请签发14天内</w:t>
      </w:r>
      <w:r>
        <w:rPr>
          <w:rFonts w:hint="eastAsia" w:ascii="宋体" w:hAnsi="宋体" w:eastAsia="宋体"/>
          <w:color w:val="auto"/>
          <w:sz w:val="24"/>
          <w:szCs w:val="24"/>
          <w:highlight w:val="none"/>
        </w:rPr>
        <w:t xml:space="preserve">。</w:t>
      </w:r>
      <w:bookmarkEnd w:id="667"/>
      <w:r/>
      <w:bookmarkEnd w:id="668"/>
      <w:r/>
      <w:bookmarkEnd w:id="669"/>
      <w:r/>
      <w:bookmarkEnd w:id="670"/>
      <w:r/>
      <w:bookmarkEnd w:id="671"/>
      <w:r/>
      <w:bookmarkEnd w:id="672"/>
      <w:r/>
      <w:bookmarkEnd w:id="673"/>
      <w:r/>
      <w:bookmarkEnd w:id="679"/>
      <w:r/>
      <w:r/>
    </w:p>
    <w:p>
      <w:pPr>
        <w:pStyle w:val="1170"/>
        <w:ind w:firstLine="482"/>
        <w:pageBreakBefore w:val="0"/>
        <w:spacing w:line="360" w:lineRule="auto"/>
        <w:rPr>
          <w:rFonts w:hint="eastAsia" w:ascii="宋体" w:hAnsi="宋体"/>
          <w:color w:val="auto"/>
          <w:sz w:val="24"/>
          <w:szCs w:val="24"/>
          <w:highlight w:val="none"/>
        </w:rPr>
      </w:pPr>
      <w:r/>
      <w:bookmarkStart w:id="683" w:name="_Toc351203647"/>
      <w:r/>
      <w:bookmarkStart w:id="684" w:name="_Toc267251483"/>
      <w:r/>
      <w:bookmarkStart w:id="685" w:name="_Toc267251482"/>
      <w:r/>
      <w:bookmarkStart w:id="686" w:name="_Toc267251484"/>
      <w:r/>
      <w:bookmarkStart w:id="687" w:name="_Toc267251485"/>
      <w:r/>
      <w:bookmarkStart w:id="688" w:name="_Toc267251488"/>
      <w:r/>
      <w:bookmarkStart w:id="689" w:name="_Toc267251486"/>
      <w:r/>
      <w:bookmarkStart w:id="690" w:name="_Toc267251489"/>
      <w:r/>
      <w:bookmarkStart w:id="691" w:name="_Toc267251490"/>
      <w:r/>
      <w:bookmarkStart w:id="692" w:name="_Toc267251494"/>
      <w:r/>
      <w:bookmarkStart w:id="693" w:name="_Toc267251496"/>
      <w:r/>
      <w:bookmarkStart w:id="694" w:name="_Toc267251502"/>
      <w:r/>
      <w:bookmarkStart w:id="695" w:name="_Toc267251493"/>
      <w:r/>
      <w:bookmarkStart w:id="696" w:name="_Toc267251503"/>
      <w:r/>
      <w:bookmarkStart w:id="697" w:name="_Toc267251499"/>
      <w:r/>
      <w:bookmarkStart w:id="698" w:name="_Toc267251491"/>
      <w:r/>
      <w:bookmarkStart w:id="699" w:name="_Toc267251501"/>
      <w:r/>
      <w:bookmarkStart w:id="700" w:name="_Toc267251495"/>
      <w:r/>
      <w:bookmarkStart w:id="701" w:name="_Toc267251492"/>
      <w:r/>
      <w:bookmarkStart w:id="702" w:name="_Toc267251497"/>
      <w:r/>
      <w:bookmarkStart w:id="703" w:name="_Toc267251498"/>
      <w:r/>
      <w:bookmarkStart w:id="704" w:name="_Toc267251506"/>
      <w:r/>
      <w:bookmarkStart w:id="705" w:name="_Toc267251504"/>
      <w:r/>
      <w:bookmarkStart w:id="706" w:name="_Toc267251507"/>
      <w:r/>
      <w:bookmarkStart w:id="707" w:name="_Toc267251508"/>
      <w:r/>
      <w:bookmarkStart w:id="708" w:name="_Toc267251514"/>
      <w:r/>
      <w:bookmarkStart w:id="709" w:name="_Toc267251510"/>
      <w:r/>
      <w:bookmarkStart w:id="710" w:name="_Toc267251509"/>
      <w:r/>
      <w:bookmarkStart w:id="711" w:name="_Toc267251513"/>
      <w:r/>
      <w:bookmarkStart w:id="712" w:name="_Toc267251511"/>
      <w:r/>
      <w:bookmarkStart w:id="713" w:name="_Toc267251515"/>
      <w:r>
        <w:rPr>
          <w:rFonts w:hint="eastAsia" w:ascii="宋体" w:hAnsi="宋体"/>
          <w:color w:val="auto"/>
          <w:sz w:val="24"/>
          <w:szCs w:val="24"/>
          <w:highlight w:val="none"/>
        </w:rPr>
        <w:t xml:space="preserve">15. 缺陷责任期与保修</w:t>
      </w:r>
      <w:bookmarkEnd w:id="683"/>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缺陷责任期</w:t>
      </w:r>
      <w:bookmarkEnd w:id="68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缺陷责任期的具体期限：</w:t>
      </w:r>
      <w:r>
        <w:rPr>
          <w:rFonts w:hint="eastAsia" w:ascii="宋体" w:hAnsi="宋体"/>
          <w:color w:val="auto"/>
          <w:sz w:val="24"/>
          <w:szCs w:val="24"/>
          <w:highlight w:val="none"/>
          <w:u w:val="single"/>
          <w:lang w:val="en-US" w:eastAsia="zh-CN"/>
        </w:rPr>
        <w:t xml:space="preserve">12</w:t>
      </w:r>
      <w:r>
        <w:rPr>
          <w:rFonts w:hint="eastAsia" w:ascii="宋体" w:hAnsi="宋体" w:eastAsia="宋体"/>
          <w:color w:val="auto"/>
          <w:sz w:val="24"/>
          <w:szCs w:val="24"/>
          <w:highlight w:val="none"/>
          <w:u w:val="single"/>
        </w:rPr>
        <w:t xml:space="preserve">个月。</w:t>
      </w:r>
      <w:r/>
    </w:p>
    <w:p>
      <w:pPr>
        <w:ind w:firstLine="480"/>
        <w:pageBreakBefore w:val="0"/>
        <w:spacing w:line="360" w:lineRule="auto"/>
        <w:rPr>
          <w:rFonts w:hint="eastAsia" w:ascii="宋体" w:hAnsi="宋体" w:eastAsia="宋体"/>
          <w:color w:val="auto"/>
          <w:sz w:val="24"/>
          <w:szCs w:val="24"/>
          <w:highlight w:val="none"/>
        </w:rPr>
        <w:outlineLvl w:val="0"/>
      </w:pPr>
      <w:r/>
      <w:bookmarkStart w:id="714" w:name="_Toc27683"/>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质量保证金</w:t>
      </w:r>
      <w:bookmarkEnd w:id="71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关于是否扣留质量保证金的约定：</w:t>
      </w:r>
      <w:r>
        <w:rPr>
          <w:rFonts w:hint="eastAsia" w:ascii="宋体" w:hAnsi="宋体" w:eastAsia="宋体"/>
          <w:color w:val="auto"/>
          <w:sz w:val="24"/>
          <w:szCs w:val="24"/>
          <w:highlight w:val="none"/>
          <w:u w:val="single"/>
        </w:rPr>
        <w:t xml:space="preserve">    扣留      </w:t>
      </w:r>
      <w:r>
        <w:rPr>
          <w:rFonts w:hint="eastAsia" w:ascii="宋体" w:hAnsi="宋体" w:eastAsia="宋体"/>
          <w:color w:val="auto"/>
          <w:sz w:val="24"/>
          <w:szCs w:val="24"/>
          <w:highlight w:val="none"/>
        </w:rPr>
        <w:t xml:space="preserve">。在工程项目竣工前，承包人按专用合同条款第3.7条提供履约担保的，发包人不得同时预留工程质量保证金。</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5" w:name="_Toc8790"/>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.1 承包人提供质量保证金的方式</w:t>
      </w:r>
      <w:bookmarkEnd w:id="715"/>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质量保证金采用以下第</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（1）质量保证金，保证金额为：</w:t>
      </w:r>
      <w:r>
        <w:rPr>
          <w:rFonts w:hint="eastAsia" w:ascii="宋体" w:hAnsi="宋体" w:eastAsia="宋体" w:cs="宋体"/>
          <w:bCs/>
          <w:color w:val="auto"/>
          <w:sz w:val="24"/>
          <w:szCs w:val="24"/>
          <w:highlight w:val="none"/>
          <w:u w:val="single"/>
        </w:rPr>
        <w:t xml:space="preserve">合同总额的</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u w:val="single"/>
        </w:rPr>
        <w:t xml:space="preserve"> 3 </w:t>
      </w:r>
      <w:r>
        <w:rPr>
          <w:rFonts w:hint="eastAsia" w:ascii="宋体" w:hAnsi="宋体" w:eastAsia="宋体"/>
          <w:color w:val="auto"/>
          <w:sz w:val="24"/>
          <w:szCs w:val="24"/>
          <w:highlight w:val="none"/>
        </w:rPr>
        <w:t xml:space="preserve">%的工程款；</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（3）其他方式</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6" w:name="_Toc14219"/>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 质量保证金的扣留</w:t>
      </w:r>
      <w:bookmarkEnd w:id="716"/>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质量保证金的扣留采取以下第</w:t>
      </w:r>
      <w:r>
        <w:rPr>
          <w:rFonts w:hint="eastAsia" w:ascii="宋体" w:hAnsi="宋体"/>
          <w:color w:val="auto"/>
          <w:sz w:val="24"/>
          <w:szCs w:val="24"/>
          <w:highlight w:val="none"/>
          <w:u w:val="single"/>
          <w:lang w:val="en-US" w:eastAsia="zh-CN"/>
        </w:rPr>
        <w:t xml:space="preserve">  2  </w:t>
      </w:r>
      <w:r>
        <w:rPr>
          <w:rFonts w:hint="eastAsia" w:ascii="宋体" w:hAnsi="宋体" w:eastAsia="宋体"/>
          <w:color w:val="auto"/>
          <w:sz w:val="24"/>
          <w:szCs w:val="24"/>
          <w:highlight w:val="none"/>
        </w:rPr>
        <w:t xml:space="preserve">种方式：</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17" w:name="_Toc27572"/>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退回履约保证金后，</w:t>
      </w:r>
      <w:r>
        <w:rPr>
          <w:rFonts w:hint="eastAsia" w:ascii="宋体" w:hAnsi="宋体" w:eastAsia="宋体"/>
          <w:color w:val="auto"/>
          <w:sz w:val="24"/>
          <w:szCs w:val="24"/>
          <w:highlight w:val="none"/>
        </w:rPr>
        <w:t xml:space="preserve">工程竣工结算时一次性扣留质量保证金；</w:t>
      </w:r>
      <w:bookmarkEnd w:id="71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（3）其他扣留方式</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扣留质量履约保证金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关于质量保证金的补充约定：</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bookmarkEnd w:id="685"/>
      <w:r/>
      <w:bookmarkEnd w:id="686"/>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保修</w:t>
      </w:r>
      <w:bookmarkEnd w:id="687"/>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.1 保修责任</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工程保修期为：</w:t>
      </w:r>
      <w:r>
        <w:rPr>
          <w:rFonts w:hint="eastAsia" w:ascii="宋体" w:hAnsi="宋体" w:eastAsia="宋体"/>
          <w:color w:val="auto"/>
          <w:sz w:val="24"/>
          <w:szCs w:val="24"/>
          <w:highlight w:val="none"/>
          <w:u w:val="single"/>
        </w:rPr>
        <w:t xml:space="preserve">详见质量保修协议。</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 修复通知</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承包人收到保修通知并到达工程现场的合理时间：</w:t>
      </w:r>
      <w:r>
        <w:rPr>
          <w:rFonts w:hint="eastAsia" w:ascii="宋体" w:hAnsi="宋体" w:eastAsia="宋体"/>
          <w:color w:val="auto"/>
          <w:sz w:val="24"/>
          <w:szCs w:val="24"/>
          <w:highlight w:val="none"/>
          <w:u w:val="single"/>
        </w:rPr>
        <w:t xml:space="preserve">详见质量保修协议。</w:t>
      </w:r>
      <w:bookmarkEnd w:id="688"/>
      <w:r/>
      <w:bookmarkEnd w:id="689"/>
      <w:r/>
      <w:bookmarkEnd w:id="690"/>
      <w:r/>
      <w:bookmarkEnd w:id="691"/>
      <w:r/>
      <w:r/>
    </w:p>
    <w:p>
      <w:pPr>
        <w:pStyle w:val="1170"/>
        <w:ind w:firstLine="482"/>
        <w:pageBreakBefore w:val="0"/>
        <w:spacing w:line="360" w:lineRule="auto"/>
        <w:rPr>
          <w:rFonts w:hint="eastAsia" w:ascii="宋体" w:hAnsi="宋体"/>
          <w:color w:val="auto"/>
          <w:sz w:val="24"/>
          <w:szCs w:val="24"/>
          <w:highlight w:val="none"/>
        </w:rPr>
      </w:pPr>
      <w:r/>
      <w:bookmarkStart w:id="718" w:name="_Toc351203648"/>
      <w:r/>
      <w:bookmarkStart w:id="719" w:name="_Toc280868717"/>
      <w:r/>
      <w:bookmarkStart w:id="720" w:name="_Toc280868718"/>
      <w:r>
        <w:rPr>
          <w:rFonts w:hint="eastAsia" w:ascii="宋体" w:hAnsi="宋体"/>
          <w:color w:val="auto"/>
          <w:sz w:val="24"/>
          <w:szCs w:val="24"/>
          <w:highlight w:val="none"/>
        </w:rPr>
        <w:t xml:space="preserve">16. 违约</w:t>
      </w:r>
      <w:bookmarkEnd w:id="718"/>
      <w:r/>
      <w:r/>
    </w:p>
    <w:p>
      <w:pPr>
        <w:ind w:firstLine="480"/>
        <w:pageBreakBefore w:val="0"/>
        <w:spacing w:line="360" w:lineRule="auto"/>
        <w:rPr>
          <w:rFonts w:hint="eastAsia" w:ascii="宋体" w:hAnsi="宋体" w:eastAsia="宋体"/>
          <w:color w:val="auto"/>
          <w:sz w:val="24"/>
          <w:szCs w:val="24"/>
          <w:highlight w:val="none"/>
        </w:rPr>
        <w:outlineLvl w:val="0"/>
      </w:pPr>
      <w:r/>
      <w:bookmarkStart w:id="721" w:name="_Toc25166"/>
      <w:r>
        <w:rPr>
          <w:rFonts w:hint="eastAsia" w:ascii="宋体" w:hAnsi="宋体" w:eastAsia="宋体"/>
          <w:color w:val="auto"/>
          <w:sz w:val="24"/>
          <w:szCs w:val="24"/>
          <w:highlight w:val="none"/>
        </w:rPr>
        <w:t xml:space="preserve">16.1 发包人违约</w:t>
      </w:r>
      <w:bookmarkEnd w:id="721"/>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16.1.1发包人违约的情形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发包人违约的其他情形：</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16.1.2 发包人违约的责任</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发包人违约责任的承担方式和计算方法：</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（1）因发包人原因未能在计划开工日期前7天内下达开工通知的违约责任：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（2）因发包人原因未能按合同约定支付合同价款的违约责任：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olor w:val="auto"/>
          <w:sz w:val="24"/>
          <w:szCs w:val="24"/>
          <w:highlight w:val="none"/>
          <w:u w:val="single"/>
        </w:rPr>
        <w:t xml:space="preserve">发包人有权根据实际情况增减部分工程量，承包人对此不提出索赔</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（5）因发包人违反合同约定造成暂停施工的违约责任：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（7）其他：</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16.1.3 因发包人违约解除合同</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承包人按16.1.1项〔发包人违约的情形〕约定暂停施工满</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天后发包人仍不纠正其违约行为并致使合同目的不能实现的，承包人有权解除合同。</w:t>
      </w:r>
      <w:r/>
    </w:p>
    <w:p>
      <w:pPr>
        <w:ind w:firstLine="480"/>
        <w:pageBreakBefore w:val="0"/>
        <w:spacing w:line="360" w:lineRule="auto"/>
        <w:rPr>
          <w:rFonts w:hint="eastAsia" w:ascii="宋体" w:hAnsi="宋体" w:eastAsia="宋体"/>
          <w:color w:val="auto"/>
          <w:sz w:val="24"/>
          <w:szCs w:val="24"/>
          <w:highlight w:val="none"/>
        </w:rPr>
        <w:outlineLvl w:val="0"/>
      </w:pPr>
      <w:r/>
      <w:bookmarkStart w:id="722" w:name="_Toc14831"/>
      <w:r>
        <w:rPr>
          <w:rFonts w:hint="eastAsia" w:ascii="宋体" w:hAnsi="宋体" w:eastAsia="宋体"/>
          <w:color w:val="auto"/>
          <w:sz w:val="24"/>
          <w:szCs w:val="24"/>
          <w:highlight w:val="none"/>
        </w:rPr>
        <w:t xml:space="preserve">16.2 承包人违约</w:t>
      </w:r>
      <w:bookmarkEnd w:id="72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16.2.1 承包人违约的情形</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承包人违约的其他情形：</w:t>
      </w:r>
      <w:r>
        <w:rPr>
          <w:rFonts w:hint="eastAsia" w:ascii="宋体" w:hAnsi="宋体" w:eastAsia="宋体"/>
          <w:color w:val="auto"/>
          <w:sz w:val="24"/>
          <w:szCs w:val="24"/>
          <w:highlight w:val="none"/>
          <w:u w:val="single"/>
        </w:rPr>
        <w:t xml:space="preserve">按本合同16.2.2条及其它条款的约定。</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16.2.2承包人违约的责任</w:t>
      </w:r>
      <w:r/>
    </w:p>
    <w:p>
      <w:pPr>
        <w:ind w:firstLine="480"/>
        <w:jc w:val="left"/>
        <w:pageBreakBefore w:val="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承包人违约责任的承担方式和计算方法：</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1.承包人明确表示或者以其行为表明不</w:t>
      </w:r>
      <w:r>
        <w:rPr>
          <w:rFonts w:hint="eastAsia" w:ascii="宋体" w:hAnsi="宋体" w:eastAsia="宋体"/>
          <w:color w:val="auto"/>
          <w:sz w:val="24"/>
          <w:szCs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hint="eastAsia" w:ascii="宋体" w:hAnsi="宋体"/>
          <w:color w:val="auto"/>
          <w:sz w:val="24"/>
          <w:szCs w:val="24"/>
          <w:highlight w:val="none"/>
          <w:u w:val="single"/>
          <w:lang w:eastAsia="zh-CN"/>
        </w:rPr>
        <w:t xml:space="preserve">1万-3万</w:t>
      </w:r>
      <w:r>
        <w:rPr>
          <w:rFonts w:hint="eastAsia" w:ascii="宋体" w:hAnsi="宋体" w:eastAsia="宋体"/>
          <w:color w:val="auto"/>
          <w:sz w:val="24"/>
          <w:szCs w:val="24"/>
          <w:highlight w:val="none"/>
          <w:u w:val="single"/>
        </w:rPr>
        <w:t xml:space="preserve">元的违约金，每发生一起重大质量事故，承包人除接受政府相关部门的处罚外，还应向发包人承担10万元的违约金。同时，承包人应无条件返工至合格并采取措施清除不良影响。</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7.承包人未能按施工进度计划及时完成合同约定的工作，造成工期延误的违约责任：按7.5条约定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9.承包人未能按照合同约定履行其他义务的违约责任：</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③承包人要做到减少噪音及环境污染，文明施工达标，如因承包人原因导致工地在市、区检查中被评为不合格工地的，按每有一起罚款4000元。</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16.2.3 因承包人违约解除合同</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关于承包人违约解除合同的特别约定：</w:t>
      </w:r>
      <w:r>
        <w:rPr>
          <w:rFonts w:hint="eastAsia" w:ascii="宋体" w:hAnsi="宋体" w:eastAsia="宋体"/>
          <w:color w:val="auto"/>
          <w:sz w:val="24"/>
          <w:szCs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80"/>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olor w:val="auto"/>
          <w:sz w:val="24"/>
          <w:szCs w:val="24"/>
          <w:highlight w:val="none"/>
          <w:u w:val="single"/>
        </w:rPr>
        <w:t xml:space="preserve">不计费用</w:t>
      </w:r>
      <w:r>
        <w:rPr>
          <w:rFonts w:hint="eastAsia" w:ascii="宋体" w:hAnsi="宋体" w:eastAsia="宋体"/>
          <w:color w:val="auto"/>
          <w:sz w:val="24"/>
          <w:szCs w:val="24"/>
          <w:highlight w:val="none"/>
        </w:rPr>
        <w:t xml:space="preserve">。</w:t>
      </w:r>
      <w:r/>
    </w:p>
    <w:p>
      <w:pPr>
        <w:pStyle w:val="1170"/>
        <w:ind w:firstLine="482"/>
        <w:pageBreakBefore w:val="0"/>
        <w:spacing w:before="120" w:after="120" w:line="360" w:lineRule="auto"/>
        <w:rPr>
          <w:rFonts w:hint="eastAsia" w:ascii="宋体" w:hAnsi="宋体"/>
          <w:color w:val="auto"/>
          <w:sz w:val="24"/>
          <w:szCs w:val="24"/>
          <w:highlight w:val="none"/>
        </w:rPr>
      </w:pPr>
      <w:r/>
      <w:bookmarkStart w:id="723" w:name="_Toc351203649"/>
      <w:r>
        <w:rPr>
          <w:rFonts w:hint="eastAsia" w:ascii="宋体" w:hAnsi="宋体"/>
          <w:color w:val="auto"/>
          <w:sz w:val="24"/>
          <w:szCs w:val="24"/>
          <w:highlight w:val="none"/>
        </w:rPr>
        <w:t xml:space="preserve">17. 不可抗力</w:t>
      </w:r>
      <w:bookmarkEnd w:id="723"/>
      <w:r>
        <w:rPr>
          <w:rFonts w:hint="eastAsia" w:ascii="宋体" w:hAnsi="宋体"/>
          <w:color w:val="auto"/>
          <w:sz w:val="24"/>
          <w:szCs w:val="24"/>
          <w:highlight w:val="none"/>
        </w:rPr>
        <w:t xml:space="preserve"> </w:t>
      </w:r>
      <w:bookmarkEnd w:id="719"/>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 不可抗力的确认</w:t>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除通用合同条款约定的不可抗力事件之外，视为不可抗力的其他情形：</w:t>
      </w:r>
      <w:r>
        <w:rPr>
          <w:rFonts w:hint="eastAsia" w:ascii="宋体" w:hAnsi="宋体" w:eastAsia="宋体"/>
          <w:color w:val="auto"/>
          <w:sz w:val="24"/>
          <w:szCs w:val="24"/>
          <w:highlight w:val="none"/>
          <w:u w:val="single"/>
        </w:rPr>
        <w:t xml:space="preserve">由市级以上有关部门正式发布和认定的自然灾害。</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24" w:name="_Toc25261"/>
      <w:r>
        <w:rPr>
          <w:rFonts w:hint="eastAsia" w:ascii="宋体" w:hAnsi="宋体" w:eastAsia="宋体"/>
          <w:color w:val="auto"/>
          <w:sz w:val="24"/>
          <w:szCs w:val="24"/>
          <w:highlight w:val="none"/>
        </w:rPr>
        <w:t xml:space="preserve">17.</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因不可抗力解除合同</w:t>
      </w:r>
      <w:bookmarkEnd w:id="724"/>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合同解除后，发包人应在商定或确定发包人应支付款项后</w:t>
      </w:r>
      <w:r>
        <w:rPr>
          <w:rFonts w:hint="eastAsia" w:ascii="宋体" w:hAnsi="宋体" w:eastAsia="宋体"/>
          <w:color w:val="auto"/>
          <w:sz w:val="24"/>
          <w:szCs w:val="24"/>
          <w:highlight w:val="none"/>
          <w:u w:val="single"/>
        </w:rPr>
        <w:t xml:space="preserve">60</w:t>
      </w:r>
      <w:r>
        <w:rPr>
          <w:rFonts w:hint="eastAsia" w:ascii="宋体" w:hAnsi="宋体" w:eastAsia="宋体"/>
          <w:color w:val="auto"/>
          <w:sz w:val="24"/>
          <w:szCs w:val="24"/>
          <w:highlight w:val="none"/>
        </w:rPr>
        <w:t xml:space="preserve">天内完成款项的支付。</w:t>
      </w:r>
      <w:r/>
    </w:p>
    <w:p>
      <w:pPr>
        <w:pStyle w:val="1170"/>
        <w:ind w:firstLine="482"/>
        <w:pageBreakBefore w:val="0"/>
        <w:spacing w:before="120" w:after="120" w:line="360" w:lineRule="auto"/>
        <w:rPr>
          <w:rFonts w:hint="eastAsia" w:ascii="宋体" w:hAnsi="宋体"/>
          <w:color w:val="auto"/>
          <w:sz w:val="24"/>
          <w:szCs w:val="24"/>
          <w:highlight w:val="none"/>
        </w:rPr>
      </w:pPr>
      <w:r/>
      <w:bookmarkStart w:id="725" w:name="_Toc351203650"/>
      <w:r>
        <w:rPr>
          <w:rFonts w:hint="eastAsia" w:ascii="宋体" w:hAnsi="宋体"/>
          <w:color w:val="auto"/>
          <w:sz w:val="24"/>
          <w:szCs w:val="24"/>
          <w:highlight w:val="none"/>
        </w:rPr>
        <w:t xml:space="preserve">18. 保险</w:t>
      </w:r>
      <w:bookmarkEnd w:id="725"/>
      <w:r/>
      <w:bookmarkEnd w:id="720"/>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18.1 工程保险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关于工程保险的特别约定：</w:t>
      </w:r>
      <w:r>
        <w:rPr>
          <w:rFonts w:hint="eastAsia" w:ascii="宋体" w:hAnsi="宋体" w:eastAsia="宋体"/>
          <w:color w:val="auto"/>
          <w:sz w:val="24"/>
          <w:szCs w:val="24"/>
          <w:highlight w:val="none"/>
          <w:u w:val="single"/>
        </w:rPr>
        <w:t xml:space="preserve">发包人投保内容：建设工程和施工场地内的自有人员生命财产险。</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发包人委托承包人办理的保险事项：         /          。</w:t>
      </w:r>
      <w:r/>
    </w:p>
    <w:p>
      <w:pPr>
        <w:ind w:firstLine="480"/>
        <w:jc w:val="left"/>
        <w:pageBreakBefore w:val="0"/>
        <w:spacing w:line="360" w:lineRule="auto"/>
        <w:widowControl/>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80"/>
        <w:pageBreakBefore w:val="0"/>
        <w:spacing w:line="360" w:lineRule="auto"/>
        <w:rPr>
          <w:rFonts w:hint="eastAsia" w:ascii="宋体" w:hAnsi="宋体" w:eastAsia="宋体"/>
          <w:color w:val="auto"/>
          <w:sz w:val="24"/>
          <w:szCs w:val="24"/>
          <w:highlight w:val="none"/>
        </w:rPr>
        <w:outlineLvl w:val="0"/>
      </w:pPr>
      <w:r/>
      <w:bookmarkStart w:id="726" w:name="_Toc29633"/>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 其他保险</w:t>
      </w:r>
      <w:bookmarkEnd w:id="726"/>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关于其他保险的约定：</w:t>
      </w:r>
      <w:r>
        <w:rPr>
          <w:rFonts w:hint="eastAsia" w:ascii="宋体" w:hAnsi="宋体" w:eastAsia="宋体"/>
          <w:color w:val="auto"/>
          <w:sz w:val="24"/>
          <w:szCs w:val="24"/>
          <w:highlight w:val="none"/>
          <w:u w:val="single"/>
        </w:rPr>
        <w:t xml:space="preserve">各自办理 </w:t>
      </w:r>
      <w:r>
        <w:rPr>
          <w:rFonts w:hint="eastAsia" w:ascii="宋体" w:hAnsi="宋体" w:eastAsia="宋体"/>
          <w:color w:val="auto"/>
          <w:sz w:val="24"/>
          <w:szCs w:val="24"/>
          <w:highlight w:val="none"/>
        </w:rPr>
        <w:t xml:space="preserve">。</w:t>
      </w:r>
      <w:r/>
    </w:p>
    <w:p>
      <w:pPr>
        <w:ind w:firstLine="480"/>
        <w:pageBreakBefore w:val="0"/>
        <w:spacing w:line="360" w:lineRule="auto"/>
        <w:rPr>
          <w:rFonts w:hint="eastAsia" w:ascii="宋体" w:hAnsi="宋体" w:eastAsia="宋体"/>
          <w:color w:val="auto"/>
          <w:sz w:val="24"/>
          <w:szCs w:val="24"/>
          <w:highlight w:val="none"/>
          <w:u w:val="single"/>
        </w:rPr>
        <w:outlineLvl w:val="0"/>
      </w:pPr>
      <w:r/>
      <w:bookmarkStart w:id="727" w:name="_Toc4108"/>
      <w:r>
        <w:rPr>
          <w:rFonts w:hint="eastAsia" w:ascii="宋体" w:hAnsi="宋体" w:eastAsia="宋体"/>
          <w:color w:val="auto"/>
          <w:sz w:val="24"/>
          <w:szCs w:val="24"/>
          <w:highlight w:val="none"/>
        </w:rPr>
        <w:t xml:space="preserve">承包人是否应为其施工设备等办理财产保险：</w:t>
      </w:r>
      <w:r>
        <w:rPr>
          <w:rFonts w:hint="eastAsia" w:ascii="宋体" w:hAnsi="宋体" w:eastAsia="宋体"/>
          <w:color w:val="auto"/>
          <w:sz w:val="24"/>
          <w:szCs w:val="24"/>
          <w:highlight w:val="none"/>
          <w:u w:val="single"/>
        </w:rPr>
        <w:t xml:space="preserve">按通用条款执行。</w:t>
      </w:r>
      <w:bookmarkEnd w:id="727"/>
      <w:r/>
      <w:r/>
    </w:p>
    <w:p>
      <w:pPr>
        <w:ind w:firstLine="480"/>
        <w:pageBreakBefore w:val="0"/>
        <w:spacing w:line="360" w:lineRule="auto"/>
        <w:rPr>
          <w:rFonts w:hint="eastAsia" w:ascii="宋体" w:hAnsi="宋体" w:eastAsia="宋体"/>
          <w:color w:val="auto"/>
          <w:sz w:val="24"/>
          <w:szCs w:val="24"/>
          <w:highlight w:val="none"/>
        </w:rPr>
        <w:outlineLvl w:val="0"/>
      </w:pPr>
      <w:r/>
      <w:bookmarkStart w:id="728" w:name="_Toc14405"/>
      <w:r>
        <w:rPr>
          <w:rFonts w:hint="eastAsia" w:ascii="宋体" w:hAnsi="宋体" w:eastAsia="宋体"/>
          <w:color w:val="auto"/>
          <w:sz w:val="24"/>
          <w:szCs w:val="24"/>
          <w:highlight w:val="none"/>
        </w:rPr>
        <w:t xml:space="preserve">18.</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通知义务</w:t>
      </w:r>
      <w:bookmarkEnd w:id="728"/>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关于变更保险合同时的通知义务的约定：</w:t>
      </w:r>
      <w:r>
        <w:rPr>
          <w:rFonts w:hint="eastAsia" w:ascii="宋体" w:hAnsi="宋体" w:eastAsia="宋体"/>
          <w:color w:val="auto"/>
          <w:sz w:val="24"/>
          <w:szCs w:val="24"/>
          <w:highlight w:val="none"/>
          <w:u w:val="single"/>
        </w:rPr>
        <w:t xml:space="preserve">按通用条款执行。</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
    </w:p>
    <w:p>
      <w:pPr>
        <w:pStyle w:val="1170"/>
        <w:ind w:firstLine="482"/>
        <w:pageBreakBefore w:val="0"/>
        <w:spacing w:line="360" w:lineRule="auto"/>
        <w:rPr>
          <w:rFonts w:hint="eastAsia" w:ascii="宋体" w:hAnsi="宋体"/>
          <w:color w:val="auto"/>
          <w:sz w:val="24"/>
          <w:szCs w:val="24"/>
          <w:highlight w:val="none"/>
        </w:rPr>
      </w:pPr>
      <w:r/>
      <w:bookmarkStart w:id="729" w:name="_Toc351203651"/>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 争议解决</w:t>
      </w:r>
      <w:bookmarkEnd w:id="729"/>
      <w:r/>
      <w:bookmarkEnd w:id="704"/>
      <w:r/>
      <w:bookmarkEnd w:id="705"/>
      <w:r/>
      <w:r/>
    </w:p>
    <w:p>
      <w:pPr>
        <w:ind w:firstLine="480"/>
        <w:pageBreakBefore w:val="0"/>
        <w:spacing w:line="360" w:lineRule="auto"/>
        <w:rPr>
          <w:rFonts w:hint="eastAsia" w:ascii="宋体" w:hAnsi="宋体" w:eastAsia="宋体"/>
          <w:color w:val="auto"/>
          <w:sz w:val="24"/>
          <w:szCs w:val="24"/>
          <w:highlight w:val="none"/>
        </w:rPr>
        <w:outlineLvl w:val="0"/>
      </w:pPr>
      <w:r/>
      <w:bookmarkStart w:id="730" w:name="_Toc17723"/>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 争</w:t>
      </w:r>
      <w:bookmarkEnd w:id="706"/>
      <w:r>
        <w:rPr>
          <w:rFonts w:hint="eastAsia" w:ascii="宋体" w:hAnsi="宋体" w:eastAsia="宋体"/>
          <w:color w:val="auto"/>
          <w:sz w:val="24"/>
          <w:szCs w:val="24"/>
          <w:highlight w:val="none"/>
        </w:rPr>
        <w:t xml:space="preserve">议评审</w:t>
      </w:r>
      <w:bookmarkEnd w:id="730"/>
      <w:r/>
      <w:r/>
    </w:p>
    <w:p>
      <w:pPr>
        <w:ind w:left="149"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合同当事人是否同意将工程争议提交争议评审小组决定：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1" w:name="_Toc22184"/>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.1 争议评审小组的确定</w:t>
      </w:r>
      <w:bookmarkEnd w:id="731"/>
      <w:r/>
      <w:r/>
    </w:p>
    <w:p>
      <w:pPr>
        <w:ind w:firstLine="480"/>
        <w:jc w:val="left"/>
        <w:pageBreakBefore w:val="0"/>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争议评审小组成员的确定：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选定争议评审员的期限：</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争议评审小组成员的报酬承担方式：</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其他事项的约定：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jc w:val="left"/>
        <w:pageBreakBefore w:val="0"/>
        <w:spacing w:line="360" w:lineRule="auto"/>
        <w:rPr>
          <w:rFonts w:hint="eastAsia" w:ascii="宋体" w:hAnsi="宋体" w:eastAsia="宋体"/>
          <w:color w:val="auto"/>
          <w:sz w:val="24"/>
          <w:szCs w:val="24"/>
          <w:highlight w:val="none"/>
        </w:rPr>
        <w:outlineLvl w:val="0"/>
      </w:pPr>
      <w:r/>
      <w:bookmarkStart w:id="732" w:name="_Toc24037"/>
      <w:r>
        <w:rPr>
          <w:rFonts w:hint="eastAsia" w:ascii="宋体" w:hAnsi="宋体" w:eastAsia="宋体"/>
          <w:color w:val="auto"/>
          <w:sz w:val="24"/>
          <w:szCs w:val="24"/>
          <w:highlight w:val="none"/>
          <w:lang w:val="en-US" w:eastAsia="zh-CN"/>
        </w:rPr>
        <w:t xml:space="preserve">19</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.2 争议评审小组的决定</w:t>
      </w:r>
      <w:bookmarkEnd w:id="732"/>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合同当事人关于本项的约定：</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ind w:firstLine="480"/>
        <w:pageBreakBefore w:val="0"/>
        <w:spacing w:after="120" w:line="360" w:lineRule="auto"/>
        <w:rPr>
          <w:rFonts w:hint="eastAsia" w:ascii="宋体" w:hAnsi="宋体" w:eastAsia="宋体"/>
          <w:color w:val="auto"/>
          <w:sz w:val="24"/>
          <w:szCs w:val="24"/>
          <w:highlight w:val="none"/>
        </w:rPr>
        <w:outlineLvl w:val="0"/>
      </w:pPr>
      <w:r/>
      <w:bookmarkStart w:id="733" w:name="_Toc10320"/>
      <w:r>
        <w:rPr>
          <w:rFonts w:hint="eastAsia" w:ascii="宋体" w:hAnsi="宋体" w:eastAsia="宋体"/>
          <w:color w:val="auto"/>
          <w:sz w:val="24"/>
          <w:szCs w:val="24"/>
          <w:highlight w:val="none"/>
          <w:lang w:val="en-US" w:eastAsia="zh-CN"/>
        </w:rPr>
        <w:t xml:space="preserve">19.2</w:t>
      </w:r>
      <w:r>
        <w:rPr>
          <w:rFonts w:hint="eastAsia" w:ascii="宋体" w:hAnsi="宋体" w:eastAsia="宋体"/>
          <w:color w:val="auto"/>
          <w:sz w:val="24"/>
          <w:szCs w:val="24"/>
          <w:highlight w:val="none"/>
        </w:rPr>
        <w:t xml:space="preserve">仲裁或诉讼</w:t>
      </w:r>
      <w:bookmarkEnd w:id="707"/>
      <w:r/>
      <w:bookmarkEnd w:id="733"/>
      <w:r/>
      <w:r/>
    </w:p>
    <w:p>
      <w:pPr>
        <w:ind w:firstLine="480"/>
        <w:pageBreakBefore w:val="0"/>
        <w:spacing w:after="12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因合同及合同有关事项发生的争议，按下列第</w:t>
      </w:r>
      <w:r>
        <w:rPr>
          <w:rFonts w:hint="eastAsia" w:ascii="宋体" w:hAnsi="宋体" w:eastAsia="宋体"/>
          <w:color w:val="auto"/>
          <w:sz w:val="24"/>
          <w:szCs w:val="24"/>
          <w:highlight w:val="none"/>
          <w:u w:val="single"/>
        </w:rPr>
        <w:t xml:space="preserve"> 2 </w:t>
      </w:r>
      <w:r>
        <w:rPr>
          <w:rFonts w:hint="eastAsia" w:ascii="宋体" w:hAnsi="宋体" w:eastAsia="宋体"/>
          <w:color w:val="auto"/>
          <w:sz w:val="24"/>
          <w:szCs w:val="24"/>
          <w:highlight w:val="none"/>
        </w:rPr>
        <w:t xml:space="preserve">种方式解决：</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仲裁委员会申请仲裁；</w:t>
      </w:r>
      <w:r/>
    </w:p>
    <w:p>
      <w:pPr>
        <w:ind w:firstLine="480"/>
        <w:jc w:val="left"/>
        <w:pageBreakBefore w:val="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（2）向</w:t>
      </w:r>
      <w:r>
        <w:rPr>
          <w:rFonts w:hint="eastAsia" w:ascii="宋体" w:hAnsi="宋体" w:eastAsia="宋体"/>
          <w:color w:val="auto"/>
          <w:sz w:val="24"/>
          <w:szCs w:val="24"/>
          <w:highlight w:val="none"/>
          <w:u w:val="single"/>
        </w:rPr>
        <w:t xml:space="preserve">南通市通州区</w:t>
      </w:r>
      <w:r>
        <w:rPr>
          <w:rFonts w:hint="eastAsia" w:ascii="宋体" w:hAnsi="宋体" w:eastAsia="宋体"/>
          <w:color w:val="auto"/>
          <w:sz w:val="24"/>
          <w:szCs w:val="24"/>
          <w:highlight w:val="none"/>
        </w:rPr>
        <w:t xml:space="preserve">人民法院起诉。</w:t>
      </w:r>
      <w:bookmarkEnd w:id="708"/>
      <w:r/>
      <w:bookmarkEnd w:id="709"/>
      <w:r/>
      <w:bookmarkEnd w:id="710"/>
      <w:r/>
      <w:bookmarkEnd w:id="711"/>
      <w:r/>
      <w:bookmarkEnd w:id="712"/>
      <w:r/>
      <w:bookmarkEnd w:id="713"/>
      <w:r/>
      <w:r/>
    </w:p>
    <w:p>
      <w:pPr>
        <w:rPr>
          <w:rFonts w:hint="eastAsia" w:ascii="宋体" w:hAnsi="宋体" w:eastAsia="宋体"/>
          <w:color w:val="auto"/>
          <w:sz w:val="21"/>
          <w:szCs w:val="24"/>
          <w:highlight w:val="none"/>
        </w:rPr>
      </w:pPr>
      <w:r>
        <w:rPr>
          <w:rFonts w:hint="eastAsia" w:ascii="宋体" w:hAnsi="宋体" w:eastAsia="宋体"/>
          <w:color w:val="auto"/>
          <w:sz w:val="21"/>
          <w:szCs w:val="24"/>
          <w:highlight w:val="none"/>
        </w:rPr>
        <w:br w:type="page" w:clear="all"/>
      </w:r>
      <w:r/>
    </w:p>
    <w:p>
      <w:pPr>
        <w:spacing w:line="400" w:lineRule="exact"/>
        <w:rPr>
          <w:rFonts w:hint="eastAsia" w:ascii="宋体" w:hAnsi="宋体" w:eastAsia="宋体"/>
          <w:color w:val="auto"/>
          <w:sz w:val="21"/>
          <w:szCs w:val="24"/>
          <w:highlight w:val="none"/>
        </w:rPr>
      </w:pPr>
      <w:r>
        <w:rPr>
          <w:rFonts w:hint="eastAsia" w:ascii="宋体" w:hAnsi="宋体" w:eastAsia="宋体"/>
          <w:color w:val="auto"/>
          <w:sz w:val="21"/>
          <w:szCs w:val="24"/>
          <w:highlight w:val="none"/>
        </w:rPr>
        <w:t xml:space="preserve">附</w:t>
      </w:r>
      <w:bookmarkStart w:id="734" w:name="_Toc296891054"/>
      <w:r/>
      <w:bookmarkStart w:id="735" w:name="_Toc296347225"/>
      <w:r/>
      <w:bookmarkStart w:id="736" w:name="_Toc296346727"/>
      <w:r/>
      <w:bookmarkStart w:id="737" w:name="_Toc296944565"/>
      <w:r/>
      <w:bookmarkStart w:id="738" w:name="_Toc296503226"/>
      <w:r/>
      <w:bookmarkStart w:id="739" w:name="_Toc267261693"/>
      <w:r/>
      <w:bookmarkStart w:id="740" w:name="_Toc296891266"/>
      <w:r>
        <w:rPr>
          <w:rFonts w:hint="eastAsia" w:ascii="宋体" w:hAnsi="宋体" w:eastAsia="宋体"/>
          <w:color w:val="auto"/>
          <w:sz w:val="21"/>
          <w:szCs w:val="24"/>
          <w:highlight w:val="none"/>
        </w:rPr>
        <w:t xml:space="preserve">件：</w:t>
      </w:r>
      <w:bookmarkEnd w:id="734"/>
      <w:r/>
      <w:bookmarkEnd w:id="735"/>
      <w:r/>
      <w:bookmarkEnd w:id="736"/>
      <w:r/>
      <w:bookmarkEnd w:id="737"/>
      <w:r/>
      <w:bookmarkEnd w:id="738"/>
      <w:r/>
      <w:bookmarkEnd w:id="739"/>
      <w:r/>
      <w:bookmarkEnd w:id="740"/>
      <w:r>
        <w:rPr>
          <w:rFonts w:hint="eastAsia" w:ascii="宋体" w:hAnsi="宋体" w:eastAsia="宋体"/>
          <w:color w:val="auto"/>
          <w:sz w:val="21"/>
          <w:szCs w:val="24"/>
          <w:highlight w:val="none"/>
        </w:rPr>
        <w:t xml:space="preserve">    </w:t>
      </w:r>
      <w:r/>
    </w:p>
    <w:p>
      <w:pPr>
        <w:jc w:val="center"/>
        <w:spacing w:before="120" w:after="120" w:line="400" w:lineRule="exac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工程质量保修书</w:t>
      </w:r>
      <w:r/>
    </w:p>
    <w:p>
      <w:pPr>
        <w:ind w:firstLine="480"/>
        <w:spacing w:line="40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发包人（全称）：</w:t>
      </w:r>
      <w:r>
        <w:rPr>
          <w:rFonts w:hint="eastAsia" w:ascii="宋体" w:hAnsi="宋体"/>
          <w:color w:val="auto"/>
          <w:sz w:val="24"/>
          <w:szCs w:val="24"/>
          <w:highlight w:val="none"/>
          <w:u w:val="single"/>
          <w:lang w:eastAsia="zh-CN"/>
        </w:rPr>
        <w:t xml:space="preserve">南通市通州区金新街道办事处</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承包人（全称）：</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2026年金新街道环境整治工程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签订工程质量保修书。</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1" w:name="_Toc2372"/>
      <w:r>
        <w:rPr>
          <w:rFonts w:hint="eastAsia" w:ascii="宋体" w:hAnsi="宋体" w:eastAsia="宋体"/>
          <w:color w:val="auto"/>
          <w:sz w:val="24"/>
          <w:szCs w:val="24"/>
          <w:highlight w:val="none"/>
        </w:rPr>
        <w:t xml:space="preserve">一、工程质量保修范围和内容</w:t>
      </w:r>
      <w:bookmarkEnd w:id="741"/>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承包人在质量保修期内，按照有关法律规定和合同约定，承担工程质量保修责任。</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质量保修范围包括</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本工程实施所有内容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，以及双方约定的其他项目。具体保修的内容，双方约定如下：</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u w:val="single"/>
        </w:rPr>
        <w:t xml:space="preserve">  详见工程量清单及本工程竣工后实际完成的所有工作内容    </w:t>
      </w:r>
      <w:r>
        <w:rPr>
          <w:rFonts w:hint="eastAsia" w:ascii="宋体" w:hAnsi="宋体" w:eastAsia="宋体"/>
          <w:color w:val="auto"/>
          <w:sz w:val="24"/>
          <w:szCs w:val="24"/>
          <w:highlight w:val="none"/>
        </w:rPr>
        <w:t xml:space="preserve">。</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b/>
          <w:color w:val="auto"/>
          <w:sz w:val="24"/>
          <w:szCs w:val="24"/>
          <w:highlight w:val="none"/>
        </w:rPr>
        <w:t xml:space="preserve">　　</w:t>
      </w:r>
      <w:bookmarkStart w:id="742" w:name="_Toc29208"/>
      <w:r>
        <w:rPr>
          <w:rFonts w:hint="eastAsia" w:ascii="宋体" w:hAnsi="宋体" w:eastAsia="宋体"/>
          <w:color w:val="auto"/>
          <w:sz w:val="24"/>
          <w:szCs w:val="24"/>
          <w:highlight w:val="none"/>
        </w:rPr>
        <w:t xml:space="preserve">二、质量保修期</w:t>
      </w:r>
      <w:bookmarkEnd w:id="742"/>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根据《建设工程质量管理条例》及有关规定，工程的质量保修期如下：</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基础设施工程、房屋建筑的地基基础工程和主体结构工程，为设计文件规定的该工程的合理使用年限；</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屋面防水工程、有防水要求的卫生间、房间和外墙面的防渗漏，为</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lang w:val="en-US" w:eastAsia="zh-CN"/>
        </w:rPr>
        <w:t xml:space="preserve">5</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年；</w:t>
      </w:r>
      <w:r/>
    </w:p>
    <w:p>
      <w:pPr>
        <w:ind w:firstLine="480"/>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供热与供冷系统，为</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u w:val="single"/>
          <w:lang w:val="en-US" w:eastAsia="zh-CN"/>
        </w:rPr>
        <w:t xml:space="preserve">2</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个采暖期、供冷期；</w:t>
      </w:r>
      <w:r/>
    </w:p>
    <w:p>
      <w:pPr>
        <w:ind w:firstLine="480"/>
        <w:spacing w:line="400" w:lineRule="exact"/>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电气管线、给排水管道、设备安装和装修工程，为</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single"/>
          <w:lang w:val="en-US" w:eastAsia="zh-CN"/>
        </w:rPr>
        <w:t xml:space="preserve">2</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eastAsia" w:ascii="宋体" w:hAnsi="宋体" w:cs="Times New Roman"/>
          <w:color w:val="auto"/>
          <w:sz w:val="24"/>
          <w:szCs w:val="24"/>
          <w:highlight w:val="none"/>
          <w:lang w:eastAsia="zh-CN"/>
        </w:rPr>
        <w:t xml:space="preserve">；</w:t>
      </w:r>
      <w:r/>
    </w:p>
    <w:p>
      <w:pPr>
        <w:ind w:firstLine="480"/>
        <w:spacing w:line="400" w:lineRule="exact"/>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其他项目保修期限约定如下：</w:t>
      </w:r>
      <w:r/>
    </w:p>
    <w:p>
      <w:pPr>
        <w:ind w:firstLine="24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Times New Roman" w:hAnsi="宋体" w:eastAsia="宋体"/>
          <w:b/>
          <w:color w:val="auto"/>
          <w:sz w:val="24"/>
          <w:szCs w:val="24"/>
          <w:highlight w:val="none"/>
          <w:u w:val="single"/>
        </w:rPr>
        <w:t xml:space="preserve">本工程其他项目</w:t>
      </w:r>
      <w:r>
        <w:rPr>
          <w:rFonts w:hint="eastAsia" w:ascii="Times New Roman" w:hAnsi="宋体" w:eastAsia="宋体"/>
          <w:b/>
          <w:color w:val="auto"/>
          <w:sz w:val="24"/>
          <w:szCs w:val="24"/>
          <w:highlight w:val="none"/>
          <w:u w:val="single"/>
          <w:lang w:val="en-US" w:eastAsia="zh-CN"/>
        </w:rPr>
        <w:t xml:space="preserve">质量</w:t>
      </w:r>
      <w:r>
        <w:rPr>
          <w:rFonts w:hint="eastAsia" w:ascii="Times New Roman" w:hAnsi="宋体" w:eastAsia="宋体"/>
          <w:b/>
          <w:color w:val="auto"/>
          <w:sz w:val="24"/>
          <w:szCs w:val="24"/>
          <w:highlight w:val="none"/>
          <w:u w:val="single"/>
        </w:rPr>
        <w:t xml:space="preserve">保修期</w:t>
      </w:r>
      <w:r>
        <w:rPr>
          <w:rFonts w:hint="eastAsia" w:hAnsi="宋体"/>
          <w:b/>
          <w:color w:val="auto"/>
          <w:sz w:val="24"/>
          <w:szCs w:val="24"/>
          <w:highlight w:val="none"/>
          <w:u w:val="single"/>
          <w:lang w:val="en-US" w:eastAsia="zh-CN"/>
        </w:rPr>
        <w:t xml:space="preserve">一</w:t>
      </w:r>
      <w:r>
        <w:rPr>
          <w:rFonts w:hint="eastAsia" w:ascii="Times New Roman" w:hAnsi="宋体" w:eastAsia="宋体"/>
          <w:b/>
          <w:color w:val="auto"/>
          <w:sz w:val="24"/>
          <w:szCs w:val="24"/>
          <w:highlight w:val="none"/>
          <w:u w:val="single"/>
        </w:rPr>
        <w:t xml:space="preserve">年</w:t>
      </w:r>
      <w:r>
        <w:rPr>
          <w:rFonts w:hint="eastAsia" w:ascii="宋体" w:hAnsi="宋体" w:eastAsia="宋体"/>
          <w:color w:val="auto"/>
          <w:sz w:val="24"/>
          <w:szCs w:val="24"/>
          <w:highlight w:val="none"/>
        </w:rPr>
        <w:t xml:space="preserve">。</w:t>
      </w:r>
      <w:r/>
    </w:p>
    <w:p>
      <w:pPr>
        <w:ind w:firstLine="480"/>
        <w:spacing w:line="400" w:lineRule="exact"/>
        <w:rPr>
          <w:rFonts w:hint="eastAsia" w:ascii="宋体" w:hAnsi="宋体" w:eastAsia="宋体"/>
          <w:color w:val="auto"/>
          <w:sz w:val="24"/>
          <w:szCs w:val="24"/>
          <w:highlight w:val="none"/>
        </w:rPr>
        <w:outlineLvl w:val="0"/>
      </w:pPr>
      <w:r/>
      <w:bookmarkStart w:id="743" w:name="_Toc18658"/>
      <w:r>
        <w:rPr>
          <w:rFonts w:hint="eastAsia" w:ascii="宋体" w:hAnsi="宋体" w:eastAsia="宋体"/>
          <w:color w:val="auto"/>
          <w:sz w:val="24"/>
          <w:szCs w:val="24"/>
          <w:highlight w:val="none"/>
        </w:rPr>
        <w:t xml:space="preserve">三、缺陷责任期</w:t>
      </w:r>
      <w:bookmarkEnd w:id="743"/>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工程缺陷责任期为</w:t>
      </w:r>
      <w:r>
        <w:rPr>
          <w:rFonts w:hint="eastAsia" w:ascii="宋体" w:hAnsi="宋体"/>
          <w:color w:val="auto"/>
          <w:sz w:val="24"/>
          <w:szCs w:val="24"/>
          <w:highlight w:val="none"/>
          <w:u w:val="single"/>
          <w:lang w:val="en-US" w:eastAsia="zh-CN"/>
        </w:rPr>
        <w:t xml:space="preserve">1</w:t>
      </w:r>
      <w:r>
        <w:rPr>
          <w:rFonts w:hint="eastAsia" w:ascii="宋体" w:hAnsi="宋体" w:eastAsia="宋体"/>
          <w:color w:val="auto"/>
          <w:sz w:val="24"/>
          <w:szCs w:val="24"/>
          <w:highlight w:val="none"/>
          <w:u w:val="single"/>
          <w:lang w:val="en-US" w:eastAsia="zh-CN"/>
        </w:rPr>
        <w:t xml:space="preserve">4</w:t>
      </w:r>
      <w:r>
        <w:rPr>
          <w:rFonts w:hint="eastAsia" w:ascii="宋体" w:hAnsi="宋体" w:eastAsia="宋体"/>
          <w:color w:val="auto"/>
          <w:sz w:val="24"/>
          <w:szCs w:val="24"/>
          <w:highlight w:val="none"/>
        </w:rPr>
        <w:t xml:space="preserve">个月，缺陷责任期自工程通过竣工验收之日起计算。</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4" w:name="_Toc5031"/>
      <w:r>
        <w:rPr>
          <w:rFonts w:hint="eastAsia" w:ascii="宋体" w:hAnsi="宋体" w:eastAsia="宋体"/>
          <w:color w:val="auto"/>
          <w:sz w:val="24"/>
          <w:szCs w:val="24"/>
          <w:highlight w:val="none"/>
        </w:rPr>
        <w:t xml:space="preserve">四、质量保修责任</w:t>
      </w:r>
      <w:bookmarkEnd w:id="744"/>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2．发生紧急事故需抢修的，承包人在接到事故通知后，应当立即到达事故现场抢修。</w:t>
      </w:r>
      <w:r/>
    </w:p>
    <w:p>
      <w:pPr>
        <w:ind w:left="105" w:firstLine="491"/>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4．质量保修完成后，由发包人组织验收。</w:t>
      </w:r>
      <w:r/>
    </w:p>
    <w:p>
      <w:pPr>
        <w:spacing w:line="400" w:lineRule="exact"/>
        <w:rPr>
          <w:rFonts w:hint="eastAsia" w:ascii="宋体" w:hAnsi="宋体" w:eastAsia="宋体"/>
          <w:color w:val="auto"/>
          <w:sz w:val="24"/>
          <w:szCs w:val="24"/>
          <w:highlight w:val="none"/>
        </w:rPr>
        <w:outlineLvl w:val="0"/>
      </w:pPr>
      <w:r>
        <w:rPr>
          <w:rFonts w:hint="eastAsia" w:ascii="宋体" w:hAnsi="宋体" w:eastAsia="宋体"/>
          <w:color w:val="auto"/>
          <w:sz w:val="24"/>
          <w:szCs w:val="24"/>
          <w:highlight w:val="none"/>
        </w:rPr>
        <w:t xml:space="preserve">　　</w:t>
      </w:r>
      <w:bookmarkStart w:id="745" w:name="_Toc32029"/>
      <w:r>
        <w:rPr>
          <w:rFonts w:hint="eastAsia" w:ascii="宋体" w:hAnsi="宋体" w:eastAsia="宋体"/>
          <w:color w:val="auto"/>
          <w:sz w:val="24"/>
          <w:szCs w:val="24"/>
          <w:highlight w:val="none"/>
        </w:rPr>
        <w:t xml:space="preserve">五、保修费用</w:t>
      </w:r>
      <w:bookmarkEnd w:id="745"/>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保修费用由造成质量缺陷的责任方承担。</w:t>
      </w:r>
      <w:r/>
    </w:p>
    <w:p>
      <w:pPr>
        <w:ind w:firstLine="600"/>
        <w:jc w:val="left"/>
        <w:spacing w:line="400" w:lineRule="exact"/>
        <w:rPr>
          <w:rFonts w:hint="eastAsia" w:ascii="宋体" w:hAnsi="宋体" w:eastAsia="宋体"/>
          <w:color w:val="auto"/>
          <w:sz w:val="24"/>
          <w:szCs w:val="24"/>
          <w:highlight w:val="none"/>
        </w:rPr>
        <w:outlineLvl w:val="0"/>
      </w:pPr>
      <w:r/>
      <w:bookmarkStart w:id="746" w:name="_Toc32222"/>
      <w:r>
        <w:rPr>
          <w:rFonts w:hint="eastAsia" w:ascii="宋体" w:hAnsi="宋体" w:eastAsia="宋体"/>
          <w:b/>
          <w:color w:val="auto"/>
          <w:sz w:val="24"/>
          <w:szCs w:val="24"/>
          <w:highlight w:val="none"/>
        </w:rPr>
        <w:t xml:space="preserve">六</w:t>
      </w:r>
      <w:r>
        <w:rPr>
          <w:rFonts w:hint="eastAsia" w:ascii="宋体" w:hAnsi="宋体" w:eastAsia="宋体"/>
          <w:color w:val="auto"/>
          <w:sz w:val="24"/>
          <w:szCs w:val="24"/>
          <w:highlight w:val="none"/>
        </w:rPr>
        <w:t xml:space="preserve">、双方约定的其他工程质量保修事项：</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bookmarkEnd w:id="746"/>
      <w:r/>
      <w:r/>
    </w:p>
    <w:p>
      <w:pPr>
        <w:ind w:firstLine="456"/>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发包人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承包人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公章</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签字</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r>
        <w:rPr>
          <w:rFonts w:hint="eastAsia" w:ascii="宋体" w:hAnsi="宋体" w:eastAsia="宋体"/>
          <w:color w:val="auto"/>
          <w:sz w:val="24"/>
          <w:szCs w:val="24"/>
          <w:highlight w:val="none"/>
          <w:u w:val="single"/>
        </w:rPr>
        <w:t xml:space="preserve">                          </w:t>
      </w:r>
      <w:r/>
    </w:p>
    <w:p>
      <w:pP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r/>
    </w:p>
    <w:p>
      <w:pPr>
        <w:spacing w:line="400" w:lineRule="exact"/>
        <w:rPr>
          <w:b/>
          <w:color w:val="auto"/>
          <w:sz w:val="24"/>
          <w:szCs w:val="24"/>
          <w:highlight w:val="none"/>
        </w:rPr>
      </w:pPr>
      <w:r>
        <w:rPr>
          <w:b/>
          <w:color w:val="auto"/>
          <w:sz w:val="24"/>
          <w:szCs w:val="24"/>
          <w:highlight w:val="none"/>
        </w:rPr>
      </w:r>
      <w:r/>
    </w:p>
    <w:p>
      <w:pPr>
        <w:jc w:val="center"/>
        <w:spacing w:before="120" w:after="120" w:line="400" w:lineRule="exact"/>
        <w:rPr>
          <w:rFonts w:hint="eastAsia" w:ascii="宋体" w:hAnsi="宋体" w:eastAsia="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olor w:val="auto"/>
          <w:sz w:val="24"/>
          <w:szCs w:val="24"/>
          <w:highlight w:val="none"/>
        </w:rPr>
      </w:r>
      <w:r/>
    </w:p>
    <w:p>
      <w:pPr>
        <w:jc w:val="left"/>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                             </w:t>
      </w:r>
      <w:r/>
    </w:p>
    <w:p>
      <w:pPr>
        <w:jc w:val="center"/>
        <w:spacing w:before="120" w:after="120"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廉政协议</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协议单位：发包人（简称甲方）：</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南通市通州区金新街道办事处</w:t>
      </w:r>
      <w:r>
        <w:rPr>
          <w:rFonts w:hint="eastAsia" w:ascii="宋体" w:hAnsi="宋体" w:eastAsia="宋体"/>
          <w:color w:val="auto"/>
          <w:sz w:val="24"/>
          <w:szCs w:val="24"/>
          <w:highlight w:val="none"/>
          <w:u w:val="single"/>
        </w:rPr>
        <w:t xml:space="preserve"> </w:t>
      </w:r>
      <w:r/>
    </w:p>
    <w:p>
      <w:pPr>
        <w:ind w:firstLine="120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承包人（简称乙方）：</w:t>
      </w:r>
      <w:r>
        <w:rPr>
          <w:rFonts w:hint="eastAsia" w:ascii="宋体" w:hAnsi="宋体" w:eastAsia="宋体"/>
          <w:color w:val="auto"/>
          <w:sz w:val="24"/>
          <w:szCs w:val="24"/>
          <w:highlight w:val="none"/>
          <w:u w:val="single"/>
        </w:rPr>
        <w:t xml:space="preserve">                            </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为加强工程建设中的廉政建设，规范工程建设项目承、发包双方的各项活动，共同维护建设市场的秩序，确保工程质量。经甲乙双方协商，现就</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2026年金新街道环境整治工程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自愿签订廉政协议：</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二、乙方不得以任何形式向甲方管理人员赠送各种贵重物品、礼金礼券和回扣、好处费等。如有违反，将移送有关单位，视情节轻重，给予党纪、政纪处分，构成犯罪的追究刑事责任。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三、乙方在工程建设中贿赂甲方管理人员，经检举被核实查证的，甲方有权中止工程承包合同，乙方承担甲方造成的经济损失。</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四、甲方管理人员向乙方索贿，经检举被核实查证的，给予检举人奖励，奖金由甲方承担。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五、乙方在承建工程中，若违反廉政协议，甲方可拒绝乙方以后参加的由甲方实施的政府项目的建设，直至取消乙方的政府投资项目投标资格。</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六、此协议与建设工程承包合同同时签订，一式捌份，甲乙双方各执肆份。</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七、此协议自双方签字盖章之日起生效。</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甲方单位：（公章）             乙方单位：（公章）</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法定代表人：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委托代理人：</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地址：</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电话：</w:t>
      </w:r>
      <w:r/>
    </w:p>
    <w:p>
      <w:pPr>
        <w:ind w:firstLine="48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    月    日                  年    月    日</w:t>
      </w:r>
      <w:r/>
    </w:p>
    <w:p>
      <w:pPr>
        <w:ind w:firstLine="480"/>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p>
      <w:pPr>
        <w:jc w:val="center"/>
        <w:spacing w:line="360" w:lineRule="auto"/>
        <w:rPr>
          <w:rFonts w:hint="eastAsia" w:ascii="宋体" w:hAnsi="宋体" w:eastAsia="宋体" w:cs="宋体"/>
          <w:color w:val="auto"/>
          <w:sz w:val="24"/>
          <w:szCs w:val="24"/>
          <w:highlight w:val="none"/>
        </w:rPr>
        <w:sectPr>
          <w:footnotePr/>
          <w:endnotePr/>
          <w:type w:val="nextPage"/>
          <w:pgSz w:w="11907" w:h="16840" w:orient="portrait"/>
          <w:pgMar w:top="1440" w:right="1559" w:bottom="1440" w:left="1560" w:header="851" w:footer="851" w:gutter="0"/>
          <w:lnNumType w:countBy="0" w:start="1"/>
          <w:cols w:num="1" w:sep="0" w:space="1701" w:equalWidth="1"/>
          <w:docGrid w:linePitch="360"/>
        </w:sect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安全生产合同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南通市通州区金新街道办事处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2026年金新街道环境整治工程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一、发包人职责 </w:t>
      </w:r>
      <w:r/>
    </w:p>
    <w:p>
      <w:pPr>
        <w:numPr>
          <w:ilvl w:val="0"/>
          <w:numId w:val="6"/>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严格遵守国家有关安全生产的法律法规、认真执行工程承包合同中的有关安全要求。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2．按照“安全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预防为主”和坚持“管生产必须管安全”的原则进行安全生产管理，做到生产与安全工作同时计划、布置、检查、总结和评比。</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地方有关安全生产的精神。</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5.组织对承包人施工现场安全生产检查，监督</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及时处理发现的各项隐患。</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二、承包人职责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1．严格遵守国家有关安全生产的法律法规和有关安全生产的规定，认真执行工程承包合同中的有关安全要求。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w:t>
      </w:r>
      <w:r>
        <w:rPr>
          <w:rFonts w:hint="eastAsia" w:ascii="宋体" w:hAnsi="宋体" w:eastAsia="宋体" w:cs="宋体"/>
          <w:color w:val="auto"/>
          <w:sz w:val="24"/>
          <w:szCs w:val="24"/>
          <w:highlight w:val="none"/>
          <w:lang w:eastAsia="zh-CN"/>
        </w:rPr>
        <w:t xml:space="preserve">第一，</w:t>
      </w:r>
      <w:r>
        <w:rPr>
          <w:rFonts w:hint="eastAsia" w:ascii="宋体" w:hAnsi="宋体" w:eastAsia="宋体" w:cs="宋体"/>
          <w:color w:val="auto"/>
          <w:sz w:val="24"/>
          <w:szCs w:val="24"/>
          <w:highlight w:val="none"/>
        </w:rPr>
        <w:t xml:space="preserve">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4．承包人在任何时候都应采取各种合理的预防措施，防止其员工发生任何违法、违禁、暴力或妨碍治安的行为。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auto"/>
          <w:sz w:val="24"/>
          <w:szCs w:val="24"/>
          <w:highlight w:val="none"/>
          <w:lang w:val="en-US" w:eastAsia="zh-CN"/>
        </w:rPr>
        <w:t xml:space="preserve">登</w:t>
      </w:r>
      <w:r>
        <w:rPr>
          <w:rFonts w:hint="eastAsia" w:ascii="宋体" w:hAnsi="宋体" w:eastAsia="宋体" w:cs="宋体"/>
          <w:color w:val="auto"/>
          <w:sz w:val="24"/>
          <w:szCs w:val="24"/>
          <w:highlight w:val="none"/>
        </w:rPr>
        <w:t xml:space="preserve">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7"/>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如因发包人或承包人违约造成安全事故，将依法追究责任。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本合同正本一式二份，副本八份，合同双方各执正本一份，副本四份。由双方法定代表人或其授权的代理人签署与加盖公章后生效，全部工程竣工验收后失效。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承 包 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委托代表人：</w:t>
      </w:r>
      <w:r/>
    </w:p>
    <w:p>
      <w:pPr>
        <w:ind w:firstLine="1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rPr>
          <w:rFonts w:hint="eastAsia" w:ascii="宋体" w:hAnsi="宋体" w:eastAsia="宋体" w:cs="宋体"/>
          <w:b/>
          <w:color w:val="auto"/>
          <w:sz w:val="24"/>
          <w:szCs w:val="24"/>
          <w:highlight w:val="none"/>
          <w:lang w:eastAsia="zh-CN"/>
        </w:rPr>
        <w:sectPr>
          <w:footerReference w:type="default" r:id="rId18"/>
          <w:footerReference w:type="first" r:id="rId19"/>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保留对本合同修改的权利</w:t>
      </w:r>
      <w:r>
        <w:rPr>
          <w:rFonts w:hint="eastAsia" w:ascii="宋体" w:hAnsi="宋体" w:eastAsia="宋体" w:cs="宋体"/>
          <w:b/>
          <w:color w:val="auto"/>
          <w:sz w:val="24"/>
          <w:szCs w:val="24"/>
          <w:highlight w:val="none"/>
          <w:lang w:eastAsia="zh-CN"/>
        </w:rPr>
        <w:t xml:space="preserve">。</w:t>
      </w:r>
      <w:r/>
    </w:p>
    <w:p>
      <w:pPr>
        <w:ind w:left="1423" w:right="0" w:firstLine="0"/>
        <w:jc w:val="both"/>
        <w:spacing w:before="216" w:after="0" w:line="49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235"/>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90"/>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color w:val="auto"/>
                <w:highlight w:val="none"/>
                <w:lang w:val="en-US" w:eastAsia="zh-CN"/>
              </w:rPr>
              <w:t xml:space="preserve">单位公章</w:t>
            </w:r>
            <w:r/>
          </w:p>
          <w:p>
            <w:pPr>
              <w:pStyle w:val="1015"/>
              <w:jc w:val="right"/>
              <w:rPr>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p>
      <w:pPr>
        <w:pStyle w:val="1017"/>
        <w:rPr>
          <w:rFonts w:hint="eastAsia"/>
          <w:color w:val="auto"/>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747" w:name="_Toc49090575"/>
      <w:r/>
      <w:bookmarkStart w:id="748" w:name="_Toc26554093"/>
      <w:r/>
      <w:r/>
    </w:p>
    <w:p>
      <w:pPr>
        <w:spacing w:line="520" w:lineRule="exact"/>
        <w:rPr>
          <w:rFonts w:hint="eastAsia" w:ascii="宋体" w:hAnsi="宋体" w:eastAsia="宋体" w:cs="宋体"/>
          <w:b/>
          <w:color w:val="auto"/>
          <w:sz w:val="24"/>
          <w:szCs w:val="24"/>
          <w:highlight w:val="none"/>
        </w:rPr>
        <w:outlineLvl w:val="0"/>
      </w:pPr>
      <w:r/>
      <w:bookmarkStart w:id="749" w:name="_Toc18753"/>
      <w:r/>
      <w:bookmarkStart w:id="750" w:name="_Toc120614281"/>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rPr>
        <w:t xml:space="preserve">项目简介</w:t>
      </w:r>
      <w:bookmarkEnd w:id="749"/>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1.项目编号：JSZC-320612-NTJD-C2026-0009</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2026年金新街道环境整治工程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127.18万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标底审计价</w:t>
      </w:r>
      <w:r>
        <w:rPr>
          <w:rFonts w:hint="eastAsia" w:ascii="宋体" w:hAnsi="宋体" w:eastAsia="宋体" w:cs="宋体"/>
          <w:color w:val="auto"/>
          <w:sz w:val="24"/>
          <w:szCs w:val="24"/>
          <w:highlight w:val="none"/>
          <w:lang w:val="en-US" w:eastAsia="zh-CN"/>
        </w:rPr>
        <w:t xml:space="preserve">*100%的费率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righ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本项目主要招两家单位，</w:t>
      </w:r>
      <w:r>
        <w:rPr>
          <w:rFonts w:hint="eastAsia" w:ascii="宋体" w:hAnsi="宋体" w:eastAsia="宋体" w:cs="宋体"/>
          <w:color w:val="auto"/>
          <w:sz w:val="24"/>
          <w:szCs w:val="24"/>
          <w:highlight w:val="none"/>
          <w:lang w:val="en-US" w:eastAsia="zh-CN"/>
        </w:rPr>
        <w:t xml:space="preserve">具体承包</w:t>
      </w:r>
      <w:r>
        <w:rPr>
          <w:rFonts w:hint="eastAsia" w:ascii="宋体" w:hAnsi="宋体" w:eastAsia="宋体" w:cs="宋体"/>
          <w:color w:val="auto"/>
          <w:sz w:val="24"/>
          <w:szCs w:val="24"/>
          <w:highlight w:val="none"/>
          <w:lang w:eastAsia="zh-CN"/>
        </w:rPr>
        <w:t xml:space="preserve">维修</w:t>
      </w:r>
      <w:r>
        <w:rPr>
          <w:rFonts w:hint="eastAsia" w:ascii="宋体" w:hAnsi="宋体" w:eastAsia="宋体" w:cs="宋体"/>
          <w:color w:val="auto"/>
          <w:sz w:val="24"/>
          <w:szCs w:val="24"/>
          <w:highlight w:val="none"/>
          <w:lang w:val="en-US" w:eastAsia="zh-CN"/>
        </w:rPr>
        <w:t xml:space="preserve">范围以业主派工单为准，如接到业主派工单，需24小时内到达现场组织施工，如晚一天，扣除1000元/天，如发现三次，业主有权终止合同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两家单位合同</w:t>
      </w:r>
      <w:r>
        <w:rPr>
          <w:rFonts w:hint="eastAsia" w:ascii="宋体" w:hAnsi="宋体" w:eastAsia="宋体" w:cs="宋体"/>
          <w:color w:val="auto"/>
          <w:sz w:val="24"/>
          <w:szCs w:val="24"/>
          <w:highlight w:val="none"/>
          <w:lang w:eastAsia="zh-CN"/>
        </w:rPr>
        <w:t xml:space="preserve">金额累计</w:t>
      </w:r>
      <w:r>
        <w:rPr>
          <w:rFonts w:hint="eastAsia" w:ascii="宋体" w:hAnsi="宋体" w:eastAsia="宋体" w:cs="宋体"/>
          <w:color w:val="auto"/>
          <w:sz w:val="24"/>
          <w:szCs w:val="24"/>
          <w:highlight w:val="none"/>
        </w:rPr>
        <w:t xml:space="preserve">不</w:t>
      </w:r>
      <w:r>
        <w:rPr>
          <w:rFonts w:hint="eastAsia" w:ascii="宋体" w:hAnsi="宋体" w:eastAsia="宋体" w:cs="宋体"/>
          <w:color w:val="auto"/>
          <w:sz w:val="24"/>
          <w:szCs w:val="24"/>
          <w:highlight w:val="none"/>
          <w:lang w:val="en-US" w:eastAsia="zh-CN"/>
        </w:rPr>
        <w:t xml:space="preserve">超过</w:t>
      </w:r>
      <w:r>
        <w:rPr>
          <w:rFonts w:hint="eastAsia" w:ascii="宋体" w:hAnsi="宋体" w:cs="宋体"/>
          <w:color w:val="auto"/>
          <w:sz w:val="24"/>
          <w:szCs w:val="24"/>
          <w:highlight w:val="none"/>
          <w:lang w:val="en-US" w:eastAsia="zh-CN"/>
        </w:rPr>
        <w:t xml:space="preserve">127.18</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（当合同金额满</w:t>
      </w:r>
      <w:r>
        <w:rPr>
          <w:rFonts w:hint="eastAsia" w:ascii="宋体" w:hAnsi="宋体" w:cs="宋体"/>
          <w:color w:val="auto"/>
          <w:sz w:val="24"/>
          <w:szCs w:val="24"/>
          <w:highlight w:val="none"/>
          <w:lang w:val="en-US" w:eastAsia="zh-CN"/>
        </w:rPr>
        <w:t xml:space="preserve">127.18</w:t>
      </w:r>
      <w:r>
        <w:rPr>
          <w:rFonts w:hint="eastAsia" w:ascii="宋体" w:hAnsi="宋体" w:eastAsia="宋体" w:cs="宋体"/>
          <w:color w:val="auto"/>
          <w:sz w:val="24"/>
          <w:szCs w:val="24"/>
          <w:highlight w:val="none"/>
          <w:lang w:val="en-US" w:eastAsia="zh-CN"/>
        </w:rPr>
        <w:t xml:space="preserve">万元时，合同终止）最终结算时以</w:t>
      </w:r>
      <w:r>
        <w:rPr>
          <w:rFonts w:hint="eastAsia" w:ascii="宋体" w:hAnsi="宋体" w:cs="宋体"/>
          <w:color w:val="auto"/>
          <w:sz w:val="24"/>
          <w:szCs w:val="24"/>
          <w:highlight w:val="none"/>
          <w:u w:val="single"/>
          <w:lang w:val="en-US" w:eastAsia="zh-CN"/>
        </w:rPr>
        <w:t xml:space="preserve">标底审计价</w:t>
      </w:r>
      <w:r>
        <w:rPr>
          <w:rFonts w:hint="eastAsia" w:ascii="宋体" w:hAnsi="宋体" w:eastAsia="宋体" w:cs="宋体"/>
          <w:color w:val="auto"/>
          <w:sz w:val="24"/>
          <w:szCs w:val="24"/>
          <w:highlight w:val="none"/>
          <w:u w:val="single"/>
          <w:lang w:val="en-US" w:eastAsia="zh-CN"/>
        </w:rPr>
        <w:t xml:space="preserve">*   %（成交费率）</w:t>
      </w:r>
      <w:r>
        <w:rPr>
          <w:rFonts w:hint="eastAsia" w:ascii="宋体" w:hAnsi="宋体" w:eastAsia="宋体" w:cs="宋体"/>
          <w:color w:val="auto"/>
          <w:sz w:val="24"/>
          <w:szCs w:val="24"/>
          <w:highlight w:val="none"/>
          <w:lang w:val="en-US" w:eastAsia="zh-CN"/>
        </w:rPr>
        <w:t xml:space="preserve">按实际工程量进行结算。</w:t>
      </w:r>
      <w:r>
        <w:rPr>
          <w:rFonts w:hint="eastAsia" w:ascii="宋体" w:hAnsi="宋体" w:eastAsia="宋体" w:cs="宋体"/>
          <w:color w:val="auto"/>
          <w:sz w:val="24"/>
          <w:szCs w:val="24"/>
          <w:highlight w:val="none"/>
          <w:lang w:eastAsia="zh-CN"/>
        </w:rPr>
        <w:t xml:space="preserve">）</w:t>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注：1、因系统原因，供应商制作响应文件线上填写最终报价时，开标一览表或系统格式中响应报价有折扣率(或优惠率)等不同描述的，均按本文件中的费率进行理解，供应商请统一按费率报价形式填写。</w:t>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2、本报价函(首次报价)为格式表，不得自行改动，必须提供。首次报价，不同地方填写不一致的，以本表中填写的“投标费率”数据为准进行评审。</w:t>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3.最终结算=实际工程量*</w:t>
      </w:r>
      <w:r>
        <w:rPr>
          <w:rFonts w:hint="eastAsia" w:ascii="宋体" w:hAnsi="宋体" w:cs="宋体"/>
          <w:color w:val="auto"/>
          <w:sz w:val="24"/>
          <w:szCs w:val="24"/>
          <w:highlight w:val="none"/>
          <w:lang w:val="en-US" w:eastAsia="zh-CN"/>
        </w:rPr>
        <w:t xml:space="preserve">标底审计价</w:t>
      </w:r>
      <w:r>
        <w:rPr>
          <w:rFonts w:hint="default" w:ascii="宋体" w:hAnsi="宋体" w:eastAsia="宋体" w:cs="宋体"/>
          <w:color w:val="auto"/>
          <w:sz w:val="24"/>
          <w:szCs w:val="24"/>
          <w:highlight w:val="none"/>
          <w:lang w:val="en-US" w:eastAsia="zh-CN"/>
        </w:rPr>
        <w:t xml:space="preserve">*费率。如有不清楚的，请在开标前联系招标代理，如最终报价填写错误，后果自行承担。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eastAsia="zh-CN"/>
        </w:rPr>
        <w:t xml:space="preserve">本项目主要建设内容为铺防尘网、打防护桩、彩钢围档、隔离栏、围挡覆绿、划标线、围挡修补、围档覆绿修补、荷兰网、绿化带护栏、墙面涂料翻新等，</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rPr>
      </w:pPr>
      <w:r>
        <w:rPr>
          <w:rFonts w:hint="eastAsia" w:ascii="宋体" w:hAnsi="宋体" w:eastAsia="宋体" w:cs="宋体"/>
          <w:color w:val="auto"/>
          <w:sz w:val="24"/>
          <w:szCs w:val="24"/>
          <w:highlight w:val="none"/>
          <w:lang w:val="en-US" w:eastAsia="zh-CN"/>
        </w:rPr>
        <w:t xml:space="preserve">7.</w:t>
      </w:r>
      <w:r>
        <w:rPr>
          <w:rFonts w:hint="eastAsia" w:ascii="宋体" w:hAnsi="宋体"/>
          <w:color w:val="auto"/>
          <w:sz w:val="24"/>
          <w:szCs w:val="24"/>
          <w:highlight w:val="none"/>
        </w:rPr>
        <w:t xml:space="preserve">合同履行期限：</w:t>
      </w:r>
      <w:r>
        <w:rPr>
          <w:rFonts w:hint="eastAsia" w:ascii="Times New Roman" w:hAnsi="Times New Roman" w:eastAsia="宋体" w:cs="Times New Roman"/>
          <w:color w:val="auto"/>
          <w:sz w:val="24"/>
          <w:szCs w:val="24"/>
        </w:rPr>
        <w:t xml:space="preserve">签订合同后</w:t>
      </w:r>
      <w:r>
        <w:rPr>
          <w:rFonts w:hint="eastAsia" w:cs="Times New Roman"/>
          <w:color w:val="auto"/>
          <w:sz w:val="24"/>
          <w:szCs w:val="24"/>
          <w:lang w:val="en-US" w:eastAsia="zh-CN"/>
        </w:rPr>
        <w:t xml:space="preserve">两年</w:t>
      </w:r>
      <w:r>
        <w:rPr>
          <w:rFonts w:hint="eastAsia" w:ascii="Times New Roman" w:hAnsi="Times New Roman" w:eastAsia="宋体" w:cs="Times New Roman"/>
          <w:color w:val="auto"/>
          <w:sz w:val="24"/>
          <w:szCs w:val="24"/>
        </w:rPr>
        <w:t xml:space="preserve">。</w:t>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注：两家单位合同金额累计不超过127.18万元（当合同金额满127.18万元时，合同终止）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.质量要求：合格。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u w:val="single"/>
        </w:rPr>
        <w:t xml:space="preserve">不接受</w:t>
      </w:r>
      <w:r>
        <w:rPr>
          <w:rFonts w:hint="eastAsia" w:ascii="宋体" w:hAnsi="宋体" w:cs="宋体"/>
          <w:color w:val="auto"/>
          <w:sz w:val="24"/>
          <w:szCs w:val="24"/>
          <w:highlight w:val="none"/>
        </w:rPr>
        <w:t xml:space="preserve">联合体参与磋商。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u w:val="single"/>
        </w:rPr>
        <w:t xml:space="preserve">不接受</w:t>
      </w:r>
      <w:r>
        <w:rPr>
          <w:rFonts w:hint="eastAsia" w:ascii="宋体" w:hAnsi="宋体" w:cs="宋体"/>
          <w:color w:val="auto"/>
          <w:sz w:val="24"/>
          <w:szCs w:val="24"/>
          <w:highlight w:val="none"/>
        </w:rPr>
        <w:t xml:space="preserve">分包。</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.本项目是否专门面向中小企业采购：</w:t>
      </w:r>
      <w:r>
        <w:rPr>
          <w:rFonts w:hint="eastAsia" w:ascii="宋体" w:hAnsi="宋体" w:cs="宋体"/>
          <w:color w:val="auto"/>
          <w:sz w:val="24"/>
          <w:szCs w:val="24"/>
          <w:highlight w:val="none"/>
          <w:u w:val="single"/>
        </w:rPr>
        <w:t xml:space="preserve">是</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2.付款方式：每</w:t>
      </w:r>
      <w:r>
        <w:rPr>
          <w:rFonts w:hint="default" w:ascii="宋体" w:hAnsi="宋体" w:cs="宋体"/>
          <w:color w:val="auto"/>
          <w:sz w:val="24"/>
          <w:szCs w:val="24"/>
          <w:highlight w:val="none"/>
          <w:lang w:eastAsia="zh-CN"/>
        </w:rPr>
        <w:t xml:space="preserve">月验收一次，每</w:t>
      </w:r>
      <w:r>
        <w:rPr>
          <w:rFonts w:hint="eastAsia" w:ascii="宋体" w:hAnsi="宋体" w:eastAsia="宋体" w:cs="宋体"/>
          <w:color w:val="auto"/>
          <w:sz w:val="24"/>
          <w:szCs w:val="24"/>
          <w:highlight w:val="none"/>
          <w:lang w:val="en-US" w:eastAsia="zh-CN"/>
        </w:rPr>
        <w:t xml:space="preserve">季度按实际施工费的50%支付一次，季度审计结束后付至审计价的80%，质保期满凭竣工验收合格证明、审计报告付清余款。（实际施工费=实际工程量*</w:t>
      </w:r>
      <w:r>
        <w:rPr>
          <w:rFonts w:hint="eastAsia" w:ascii="宋体" w:hAnsi="宋体" w:cs="宋体"/>
          <w:color w:val="auto"/>
          <w:sz w:val="24"/>
          <w:szCs w:val="24"/>
          <w:highlight w:val="none"/>
          <w:lang w:val="en-US" w:eastAsia="zh-CN"/>
        </w:rPr>
        <w:t xml:space="preserve">标底审计价</w:t>
      </w:r>
      <w:r>
        <w:rPr>
          <w:rFonts w:hint="eastAsia" w:ascii="宋体" w:hAnsi="宋体" w:eastAsia="宋体" w:cs="宋体"/>
          <w:color w:val="auto"/>
          <w:sz w:val="24"/>
          <w:szCs w:val="24"/>
          <w:highlight w:val="none"/>
          <w:lang w:val="en-US" w:eastAsia="zh-CN"/>
        </w:rPr>
        <w:t xml:space="preserve">*成交费率）</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15.本项目由两家中标单位一同服务，具体承包维修范围以业主派工单为准，合同签订费率以两家报价最低的费率为准。一旦成交，成交人不得提出额外要求。</w:t>
      </w:r>
      <w:r/>
    </w:p>
    <w:p>
      <w:pPr>
        <w:pStyle w:val="1007"/>
        <w:ind w:firstLine="480"/>
        <w:keepLines w:val="0"/>
        <w:keepNext w:val="0"/>
        <w:pageBreakBefore w:val="0"/>
        <w:spacing w:after="0" w:line="360" w:lineRule="auto"/>
        <w:widowControl w:val="off"/>
        <w:rPr>
          <w:rFonts w:ascii="宋体" w:hAnsi="宋体" w:cs="宋体"/>
          <w:color w:val="auto"/>
          <w:sz w:val="24"/>
          <w:szCs w:val="24"/>
          <w:highlight w:val="none"/>
        </w:rPr>
      </w:pPr>
      <w:r>
        <w:rPr>
          <w:rFonts w:hint="eastAsia" w:ascii="宋体" w:hAnsi="宋体" w:eastAsia="宋体" w:cs="宋体"/>
          <w:color w:val="auto"/>
          <w:sz w:val="24"/>
          <w:highlight w:val="none"/>
          <w:lang w:val="en-US" w:eastAsia="zh-CN"/>
        </w:rPr>
        <w:t xml:space="preserve">16.其他</w:t>
      </w:r>
      <w:r>
        <w:rPr>
          <w:rFonts w:hint="eastAsia"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本项目履约保证金为合同价款的10%。成交人在签订合同前向采购人缴纳履约保证金</w:t>
      </w:r>
      <w:r>
        <w:rPr>
          <w:rFonts w:hint="eastAsia" w:cs="宋体"/>
          <w:color w:val="auto"/>
          <w:sz w:val="24"/>
          <w:szCs w:val="24"/>
          <w:highlight w:val="none"/>
          <w:lang w:eastAsia="zh-CN"/>
        </w:rPr>
        <w:t xml:space="preserve">。</w:t>
      </w:r>
      <w:r>
        <w:rPr>
          <w:rFonts w:hint="eastAsia" w:ascii="宋体" w:hAnsi="宋体" w:cs="宋体"/>
          <w:color w:val="auto"/>
          <w:sz w:val="24"/>
          <w:szCs w:val="24"/>
          <w:highlight w:val="none"/>
        </w:rPr>
        <w:t xml:space="preserve">如果成交人不同意按照规定去做，采购人有权取消本次采购成交决定。</w:t>
      </w:r>
      <w:r/>
    </w:p>
    <w:p>
      <w:pPr>
        <w:ind w:firstLine="482"/>
        <w:keepLines w:val="0"/>
        <w:keepNext w:val="0"/>
        <w:pageBreakBefore w:val="0"/>
        <w:spacing w:line="360" w:lineRule="auto"/>
        <w:widowControl w:val="off"/>
        <w:rPr>
          <w:rFonts w:hint="eastAsia" w:ascii="宋体" w:hAnsi="宋体"/>
          <w:b/>
          <w:color w:val="auto"/>
          <w:sz w:val="24"/>
          <w:highlight w:val="none"/>
        </w:rPr>
        <w:outlineLvl w:val="0"/>
      </w:pPr>
      <w:r>
        <w:rPr>
          <w:rFonts w:hint="eastAsia" w:ascii="宋体" w:hAnsi="宋体"/>
          <w:b/>
          <w:color w:val="auto"/>
          <w:sz w:val="24"/>
          <w:highlight w:val="none"/>
          <w:lang w:val="en-US" w:eastAsia="zh-CN"/>
        </w:rPr>
        <w:t xml:space="preserve">二</w:t>
      </w:r>
      <w:r>
        <w:rPr>
          <w:rFonts w:hint="eastAsia" w:ascii="宋体" w:hAnsi="宋体"/>
          <w:b/>
          <w:color w:val="auto"/>
          <w:sz w:val="24"/>
          <w:highlight w:val="none"/>
          <w:lang w:val="zh-CN"/>
        </w:rPr>
        <w:t xml:space="preserve">、工程量清单</w:t>
      </w:r>
      <w:r/>
    </w:p>
    <w:p>
      <w:pPr>
        <w:ind w:firstLine="482"/>
        <w:keepLines w:val="0"/>
        <w:keepNext w:val="0"/>
        <w:pageBreakBefore w:val="0"/>
        <w:spacing w:line="360" w:lineRule="auto"/>
        <w:widowControl w:val="off"/>
        <w:rPr>
          <w:rFonts w:hint="eastAsia" w:ascii="宋体" w:hAnsi="宋体"/>
          <w:b/>
          <w:color w:val="auto"/>
          <w:sz w:val="24"/>
          <w:highlight w:val="none"/>
        </w:rPr>
        <w:outlineLvl w:val="2"/>
      </w:pPr>
      <w:r/>
      <w:bookmarkStart w:id="751" w:name="_Toc498006750"/>
      <w:r/>
      <w:bookmarkStart w:id="752" w:name="_Toc473034407"/>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．投标</w:t>
      </w:r>
      <w:r>
        <w:rPr>
          <w:rFonts w:hint="eastAsia" w:ascii="宋体" w:hAnsi="宋体"/>
          <w:b/>
          <w:color w:val="auto"/>
          <w:sz w:val="24"/>
          <w:highlight w:val="none"/>
          <w:lang w:val="en-US" w:eastAsia="zh-CN"/>
        </w:rPr>
        <w:t xml:space="preserve">费率报价</w:t>
      </w:r>
      <w:r>
        <w:rPr>
          <w:rFonts w:hint="eastAsia" w:ascii="宋体" w:hAnsi="宋体"/>
          <w:b/>
          <w:color w:val="auto"/>
          <w:sz w:val="24"/>
          <w:highlight w:val="none"/>
        </w:rPr>
        <w:t xml:space="preserve">要求</w:t>
      </w:r>
      <w:bookmarkEnd w:id="751"/>
      <w:r/>
      <w:bookmarkEnd w:id="752"/>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.1投标报价应根据竞争性</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文件中的有关计价要求，并按照下列依据自主报价，但不得低于成本。</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  本竞争性</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  相关计算规范；</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  国家或省级、行业建设主管部门颁发的计价办法；</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  企业定额，国家或省级、行业建设主管部门颁发的计价定额；</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  竞争性</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文件、招标工程量清单及其补充通知、答疑纪要；</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(6)  设计文件及相关资料；</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(7)  施工现场情况、工程特点及拟定的投标施工组织设计或施工方案；</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(8)  与建设项目相关的标准、规范等技术资料；</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(9)  市场价格信息或工程造价管理机构发布的工程造价信息；</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(10) 其他的相关资料。</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工程量清单中标价的</w:t>
      </w:r>
      <w:r>
        <w:rPr>
          <w:rFonts w:hint="eastAsia" w:ascii="宋体" w:hAnsi="宋体"/>
          <w:color w:val="auto"/>
          <w:sz w:val="24"/>
          <w:highlight w:val="none"/>
          <w:lang w:val="en-US" w:eastAsia="zh-CN"/>
        </w:rPr>
        <w:t xml:space="preserve">费率</w:t>
      </w:r>
      <w:r>
        <w:rPr>
          <w:rFonts w:hint="eastAsia" w:ascii="宋体" w:hAnsi="宋体"/>
          <w:color w:val="auto"/>
          <w:sz w:val="24"/>
          <w:highlight w:val="none"/>
        </w:rPr>
        <w:t xml:space="preserve">，应包括所需人工费、材料费、施工机具使用费、管理费和利润，以及一定范围内的风险费用。所谓“一定范围内的风险”是指合同约定的风险。</w:t>
      </w:r>
      <w:r/>
    </w:p>
    <w:p>
      <w:pPr>
        <w:ind w:firstLine="480"/>
        <w:keepLines w:val="0"/>
        <w:keepNext w:val="0"/>
        <w:pageBreakBefore w:val="0"/>
        <w:spacing w:line="360" w:lineRule="auto"/>
        <w:widowControl w:val="off"/>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1分部分项工程和措施项目中的单价项目，应根据竞争性</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文件和招标工程量清单确定综合单价。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标底审计价*成交费率</w:t>
      </w:r>
      <w:r>
        <w:rPr>
          <w:rFonts w:hint="eastAsia" w:ascii="宋体" w:hAnsi="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1.3.</w:t>
      </w:r>
      <w:r>
        <w:rPr>
          <w:rFonts w:hint="eastAsia" w:ascii="宋体" w:hAnsi="宋体"/>
          <w:color w:val="auto"/>
          <w:sz w:val="24"/>
          <w:highlight w:val="none"/>
        </w:rPr>
        <w:t xml:space="preserve">4 “分部分项工程和单价措施项目清单与计价表”所列各项目的综合单价组成中，各项目的人工、材料和机械台班消耗量、管理费费率、利润费率由投标人按照其自身情况做充分的、竞争性考虑。</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措施项目中的总价项目按下列要求报价：</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1.4.2</w:t>
      </w:r>
      <w:r>
        <w:rPr>
          <w:rFonts w:hint="eastAsia" w:ascii="宋体" w:hAnsi="宋体"/>
          <w:color w:val="auto"/>
          <w:sz w:val="24"/>
          <w:highlight w:val="none"/>
        </w:rPr>
        <w:t xml:space="preserve">  措施项目清单中的安全文明施工费应按国家、省级或行业建设主管部门的规定计价，不得作为竞争性费用。</w:t>
      </w:r>
      <w:r/>
    </w:p>
    <w:p>
      <w:pPr>
        <w:ind w:left="13"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3  采购人提供的措施项目清单，投标人在报价时应充分、全面地阅读和理解竞争性</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4  </w:t>
      </w:r>
      <w:r>
        <w:rPr>
          <w:rFonts w:hint="eastAsia" w:ascii="宋体" w:hAnsi="宋体"/>
          <w:color w:val="auto"/>
          <w:sz w:val="24"/>
          <w:highlight w:val="none"/>
          <w:lang w:val="en-US" w:eastAsia="zh-CN"/>
        </w:rPr>
        <w:t xml:space="preserve">投标费率</w:t>
      </w:r>
      <w:r>
        <w:rPr>
          <w:rFonts w:hint="eastAsia" w:ascii="宋体" w:hAnsi="宋体"/>
          <w:color w:val="auto"/>
          <w:sz w:val="24"/>
          <w:highlight w:val="none"/>
        </w:rPr>
        <w:t xml:space="preserve">，应全面涵盖竞争性</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文件约定的投标人中标后施工、竣工、交付本工程并维修其任何缺陷所需要履行的责任和义务的全部费用。</w:t>
      </w:r>
      <w:r/>
    </w:p>
    <w:p>
      <w:pPr>
        <w:ind w:left="4"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 除竞争性</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文件有强制性规定以及不可竞争部分以外，投标报价由投标人自主确定，但不得低于成本。</w:t>
      </w:r>
      <w:r/>
    </w:p>
    <w:p>
      <w:pPr>
        <w:ind w:left="2"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1.6</w:t>
      </w:r>
      <w:r>
        <w:rPr>
          <w:rFonts w:hint="eastAsia" w:ascii="宋体" w:hAnsi="宋体"/>
          <w:color w:val="auto"/>
          <w:sz w:val="24"/>
          <w:highlight w:val="none"/>
        </w:rPr>
        <w:t xml:space="preserve">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1.7</w:t>
      </w:r>
      <w:r>
        <w:rPr>
          <w:rFonts w:hint="eastAsia" w:ascii="宋体" w:hAnsi="宋体"/>
          <w:color w:val="auto"/>
          <w:sz w:val="24"/>
          <w:highlight w:val="none"/>
        </w:rPr>
        <w:t xml:space="preserve"> 管理费应由投标人在保证不低于其成本的基础上做竞争性考虑；利润由投标人根据自身情况和综合实力做竞争性考虑。</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1.8</w:t>
      </w:r>
      <w:r>
        <w:rPr>
          <w:rFonts w:hint="eastAsia" w:ascii="宋体" w:hAnsi="宋体"/>
          <w:color w:val="auto"/>
          <w:sz w:val="24"/>
          <w:highlight w:val="none"/>
        </w:rPr>
        <w:t xml:space="preserve"> 投标</w:t>
      </w:r>
      <w:r>
        <w:rPr>
          <w:rFonts w:hint="eastAsia" w:ascii="宋体" w:hAnsi="宋体"/>
          <w:color w:val="auto"/>
          <w:sz w:val="24"/>
          <w:highlight w:val="none"/>
          <w:lang w:val="en-US" w:eastAsia="zh-CN"/>
        </w:rPr>
        <w:t xml:space="preserve">费率</w:t>
      </w:r>
      <w:r>
        <w:rPr>
          <w:rFonts w:hint="eastAsia" w:ascii="宋体" w:hAnsi="宋体"/>
          <w:color w:val="auto"/>
          <w:sz w:val="24"/>
          <w:highlight w:val="none"/>
        </w:rPr>
        <w:t xml:space="preserve">应考虑竞争性</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文件中要求投标人承担的风险范围以及相关的费用。</w:t>
      </w:r>
      <w:r/>
    </w:p>
    <w:p>
      <w:pPr>
        <w:ind w:left="4"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1.9</w:t>
      </w:r>
      <w:r>
        <w:rPr>
          <w:rFonts w:hint="eastAsia" w:ascii="宋体" w:hAnsi="宋体"/>
          <w:color w:val="auto"/>
          <w:sz w:val="24"/>
          <w:highlight w:val="none"/>
        </w:rPr>
        <w:t xml:space="preserve"> 投标</w:t>
      </w:r>
      <w:r>
        <w:rPr>
          <w:rFonts w:hint="eastAsia" w:ascii="宋体" w:hAnsi="宋体"/>
          <w:color w:val="auto"/>
          <w:sz w:val="24"/>
          <w:highlight w:val="none"/>
          <w:lang w:val="en-US" w:eastAsia="zh-CN"/>
        </w:rPr>
        <w:t xml:space="preserve">费率</w:t>
      </w:r>
      <w:r>
        <w:rPr>
          <w:rFonts w:hint="eastAsia" w:ascii="宋体" w:hAnsi="宋体"/>
          <w:color w:val="auto"/>
          <w:sz w:val="24"/>
          <w:highlight w:val="none"/>
        </w:rPr>
        <w:t xml:space="preserve">为投标人在投标文件中提出的各项支付金额的总和，为实施、完成招标工程并修补缺陷、进场材料检测以及履行竞争性</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文件中约定的风险范围内的所有责任和义务所发生的全部费用。</w:t>
      </w:r>
      <w:r/>
    </w:p>
    <w:p>
      <w:pPr>
        <w:ind w:firstLine="482"/>
        <w:keepLines w:val="0"/>
        <w:keepNext w:val="0"/>
        <w:pageBreakBefore w:val="0"/>
        <w:spacing w:line="360" w:lineRule="auto"/>
        <w:widowControl w:val="off"/>
        <w:rPr>
          <w:rFonts w:hint="eastAsia" w:ascii="宋体" w:hAnsi="宋体"/>
          <w:b/>
          <w:bCs/>
          <w:color w:val="auto"/>
          <w:sz w:val="24"/>
          <w:highlight w:val="none"/>
        </w:rPr>
        <w:outlineLvl w:val="0"/>
      </w:pPr>
      <w:r/>
      <w:bookmarkStart w:id="753" w:name="_Toc21910"/>
      <w:r/>
      <w:bookmarkStart w:id="754" w:name="_Toc9410"/>
      <w:r/>
      <w:bookmarkStart w:id="755" w:name="_Toc28804"/>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rPr>
        <w:t xml:space="preserve">、技术标准和要求</w:t>
      </w:r>
      <w:bookmarkEnd w:id="753"/>
      <w:r/>
      <w:bookmarkEnd w:id="754"/>
      <w:r/>
      <w:bookmarkEnd w:id="755"/>
      <w:r/>
      <w:bookmarkStart w:id="756" w:name="_Toc349555826"/>
      <w:r/>
      <w:bookmarkEnd w:id="756"/>
      <w:r/>
      <w:bookmarkStart w:id="757" w:name="_Toc349557651"/>
      <w:r/>
      <w:bookmarkEnd w:id="757"/>
      <w:r/>
      <w:r/>
    </w:p>
    <w:p>
      <w:pPr>
        <w:ind w:firstLine="480"/>
        <w:jc w:val="left"/>
        <w:keepLines w:val="0"/>
        <w:keepNext w:val="0"/>
        <w:pageBreakBefore w:val="0"/>
        <w:spacing w:line="360" w:lineRule="auto"/>
        <w:widowControl w:val="off"/>
        <w:rPr>
          <w:rFonts w:hint="eastAsia" w:ascii="宋体" w:hAnsi="宋体"/>
          <w:color w:val="auto"/>
          <w:sz w:val="24"/>
          <w:highlight w:val="none"/>
        </w:rPr>
      </w:pPr>
      <w:r/>
      <w:bookmarkStart w:id="758" w:name="_Toc333498743"/>
      <w:r>
        <w:rPr>
          <w:rFonts w:hint="eastAsia" w:ascii="宋体" w:hAnsi="宋体"/>
          <w:color w:val="auto"/>
          <w:sz w:val="24"/>
          <w:highlight w:val="none"/>
        </w:rPr>
        <w:t xml:space="preserve">1、本工程采用的计价规范</w:t>
      </w:r>
      <w:bookmarkEnd w:id="758"/>
      <w:r>
        <w:rPr>
          <w:rFonts w:hint="eastAsia" w:ascii="宋体" w:hAnsi="宋体"/>
          <w:color w:val="auto"/>
          <w:sz w:val="24"/>
          <w:highlight w:val="none"/>
        </w:rPr>
        <w:t xml:space="preserve">（包括但不限于以下规范、要求）</w:t>
      </w:r>
      <w:r/>
    </w:p>
    <w:p>
      <w:pPr>
        <w:ind w:firstLine="480"/>
        <w:keepLines w:val="0"/>
        <w:keepNext w:val="0"/>
        <w:pageBreakBefore w:val="0"/>
        <w:spacing w:line="360" w:lineRule="auto"/>
        <w:widowControl w:val="off"/>
        <w:tabs>
          <w:tab w:val="left" w:pos="4320" w:leader="none"/>
        </w:tabs>
        <w:rPr>
          <w:rFonts w:hint="eastAsia" w:ascii="宋体" w:hAnsi="宋体"/>
          <w:color w:val="auto"/>
          <w:sz w:val="24"/>
          <w:highlight w:val="none"/>
        </w:rPr>
      </w:pPr>
      <w:r>
        <w:rPr>
          <w:rFonts w:hint="eastAsia" w:ascii="宋体" w:hAnsi="宋体"/>
          <w:color w:val="auto"/>
          <w:sz w:val="24"/>
          <w:highlight w:val="none"/>
        </w:rPr>
        <w:t xml:space="preserve">（1）江苏省、南通市其他现行的计价文件及补充计价定额             </w:t>
      </w:r>
      <w:r/>
    </w:p>
    <w:p>
      <w:pPr>
        <w:ind w:firstLine="480"/>
        <w:jc w:val="left"/>
        <w:keepLines w:val="0"/>
        <w:keepNext w:val="0"/>
        <w:pageBreakBefore w:val="0"/>
        <w:spacing w:line="360" w:lineRule="auto"/>
        <w:widowControl w:val="off"/>
        <w:rPr>
          <w:rFonts w:hint="eastAsia" w:ascii="宋体" w:hAnsi="宋体"/>
          <w:color w:val="auto"/>
          <w:sz w:val="24"/>
          <w:highlight w:val="none"/>
        </w:rPr>
      </w:pPr>
      <w:r/>
      <w:bookmarkStart w:id="759" w:name="_Toc333498744"/>
      <w:r>
        <w:rPr>
          <w:rFonts w:hint="eastAsia" w:ascii="宋体" w:hAnsi="宋体"/>
          <w:color w:val="auto"/>
          <w:sz w:val="24"/>
          <w:highlight w:val="none"/>
        </w:rPr>
        <w:t xml:space="preserve">2、本工程采用的技术规范</w:t>
      </w:r>
      <w:bookmarkEnd w:id="759"/>
      <w:r>
        <w:rPr>
          <w:rFonts w:hint="eastAsia" w:ascii="宋体" w:hAnsi="宋体"/>
          <w:color w:val="auto"/>
          <w:sz w:val="24"/>
          <w:highlight w:val="none"/>
        </w:rPr>
        <w:t xml:space="preserve">（包括但不限于以下规范、要求）</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本工程应执行的相关工程施工、检测、验收的相关规范与标准。当相关规范或标准互相矛盾时，以最新和最严格的为准。</w:t>
      </w:r>
      <w:r/>
    </w:p>
    <w:p>
      <w:pPr>
        <w:ind w:firstLine="480"/>
        <w:jc w:val="left"/>
        <w:keepLines w:val="0"/>
        <w:keepNext w:val="0"/>
        <w:pageBreakBefore w:val="0"/>
        <w:spacing w:line="360" w:lineRule="auto"/>
        <w:widowControl w:val="off"/>
        <w:rPr>
          <w:rFonts w:hint="eastAsia" w:ascii="宋体" w:hAnsi="宋体"/>
          <w:color w:val="auto"/>
          <w:sz w:val="24"/>
          <w:highlight w:val="none"/>
        </w:rPr>
      </w:pPr>
      <w:r/>
      <w:bookmarkStart w:id="760" w:name="_Toc333498745"/>
      <w:r>
        <w:rPr>
          <w:rFonts w:hint="eastAsia" w:ascii="宋体" w:hAnsi="宋体"/>
          <w:color w:val="auto"/>
          <w:sz w:val="24"/>
          <w:highlight w:val="none"/>
        </w:rPr>
        <w:t xml:space="preserve">3、本工程对施工工艺的特殊要求</w:t>
      </w:r>
      <w:bookmarkEnd w:id="760"/>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（1）工程的主要部位和特殊要求由建设、设计、监理三方讨论后以书面形式通知施工单位实施。</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TW"/>
        </w:rPr>
        <w:t xml:space="preserve">施工期间要注意周边环境</w:t>
      </w:r>
      <w:r>
        <w:rPr>
          <w:rFonts w:hint="eastAsia" w:ascii="宋体" w:hAnsi="宋体"/>
          <w:color w:val="auto"/>
          <w:sz w:val="24"/>
          <w:highlight w:val="none"/>
        </w:rPr>
        <w:t xml:space="preserve">，</w:t>
      </w:r>
      <w:r>
        <w:rPr>
          <w:rFonts w:hint="eastAsia" w:ascii="宋体" w:hAnsi="宋体"/>
          <w:color w:val="auto"/>
          <w:sz w:val="24"/>
          <w:highlight w:val="none"/>
          <w:lang w:eastAsia="zh-TW"/>
        </w:rPr>
        <w:t xml:space="preserve">减少对周围</w:t>
      </w:r>
      <w:r>
        <w:rPr>
          <w:rFonts w:hint="eastAsia" w:ascii="宋体" w:hAnsi="宋体"/>
          <w:color w:val="auto"/>
          <w:sz w:val="24"/>
          <w:highlight w:val="none"/>
        </w:rPr>
        <w:t xml:space="preserve">环境的</w:t>
      </w:r>
      <w:r>
        <w:rPr>
          <w:rFonts w:hint="eastAsia" w:ascii="宋体" w:hAnsi="宋体"/>
          <w:color w:val="auto"/>
          <w:sz w:val="24"/>
          <w:highlight w:val="none"/>
          <w:lang w:eastAsia="zh-TW"/>
        </w:rPr>
        <w:t xml:space="preserve">影响</w:t>
      </w:r>
      <w:r>
        <w:rPr>
          <w:rFonts w:hint="eastAsia" w:ascii="宋体" w:hAnsi="宋体"/>
          <w:color w:val="auto"/>
          <w:sz w:val="24"/>
          <w:highlight w:val="none"/>
        </w:rPr>
        <w:t xml:space="preserve">（灰尘、噪音等）。</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（3）施工期间要注意周边环境，尽量避免对周围居民生活的影响。        </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（4）冬、雨季施工要采取相应的保护措施。  </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四、</w:t>
      </w:r>
      <w:r>
        <w:rPr>
          <w:rFonts w:hint="eastAsia" w:ascii="宋体" w:hAnsi="宋体" w:eastAsia="宋体" w:cs="宋体"/>
          <w:b/>
          <w:bCs/>
          <w:color w:val="auto"/>
          <w:sz w:val="24"/>
          <w:highlight w:val="none"/>
          <w:lang w:val="en-US" w:eastAsia="zh-CN"/>
        </w:rPr>
        <w:t xml:space="preserve">拟派施工人员要求</w:t>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供应商拟派项目负责人须具备</w:t>
      </w:r>
      <w:r>
        <w:rPr>
          <w:rFonts w:hint="eastAsia" w:ascii="宋体" w:hAnsi="宋体" w:eastAsia="宋体" w:cs="Times New Roman"/>
          <w:color w:val="auto"/>
          <w:sz w:val="24"/>
          <w:highlight w:val="none"/>
          <w:lang w:val="en-US" w:eastAsia="zh-CN"/>
        </w:rPr>
        <w:t xml:space="preserve">市政工程</w:t>
      </w:r>
      <w:r>
        <w:rPr>
          <w:rFonts w:hint="eastAsia" w:ascii="宋体" w:hAnsi="宋体" w:eastAsia="宋体" w:cs="Times New Roman"/>
          <w:color w:val="auto"/>
          <w:sz w:val="24"/>
          <w:highlight w:val="none"/>
          <w:lang w:eastAsia="zh-CN"/>
        </w:rPr>
        <w:t xml:space="preserve">二级及以上建造师证书</w:t>
      </w:r>
      <w:r>
        <w:rPr>
          <w:rFonts w:hint="eastAsia" w:ascii="宋体" w:hAnsi="宋体" w:eastAsia="宋体" w:cs="Times New Roman"/>
          <w:color w:val="auto"/>
          <w:sz w:val="24"/>
          <w:highlight w:val="none"/>
        </w:rPr>
        <w:t xml:space="preserve">，建造师必须具备安全考核B证，须是投标申请人本单位在册人员，且拟派项目负责人无在建工程。</w:t>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除项目负责人外还需配备技术负责人、安全管理员、施工管理员、计划管理员、材料管理员等。</w:t>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82"/>
        <w:jc w:val="left"/>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五</w:t>
      </w:r>
      <w:r>
        <w:rPr>
          <w:rFonts w:hint="eastAsia" w:ascii="宋体" w:hAnsi="宋体"/>
          <w:b/>
          <w:bCs/>
          <w:color w:val="auto"/>
          <w:sz w:val="24"/>
          <w:highlight w:val="none"/>
        </w:rPr>
        <w:t xml:space="preserve">、需要补充的其它内容</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1、现场条件</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(1)施工现场情况：本工程现场条件较复杂，请供应商务必自行认真踏勘现场条件并综合考虑到报价中，一旦中标不得对现场条件提出额外要求。</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(2)施工用水、电：自行解决。</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(3)场内外道路：自行解决。</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(4)其他：中标单位应</w:t>
      </w:r>
      <w:r>
        <w:rPr>
          <w:rFonts w:hint="eastAsia" w:ascii="宋体" w:hAnsi="宋体"/>
          <w:color w:val="auto"/>
          <w:sz w:val="24"/>
          <w:highlight w:val="none"/>
          <w:lang w:val="en-US" w:eastAsia="zh-CN"/>
        </w:rPr>
        <w:t xml:space="preserve">配合业主单位</w:t>
      </w:r>
      <w:r>
        <w:rPr>
          <w:rFonts w:hint="eastAsia" w:ascii="宋体" w:hAnsi="宋体"/>
          <w:color w:val="auto"/>
          <w:sz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当采购人不统一组织现场踏勘时，请供应商务必自行认真踏勘现场条件并综合考虑到报价中，一旦中标不得对现场条件提出额外要求。</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rPr>
        <w:t xml:space="preserve">》第二十二条规定条件的承诺函</w:t>
      </w:r>
      <w:r>
        <w:rPr>
          <w:rFonts w:hint="eastAsia" w:ascii="宋体" w:hAnsi="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bCs/>
          <w:color w:val="auto"/>
          <w:sz w:val="24"/>
          <w:highlight w:val="none"/>
          <w:lang w:bidi="ar"/>
        </w:rPr>
        <w:t xml:space="preserve">法定代表人参加</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的，必须提供法定代表人身份证明及本人身份证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件；非法定代表人参加的，必须提供法定代表人签名或盖章的授权委托书原件、法定代表人身份证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w:t>
      </w:r>
      <w:r>
        <w:rPr>
          <w:rFonts w:hint="eastAsia" w:ascii="宋体" w:hAnsi="宋体" w:cs="宋体"/>
          <w:bCs/>
          <w:color w:val="auto"/>
          <w:sz w:val="24"/>
          <w:highlight w:val="none"/>
          <w:lang w:eastAsia="zh-CN" w:bidi="ar"/>
        </w:rPr>
        <w:t xml:space="preserve">及</w:t>
      </w:r>
      <w:r>
        <w:rPr>
          <w:rFonts w:hint="eastAsia" w:ascii="宋体" w:hAnsi="宋体" w:cs="宋体"/>
          <w:bCs/>
          <w:color w:val="auto"/>
          <w:sz w:val="24"/>
          <w:highlight w:val="none"/>
          <w:lang w:bidi="ar"/>
        </w:rPr>
        <w:t xml:space="preserve">被委托授权人身份证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）法人或者其他组织的营业执照等证明文件；</w:t>
      </w:r>
      <w:r>
        <w:rPr>
          <w:rFonts w:hint="eastAsia" w:ascii="宋体" w:hAnsi="宋体" w:eastAsia="宋体" w:cs="宋体"/>
          <w:b w:val="0"/>
          <w:bCs/>
          <w:color w:val="auto"/>
          <w:sz w:val="24"/>
          <w:szCs w:val="24"/>
          <w:highlight w:val="none"/>
          <w:lang w:val="en-US" w:eastAsia="zh-CN"/>
        </w:rPr>
        <w:t xml:space="preserve">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）有效的企业资质证书及安全生产许可证；</w:t>
      </w:r>
      <w:r/>
    </w:p>
    <w:p>
      <w:pPr>
        <w:ind w:firstLine="480"/>
        <w:keepLines w:val="0"/>
        <w:keepNext w:val="0"/>
        <w:pageBreakBefore w:val="0"/>
        <w:spacing w:line="360" w:lineRule="auto"/>
        <w:widowControl w:val="off"/>
        <w:rPr>
          <w:rFonts w:hint="eastAsia" w:ascii="宋体" w:hAnsi="宋体" w:eastAsia="宋体" w:cs="宋体"/>
          <w:color w:val="auto"/>
          <w:sz w:val="24"/>
          <w:highlight w:val="yellow"/>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yellow"/>
          <w:lang w:val="en-US" w:eastAsia="zh-CN"/>
        </w:rPr>
        <w:t xml:space="preserve">拟派项目负责人有效</w:t>
      </w:r>
      <w:r>
        <w:rPr>
          <w:rFonts w:hint="eastAsia" w:ascii="宋体" w:hAnsi="宋体" w:cs="宋体"/>
          <w:color w:val="auto"/>
          <w:sz w:val="24"/>
          <w:highlight w:val="yellow"/>
          <w:lang w:val="en-US" w:eastAsia="zh-CN"/>
        </w:rPr>
        <w:t xml:space="preserve">建造师证书及安全生产考核B证</w:t>
      </w:r>
      <w:r>
        <w:rPr>
          <w:rFonts w:hint="eastAsia" w:ascii="宋体" w:hAnsi="宋体" w:eastAsia="宋体" w:cs="宋体"/>
          <w:color w:val="auto"/>
          <w:sz w:val="24"/>
          <w:highlight w:val="yellow"/>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）供应商提供</w:t>
      </w:r>
      <w:r>
        <w:rPr>
          <w:rFonts w:hint="eastAsia" w:ascii="宋体" w:hAnsi="宋体" w:cs="宋体"/>
          <w:bCs/>
          <w:color w:val="auto"/>
          <w:sz w:val="24"/>
          <w:highlight w:val="none"/>
          <w:lang w:val="en-US" w:eastAsia="zh-CN" w:bidi="ar"/>
        </w:rPr>
        <w:t xml:space="preserve">2024（或2025）年度</w:t>
      </w:r>
      <w:r>
        <w:rPr>
          <w:rFonts w:hint="eastAsia" w:ascii="宋体" w:hAnsi="宋体" w:cs="宋体"/>
          <w:bCs/>
          <w:color w:val="auto"/>
          <w:sz w:val="24"/>
          <w:highlight w:val="none"/>
          <w:lang w:eastAsia="zh-CN" w:bidi="ar"/>
        </w:rPr>
        <w:t xml:space="preserve">由会计师事务所（或者审计机构）出具的完整的财务报告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cs="宋体"/>
          <w:b w:val="0"/>
          <w:bCs/>
          <w:color w:val="auto"/>
          <w:sz w:val="24"/>
          <w:szCs w:val="24"/>
          <w:highlight w:val="none"/>
          <w:lang w:val="en-US" w:eastAsia="zh-CN"/>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3</w:t>
      </w:r>
      <w:r>
        <w:rPr>
          <w:rFonts w:hint="eastAsia" w:ascii="宋体" w:hAnsi="宋体" w:eastAsia="宋体" w:cs="宋体"/>
          <w:color w:val="auto"/>
          <w:sz w:val="24"/>
          <w:szCs w:val="22"/>
          <w:highlight w:val="none"/>
          <w:lang w:val="en-US" w:eastAsia="zh-CN" w:bidi="ar"/>
        </w:rPr>
        <w:t xml:space="preserve">）</w:t>
      </w:r>
      <w:r>
        <w:rPr>
          <w:rFonts w:hint="eastAsia" w:ascii="宋体" w:hAnsi="宋体" w:cs="宋体"/>
          <w:color w:val="auto"/>
          <w:sz w:val="24"/>
          <w:highlight w:val="none"/>
          <w:lang w:val="en-US" w:eastAsia="zh-CN" w:bidi="ar"/>
        </w:rPr>
        <w:t xml:space="preserve">磋商</w:t>
      </w:r>
      <w:r>
        <w:rPr>
          <w:rFonts w:hint="eastAsia" w:ascii="宋体" w:hAnsi="宋体" w:cs="宋体"/>
          <w:color w:val="auto"/>
          <w:sz w:val="24"/>
          <w:highlight w:val="none"/>
          <w:lang w:bidi="ar"/>
        </w:rPr>
        <w:t xml:space="preserve">响应函</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4</w:t>
      </w:r>
      <w:r>
        <w:rPr>
          <w:rFonts w:hint="eastAsia" w:ascii="宋体" w:hAnsi="宋体" w:eastAsia="宋体" w:cs="宋体"/>
          <w:color w:val="auto"/>
          <w:sz w:val="24"/>
          <w:szCs w:val="22"/>
          <w:highlight w:val="none"/>
          <w:lang w:val="en-US" w:eastAsia="zh-CN" w:bidi="ar"/>
        </w:rPr>
        <w:t xml:space="preserve">）</w:t>
      </w:r>
      <w:r>
        <w:rPr>
          <w:rFonts w:hint="eastAsia" w:ascii="宋体" w:hAnsi="宋体" w:eastAsia="宋体" w:cs="宋体"/>
          <w:b w:val="0"/>
          <w:bCs/>
          <w:color w:val="auto"/>
          <w:sz w:val="24"/>
          <w:szCs w:val="24"/>
          <w:highlight w:val="none"/>
          <w:lang w:val="en-US" w:eastAsia="zh-CN"/>
        </w:rPr>
        <w:t xml:space="preserve">供应商信用承诺书</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）中，供应商资格不合格的，其响应文件判定为无效投标文件。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本项目总分值为</w:t>
      </w:r>
      <w:r>
        <w:rPr>
          <w:rFonts w:ascii="Times New Roman" w:hAnsi="Times New Roman" w:cs="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60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761" w:name="_Toc12009"/>
      <w:r/>
      <w:bookmarkEnd w:id="761"/>
      <w:r/>
      <w:bookmarkStart w:id="762" w:name="_Toc184635088"/>
      <w:r/>
      <w:bookmarkEnd w:id="762"/>
      <w:r/>
      <w:bookmarkStart w:id="763" w:name="_Toc474229428"/>
      <w:r/>
      <w:bookmarkEnd w:id="763"/>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w:t>
      </w:r>
      <w:r/>
    </w:p>
    <w:tbl>
      <w:tblPr>
        <w:tblStyle w:val="983"/>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285"/>
        </w:trPr>
        <w:tc>
          <w:tcPr>
            <w:tcBorders>
              <w:top w:val="single" w:color="auto" w:sz="6" w:space="0"/>
              <w:left w:val="single" w:color="auto" w:sz="6" w:space="0"/>
              <w:bottom w:val="single" w:color="auto" w:sz="4" w:space="0"/>
              <w:right w:val="single" w:color="auto" w:sz="6" w:space="0"/>
            </w:tcBorders>
            <w:tcW w:w="1146"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gridSpan w:val="3"/>
            <w:tcBorders>
              <w:top w:val="single" w:color="auto" w:sz="6" w:space="0"/>
              <w:left w:val="single" w:color="auto" w:sz="6" w:space="0"/>
              <w:bottom w:val="single" w:color="auto" w:sz="4" w:space="0"/>
              <w:right w:val="single" w:color="auto" w:sz="6" w:space="0"/>
            </w:tcBorders>
            <w:tcW w:w="244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评分因素</w:t>
            </w:r>
            <w:r/>
          </w:p>
        </w:tc>
        <w:tc>
          <w:tcPr>
            <w:tcBorders>
              <w:top w:val="single" w:color="auto" w:sz="6" w:space="0"/>
              <w:left w:val="single" w:color="auto" w:sz="6" w:space="0"/>
              <w:bottom w:val="single" w:color="auto" w:sz="4" w:space="0"/>
              <w:right w:val="single" w:color="auto" w:sz="6" w:space="0"/>
            </w:tcBorders>
            <w:tcW w:w="571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r>
      <w:tr>
        <w:trPr>
          <w:trHeight w:val="720"/>
        </w:trPr>
        <w:tc>
          <w:tcPr>
            <w:tcBorders>
              <w:top w:val="single" w:color="auto" w:sz="4" w:space="0"/>
              <w:left w:val="single" w:color="auto" w:sz="4" w:space="0"/>
              <w:right w:val="single" w:color="auto" w:sz="6" w:space="0"/>
            </w:tcBorders>
            <w:tcW w:w="1146" w:type="dxa"/>
            <w:vAlign w:val="center"/>
            <w:vMerge w:val="restart"/>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技术标评分标准（满分</w:t>
            </w:r>
            <w:r>
              <w:rPr>
                <w:rFonts w:hint="eastAsia" w:ascii="宋体" w:hAnsi="宋体"/>
                <w:color w:val="auto"/>
                <w:sz w:val="24"/>
                <w:szCs w:val="24"/>
                <w:highlight w:val="none"/>
                <w:lang w:val="en-US" w:eastAsia="zh-CN"/>
              </w:rPr>
              <w:t xml:space="preserve">40</w:t>
            </w:r>
            <w:r>
              <w:rPr>
                <w:rFonts w:hint="eastAsia" w:ascii="宋体" w:hAnsi="宋体" w:eastAsia="宋体"/>
                <w:color w:val="auto"/>
                <w:sz w:val="24"/>
                <w:szCs w:val="24"/>
                <w:highlight w:val="none"/>
              </w:rPr>
              <w:t xml:space="preserve">分）</w:t>
            </w:r>
            <w:r/>
          </w:p>
        </w:tc>
        <w:tc>
          <w:tcPr>
            <w:tcBorders>
              <w:top w:val="single" w:color="auto" w:sz="4"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1</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施工方案与技术措施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施工组织设计主要内容具有完整性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对执行计划、组织实施方案、控制措施、施工现场平面布置等内容进行评分</w:t>
            </w:r>
            <w:r>
              <w:rPr>
                <w:rFonts w:hint="eastAsia" w:ascii="宋体" w:hAnsi="宋体"/>
                <w:color w:val="auto"/>
                <w:sz w:val="24"/>
                <w:highlight w:val="none"/>
                <w:lang w:eastAsia="zh-CN"/>
              </w:rPr>
              <w:t xml:space="preserve">。</w:t>
            </w:r>
            <w:r/>
          </w:p>
        </w:tc>
      </w:tr>
      <w:tr>
        <w:trPr>
          <w:trHeight w:val="9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2</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施工重点难点解决方案</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关键施工技术、工艺及工程项目实施重点、难点、解决方案。</w:t>
            </w:r>
            <w:r/>
          </w:p>
        </w:tc>
      </w:tr>
      <w:tr>
        <w:trPr>
          <w:trHeight w:val="76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工程进度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计划与措施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进度安排</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val="en-US" w:eastAsia="zh-CN"/>
              </w:rPr>
              <w:t xml:space="preserve">措施</w:t>
            </w:r>
            <w:r>
              <w:rPr>
                <w:rFonts w:hint="eastAsia" w:ascii="宋体" w:hAnsi="宋体"/>
                <w:color w:val="auto"/>
                <w:sz w:val="24"/>
                <w:highlight w:val="none"/>
              </w:rPr>
              <w:t xml:space="preserve">具体、合理、可行，解决措施先进、合理有效、完全满足项目要求</w:t>
            </w:r>
            <w:r/>
          </w:p>
        </w:tc>
      </w:tr>
      <w:tr>
        <w:trPr>
          <w:trHeight w:val="926"/>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4</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确保完成工程建设的技术和管理措施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技术方案合理、完善、实用性强、有针对性，对本</w:t>
            </w:r>
            <w:r>
              <w:rPr>
                <w:rFonts w:hint="eastAsia" w:ascii="宋体" w:hAnsi="宋体"/>
                <w:color w:val="auto"/>
                <w:sz w:val="24"/>
                <w:highlight w:val="none"/>
                <w:lang w:eastAsia="zh-CN"/>
              </w:rPr>
              <w:t xml:space="preserve">项目的</w:t>
            </w:r>
            <w:r>
              <w:rPr>
                <w:rFonts w:hint="eastAsia" w:ascii="宋体" w:hAnsi="宋体"/>
                <w:color w:val="auto"/>
                <w:sz w:val="24"/>
                <w:highlight w:val="none"/>
              </w:rPr>
              <w:t xml:space="preserve">概况理解较深、工作方案切实可行</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5</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w:t>
            </w:r>
            <w:bookmarkStart w:id="769" w:name="_GoBack"/>
            <w:r/>
            <w:bookmarkEnd w:id="769"/>
            <w:r>
              <w:rPr>
                <w:rFonts w:hint="eastAsia" w:ascii="宋体" w:hAnsi="宋体"/>
                <w:color w:val="auto"/>
                <w:sz w:val="24"/>
                <w:highlight w:val="none"/>
              </w:rPr>
              <w:t xml:space="preserve">护体系与措施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环境保护管理体系及保证措施合理详细</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gridSpan w:val="2"/>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Times New Roman" w:hAnsi="Times New Roman" w:eastAsia="宋体" w:cs="Times New Roman"/>
                <w:color w:val="auto"/>
                <w:sz w:val="24"/>
                <w:szCs w:val="24"/>
                <w:highlight w:val="white"/>
                <w:lang w:val="en-US" w:eastAsia="zh-CN"/>
              </w:rPr>
              <w:t xml:space="preserve">工程后期质保期内维修方案</w:t>
            </w:r>
            <w:r/>
          </w:p>
        </w:tc>
        <w:tc>
          <w:tcPr>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Times New Roman" w:hAnsi="Times New Roman" w:eastAsia="宋体" w:cs="Times New Roman"/>
                <w:color w:val="auto"/>
                <w:sz w:val="24"/>
                <w:szCs w:val="24"/>
                <w:highlight w:val="white"/>
                <w:lang w:val="en-US" w:eastAsia="zh-CN"/>
              </w:rPr>
              <w:t xml:space="preserve">维修方案</w:t>
            </w:r>
            <w:r>
              <w:rPr>
                <w:rFonts w:hint="eastAsia" w:ascii="宋体" w:hAnsi="宋体"/>
                <w:color w:val="auto"/>
                <w:sz w:val="24"/>
                <w:highlight w:val="none"/>
              </w:rPr>
              <w:t xml:space="preserve">合理、完善、实用性强、有针对性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切实可行</w:t>
            </w:r>
            <w:r>
              <w:rPr>
                <w:rFonts w:hint="eastAsia" w:ascii="宋体" w:hAnsi="宋体"/>
                <w:color w:val="auto"/>
                <w:sz w:val="24"/>
                <w:highlight w:val="none"/>
                <w:lang w:eastAsia="zh-CN"/>
              </w:rPr>
              <w:t xml:space="preserve">。</w:t>
            </w:r>
            <w:r/>
          </w:p>
        </w:tc>
      </w:tr>
      <w:tr>
        <w:trPr>
          <w:trHeight w:val="72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8160"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第1-6项，各项</w:t>
            </w:r>
            <w:r>
              <w:rPr>
                <w:rFonts w:hint="eastAsia" w:ascii="宋体" w:hAnsi="宋体" w:cs="宋体"/>
                <w:color w:val="auto"/>
                <w:sz w:val="24"/>
                <w:highlight w:val="none"/>
                <w:lang w:bidi="ar"/>
              </w:rPr>
              <w:t xml:space="preserve">方案</w:t>
            </w:r>
            <w:r>
              <w:rPr>
                <w:rFonts w:hint="eastAsia" w:ascii="宋体" w:hAnsi="宋体" w:cs="宋体"/>
                <w:color w:val="auto"/>
                <w:sz w:val="24"/>
                <w:highlight w:val="none"/>
                <w:lang w:val="en-US" w:eastAsia="zh-CN" w:bidi="ar"/>
              </w:rPr>
              <w:t xml:space="preserve">合理且</w:t>
            </w:r>
            <w:r>
              <w:rPr>
                <w:rFonts w:hint="eastAsia" w:ascii="宋体" w:hAnsi="宋体" w:cs="宋体"/>
                <w:color w:val="auto"/>
                <w:sz w:val="24"/>
                <w:highlight w:val="none"/>
                <w:lang w:bidi="ar"/>
              </w:rPr>
              <w:t xml:space="preserve">完全满足项目需求的得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rPr>
                <w:rFonts w:hint="eastAsia" w:ascii="宋体" w:hAnsi="宋体" w:cs="宋体"/>
                <w:color w:val="auto"/>
                <w:sz w:val="24"/>
                <w:szCs w:val="24"/>
                <w:highlight w:val="none"/>
                <w:lang w:val="en-US" w:eastAsia="zh-CN"/>
              </w:rPr>
              <w:t xml:space="preserve">方案合理</w:t>
            </w:r>
            <w:r>
              <w:rPr>
                <w:rFonts w:hint="eastAsia" w:ascii="宋体" w:hAnsi="宋体" w:eastAsia="宋体" w:cs="宋体"/>
                <w:color w:val="auto"/>
                <w:sz w:val="24"/>
                <w:szCs w:val="24"/>
                <w:highlight w:val="none"/>
                <w:lang w:val="en-US" w:eastAsia="zh-CN"/>
              </w:rPr>
              <w:t xml:space="preserve">部分满足</w:t>
            </w:r>
            <w:r>
              <w:rPr>
                <w:rFonts w:hint="eastAsia" w:ascii="宋体" w:hAnsi="宋体" w:eastAsia="宋体" w:cs="宋体"/>
                <w:color w:val="auto"/>
                <w:sz w:val="24"/>
                <w:szCs w:val="24"/>
                <w:highlight w:val="none"/>
                <w:lang w:eastAsia="zh-CN"/>
              </w:rPr>
              <w:t xml:space="preserve">项目需求</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4.2</w:t>
            </w:r>
            <w:r>
              <w:rPr>
                <w:rFonts w:hint="eastAsia" w:ascii="宋体" w:hAnsi="宋体" w:cs="宋体"/>
                <w:color w:val="auto"/>
                <w:sz w:val="24"/>
                <w:highlight w:val="none"/>
                <w:lang w:bidi="ar"/>
              </w:rPr>
              <w:t xml:space="preserve">分，</w:t>
            </w:r>
            <w:r>
              <w:rPr>
                <w:rFonts w:hint="eastAsia" w:ascii="宋体" w:hAnsi="宋体" w:cs="宋体"/>
                <w:color w:val="auto"/>
                <w:sz w:val="24"/>
                <w:highlight w:val="none"/>
                <w:lang w:val="en-US" w:eastAsia="zh-CN" w:bidi="ar"/>
              </w:rPr>
              <w:t xml:space="preserve">方案不适用本</w:t>
            </w:r>
            <w:r>
              <w:rPr>
                <w:rFonts w:hint="eastAsia" w:ascii="宋体" w:hAnsi="宋体" w:cs="宋体"/>
                <w:color w:val="auto"/>
                <w:sz w:val="24"/>
                <w:highlight w:val="none"/>
                <w:lang w:eastAsia="zh-CN" w:bidi="ar"/>
              </w:rPr>
              <w:t xml:space="preserve">项目、</w:t>
            </w:r>
            <w:r>
              <w:rPr>
                <w:rFonts w:hint="eastAsia" w:ascii="宋体" w:hAnsi="宋体" w:cs="宋体"/>
                <w:color w:val="auto"/>
                <w:sz w:val="24"/>
                <w:highlight w:val="none"/>
                <w:lang w:val="en-US" w:eastAsia="zh-CN" w:bidi="ar"/>
              </w:rPr>
              <w:t xml:space="preserve">不合理、</w:t>
            </w:r>
            <w:r>
              <w:rPr>
                <w:rFonts w:hint="eastAsia" w:ascii="宋体" w:hAnsi="宋体" w:cs="宋体"/>
                <w:color w:val="auto"/>
                <w:sz w:val="24"/>
                <w:highlight w:val="none"/>
                <w:lang w:bidi="ar"/>
              </w:rPr>
              <w:t xml:space="preserve">不提供不得分。</w:t>
            </w:r>
            <w:r/>
          </w:p>
        </w:tc>
      </w:tr>
      <w:tr>
        <w:trPr>
          <w:trHeight w:val="720"/>
        </w:trPr>
        <w:tc>
          <w:tcPr>
            <w:tcBorders>
              <w:left w:val="single" w:color="auto" w:sz="4" w:space="0"/>
              <w:bottom w:val="single" w:color="auto" w:sz="6"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业绩</w:t>
            </w:r>
            <w:r/>
          </w:p>
        </w:tc>
        <w:tc>
          <w:tcPr>
            <w:gridSpan w:val="2"/>
            <w:tcBorders>
              <w:top w:val="single" w:color="auto" w:sz="6" w:space="0"/>
              <w:left w:val="single" w:color="auto" w:sz="6" w:space="0"/>
              <w:bottom w:val="single" w:color="auto" w:sz="6" w:space="0"/>
              <w:right w:val="single" w:color="auto" w:sz="6" w:space="0"/>
            </w:tcBorders>
            <w:tcW w:w="6622"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完成过类似项目每有一个得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分，最多得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分。须提供中标通知书、施工合同和竣工验收证明，缺一不可，否则不得分（提供复印件，原件备查）。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②供应商制作磋商响应文件时保证图片、文字材料的完整、清晰可辨，任何原因导致评委看不清楚或无法查看，后果由供应商自负。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pStyle w:val="1007"/>
        <w:ind w:firstLine="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60</w:t>
      </w:r>
      <w:r>
        <w:rPr>
          <w:rFonts w:hint="eastAsia" w:ascii="宋体" w:hAnsi="宋体" w:eastAsia="宋体" w:cs="Times New Roman"/>
          <w:b/>
          <w:bCs/>
          <w:color w:val="auto"/>
          <w:sz w:val="24"/>
          <w:szCs w:val="24"/>
          <w:highlight w:val="none"/>
          <w:lang w:val="en-US" w:eastAsia="zh-CN" w:bidi="ar-SA"/>
        </w:rPr>
        <w:t xml:space="preserve">分）</w:t>
      </w:r>
      <w:r/>
    </w:p>
    <w:tbl>
      <w:tblPr>
        <w:tblStyle w:val="983"/>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auto"/>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highlight w:val="none"/>
          <w:u w:val="none"/>
          <w:lang w:val="en-US" w:eastAsia="zh-CN"/>
        </w:rPr>
        <w:t xml:space="preserve">。</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val="0"/>
          <w:bCs w:val="0"/>
          <w:color w:val="auto"/>
          <w:sz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w:t>
      </w:r>
      <w:r>
        <w:rPr>
          <w:rFonts w:hint="eastAsia" w:ascii="宋体" w:hAnsi="宋体" w:cs="宋体"/>
          <w:b w:val="0"/>
          <w:bCs w:val="0"/>
          <w:color w:val="auto"/>
          <w:sz w:val="24"/>
          <w:highlight w:val="none"/>
          <w:u w:val="none"/>
          <w:lang w:val="zh-CN"/>
        </w:rPr>
        <w:t xml:space="preserve">、</w:t>
      </w:r>
      <w:r>
        <w:rPr>
          <w:rFonts w:hint="eastAsia" w:ascii="宋体" w:hAnsi="宋体" w:cs="宋体"/>
          <w:b w:val="0"/>
          <w:bCs w:val="0"/>
          <w:color w:val="auto"/>
          <w:sz w:val="24"/>
          <w:highlight w:val="none"/>
          <w:u w:val="none"/>
          <w:lang w:val="en-US" w:eastAsia="zh-CN"/>
        </w:rPr>
        <w:t xml:space="preserve">第二</w:t>
      </w:r>
      <w:r>
        <w:rPr>
          <w:rFonts w:hint="eastAsia" w:ascii="宋体" w:hAnsi="宋体" w:eastAsia="宋体" w:cs="宋体"/>
          <w:b w:val="0"/>
          <w:bCs w:val="0"/>
          <w:color w:val="auto"/>
          <w:sz w:val="24"/>
          <w:highlight w:val="none"/>
          <w:u w:val="none"/>
          <w:lang w:val="zh-CN"/>
        </w:rPr>
        <w:t xml:space="preserve">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bookmarkEnd w:id="747"/>
      <w:r/>
      <w:bookmarkEnd w:id="748"/>
      <w:r/>
      <w:bookmarkEnd w:id="750"/>
      <w:r/>
      <w:r/>
    </w:p>
    <w:p>
      <w:pPr>
        <w:pStyle w:val="1017"/>
        <w:rPr>
          <w:rFonts w:hint="eastAsia"/>
          <w:color w:val="auto"/>
          <w:highlight w:val="none"/>
        </w:rPr>
      </w:pPr>
      <w:r>
        <w:rPr>
          <w:rFonts w:hint="eastAsia"/>
          <w:color w:val="auto"/>
          <w:highlight w:val="none"/>
        </w:rPr>
      </w:r>
      <w:r/>
    </w:p>
    <w:p>
      <w:pPr>
        <w:numPr>
          <w:ilvl w:val="0"/>
          <w:numId w:val="0"/>
        </w:numPr>
        <w:jc w:val="center"/>
        <w:keepNext/>
        <w:rPr>
          <w:rFonts w:hint="eastAsia" w:ascii="黑体" w:eastAsia="黑体"/>
          <w:bCs/>
          <w:color w:val="auto"/>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764" w:name="_Hlt26671244"/>
      <w:r/>
      <w:bookmarkEnd w:id="764"/>
      <w:r/>
      <w:bookmarkStart w:id="765" w:name="_Hlt26955039"/>
      <w:r/>
      <w:bookmarkEnd w:id="765"/>
      <w:r/>
      <w:bookmarkStart w:id="766" w:name="_Toc26554094"/>
      <w:r/>
      <w:bookmarkStart w:id="767" w:name="_Toc120614282"/>
      <w:r/>
      <w:bookmarkStart w:id="768"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78"/>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1"/>
      <w:r/>
      <w:bookmarkEnd w:id="162"/>
      <w:r/>
      <w:bookmarkEnd w:id="766"/>
      <w:r/>
      <w:bookmarkEnd w:id="767"/>
      <w:r/>
      <w:bookmarkEnd w:id="768"/>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jc w:val="center"/>
        <w:keepLines w:val="0"/>
        <w:keepNext w:val="0"/>
        <w:spacing w:before="100" w:beforeAutospacing="1" w:after="100" w:afterAutospacing="1"/>
        <w:widowControl/>
        <w:rPr>
          <w:rFonts w:ascii="宋体" w:hAnsi="宋体" w:eastAsia="宋体" w:cs="宋体"/>
          <w:b w:val="0"/>
          <w:bCs w:val="0"/>
          <w:color w:val="auto"/>
          <w:sz w:val="24"/>
          <w:szCs w:val="24"/>
          <w:highlight w:val="none"/>
          <w:lang w:val="en-US" w:eastAsia="zh-CN" w:bidi="ar-SA"/>
        </w:rPr>
        <w:suppressLineNumbers w:val="0"/>
      </w:pPr>
      <w:r>
        <w:rPr>
          <w:rFonts w:ascii="宋体" w:hAnsi="宋体" w:eastAsia="宋体" w:cs="宋体"/>
          <w:b w:val="0"/>
          <w:bCs w:val="0"/>
          <w:color w:val="auto"/>
          <w:sz w:val="24"/>
          <w:szCs w:val="24"/>
          <w:highlight w:val="none"/>
          <w:lang w:val="en-US" w:eastAsia="zh-CN" w:bidi="ar-SA"/>
        </w:rPr>
        <w:t xml:space="preserve">磋商报价表</w:t>
      </w:r>
      <w:r/>
    </w:p>
    <w:p>
      <w:pPr>
        <w:jc w:val="left"/>
        <w:keepLines w:val="0"/>
        <w:keepNext w:val="0"/>
        <w:spacing w:before="100" w:beforeAutospacing="1" w:after="100" w:afterAutospacing="1"/>
        <w:widowControl/>
        <w:rPr>
          <w:rFonts w:ascii="宋体" w:hAnsi="宋体" w:eastAsia="宋体" w:cs="宋体"/>
          <w:b w:val="0"/>
          <w:bCs w:val="0"/>
          <w:color w:val="auto"/>
          <w:sz w:val="24"/>
          <w:szCs w:val="24"/>
          <w:highlight w:val="none"/>
          <w:lang w:val="en-US" w:eastAsia="zh-CN" w:bidi="ar-SA"/>
        </w:rPr>
        <w:suppressLineNumbers w:val="0"/>
      </w:pPr>
      <w:r>
        <w:rPr>
          <w:rFonts w:ascii="宋体" w:hAnsi="宋体" w:eastAsia="宋体" w:cs="宋体"/>
          <w:b w:val="0"/>
          <w:bCs w:val="0"/>
          <w:color w:val="auto"/>
          <w:sz w:val="24"/>
          <w:szCs w:val="24"/>
          <w:highlight w:val="none"/>
          <w:lang w:val="en-US" w:eastAsia="zh-CN" w:bidi="ar-SA"/>
        </w:rPr>
        <w:t xml:space="preserve">项目名称</w:t>
      </w:r>
      <w:r>
        <w:rPr>
          <w:rFonts w:hint="eastAsia" w:ascii="宋体" w:hAnsi="宋体" w:eastAsia="宋体" w:cs="宋体"/>
          <w:b w:val="0"/>
          <w:bCs w:val="0"/>
          <w:color w:val="auto"/>
          <w:sz w:val="24"/>
          <w:szCs w:val="24"/>
          <w:highlight w:val="none"/>
          <w:lang w:val="en-US" w:eastAsia="zh-CN" w:bidi="ar-SA"/>
        </w:rPr>
        <w:t xml:space="preserve">：</w:t>
      </w:r>
      <w:r>
        <w:rPr>
          <w:rFonts w:ascii="宋体" w:hAnsi="宋体" w:eastAsia="宋体" w:cs="宋体"/>
          <w:b w:val="0"/>
          <w:bCs w:val="0"/>
          <w:color w:val="auto"/>
          <w:sz w:val="24"/>
          <w:szCs w:val="24"/>
          <w:highlight w:val="none"/>
          <w:lang w:val="en-US" w:eastAsia="zh-CN" w:bidi="ar-SA"/>
        </w:rPr>
        <w:t xml:space="preserve"> </w:t>
      </w:r>
      <w:r/>
    </w:p>
    <w:p>
      <w:pPr>
        <w:jc w:val="left"/>
        <w:keepLines w:val="0"/>
        <w:keepNext w:val="0"/>
        <w:spacing w:before="100" w:beforeAutospacing="1" w:after="100" w:afterAutospacing="1"/>
        <w:widowControl/>
        <w:rPr>
          <w:rFonts w:ascii="宋体" w:hAnsi="宋体" w:eastAsia="宋体" w:cs="宋体"/>
          <w:b w:val="0"/>
          <w:bCs w:val="0"/>
          <w:color w:val="auto"/>
          <w:sz w:val="24"/>
          <w:szCs w:val="24"/>
          <w:highlight w:val="none"/>
          <w:lang w:val="en-US" w:eastAsia="zh-CN" w:bidi="ar-SA"/>
        </w:rPr>
        <w:suppressLineNumbers w:val="0"/>
      </w:pPr>
      <w:r>
        <w:rPr>
          <w:rFonts w:ascii="宋体" w:hAnsi="宋体" w:eastAsia="宋体" w:cs="宋体"/>
          <w:b w:val="0"/>
          <w:bCs w:val="0"/>
          <w:color w:val="auto"/>
          <w:sz w:val="24"/>
          <w:szCs w:val="24"/>
          <w:highlight w:val="none"/>
          <w:shd w:val="clear" w:color="auto" w:fill="ffffff"/>
          <w:lang w:val="en-US" w:eastAsia="zh-CN" w:bidi="ar-SA"/>
        </w:rPr>
        <w:t xml:space="preserve">项目编号： </w:t>
      </w:r>
      <w:r/>
    </w:p>
    <w:tbl>
      <w:tblPr>
        <w:tblStyle w:val="983"/>
        <w:tblW w:w="4302"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582"/>
        <w:gridCol w:w="4642"/>
        <w:gridCol w:w="1582"/>
      </w:tblGrid>
      <w:tr>
        <w:trPr>
          <w:tblCellSpacing w:w="15" w:type="dxa"/>
        </w:trPr>
        <w:tc>
          <w:tcPr>
            <w:tcW w:w="944" w:type="pct"/>
            <w:vAlign w:val="center"/>
            <w:textDirection w:val="lrTb"/>
            <w:noWrap w:val="false"/>
          </w:tcPr>
          <w:p>
            <w:pPr>
              <w:jc w:val="left"/>
              <w:keepLines w:val="0"/>
              <w:keepNext w:val="0"/>
              <w:spacing w:before="100" w:beforeAutospacing="1" w:after="100" w:afterAutospacing="1"/>
              <w:widowControl/>
              <w:rPr>
                <w:rFonts w:ascii="宋体" w:hAnsi="宋体" w:eastAsia="宋体" w:cs="宋体"/>
                <w:b w:val="0"/>
                <w:bCs w:val="0"/>
                <w:color w:val="auto"/>
                <w:sz w:val="24"/>
                <w:szCs w:val="24"/>
                <w:highlight w:val="none"/>
                <w:lang w:val="en-US" w:eastAsia="zh-CN" w:bidi="ar-SA"/>
              </w:rPr>
              <w:suppressLineNumbers w:val="0"/>
            </w:pPr>
            <w:r>
              <w:rPr>
                <w:rFonts w:ascii="宋体" w:hAnsi="宋体" w:eastAsia="宋体" w:cs="宋体"/>
                <w:b w:val="0"/>
                <w:bCs w:val="0"/>
                <w:color w:val="auto"/>
                <w:sz w:val="24"/>
                <w:szCs w:val="24"/>
                <w:highlight w:val="none"/>
                <w:lang w:val="en-US" w:eastAsia="zh-CN" w:bidi="ar-SA"/>
              </w:rPr>
              <w:t xml:space="preserve">投标人名称</w:t>
            </w:r>
            <w:r/>
          </w:p>
        </w:tc>
        <w:tc>
          <w:tcPr>
            <w:tcW w:w="2832" w:type="pct"/>
            <w:vAlign w:val="center"/>
            <w:textDirection w:val="lrTb"/>
            <w:noWrap w:val="false"/>
          </w:tcPr>
          <w:p>
            <w:pPr>
              <w:jc w:val="left"/>
              <w:keepLines w:val="0"/>
              <w:keepNext w:val="0"/>
              <w:spacing w:before="100" w:beforeAutospacing="1" w:after="100" w:afterAutospacing="1"/>
              <w:widowControl/>
              <w:rPr>
                <w:rFonts w:hint="default" w:ascii="宋体" w:hAnsi="宋体" w:eastAsia="宋体" w:cs="宋体"/>
                <w:b w:val="0"/>
                <w:bCs w:val="0"/>
                <w:color w:val="auto"/>
                <w:sz w:val="24"/>
                <w:szCs w:val="24"/>
                <w:highlight w:val="none"/>
                <w:lang w:val="en-US" w:eastAsia="zh-CN" w:bidi="ar-SA"/>
              </w:rPr>
              <w:suppressLineNumbers w:val="0"/>
            </w:pPr>
            <w:r>
              <w:rPr>
                <w:rFonts w:ascii="宋体" w:hAnsi="宋体" w:eastAsia="宋体" w:cs="宋体"/>
                <w:b w:val="0"/>
                <w:bCs w:val="0"/>
                <w:color w:val="auto"/>
                <w:sz w:val="24"/>
                <w:szCs w:val="24"/>
                <w:highlight w:val="none"/>
                <w:lang w:val="en-US" w:eastAsia="zh-CN" w:bidi="ar-SA"/>
              </w:rPr>
              <w:t xml:space="preserve">优惠率（%）</w:t>
            </w:r>
            <w:r/>
          </w:p>
        </w:tc>
        <w:tc>
          <w:tcPr>
            <w:tcW w:w="944" w:type="pct"/>
            <w:vAlign w:val="center"/>
            <w:textDirection w:val="lrTb"/>
            <w:noWrap w:val="false"/>
          </w:tcPr>
          <w:p>
            <w:pPr>
              <w:jc w:val="left"/>
              <w:keepLines w:val="0"/>
              <w:keepNext w:val="0"/>
              <w:spacing w:before="100" w:beforeAutospacing="1" w:after="100" w:afterAutospacing="1"/>
              <w:widowControl/>
              <w:rPr>
                <w:rFonts w:ascii="宋体" w:hAnsi="宋体" w:eastAsia="宋体" w:cs="宋体"/>
                <w:b w:val="0"/>
                <w:bCs w:val="0"/>
                <w:color w:val="auto"/>
                <w:sz w:val="24"/>
                <w:szCs w:val="24"/>
                <w:highlight w:val="none"/>
                <w:lang w:val="en-US" w:eastAsia="zh-CN" w:bidi="ar-SA"/>
              </w:rPr>
              <w:suppressLineNumbers w:val="0"/>
            </w:pPr>
            <w:r>
              <w:rPr>
                <w:rFonts w:ascii="宋体" w:hAnsi="宋体" w:eastAsia="宋体" w:cs="宋体"/>
                <w:b w:val="0"/>
                <w:bCs w:val="0"/>
                <w:color w:val="auto"/>
                <w:sz w:val="24"/>
                <w:szCs w:val="24"/>
                <w:highlight w:val="none"/>
                <w:lang w:val="en-US" w:eastAsia="zh-CN" w:bidi="ar-SA"/>
              </w:rPr>
              <w:t xml:space="preserve">备注</w:t>
            </w:r>
            <w:r/>
          </w:p>
        </w:tc>
      </w:tr>
      <w:tr>
        <w:trPr>
          <w:tblCellSpacing w:w="15" w:type="dxa"/>
        </w:trPr>
        <w:tc>
          <w:tcPr>
            <w:tcW w:w="944" w:type="pct"/>
            <w:vAlign w:val="center"/>
            <w:textDirection w:val="lrTb"/>
            <w:noWrap w:val="false"/>
          </w:tcPr>
          <w:p>
            <w:pPr>
              <w:jc w:val="left"/>
              <w:keepLines w:val="0"/>
              <w:keepNext w:val="0"/>
              <w:spacing w:before="100" w:beforeAutospacing="1" w:after="100" w:afterAutospacing="1"/>
              <w:widowControl/>
              <w:rPr>
                <w:rFonts w:ascii="宋体" w:hAnsi="宋体" w:eastAsia="宋体" w:cs="宋体"/>
                <w:b w:val="0"/>
                <w:bCs w:val="0"/>
                <w:color w:val="auto"/>
                <w:sz w:val="24"/>
                <w:szCs w:val="24"/>
                <w:highlight w:val="none"/>
                <w:lang w:val="en-US" w:eastAsia="zh-CN" w:bidi="ar-SA"/>
              </w:rPr>
              <w:suppressLineNumbers w:val="0"/>
            </w:pPr>
            <w:r>
              <w:rPr>
                <w:rFonts w:ascii="宋体" w:hAnsi="宋体" w:eastAsia="宋体" w:cs="宋体"/>
                <w:b w:val="0"/>
                <w:bCs w:val="0"/>
                <w:color w:val="auto"/>
                <w:sz w:val="24"/>
                <w:szCs w:val="24"/>
                <w:highlight w:val="none"/>
                <w:shd w:val="clear" w:color="auto" w:fill="ffffff"/>
                <w:lang w:val="en-US" w:eastAsia="zh-CN" w:bidi="ar-SA"/>
              </w:rPr>
              <w:t xml:space="preserve">报价单位  </w:t>
            </w:r>
            <w:r>
              <w:rPr>
                <w:rFonts w:ascii="宋体" w:hAnsi="宋体" w:eastAsia="宋体" w:cs="宋体"/>
                <w:b w:val="0"/>
                <w:bCs w:val="0"/>
                <w:color w:val="auto"/>
                <w:sz w:val="24"/>
                <w:szCs w:val="24"/>
                <w:highlight w:val="none"/>
                <w:lang w:val="en-US" w:eastAsia="zh-CN" w:bidi="ar-SA"/>
              </w:rPr>
              <w:t xml:space="preserve"> </w:t>
            </w:r>
            <w:r/>
          </w:p>
        </w:tc>
        <w:tc>
          <w:tcPr>
            <w:tcW w:w="2832" w:type="pct"/>
            <w:vAlign w:val="center"/>
            <w:textDirection w:val="lrTb"/>
            <w:noWrap w:val="false"/>
          </w:tcPr>
          <w:p>
            <w:pPr>
              <w:jc w:val="left"/>
              <w:keepLines w:val="0"/>
              <w:keepNext w:val="0"/>
              <w:spacing w:before="100" w:beforeAutospacing="1" w:after="100" w:afterAutospacing="1"/>
              <w:widowControl/>
              <w:rPr>
                <w:rFonts w:ascii="宋体" w:hAnsi="宋体" w:eastAsia="宋体" w:cs="宋体"/>
                <w:b w:val="0"/>
                <w:bCs w:val="0"/>
                <w:color w:val="auto"/>
                <w:sz w:val="24"/>
                <w:szCs w:val="24"/>
                <w:highlight w:val="none"/>
                <w:lang w:val="en-US" w:eastAsia="zh-CN" w:bidi="ar-SA"/>
              </w:rPr>
              <w:suppressLineNumbers w:val="0"/>
            </w:pPr>
            <w:r>
              <w:rPr>
                <w:rFonts w:ascii="宋体" w:hAnsi="宋体" w:eastAsia="宋体" w:cs="宋体"/>
                <w:b w:val="0"/>
                <w:bCs w:val="0"/>
                <w:color w:val="auto"/>
                <w:sz w:val="24"/>
                <w:szCs w:val="24"/>
                <w:highlight w:val="none"/>
                <w:lang w:val="en-US" w:eastAsia="zh-CN" w:bidi="ar-SA"/>
              </w:rPr>
              <w:t xml:space="preserve"> %</w:t>
            </w:r>
            <w:r/>
          </w:p>
        </w:tc>
        <w:tc>
          <w:tcPr>
            <w:tcW w:w="944" w:type="pct"/>
            <w:vAlign w:val="center"/>
            <w:textDirection w:val="lrTb"/>
            <w:noWrap w:val="false"/>
          </w:tcPr>
          <w:p>
            <w:pPr>
              <w:jc w:val="left"/>
              <w:keepLines w:val="0"/>
              <w:keepNext w:val="0"/>
              <w:spacing w:before="100" w:beforeAutospacing="1" w:after="100" w:afterAutospacing="1"/>
              <w:widowControl/>
              <w:rPr>
                <w:rFonts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Times New Roman"/>
                <w:b w:val="0"/>
                <w:bCs w:val="0"/>
                <w:color w:val="auto"/>
                <w:sz w:val="24"/>
                <w:szCs w:val="21"/>
                <w:highlight w:val="none"/>
                <w:lang w:val="en-US" w:eastAsia="zh-CN" w:bidi="ar-SA"/>
              </w:rPr>
              <w:t xml:space="preserve">优惠率即为投标费率</w:t>
            </w:r>
            <w:r/>
          </w:p>
        </w:tc>
      </w:tr>
    </w:tbl>
    <w:p>
      <w:pPr>
        <w:pStyle w:val="1005"/>
        <w:keepLines w:val="0"/>
        <w:keepNext w:val="0"/>
        <w:widowControl/>
        <w:rPr>
          <w:rFonts w:hint="eastAsia" w:ascii="Times New Roman" w:hAnsi="Times New Roman" w:eastAsia="宋体" w:cs="Times New Roman"/>
          <w:b w:val="0"/>
          <w:bCs w:val="0"/>
          <w:color w:val="auto"/>
          <w:highlight w:val="none"/>
          <w:lang w:val="en-US" w:eastAsia="zh-CN"/>
        </w:rPr>
        <w:suppressLineNumbers w:val="0"/>
      </w:pPr>
      <w:r>
        <w:rPr>
          <w:rFonts w:ascii="Times New Roman" w:hAnsi="Times New Roman" w:eastAsia="宋体" w:cs="Times New Roman"/>
          <w:b w:val="0"/>
          <w:bCs w:val="0"/>
          <w:color w:val="auto"/>
          <w:highlight w:val="none"/>
          <w:lang w:val="en-US" w:eastAsia="zh-CN"/>
        </w:rPr>
        <w:t xml:space="preserve"> </w:t>
      </w:r>
      <w:r>
        <w:rPr>
          <w:rFonts w:hint="default" w:ascii="Times New Roman" w:hAnsi="Times New Roman" w:eastAsia="宋体" w:cs="Times New Roman"/>
          <w:b w:val="0"/>
          <w:bCs w:val="0"/>
          <w:color w:val="auto"/>
          <w:highlight w:val="none"/>
          <w:lang w:val="en-US" w:eastAsia="zh-CN"/>
        </w:rPr>
        <w:t xml:space="preserve">注：</w:t>
      </w:r>
      <w:r>
        <w:rPr>
          <w:rFonts w:hint="eastAsia" w:ascii="Times New Roman" w:hAnsi="Times New Roman" w:eastAsia="宋体" w:cs="Times New Roman"/>
          <w:b w:val="0"/>
          <w:bCs w:val="0"/>
          <w:color w:val="auto"/>
          <w:highlight w:val="none"/>
          <w:lang w:val="en-US" w:eastAsia="zh-CN"/>
        </w:rPr>
        <w:t xml:space="preserve">1、因系统原因，供应商制作响应文件线上填写最终报价时，开标一览表或系统格式中响应报价有折扣率(或优惠率)等不同描述的，均按本文件中的费率进行理解，供应商请统一按费率报价形式填写。</w:t>
      </w:r>
      <w:r/>
    </w:p>
    <w:p>
      <w:pPr>
        <w:pStyle w:val="1005"/>
        <w:keepLines w:val="0"/>
        <w:keepNext w:val="0"/>
        <w:widowControl/>
        <w:rPr>
          <w:rFonts w:hint="eastAsia" w:ascii="Times New Roman" w:hAnsi="Times New Roman" w:eastAsia="宋体" w:cs="Times New Roman"/>
          <w:b w:val="0"/>
          <w:bCs w:val="0"/>
          <w:color w:val="auto"/>
          <w:highlight w:val="none"/>
          <w:lang w:val="en-US" w:eastAsia="zh-CN"/>
        </w:rPr>
        <w:suppressLineNumbers w:val="0"/>
      </w:pPr>
      <w:r>
        <w:rPr>
          <w:rFonts w:hint="eastAsia" w:ascii="Times New Roman" w:hAnsi="Times New Roman" w:eastAsia="宋体" w:cs="Times New Roman"/>
          <w:b w:val="0"/>
          <w:bCs w:val="0"/>
          <w:color w:val="auto"/>
          <w:highlight w:val="none"/>
          <w:lang w:val="en-US" w:eastAsia="zh-CN"/>
        </w:rPr>
        <w:t xml:space="preserve">2、本报价函(首次报价)为格式表，不得自行改动，必须提供。首次报价，不同地方填写不一致的，以本表中填写的“投标费率”数据为准进行评审。</w:t>
      </w:r>
      <w:r/>
    </w:p>
    <w:p>
      <w:pPr>
        <w:pStyle w:val="1005"/>
        <w:keepLines w:val="0"/>
        <w:keepNext w:val="0"/>
        <w:widowControl/>
        <w:rPr>
          <w:rFonts w:hint="default" w:ascii="Times New Roman" w:hAnsi="Times New Roman" w:eastAsia="宋体" w:cs="Times New Roman"/>
          <w:b w:val="0"/>
          <w:bCs w:val="0"/>
          <w:color w:val="auto"/>
          <w:highlight w:val="none"/>
          <w:lang w:val="en-US" w:eastAsia="zh-CN"/>
        </w:rPr>
        <w:suppressLineNumbers w:val="0"/>
      </w:pPr>
      <w:r>
        <w:rPr>
          <w:rFonts w:hint="eastAsia" w:ascii="Times New Roman" w:hAnsi="Times New Roman" w:eastAsia="宋体" w:cs="Times New Roman"/>
          <w:b w:val="0"/>
          <w:bCs w:val="0"/>
          <w:color w:val="auto"/>
          <w:highlight w:val="none"/>
          <w:lang w:val="en-US" w:eastAsia="zh-CN"/>
        </w:rPr>
        <w:t xml:space="preserve">3、</w:t>
      </w:r>
      <w:r>
        <w:rPr>
          <w:rFonts w:hint="default" w:ascii="Times New Roman" w:hAnsi="Times New Roman" w:eastAsia="宋体" w:cs="Times New Roman"/>
          <w:b w:val="0"/>
          <w:bCs w:val="0"/>
          <w:color w:val="auto"/>
          <w:highlight w:val="none"/>
          <w:lang w:val="en-US" w:eastAsia="zh-CN"/>
        </w:rPr>
        <w:t xml:space="preserve">最终结算=实际工程量*</w:t>
      </w:r>
      <w:r>
        <w:rPr>
          <w:rFonts w:hint="eastAsia" w:cs="Times New Roman"/>
          <w:b w:val="0"/>
          <w:bCs w:val="0"/>
          <w:color w:val="auto"/>
          <w:highlight w:val="none"/>
          <w:lang w:val="en-US" w:eastAsia="zh-CN"/>
        </w:rPr>
        <w:t xml:space="preserve">标底审计</w:t>
      </w:r>
      <w:r>
        <w:rPr>
          <w:rFonts w:hint="eastAsia" w:ascii="Times New Roman" w:hAnsi="Times New Roman" w:eastAsia="宋体" w:cs="Times New Roman"/>
          <w:b w:val="0"/>
          <w:bCs w:val="0"/>
          <w:color w:val="auto"/>
          <w:highlight w:val="none"/>
          <w:lang w:val="en-US" w:eastAsia="zh-CN"/>
        </w:rPr>
        <w:t xml:space="preserve">价</w:t>
      </w:r>
      <w:r>
        <w:rPr>
          <w:rFonts w:hint="default" w:ascii="Times New Roman" w:hAnsi="Times New Roman" w:eastAsia="宋体" w:cs="Times New Roman"/>
          <w:b w:val="0"/>
          <w:bCs w:val="0"/>
          <w:color w:val="auto"/>
          <w:highlight w:val="none"/>
          <w:lang w:val="en-US" w:eastAsia="zh-CN"/>
        </w:rPr>
        <w:t xml:space="preserve">*费率。如有不清楚的，请在开标前联系招标代理，如最终报价填写错误，后果自行承担。</w:t>
      </w:r>
      <w:r/>
    </w:p>
    <w:p>
      <w:pPr>
        <w:pStyle w:val="1005"/>
        <w:keepLines w:val="0"/>
        <w:keepNext w:val="0"/>
        <w:widowControl/>
        <w:rPr>
          <w:rFonts w:hint="eastAsia"/>
          <w:b w:val="0"/>
          <w:bCs w:val="0"/>
          <w:color w:val="auto"/>
          <w:highlight w:val="none"/>
        </w:rPr>
        <w:suppressLineNumbers w:val="0"/>
      </w:pPr>
      <w:r>
        <w:rPr>
          <w:rFonts w:hint="eastAsia"/>
          <w:b w:val="0"/>
          <w:bCs w:val="0"/>
          <w:color w:val="auto"/>
          <w:highlight w:val="none"/>
          <w:lang w:val="en-US" w:eastAsia="zh-CN"/>
        </w:rPr>
        <w:t xml:space="preserve">4</w:t>
      </w:r>
      <w:r>
        <w:rPr>
          <w:b w:val="0"/>
          <w:bCs w:val="0"/>
          <w:color w:val="auto"/>
          <w:highlight w:val="none"/>
        </w:rPr>
        <w:t xml:space="preserve">、</w:t>
      </w:r>
      <w:r>
        <w:rPr>
          <w:rFonts w:hint="eastAsia"/>
          <w:b w:val="0"/>
          <w:bCs w:val="0"/>
          <w:color w:val="auto"/>
          <w:highlight w:val="none"/>
        </w:rPr>
        <w:t xml:space="preserve">在</w:t>
      </w:r>
      <w:r>
        <w:rPr>
          <w:b w:val="0"/>
          <w:bCs w:val="0"/>
          <w:color w:val="auto"/>
          <w:highlight w:val="none"/>
        </w:rPr>
        <w:t xml:space="preserve">最后报价</w:t>
      </w:r>
      <w:r>
        <w:rPr>
          <w:rFonts w:hint="eastAsia"/>
          <w:b w:val="0"/>
          <w:bCs w:val="0"/>
          <w:color w:val="auto"/>
          <w:highlight w:val="none"/>
        </w:rPr>
        <w:t xml:space="preserve">报价环节，代理机构在苏采云系统发送</w:t>
      </w:r>
      <w:r>
        <w:rPr>
          <w:b w:val="0"/>
          <w:bCs w:val="0"/>
          <w:color w:val="auto"/>
          <w:highlight w:val="none"/>
        </w:rPr>
        <w:t xml:space="preserve">最后报价</w:t>
      </w:r>
      <w:r>
        <w:rPr>
          <w:rFonts w:hint="eastAsia"/>
          <w:b w:val="0"/>
          <w:bCs w:val="0"/>
          <w:color w:val="auto"/>
          <w:highlight w:val="none"/>
        </w:rPr>
        <w:t xml:space="preserve">通知后，所有的响应供应商须在</w:t>
      </w:r>
      <w:r>
        <w:rPr>
          <w:rFonts w:hint="eastAsia"/>
          <w:b w:val="0"/>
          <w:bCs w:val="0"/>
          <w:color w:val="auto"/>
          <w:highlight w:val="none"/>
          <w:lang w:val="en-US" w:eastAsia="zh-CN"/>
        </w:rPr>
        <w:t xml:space="preserve">2</w:t>
      </w:r>
      <w:r>
        <w:rPr>
          <w:rFonts w:hint="eastAsia"/>
          <w:b w:val="0"/>
          <w:bCs w:val="0"/>
          <w:color w:val="auto"/>
          <w:highlight w:val="none"/>
        </w:rPr>
        <w:t xml:space="preserve">0分钟内填写完成</w:t>
      </w:r>
      <w:r>
        <w:rPr>
          <w:b w:val="0"/>
          <w:bCs w:val="0"/>
          <w:color w:val="auto"/>
          <w:highlight w:val="none"/>
        </w:rPr>
        <w:t xml:space="preserve">最后</w:t>
      </w:r>
      <w:r>
        <w:rPr>
          <w:rFonts w:hint="eastAsia"/>
          <w:b w:val="0"/>
          <w:bCs w:val="0"/>
          <w:color w:val="auto"/>
          <w:highlight w:val="none"/>
        </w:rPr>
        <w:t xml:space="preserve">报价，并按苏采云系统要求提交</w:t>
      </w:r>
      <w:r>
        <w:rPr>
          <w:b w:val="0"/>
          <w:bCs w:val="0"/>
          <w:color w:val="auto"/>
          <w:highlight w:val="none"/>
        </w:rPr>
        <w:t xml:space="preserve">最后</w:t>
      </w:r>
      <w:r>
        <w:rPr>
          <w:rFonts w:hint="eastAsia"/>
          <w:b w:val="0"/>
          <w:bCs w:val="0"/>
          <w:color w:val="auto"/>
          <w:highlight w:val="none"/>
        </w:rPr>
        <w:t xml:space="preserve">报价表。</w:t>
      </w:r>
      <w:r/>
    </w:p>
    <w:p>
      <w:pPr>
        <w:pStyle w:val="1005"/>
        <w:keepLines w:val="0"/>
        <w:keepNext w:val="0"/>
        <w:widowControl/>
        <w:rPr>
          <w:b w:val="0"/>
          <w:bCs w:val="0"/>
          <w:color w:val="auto"/>
          <w:highlight w:val="none"/>
        </w:rPr>
        <w:suppressLineNumbers w:val="0"/>
      </w:pPr>
      <w:r>
        <w:rPr>
          <w:b w:val="0"/>
          <w:bCs w:val="0"/>
          <w:color w:val="auto"/>
          <w:highlight w:val="none"/>
        </w:rPr>
      </w:r>
      <w:r/>
    </w:p>
    <w:p>
      <w:pPr>
        <w:pStyle w:val="1005"/>
        <w:keepLines w:val="0"/>
        <w:keepNext w:val="0"/>
        <w:widowControl/>
        <w:rPr>
          <w:b w:val="0"/>
          <w:bCs w:val="0"/>
          <w:color w:val="auto"/>
          <w:highlight w:val="none"/>
        </w:rPr>
        <w:suppressLineNumbers w:val="0"/>
      </w:pPr>
      <w:r>
        <w:rPr>
          <w:b w:val="0"/>
          <w:bCs w:val="0"/>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82"/>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83"/>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77"/>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77"/>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1017"/>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1017"/>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auto"/>
          <w:sz w:val="24"/>
          <w:szCs w:val="21"/>
          <w:highlight w:val="none"/>
          <w:lang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178"/>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78"/>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8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8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98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8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88"/>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 xml:space="preserve">附件</w:t>
      </w:r>
      <w:r>
        <w:rPr>
          <w:rFonts w:hint="eastAsia" w:ascii="宋体" w:hAnsi="宋体" w:eastAsia="宋体" w:cs="宋体"/>
          <w:bCs/>
          <w:color w:val="auto"/>
          <w:sz w:val="24"/>
          <w:highlight w:val="none"/>
          <w:lang w:val="en-US" w:eastAsia="zh-CN" w:bidi="ar"/>
        </w:rPr>
        <w:t xml:space="preserve">12</w:t>
      </w:r>
      <w:r/>
    </w:p>
    <w:p>
      <w:pPr>
        <w:jc w:val="center"/>
        <w:spacing w:line="360" w:lineRule="auto"/>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为营造公开、公平、公正的公共资源交易环境，树立诚信守法的响应人形象，本人代表本单位作出以下承诺：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行为予以限制的情形，自愿接受采购有关行政监督部门依法给予的行政处罚（处理），并依法承担相应的法律责任；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firstLine="264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时间：  年  月   日</w:t>
      </w:r>
      <w:r/>
    </w:p>
    <w:p>
      <w:pPr>
        <w:rPr>
          <w:rFonts w:hint="eastAsia"/>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88"/>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88"/>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附件：</w:t>
      </w:r>
      <w:r/>
    </w:p>
    <w:p>
      <w:pPr>
        <w:jc w:val="center"/>
        <w:spacing w:line="360" w:lineRule="auto"/>
        <w:rPr>
          <w:rFonts w:hint="default" w:ascii="方正小标宋简体" w:hAnsi="Times New Roman" w:eastAsia="方正小标宋简体" w:cs="Times New Roman"/>
          <w:color w:val="auto"/>
          <w:sz w:val="36"/>
          <w:szCs w:val="36"/>
          <w:highlight w:val="none"/>
        </w:rPr>
      </w:pPr>
      <w:r>
        <w:rPr>
          <w:rFonts w:hint="eastAsia" w:ascii="方正小标宋简体" w:hAnsi="Times New Roman" w:eastAsia="方正小标宋简体" w:cs="Times New Roman"/>
          <w:color w:val="auto"/>
          <w:sz w:val="36"/>
          <w:szCs w:val="36"/>
          <w:highlight w:val="none"/>
        </w:rPr>
        <w:t xml:space="preserve">办理政采贷和</w:t>
      </w:r>
      <w:r>
        <w:rPr>
          <w:rFonts w:hint="default" w:ascii="方正小标宋简体" w:hAnsi="Times New Roman" w:eastAsia="方正小标宋简体" w:cs="Times New Roman"/>
          <w:color w:val="auto"/>
          <w:sz w:val="36"/>
          <w:szCs w:val="36"/>
          <w:highlight w:val="none"/>
        </w:rPr>
        <w:t xml:space="preserve">履</w:t>
      </w:r>
      <w:r>
        <w:rPr>
          <w:rFonts w:hint="eastAsia" w:ascii="方正小标宋简体" w:hAnsi="Times New Roman" w:eastAsia="方正小标宋简体" w:cs="Times New Roman"/>
          <w:color w:val="auto"/>
          <w:sz w:val="36"/>
          <w:szCs w:val="36"/>
          <w:highlight w:val="none"/>
        </w:rPr>
        <w:t xml:space="preserve">约保函（</w:t>
      </w:r>
      <w:r>
        <w:rPr>
          <w:rFonts w:hint="default" w:ascii="方正小标宋简体" w:hAnsi="Times New Roman" w:eastAsia="方正小标宋简体" w:cs="Times New Roman"/>
          <w:color w:val="auto"/>
          <w:sz w:val="36"/>
          <w:szCs w:val="36"/>
          <w:highlight w:val="none"/>
        </w:rPr>
        <w:t xml:space="preserve">保险</w:t>
      </w:r>
      <w:r>
        <w:rPr>
          <w:rFonts w:hint="eastAsia" w:ascii="方正小标宋简体" w:hAnsi="Times New Roman" w:eastAsia="方正小标宋简体" w:cs="Times New Roman"/>
          <w:color w:val="auto"/>
          <w:sz w:val="36"/>
          <w:szCs w:val="36"/>
          <w:highlight w:val="none"/>
        </w:rPr>
        <w:t xml:space="preserve">）告知函</w:t>
      </w:r>
      <w:r/>
    </w:p>
    <w:p>
      <w:pPr>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各政府采购供应商：</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欢迎贵公司参与南通市政府采购活动！</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政府采购线上合同信用融资和</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）是支持企业发展，针对参与政府采购活动的企业融资难、现金流不足等问题推出的一项服务举措。</w:t>
      </w:r>
      <w:r/>
    </w:p>
    <w:p>
      <w:pPr>
        <w:ind w:firstLine="560"/>
        <w:spacing w:line="360" w:lineRule="auto"/>
        <w:rPr>
          <w:rFonts w:hint="default" w:ascii="仿宋_GB2312"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贵公司若成为本次政府采购项目的中标（成交）供应商，</w:t>
      </w:r>
      <w:r>
        <w:rPr>
          <w:rFonts w:hint="eastAsia" w:ascii="仿宋_GB2312" w:hAnsi="Times New Roman" w:eastAsia="仿宋_GB2312" w:cs="Times New Roman"/>
          <w:color w:val="auto"/>
          <w:sz w:val="28"/>
          <w:szCs w:val="28"/>
          <w:highlight w:val="none"/>
        </w:rPr>
        <w:t xml:space="preserve">可自愿选择</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形式替代履约保证金，也</w:t>
      </w:r>
      <w:r>
        <w:rPr>
          <w:rFonts w:hint="eastAsia" w:ascii="Times New Roman" w:hAnsi="Times New Roman" w:eastAsia="仿宋_GB2312" w:cs="Times New Roman"/>
          <w:color w:val="auto"/>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rPr>
        <w:rStyle w:val="1237"/>
      </w:rPr>
      <w:framePr w:wrap="around" w:vAnchor="text" w:hAnchor="margin" w:xAlign="center" w:y="1"/>
    </w:pPr>
    <w:r>
      <w:fldChar w:fldCharType="begin"/>
    </w:r>
    <w:r>
      <w:rPr>
        <w:rStyle w:val="1237"/>
      </w:rPr>
      <w:instrText xml:space="preserve">PAGE  </w:instrText>
    </w:r>
    <w:r>
      <w:fldChar w:fldCharType="separate"/>
    </w:r>
    <w:r>
      <w:rPr>
        <w:rStyle w:val="1237"/>
      </w:rPr>
      <w:t xml:space="preserve">1</w:t>
    </w:r>
    <w:r>
      <w:fldChar w:fldCharType="end"/>
    </w:r>
    <w:r/>
  </w:p>
  <w:p>
    <w:pPr>
      <w:pStyle w:val="12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2"/>
      <w:isLgl w:val="false"/>
      <w:suff w:val="nothing"/>
      <w:lvlText w:val=""/>
      <w:lvlJc w:val="left"/>
      <w:pPr>
        <w:ind w:left="0" w:firstLine="0"/>
      </w:pPr>
      <w:rPr>
        <w:rFonts w:hint="eastAsia"/>
      </w:rPr>
    </w:lvl>
    <w:lvl w:ilvl="6">
      <w:start w:val="1"/>
      <w:numFmt w:val="decimal"/>
      <w:pStyle w:val="1173"/>
      <w:isLgl w:val="false"/>
      <w:suff w:val="nothing"/>
      <w:lvlText w:val=""/>
      <w:lvlJc w:val="left"/>
      <w:pPr>
        <w:ind w:left="0" w:firstLine="0"/>
      </w:pPr>
      <w:rPr>
        <w:rFonts w:hint="eastAsia"/>
      </w:rPr>
    </w:lvl>
    <w:lvl w:ilvl="7">
      <w:start w:val="1"/>
      <w:numFmt w:val="decimal"/>
      <w:pStyle w:val="1174"/>
      <w:isLgl w:val="false"/>
      <w:suff w:val="nothing"/>
      <w:lvlText w:val=""/>
      <w:lvlJc w:val="left"/>
      <w:pPr>
        <w:ind w:left="0" w:firstLine="0"/>
      </w:pPr>
      <w:rPr>
        <w:rFonts w:hint="eastAsia"/>
      </w:rPr>
    </w:lvl>
    <w:lvl w:ilvl="8">
      <w:start w:val="1"/>
      <w:numFmt w:val="decimal"/>
      <w:pStyle w:val="1175"/>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5"/>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2" w:default="1">
    <w:name w:val="Normal"/>
    <w:link w:val="128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3">
    <w:name w:val="Heading 1"/>
    <w:basedOn w:val="972"/>
    <w:next w:val="972"/>
    <w:link w:val="1019"/>
    <w:uiPriority w:val="9"/>
    <w:qFormat/>
    <w:pPr>
      <w:keepLines/>
      <w:keepNext/>
      <w:spacing w:before="480" w:after="200"/>
      <w:outlineLvl w:val="0"/>
    </w:pPr>
    <w:rPr>
      <w:rFonts w:ascii="Arial" w:hAnsi="Arial" w:eastAsia="Arial" w:cs="Arial"/>
      <w:sz w:val="40"/>
      <w:szCs w:val="40"/>
    </w:rPr>
  </w:style>
  <w:style w:type="paragraph" w:styleId="974">
    <w:name w:val="Heading 2"/>
    <w:basedOn w:val="972"/>
    <w:next w:val="972"/>
    <w:link w:val="1020"/>
    <w:uiPriority w:val="9"/>
    <w:unhideWhenUsed/>
    <w:qFormat/>
    <w:pPr>
      <w:keepLines/>
      <w:keepNext/>
      <w:spacing w:before="360" w:after="200"/>
      <w:outlineLvl w:val="1"/>
    </w:pPr>
    <w:rPr>
      <w:rFonts w:ascii="Arial" w:hAnsi="Arial" w:eastAsia="Arial" w:cs="Arial"/>
      <w:sz w:val="34"/>
    </w:rPr>
  </w:style>
  <w:style w:type="paragraph" w:styleId="975">
    <w:name w:val="Heading 3"/>
    <w:basedOn w:val="972"/>
    <w:next w:val="972"/>
    <w:link w:val="1021"/>
    <w:uiPriority w:val="9"/>
    <w:unhideWhenUsed/>
    <w:qFormat/>
    <w:pPr>
      <w:keepLines/>
      <w:keepNext/>
      <w:spacing w:before="320" w:after="200"/>
      <w:outlineLvl w:val="2"/>
    </w:pPr>
    <w:rPr>
      <w:rFonts w:ascii="Arial" w:hAnsi="Arial" w:eastAsia="Arial" w:cs="Arial"/>
      <w:sz w:val="30"/>
      <w:szCs w:val="30"/>
    </w:rPr>
  </w:style>
  <w:style w:type="paragraph" w:styleId="976">
    <w:name w:val="Heading 4"/>
    <w:basedOn w:val="972"/>
    <w:next w:val="972"/>
    <w:link w:val="1022"/>
    <w:uiPriority w:val="9"/>
    <w:unhideWhenUsed/>
    <w:qFormat/>
    <w:pPr>
      <w:keepLines/>
      <w:keepNext/>
      <w:spacing w:before="320" w:after="200"/>
      <w:outlineLvl w:val="3"/>
    </w:pPr>
    <w:rPr>
      <w:rFonts w:ascii="Arial" w:hAnsi="Arial" w:eastAsia="Arial" w:cs="Arial"/>
      <w:b/>
      <w:bCs/>
      <w:sz w:val="26"/>
      <w:szCs w:val="26"/>
    </w:rPr>
  </w:style>
  <w:style w:type="paragraph" w:styleId="977">
    <w:name w:val="Heading 5"/>
    <w:basedOn w:val="972"/>
    <w:next w:val="972"/>
    <w:link w:val="1023"/>
    <w:uiPriority w:val="9"/>
    <w:unhideWhenUsed/>
    <w:qFormat/>
    <w:pPr>
      <w:keepLines/>
      <w:keepNext/>
      <w:spacing w:before="320" w:after="200"/>
      <w:outlineLvl w:val="4"/>
    </w:pPr>
    <w:rPr>
      <w:rFonts w:ascii="Arial" w:hAnsi="Arial" w:eastAsia="Arial" w:cs="Arial"/>
      <w:b/>
      <w:bCs/>
      <w:sz w:val="24"/>
      <w:szCs w:val="24"/>
    </w:rPr>
  </w:style>
  <w:style w:type="paragraph" w:styleId="978">
    <w:name w:val="Heading 6"/>
    <w:basedOn w:val="972"/>
    <w:next w:val="972"/>
    <w:link w:val="1024"/>
    <w:uiPriority w:val="9"/>
    <w:unhideWhenUsed/>
    <w:qFormat/>
    <w:pPr>
      <w:keepLines/>
      <w:keepNext/>
      <w:spacing w:before="320" w:after="200"/>
      <w:outlineLvl w:val="5"/>
    </w:pPr>
    <w:rPr>
      <w:rFonts w:ascii="Arial" w:hAnsi="Arial" w:eastAsia="Arial" w:cs="Arial"/>
      <w:b/>
      <w:bCs/>
      <w:sz w:val="22"/>
      <w:szCs w:val="22"/>
    </w:rPr>
  </w:style>
  <w:style w:type="paragraph" w:styleId="979">
    <w:name w:val="Heading 7"/>
    <w:basedOn w:val="972"/>
    <w:next w:val="972"/>
    <w:link w:val="1025"/>
    <w:uiPriority w:val="9"/>
    <w:unhideWhenUsed/>
    <w:qFormat/>
    <w:pPr>
      <w:keepLines/>
      <w:keepNext/>
      <w:spacing w:before="320" w:after="200"/>
      <w:outlineLvl w:val="6"/>
    </w:pPr>
    <w:rPr>
      <w:rFonts w:ascii="Arial" w:hAnsi="Arial" w:eastAsia="Arial" w:cs="Arial"/>
      <w:b/>
      <w:bCs/>
      <w:i/>
      <w:iCs/>
      <w:sz w:val="22"/>
      <w:szCs w:val="22"/>
    </w:rPr>
  </w:style>
  <w:style w:type="paragraph" w:styleId="980">
    <w:name w:val="Heading 8"/>
    <w:basedOn w:val="972"/>
    <w:next w:val="972"/>
    <w:link w:val="1026"/>
    <w:uiPriority w:val="9"/>
    <w:unhideWhenUsed/>
    <w:qFormat/>
    <w:pPr>
      <w:keepLines/>
      <w:keepNext/>
      <w:spacing w:before="320" w:after="200"/>
      <w:outlineLvl w:val="7"/>
    </w:pPr>
    <w:rPr>
      <w:rFonts w:ascii="Arial" w:hAnsi="Arial" w:eastAsia="Arial" w:cs="Arial"/>
      <w:i/>
      <w:iCs/>
      <w:sz w:val="22"/>
      <w:szCs w:val="22"/>
    </w:rPr>
  </w:style>
  <w:style w:type="paragraph" w:styleId="981">
    <w:name w:val="Heading 9"/>
    <w:basedOn w:val="972"/>
    <w:next w:val="972"/>
    <w:link w:val="1027"/>
    <w:uiPriority w:val="9"/>
    <w:unhideWhenUsed/>
    <w:qFormat/>
    <w:pPr>
      <w:keepLines/>
      <w:keepNext/>
      <w:spacing w:before="320" w:after="200"/>
      <w:outlineLvl w:val="8"/>
    </w:pPr>
    <w:rPr>
      <w:rFonts w:ascii="Arial" w:hAnsi="Arial" w:eastAsia="Arial" w:cs="Arial"/>
      <w:i/>
      <w:iCs/>
      <w:sz w:val="21"/>
      <w:szCs w:val="21"/>
    </w:rPr>
  </w:style>
  <w:style w:type="character" w:styleId="982" w:default="1">
    <w:name w:val="Default Paragraph Font"/>
    <w:uiPriority w:val="1"/>
    <w:semiHidden/>
    <w:unhideWhenUsed/>
    <w:qFormat/>
  </w:style>
  <w:style w:type="table" w:styleId="983" w:default="1">
    <w:name w:val="Normal Table"/>
    <w:uiPriority w:val="99"/>
    <w:semiHidden/>
    <w:unhideWhenUsed/>
    <w:qFormat/>
    <w:tblPr>
      <w:tblCellMar>
        <w:left w:w="108" w:type="dxa"/>
        <w:top w:w="0" w:type="dxa"/>
        <w:right w:w="108" w:type="dxa"/>
        <w:bottom w:w="0" w:type="dxa"/>
      </w:tblCellMar>
    </w:tblPr>
  </w:style>
  <w:style w:type="paragraph" w:styleId="984">
    <w:name w:val="toc 7"/>
    <w:basedOn w:val="972"/>
    <w:next w:val="972"/>
    <w:uiPriority w:val="39"/>
    <w:unhideWhenUsed/>
    <w:qFormat/>
    <w:pPr>
      <w:ind w:left="1701" w:right="0" w:firstLine="0"/>
      <w:spacing w:after="57"/>
    </w:pPr>
  </w:style>
  <w:style w:type="paragraph" w:styleId="985">
    <w:name w:val="Normal Indent"/>
    <w:basedOn w:val="972"/>
    <w:next w:val="972"/>
    <w:uiPriority w:val="0"/>
    <w:qFormat/>
    <w:pPr>
      <w:ind w:firstLine="420"/>
    </w:pPr>
  </w:style>
  <w:style w:type="paragraph" w:styleId="986">
    <w:name w:val="Caption"/>
    <w:basedOn w:val="972"/>
    <w:next w:val="9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7">
    <w:name w:val="index 5"/>
    <w:basedOn w:val="972"/>
    <w:next w:val="972"/>
    <w:uiPriority w:val="99"/>
    <w:unhideWhenUsed/>
    <w:qFormat/>
    <w:pPr>
      <w:ind w:left="1050" w:hanging="210"/>
      <w:jc w:val="left"/>
    </w:pPr>
    <w:rPr>
      <w:rFonts w:hint="default"/>
      <w:sz w:val="18"/>
      <w:szCs w:val="24"/>
      <w:lang w:eastAsia="zh-TW"/>
    </w:rPr>
  </w:style>
  <w:style w:type="paragraph" w:styleId="988">
    <w:name w:val="Body Text"/>
    <w:basedOn w:val="972"/>
    <w:next w:val="989"/>
    <w:uiPriority w:val="0"/>
    <w:qFormat/>
    <w:rPr>
      <w:rFonts w:ascii="楷体_GB2312" w:hAnsi="Arial" w:eastAsia="楷体_GB2312" w:cs="Times New Roman"/>
      <w:sz w:val="28"/>
      <w:szCs w:val="28"/>
    </w:rPr>
  </w:style>
  <w:style w:type="paragraph" w:styleId="989">
    <w:name w:val="Subtitle"/>
    <w:basedOn w:val="972"/>
    <w:next w:val="972"/>
    <w:link w:val="1031"/>
    <w:uiPriority w:val="11"/>
    <w:qFormat/>
    <w:pPr>
      <w:spacing w:before="200" w:after="200"/>
    </w:pPr>
    <w:rPr>
      <w:sz w:val="24"/>
      <w:szCs w:val="24"/>
    </w:rPr>
  </w:style>
  <w:style w:type="paragraph" w:styleId="990">
    <w:name w:val="Body Text Indent"/>
    <w:basedOn w:val="972"/>
    <w:next w:val="991"/>
    <w:uiPriority w:val="0"/>
    <w:unhideWhenUsed/>
    <w:qFormat/>
    <w:pPr>
      <w:ind w:left="420"/>
      <w:spacing w:after="120"/>
    </w:pPr>
  </w:style>
  <w:style w:type="paragraph" w:styleId="991">
    <w:name w:val="envelope return"/>
    <w:basedOn w:val="972"/>
    <w:uiPriority w:val="99"/>
    <w:qFormat/>
    <w:rPr>
      <w:rFonts w:ascii="Arial" w:hAnsi="Arial" w:cs="Arial"/>
    </w:rPr>
  </w:style>
  <w:style w:type="paragraph" w:styleId="992">
    <w:name w:val="toc 5"/>
    <w:basedOn w:val="972"/>
    <w:next w:val="972"/>
    <w:uiPriority w:val="39"/>
    <w:unhideWhenUsed/>
    <w:qFormat/>
    <w:pPr>
      <w:ind w:left="1134" w:right="0" w:firstLine="0"/>
      <w:spacing w:after="57"/>
    </w:pPr>
  </w:style>
  <w:style w:type="paragraph" w:styleId="993">
    <w:name w:val="toc 3"/>
    <w:basedOn w:val="972"/>
    <w:next w:val="972"/>
    <w:uiPriority w:val="39"/>
    <w:unhideWhenUsed/>
    <w:qFormat/>
    <w:pPr>
      <w:ind w:left="567" w:right="0" w:firstLine="0"/>
      <w:spacing w:after="57"/>
    </w:pPr>
  </w:style>
  <w:style w:type="paragraph" w:styleId="994">
    <w:name w:val="toc 8"/>
    <w:basedOn w:val="972"/>
    <w:next w:val="972"/>
    <w:uiPriority w:val="39"/>
    <w:unhideWhenUsed/>
    <w:qFormat/>
    <w:pPr>
      <w:ind w:left="1984" w:right="0" w:firstLine="0"/>
      <w:spacing w:after="57"/>
    </w:pPr>
  </w:style>
  <w:style w:type="paragraph" w:styleId="995">
    <w:name w:val="endnote text"/>
    <w:basedOn w:val="972"/>
    <w:link w:val="1165"/>
    <w:uiPriority w:val="99"/>
    <w:semiHidden/>
    <w:unhideWhenUsed/>
    <w:qFormat/>
    <w:pPr>
      <w:spacing w:after="0" w:line="240" w:lineRule="auto"/>
    </w:pPr>
    <w:rPr>
      <w:sz w:val="20"/>
    </w:rPr>
  </w:style>
  <w:style w:type="paragraph" w:styleId="996">
    <w:name w:val="Footer"/>
    <w:basedOn w:val="972"/>
    <w:link w:val="1038"/>
    <w:uiPriority w:val="99"/>
    <w:unhideWhenUsed/>
    <w:qFormat/>
    <w:pPr>
      <w:spacing w:after="0" w:line="240" w:lineRule="auto"/>
      <w:tabs>
        <w:tab w:val="center" w:pos="7143" w:leader="none"/>
        <w:tab w:val="right" w:pos="14287" w:leader="none"/>
      </w:tabs>
    </w:pPr>
  </w:style>
  <w:style w:type="paragraph" w:styleId="997">
    <w:name w:val="Header"/>
    <w:basedOn w:val="972"/>
    <w:link w:val="1036"/>
    <w:uiPriority w:val="99"/>
    <w:unhideWhenUsed/>
    <w:qFormat/>
    <w:pPr>
      <w:spacing w:after="0" w:line="240" w:lineRule="auto"/>
      <w:tabs>
        <w:tab w:val="center" w:pos="7143" w:leader="none"/>
        <w:tab w:val="right" w:pos="14287" w:leader="none"/>
      </w:tabs>
    </w:pPr>
  </w:style>
  <w:style w:type="paragraph" w:styleId="998">
    <w:name w:val="toc 1"/>
    <w:basedOn w:val="972"/>
    <w:next w:val="972"/>
    <w:uiPriority w:val="39"/>
    <w:unhideWhenUsed/>
    <w:qFormat/>
    <w:pPr>
      <w:ind w:left="0" w:right="0" w:firstLine="0"/>
      <w:spacing w:after="57"/>
    </w:pPr>
  </w:style>
  <w:style w:type="paragraph" w:styleId="999">
    <w:name w:val="toc 4"/>
    <w:basedOn w:val="972"/>
    <w:next w:val="972"/>
    <w:uiPriority w:val="39"/>
    <w:unhideWhenUsed/>
    <w:qFormat/>
    <w:pPr>
      <w:ind w:left="850" w:right="0" w:firstLine="0"/>
      <w:spacing w:after="57"/>
    </w:pPr>
  </w:style>
  <w:style w:type="paragraph" w:styleId="1000">
    <w:name w:val="footnote text"/>
    <w:basedOn w:val="972"/>
    <w:link w:val="1164"/>
    <w:uiPriority w:val="99"/>
    <w:semiHidden/>
    <w:unhideWhenUsed/>
    <w:qFormat/>
    <w:pPr>
      <w:spacing w:after="40" w:line="240" w:lineRule="auto"/>
    </w:pPr>
    <w:rPr>
      <w:sz w:val="18"/>
    </w:rPr>
  </w:style>
  <w:style w:type="paragraph" w:styleId="1001">
    <w:name w:val="toc 6"/>
    <w:basedOn w:val="972"/>
    <w:next w:val="972"/>
    <w:uiPriority w:val="39"/>
    <w:unhideWhenUsed/>
    <w:qFormat/>
    <w:pPr>
      <w:ind w:left="1417" w:right="0" w:firstLine="0"/>
      <w:spacing w:after="57"/>
    </w:pPr>
  </w:style>
  <w:style w:type="paragraph" w:styleId="1002">
    <w:name w:val="table of figures"/>
    <w:basedOn w:val="972"/>
    <w:next w:val="972"/>
    <w:uiPriority w:val="99"/>
    <w:unhideWhenUsed/>
    <w:qFormat/>
    <w:pPr>
      <w:spacing w:after="0" w:afterAutospacing="0"/>
    </w:pPr>
  </w:style>
  <w:style w:type="paragraph" w:styleId="1003">
    <w:name w:val="toc 2"/>
    <w:basedOn w:val="972"/>
    <w:next w:val="972"/>
    <w:uiPriority w:val="39"/>
    <w:unhideWhenUsed/>
    <w:qFormat/>
    <w:pPr>
      <w:ind w:left="283" w:right="0" w:firstLine="0"/>
      <w:spacing w:after="57"/>
    </w:pPr>
  </w:style>
  <w:style w:type="paragraph" w:styleId="1004">
    <w:name w:val="toc 9"/>
    <w:basedOn w:val="972"/>
    <w:next w:val="972"/>
    <w:uiPriority w:val="39"/>
    <w:unhideWhenUsed/>
    <w:qFormat/>
    <w:pPr>
      <w:ind w:left="2268" w:right="0" w:firstLine="0"/>
      <w:spacing w:after="57"/>
    </w:pPr>
  </w:style>
  <w:style w:type="paragraph" w:styleId="1005">
    <w:name w:val="Normal (Web)"/>
    <w:basedOn w:val="972"/>
    <w:uiPriority w:val="99"/>
    <w:semiHidden/>
    <w:unhideWhenUsed/>
    <w:qFormat/>
    <w:pPr>
      <w:ind w:left="0" w:right="0"/>
      <w:jc w:val="left"/>
      <w:spacing w:before="0" w:beforeAutospacing="1" w:after="0" w:afterAutospacing="1"/>
    </w:pPr>
    <w:rPr>
      <w:sz w:val="24"/>
      <w:lang w:val="en-US" w:eastAsia="zh-CN" w:bidi="ar"/>
    </w:rPr>
  </w:style>
  <w:style w:type="paragraph" w:styleId="1006">
    <w:name w:val="Title"/>
    <w:basedOn w:val="972"/>
    <w:next w:val="972"/>
    <w:link w:val="1030"/>
    <w:uiPriority w:val="10"/>
    <w:qFormat/>
    <w:pPr>
      <w:contextualSpacing/>
      <w:spacing w:before="300" w:after="200"/>
    </w:pPr>
    <w:rPr>
      <w:sz w:val="48"/>
      <w:szCs w:val="48"/>
    </w:rPr>
  </w:style>
  <w:style w:type="paragraph" w:styleId="1007">
    <w:name w:val="Body Text First Indent 2"/>
    <w:basedOn w:val="990"/>
    <w:uiPriority w:val="0"/>
    <w:qFormat/>
    <w:pPr>
      <w:ind w:left="0" w:firstLine="420"/>
      <w:spacing w:after="0" w:line="360" w:lineRule="auto"/>
    </w:pPr>
    <w:rPr>
      <w:rFonts w:ascii="宋体" w:hAnsi="宋体" w:eastAsia="宋体" w:cs="Times New Roman"/>
      <w:szCs w:val="20"/>
    </w:rPr>
  </w:style>
  <w:style w:type="table" w:styleId="10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9">
    <w:name w:val="Strong"/>
    <w:basedOn w:val="982"/>
    <w:uiPriority w:val="22"/>
    <w:qFormat/>
    <w:rPr>
      <w:b/>
    </w:rPr>
  </w:style>
  <w:style w:type="character" w:styleId="1010">
    <w:name w:val="endnote reference"/>
    <w:uiPriority w:val="99"/>
    <w:semiHidden/>
    <w:unhideWhenUsed/>
    <w:qFormat/>
    <w:rPr>
      <w:vertAlign w:val="superscript"/>
    </w:rPr>
  </w:style>
  <w:style w:type="character" w:styleId="1011">
    <w:name w:val="FollowedHyperlink"/>
    <w:basedOn w:val="982"/>
    <w:uiPriority w:val="99"/>
    <w:semiHidden/>
    <w:unhideWhenUsed/>
    <w:qFormat/>
    <w:rPr>
      <w:color w:val="333333"/>
      <w:u w:val="none"/>
    </w:rPr>
  </w:style>
  <w:style w:type="character" w:styleId="1012">
    <w:name w:val="Hyperlink"/>
    <w:uiPriority w:val="99"/>
    <w:unhideWhenUsed/>
    <w:qFormat/>
    <w:rPr>
      <w:color w:val="0000ff" w:themeColor="hyperlink"/>
      <w:u w:val="single"/>
      <w14:textFill>
        <w14:solidFill>
          <w14:schemeClr w14:val="hlink"/>
        </w14:solidFill>
      </w14:textFill>
    </w:rPr>
  </w:style>
  <w:style w:type="character" w:styleId="1013">
    <w:name w:val="annotation reference"/>
    <w:uiPriority w:val="0"/>
    <w:qFormat/>
    <w:rPr>
      <w:sz w:val="21"/>
      <w:szCs w:val="21"/>
    </w:rPr>
  </w:style>
  <w:style w:type="character" w:styleId="1014">
    <w:name w:val="footnote reference"/>
    <w:uiPriority w:val="99"/>
    <w:unhideWhenUsed/>
    <w:qFormat/>
    <w:rPr>
      <w:vertAlign w:val="superscript"/>
    </w:rPr>
  </w:style>
  <w:style w:type="paragraph" w:styleId="1015" w:customStyle="1">
    <w:name w:val="标题 21"/>
    <w:basedOn w:val="972"/>
    <w:next w:val="972"/>
    <w:link w:val="11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6" w:customStyle="1">
    <w:name w:val="目录 11"/>
    <w:basedOn w:val="972"/>
    <w:next w:val="97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17" w:customStyle="1">
    <w:name w:val="标题 211"/>
    <w:basedOn w:val="972"/>
    <w:next w:val="972"/>
    <w:uiPriority w:val="99"/>
    <w:qFormat/>
    <w:pPr>
      <w:jc w:val="left"/>
      <w:keepLines/>
      <w:keepNext/>
      <w:outlineLvl w:val="1"/>
    </w:pPr>
    <w:rPr>
      <w:rFonts w:ascii="宋体" w:hAnsi="宋体" w:eastAsia="楷体_GB2312" w:cs="宋体"/>
      <w:b/>
      <w:bCs/>
      <w:sz w:val="26"/>
      <w:szCs w:val="26"/>
    </w:rPr>
  </w:style>
  <w:style w:type="paragraph" w:styleId="1018" w:customStyle="1">
    <w:name w:val="信息标题1"/>
    <w:basedOn w:val="972"/>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1019" w:customStyle="1">
    <w:name w:val="Heading 1 Char"/>
    <w:link w:val="973"/>
    <w:uiPriority w:val="9"/>
    <w:qFormat/>
    <w:rPr>
      <w:rFonts w:ascii="Arial" w:hAnsi="Arial" w:eastAsia="Arial" w:cs="Arial"/>
      <w:sz w:val="40"/>
      <w:szCs w:val="40"/>
    </w:rPr>
  </w:style>
  <w:style w:type="character" w:styleId="1020" w:customStyle="1">
    <w:name w:val="Heading 2 Char"/>
    <w:link w:val="974"/>
    <w:uiPriority w:val="9"/>
    <w:qFormat/>
    <w:rPr>
      <w:rFonts w:ascii="Arial" w:hAnsi="Arial" w:eastAsia="Arial" w:cs="Arial"/>
      <w:sz w:val="34"/>
    </w:rPr>
  </w:style>
  <w:style w:type="character" w:styleId="1021" w:customStyle="1">
    <w:name w:val="Heading 3 Char"/>
    <w:link w:val="975"/>
    <w:uiPriority w:val="9"/>
    <w:qFormat/>
    <w:rPr>
      <w:rFonts w:ascii="Arial" w:hAnsi="Arial" w:eastAsia="Arial" w:cs="Arial"/>
      <w:sz w:val="30"/>
      <w:szCs w:val="30"/>
    </w:rPr>
  </w:style>
  <w:style w:type="character" w:styleId="1022" w:customStyle="1">
    <w:name w:val="Heading 4 Char"/>
    <w:link w:val="976"/>
    <w:uiPriority w:val="9"/>
    <w:qFormat/>
    <w:rPr>
      <w:rFonts w:ascii="Arial" w:hAnsi="Arial" w:eastAsia="Arial" w:cs="Arial"/>
      <w:b/>
      <w:bCs/>
      <w:sz w:val="26"/>
      <w:szCs w:val="26"/>
    </w:rPr>
  </w:style>
  <w:style w:type="character" w:styleId="1023" w:customStyle="1">
    <w:name w:val="Heading 5 Char"/>
    <w:link w:val="977"/>
    <w:uiPriority w:val="9"/>
    <w:qFormat/>
    <w:rPr>
      <w:rFonts w:ascii="Arial" w:hAnsi="Arial" w:eastAsia="Arial" w:cs="Arial"/>
      <w:b/>
      <w:bCs/>
      <w:sz w:val="24"/>
      <w:szCs w:val="24"/>
    </w:rPr>
  </w:style>
  <w:style w:type="character" w:styleId="1024" w:customStyle="1">
    <w:name w:val="Heading 6 Char"/>
    <w:link w:val="978"/>
    <w:uiPriority w:val="9"/>
    <w:qFormat/>
    <w:rPr>
      <w:rFonts w:ascii="Arial" w:hAnsi="Arial" w:eastAsia="Arial" w:cs="Arial"/>
      <w:b/>
      <w:bCs/>
      <w:sz w:val="22"/>
      <w:szCs w:val="22"/>
    </w:rPr>
  </w:style>
  <w:style w:type="character" w:styleId="1025" w:customStyle="1">
    <w:name w:val="Heading 7 Char"/>
    <w:link w:val="979"/>
    <w:uiPriority w:val="9"/>
    <w:qFormat/>
    <w:rPr>
      <w:rFonts w:ascii="Arial" w:hAnsi="Arial" w:eastAsia="Arial" w:cs="Arial"/>
      <w:b/>
      <w:bCs/>
      <w:i/>
      <w:iCs/>
      <w:sz w:val="22"/>
      <w:szCs w:val="22"/>
    </w:rPr>
  </w:style>
  <w:style w:type="character" w:styleId="1026" w:customStyle="1">
    <w:name w:val="Heading 8 Char"/>
    <w:link w:val="980"/>
    <w:uiPriority w:val="9"/>
    <w:qFormat/>
    <w:rPr>
      <w:rFonts w:ascii="Arial" w:hAnsi="Arial" w:eastAsia="Arial" w:cs="Arial"/>
      <w:i/>
      <w:iCs/>
      <w:sz w:val="22"/>
      <w:szCs w:val="22"/>
    </w:rPr>
  </w:style>
  <w:style w:type="character" w:styleId="1027" w:customStyle="1">
    <w:name w:val="Heading 9 Char"/>
    <w:link w:val="981"/>
    <w:uiPriority w:val="9"/>
    <w:qFormat/>
    <w:rPr>
      <w:rFonts w:ascii="Arial" w:hAnsi="Arial" w:eastAsia="Arial" w:cs="Arial"/>
      <w:i/>
      <w:iCs/>
      <w:sz w:val="21"/>
      <w:szCs w:val="21"/>
    </w:rPr>
  </w:style>
  <w:style w:type="paragraph" w:styleId="1028">
    <w:name w:val="List Paragraph"/>
    <w:basedOn w:val="972"/>
    <w:uiPriority w:val="34"/>
    <w:qFormat/>
    <w:pPr>
      <w:contextualSpacing/>
      <w:ind w:left="720"/>
    </w:pPr>
  </w:style>
  <w:style w:type="paragraph" w:styleId="1029">
    <w:name w:val="No Spacing"/>
    <w:uiPriority w:val="1"/>
    <w:qFormat/>
    <w:pPr>
      <w:spacing w:before="0" w:after="0" w:line="240" w:lineRule="auto"/>
    </w:pPr>
    <w:rPr>
      <w:rFonts w:hint="default" w:ascii="Times New Roman" w:hAnsi="Times New Roman" w:eastAsia="宋体" w:cs="Times New Roman"/>
    </w:rPr>
  </w:style>
  <w:style w:type="character" w:styleId="1030" w:customStyle="1">
    <w:name w:val="Title Char"/>
    <w:link w:val="1006"/>
    <w:uiPriority w:val="10"/>
    <w:qFormat/>
    <w:rPr>
      <w:sz w:val="48"/>
      <w:szCs w:val="48"/>
    </w:rPr>
  </w:style>
  <w:style w:type="character" w:styleId="1031" w:customStyle="1">
    <w:name w:val="Subtitle Char"/>
    <w:link w:val="989"/>
    <w:uiPriority w:val="11"/>
    <w:qFormat/>
    <w:rPr>
      <w:sz w:val="24"/>
      <w:szCs w:val="24"/>
    </w:rPr>
  </w:style>
  <w:style w:type="paragraph" w:styleId="1032">
    <w:name w:val="Quote"/>
    <w:basedOn w:val="972"/>
    <w:next w:val="972"/>
    <w:link w:val="1033"/>
    <w:uiPriority w:val="29"/>
    <w:qFormat/>
    <w:pPr>
      <w:ind w:left="720" w:right="720"/>
    </w:pPr>
    <w:rPr>
      <w:i/>
    </w:rPr>
  </w:style>
  <w:style w:type="character" w:styleId="1033" w:customStyle="1">
    <w:name w:val="Quote Char"/>
    <w:link w:val="1032"/>
    <w:uiPriority w:val="29"/>
    <w:qFormat/>
    <w:rPr>
      <w:i/>
    </w:rPr>
  </w:style>
  <w:style w:type="paragraph" w:styleId="1034">
    <w:name w:val="Intense Quote"/>
    <w:basedOn w:val="972"/>
    <w:next w:val="972"/>
    <w:link w:val="10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5" w:customStyle="1">
    <w:name w:val="Intense Quote Char"/>
    <w:link w:val="1034"/>
    <w:uiPriority w:val="30"/>
    <w:qFormat/>
    <w:rPr>
      <w:i/>
    </w:rPr>
  </w:style>
  <w:style w:type="character" w:styleId="1036" w:customStyle="1">
    <w:name w:val="Header Char"/>
    <w:link w:val="997"/>
    <w:uiPriority w:val="99"/>
    <w:qFormat/>
  </w:style>
  <w:style w:type="character" w:styleId="1037" w:customStyle="1">
    <w:name w:val="Footer Char"/>
    <w:link w:val="996"/>
    <w:uiPriority w:val="99"/>
    <w:qFormat/>
  </w:style>
  <w:style w:type="character" w:styleId="1038" w:customStyle="1">
    <w:name w:val="Caption Char"/>
    <w:link w:val="996"/>
    <w:uiPriority w:val="99"/>
    <w:qFormat/>
  </w:style>
  <w:style w:type="table" w:styleId="10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4" w:customStyle="1">
    <w:name w:val="Footnote Text Char"/>
    <w:link w:val="1000"/>
    <w:uiPriority w:val="99"/>
    <w:qFormat/>
    <w:rPr>
      <w:sz w:val="18"/>
    </w:rPr>
  </w:style>
  <w:style w:type="character" w:styleId="1165" w:customStyle="1">
    <w:name w:val="Endnote Text Char"/>
    <w:link w:val="995"/>
    <w:uiPriority w:val="99"/>
    <w:qFormat/>
    <w:rPr>
      <w:sz w:val="20"/>
    </w:rPr>
  </w:style>
  <w:style w:type="paragraph" w:styleId="1166" w:customStyle="1">
    <w:name w:val="TOC Heading"/>
    <w:uiPriority w:val="39"/>
    <w:unhideWhenUsed/>
    <w:qFormat/>
    <w:rPr>
      <w:rFonts w:hint="default" w:ascii="Times New Roman" w:hAnsi="Times New Roman" w:eastAsia="宋体" w:cs="Times New Roman"/>
    </w:rPr>
  </w:style>
  <w:style w:type="paragraph" w:styleId="1167" w:customStyle="1">
    <w:name w:val="标题 11"/>
    <w:basedOn w:val="972"/>
    <w:next w:val="972"/>
    <w:link w:val="1180"/>
    <w:uiPriority w:val="0"/>
    <w:qFormat/>
    <w:pPr>
      <w:jc w:val="center"/>
      <w:keepNext/>
      <w:outlineLvl w:val="0"/>
    </w:pPr>
    <w:rPr>
      <w:rFonts w:ascii="楷体_GB2312" w:hAnsi="Times New Roman" w:eastAsia="楷体_GB2312" w:cs="Times New Roman"/>
      <w:sz w:val="28"/>
      <w:szCs w:val="28"/>
    </w:rPr>
  </w:style>
  <w:style w:type="paragraph" w:styleId="1168" w:customStyle="1">
    <w:name w:val="正文缩进1"/>
    <w:basedOn w:val="972"/>
    <w:link w:val="1182"/>
    <w:uiPriority w:val="0"/>
    <w:qFormat/>
    <w:pPr>
      <w:ind w:firstLine="420"/>
    </w:pPr>
    <w:rPr>
      <w:szCs w:val="21"/>
    </w:rPr>
  </w:style>
  <w:style w:type="paragraph" w:styleId="1169" w:customStyle="1">
    <w:name w:val="标题 31"/>
    <w:basedOn w:val="972"/>
    <w:next w:val="972"/>
    <w:link w:val="118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70" w:customStyle="1">
    <w:name w:val="标题 41"/>
    <w:basedOn w:val="972"/>
    <w:next w:val="1168"/>
    <w:link w:val="1184"/>
    <w:uiPriority w:val="0"/>
    <w:qFormat/>
    <w:pPr>
      <w:keepLines/>
      <w:keepNext/>
      <w:spacing w:before="280" w:after="290" w:line="376" w:lineRule="auto"/>
      <w:outlineLvl w:val="3"/>
    </w:pPr>
    <w:rPr>
      <w:rFonts w:ascii="Arial" w:hAnsi="Arial" w:eastAsia="黑体" w:cs="Arial"/>
      <w:b/>
      <w:bCs/>
      <w:sz w:val="28"/>
      <w:szCs w:val="28"/>
    </w:rPr>
  </w:style>
  <w:style w:type="paragraph" w:styleId="1171" w:customStyle="1">
    <w:name w:val="标题 51"/>
    <w:basedOn w:val="972"/>
    <w:next w:val="1168"/>
    <w:link w:val="1185"/>
    <w:uiPriority w:val="0"/>
    <w:qFormat/>
    <w:pPr>
      <w:keepNext/>
      <w:outlineLvl w:val="4"/>
    </w:pPr>
    <w:rPr>
      <w:rFonts w:ascii="宋体" w:hAnsi="Times New Roman" w:eastAsia="宋体" w:cs="Times New Roman"/>
      <w:color w:val="000000"/>
      <w:sz w:val="28"/>
      <w:szCs w:val="28"/>
    </w:rPr>
  </w:style>
  <w:style w:type="paragraph" w:styleId="1172" w:customStyle="1">
    <w:name w:val="标题 61"/>
    <w:basedOn w:val="972"/>
    <w:next w:val="972"/>
    <w:link w:val="118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73" w:customStyle="1">
    <w:name w:val="标题 71"/>
    <w:basedOn w:val="972"/>
    <w:next w:val="972"/>
    <w:link w:val="118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74" w:customStyle="1">
    <w:name w:val="标题 81"/>
    <w:basedOn w:val="972"/>
    <w:next w:val="972"/>
    <w:link w:val="118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75" w:customStyle="1">
    <w:name w:val="标题 91"/>
    <w:basedOn w:val="972"/>
    <w:next w:val="972"/>
    <w:link w:val="118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76" w:customStyle="1">
    <w:name w:val="默认段落字体1"/>
    <w:link w:val="972"/>
    <w:uiPriority w:val="1"/>
    <w:unhideWhenUsed/>
    <w:qFormat/>
  </w:style>
  <w:style w:type="table" w:styleId="1177" w:customStyle="1">
    <w:name w:val="普通表格1"/>
    <w:uiPriority w:val="99"/>
    <w:unhideWhenUsed/>
    <w:qFormat/>
    <w:tblPr/>
  </w:style>
  <w:style w:type="paragraph" w:styleId="1178" w:customStyle="1">
    <w:name w:val="正文文本11"/>
    <w:basedOn w:val="972"/>
    <w:next w:val="972"/>
    <w:link w:val="1179"/>
    <w:uiPriority w:val="0"/>
    <w:qFormat/>
    <w:rPr>
      <w:rFonts w:ascii="楷体_GB2312" w:hAnsi="Arial" w:eastAsia="楷体_GB2312" w:cs="Times New Roman"/>
      <w:sz w:val="28"/>
      <w:szCs w:val="28"/>
    </w:rPr>
  </w:style>
  <w:style w:type="character" w:styleId="1179" w:customStyle="1">
    <w:name w:val="正文文本 Char"/>
    <w:link w:val="1178"/>
    <w:uiPriority w:val="0"/>
    <w:qFormat/>
    <w:rPr>
      <w:rFonts w:ascii="楷体_GB2312" w:hAnsi="Arial" w:eastAsia="楷体_GB2312" w:cs="Times New Roman"/>
      <w:sz w:val="28"/>
      <w:szCs w:val="28"/>
    </w:rPr>
  </w:style>
  <w:style w:type="character" w:styleId="1180" w:customStyle="1">
    <w:name w:val="标题 1 Char"/>
    <w:link w:val="1167"/>
    <w:uiPriority w:val="0"/>
    <w:qFormat/>
    <w:rPr>
      <w:rFonts w:ascii="楷体_GB2312" w:hAnsi="Times New Roman" w:eastAsia="楷体_GB2312" w:cs="Times New Roman"/>
      <w:sz w:val="28"/>
      <w:szCs w:val="28"/>
    </w:rPr>
  </w:style>
  <w:style w:type="character" w:styleId="1181" w:customStyle="1">
    <w:name w:val="标题 2 Char"/>
    <w:link w:val="1015"/>
    <w:uiPriority w:val="0"/>
    <w:qFormat/>
    <w:rPr>
      <w:rFonts w:ascii="Arial" w:hAnsi="Arial" w:eastAsia="幼圆" w:cs="Arial"/>
      <w:b/>
      <w:bCs/>
      <w:sz w:val="44"/>
      <w:szCs w:val="44"/>
    </w:rPr>
  </w:style>
  <w:style w:type="character" w:styleId="1182" w:customStyle="1">
    <w:name w:val="正文缩进 Char"/>
    <w:link w:val="1168"/>
    <w:uiPriority w:val="0"/>
    <w:qFormat/>
    <w:rPr>
      <w:szCs w:val="21"/>
    </w:rPr>
  </w:style>
  <w:style w:type="character" w:styleId="1183" w:customStyle="1">
    <w:name w:val="标题 3 Char"/>
    <w:link w:val="1169"/>
    <w:uiPriority w:val="0"/>
    <w:qFormat/>
    <w:rPr>
      <w:rFonts w:ascii="Times New Roman" w:hAnsi="Times New Roman" w:eastAsia="宋体" w:cs="Times New Roman"/>
      <w:b/>
      <w:bCs/>
      <w:sz w:val="32"/>
      <w:szCs w:val="32"/>
    </w:rPr>
  </w:style>
  <w:style w:type="character" w:styleId="1184" w:customStyle="1">
    <w:name w:val="标题 4 Char"/>
    <w:link w:val="1170"/>
    <w:uiPriority w:val="0"/>
    <w:qFormat/>
    <w:rPr>
      <w:rFonts w:ascii="Arial" w:hAnsi="Arial" w:eastAsia="黑体" w:cs="Arial"/>
      <w:b/>
      <w:bCs/>
      <w:sz w:val="28"/>
      <w:szCs w:val="28"/>
    </w:rPr>
  </w:style>
  <w:style w:type="character" w:styleId="1185" w:customStyle="1">
    <w:name w:val="标题 5 Char"/>
    <w:link w:val="1171"/>
    <w:uiPriority w:val="0"/>
    <w:qFormat/>
    <w:rPr>
      <w:rFonts w:ascii="宋体" w:hAnsi="Times New Roman" w:eastAsia="宋体" w:cs="Times New Roman"/>
      <w:color w:val="000000"/>
      <w:sz w:val="28"/>
      <w:szCs w:val="28"/>
    </w:rPr>
  </w:style>
  <w:style w:type="character" w:styleId="1186" w:customStyle="1">
    <w:name w:val="标题 6 Char"/>
    <w:link w:val="1172"/>
    <w:uiPriority w:val="0"/>
    <w:qFormat/>
    <w:rPr>
      <w:rFonts w:ascii="Arial" w:hAnsi="Arial" w:eastAsia="黑体" w:cs="Times New Roman"/>
      <w:b/>
      <w:bCs/>
      <w:sz w:val="24"/>
      <w:szCs w:val="24"/>
    </w:rPr>
  </w:style>
  <w:style w:type="character" w:styleId="1187" w:customStyle="1">
    <w:name w:val="标题 7 Char"/>
    <w:link w:val="1173"/>
    <w:uiPriority w:val="0"/>
    <w:qFormat/>
    <w:rPr>
      <w:rFonts w:ascii="Times New Roman" w:hAnsi="Times New Roman" w:eastAsia="宋体" w:cs="Times New Roman"/>
      <w:b/>
      <w:bCs/>
      <w:sz w:val="24"/>
      <w:szCs w:val="24"/>
    </w:rPr>
  </w:style>
  <w:style w:type="character" w:styleId="1188" w:customStyle="1">
    <w:name w:val="标题 8 Char"/>
    <w:link w:val="1174"/>
    <w:uiPriority w:val="0"/>
    <w:qFormat/>
    <w:rPr>
      <w:rFonts w:ascii="Arial" w:hAnsi="Arial" w:eastAsia="黑体" w:cs="Times New Roman"/>
      <w:sz w:val="24"/>
      <w:szCs w:val="24"/>
    </w:rPr>
  </w:style>
  <w:style w:type="character" w:styleId="1189" w:customStyle="1">
    <w:name w:val="标题 9 Char"/>
    <w:link w:val="1175"/>
    <w:uiPriority w:val="0"/>
    <w:qFormat/>
    <w:rPr>
      <w:rFonts w:ascii="Arial" w:hAnsi="Arial" w:eastAsia="黑体" w:cs="Times New Roman"/>
      <w:szCs w:val="21"/>
    </w:rPr>
  </w:style>
  <w:style w:type="paragraph" w:styleId="1190" w:customStyle="1">
    <w:name w:val="列表 31"/>
    <w:basedOn w:val="972"/>
    <w:uiPriority w:val="0"/>
    <w:qFormat/>
    <w:pPr>
      <w:ind w:left="100" w:hanging="200"/>
    </w:pPr>
    <w:rPr>
      <w:rFonts w:ascii="Times New Roman" w:hAnsi="Times New Roman" w:eastAsia="宋体" w:cs="Times New Roman"/>
      <w:szCs w:val="21"/>
    </w:rPr>
  </w:style>
  <w:style w:type="paragraph" w:styleId="1191" w:customStyle="1">
    <w:name w:val="目录 71"/>
    <w:basedOn w:val="972"/>
    <w:next w:val="972"/>
    <w:uiPriority w:val="0"/>
    <w:semiHidden/>
    <w:qFormat/>
    <w:pPr>
      <w:ind w:left="1260"/>
      <w:jc w:val="left"/>
    </w:pPr>
    <w:rPr>
      <w:rFonts w:ascii="Times New Roman" w:hAnsi="Times New Roman" w:eastAsia="宋体" w:cs="Times New Roman"/>
      <w:szCs w:val="21"/>
    </w:rPr>
  </w:style>
  <w:style w:type="paragraph" w:styleId="1192" w:customStyle="1">
    <w:name w:val="文档结构图1"/>
    <w:basedOn w:val="972"/>
    <w:link w:val="1193"/>
    <w:uiPriority w:val="0"/>
    <w:semiHidden/>
    <w:qFormat/>
    <w:pPr>
      <w:shd w:val="clear" w:color="auto" w:fill="000080"/>
    </w:pPr>
    <w:rPr>
      <w:rFonts w:ascii="Times New Roman" w:hAnsi="Times New Roman" w:eastAsia="宋体" w:cs="Times New Roman"/>
      <w:szCs w:val="21"/>
    </w:rPr>
  </w:style>
  <w:style w:type="character" w:styleId="1193" w:customStyle="1">
    <w:name w:val="文档结构图 Char"/>
    <w:link w:val="1192"/>
    <w:uiPriority w:val="0"/>
    <w:semiHidden/>
    <w:qFormat/>
    <w:rPr>
      <w:rFonts w:ascii="Times New Roman" w:hAnsi="Times New Roman" w:eastAsia="宋体" w:cs="Times New Roman"/>
      <w:szCs w:val="21"/>
      <w:shd w:val="clear" w:color="auto" w:fill="000080"/>
    </w:rPr>
  </w:style>
  <w:style w:type="paragraph" w:styleId="1194" w:customStyle="1">
    <w:name w:val="批注文字1"/>
    <w:basedOn w:val="972"/>
    <w:link w:val="1195"/>
    <w:uiPriority w:val="0"/>
    <w:unhideWhenUsed/>
    <w:qFormat/>
    <w:pPr>
      <w:jc w:val="left"/>
    </w:pPr>
  </w:style>
  <w:style w:type="character" w:styleId="1195" w:customStyle="1">
    <w:name w:val="批注文字 Char"/>
    <w:basedOn w:val="1176"/>
    <w:link w:val="1194"/>
    <w:uiPriority w:val="99"/>
    <w:semiHidden/>
    <w:qFormat/>
  </w:style>
  <w:style w:type="paragraph" w:styleId="1196" w:customStyle="1">
    <w:name w:val="正文文本 31"/>
    <w:basedOn w:val="972"/>
    <w:link w:val="1197"/>
    <w:uiPriority w:val="0"/>
    <w:qFormat/>
    <w:rPr>
      <w:rFonts w:ascii="仿宋_GB2312" w:hAnsi="Arial" w:eastAsia="仿宋_GB2312" w:cs="Times New Roman"/>
      <w:sz w:val="32"/>
      <w:szCs w:val="32"/>
    </w:rPr>
  </w:style>
  <w:style w:type="character" w:styleId="1197" w:customStyle="1">
    <w:name w:val="正文文本 3 Char"/>
    <w:link w:val="1196"/>
    <w:uiPriority w:val="0"/>
    <w:qFormat/>
    <w:rPr>
      <w:rFonts w:ascii="仿宋_GB2312" w:hAnsi="Arial" w:eastAsia="仿宋_GB2312" w:cs="Times New Roman"/>
      <w:sz w:val="32"/>
      <w:szCs w:val="32"/>
    </w:rPr>
  </w:style>
  <w:style w:type="paragraph" w:styleId="1198" w:customStyle="1">
    <w:name w:val="正文文本缩进1"/>
    <w:basedOn w:val="972"/>
    <w:next w:val="1199"/>
    <w:link w:val="1200"/>
    <w:uiPriority w:val="0"/>
    <w:unhideWhenUsed/>
    <w:qFormat/>
    <w:pPr>
      <w:ind w:left="420"/>
      <w:spacing w:after="120"/>
    </w:pPr>
  </w:style>
  <w:style w:type="paragraph" w:styleId="1199" w:customStyle="1">
    <w:name w:val="寄信人地址1"/>
    <w:basedOn w:val="972"/>
    <w:uiPriority w:val="99"/>
    <w:unhideWhenUsed/>
    <w:qFormat/>
    <w:rPr>
      <w:rFonts w:ascii="Arial" w:hAnsi="Arial"/>
    </w:rPr>
  </w:style>
  <w:style w:type="character" w:styleId="1200" w:customStyle="1">
    <w:name w:val="正文文本缩进 Char"/>
    <w:basedOn w:val="1176"/>
    <w:link w:val="1198"/>
    <w:uiPriority w:val="99"/>
    <w:semiHidden/>
    <w:qFormat/>
  </w:style>
  <w:style w:type="paragraph" w:styleId="1201" w:customStyle="1">
    <w:name w:val="列表 21"/>
    <w:basedOn w:val="972"/>
    <w:uiPriority w:val="0"/>
    <w:qFormat/>
    <w:pPr>
      <w:ind w:left="100" w:hanging="200"/>
    </w:pPr>
    <w:rPr>
      <w:rFonts w:ascii="Times New Roman" w:hAnsi="Times New Roman" w:eastAsia="宋体" w:cs="Times New Roman"/>
      <w:szCs w:val="21"/>
    </w:rPr>
  </w:style>
  <w:style w:type="paragraph" w:styleId="1202" w:customStyle="1">
    <w:name w:val="目录 51"/>
    <w:basedOn w:val="972"/>
    <w:next w:val="972"/>
    <w:uiPriority w:val="0"/>
    <w:semiHidden/>
    <w:qFormat/>
    <w:pPr>
      <w:ind w:left="840"/>
      <w:jc w:val="left"/>
    </w:pPr>
    <w:rPr>
      <w:rFonts w:ascii="Times New Roman" w:hAnsi="Times New Roman" w:eastAsia="宋体" w:cs="Times New Roman"/>
      <w:szCs w:val="21"/>
    </w:rPr>
  </w:style>
  <w:style w:type="paragraph" w:styleId="1203" w:customStyle="1">
    <w:name w:val="目录 31"/>
    <w:basedOn w:val="972"/>
    <w:next w:val="972"/>
    <w:uiPriority w:val="0"/>
    <w:semiHidden/>
    <w:qFormat/>
    <w:pPr>
      <w:ind w:left="420"/>
      <w:jc w:val="left"/>
    </w:pPr>
    <w:rPr>
      <w:rFonts w:ascii="Times New Roman" w:hAnsi="Times New Roman" w:eastAsia="宋体" w:cs="Times New Roman"/>
      <w:i/>
      <w:iCs/>
      <w:szCs w:val="24"/>
    </w:rPr>
  </w:style>
  <w:style w:type="paragraph" w:styleId="1204" w:customStyle="1">
    <w:name w:val="纯文本1"/>
    <w:basedOn w:val="972"/>
    <w:link w:val="1205"/>
    <w:uiPriority w:val="0"/>
    <w:qFormat/>
    <w:rPr>
      <w:rFonts w:ascii="宋体" w:hAnsi="Courier New" w:eastAsia="宋体" w:cs="Courier New"/>
      <w:szCs w:val="21"/>
    </w:rPr>
  </w:style>
  <w:style w:type="character" w:styleId="1205" w:customStyle="1">
    <w:name w:val="纯文本 Char"/>
    <w:link w:val="1204"/>
    <w:uiPriority w:val="0"/>
    <w:qFormat/>
    <w:rPr>
      <w:rFonts w:ascii="宋体" w:hAnsi="Courier New" w:eastAsia="宋体" w:cs="Courier New"/>
      <w:szCs w:val="21"/>
    </w:rPr>
  </w:style>
  <w:style w:type="paragraph" w:styleId="1206" w:customStyle="1">
    <w:name w:val="目录 81"/>
    <w:basedOn w:val="972"/>
    <w:next w:val="972"/>
    <w:uiPriority w:val="0"/>
    <w:semiHidden/>
    <w:qFormat/>
    <w:pPr>
      <w:ind w:left="1470"/>
      <w:jc w:val="left"/>
    </w:pPr>
    <w:rPr>
      <w:rFonts w:ascii="Times New Roman" w:hAnsi="Times New Roman" w:eastAsia="宋体" w:cs="Times New Roman"/>
      <w:szCs w:val="21"/>
    </w:rPr>
  </w:style>
  <w:style w:type="paragraph" w:styleId="1207" w:customStyle="1">
    <w:name w:val="日期1"/>
    <w:basedOn w:val="972"/>
    <w:next w:val="972"/>
    <w:link w:val="1208"/>
    <w:uiPriority w:val="0"/>
    <w:qFormat/>
    <w:rPr>
      <w:rFonts w:ascii="Times New Roman" w:hAnsi="Times New Roman" w:eastAsia="宋体" w:cs="Times New Roman"/>
      <w:sz w:val="24"/>
      <w:szCs w:val="24"/>
    </w:rPr>
  </w:style>
  <w:style w:type="character" w:styleId="1208" w:customStyle="1">
    <w:name w:val="日期 Char"/>
    <w:link w:val="1207"/>
    <w:uiPriority w:val="0"/>
    <w:qFormat/>
    <w:rPr>
      <w:rFonts w:ascii="Times New Roman" w:hAnsi="Times New Roman" w:eastAsia="宋体" w:cs="Times New Roman"/>
      <w:sz w:val="24"/>
      <w:szCs w:val="24"/>
    </w:rPr>
  </w:style>
  <w:style w:type="paragraph" w:styleId="1209" w:customStyle="1">
    <w:name w:val="正文文本缩进 21"/>
    <w:basedOn w:val="972"/>
    <w:link w:val="1210"/>
    <w:uiPriority w:val="0"/>
    <w:qFormat/>
    <w:pPr>
      <w:ind w:left="630" w:firstLine="645"/>
    </w:pPr>
    <w:rPr>
      <w:rFonts w:ascii="Arial" w:hAnsi="Arial" w:eastAsia="仿宋_GB2312" w:cs="Arial"/>
      <w:sz w:val="32"/>
      <w:szCs w:val="32"/>
    </w:rPr>
  </w:style>
  <w:style w:type="character" w:styleId="1210" w:customStyle="1">
    <w:name w:val="正文文本缩进 2 Char"/>
    <w:link w:val="1209"/>
    <w:uiPriority w:val="0"/>
    <w:qFormat/>
    <w:rPr>
      <w:rFonts w:ascii="Arial" w:hAnsi="Arial" w:eastAsia="仿宋_GB2312" w:cs="Arial"/>
      <w:sz w:val="32"/>
      <w:szCs w:val="32"/>
    </w:rPr>
  </w:style>
  <w:style w:type="paragraph" w:styleId="1211" w:customStyle="1">
    <w:name w:val="批注框文本1"/>
    <w:basedOn w:val="972"/>
    <w:link w:val="1212"/>
    <w:uiPriority w:val="0"/>
    <w:semiHidden/>
    <w:qFormat/>
    <w:rPr>
      <w:rFonts w:ascii="Times New Roman" w:hAnsi="Times New Roman" w:eastAsia="宋体" w:cs="Times New Roman"/>
      <w:sz w:val="18"/>
      <w:szCs w:val="18"/>
    </w:rPr>
  </w:style>
  <w:style w:type="character" w:styleId="1212" w:customStyle="1">
    <w:name w:val="批注框文本 Char"/>
    <w:link w:val="1211"/>
    <w:uiPriority w:val="0"/>
    <w:semiHidden/>
    <w:qFormat/>
    <w:rPr>
      <w:rFonts w:ascii="Times New Roman" w:hAnsi="Times New Roman" w:eastAsia="宋体" w:cs="Times New Roman"/>
      <w:sz w:val="18"/>
      <w:szCs w:val="18"/>
    </w:rPr>
  </w:style>
  <w:style w:type="paragraph" w:styleId="1213" w:customStyle="1">
    <w:name w:val="页脚1"/>
    <w:basedOn w:val="972"/>
    <w:link w:val="121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14" w:customStyle="1">
    <w:name w:val="页脚 Char"/>
    <w:link w:val="1213"/>
    <w:uiPriority w:val="0"/>
    <w:qFormat/>
    <w:rPr>
      <w:rFonts w:ascii="Times New Roman" w:hAnsi="Times New Roman" w:eastAsia="宋体" w:cs="Times New Roman"/>
      <w:sz w:val="18"/>
      <w:szCs w:val="18"/>
    </w:rPr>
  </w:style>
  <w:style w:type="paragraph" w:styleId="1215" w:customStyle="1">
    <w:name w:val="页眉1"/>
    <w:basedOn w:val="972"/>
    <w:link w:val="121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16" w:customStyle="1">
    <w:name w:val="页眉 Char"/>
    <w:link w:val="1215"/>
    <w:uiPriority w:val="0"/>
    <w:qFormat/>
    <w:rPr>
      <w:rFonts w:ascii="Times New Roman" w:hAnsi="Times New Roman" w:eastAsia="宋体" w:cs="Times New Roman"/>
      <w:sz w:val="18"/>
      <w:szCs w:val="18"/>
    </w:rPr>
  </w:style>
  <w:style w:type="paragraph" w:styleId="1217" w:customStyle="1">
    <w:name w:val="目录 41"/>
    <w:basedOn w:val="972"/>
    <w:next w:val="972"/>
    <w:uiPriority w:val="0"/>
    <w:semiHidden/>
    <w:qFormat/>
    <w:pPr>
      <w:ind w:left="630"/>
      <w:jc w:val="left"/>
    </w:pPr>
    <w:rPr>
      <w:rFonts w:ascii="Times New Roman" w:hAnsi="Times New Roman" w:eastAsia="宋体" w:cs="Times New Roman"/>
      <w:szCs w:val="21"/>
    </w:rPr>
  </w:style>
  <w:style w:type="paragraph" w:styleId="1218" w:customStyle="1">
    <w:name w:val="列表1"/>
    <w:basedOn w:val="972"/>
    <w:uiPriority w:val="0"/>
    <w:qFormat/>
    <w:pPr>
      <w:ind w:left="200" w:hanging="200"/>
    </w:pPr>
    <w:rPr>
      <w:rFonts w:ascii="Times New Roman" w:hAnsi="Times New Roman" w:eastAsia="宋体" w:cs="Times New Roman"/>
      <w:szCs w:val="21"/>
    </w:rPr>
  </w:style>
  <w:style w:type="paragraph" w:styleId="1219" w:customStyle="1">
    <w:name w:val="目录 61"/>
    <w:basedOn w:val="972"/>
    <w:next w:val="972"/>
    <w:uiPriority w:val="0"/>
    <w:semiHidden/>
    <w:qFormat/>
    <w:pPr>
      <w:ind w:left="1050"/>
      <w:jc w:val="left"/>
    </w:pPr>
    <w:rPr>
      <w:rFonts w:ascii="Times New Roman" w:hAnsi="Times New Roman" w:eastAsia="宋体" w:cs="Times New Roman"/>
      <w:szCs w:val="21"/>
    </w:rPr>
  </w:style>
  <w:style w:type="paragraph" w:styleId="1220" w:customStyle="1">
    <w:name w:val="正文文本缩进 31"/>
    <w:basedOn w:val="972"/>
    <w:link w:val="1221"/>
    <w:uiPriority w:val="0"/>
    <w:qFormat/>
    <w:pPr>
      <w:ind w:left="645" w:firstLine="645"/>
    </w:pPr>
    <w:rPr>
      <w:rFonts w:ascii="Arial" w:hAnsi="Arial" w:eastAsia="仿宋_GB2312" w:cs="Arial"/>
      <w:color w:val="ffff00"/>
      <w:sz w:val="32"/>
      <w:szCs w:val="32"/>
    </w:rPr>
  </w:style>
  <w:style w:type="character" w:styleId="1221" w:customStyle="1">
    <w:name w:val="正文文本缩进 3 Char"/>
    <w:link w:val="1220"/>
    <w:uiPriority w:val="0"/>
    <w:qFormat/>
    <w:rPr>
      <w:rFonts w:ascii="Arial" w:hAnsi="Arial" w:eastAsia="仿宋_GB2312" w:cs="Arial"/>
      <w:color w:val="ffff00"/>
      <w:sz w:val="32"/>
      <w:szCs w:val="32"/>
    </w:rPr>
  </w:style>
  <w:style w:type="paragraph" w:styleId="1222" w:customStyle="1">
    <w:name w:val="图表目录1"/>
    <w:basedOn w:val="972"/>
    <w:next w:val="972"/>
    <w:uiPriority w:val="0"/>
    <w:semiHidden/>
    <w:qFormat/>
    <w:pPr>
      <w:ind w:left="840" w:hanging="420"/>
    </w:pPr>
    <w:rPr>
      <w:rFonts w:ascii="Times New Roman" w:hAnsi="Times New Roman" w:eastAsia="宋体" w:cs="Times New Roman"/>
      <w:szCs w:val="21"/>
    </w:rPr>
  </w:style>
  <w:style w:type="paragraph" w:styleId="1223" w:customStyle="1">
    <w:name w:val="目录 21"/>
    <w:basedOn w:val="972"/>
    <w:next w:val="972"/>
    <w:uiPriority w:val="0"/>
    <w:semiHidden/>
    <w:qFormat/>
    <w:pPr>
      <w:ind w:left="210"/>
      <w:jc w:val="left"/>
    </w:pPr>
    <w:rPr>
      <w:rFonts w:ascii="Times New Roman" w:hAnsi="Times New Roman" w:eastAsia="宋体" w:cs="Times New Roman"/>
      <w:smallCaps/>
      <w:szCs w:val="24"/>
    </w:rPr>
  </w:style>
  <w:style w:type="paragraph" w:styleId="1224" w:customStyle="1">
    <w:name w:val="目录 91"/>
    <w:basedOn w:val="972"/>
    <w:next w:val="972"/>
    <w:uiPriority w:val="0"/>
    <w:semiHidden/>
    <w:qFormat/>
    <w:pPr>
      <w:ind w:left="1680"/>
      <w:jc w:val="left"/>
    </w:pPr>
    <w:rPr>
      <w:rFonts w:ascii="Times New Roman" w:hAnsi="Times New Roman" w:eastAsia="宋体" w:cs="Times New Roman"/>
      <w:szCs w:val="21"/>
    </w:rPr>
  </w:style>
  <w:style w:type="paragraph" w:styleId="1225" w:customStyle="1">
    <w:name w:val="正文文本 21"/>
    <w:basedOn w:val="972"/>
    <w:link w:val="1226"/>
    <w:uiPriority w:val="0"/>
    <w:qFormat/>
    <w:pPr>
      <w:jc w:val="center"/>
      <w:widowControl/>
    </w:pPr>
    <w:rPr>
      <w:rFonts w:ascii="楷体_GB2312" w:hAnsi="Times New Roman" w:eastAsia="楷体_GB2312" w:cs="Times New Roman"/>
      <w:sz w:val="28"/>
      <w:szCs w:val="28"/>
    </w:rPr>
  </w:style>
  <w:style w:type="character" w:styleId="1226" w:customStyle="1">
    <w:name w:val="正文文本 2 Char"/>
    <w:link w:val="1225"/>
    <w:uiPriority w:val="0"/>
    <w:qFormat/>
    <w:rPr>
      <w:rFonts w:ascii="楷体_GB2312" w:hAnsi="Times New Roman" w:eastAsia="楷体_GB2312" w:cs="Times New Roman"/>
      <w:sz w:val="28"/>
      <w:szCs w:val="28"/>
    </w:rPr>
  </w:style>
  <w:style w:type="paragraph" w:styleId="1227" w:customStyle="1">
    <w:name w:val="普通(网站)1"/>
    <w:basedOn w:val="972"/>
    <w:uiPriority w:val="99"/>
    <w:qFormat/>
    <w:pPr>
      <w:jc w:val="left"/>
      <w:spacing w:before="100" w:beforeAutospacing="1" w:after="100" w:afterAutospacing="1"/>
      <w:widowControl/>
    </w:pPr>
    <w:rPr>
      <w:rFonts w:ascii="宋体" w:hAnsi="宋体" w:eastAsia="宋体" w:cs="宋体"/>
      <w:sz w:val="24"/>
      <w:szCs w:val="24"/>
    </w:rPr>
  </w:style>
  <w:style w:type="paragraph" w:styleId="1228" w:customStyle="1">
    <w:name w:val="索引 11"/>
    <w:basedOn w:val="972"/>
    <w:next w:val="972"/>
    <w:uiPriority w:val="0"/>
    <w:semiHidden/>
    <w:qFormat/>
    <w:pPr>
      <w:spacing w:line="240" w:lineRule="atLeast"/>
    </w:pPr>
    <w:rPr>
      <w:rFonts w:ascii="Times New Roman" w:hAnsi="Times New Roman" w:eastAsia="宋体" w:cs="Times New Roman"/>
      <w:b/>
      <w:bCs/>
      <w:szCs w:val="21"/>
    </w:rPr>
  </w:style>
  <w:style w:type="paragraph" w:styleId="1229" w:customStyle="1">
    <w:name w:val="批注主题1"/>
    <w:basedOn w:val="1194"/>
    <w:next w:val="1194"/>
    <w:link w:val="1230"/>
    <w:uiPriority w:val="0"/>
    <w:semiHidden/>
    <w:qFormat/>
    <w:rPr>
      <w:rFonts w:ascii="Times New Roman" w:hAnsi="Times New Roman" w:eastAsia="宋体" w:cs="Times New Roman"/>
      <w:b/>
      <w:bCs/>
      <w:szCs w:val="21"/>
    </w:rPr>
  </w:style>
  <w:style w:type="character" w:styleId="1230" w:customStyle="1">
    <w:name w:val="批注主题 Char"/>
    <w:link w:val="1229"/>
    <w:uiPriority w:val="0"/>
    <w:semiHidden/>
    <w:qFormat/>
    <w:rPr>
      <w:rFonts w:ascii="Times New Roman" w:hAnsi="Times New Roman" w:eastAsia="宋体" w:cs="Times New Roman"/>
      <w:b/>
      <w:bCs/>
      <w:szCs w:val="21"/>
    </w:rPr>
  </w:style>
  <w:style w:type="paragraph" w:styleId="1231" w:customStyle="1">
    <w:name w:val="正文首行缩进1"/>
    <w:basedOn w:val="972"/>
    <w:link w:val="1232"/>
    <w:uiPriority w:val="0"/>
    <w:qFormat/>
    <w:pPr>
      <w:ind w:firstLine="200"/>
      <w:spacing w:line="360" w:lineRule="auto"/>
    </w:pPr>
    <w:rPr>
      <w:rFonts w:ascii="仿宋_GB2312" w:hAnsi="Times New Roman" w:eastAsia="仿宋_GB2312" w:cs="Times New Roman"/>
      <w:sz w:val="30"/>
      <w:szCs w:val="30"/>
    </w:rPr>
  </w:style>
  <w:style w:type="character" w:styleId="1232" w:customStyle="1">
    <w:name w:val="正文首行缩进 Char"/>
    <w:link w:val="1231"/>
    <w:uiPriority w:val="0"/>
    <w:qFormat/>
    <w:rPr>
      <w:rFonts w:ascii="仿宋_GB2312" w:hAnsi="Times New Roman" w:eastAsia="仿宋_GB2312" w:cs="Times New Roman"/>
      <w:sz w:val="30"/>
      <w:szCs w:val="30"/>
    </w:rPr>
  </w:style>
  <w:style w:type="paragraph" w:styleId="1233" w:customStyle="1">
    <w:name w:val="正文首行缩进 21"/>
    <w:basedOn w:val="1198"/>
    <w:link w:val="1234"/>
    <w:uiPriority w:val="0"/>
    <w:qFormat/>
    <w:pPr>
      <w:ind w:left="0" w:firstLine="420"/>
      <w:spacing w:after="0" w:line="360" w:lineRule="auto"/>
    </w:pPr>
    <w:rPr>
      <w:rFonts w:ascii="宋体" w:hAnsi="宋体" w:eastAsia="宋体" w:cs="Times New Roman"/>
      <w:szCs w:val="20"/>
    </w:rPr>
  </w:style>
  <w:style w:type="character" w:styleId="1234" w:customStyle="1">
    <w:name w:val="正文首行缩进 2 Char"/>
    <w:link w:val="1233"/>
    <w:uiPriority w:val="0"/>
    <w:qFormat/>
    <w:rPr>
      <w:rFonts w:ascii="宋体" w:hAnsi="宋体" w:eastAsia="宋体" w:cs="Times New Roman"/>
      <w:szCs w:val="20"/>
    </w:rPr>
  </w:style>
  <w:style w:type="table" w:styleId="1235" w:customStyle="1">
    <w:name w:val="网格型1"/>
    <w:basedOn w:val="1177"/>
    <w:uiPriority w:val="0"/>
    <w:qFormat/>
    <w:pPr>
      <w:jc w:val="both"/>
      <w:widowControl w:val="off"/>
    </w:pPr>
    <w:rPr>
      <w:rFonts w:ascii="Times New Roman" w:hAnsi="Times New Roman" w:eastAsia="宋体" w:cs="Times New Roman"/>
      <w:sz w:val="20"/>
      <w:szCs w:val="20"/>
    </w:rPr>
    <w:tblPr/>
  </w:style>
  <w:style w:type="character" w:styleId="1236" w:customStyle="1">
    <w:name w:val="要点1"/>
    <w:link w:val="972"/>
    <w:uiPriority w:val="0"/>
    <w:qFormat/>
    <w:rPr>
      <w:b/>
      <w:bCs/>
    </w:rPr>
  </w:style>
  <w:style w:type="character" w:styleId="1237" w:customStyle="1">
    <w:name w:val="页码1"/>
    <w:link w:val="972"/>
    <w:uiPriority w:val="0"/>
    <w:qFormat/>
  </w:style>
  <w:style w:type="character" w:styleId="1238" w:customStyle="1">
    <w:name w:val="已访问的超链接1"/>
    <w:link w:val="972"/>
    <w:uiPriority w:val="0"/>
    <w:qFormat/>
    <w:rPr>
      <w:color w:val="800080"/>
      <w:u w:val="single"/>
    </w:rPr>
  </w:style>
  <w:style w:type="character" w:styleId="1239" w:customStyle="1">
    <w:name w:val="超链接1"/>
    <w:link w:val="972"/>
    <w:uiPriority w:val="0"/>
    <w:qFormat/>
    <w:rPr>
      <w:color w:val="0000ff"/>
      <w:u w:val="single"/>
    </w:rPr>
  </w:style>
  <w:style w:type="character" w:styleId="1240" w:customStyle="1">
    <w:name w:val="批注引用1"/>
    <w:link w:val="972"/>
    <w:uiPriority w:val="0"/>
    <w:semiHidden/>
    <w:qFormat/>
    <w:rPr>
      <w:sz w:val="21"/>
      <w:szCs w:val="21"/>
    </w:rPr>
  </w:style>
  <w:style w:type="character" w:styleId="1241" w:customStyle="1">
    <w:name w:val="font5 Char"/>
    <w:link w:val="972"/>
    <w:uiPriority w:val="0"/>
    <w:qFormat/>
    <w:rPr>
      <w:rFonts w:ascii="宋体" w:hAnsi="宋体" w:eastAsia="宋体"/>
      <w:sz w:val="28"/>
      <w:szCs w:val="28"/>
      <w:lang w:val="en-US" w:eastAsia="zh-CN" w:bidi="ar-SA"/>
    </w:rPr>
  </w:style>
  <w:style w:type="character" w:styleId="1242" w:customStyle="1">
    <w:name w:val="二级目录 Char"/>
    <w:link w:val="1243"/>
    <w:uiPriority w:val="0"/>
    <w:qFormat/>
    <w:rPr>
      <w:b/>
      <w:sz w:val="30"/>
      <w:szCs w:val="28"/>
    </w:rPr>
  </w:style>
  <w:style w:type="paragraph" w:styleId="1243" w:customStyle="1">
    <w:name w:val="二级目录"/>
    <w:next w:val="972"/>
    <w:link w:val="124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44" w:customStyle="1">
    <w:name w:val="列出段落 Char"/>
    <w:link w:val="1245"/>
    <w:uiPriority w:val="0"/>
    <w:qFormat/>
    <w:rPr>
      <w:rFonts w:ascii="Calibri" w:hAnsi="Calibri"/>
      <w:sz w:val="24"/>
      <w:szCs w:val="24"/>
      <w:lang w:eastAsia="en-US" w:bidi="en-US"/>
    </w:rPr>
  </w:style>
  <w:style w:type="paragraph" w:styleId="1245" w:customStyle="1">
    <w:name w:val="列出段落1"/>
    <w:basedOn w:val="972"/>
    <w:link w:val="1244"/>
    <w:uiPriority w:val="0"/>
    <w:qFormat/>
    <w:pPr>
      <w:contextualSpacing/>
      <w:ind w:left="720"/>
      <w:jc w:val="left"/>
      <w:widowControl/>
    </w:pPr>
    <w:rPr>
      <w:rFonts w:ascii="Calibri" w:hAnsi="Calibri"/>
      <w:sz w:val="24"/>
      <w:szCs w:val="24"/>
      <w:lang w:eastAsia="en-US" w:bidi="en-US"/>
    </w:rPr>
  </w:style>
  <w:style w:type="paragraph" w:styleId="1246" w:customStyle="1">
    <w:name w:val="Body Text(ch)"/>
    <w:basedOn w:val="972"/>
    <w:next w:val="1178"/>
    <w:uiPriority w:val="0"/>
    <w:qFormat/>
    <w:pPr>
      <w:spacing w:after="120"/>
    </w:pPr>
    <w:rPr>
      <w:rFonts w:ascii="宋体" w:hAnsi="Arial" w:eastAsia="宋体" w:cs="Times New Roman"/>
      <w:bCs/>
      <w:iCs/>
      <w:szCs w:val="24"/>
    </w:rPr>
  </w:style>
  <w:style w:type="paragraph" w:styleId="1247" w:customStyle="1">
    <w:name w:val="xl27"/>
    <w:basedOn w:val="9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8" w:customStyle="1">
    <w:name w:val="xl26"/>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9" w:customStyle="1">
    <w:name w:val="Char"/>
    <w:basedOn w:val="972"/>
    <w:uiPriority w:val="0"/>
    <w:qFormat/>
    <w:pPr>
      <w:ind w:firstLine="200"/>
      <w:tabs>
        <w:tab w:val="left" w:pos="360" w:leader="none"/>
      </w:tabs>
    </w:pPr>
    <w:rPr>
      <w:rFonts w:ascii="Times New Roman" w:hAnsi="Times New Roman" w:eastAsia="宋体" w:cs="Times New Roman"/>
      <w:sz w:val="28"/>
      <w:szCs w:val="30"/>
    </w:rPr>
  </w:style>
  <w:style w:type="paragraph" w:styleId="1250" w:customStyle="1">
    <w:name w:val=" Char"/>
    <w:basedOn w:val="1192"/>
    <w:uiPriority w:val="0"/>
    <w:qFormat/>
    <w:rPr>
      <w:rFonts w:ascii="Tahoma" w:hAnsi="Tahoma"/>
      <w:sz w:val="24"/>
      <w:szCs w:val="24"/>
    </w:rPr>
  </w:style>
  <w:style w:type="paragraph" w:styleId="1251" w:customStyle="1">
    <w:name w:val="普通正文"/>
    <w:basedOn w:val="972"/>
    <w:uiPriority w:val="0"/>
    <w:qFormat/>
    <w:pPr>
      <w:ind w:firstLine="480"/>
      <w:jc w:val="left"/>
      <w:spacing w:before="120" w:after="120" w:line="360" w:lineRule="auto"/>
    </w:pPr>
    <w:rPr>
      <w:rFonts w:ascii="Arial" w:hAnsi="Arial" w:eastAsia="宋体" w:cs="Times New Roman"/>
      <w:sz w:val="24"/>
      <w:szCs w:val="24"/>
    </w:rPr>
  </w:style>
  <w:style w:type="paragraph" w:styleId="1252" w:customStyle="1">
    <w:name w:val="table_lines"/>
    <w:basedOn w:val="972"/>
    <w:uiPriority w:val="0"/>
    <w:qFormat/>
    <w:pPr>
      <w:jc w:val="left"/>
      <w:widowControl/>
    </w:pPr>
    <w:rPr>
      <w:rFonts w:ascii="Times New Roman" w:hAnsi="Times New Roman" w:eastAsia="宋体" w:cs="Times New Roman"/>
      <w:sz w:val="20"/>
      <w:szCs w:val="20"/>
      <w:lang w:val="de-DE" w:eastAsia="de-DE"/>
    </w:rPr>
  </w:style>
  <w:style w:type="paragraph" w:styleId="125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54" w:customStyle="1">
    <w:name w:val="font7"/>
    <w:basedOn w:val="97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55" w:customStyle="1">
    <w:name w:val=" Char Char Char Char"/>
    <w:basedOn w:val="1192"/>
    <w:uiPriority w:val="0"/>
    <w:qFormat/>
    <w:pPr>
      <w:spacing w:line="360" w:lineRule="auto"/>
    </w:pPr>
    <w:rPr>
      <w:rFonts w:ascii="Tahoma" w:hAnsi="Tahoma"/>
      <w:sz w:val="24"/>
      <w:szCs w:val="24"/>
    </w:rPr>
  </w:style>
  <w:style w:type="paragraph" w:styleId="1256" w:customStyle="1">
    <w:name w:val="列出段落"/>
    <w:basedOn w:val="972"/>
    <w:uiPriority w:val="0"/>
    <w:qFormat/>
    <w:pPr>
      <w:contextualSpacing/>
      <w:ind w:left="720"/>
      <w:jc w:val="left"/>
      <w:widowControl/>
    </w:pPr>
    <w:rPr>
      <w:rFonts w:ascii="Calibri" w:hAnsi="Calibri" w:eastAsia="宋体" w:cs="Times New Roman"/>
      <w:sz w:val="24"/>
      <w:szCs w:val="24"/>
      <w:lang w:eastAsia="en-US" w:bidi="en-US"/>
    </w:rPr>
  </w:style>
  <w:style w:type="paragraph" w:styleId="1257" w:customStyle="1">
    <w:name w:val="4"/>
    <w:basedOn w:val="972"/>
    <w:next w:val="1220"/>
    <w:uiPriority w:val="0"/>
    <w:qFormat/>
    <w:pPr>
      <w:ind w:firstLine="420"/>
      <w:spacing w:line="360" w:lineRule="auto"/>
    </w:pPr>
    <w:rPr>
      <w:rFonts w:ascii="Times New Roman" w:hAnsi="Times New Roman" w:eastAsia="宋体" w:cs="Times New Roman"/>
      <w:color w:val="ff0000"/>
      <w:sz w:val="24"/>
      <w:szCs w:val="24"/>
    </w:rPr>
  </w:style>
  <w:style w:type="paragraph" w:styleId="1258" w:customStyle="1">
    <w:name w:val="普通 (Web)"/>
    <w:basedOn w:val="972"/>
    <w:uiPriority w:val="0"/>
    <w:qFormat/>
    <w:pPr>
      <w:jc w:val="left"/>
      <w:spacing w:before="100" w:beforeAutospacing="1" w:after="100" w:afterAutospacing="1"/>
      <w:widowControl/>
    </w:pPr>
    <w:rPr>
      <w:rFonts w:ascii="宋体" w:hAnsi="宋体" w:eastAsia="宋体" w:cs="Times New Roman"/>
      <w:sz w:val="24"/>
      <w:szCs w:val="24"/>
    </w:rPr>
  </w:style>
  <w:style w:type="paragraph" w:styleId="1259" w:customStyle="1">
    <w:name w:val=" Char Char Char Char Char Char Char Char Char Char"/>
    <w:basedOn w:val="972"/>
    <w:uiPriority w:val="0"/>
    <w:qFormat/>
    <w:pPr>
      <w:spacing w:line="360" w:lineRule="auto"/>
    </w:pPr>
    <w:rPr>
      <w:rFonts w:ascii="Times New Roman" w:hAnsi="Times New Roman" w:eastAsia="宋体" w:cs="Times New Roman"/>
      <w:sz w:val="24"/>
      <w:szCs w:val="20"/>
    </w:rPr>
  </w:style>
  <w:style w:type="paragraph" w:styleId="1260" w:customStyle="1">
    <w:name w:val="样式1"/>
    <w:basedOn w:val="972"/>
    <w:uiPriority w:val="0"/>
    <w:qFormat/>
    <w:pPr>
      <w:numPr>
        <w:ilvl w:val="0"/>
        <w:numId w:val="3"/>
      </w:numPr>
    </w:pPr>
    <w:rPr>
      <w:rFonts w:ascii="宋体" w:hAnsi="宋体" w:eastAsia="宋体" w:cs="Times New Roman"/>
      <w:szCs w:val="21"/>
    </w:rPr>
  </w:style>
  <w:style w:type="paragraph" w:styleId="1261" w:customStyle="1">
    <w:name w:val="font6"/>
    <w:basedOn w:val="97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62" w:customStyle="1">
    <w:name w:val="xl25"/>
    <w:basedOn w:val="9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3" w:customStyle="1">
    <w:name w:val="图标"/>
    <w:basedOn w:val="972"/>
    <w:next w:val="9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64" w:customStyle="1">
    <w:name w:val="标题3"/>
    <w:basedOn w:val="972"/>
    <w:next w:val="972"/>
    <w:uiPriority w:val="0"/>
    <w:qFormat/>
    <w:pPr>
      <w:ind w:firstLine="624"/>
      <w:spacing w:line="590" w:lineRule="atLeast"/>
    </w:pPr>
    <w:rPr>
      <w:rFonts w:ascii="方正黑体_GBK" w:hAnsi="Times New Roman" w:eastAsia="方正黑体_GBK" w:cs="Times New Roman"/>
      <w:sz w:val="32"/>
      <w:szCs w:val="32"/>
    </w:rPr>
  </w:style>
  <w:style w:type="paragraph" w:styleId="1265" w:customStyle="1">
    <w:name w:val="xl24"/>
    <w:basedOn w:val="9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66" w:customStyle="1">
    <w:name w:val="xl29"/>
    <w:basedOn w:val="97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67" w:customStyle="1">
    <w:name w:val="Char Char Char Char Char Char Char Char"/>
    <w:basedOn w:val="972"/>
    <w:uiPriority w:val="0"/>
    <w:qFormat/>
    <w:pPr>
      <w:jc w:val="left"/>
      <w:spacing w:after="160" w:line="240" w:lineRule="exact"/>
      <w:widowControl/>
    </w:pPr>
    <w:rPr>
      <w:rFonts w:ascii="Verdana" w:hAnsi="Verdana" w:eastAsia="宋体" w:cs="Times New Roman"/>
      <w:sz w:val="20"/>
      <w:szCs w:val="20"/>
      <w:lang w:eastAsia="en-US"/>
    </w:rPr>
  </w:style>
  <w:style w:type="paragraph" w:styleId="1268" w:customStyle="1">
    <w:name w:val="xl28"/>
    <w:basedOn w:val="9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69" w:customStyle="1">
    <w:name w:val=" Char Char Char Char Char Char Char Char"/>
    <w:basedOn w:val="972"/>
    <w:uiPriority w:val="0"/>
    <w:qFormat/>
    <w:pPr>
      <w:jc w:val="left"/>
      <w:spacing w:after="160" w:line="240" w:lineRule="exact"/>
      <w:widowControl/>
    </w:pPr>
    <w:rPr>
      <w:rFonts w:ascii="Verdana" w:hAnsi="Verdana" w:eastAsia="宋体" w:cs="Times New Roman"/>
      <w:sz w:val="20"/>
      <w:szCs w:val="20"/>
      <w:lang w:eastAsia="en-US"/>
    </w:rPr>
  </w:style>
  <w:style w:type="paragraph" w:styleId="1270" w:customStyle="1">
    <w:name w:val="xl30"/>
    <w:basedOn w:val="97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71" w:customStyle="1">
    <w:name w:val="Char Char Char Char"/>
    <w:basedOn w:val="1192"/>
    <w:uiPriority w:val="0"/>
    <w:qFormat/>
    <w:pPr>
      <w:spacing w:line="360" w:lineRule="auto"/>
    </w:pPr>
    <w:rPr>
      <w:rFonts w:ascii="Tahoma" w:hAnsi="Tahoma"/>
      <w:sz w:val="24"/>
      <w:szCs w:val="24"/>
    </w:rPr>
  </w:style>
  <w:style w:type="paragraph" w:styleId="1272" w:customStyle="1">
    <w:name w:val="table_1stline"/>
    <w:basedOn w:val="972"/>
    <w:uiPriority w:val="0"/>
    <w:qFormat/>
    <w:pPr>
      <w:jc w:val="left"/>
      <w:spacing w:before="120"/>
      <w:widowControl/>
    </w:pPr>
    <w:rPr>
      <w:rFonts w:ascii="Times New Roman" w:hAnsi="Times New Roman" w:eastAsia="宋体" w:cs="Times New Roman"/>
      <w:bCs/>
      <w:sz w:val="20"/>
      <w:szCs w:val="20"/>
      <w:lang w:val="de-DE" w:eastAsia="de-DE"/>
    </w:rPr>
  </w:style>
  <w:style w:type="paragraph" w:styleId="1273" w:customStyle="1">
    <w:name w:val="font5"/>
    <w:basedOn w:val="97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74" w:customStyle="1">
    <w:name w:val="标题1"/>
    <w:basedOn w:val="972"/>
    <w:next w:val="97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7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7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77" w:customStyle="1">
    <w:name w:val="正文文本1"/>
    <w:basedOn w:val="972"/>
    <w:next w:val="972"/>
    <w:uiPriority w:val="0"/>
    <w:qFormat/>
    <w:rPr>
      <w:rFonts w:ascii="仿宋_GB2312" w:eastAsia="仿宋_GB2312"/>
      <w:sz w:val="24"/>
      <w:szCs w:val="20"/>
    </w:rPr>
  </w:style>
  <w:style w:type="paragraph" w:styleId="1278" w:customStyle="1">
    <w:name w:val="正文缩进2格"/>
    <w:basedOn w:val="972"/>
    <w:uiPriority w:val="0"/>
    <w:unhideWhenUsed/>
    <w:qFormat/>
    <w:pPr>
      <w:ind w:firstLine="639"/>
      <w:spacing w:line="600" w:lineRule="exact"/>
    </w:pPr>
    <w:rPr>
      <w:rFonts w:hint="eastAsia" w:ascii="仿宋_GB2312" w:hAnsi="宋体" w:eastAsia="仿宋_GB2312"/>
      <w:sz w:val="31"/>
      <w:szCs w:val="24"/>
    </w:rPr>
  </w:style>
  <w:style w:type="character" w:styleId="1279" w:customStyle="1">
    <w:name w:val="Variable"/>
    <w:link w:val="972"/>
    <w:uiPriority w:val="0"/>
    <w:qFormat/>
    <w:rPr>
      <w:i/>
    </w:rPr>
  </w:style>
  <w:style w:type="character" w:styleId="1280" w:customStyle="1">
    <w:name w:val="fontstyle11"/>
    <w:link w:val="972"/>
    <w:uiPriority w:val="0"/>
    <w:qFormat/>
    <w:rPr>
      <w:rFonts w:hint="eastAsia" w:ascii="宋体" w:hAnsi="宋体" w:eastAsia="宋体"/>
      <w:color w:val="000000"/>
      <w:sz w:val="22"/>
      <w:szCs w:val="22"/>
    </w:rPr>
  </w:style>
  <w:style w:type="character" w:styleId="1281" w:customStyle="1">
    <w:name w:val="fontstyle01"/>
    <w:link w:val="972"/>
    <w:uiPriority w:val="0"/>
    <w:qFormat/>
    <w:rPr>
      <w:rFonts w:hint="default" w:ascii="Calibri-Bold" w:hAnsi="Calibri-Bold"/>
      <w:b/>
      <w:bCs/>
      <w:color w:val="000000"/>
      <w:sz w:val="22"/>
      <w:szCs w:val="22"/>
    </w:rPr>
  </w:style>
  <w:style w:type="paragraph" w:styleId="128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84" w:customStyle="1">
    <w:name w:val="active16"/>
    <w:basedOn w:val="982"/>
    <w:uiPriority w:val="0"/>
    <w:qFormat/>
    <w:rPr>
      <w:color w:val="ffffff"/>
      <w:shd w:val="clear" w:color="auto" w:fill="0f5bb9"/>
    </w:rPr>
  </w:style>
  <w:style w:type="character" w:styleId="1285" w:customStyle="1">
    <w:name w:val="15"/>
    <w:basedOn w:val="982"/>
    <w:uiPriority w:val="0"/>
    <w:qFormat/>
    <w:rPr>
      <w:rFonts w:hint="default" w:ascii="Times New Roman" w:hAnsi="Times New Roman" w:cs="Times New Roman"/>
    </w:rPr>
  </w:style>
  <w:style w:type="paragraph" w:styleId="1286" w:customStyle="1">
    <w:name w:val="页脚11"/>
    <w:basedOn w:val="97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87" w:customStyle="1">
    <w:name w:val="NormalCharacter"/>
    <w:link w:val="972"/>
    <w:uiPriority w:val="0"/>
    <w:semiHidden/>
    <w:qFormat/>
    <w:rPr>
      <w:rFonts w:ascii="Times New Roman" w:hAnsi="Times New Roman" w:eastAsia="宋体" w:cs="Times New Roman"/>
      <w:sz w:val="21"/>
      <w:szCs w:val="24"/>
      <w:lang w:val="en-US" w:eastAsia="zh-CN" w:bidi="ar-SA"/>
    </w:rPr>
  </w:style>
  <w:style w:type="character" w:styleId="1288" w:customStyle="1">
    <w:name w:val="active"/>
    <w:basedOn w:val="982"/>
    <w:uiPriority w:val="0"/>
    <w:qFormat/>
    <w:rPr>
      <w:color w:val="0f5bb9"/>
      <w:shd w:val="clear" w:color="auto" w:fill="0f5bb9"/>
    </w:rPr>
  </w:style>
  <w:style w:type="numbering" w:styleId="12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俊达的俊俊</cp:lastModifiedBy>
  <cp:revision>3</cp:revision>
  <dcterms:created xsi:type="dcterms:W3CDTF">2023-03-27T15:28:00Z</dcterms:created>
  <dcterms:modified xsi:type="dcterms:W3CDTF">2026-04-13T05:37:49Z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374FB920E774452FA79956F5CC16C981_13</vt:lpwstr>
  </property>
  <property fmtid="{D5CDD505-2E9C-101B-9397-08002B2CF9AE}" pid="4" name="KSOTemplateDocerSaveRecord">
    <vt:lpwstr>eyJoZGlkIjoiZTVlZjgyMTA5ZWI4MDZkMDU4ZjljYjE1OGRiMTE5ODQiLCJ1c2VySWQiOiIxMDE5Nzk0ODc0In0=</vt:lpwstr>
  </property>
</Properties>
</file>