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firstLine="522"/>
        <w:spacing w:line="360" w:lineRule="auto"/>
        <w:tabs>
          <w:tab w:val="left" w:pos="2985" w:leader="none"/>
        </w:tabs>
        <w:rPr>
          <w:rFonts w:hint="eastAsia" w:ascii="黑体" w:hAnsi="宋体" w:eastAsia="黑体" w:cs="Arial"/>
          <w:b/>
          <w:bCs/>
          <w:color w:val="000000"/>
          <w:sz w:val="52"/>
          <w:szCs w:val="52"/>
        </w:rPr>
      </w:pPr>
      <w:r>
        <w:rPr>
          <w:rFonts w:ascii="黑体" w:hAnsi="宋体" w:eastAsia="黑体" w:cs="Arial"/>
          <w:b/>
          <w:bCs/>
          <w:color w:val="000000"/>
          <w:sz w:val="52"/>
          <w:szCs w:val="52"/>
        </w:rPr>
        <w:tab/>
      </w:r>
      <w:r>
        <w:rPr>
          <w:rFonts w:hint="eastAsia" w:ascii="黑体" w:hAnsi="宋体" w:eastAsia="黑体" w:cs="Arial"/>
          <w:b/>
          <w:bCs/>
          <w:color w:val="000000"/>
          <w:sz w:val="52"/>
          <w:szCs w:val="52"/>
        </w:rPr>
      </w:r>
      <w:r/>
    </w:p>
    <w:p>
      <w:pPr>
        <w:pStyle w:val="967"/>
        <w:ind w:firstLine="522"/>
        <w:jc w:val="center"/>
        <w:spacing w:line="360" w:lineRule="auto"/>
        <w:rPr>
          <w:rFonts w:hint="eastAsia" w:ascii="宋体" w:hAnsi="宋体"/>
          <w:b/>
          <w:bCs/>
          <w:sz w:val="52"/>
          <w:szCs w:val="52"/>
        </w:rPr>
      </w:pPr>
      <w:r>
        <w:rPr>
          <w:rFonts w:hint="eastAsia" w:ascii="宋体" w:hAnsi="宋体"/>
          <w:b/>
          <w:bCs/>
          <w:sz w:val="52"/>
          <w:szCs w:val="52"/>
        </w:rPr>
      </w:r>
      <w:r/>
    </w:p>
    <w:p>
      <w:pPr>
        <w:pStyle w:val="967"/>
        <w:jc w:val="center"/>
        <w:spacing w:line="360" w:lineRule="auto"/>
        <w:rPr>
          <w:rFonts w:hint="eastAsia" w:ascii="黑体" w:hAnsi="宋体" w:eastAsia="黑体"/>
          <w:b/>
          <w:bCs/>
          <w:sz w:val="52"/>
          <w:szCs w:val="52"/>
        </w:rPr>
      </w:pPr>
      <w:r>
        <w:rPr>
          <w:rFonts w:hint="eastAsia" w:ascii="黑体" w:hAnsi="宋体" w:eastAsia="黑体"/>
          <w:b/>
          <w:bCs/>
          <w:sz w:val="52"/>
          <w:szCs w:val="52"/>
        </w:rPr>
        <w:t xml:space="preserve"> 昆山市政府采购</w:t>
      </w:r>
      <w:r/>
    </w:p>
    <w:p>
      <w:pPr>
        <w:pStyle w:val="967"/>
        <w:ind w:firstLine="522"/>
        <w:jc w:val="center"/>
        <w:spacing w:line="360" w:lineRule="auto"/>
        <w:rPr>
          <w:rFonts w:hint="eastAsia" w:ascii="宋体" w:hAnsi="宋体"/>
          <w:b/>
          <w:bCs/>
          <w:sz w:val="52"/>
          <w:szCs w:val="52"/>
        </w:rPr>
      </w:pPr>
      <w:r>
        <w:rPr>
          <w:rFonts w:hint="eastAsia" w:ascii="宋体" w:hAnsi="宋体"/>
          <w:b/>
          <w:bCs/>
          <w:sz w:val="52"/>
          <w:szCs w:val="52"/>
        </w:rPr>
      </w:r>
      <w:r/>
    </w:p>
    <w:p>
      <w:pPr>
        <w:pStyle w:val="967"/>
        <w:jc w:val="center"/>
        <w:spacing w:line="360" w:lineRule="auto"/>
        <w:rPr>
          <w:rFonts w:hint="eastAsia" w:ascii="黑体" w:hAnsi="宋体" w:eastAsia="黑体"/>
          <w:b/>
          <w:bCs/>
          <w:sz w:val="72"/>
          <w:szCs w:val="72"/>
        </w:rPr>
      </w:pPr>
      <w:r>
        <w:rPr>
          <w:rFonts w:hint="eastAsia" w:ascii="黑体" w:hAnsi="宋体" w:eastAsia="黑体"/>
          <w:b/>
          <w:bCs/>
          <w:sz w:val="72"/>
          <w:szCs w:val="72"/>
        </w:rPr>
        <w:t xml:space="preserve"> 公开招标文件</w:t>
      </w:r>
      <w:r/>
    </w:p>
    <w:p>
      <w:pPr>
        <w:pStyle w:val="967"/>
        <w:spacing w:line="360" w:lineRule="auto"/>
        <w:rPr>
          <w:rFonts w:hint="eastAsia" w:ascii="宋体" w:hAnsi="宋体"/>
          <w:sz w:val="24"/>
        </w:rPr>
      </w:pPr>
      <w:r>
        <w:rPr>
          <w:rFonts w:hint="eastAsia" w:ascii="宋体" w:hAnsi="宋体"/>
          <w:sz w:val="24"/>
        </w:rPr>
      </w:r>
      <w:r/>
    </w:p>
    <w:p>
      <w:pPr>
        <w:pStyle w:val="967"/>
        <w:ind w:firstLine="2660"/>
        <w:spacing w:line="360" w:lineRule="auto"/>
        <w:rPr>
          <w:rFonts w:hint="eastAsia" w:ascii="宋体" w:hAnsi="宋体"/>
          <w:sz w:val="28"/>
          <w:szCs w:val="28"/>
        </w:rPr>
      </w:pPr>
      <w:r>
        <w:rPr>
          <w:rFonts w:hint="eastAsia" w:ascii="宋体" w:hAnsi="宋体"/>
          <w:sz w:val="28"/>
          <w:szCs w:val="28"/>
        </w:rPr>
      </w:r>
      <w:r/>
    </w:p>
    <w:p>
      <w:pPr>
        <w:pStyle w:val="967"/>
        <w:spacing w:line="360" w:lineRule="auto"/>
        <w:rPr>
          <w:rFonts w:hint="eastAsia" w:ascii="宋体" w:hAnsi="宋体"/>
          <w:color w:val="000000"/>
          <w:sz w:val="28"/>
          <w:szCs w:val="28"/>
        </w:rPr>
      </w:pPr>
      <w:r>
        <w:rPr>
          <w:rFonts w:hint="eastAsia" w:ascii="宋体" w:hAnsi="宋体"/>
          <w:color w:val="000000"/>
          <w:sz w:val="28"/>
          <w:szCs w:val="28"/>
        </w:rPr>
        <w:t xml:space="preserve">         </w:t>
      </w:r>
      <w:r/>
    </w:p>
    <w:p>
      <w:pPr>
        <w:pStyle w:val="967"/>
        <w:spacing w:line="360" w:lineRule="auto"/>
        <w:rPr>
          <w:rFonts w:hint="eastAsia" w:ascii="宋体" w:hAnsi="宋体"/>
          <w:color w:val="000000"/>
          <w:sz w:val="28"/>
          <w:szCs w:val="28"/>
        </w:rPr>
      </w:pPr>
      <w:r>
        <w:rPr>
          <w:rFonts w:hint="eastAsia" w:ascii="宋体" w:hAnsi="宋体"/>
          <w:color w:val="000000"/>
          <w:sz w:val="28"/>
          <w:szCs w:val="28"/>
        </w:rPr>
      </w:r>
      <w:r/>
    </w:p>
    <w:p>
      <w:pPr>
        <w:pStyle w:val="967"/>
        <w:spacing w:line="360" w:lineRule="auto"/>
        <w:rPr>
          <w:rFonts w:hint="eastAsia" w:ascii="宋体" w:hAnsi="宋体"/>
          <w:color w:val="000000"/>
          <w:sz w:val="28"/>
          <w:szCs w:val="28"/>
        </w:rPr>
      </w:pPr>
      <w:r>
        <w:rPr>
          <w:rFonts w:hint="eastAsia" w:ascii="宋体" w:hAnsi="宋体"/>
          <w:color w:val="000000"/>
          <w:sz w:val="28"/>
          <w:szCs w:val="28"/>
        </w:rPr>
        <w:t xml:space="preserve">    项目编号：JSZC-320583-SZZH-G2026-0005</w:t>
      </w:r>
      <w:r/>
    </w:p>
    <w:p>
      <w:pPr>
        <w:pStyle w:val="967"/>
        <w:spacing w:line="360" w:lineRule="auto"/>
        <w:rPr>
          <w:rFonts w:hint="eastAsia" w:ascii="宋体" w:hAnsi="宋体"/>
          <w:sz w:val="28"/>
          <w:szCs w:val="28"/>
        </w:rPr>
      </w:pPr>
      <w:r>
        <w:rPr>
          <w:rFonts w:hint="eastAsia" w:ascii="宋体" w:hAnsi="宋体"/>
          <w:sz w:val="28"/>
          <w:szCs w:val="28"/>
        </w:rPr>
        <w:t xml:space="preserve">    采购项目：昆山第六人民医院异地新建污水系统租赁服务</w:t>
      </w:r>
      <w:r/>
    </w:p>
    <w:p>
      <w:pPr>
        <w:pStyle w:val="967"/>
        <w:jc w:val="left"/>
        <w:spacing w:line="360" w:lineRule="auto"/>
        <w:rPr>
          <w:rFonts w:hint="eastAsia" w:ascii="宋体" w:hAnsi="宋体"/>
          <w:color w:val="000000"/>
          <w:sz w:val="28"/>
          <w:szCs w:val="28"/>
        </w:rPr>
      </w:pPr>
      <w:r>
        <w:rPr>
          <w:rFonts w:hint="eastAsia" w:ascii="宋体" w:hAnsi="宋体"/>
          <w:sz w:val="28"/>
          <w:szCs w:val="28"/>
        </w:rPr>
        <w:t xml:space="preserve">    </w:t>
      </w:r>
      <w:r>
        <w:rPr>
          <w:rFonts w:hint="eastAsia" w:ascii="宋体" w:hAnsi="宋体"/>
          <w:color w:val="000000"/>
          <w:sz w:val="28"/>
          <w:szCs w:val="28"/>
        </w:rPr>
        <w:t xml:space="preserve">采购单位：昆山市张浦镇人民政府（昆山市张浦镇社会事业办公室）</w:t>
      </w:r>
      <w:r/>
    </w:p>
    <w:p>
      <w:pPr>
        <w:pStyle w:val="967"/>
        <w:jc w:val="left"/>
        <w:spacing w:line="360" w:lineRule="auto"/>
        <w:rPr>
          <w:rFonts w:hint="eastAsia" w:ascii="宋体" w:hAnsi="宋体"/>
          <w:color w:val="000000"/>
          <w:sz w:val="28"/>
          <w:szCs w:val="28"/>
        </w:rPr>
      </w:pPr>
      <w:r>
        <w:rPr>
          <w:rFonts w:hint="eastAsia" w:ascii="宋体" w:hAnsi="宋体"/>
          <w:color w:val="000000"/>
          <w:sz w:val="28"/>
          <w:szCs w:val="28"/>
        </w:rPr>
        <w:t xml:space="preserve">                            </w:t>
      </w:r>
      <w:r/>
    </w:p>
    <w:p>
      <w:pPr>
        <w:pStyle w:val="967"/>
        <w:jc w:val="left"/>
        <w:spacing w:line="360" w:lineRule="auto"/>
        <w:tabs>
          <w:tab w:val="left" w:pos="8130" w:leader="none"/>
        </w:tabs>
        <w:rPr>
          <w:rFonts w:hint="eastAsia" w:ascii="方正姚体" w:hAnsi="宋体" w:eastAsia="方正姚体"/>
          <w:spacing w:val="-14"/>
          <w:sz w:val="28"/>
          <w:szCs w:val="28"/>
        </w:rPr>
      </w:pPr>
      <w:r>
        <w:rPr>
          <w:rFonts w:hint="eastAsia" w:ascii="方正姚体" w:hAnsi="宋体" w:eastAsia="方正姚体"/>
          <w:spacing w:val="-14"/>
          <w:sz w:val="28"/>
          <w:szCs w:val="28"/>
        </w:rPr>
      </w:r>
      <w:r/>
    </w:p>
    <w:p>
      <w:pPr>
        <w:pStyle w:val="967"/>
        <w:jc w:val="left"/>
        <w:spacing w:line="360" w:lineRule="auto"/>
        <w:tabs>
          <w:tab w:val="left" w:pos="8130" w:leader="none"/>
        </w:tabs>
        <w:rPr>
          <w:rFonts w:hint="eastAsia" w:ascii="方正姚体" w:hAnsi="宋体" w:eastAsia="方正姚体"/>
          <w:spacing w:val="-14"/>
          <w:sz w:val="28"/>
          <w:szCs w:val="28"/>
        </w:rPr>
      </w:pPr>
      <w:r>
        <w:rPr>
          <w:rFonts w:hint="eastAsia" w:ascii="方正姚体" w:hAnsi="宋体" w:eastAsia="方正姚体"/>
          <w:spacing w:val="-14"/>
          <w:sz w:val="28"/>
          <w:szCs w:val="28"/>
        </w:rPr>
      </w:r>
      <w:r/>
    </w:p>
    <w:p>
      <w:pPr>
        <w:pStyle w:val="967"/>
        <w:jc w:val="center"/>
        <w:spacing w:line="360" w:lineRule="auto"/>
        <w:rPr>
          <w:rFonts w:hint="eastAsia" w:ascii="方正姚体" w:hAnsi="宋体" w:eastAsia="方正姚体"/>
          <w:spacing w:val="-14"/>
          <w:sz w:val="28"/>
          <w:szCs w:val="28"/>
        </w:rPr>
      </w:pPr>
      <w:r>
        <w:rPr>
          <w:rFonts w:hint="eastAsia" w:ascii="方正姚体" w:hAnsi="宋体" w:eastAsia="方正姚体"/>
          <w:spacing w:val="-14"/>
          <w:sz w:val="28"/>
          <w:szCs w:val="28"/>
        </w:rPr>
        <w:t xml:space="preserve"> </w:t>
      </w:r>
      <w:r/>
    </w:p>
    <w:p>
      <w:pPr>
        <w:pStyle w:val="967"/>
        <w:jc w:val="center"/>
        <w:spacing w:line="360" w:lineRule="auto"/>
        <w:rPr>
          <w:rFonts w:hint="eastAsia" w:ascii="方正姚体" w:hAnsi="宋体" w:eastAsia="方正姚体"/>
          <w:sz w:val="28"/>
          <w:szCs w:val="28"/>
        </w:rPr>
      </w:pPr>
      <w:r>
        <w:rPr>
          <w:rFonts w:hint="eastAsia" w:ascii="方正姚体" w:hAnsi="宋体" w:eastAsia="方正姚体"/>
          <w:spacing w:val="-14"/>
          <w:sz w:val="28"/>
          <w:szCs w:val="28"/>
        </w:rPr>
        <w:t xml:space="preserve">江苏正华新工程咨询有限公司</w:t>
      </w:r>
      <w:r>
        <w:rPr>
          <w:rFonts w:hint="eastAsia" w:ascii="方正姚体" w:hAnsi="宋体" w:eastAsia="方正姚体"/>
          <w:sz w:val="28"/>
          <w:szCs w:val="28"/>
        </w:rPr>
      </w:r>
      <w:r/>
    </w:p>
    <w:p>
      <w:pPr>
        <w:pStyle w:val="967"/>
        <w:jc w:val="center"/>
        <w:spacing w:line="360" w:lineRule="auto"/>
        <w:rPr>
          <w:rFonts w:hint="eastAsia" w:ascii="方正姚体" w:hAnsi="宋体" w:eastAsia="方正姚体"/>
          <w:sz w:val="28"/>
          <w:szCs w:val="28"/>
        </w:rPr>
      </w:pPr>
      <w:r>
        <w:rPr>
          <w:rFonts w:hint="eastAsia" w:ascii="方正姚体" w:hAnsi="宋体" w:eastAsia="方正姚体"/>
          <w:sz w:val="28"/>
          <w:szCs w:val="28"/>
        </w:rPr>
        <w:t xml:space="preserve"> 2026年05月</w:t>
      </w:r>
      <w:r/>
    </w:p>
    <w:p>
      <w:pPr>
        <w:pStyle w:val="967"/>
        <w:jc w:val="center"/>
        <w:spacing w:line="360" w:lineRule="auto"/>
        <w:rPr>
          <w:rFonts w:hint="eastAsia" w:ascii="黑体" w:eastAsia="黑体"/>
          <w:szCs w:val="21"/>
        </w:rPr>
      </w:pPr>
      <w:r>
        <w:rPr>
          <w:rFonts w:hint="eastAsia" w:ascii="黑体" w:eastAsia="黑体"/>
          <w:szCs w:val="21"/>
        </w:rPr>
        <w:t xml:space="preserve"> </w:t>
      </w:r>
      <w:r/>
    </w:p>
    <w:p>
      <w:pPr>
        <w:pStyle w:val="990"/>
        <w:ind w:firstLine="0"/>
        <w:jc w:val="center"/>
        <w:spacing w:line="360" w:lineRule="auto"/>
        <w:rPr>
          <w:rFonts w:hint="eastAsia" w:ascii="宋体" w:hAnsi="宋体" w:eastAsia="黑体"/>
          <w:sz w:val="30"/>
        </w:rPr>
      </w:pPr>
      <w:r>
        <w:rPr>
          <w:rFonts w:hint="eastAsia" w:ascii="宋体" w:hAnsi="宋体" w:eastAsia="黑体"/>
          <w:sz w:val="30"/>
        </w:rPr>
      </w:r>
      <w:r/>
    </w:p>
    <w:p>
      <w:pPr>
        <w:pStyle w:val="990"/>
        <w:ind w:firstLine="0"/>
        <w:jc w:val="center"/>
        <w:spacing w:line="360" w:lineRule="auto"/>
        <w:rPr>
          <w:rFonts w:hint="eastAsia" w:eastAsia="宋体"/>
          <w:b/>
          <w:sz w:val="44"/>
        </w:rPr>
      </w:pPr>
      <w:r>
        <w:rPr>
          <w:rFonts w:hint="eastAsia" w:eastAsia="宋体"/>
          <w:b/>
          <w:sz w:val="44"/>
        </w:rPr>
        <w:t xml:space="preserve">总  目  录</w:t>
      </w:r>
      <w:r/>
    </w:p>
    <w:p>
      <w:pPr>
        <w:pStyle w:val="990"/>
        <w:ind w:firstLine="0"/>
        <w:jc w:val="center"/>
        <w:spacing w:line="360" w:lineRule="auto"/>
        <w:rPr>
          <w:rFonts w:hint="eastAsia" w:ascii="宋体" w:hAnsi="宋体" w:eastAsia="宋体"/>
          <w:b/>
          <w:sz w:val="30"/>
        </w:rPr>
      </w:pPr>
      <w:r>
        <w:rPr>
          <w:rFonts w:hint="eastAsia" w:ascii="宋体" w:hAnsi="宋体" w:eastAsia="宋体"/>
          <w:b/>
          <w:sz w:val="30"/>
        </w:rPr>
      </w:r>
      <w:r/>
    </w:p>
    <w:p>
      <w:pPr>
        <w:pStyle w:val="1018"/>
        <w:spacing w:line="480" w:lineRule="auto"/>
        <w:tabs>
          <w:tab w:val="right" w:pos="9276" w:leader="dot"/>
        </w:tabs>
        <w:rPr>
          <w:rFonts w:ascii="Calibri" w:hAnsi="Calibri" w:eastAsia="宋体"/>
          <w:sz w:val="30"/>
          <w:szCs w:val="30"/>
        </w:rPr>
      </w:pPr>
      <w:r>
        <w:rPr>
          <w:rFonts w:ascii="宋体" w:hAnsi="宋体" w:eastAsia="宋体"/>
          <w:b/>
          <w:sz w:val="30"/>
          <w:szCs w:val="30"/>
        </w:rPr>
        <w:fldChar w:fldCharType="begin"/>
      </w:r>
      <w:r>
        <w:rPr>
          <w:rFonts w:ascii="宋体" w:hAnsi="宋体" w:eastAsia="宋体"/>
          <w:b/>
          <w:sz w:val="30"/>
          <w:szCs w:val="30"/>
        </w:rPr>
        <w:instrText xml:space="preserve"> TOC \o "1-1" </w:instrText>
      </w:r>
      <w:r>
        <w:rPr>
          <w:rFonts w:ascii="宋体" w:hAnsi="宋体" w:eastAsia="宋体"/>
          <w:b/>
          <w:sz w:val="30"/>
          <w:szCs w:val="30"/>
        </w:rPr>
        <w:fldChar w:fldCharType="separate"/>
      </w:r>
      <w:r>
        <w:rPr>
          <w:rFonts w:hint="eastAsia"/>
          <w:sz w:val="30"/>
          <w:szCs w:val="30"/>
        </w:rPr>
        <w:t xml:space="preserve">第一章</w:t>
      </w:r>
      <w:r>
        <w:rPr>
          <w:sz w:val="30"/>
          <w:szCs w:val="30"/>
        </w:rPr>
        <w:t xml:space="preserve"> </w:t>
      </w:r>
      <w:r>
        <w:rPr>
          <w:rFonts w:hint="eastAsia"/>
          <w:sz w:val="30"/>
          <w:szCs w:val="30"/>
        </w:rPr>
        <w:t xml:space="preserve">投标邀请函</w:t>
      </w:r>
      <w:r>
        <w:rPr>
          <w:sz w:val="30"/>
          <w:szCs w:val="30"/>
        </w:rPr>
        <w:tab/>
      </w:r>
      <w:r>
        <w:rPr>
          <w:sz w:val="30"/>
          <w:szCs w:val="30"/>
        </w:rPr>
        <w:fldChar w:fldCharType="begin"/>
      </w:r>
      <w:r>
        <w:rPr>
          <w:sz w:val="30"/>
          <w:szCs w:val="30"/>
        </w:rPr>
        <w:instrText xml:space="preserve"> PAGEREF _Toc194916139 \h </w:instrText>
      </w:r>
      <w:r>
        <w:rPr>
          <w:sz w:val="30"/>
          <w:szCs w:val="30"/>
        </w:rPr>
        <w:fldChar w:fldCharType="separate"/>
      </w:r>
      <w:r>
        <w:rPr>
          <w:sz w:val="30"/>
          <w:szCs w:val="30"/>
        </w:rPr>
        <w:t xml:space="preserve">3</w:t>
      </w:r>
      <w:r>
        <w:rPr>
          <w:sz w:val="30"/>
          <w:szCs w:val="30"/>
        </w:rPr>
        <w:fldChar w:fldCharType="end"/>
      </w:r>
      <w:r>
        <w:rPr>
          <w:rFonts w:ascii="Calibri" w:hAnsi="Calibri" w:eastAsia="宋体"/>
          <w:sz w:val="30"/>
          <w:szCs w:val="30"/>
        </w:rPr>
      </w:r>
      <w:r/>
    </w:p>
    <w:p>
      <w:pPr>
        <w:pStyle w:val="1018"/>
        <w:spacing w:line="480" w:lineRule="auto"/>
        <w:tabs>
          <w:tab w:val="right" w:pos="9276" w:leader="dot"/>
        </w:tabs>
        <w:rPr>
          <w:rFonts w:ascii="Calibri" w:hAnsi="Calibri" w:eastAsia="宋体"/>
          <w:sz w:val="30"/>
          <w:szCs w:val="30"/>
        </w:rPr>
      </w:pPr>
      <w:r>
        <w:rPr>
          <w:rFonts w:hint="eastAsia"/>
          <w:sz w:val="30"/>
          <w:szCs w:val="30"/>
        </w:rPr>
        <w:t xml:space="preserve">第二章</w:t>
      </w:r>
      <w:r>
        <w:rPr>
          <w:sz w:val="30"/>
          <w:szCs w:val="30"/>
        </w:rPr>
        <w:t xml:space="preserve"> </w:t>
      </w:r>
      <w:r>
        <w:rPr>
          <w:rFonts w:hint="eastAsia"/>
          <w:sz w:val="30"/>
          <w:szCs w:val="30"/>
        </w:rPr>
        <w:t xml:space="preserve">投标人须知</w:t>
      </w:r>
      <w:r>
        <w:rPr>
          <w:sz w:val="30"/>
          <w:szCs w:val="30"/>
        </w:rPr>
        <w:tab/>
      </w:r>
      <w:bookmarkStart w:id="0" w:name="_Hlt195271963"/>
      <w:r/>
      <w:bookmarkStart w:id="1" w:name="_Hlt195271964"/>
      <w:r>
        <w:rPr>
          <w:sz w:val="30"/>
          <w:szCs w:val="30"/>
        </w:rPr>
        <w:fldChar w:fldCharType="begin"/>
      </w:r>
      <w:r>
        <w:rPr>
          <w:sz w:val="30"/>
          <w:szCs w:val="30"/>
        </w:rPr>
        <w:instrText xml:space="preserve"> PAGEREF _Toc194916140 \h </w:instrText>
      </w:r>
      <w:r>
        <w:rPr>
          <w:sz w:val="30"/>
          <w:szCs w:val="30"/>
        </w:rPr>
        <w:fldChar w:fldCharType="separate"/>
      </w:r>
      <w:r>
        <w:rPr>
          <w:sz w:val="30"/>
          <w:szCs w:val="30"/>
        </w:rPr>
        <w:t xml:space="preserve">6</w:t>
      </w:r>
      <w:r>
        <w:rPr>
          <w:sz w:val="30"/>
          <w:szCs w:val="30"/>
        </w:rPr>
        <w:fldChar w:fldCharType="end"/>
      </w:r>
      <w:bookmarkEnd w:id="0"/>
      <w:r/>
      <w:bookmarkEnd w:id="1"/>
      <w:r>
        <w:rPr>
          <w:rFonts w:ascii="Calibri" w:hAnsi="Calibri" w:eastAsia="宋体"/>
          <w:sz w:val="30"/>
          <w:szCs w:val="30"/>
        </w:rPr>
      </w:r>
      <w:r/>
    </w:p>
    <w:p>
      <w:pPr>
        <w:pStyle w:val="1018"/>
        <w:spacing w:line="480" w:lineRule="auto"/>
        <w:tabs>
          <w:tab w:val="right" w:pos="9276" w:leader="dot"/>
        </w:tabs>
        <w:rPr>
          <w:rFonts w:ascii="Calibri" w:hAnsi="Calibri" w:eastAsia="宋体"/>
          <w:sz w:val="30"/>
          <w:szCs w:val="30"/>
        </w:rPr>
      </w:pPr>
      <w:r>
        <w:rPr>
          <w:rFonts w:hint="eastAsia"/>
          <w:sz w:val="30"/>
          <w:szCs w:val="30"/>
        </w:rPr>
        <w:t xml:space="preserve">第三章</w:t>
      </w:r>
      <w:r>
        <w:rPr>
          <w:sz w:val="30"/>
          <w:szCs w:val="30"/>
        </w:rPr>
        <w:t xml:space="preserve"> </w:t>
      </w:r>
      <w:r>
        <w:rPr>
          <w:rFonts w:hint="eastAsia"/>
          <w:sz w:val="30"/>
          <w:szCs w:val="30"/>
        </w:rPr>
        <w:t xml:space="preserve">投标文件格式</w:t>
      </w:r>
      <w:r>
        <w:rPr>
          <w:sz w:val="30"/>
          <w:szCs w:val="30"/>
        </w:rPr>
        <w:tab/>
      </w:r>
      <w:r>
        <w:rPr>
          <w:sz w:val="30"/>
          <w:szCs w:val="30"/>
        </w:rPr>
        <w:fldChar w:fldCharType="begin"/>
      </w:r>
      <w:r>
        <w:rPr>
          <w:sz w:val="30"/>
          <w:szCs w:val="30"/>
        </w:rPr>
        <w:instrText xml:space="preserve"> PAGEREF _Toc194916141 \h </w:instrText>
      </w:r>
      <w:r>
        <w:rPr>
          <w:sz w:val="30"/>
          <w:szCs w:val="30"/>
        </w:rPr>
        <w:fldChar w:fldCharType="separate"/>
      </w:r>
      <w:r>
        <w:rPr>
          <w:sz w:val="30"/>
          <w:szCs w:val="30"/>
        </w:rPr>
        <w:t xml:space="preserve">16</w:t>
      </w:r>
      <w:r>
        <w:rPr>
          <w:sz w:val="30"/>
          <w:szCs w:val="30"/>
        </w:rPr>
        <w:fldChar w:fldCharType="end"/>
      </w:r>
      <w:r>
        <w:rPr>
          <w:rFonts w:ascii="Calibri" w:hAnsi="Calibri" w:eastAsia="宋体"/>
          <w:sz w:val="30"/>
          <w:szCs w:val="30"/>
        </w:rPr>
      </w:r>
      <w:r/>
    </w:p>
    <w:p>
      <w:pPr>
        <w:pStyle w:val="1018"/>
        <w:spacing w:line="480" w:lineRule="auto"/>
        <w:tabs>
          <w:tab w:val="right" w:pos="9276" w:leader="dot"/>
        </w:tabs>
        <w:rPr>
          <w:rFonts w:ascii="Calibri" w:hAnsi="Calibri" w:eastAsia="宋体"/>
          <w:sz w:val="30"/>
          <w:szCs w:val="30"/>
        </w:rPr>
      </w:pPr>
      <w:r>
        <w:rPr>
          <w:rFonts w:hint="eastAsia"/>
          <w:sz w:val="30"/>
          <w:szCs w:val="30"/>
        </w:rPr>
        <w:t xml:space="preserve">第四章</w:t>
      </w:r>
      <w:r>
        <w:rPr>
          <w:sz w:val="30"/>
          <w:szCs w:val="30"/>
        </w:rPr>
        <w:t xml:space="preserve"> </w:t>
      </w:r>
      <w:r>
        <w:rPr>
          <w:rFonts w:hint="eastAsia"/>
          <w:sz w:val="30"/>
          <w:szCs w:val="30"/>
        </w:rPr>
        <w:t xml:space="preserve">招标书</w:t>
      </w:r>
      <w:r>
        <w:rPr>
          <w:sz w:val="30"/>
          <w:szCs w:val="30"/>
        </w:rPr>
        <w:tab/>
      </w:r>
      <w:r>
        <w:rPr>
          <w:sz w:val="30"/>
          <w:szCs w:val="30"/>
        </w:rPr>
        <w:fldChar w:fldCharType="begin"/>
      </w:r>
      <w:r>
        <w:rPr>
          <w:sz w:val="30"/>
          <w:szCs w:val="30"/>
        </w:rPr>
        <w:instrText xml:space="preserve"> PAGEREF _Toc194916142 \h </w:instrText>
      </w:r>
      <w:r>
        <w:rPr>
          <w:sz w:val="30"/>
          <w:szCs w:val="30"/>
        </w:rPr>
        <w:fldChar w:fldCharType="separate"/>
      </w:r>
      <w:r>
        <w:rPr>
          <w:sz w:val="30"/>
          <w:szCs w:val="30"/>
        </w:rPr>
        <w:t xml:space="preserve">28</w:t>
      </w:r>
      <w:r>
        <w:rPr>
          <w:sz w:val="30"/>
          <w:szCs w:val="30"/>
        </w:rPr>
        <w:fldChar w:fldCharType="end"/>
      </w:r>
      <w:r>
        <w:rPr>
          <w:rFonts w:ascii="Calibri" w:hAnsi="Calibri" w:eastAsia="宋体"/>
          <w:sz w:val="30"/>
          <w:szCs w:val="30"/>
        </w:rPr>
      </w:r>
      <w:r/>
    </w:p>
    <w:p>
      <w:pPr>
        <w:pStyle w:val="1018"/>
        <w:spacing w:line="480" w:lineRule="auto"/>
        <w:tabs>
          <w:tab w:val="right" w:pos="9276" w:leader="dot"/>
        </w:tabs>
        <w:rPr>
          <w:rFonts w:ascii="Calibri" w:hAnsi="Calibri" w:eastAsia="宋体"/>
          <w:sz w:val="30"/>
          <w:szCs w:val="30"/>
        </w:rPr>
      </w:pPr>
      <w:r>
        <w:rPr>
          <w:rFonts w:hint="eastAsia"/>
          <w:sz w:val="30"/>
          <w:szCs w:val="30"/>
        </w:rPr>
        <w:t xml:space="preserve">第五章</w:t>
      </w:r>
      <w:r>
        <w:rPr>
          <w:sz w:val="30"/>
          <w:szCs w:val="30"/>
        </w:rPr>
        <w:t xml:space="preserve">  </w:t>
      </w:r>
      <w:r>
        <w:rPr>
          <w:rFonts w:hint="eastAsia"/>
          <w:sz w:val="30"/>
          <w:szCs w:val="30"/>
        </w:rPr>
        <w:t xml:space="preserve">合同主要条款</w:t>
      </w:r>
      <w:r>
        <w:rPr>
          <w:sz w:val="30"/>
          <w:szCs w:val="30"/>
        </w:rPr>
        <w:tab/>
      </w:r>
      <w:r>
        <w:rPr>
          <w:sz w:val="30"/>
          <w:szCs w:val="30"/>
        </w:rPr>
        <w:fldChar w:fldCharType="begin"/>
      </w:r>
      <w:r>
        <w:rPr>
          <w:sz w:val="30"/>
          <w:szCs w:val="30"/>
        </w:rPr>
        <w:instrText xml:space="preserve"> PAGEREF _Toc194916143 \h </w:instrText>
      </w:r>
      <w:r>
        <w:rPr>
          <w:sz w:val="30"/>
          <w:szCs w:val="30"/>
        </w:rPr>
        <w:fldChar w:fldCharType="separate"/>
      </w:r>
      <w:r>
        <w:rPr>
          <w:sz w:val="30"/>
          <w:szCs w:val="30"/>
        </w:rPr>
        <w:t xml:space="preserve">30</w:t>
      </w:r>
      <w:r>
        <w:rPr>
          <w:sz w:val="30"/>
          <w:szCs w:val="30"/>
        </w:rPr>
        <w:fldChar w:fldCharType="end"/>
      </w:r>
      <w:r>
        <w:rPr>
          <w:rFonts w:ascii="Calibri" w:hAnsi="Calibri" w:eastAsia="宋体"/>
          <w:sz w:val="30"/>
          <w:szCs w:val="30"/>
        </w:rPr>
      </w:r>
      <w:r/>
    </w:p>
    <w:p>
      <w:pPr>
        <w:pStyle w:val="1018"/>
        <w:spacing w:line="480" w:lineRule="auto"/>
        <w:tabs>
          <w:tab w:val="right" w:pos="9276" w:leader="dot"/>
        </w:tabs>
        <w:rPr>
          <w:rFonts w:ascii="Calibri" w:hAnsi="Calibri" w:eastAsia="宋体"/>
          <w:sz w:val="30"/>
          <w:szCs w:val="30"/>
        </w:rPr>
      </w:pPr>
      <w:r>
        <w:rPr>
          <w:rFonts w:hint="eastAsia"/>
          <w:sz w:val="30"/>
          <w:szCs w:val="30"/>
        </w:rPr>
        <w:t xml:space="preserve">第六章</w:t>
      </w:r>
      <w:r>
        <w:rPr>
          <w:sz w:val="30"/>
          <w:szCs w:val="30"/>
        </w:rPr>
        <w:t xml:space="preserve"> </w:t>
      </w:r>
      <w:r>
        <w:rPr>
          <w:rFonts w:hint="eastAsia"/>
          <w:sz w:val="30"/>
          <w:szCs w:val="30"/>
        </w:rPr>
        <w:t xml:space="preserve">评标方法、评分标准</w:t>
      </w:r>
      <w:r>
        <w:rPr>
          <w:sz w:val="30"/>
          <w:szCs w:val="30"/>
        </w:rPr>
        <w:tab/>
      </w:r>
      <w:r>
        <w:rPr>
          <w:sz w:val="30"/>
          <w:szCs w:val="30"/>
        </w:rPr>
        <w:fldChar w:fldCharType="begin"/>
      </w:r>
      <w:r>
        <w:rPr>
          <w:sz w:val="30"/>
          <w:szCs w:val="30"/>
        </w:rPr>
        <w:instrText xml:space="preserve"> PAGEREF _Toc194916144 \h </w:instrText>
      </w:r>
      <w:r>
        <w:rPr>
          <w:sz w:val="30"/>
          <w:szCs w:val="30"/>
        </w:rPr>
        <w:fldChar w:fldCharType="separate"/>
      </w:r>
      <w:r>
        <w:rPr>
          <w:sz w:val="30"/>
          <w:szCs w:val="30"/>
        </w:rPr>
        <w:t xml:space="preserve">40</w:t>
      </w:r>
      <w:r>
        <w:rPr>
          <w:sz w:val="30"/>
          <w:szCs w:val="30"/>
        </w:rPr>
        <w:fldChar w:fldCharType="end"/>
      </w:r>
      <w:r>
        <w:rPr>
          <w:rFonts w:ascii="Calibri" w:hAnsi="Calibri" w:eastAsia="宋体"/>
          <w:sz w:val="30"/>
          <w:szCs w:val="30"/>
        </w:rPr>
      </w:r>
      <w:r/>
    </w:p>
    <w:p>
      <w:pPr>
        <w:pStyle w:val="1018"/>
        <w:spacing w:line="480" w:lineRule="auto"/>
        <w:tabs>
          <w:tab w:val="right" w:pos="9276" w:leader="dot"/>
        </w:tabs>
        <w:rPr>
          <w:rFonts w:ascii="Calibri" w:hAnsi="Calibri" w:eastAsia="宋体"/>
          <w:sz w:val="30"/>
          <w:szCs w:val="30"/>
        </w:rPr>
      </w:pPr>
      <w:r>
        <w:rPr>
          <w:rFonts w:hint="eastAsia"/>
          <w:sz w:val="30"/>
          <w:szCs w:val="30"/>
        </w:rPr>
        <w:t xml:space="preserve">第七章</w:t>
      </w:r>
      <w:r>
        <w:rPr>
          <w:sz w:val="30"/>
          <w:szCs w:val="30"/>
        </w:rPr>
        <w:t xml:space="preserve">  </w:t>
      </w:r>
      <w:r>
        <w:rPr>
          <w:rFonts w:hint="eastAsia"/>
          <w:sz w:val="30"/>
          <w:szCs w:val="30"/>
        </w:rPr>
        <w:t xml:space="preserve">昆山市政府采购供应商诚信管理办法</w:t>
      </w:r>
      <w:r>
        <w:rPr>
          <w:sz w:val="30"/>
          <w:szCs w:val="30"/>
        </w:rPr>
        <w:tab/>
      </w:r>
      <w:r>
        <w:rPr>
          <w:sz w:val="30"/>
          <w:szCs w:val="30"/>
        </w:rPr>
        <w:fldChar w:fldCharType="begin"/>
      </w:r>
      <w:r>
        <w:rPr>
          <w:sz w:val="30"/>
          <w:szCs w:val="30"/>
        </w:rPr>
        <w:instrText xml:space="preserve"> PAGEREF _Toc194916145 \h </w:instrText>
      </w:r>
      <w:r>
        <w:rPr>
          <w:sz w:val="30"/>
          <w:szCs w:val="30"/>
        </w:rPr>
        <w:fldChar w:fldCharType="separate"/>
      </w:r>
      <w:r>
        <w:rPr>
          <w:sz w:val="30"/>
          <w:szCs w:val="30"/>
        </w:rPr>
        <w:t xml:space="preserve">44</w:t>
      </w:r>
      <w:r>
        <w:rPr>
          <w:sz w:val="30"/>
          <w:szCs w:val="30"/>
        </w:rPr>
        <w:fldChar w:fldCharType="end"/>
      </w:r>
      <w:r>
        <w:rPr>
          <w:rFonts w:ascii="Calibri" w:hAnsi="Calibri" w:eastAsia="宋体"/>
          <w:sz w:val="30"/>
          <w:szCs w:val="30"/>
        </w:rPr>
      </w:r>
      <w:r/>
    </w:p>
    <w:p>
      <w:pPr>
        <w:pStyle w:val="967"/>
        <w:spacing w:line="480" w:lineRule="auto"/>
        <w:rPr>
          <w:rFonts w:hint="eastAsia" w:ascii="Tahoma" w:hAnsi="Tahoma"/>
          <w:sz w:val="24"/>
        </w:rPr>
      </w:pPr>
      <w:r>
        <w:rPr>
          <w:b/>
          <w:sz w:val="30"/>
          <w:szCs w:val="30"/>
        </w:rPr>
        <w:fldChar w:fldCharType="end"/>
      </w:r>
      <w:r>
        <w:rPr>
          <w:rFonts w:hint="eastAsia" w:ascii="Tahoma" w:hAnsi="Tahoma"/>
          <w:sz w:val="24"/>
        </w:rPr>
      </w:r>
      <w:r/>
    </w:p>
    <w:p>
      <w:pPr>
        <w:pStyle w:val="967"/>
        <w:spacing w:line="480" w:lineRule="auto"/>
        <w:rPr>
          <w:rFonts w:hint="eastAsia" w:ascii="Tahoma" w:hAnsi="Tahoma"/>
          <w:sz w:val="24"/>
        </w:rPr>
      </w:pPr>
      <w:r>
        <w:rPr>
          <w:rFonts w:ascii="Tahoma" w:hAnsi="Tahoma"/>
          <w:sz w:val="24"/>
        </w:rPr>
        <w:br w:type="page" w:clear="all"/>
      </w:r>
      <w:r>
        <w:rPr>
          <w:rFonts w:hint="eastAsia" w:ascii="Tahoma" w:hAnsi="Tahoma"/>
          <w:sz w:val="24"/>
        </w:rPr>
      </w:r>
      <w:r/>
    </w:p>
    <w:p>
      <w:pPr>
        <w:pStyle w:val="968"/>
        <w:jc w:val="center"/>
        <w:rPr>
          <w:rFonts w:hint="eastAsia" w:eastAsia="宋体"/>
          <w:sz w:val="21"/>
        </w:rPr>
      </w:pPr>
      <w:r/>
      <w:bookmarkStart w:id="2" w:name="_Toc194916139"/>
      <w:r>
        <w:rPr>
          <w:rFonts w:hint="eastAsia"/>
        </w:rPr>
        <w:t xml:space="preserve">第一章 投标邀请函</w:t>
      </w:r>
      <w:bookmarkEnd w:id="2"/>
      <w:r>
        <w:rPr>
          <w:rFonts w:hint="eastAsia" w:eastAsia="宋体"/>
          <w:sz w:val="21"/>
        </w:rPr>
      </w:r>
      <w:r/>
    </w:p>
    <w:p>
      <w:pPr>
        <w:pStyle w:val="990"/>
        <w:spacing w:line="360" w:lineRule="auto"/>
        <w:rPr>
          <w:rFonts w:hint="eastAsia" w:eastAsia="宋体"/>
          <w:color w:val="000000"/>
          <w:sz w:val="21"/>
        </w:rPr>
      </w:pPr>
      <w:r>
        <w:rPr>
          <w:rFonts w:eastAsia="宋体"/>
          <w:sz w:val="21"/>
        </w:rPr>
        <w:t xml:space="preserve">受</w:t>
      </w:r>
      <w:r>
        <w:rPr>
          <w:rFonts w:hint="eastAsia" w:eastAsia="宋体"/>
          <w:sz w:val="21"/>
        </w:rPr>
        <w:t xml:space="preserve">昆山市张浦镇人民政府（昆山市张浦镇社会事业办公室）</w:t>
      </w:r>
      <w:r>
        <w:rPr>
          <w:rFonts w:eastAsia="宋体"/>
          <w:sz w:val="21"/>
        </w:rPr>
        <w:t xml:space="preserve">委托，</w:t>
      </w:r>
      <w:r>
        <w:rPr>
          <w:rFonts w:hint="eastAsia" w:eastAsia="宋体"/>
          <w:sz w:val="21"/>
        </w:rPr>
        <w:t xml:space="preserve">江苏正华新工程咨询有限公司</w:t>
      </w:r>
      <w:r>
        <w:rPr>
          <w:rFonts w:eastAsia="宋体"/>
          <w:sz w:val="21"/>
        </w:rPr>
        <w:t xml:space="preserve">对其所需采购的</w:t>
      </w:r>
      <w:r>
        <w:rPr>
          <w:rFonts w:hint="eastAsia" w:eastAsia="宋体"/>
          <w:color w:val="000000"/>
          <w:sz w:val="21"/>
        </w:rPr>
        <w:t xml:space="preserve">昆山第六人民医院异地新建污水系统租赁服务进行国内公开招标。欢迎有资格的供应商前来参加投标。</w:t>
      </w:r>
      <w:r/>
    </w:p>
    <w:p>
      <w:pPr>
        <w:pStyle w:val="967"/>
        <w:ind w:left="420" w:right="178"/>
        <w:spacing w:line="360" w:lineRule="auto"/>
        <w:rPr>
          <w:rFonts w:hint="eastAsia"/>
          <w:szCs w:val="20"/>
        </w:rPr>
      </w:pPr>
      <w:r>
        <w:rPr>
          <w:rFonts w:hint="eastAsia"/>
          <w:szCs w:val="20"/>
        </w:rPr>
        <w:t xml:space="preserve">一、项目基本情况</w:t>
      </w:r>
      <w:r/>
    </w:p>
    <w:p>
      <w:pPr>
        <w:pStyle w:val="967"/>
        <w:ind w:left="420" w:right="178"/>
        <w:spacing w:line="360" w:lineRule="auto"/>
        <w:rPr>
          <w:rFonts w:hint="eastAsia"/>
          <w:szCs w:val="20"/>
        </w:rPr>
      </w:pPr>
      <w:r>
        <w:rPr>
          <w:rFonts w:hint="eastAsia"/>
          <w:szCs w:val="20"/>
        </w:rPr>
        <w:t xml:space="preserve">1、招标项目编号：JSZC-320583-SZZH-G2026-0005号</w:t>
      </w:r>
      <w:r/>
    </w:p>
    <w:p>
      <w:pPr>
        <w:pStyle w:val="967"/>
        <w:ind w:left="420" w:right="178"/>
        <w:spacing w:line="360" w:lineRule="auto"/>
        <w:rPr>
          <w:rFonts w:hint="eastAsia"/>
          <w:szCs w:val="20"/>
        </w:rPr>
      </w:pPr>
      <w:r>
        <w:rPr>
          <w:rFonts w:hint="eastAsia"/>
          <w:szCs w:val="20"/>
        </w:rPr>
        <w:t xml:space="preserve">2、招标内容：</w:t>
      </w:r>
      <w:bookmarkStart w:id="3" w:name="OLE_LINK15"/>
      <w:r/>
      <w:bookmarkStart w:id="4" w:name="OLE_LINK19"/>
      <w:r/>
      <w:bookmarkStart w:id="5" w:name="OLE_LINK18"/>
      <w:r>
        <w:rPr>
          <w:rFonts w:hint="eastAsia"/>
          <w:szCs w:val="20"/>
        </w:rPr>
        <w:t xml:space="preserve">昆山第六人民医院异地新建污水系统租赁服务</w:t>
      </w:r>
      <w:r/>
    </w:p>
    <w:p>
      <w:pPr>
        <w:pStyle w:val="967"/>
        <w:ind w:left="420" w:right="178"/>
        <w:spacing w:line="360" w:lineRule="auto"/>
        <w:rPr>
          <w:rFonts w:hint="eastAsia"/>
          <w:szCs w:val="20"/>
        </w:rPr>
      </w:pPr>
      <w:r/>
      <w:bookmarkEnd w:id="3"/>
      <w:r/>
      <w:bookmarkEnd w:id="4"/>
      <w:r/>
      <w:bookmarkEnd w:id="5"/>
      <w:r>
        <w:rPr>
          <w:rFonts w:hint="eastAsia"/>
          <w:szCs w:val="20"/>
        </w:rPr>
        <w:t xml:space="preserve">3、项目类别：服务类</w:t>
      </w:r>
      <w:r/>
    </w:p>
    <w:p>
      <w:pPr>
        <w:pStyle w:val="967"/>
        <w:ind w:left="420" w:right="178"/>
        <w:spacing w:line="360" w:lineRule="auto"/>
        <w:rPr>
          <w:rFonts w:hint="eastAsia"/>
          <w:color w:val="000000"/>
          <w:szCs w:val="20"/>
        </w:rPr>
      </w:pPr>
      <w:r>
        <w:rPr>
          <w:rFonts w:hint="eastAsia"/>
          <w:color w:val="000000"/>
          <w:szCs w:val="20"/>
        </w:rPr>
        <w:t xml:space="preserve">4、预算金额：人民币叁佰贰拾肆万叁仟肆佰元整（￥：</w:t>
      </w:r>
      <w:bookmarkStart w:id="6" w:name="OLE_LINK42"/>
      <w:r>
        <w:rPr>
          <w:rFonts w:hint="eastAsia"/>
          <w:color w:val="000000"/>
          <w:szCs w:val="20"/>
        </w:rPr>
        <w:t xml:space="preserve">3243400.00元</w:t>
      </w:r>
      <w:bookmarkEnd w:id="6"/>
      <w:r>
        <w:rPr>
          <w:rFonts w:hint="eastAsia"/>
          <w:color w:val="000000"/>
          <w:szCs w:val="20"/>
        </w:rPr>
        <w:t xml:space="preserve">）</w:t>
      </w:r>
      <w:r/>
    </w:p>
    <w:p>
      <w:pPr>
        <w:pStyle w:val="967"/>
        <w:ind w:left="420" w:right="178"/>
        <w:spacing w:line="360" w:lineRule="auto"/>
        <w:rPr>
          <w:rFonts w:hint="eastAsia"/>
          <w:color w:val="000000"/>
          <w:szCs w:val="20"/>
        </w:rPr>
      </w:pPr>
      <w:r>
        <w:rPr>
          <w:rFonts w:hint="eastAsia"/>
          <w:color w:val="000000"/>
          <w:szCs w:val="20"/>
        </w:rPr>
        <w:t xml:space="preserve">5、最高限价：人民币贰佰玖拾捌万叁仟玖佰贰拾捌元整（￥：2983928.00元）</w:t>
      </w:r>
      <w:r/>
    </w:p>
    <w:p>
      <w:pPr>
        <w:pStyle w:val="967"/>
        <w:ind w:left="420" w:right="178"/>
        <w:spacing w:line="360" w:lineRule="auto"/>
        <w:rPr>
          <w:rFonts w:hint="eastAsia"/>
          <w:color w:val="000000"/>
          <w:szCs w:val="20"/>
        </w:rPr>
      </w:pPr>
      <w:r>
        <w:rPr>
          <w:rFonts w:hint="eastAsia"/>
          <w:color w:val="000000"/>
          <w:szCs w:val="20"/>
        </w:rPr>
        <w:t xml:space="preserve">6、</w:t>
      </w:r>
      <w:bookmarkStart w:id="7" w:name="OLE_LINK41"/>
      <w:r>
        <w:rPr>
          <w:rFonts w:hint="eastAsia"/>
          <w:color w:val="000000"/>
          <w:szCs w:val="20"/>
        </w:rPr>
        <w:t xml:space="preserve">服务期：</w:t>
      </w:r>
      <w:bookmarkEnd w:id="7"/>
      <w:r>
        <w:rPr>
          <w:rFonts w:hint="eastAsia" w:ascii="宋体" w:hAnsi="宋体"/>
          <w:bCs/>
          <w:color w:val="000000"/>
          <w:szCs w:val="21"/>
        </w:rPr>
        <w:t xml:space="preserve">租赁设备安装到位、通过验收、医院正式运营后3年</w:t>
      </w:r>
      <w:r>
        <w:rPr>
          <w:rFonts w:hint="eastAsia" w:ascii="宋体" w:hAnsi="宋体"/>
          <w:bCs/>
          <w:color w:val="000000"/>
          <w:szCs w:val="21"/>
        </w:rPr>
        <w:t xml:space="preserve">。</w:t>
      </w:r>
      <w:r>
        <w:rPr>
          <w:rFonts w:hint="eastAsia"/>
          <w:color w:val="000000"/>
          <w:szCs w:val="20"/>
        </w:rPr>
      </w:r>
      <w:r/>
    </w:p>
    <w:p>
      <w:pPr>
        <w:pStyle w:val="967"/>
        <w:ind w:left="420" w:right="178"/>
        <w:spacing w:line="360" w:lineRule="auto"/>
        <w:rPr>
          <w:rFonts w:hint="eastAsia"/>
          <w:color w:val="000000"/>
          <w:szCs w:val="20"/>
        </w:rPr>
      </w:pPr>
      <w:r>
        <w:rPr>
          <w:rFonts w:hint="eastAsia"/>
          <w:color w:val="000000"/>
          <w:szCs w:val="20"/>
        </w:rPr>
        <w:t xml:space="preserve">7、采购需求：详见第四章采购需求。</w:t>
      </w:r>
      <w:r/>
    </w:p>
    <w:p>
      <w:pPr>
        <w:pStyle w:val="990"/>
        <w:spacing w:line="360" w:lineRule="auto"/>
        <w:rPr>
          <w:rFonts w:hint="eastAsia"/>
          <w:b/>
          <w:color w:val="000000"/>
        </w:rPr>
      </w:pPr>
      <w:r>
        <w:rPr>
          <w:rFonts w:hint="eastAsia" w:eastAsia="宋体"/>
          <w:color w:val="000000"/>
          <w:sz w:val="21"/>
        </w:rPr>
        <w:t xml:space="preserve">二、投标人资质要求：</w:t>
      </w:r>
      <w:r>
        <w:rPr>
          <w:rFonts w:hint="eastAsia"/>
          <w:b/>
          <w:color w:val="000000"/>
        </w:rPr>
        <w:t xml:space="preserve"> </w:t>
      </w:r>
      <w:r/>
    </w:p>
    <w:p>
      <w:pPr>
        <w:pStyle w:val="967"/>
        <w:ind w:firstLine="420"/>
        <w:spacing w:line="360" w:lineRule="auto"/>
        <w:rPr>
          <w:rFonts w:hint="eastAsia" w:ascii="Tahoma" w:hAnsi="Tahoma"/>
          <w:color w:val="000000"/>
        </w:rPr>
      </w:pPr>
      <w:r>
        <w:rPr>
          <w:rFonts w:hint="eastAsia" w:ascii="Tahoma" w:hAnsi="Tahoma"/>
          <w:color w:val="000000"/>
        </w:rPr>
        <w:t xml:space="preserve">（一）、一般条件：</w:t>
      </w:r>
      <w:r/>
    </w:p>
    <w:p>
      <w:pPr>
        <w:pStyle w:val="967"/>
        <w:ind w:firstLine="420"/>
        <w:spacing w:line="360" w:lineRule="auto"/>
        <w:rPr>
          <w:rFonts w:hint="eastAsia" w:ascii="Tahoma" w:hAnsi="Tahoma"/>
          <w:color w:val="000000"/>
        </w:rPr>
      </w:pPr>
      <w:r>
        <w:rPr>
          <w:rFonts w:hint="eastAsia" w:ascii="Tahoma" w:hAnsi="Tahoma"/>
          <w:color w:val="000000"/>
        </w:rPr>
        <w:t xml:space="preserve">投标单位须满足《中华人民共和国政府采购法》第二十二条规定；</w:t>
      </w:r>
      <w:r/>
    </w:p>
    <w:p>
      <w:pPr>
        <w:pStyle w:val="967"/>
        <w:ind w:firstLine="420"/>
        <w:spacing w:line="360" w:lineRule="auto"/>
        <w:rPr>
          <w:rFonts w:hint="eastAsia" w:ascii="Tahoma" w:hAnsi="Tahoma"/>
          <w:color w:val="000000"/>
        </w:rPr>
      </w:pPr>
      <w:r>
        <w:rPr>
          <w:rFonts w:hint="eastAsia" w:ascii="Tahoma" w:hAnsi="Tahoma"/>
          <w:color w:val="000000"/>
        </w:rPr>
        <w:t xml:space="preserve">（二）、落实政府采购政策需满足的资格要求：</w:t>
      </w:r>
      <w:bookmarkStart w:id="8" w:name="OLE_LINK43"/>
      <w:r/>
      <w:bookmarkStart w:id="9" w:name="OLE_LINK45"/>
      <w:r/>
      <w:bookmarkStart w:id="10" w:name="OLE_LINK44"/>
      <w:r>
        <w:rPr>
          <w:rFonts w:hint="eastAsia" w:ascii="Tahoma" w:hAnsi="Tahoma"/>
          <w:color w:val="000000"/>
        </w:rPr>
        <w:t xml:space="preserve">本项目专门面向中小企业采购，残疾人福利性单位、监狱企业视同小型、微型企业；</w:t>
      </w:r>
      <w:r/>
    </w:p>
    <w:p>
      <w:pPr>
        <w:pStyle w:val="967"/>
        <w:ind w:firstLine="420"/>
        <w:spacing w:line="360" w:lineRule="auto"/>
        <w:rPr>
          <w:rFonts w:hint="eastAsia" w:ascii="Tahoma" w:hAnsi="Tahoma"/>
          <w:color w:val="000000"/>
        </w:rPr>
      </w:pPr>
      <w:r/>
      <w:bookmarkEnd w:id="8"/>
      <w:r/>
      <w:bookmarkEnd w:id="9"/>
      <w:r/>
      <w:bookmarkEnd w:id="10"/>
      <w:r>
        <w:rPr>
          <w:rFonts w:hint="eastAsia" w:ascii="Tahoma" w:hAnsi="Tahoma"/>
          <w:color w:val="000000"/>
        </w:rPr>
        <w:t xml:space="preserve">（三）、特殊条件：</w:t>
      </w:r>
      <w:r/>
    </w:p>
    <w:p>
      <w:pPr>
        <w:pStyle w:val="967"/>
        <w:ind w:firstLine="630"/>
        <w:spacing w:line="360" w:lineRule="auto"/>
        <w:rPr>
          <w:rFonts w:hint="eastAsia" w:ascii="Tahoma" w:hAnsi="Tahoma"/>
          <w:color w:val="000000"/>
        </w:rPr>
      </w:pPr>
      <w:r>
        <w:rPr>
          <w:rFonts w:hint="eastAsia" w:ascii="Tahoma" w:hAnsi="Tahoma"/>
          <w:color w:val="000000"/>
        </w:rPr>
        <w:t xml:space="preserve">无。</w:t>
      </w:r>
      <w:r/>
    </w:p>
    <w:p>
      <w:pPr>
        <w:pStyle w:val="967"/>
        <w:ind w:firstLine="420"/>
        <w:spacing w:line="360" w:lineRule="auto"/>
        <w:rPr>
          <w:rFonts w:hint="eastAsia" w:ascii="Tahoma" w:hAnsi="Tahoma"/>
        </w:rPr>
      </w:pPr>
      <w:r>
        <w:rPr>
          <w:rFonts w:hint="eastAsia" w:ascii="Tahoma" w:hAnsi="Tahoma"/>
        </w:rPr>
        <w:t xml:space="preserve">（四）、其他条件</w:t>
      </w:r>
      <w:r/>
    </w:p>
    <w:p>
      <w:pPr>
        <w:pStyle w:val="967"/>
        <w:ind w:firstLine="420"/>
        <w:spacing w:line="360" w:lineRule="auto"/>
        <w:rPr>
          <w:rFonts w:hint="eastAsia" w:ascii="Tahoma" w:hAnsi="Tahoma"/>
        </w:rPr>
      </w:pPr>
      <w:r>
        <w:rPr>
          <w:rFonts w:hint="eastAsia" w:ascii="Tahoma" w:hAnsi="Tahoma"/>
        </w:rPr>
        <w:t xml:space="preserve">  1、本次招标不接受联合投标。</w:t>
      </w:r>
      <w:r/>
    </w:p>
    <w:p>
      <w:pPr>
        <w:pStyle w:val="967"/>
        <w:ind w:firstLine="420"/>
        <w:spacing w:line="360" w:lineRule="auto"/>
        <w:rPr>
          <w:rFonts w:hint="eastAsia" w:ascii="Tahoma" w:hAnsi="Tahoma"/>
        </w:rPr>
      </w:pPr>
      <w:r>
        <w:rPr>
          <w:rFonts w:hint="eastAsia" w:ascii="Tahoma" w:hAnsi="Tahoma"/>
        </w:rPr>
        <w:t xml:space="preserve">  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pStyle w:val="99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三、获取招标文件</w:t>
      </w:r>
      <w:r/>
    </w:p>
    <w:p>
      <w:pPr>
        <w:pStyle w:val="990"/>
        <w:spacing w:line="360" w:lineRule="auto"/>
        <w:rPr>
          <w:rFonts w:ascii="宋体" w:hAnsi="宋体" w:eastAsia="宋体"/>
          <w:sz w:val="21"/>
          <w:szCs w:val="21"/>
        </w:rPr>
      </w:pPr>
      <w:r>
        <w:rPr>
          <w:rFonts w:hint="eastAsia" w:ascii="宋体" w:hAnsi="宋体" w:eastAsia="宋体"/>
          <w:sz w:val="21"/>
          <w:szCs w:val="21"/>
        </w:rPr>
        <w:t xml:space="preserve">1、获取招标文件时间：自招标文件公告发布之日起5个工作日。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2、获取地点：登录“苏采云”系统自行下载本项目招标文件。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3、方式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（1）CA证书办理 </w:t>
      </w:r>
      <w:r>
        <w:rPr>
          <w:rFonts w:ascii="宋体" w:hAnsi="宋体" w:eastAsia="宋体"/>
          <w:sz w:val="21"/>
          <w:szCs w:val="21"/>
        </w:rPr>
      </w:r>
      <w:r/>
    </w:p>
    <w:p>
      <w:pPr>
        <w:pStyle w:val="990"/>
        <w:spacing w:line="360" w:lineRule="auto"/>
        <w:rPr>
          <w:rFonts w:hint="eastAsia" w:ascii="宋体" w:hAnsi="宋体" w:eastAsia="宋体"/>
          <w:sz w:val="21"/>
          <w:szCs w:val="21"/>
        </w:rPr>
      </w:pPr>
      <w:r>
        <w:rPr>
          <w:rFonts w:hint="eastAsia" w:ascii="宋体" w:hAnsi="宋体" w:eastAsia="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pStyle w:val="990"/>
        <w:spacing w:line="360" w:lineRule="auto"/>
        <w:rPr>
          <w:rFonts w:ascii="宋体" w:hAnsi="宋体" w:eastAsia="宋体"/>
          <w:sz w:val="21"/>
          <w:szCs w:val="21"/>
        </w:rPr>
      </w:pPr>
      <w:r>
        <w:rPr>
          <w:rFonts w:hint="eastAsia" w:ascii="宋体" w:hAnsi="宋体" w:eastAsia="宋体"/>
          <w:sz w:val="21"/>
          <w:szCs w:val="21"/>
        </w:rPr>
        <w:t xml:space="preserve">（2）参与采购活动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（3）电子投标准备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注册咨询：18261002950；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CA技术咨询电话：400-608-6099；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签章使用问题：025-83633811、025-83633812、15380932027、15371015030；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系统使用指导与咨询：联系电话：18261002950；QQ：3048755361、1315179389、895706745。 </w:t>
      </w:r>
      <w:r>
        <w:rPr>
          <w:rFonts w:ascii="宋体" w:hAnsi="宋体" w:eastAsia="宋体"/>
          <w:sz w:val="21"/>
          <w:szCs w:val="21"/>
        </w:rPr>
      </w:r>
      <w:r/>
    </w:p>
    <w:p>
      <w:pPr>
        <w:pStyle w:val="967"/>
        <w:ind w:firstLine="422"/>
        <w:spacing w:line="360" w:lineRule="auto"/>
        <w:rPr>
          <w:rFonts w:hint="eastAsia"/>
          <w:b/>
          <w:bCs/>
          <w:color w:val="333333"/>
        </w:rPr>
      </w:pPr>
      <w:r>
        <w:rPr>
          <w:rFonts w:hint="eastAsia" w:ascii="宋体" w:hAnsi="宋体"/>
          <w:b/>
          <w:szCs w:val="21"/>
        </w:rPr>
        <w:t xml:space="preserve">四、</w:t>
      </w:r>
      <w:r>
        <w:rPr>
          <w:rFonts w:hint="eastAsia"/>
          <w:b/>
          <w:bCs/>
          <w:color w:val="333333"/>
        </w:rPr>
        <w:t xml:space="preserve">提交投标文件截止时间、开标时间和地点</w:t>
      </w:r>
      <w:r/>
    </w:p>
    <w:p>
      <w:pPr>
        <w:pStyle w:val="9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1、提交投标文件截止时间：2026年06月12日09:30（北京时间）； </w:t>
      </w:r>
      <w:r>
        <w:rPr>
          <w:rFonts w:ascii="宋体" w:hAnsi="宋体" w:eastAsia="宋体"/>
          <w:color w:val="000000"/>
          <w:sz w:val="21"/>
          <w:szCs w:val="21"/>
        </w:rPr>
      </w:r>
      <w:r/>
    </w:p>
    <w:p>
      <w:pPr>
        <w:pStyle w:val="99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2、开标时间：2026年06月12日09:30（北京时间）； </w:t>
      </w:r>
      <w:r/>
    </w:p>
    <w:p>
      <w:pPr>
        <w:pStyle w:val="990"/>
        <w:spacing w:line="360" w:lineRule="auto"/>
        <w:rPr>
          <w:rFonts w:ascii="宋体" w:hAnsi="宋体" w:eastAsia="宋体"/>
          <w:sz w:val="21"/>
          <w:szCs w:val="21"/>
        </w:rPr>
      </w:pPr>
      <w:r>
        <w:rPr>
          <w:rFonts w:hint="eastAsia" w:ascii="宋体" w:hAnsi="宋体" w:eastAsia="宋体"/>
          <w:sz w:val="21"/>
          <w:szCs w:val="21"/>
        </w:rPr>
        <w:t xml:space="preserve">3、远程CA解密时间：</w:t>
      </w:r>
      <w:r>
        <w:rPr>
          <w:rFonts w:hint="eastAsia" w:ascii="Times New Roman" w:hAnsi="Times New Roman" w:eastAsia="宋体"/>
          <w:color w:val="333333"/>
          <w:sz w:val="21"/>
          <w:shd w:val="clear" w:color="auto" w:fill="ffffff"/>
        </w:rPr>
        <w:t xml:space="preserve">以开标时“苏</w:t>
      </w:r>
      <w:r>
        <w:rPr>
          <w:rFonts w:hint="eastAsia" w:ascii="Times New Roman" w:hAnsi="Times New Roman" w:eastAsia="宋体"/>
          <w:color w:val="333333"/>
          <w:sz w:val="21"/>
        </w:rPr>
        <w:t xml:space="preserve">采云</w:t>
      </w:r>
      <w:r>
        <w:rPr>
          <w:rFonts w:hint="eastAsia" w:ascii="Times New Roman" w:hAnsi="Times New Roman" w:eastAsia="宋体"/>
          <w:color w:val="333333"/>
          <w:sz w:val="21"/>
          <w:shd w:val="clear" w:color="auto" w:fill="ffffff"/>
        </w:rPr>
        <w:t xml:space="preserve">”系统为准；</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4、开标地点：“苏采云”系统（网址：http://jszfcg.jsczt.cn/）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rPr>
          <w:rFonts w:ascii="宋体" w:hAnsi="宋体" w:eastAsia="宋体"/>
          <w:sz w:val="21"/>
          <w:szCs w:val="21"/>
        </w:rPr>
      </w:r>
      <w:r/>
    </w:p>
    <w:p>
      <w:pPr>
        <w:pStyle w:val="990"/>
        <w:spacing w:line="360" w:lineRule="auto"/>
        <w:rPr>
          <w:rFonts w:ascii="宋体" w:hAnsi="宋体" w:eastAsia="宋体"/>
          <w:sz w:val="21"/>
          <w:szCs w:val="21"/>
        </w:rPr>
      </w:pPr>
      <w:r>
        <w:rPr>
          <w:rFonts w:hint="eastAsia" w:ascii="宋体" w:hAnsi="宋体" w:eastAsia="宋体"/>
          <w:sz w:val="21"/>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 </w:t>
      </w:r>
      <w:r>
        <w:rPr>
          <w:rFonts w:ascii="宋体" w:hAnsi="宋体" w:eastAsia="宋体"/>
          <w:sz w:val="21"/>
          <w:szCs w:val="21"/>
        </w:rPr>
      </w:r>
      <w:r/>
    </w:p>
    <w:p>
      <w:pPr>
        <w:pStyle w:val="967"/>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7、本项目获取招标文件截止日期之后仍可以下载招标文件，但截止日期之后下载的招标文件，视为非有效方式且不作为供应商权益受到损害的证明材料和依据。</w:t>
      </w:r>
      <w:r/>
    </w:p>
    <w:p>
      <w:pPr>
        <w:pStyle w:val="967"/>
        <w:ind w:firstLine="420"/>
        <w:spacing w:line="360" w:lineRule="auto"/>
        <w:rPr>
          <w:rFonts w:hint="eastAsia" w:ascii="宋体" w:hAnsi="宋体" w:cs="宋体"/>
          <w:color w:val="000000"/>
          <w:szCs w:val="21"/>
        </w:rPr>
      </w:pPr>
      <w:r>
        <w:rPr>
          <w:rFonts w:hint="eastAsia" w:ascii="宋体" w:hAnsi="宋体" w:cs="宋体"/>
          <w:color w:val="000000"/>
          <w:szCs w:val="21"/>
        </w:rPr>
        <w:t xml:space="preserve">8、昆山市政府采购监督电话：0512-57310854</w:t>
      </w:r>
      <w:r/>
    </w:p>
    <w:p>
      <w:pPr>
        <w:pStyle w:val="967"/>
        <w:ind w:right="-315" w:firstLine="420"/>
        <w:spacing w:line="360" w:lineRule="auto"/>
        <w:rPr>
          <w:rFonts w:hint="eastAsia" w:ascii="宋体" w:hAnsi="宋体"/>
          <w:b/>
          <w:szCs w:val="21"/>
        </w:rPr>
      </w:pPr>
      <w:r>
        <w:rPr>
          <w:rFonts w:hint="eastAsia" w:ascii="宋体" w:hAnsi="宋体"/>
          <w:szCs w:val="21"/>
        </w:rPr>
        <w:t xml:space="preserve">五、</w:t>
      </w:r>
      <w:r>
        <w:rPr>
          <w:rFonts w:ascii="宋体" w:hAnsi="宋体"/>
          <w:szCs w:val="21"/>
        </w:rPr>
        <w:t xml:space="preserve">为加强对政府采购供应商监督管理，进一步规范供应商政府采购行为，促进供应商依法诚信经营，维护政府采购公平竞争环境和政府采购当事人的合法权益，供应商在</w:t>
      </w:r>
      <w:r>
        <w:rPr>
          <w:rFonts w:hint="eastAsia" w:ascii="宋体" w:hAnsi="宋体"/>
          <w:szCs w:val="21"/>
        </w:rPr>
        <w:t xml:space="preserve">参加</w:t>
      </w:r>
      <w:r>
        <w:rPr>
          <w:rFonts w:ascii="宋体" w:hAnsi="宋体"/>
          <w:szCs w:val="21"/>
        </w:rPr>
        <w:t xml:space="preserve">政府采购活动</w:t>
      </w:r>
      <w:r>
        <w:rPr>
          <w:rFonts w:hint="eastAsia" w:ascii="宋体" w:hAnsi="宋体"/>
          <w:szCs w:val="21"/>
        </w:rPr>
        <w:t xml:space="preserve">时</w:t>
      </w:r>
      <w:r>
        <w:rPr>
          <w:rFonts w:ascii="宋体" w:hAnsi="宋体"/>
          <w:szCs w:val="21"/>
        </w:rPr>
        <w:t xml:space="preserve">按《昆山市政府采购供应商诚信管理办法》的规定执行</w:t>
      </w:r>
      <w:r>
        <w:rPr>
          <w:rFonts w:hint="eastAsia" w:ascii="宋体" w:hAnsi="宋体"/>
          <w:szCs w:val="21"/>
        </w:rPr>
        <w:t xml:space="preserve">。</w:t>
      </w:r>
      <w:r>
        <w:rPr>
          <w:rFonts w:hint="eastAsia" w:ascii="宋体" w:hAnsi="宋体"/>
          <w:b/>
          <w:szCs w:val="21"/>
        </w:rPr>
      </w:r>
      <w:r/>
    </w:p>
    <w:p>
      <w:pPr>
        <w:pStyle w:val="967"/>
        <w:ind w:right="-359" w:firstLine="420"/>
        <w:spacing w:line="360" w:lineRule="auto"/>
        <w:rPr>
          <w:rFonts w:hint="eastAsia" w:ascii="宋体" w:hAnsi="宋体"/>
          <w:szCs w:val="21"/>
        </w:rPr>
      </w:pPr>
      <w:r>
        <w:rPr>
          <w:rFonts w:hint="eastAsia"/>
        </w:rPr>
        <w:t xml:space="preserve">六、</w:t>
      </w:r>
      <w:r>
        <w:rPr>
          <w:rFonts w:hint="eastAsia" w:ascii="宋体" w:hAnsi="宋体"/>
          <w:szCs w:val="21"/>
        </w:rPr>
        <w:t xml:space="preserve">联系事项</w:t>
      </w:r>
      <w:r/>
    </w:p>
    <w:p>
      <w:pPr>
        <w:pStyle w:val="967"/>
        <w:ind w:right="-359" w:firstLine="420"/>
        <w:spacing w:line="360" w:lineRule="auto"/>
        <w:rPr>
          <w:rFonts w:hint="eastAsia"/>
        </w:rPr>
      </w:pPr>
      <w:r>
        <w:rPr>
          <w:rFonts w:hint="eastAsia" w:ascii="宋体" w:hAnsi="宋体"/>
          <w:szCs w:val="21"/>
        </w:rPr>
        <w:t xml:space="preserve">1、</w:t>
      </w:r>
      <w:r>
        <w:rPr>
          <w:rFonts w:hint="eastAsia"/>
        </w:rPr>
        <w:t xml:space="preserve">采购人：昆山市张浦镇人民政府（昆山市张浦镇社会事业办公室）</w:t>
      </w:r>
      <w:r/>
    </w:p>
    <w:p>
      <w:pPr>
        <w:pStyle w:val="967"/>
        <w:ind w:right="-359" w:firstLine="420"/>
        <w:spacing w:line="360" w:lineRule="auto"/>
        <w:rPr>
          <w:rFonts w:hint="eastAsia"/>
        </w:rPr>
      </w:pPr>
      <w:r>
        <w:t xml:space="preserve">2</w:t>
      </w:r>
      <w:r>
        <w:rPr>
          <w:rFonts w:hint="eastAsia"/>
        </w:rPr>
        <w:t xml:space="preserve">、联系人：景一峰           联系电话：0512-57452382</w:t>
      </w:r>
      <w:r/>
    </w:p>
    <w:p>
      <w:pPr>
        <w:pStyle w:val="967"/>
        <w:ind w:right="-359" w:firstLine="420"/>
        <w:spacing w:line="360" w:lineRule="auto"/>
        <w:rPr>
          <w:rFonts w:ascii="宋体" w:hAnsi="宋体"/>
          <w:szCs w:val="21"/>
        </w:rPr>
      </w:pPr>
      <w:r>
        <w:rPr>
          <w:rFonts w:hint="eastAsia" w:ascii="宋体" w:hAnsi="宋体"/>
          <w:szCs w:val="21"/>
        </w:rPr>
        <w:t xml:space="preserve">七、招标代理机构名称：江苏正华新工程咨询有限公司 </w:t>
      </w:r>
      <w:r>
        <w:rPr>
          <w:rFonts w:ascii="宋体" w:hAnsi="宋体"/>
          <w:szCs w:val="21"/>
        </w:rPr>
      </w:r>
      <w:r/>
    </w:p>
    <w:p>
      <w:pPr>
        <w:pStyle w:val="967"/>
        <w:ind w:firstLine="420"/>
        <w:spacing w:line="360" w:lineRule="auto"/>
        <w:rPr>
          <w:rFonts w:hint="eastAsia" w:ascii="宋体" w:hAnsi="宋体"/>
          <w:szCs w:val="21"/>
        </w:rPr>
      </w:pPr>
      <w:r>
        <w:rPr>
          <w:rFonts w:hint="eastAsia" w:ascii="宋体" w:hAnsi="宋体"/>
          <w:szCs w:val="21"/>
        </w:rPr>
        <w:t xml:space="preserve">地址：</w:t>
      </w:r>
      <w:bookmarkStart w:id="11" w:name="OLE_LINK6"/>
      <w:r/>
      <w:bookmarkStart w:id="12" w:name="OLE_LINK5"/>
      <w:r>
        <w:rPr>
          <w:rFonts w:hint="eastAsia" w:ascii="宋体" w:hAnsi="宋体"/>
          <w:szCs w:val="21"/>
        </w:rPr>
        <w:t xml:space="preserve">昆山开发区富尔路26号602室</w:t>
      </w:r>
      <w:bookmarkEnd w:id="11"/>
      <w:r/>
      <w:bookmarkEnd w:id="12"/>
      <w:r>
        <w:rPr>
          <w:rFonts w:hint="eastAsia"/>
        </w:rPr>
        <w:t xml:space="preserve">  </w:t>
      </w:r>
      <w:r>
        <w:rPr>
          <w:rFonts w:hint="eastAsia" w:ascii="宋体" w:hAnsi="宋体"/>
          <w:szCs w:val="21"/>
        </w:rPr>
        <w:t xml:space="preserve">    邮政编码：215300 </w:t>
      </w:r>
      <w:r/>
    </w:p>
    <w:p>
      <w:pPr>
        <w:pStyle w:val="967"/>
        <w:ind w:right="-252" w:firstLine="420"/>
        <w:spacing w:line="360" w:lineRule="auto"/>
        <w:rPr>
          <w:rFonts w:hint="eastAsia" w:ascii="宋体" w:hAnsi="宋体"/>
          <w:szCs w:val="21"/>
        </w:rPr>
      </w:pPr>
      <w:r>
        <w:rPr>
          <w:rFonts w:hint="eastAsia" w:ascii="宋体" w:hAnsi="宋体"/>
          <w:szCs w:val="21"/>
        </w:rPr>
        <w:t xml:space="preserve">联系电话：0512-50331200 </w:t>
      </w:r>
      <w:r/>
    </w:p>
    <w:p>
      <w:pPr>
        <w:pStyle w:val="967"/>
        <w:ind w:right="-252" w:firstLine="420"/>
        <w:spacing w:line="360" w:lineRule="auto"/>
        <w:rPr>
          <w:rFonts w:hint="eastAsia" w:ascii="宋体" w:hAnsi="宋体"/>
          <w:szCs w:val="21"/>
        </w:rPr>
      </w:pPr>
      <w:r>
        <w:rPr>
          <w:rFonts w:hint="eastAsia" w:ascii="宋体" w:hAnsi="宋体"/>
          <w:szCs w:val="21"/>
        </w:rPr>
        <w:t xml:space="preserve">联系人：王琴</w:t>
      </w:r>
      <w:r/>
    </w:p>
    <w:p>
      <w:pPr>
        <w:pStyle w:val="967"/>
        <w:ind w:firstLine="420"/>
        <w:spacing w:line="360" w:lineRule="auto"/>
        <w:rPr>
          <w:rFonts w:hint="eastAsia" w:ascii="Tahoma" w:hAnsi="Tahoma"/>
        </w:rPr>
      </w:pPr>
      <w:r>
        <w:rPr>
          <w:rFonts w:hint="eastAsia" w:ascii="Tahoma" w:hAnsi="Tahoma"/>
        </w:rPr>
      </w:r>
      <w:r/>
    </w:p>
    <w:p>
      <w:pPr>
        <w:pStyle w:val="967"/>
        <w:ind w:firstLine="420"/>
        <w:spacing w:line="360" w:lineRule="auto"/>
        <w:rPr>
          <w:rFonts w:hint="eastAsia" w:ascii="Tahoma" w:hAnsi="Tahoma"/>
        </w:rPr>
      </w:pPr>
      <w:r>
        <w:rPr>
          <w:rFonts w:hint="eastAsia" w:ascii="Tahoma" w:hAnsi="Tahoma"/>
        </w:rPr>
      </w:r>
      <w:r/>
    </w:p>
    <w:p>
      <w:pPr>
        <w:pStyle w:val="967"/>
        <w:ind w:firstLine="420"/>
        <w:spacing w:line="360" w:lineRule="auto"/>
        <w:rPr>
          <w:rFonts w:hint="eastAsia" w:ascii="Tahoma" w:hAnsi="Tahoma"/>
        </w:rPr>
      </w:pPr>
      <w:r>
        <w:rPr>
          <w:rFonts w:ascii="Tahoma" w:hAnsi="Tahoma"/>
        </w:rPr>
        <w:br w:type="page" w:clear="all"/>
      </w:r>
      <w:r>
        <w:rPr>
          <w:rFonts w:hint="eastAsia" w:ascii="Tahoma" w:hAnsi="Tahoma"/>
        </w:rPr>
      </w:r>
      <w:r/>
    </w:p>
    <w:p>
      <w:pPr>
        <w:pStyle w:val="968"/>
        <w:jc w:val="center"/>
        <w:rPr>
          <w:rFonts w:hint="eastAsia"/>
        </w:rPr>
      </w:pPr>
      <w:r/>
      <w:bookmarkStart w:id="13" w:name="_Toc194916140"/>
      <w:r>
        <w:rPr>
          <w:rFonts w:hint="eastAsia"/>
        </w:rPr>
        <w:t xml:space="preserve">第二章 投标人须知</w:t>
      </w:r>
      <w:bookmarkEnd w:id="13"/>
      <w:r>
        <w:rPr>
          <w:rFonts w:hint="eastAsia"/>
        </w:rPr>
      </w:r>
      <w:r/>
    </w:p>
    <w:p>
      <w:pPr>
        <w:pStyle w:val="967"/>
        <w:ind w:firstLine="422"/>
        <w:spacing w:line="360" w:lineRule="auto"/>
        <w:rPr>
          <w:rFonts w:hint="eastAsia" w:ascii="宋体" w:hAnsi="宋体"/>
          <w:b/>
          <w:szCs w:val="21"/>
        </w:rPr>
      </w:pPr>
      <w:r>
        <w:rPr>
          <w:rFonts w:hint="eastAsia" w:ascii="宋体" w:hAnsi="宋体"/>
          <w:b/>
          <w:szCs w:val="21"/>
        </w:rPr>
        <w:t xml:space="preserve">一、说明和释义</w:t>
      </w:r>
      <w:r/>
    </w:p>
    <w:p>
      <w:pPr>
        <w:pStyle w:val="967"/>
        <w:ind w:firstLine="420"/>
        <w:spacing w:line="360" w:lineRule="auto"/>
        <w:rPr>
          <w:rFonts w:hint="eastAsia" w:ascii="宋体" w:hAnsi="宋体"/>
          <w:szCs w:val="21"/>
        </w:rPr>
      </w:pPr>
      <w:r>
        <w:rPr>
          <w:rFonts w:hint="eastAsia" w:ascii="宋体" w:hAnsi="宋体"/>
          <w:szCs w:val="21"/>
        </w:rPr>
        <w:t xml:space="preserve">1、说明</w:t>
      </w:r>
      <w:r/>
    </w:p>
    <w:p>
      <w:pPr>
        <w:pStyle w:val="967"/>
        <w:ind w:firstLine="420"/>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、本招标文件仅适</w:t>
      </w:r>
      <w:r>
        <w:rPr>
          <w:rFonts w:hint="eastAsia" w:ascii="宋体" w:hAnsi="宋体"/>
          <w:bCs/>
          <w:szCs w:val="21"/>
        </w:rPr>
        <w:t xml:space="preserve">用于</w:t>
      </w:r>
      <w:r>
        <w:rPr>
          <w:rFonts w:hint="eastAsia"/>
          <w:bCs/>
        </w:rPr>
        <w:t xml:space="preserve">江苏正华新工程咨询有限公司</w:t>
      </w:r>
      <w:r>
        <w:rPr>
          <w:rFonts w:hint="eastAsia" w:ascii="宋体" w:hAnsi="宋体"/>
          <w:bCs/>
          <w:szCs w:val="21"/>
        </w:rPr>
        <w:t xml:space="preserve">组织的招标</w:t>
      </w:r>
      <w:r>
        <w:rPr>
          <w:rFonts w:hint="eastAsia" w:ascii="宋体" w:hAnsi="宋体"/>
          <w:szCs w:val="21"/>
        </w:rPr>
        <w:t xml:space="preserve">活动。</w:t>
      </w:r>
      <w:r/>
    </w:p>
    <w:p>
      <w:pPr>
        <w:pStyle w:val="967"/>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、本次招标活动及因本次招标产生的合同受中国法律制约和保护。</w:t>
      </w:r>
      <w:r>
        <w:rPr>
          <w:rFonts w:ascii="宋体" w:hAnsi="宋体"/>
          <w:szCs w:val="21"/>
        </w:rPr>
      </w:r>
      <w:r/>
    </w:p>
    <w:p>
      <w:pPr>
        <w:pStyle w:val="990"/>
        <w:jc w:val="both"/>
        <w:spacing w:line="360" w:lineRule="auto"/>
        <w:rPr>
          <w:rFonts w:eastAsia="宋体"/>
          <w:bCs/>
          <w:sz w:val="21"/>
        </w:rPr>
      </w:pPr>
      <w:r>
        <w:rPr>
          <w:rFonts w:ascii="宋体" w:hAnsi="宋体" w:eastAsia="宋体"/>
          <w:sz w:val="21"/>
          <w:szCs w:val="21"/>
        </w:rPr>
        <w:t xml:space="preserve">1.3</w:t>
      </w:r>
      <w:r>
        <w:rPr>
          <w:rFonts w:hint="eastAsia" w:eastAsia="宋体"/>
          <w:bCs/>
          <w:sz w:val="21"/>
        </w:rPr>
        <w:t xml:space="preserve">、本招标文件的解释权属于江苏正华新工程咨询有限公司。</w:t>
      </w:r>
      <w:r>
        <w:rPr>
          <w:rFonts w:eastAsia="宋体"/>
          <w:bCs/>
          <w:sz w:val="21"/>
        </w:rPr>
        <w:t xml:space="preserve"> </w:t>
      </w:r>
      <w:r/>
    </w:p>
    <w:p>
      <w:pPr>
        <w:pStyle w:val="967"/>
        <w:ind w:firstLine="413"/>
        <w:spacing w:line="360" w:lineRule="auto"/>
        <w:rPr>
          <w:rFonts w:ascii="宋体" w:hAnsi="宋体"/>
          <w:b/>
          <w:szCs w:val="21"/>
        </w:rPr>
      </w:pPr>
      <w:r>
        <w:rPr>
          <w:rFonts w:ascii="宋体" w:hAnsi="宋体"/>
          <w:b/>
          <w:szCs w:val="21"/>
        </w:rPr>
        <w:t xml:space="preserve">2. </w:t>
      </w:r>
      <w:r>
        <w:rPr>
          <w:rFonts w:hint="eastAsia" w:ascii="宋体" w:hAnsi="宋体"/>
          <w:b/>
          <w:szCs w:val="21"/>
        </w:rPr>
        <w:t xml:space="preserve">词语释义</w:t>
      </w:r>
      <w:r>
        <w:rPr>
          <w:rFonts w:ascii="宋体" w:hAnsi="宋体"/>
          <w:b/>
          <w:szCs w:val="21"/>
        </w:rPr>
      </w:r>
      <w:r/>
    </w:p>
    <w:p>
      <w:pPr>
        <w:pStyle w:val="990"/>
        <w:jc w:val="both"/>
        <w:spacing w:line="360" w:lineRule="auto"/>
        <w:rPr>
          <w:rFonts w:hint="eastAsia"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、招标人：具体组织实施招标活动的法人。</w:t>
      </w:r>
      <w:r/>
    </w:p>
    <w:p>
      <w:pPr>
        <w:pStyle w:val="990"/>
        <w:jc w:val="both"/>
        <w:spacing w:line="360" w:lineRule="auto"/>
        <w:rPr>
          <w:rFonts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t xml:space="preserve">、投标人：经认定有资格响应招标，参加投标竞争的法人或其他组织和自然人。</w:t>
      </w:r>
      <w:r>
        <w:rPr>
          <w:rFonts w:ascii="宋体" w:hAnsi="宋体" w:eastAsia="宋体"/>
          <w:sz w:val="21"/>
          <w:szCs w:val="21"/>
        </w:rPr>
      </w:r>
      <w:r/>
    </w:p>
    <w:p>
      <w:pPr>
        <w:pStyle w:val="990"/>
        <w:jc w:val="both"/>
        <w:spacing w:line="360" w:lineRule="auto"/>
        <w:rPr>
          <w:rFonts w:ascii="宋体" w:hAnsi="宋体" w:eastAsia="宋体"/>
          <w:sz w:val="21"/>
          <w:szCs w:val="21"/>
        </w:rPr>
      </w:pPr>
      <w:r>
        <w:rPr>
          <w:rFonts w:ascii="宋体" w:hAnsi="宋体" w:eastAsia="宋体"/>
          <w:sz w:val="21"/>
          <w:szCs w:val="21"/>
        </w:rPr>
        <w:t xml:space="preserve">2.3</w:t>
      </w:r>
      <w:r>
        <w:rPr>
          <w:rFonts w:hint="eastAsia" w:ascii="宋体" w:hAnsi="宋体" w:eastAsia="宋体"/>
          <w:sz w:val="21"/>
          <w:szCs w:val="21"/>
        </w:rPr>
        <w:t xml:space="preserve">、响应：投标人根据招标人或招标人发布的招标文件，编制投标文件并按规定投标的行为。</w:t>
      </w:r>
      <w:r>
        <w:rPr>
          <w:rFonts w:ascii="宋体" w:hAnsi="宋体" w:eastAsia="宋体"/>
          <w:sz w:val="21"/>
          <w:szCs w:val="21"/>
        </w:rPr>
      </w:r>
      <w:r/>
    </w:p>
    <w:p>
      <w:pPr>
        <w:pStyle w:val="990"/>
        <w:ind w:right="-252"/>
        <w:jc w:val="both"/>
        <w:spacing w:line="360" w:lineRule="auto"/>
        <w:rPr>
          <w:rFonts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eastAsia="宋体"/>
          <w:sz w:val="21"/>
          <w:szCs w:val="21"/>
        </w:rPr>
      </w:r>
      <w:r/>
    </w:p>
    <w:p>
      <w:pPr>
        <w:pStyle w:val="990"/>
        <w:jc w:val="both"/>
        <w:spacing w:line="360" w:lineRule="auto"/>
        <w:rPr>
          <w:rFonts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t xml:space="preserve">、甲方（采购方）：合同中明确规定的实际购买货物和服务的法人或其他组织和自然人</w:t>
      </w:r>
      <w:r>
        <w:rPr>
          <w:rFonts w:ascii="宋体" w:hAnsi="宋体" w:eastAsia="宋体"/>
          <w:sz w:val="21"/>
          <w:szCs w:val="21"/>
        </w:rPr>
        <w:t xml:space="preserve"> </w:t>
      </w:r>
      <w:r>
        <w:rPr>
          <w:rFonts w:hint="eastAsia" w:ascii="宋体" w:hAnsi="宋体" w:eastAsia="宋体"/>
          <w:sz w:val="21"/>
          <w:szCs w:val="21"/>
        </w:rPr>
        <w:t xml:space="preserve">。</w:t>
      </w:r>
      <w:r>
        <w:rPr>
          <w:rFonts w:ascii="宋体" w:hAnsi="宋体" w:eastAsia="宋体"/>
          <w:sz w:val="21"/>
          <w:szCs w:val="21"/>
        </w:rPr>
      </w:r>
      <w:r/>
    </w:p>
    <w:p>
      <w:pPr>
        <w:pStyle w:val="990"/>
        <w:jc w:val="both"/>
        <w:spacing w:line="360" w:lineRule="auto"/>
        <w:rPr>
          <w:rFonts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、乙方（供应商）：合同中规定的向采购方提供货物和服务的法人或其他组织和自然人。</w:t>
      </w:r>
      <w:r>
        <w:rPr>
          <w:rFonts w:ascii="宋体" w:hAnsi="宋体" w:eastAsia="宋体"/>
          <w:sz w:val="21"/>
          <w:szCs w:val="21"/>
        </w:rPr>
      </w:r>
      <w:r/>
    </w:p>
    <w:p>
      <w:pPr>
        <w:pStyle w:val="990"/>
        <w:ind w:right="-252"/>
        <w:jc w:val="both"/>
        <w:spacing w:line="360" w:lineRule="auto"/>
        <w:rPr>
          <w:rFonts w:ascii="宋体" w:hAnsi="宋体" w:eastAsia="宋体"/>
          <w:sz w:val="21"/>
          <w:szCs w:val="21"/>
        </w:rPr>
      </w:pPr>
      <w:r>
        <w:rPr>
          <w:rFonts w:ascii="宋体" w:hAnsi="宋体" w:eastAsia="宋体"/>
          <w:sz w:val="21"/>
          <w:szCs w:val="21"/>
        </w:rPr>
        <w:t xml:space="preserve">2.7</w:t>
      </w:r>
      <w:r>
        <w:rPr>
          <w:rFonts w:hint="eastAsia" w:ascii="宋体" w:hAnsi="宋体" w:eastAsia="宋体"/>
          <w:sz w:val="21"/>
          <w:szCs w:val="21"/>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eastAsia="宋体"/>
          <w:sz w:val="21"/>
          <w:szCs w:val="21"/>
        </w:rPr>
      </w:r>
      <w:r/>
    </w:p>
    <w:p>
      <w:pPr>
        <w:pStyle w:val="990"/>
        <w:jc w:val="both"/>
        <w:spacing w:line="360" w:lineRule="auto"/>
        <w:rPr>
          <w:rFonts w:ascii="宋体" w:hAnsi="宋体" w:eastAsia="宋体"/>
          <w:sz w:val="21"/>
          <w:szCs w:val="21"/>
        </w:rPr>
      </w:pPr>
      <w:r>
        <w:rPr>
          <w:rFonts w:ascii="宋体" w:hAnsi="宋体" w:eastAsia="宋体"/>
          <w:sz w:val="21"/>
          <w:szCs w:val="21"/>
        </w:rPr>
        <w:t xml:space="preserve">2.8</w:t>
      </w:r>
      <w:r>
        <w:rPr>
          <w:rFonts w:hint="eastAsia" w:ascii="宋体" w:hAnsi="宋体" w:eastAsia="宋体"/>
          <w:sz w:val="21"/>
          <w:szCs w:val="21"/>
        </w:rPr>
        <w:t xml:space="preserve">、知识产权：指专利权、商标权、著作权等无形资产专有权的统称。</w:t>
      </w:r>
      <w:r>
        <w:rPr>
          <w:rFonts w:ascii="宋体" w:hAnsi="宋体" w:eastAsia="宋体"/>
          <w:sz w:val="21"/>
          <w:szCs w:val="21"/>
        </w:rPr>
      </w:r>
      <w:r/>
    </w:p>
    <w:p>
      <w:pPr>
        <w:pStyle w:val="990"/>
        <w:jc w:val="both"/>
        <w:spacing w:line="360" w:lineRule="auto"/>
        <w:rPr>
          <w:rFonts w:ascii="宋体" w:hAnsi="宋体" w:eastAsia="宋体"/>
          <w:sz w:val="21"/>
          <w:szCs w:val="21"/>
        </w:rPr>
      </w:pPr>
      <w:r>
        <w:rPr>
          <w:rFonts w:ascii="宋体" w:hAnsi="宋体" w:eastAsia="宋体"/>
          <w:sz w:val="21"/>
          <w:szCs w:val="21"/>
        </w:rPr>
        <w:t xml:space="preserve">2.9</w:t>
      </w:r>
      <w:r>
        <w:rPr>
          <w:rFonts w:hint="eastAsia" w:ascii="宋体" w:hAnsi="宋体" w:eastAsia="宋体"/>
          <w:sz w:val="21"/>
          <w:szCs w:val="21"/>
        </w:rPr>
        <w:t xml:space="preserve">、天：日历数。</w:t>
      </w:r>
      <w:r>
        <w:rPr>
          <w:rFonts w:ascii="宋体" w:hAnsi="宋体" w:eastAsia="宋体"/>
          <w:sz w:val="21"/>
          <w:szCs w:val="21"/>
        </w:rPr>
      </w:r>
      <w:r/>
    </w:p>
    <w:p>
      <w:pPr>
        <w:pStyle w:val="990"/>
        <w:jc w:val="both"/>
        <w:spacing w:line="360" w:lineRule="auto"/>
        <w:rPr>
          <w:rFonts w:ascii="宋体" w:hAnsi="宋体" w:eastAsia="宋体"/>
          <w:sz w:val="21"/>
          <w:szCs w:val="21"/>
        </w:rPr>
      </w:pPr>
      <w:r>
        <w:rPr>
          <w:rFonts w:ascii="宋体" w:hAnsi="宋体" w:eastAsia="宋体"/>
          <w:sz w:val="21"/>
          <w:szCs w:val="21"/>
        </w:rPr>
        <w:t xml:space="preserve">2.10</w:t>
      </w:r>
      <w:r>
        <w:rPr>
          <w:rFonts w:hint="eastAsia" w:ascii="宋体" w:hAnsi="宋体" w:eastAsia="宋体"/>
          <w:sz w:val="21"/>
          <w:szCs w:val="21"/>
        </w:rPr>
        <w:t xml:space="preserve">、交货地点：合同中明确约定的乙方提交的货物和服务最终到达地点。</w:t>
      </w:r>
      <w:r>
        <w:rPr>
          <w:rFonts w:ascii="宋体" w:hAnsi="宋体" w:eastAsia="宋体"/>
          <w:sz w:val="21"/>
          <w:szCs w:val="21"/>
        </w:rPr>
      </w:r>
      <w:r/>
    </w:p>
    <w:p>
      <w:pPr>
        <w:pStyle w:val="990"/>
        <w:jc w:val="both"/>
        <w:spacing w:line="360" w:lineRule="auto"/>
        <w:rPr>
          <w:rFonts w:ascii="宋体" w:hAnsi="宋体" w:eastAsia="宋体"/>
          <w:sz w:val="21"/>
          <w:szCs w:val="21"/>
        </w:rPr>
      </w:pPr>
      <w:r>
        <w:rPr>
          <w:rFonts w:ascii="宋体" w:hAnsi="宋体" w:eastAsia="宋体"/>
          <w:sz w:val="21"/>
          <w:szCs w:val="21"/>
        </w:rPr>
        <w:t xml:space="preserve">2.11</w:t>
      </w:r>
      <w:r>
        <w:rPr>
          <w:rFonts w:hint="eastAsia" w:ascii="宋体" w:hAnsi="宋体" w:eastAsia="宋体"/>
          <w:sz w:val="21"/>
          <w:szCs w:val="21"/>
        </w:rPr>
        <w:t xml:space="preserve">、合同价款：根据合同规定，乙方在正确地履行合同义务后甲方应支付给乙方的价款。</w:t>
      </w:r>
      <w:r>
        <w:rPr>
          <w:rFonts w:ascii="宋体" w:hAnsi="宋体" w:eastAsia="宋体"/>
          <w:sz w:val="21"/>
          <w:szCs w:val="21"/>
        </w:rPr>
      </w:r>
      <w:r/>
    </w:p>
    <w:p>
      <w:pPr>
        <w:pStyle w:val="990"/>
        <w:jc w:val="both"/>
        <w:spacing w:line="360" w:lineRule="auto"/>
        <w:widowControl/>
        <w:rPr>
          <w:rFonts w:ascii="宋体" w:hAnsi="宋体" w:eastAsia="宋体"/>
          <w:sz w:val="21"/>
          <w:szCs w:val="21"/>
        </w:rPr>
      </w:pPr>
      <w:r>
        <w:rPr>
          <w:rFonts w:ascii="宋体" w:hAnsi="宋体" w:eastAsia="宋体"/>
          <w:sz w:val="21"/>
          <w:szCs w:val="21"/>
        </w:rPr>
        <w:t xml:space="preserve">2.12</w:t>
      </w:r>
      <w:r>
        <w:rPr>
          <w:rFonts w:hint="eastAsia" w:ascii="宋体" w:hAnsi="宋体" w:eastAsia="宋体"/>
          <w:sz w:val="21"/>
          <w:szCs w:val="21"/>
        </w:rPr>
        <w:t xml:space="preserve">、产地：货物开采、生长、生产、最终制造、加工或提供服务的来源地。</w:t>
      </w:r>
      <w:r>
        <w:rPr>
          <w:rFonts w:ascii="宋体" w:hAnsi="宋体" w:eastAsia="宋体"/>
          <w:sz w:val="21"/>
          <w:szCs w:val="21"/>
        </w:rPr>
      </w:r>
      <w:r/>
    </w:p>
    <w:p>
      <w:pPr>
        <w:pStyle w:val="967"/>
        <w:ind w:firstLine="420"/>
        <w:spacing w:line="360" w:lineRule="auto"/>
        <w:rPr>
          <w:rFonts w:hint="eastAsia" w:ascii="宋体" w:hAnsi="宋体"/>
          <w:b/>
          <w:szCs w:val="21"/>
        </w:rPr>
      </w:pPr>
      <w:r>
        <w:rPr>
          <w:rFonts w:ascii="宋体" w:hAnsi="宋体"/>
          <w:szCs w:val="21"/>
        </w:rPr>
        <w:t xml:space="preserve">2.13</w:t>
      </w:r>
      <w:r>
        <w:rPr>
          <w:rFonts w:hint="eastAsia" w:ascii="宋体" w:hAnsi="宋体"/>
          <w:szCs w:val="21"/>
        </w:rPr>
        <w:t xml:space="preserve">、不可抗力：不能预见、不能避免并且不能克服的客观情况。</w:t>
      </w:r>
      <w:r>
        <w:rPr>
          <w:rFonts w:hint="eastAsia" w:ascii="宋体" w:hAnsi="宋体"/>
          <w:b/>
          <w:szCs w:val="21"/>
        </w:rPr>
      </w:r>
      <w:r/>
    </w:p>
    <w:p>
      <w:pPr>
        <w:pStyle w:val="967"/>
        <w:ind w:firstLine="413"/>
        <w:spacing w:line="360" w:lineRule="auto"/>
        <w:rPr>
          <w:rFonts w:hint="eastAsia" w:ascii="宋体" w:hAnsi="宋体"/>
          <w:b/>
          <w:szCs w:val="21"/>
        </w:rPr>
      </w:pPr>
      <w:r>
        <w:rPr>
          <w:rFonts w:hint="eastAsia" w:ascii="宋体" w:hAnsi="宋体"/>
          <w:b/>
          <w:szCs w:val="21"/>
        </w:rPr>
        <w:t xml:space="preserve">二、</w:t>
      </w:r>
      <w:r>
        <w:rPr>
          <w:rFonts w:ascii="宋体" w:hAnsi="宋体"/>
          <w:b/>
          <w:szCs w:val="21"/>
        </w:rPr>
        <w:t xml:space="preserve"> </w:t>
      </w:r>
      <w:r>
        <w:rPr>
          <w:rFonts w:hint="eastAsia" w:ascii="宋体" w:hAnsi="宋体"/>
          <w:b/>
          <w:szCs w:val="21"/>
        </w:rPr>
        <w:t xml:space="preserve">投标人</w:t>
      </w:r>
      <w:r/>
    </w:p>
    <w:p>
      <w:pPr>
        <w:pStyle w:val="990"/>
        <w:jc w:val="both"/>
        <w:spacing w:line="360" w:lineRule="auto"/>
        <w:rPr>
          <w:rFonts w:hint="eastAsia" w:ascii="宋体" w:hAnsi="宋体" w:eastAsia="宋体"/>
          <w:sz w:val="21"/>
          <w:szCs w:val="21"/>
        </w:rPr>
      </w:pPr>
      <w:r>
        <w:rPr>
          <w:rFonts w:ascii="宋体" w:hAnsi="宋体" w:eastAsia="宋体"/>
          <w:sz w:val="21"/>
          <w:szCs w:val="21"/>
        </w:rPr>
        <w:t xml:space="preserve">1、 合格投标人的范围</w:t>
      </w:r>
      <w:r>
        <w:rPr>
          <w:rFonts w:hint="eastAsia" w:ascii="宋体" w:hAnsi="宋体" w:eastAsia="宋体"/>
          <w:sz w:val="21"/>
          <w:szCs w:val="21"/>
        </w:rPr>
      </w:r>
      <w:r/>
    </w:p>
    <w:p>
      <w:pPr>
        <w:pStyle w:val="967"/>
        <w:ind w:right="-315" w:firstLine="420"/>
        <w:spacing w:line="360" w:lineRule="auto"/>
        <w:rPr>
          <w:rFonts w:hint="eastAsia"/>
          <w:szCs w:val="20"/>
        </w:rPr>
      </w:pPr>
      <w:r>
        <w:rPr>
          <w:rFonts w:hint="eastAsia"/>
          <w:szCs w:val="20"/>
        </w:rPr>
        <w:t xml:space="preserve">符合投标邀请函中资质要求的投标单位。</w:t>
      </w:r>
      <w:r/>
    </w:p>
    <w:p>
      <w:pPr>
        <w:pStyle w:val="967"/>
        <w:ind w:firstLine="413"/>
        <w:spacing w:line="360" w:lineRule="auto"/>
        <w:rPr>
          <w:rFonts w:ascii="宋体" w:hAnsi="宋体"/>
          <w:b/>
          <w:szCs w:val="21"/>
        </w:rPr>
      </w:pPr>
      <w:r>
        <w:rPr>
          <w:rFonts w:hint="eastAsia" w:ascii="宋体" w:hAnsi="宋体"/>
          <w:b/>
          <w:szCs w:val="21"/>
        </w:rPr>
        <w:t xml:space="preserve">2、投标委托</w:t>
      </w:r>
      <w:r>
        <w:rPr>
          <w:rFonts w:ascii="宋体" w:hAnsi="宋体"/>
          <w:b/>
          <w:szCs w:val="21"/>
        </w:rPr>
      </w:r>
      <w:r/>
    </w:p>
    <w:p>
      <w:pPr>
        <w:pStyle w:val="967"/>
        <w:ind w:firstLine="420"/>
        <w:spacing w:line="360" w:lineRule="auto"/>
        <w:rPr>
          <w:rFonts w:ascii="宋体" w:hAnsi="宋体"/>
          <w:szCs w:val="21"/>
        </w:rPr>
      </w:pPr>
      <w:r>
        <w:rPr>
          <w:rFonts w:hint="eastAsia" w:ascii="宋体" w:hAnsi="宋体"/>
          <w:szCs w:val="21"/>
        </w:rPr>
        <w:t xml:space="preserve">如投标人代表不是法定代表人，须持有《法定代表人授权委托书》（格式见附件）。</w:t>
      </w:r>
      <w:r>
        <w:rPr>
          <w:rFonts w:ascii="宋体" w:hAnsi="宋体"/>
          <w:szCs w:val="21"/>
        </w:rPr>
      </w:r>
      <w:r/>
    </w:p>
    <w:p>
      <w:pPr>
        <w:pStyle w:val="967"/>
        <w:ind w:firstLine="413"/>
        <w:spacing w:line="360" w:lineRule="auto"/>
        <w:rPr>
          <w:rFonts w:ascii="宋体" w:hAnsi="宋体"/>
          <w:b/>
          <w:szCs w:val="21"/>
        </w:rPr>
      </w:pPr>
      <w:r>
        <w:rPr>
          <w:rFonts w:hint="eastAsia" w:ascii="宋体" w:hAnsi="宋体"/>
          <w:b/>
          <w:szCs w:val="21"/>
        </w:rPr>
        <w:t xml:space="preserve">3、投标费用</w:t>
      </w:r>
      <w:r>
        <w:rPr>
          <w:rFonts w:ascii="宋体" w:hAnsi="宋体"/>
          <w:b/>
          <w:szCs w:val="21"/>
        </w:rPr>
        <w:t xml:space="preserve"> </w:t>
      </w:r>
      <w:r/>
    </w:p>
    <w:p>
      <w:pPr>
        <w:pStyle w:val="967"/>
        <w:ind w:firstLine="420"/>
        <w:spacing w:line="360" w:lineRule="auto"/>
        <w:rPr>
          <w:rFonts w:ascii="宋体" w:hAnsi="宋体"/>
          <w:szCs w:val="21"/>
        </w:rPr>
      </w:pPr>
      <w:r>
        <w:rPr>
          <w:rFonts w:hint="eastAsia" w:ascii="宋体" w:hAnsi="宋体"/>
          <w:szCs w:val="21"/>
        </w:rPr>
        <w:t xml:space="preserve">无论投标过程中的做法和结果如何，投标人自行承担所有与参加投标有关的全部费用。</w:t>
      </w:r>
      <w:r>
        <w:rPr>
          <w:rFonts w:ascii="宋体" w:hAnsi="宋体"/>
          <w:szCs w:val="21"/>
        </w:rPr>
      </w:r>
      <w:r/>
    </w:p>
    <w:p>
      <w:pPr>
        <w:pStyle w:val="967"/>
        <w:ind w:firstLine="413"/>
        <w:spacing w:line="360" w:lineRule="auto"/>
        <w:rPr>
          <w:rFonts w:ascii="宋体" w:hAnsi="宋体"/>
          <w:b/>
          <w:szCs w:val="21"/>
        </w:rPr>
      </w:pPr>
      <w:r>
        <w:rPr>
          <w:rFonts w:hint="eastAsia" w:ascii="宋体" w:hAnsi="宋体"/>
          <w:b/>
          <w:szCs w:val="21"/>
        </w:rPr>
        <w:t xml:space="preserve">4、本项目不接受联合投标。</w:t>
      </w:r>
      <w:r>
        <w:rPr>
          <w:rFonts w:ascii="宋体" w:hAnsi="宋体"/>
          <w:b/>
          <w:szCs w:val="21"/>
        </w:rPr>
      </w:r>
      <w:r/>
    </w:p>
    <w:p>
      <w:pPr>
        <w:pStyle w:val="967"/>
        <w:ind w:firstLine="413"/>
        <w:spacing w:line="360" w:lineRule="auto"/>
        <w:rPr>
          <w:rFonts w:ascii="宋体" w:hAnsi="宋体"/>
          <w:b/>
          <w:szCs w:val="21"/>
        </w:rPr>
      </w:pPr>
      <w:r>
        <w:rPr>
          <w:rFonts w:hint="eastAsia" w:ascii="宋体" w:hAnsi="宋体"/>
          <w:b/>
          <w:szCs w:val="21"/>
        </w:rPr>
        <w:t xml:space="preserve">三、招标文件的说明</w:t>
      </w:r>
      <w:r>
        <w:rPr>
          <w:rFonts w:ascii="宋体" w:hAnsi="宋体"/>
          <w:b/>
          <w:szCs w:val="21"/>
        </w:rPr>
      </w:r>
      <w:r/>
    </w:p>
    <w:p>
      <w:pPr>
        <w:pStyle w:val="967"/>
        <w:ind w:firstLine="413"/>
        <w:spacing w:line="360" w:lineRule="auto"/>
        <w:rPr>
          <w:rFonts w:ascii="宋体" w:hAnsi="宋体"/>
          <w:b/>
          <w:szCs w:val="21"/>
        </w:rPr>
      </w:pPr>
      <w:r>
        <w:rPr>
          <w:rFonts w:hint="eastAsia" w:ascii="宋体" w:hAnsi="宋体"/>
          <w:b/>
          <w:szCs w:val="21"/>
        </w:rPr>
        <w:t xml:space="preserve">1、招标文件</w:t>
      </w:r>
      <w:r>
        <w:rPr>
          <w:rFonts w:ascii="宋体" w:hAnsi="宋体"/>
          <w:b/>
          <w:szCs w:val="21"/>
        </w:rPr>
      </w:r>
      <w:r/>
    </w:p>
    <w:p>
      <w:pPr>
        <w:pStyle w:val="967"/>
        <w:ind w:right="-252" w:firstLine="420"/>
        <w:spacing w:line="360" w:lineRule="auto"/>
        <w:rPr>
          <w:rFonts w:ascii="宋体" w:hAnsi="宋体"/>
          <w:szCs w:val="21"/>
        </w:rPr>
      </w:pPr>
      <w:r>
        <w:rPr>
          <w:rFonts w:hint="eastAsia" w:ascii="宋体" w:hAnsi="宋体"/>
          <w:szCs w:val="21"/>
        </w:rPr>
        <w:t xml:space="preserve">招标文件由招标文件总目录所列内容组成，投标人应详细阅读招标文件的全部内容，不按招标文件的要求提供的投标文件和资料，可能导致投标被拒绝。</w:t>
      </w:r>
      <w:r>
        <w:rPr>
          <w:rFonts w:ascii="宋体" w:hAnsi="宋体"/>
          <w:szCs w:val="21"/>
        </w:rPr>
      </w:r>
      <w:r/>
    </w:p>
    <w:p>
      <w:pPr>
        <w:pStyle w:val="967"/>
        <w:ind w:firstLine="413"/>
        <w:spacing w:line="360" w:lineRule="auto"/>
        <w:rPr>
          <w:rFonts w:hint="eastAsia" w:ascii="宋体" w:hAnsi="宋体"/>
          <w:b/>
          <w:color w:val="000000"/>
          <w:szCs w:val="21"/>
        </w:rPr>
      </w:pPr>
      <w:r>
        <w:rPr>
          <w:rFonts w:hint="eastAsia" w:ascii="宋体" w:hAnsi="宋体"/>
          <w:b/>
          <w:szCs w:val="21"/>
        </w:rPr>
        <w:t xml:space="preserve">2、招标文件的</w:t>
      </w:r>
      <w:r>
        <w:rPr>
          <w:rFonts w:ascii="宋体" w:hAnsi="宋体"/>
          <w:b/>
          <w:color w:val="000000"/>
          <w:szCs w:val="21"/>
        </w:rPr>
        <w:t xml:space="preserve">澄清和修改</w:t>
      </w:r>
      <w:r>
        <w:rPr>
          <w:rFonts w:hint="eastAsia" w:ascii="宋体" w:hAnsi="宋体"/>
          <w:b/>
          <w:color w:val="000000"/>
          <w:szCs w:val="21"/>
        </w:rPr>
      </w:r>
      <w:r/>
    </w:p>
    <w:p>
      <w:pPr>
        <w:pStyle w:val="967"/>
        <w:ind w:right="-252" w:firstLine="420"/>
        <w:spacing w:line="360" w:lineRule="auto"/>
        <w:rPr>
          <w:rFonts w:hint="eastAsia" w:ascii="宋体" w:hAnsi="宋体"/>
          <w:szCs w:val="21"/>
        </w:rPr>
      </w:pPr>
      <w:r>
        <w:rPr>
          <w:rFonts w:hint="eastAsia" w:ascii="宋体" w:hAnsi="宋体"/>
          <w:szCs w:val="21"/>
        </w:rPr>
        <w:t xml:space="preserve">2.1、投标人在获取招标文件后，若有疑问，应于提交投标文件截止时间前，向采购代理机构提出询问，采购代理机构将按规定予以答复。</w:t>
      </w:r>
      <w:r/>
    </w:p>
    <w:p>
      <w:pPr>
        <w:pStyle w:val="967"/>
        <w:ind w:right="-252" w:firstLine="420"/>
        <w:spacing w:line="360" w:lineRule="auto"/>
        <w:rPr>
          <w:rFonts w:hint="eastAsia" w:ascii="宋体" w:hAnsi="宋体"/>
          <w:szCs w:val="21"/>
        </w:rPr>
      </w:pPr>
      <w:r>
        <w:rPr>
          <w:rFonts w:hint="eastAsia" w:ascii="宋体" w:hAnsi="宋体"/>
          <w:szCs w:val="21"/>
        </w:rPr>
        <w:t xml:space="preserve">2.2、在提交投标文件截止时间前，采购人或者采购代理机构可以对已发出的招标文件进行必要的澄清或者修改，澄清或者修改的内容作为招标文件的组成部分。</w:t>
      </w:r>
      <w:r/>
    </w:p>
    <w:p>
      <w:pPr>
        <w:pStyle w:val="967"/>
        <w:ind w:right="-252" w:firstLine="420"/>
        <w:spacing w:line="360" w:lineRule="auto"/>
        <w:rPr>
          <w:rFonts w:hint="eastAsia" w:ascii="宋体" w:hAnsi="宋体"/>
          <w:szCs w:val="21"/>
        </w:rPr>
      </w:pPr>
      <w:r>
        <w:rPr>
          <w:rFonts w:hint="eastAsia" w:ascii="宋体" w:hAnsi="宋体"/>
          <w:szCs w:val="21"/>
        </w:rPr>
        <w:t xml:space="preserve">2.3、采购代理机构对招标文件的澄清或者修改，将按规定在提交投标文件截止时间前以更正公告形式在法定的政府采购信息发布媒体上发布。</w:t>
      </w:r>
      <w:r/>
    </w:p>
    <w:p>
      <w:pPr>
        <w:pStyle w:val="967"/>
        <w:ind w:right="-252" w:firstLine="420"/>
        <w:spacing w:line="360" w:lineRule="auto"/>
        <w:rPr>
          <w:rFonts w:hint="eastAsia" w:ascii="宋体" w:hAnsi="宋体"/>
          <w:szCs w:val="21"/>
        </w:rPr>
      </w:pPr>
      <w:r>
        <w:rPr>
          <w:rFonts w:hint="eastAsia" w:ascii="宋体" w:hAnsi="宋体"/>
          <w:szCs w:val="21"/>
        </w:rPr>
        <w:t xml:space="preserve">2.4、投标人应在提交投标文件截止时间前关注原采购信息发布媒体上有无本项目的更正公告。</w:t>
      </w:r>
      <w:r/>
    </w:p>
    <w:p>
      <w:pPr>
        <w:pStyle w:val="967"/>
        <w:ind w:right="-252" w:firstLine="422"/>
        <w:spacing w:line="360" w:lineRule="auto"/>
        <w:rPr>
          <w:rFonts w:hint="eastAsia" w:ascii="宋体" w:hAnsi="宋体"/>
          <w:b/>
          <w:szCs w:val="21"/>
        </w:rPr>
      </w:pPr>
      <w:r>
        <w:rPr>
          <w:rFonts w:hint="eastAsia" w:ascii="宋体" w:hAnsi="宋体"/>
          <w:b/>
          <w:szCs w:val="21"/>
        </w:rPr>
        <w:t xml:space="preserve">3、投标文件的提交、撤回和修改</w:t>
      </w:r>
      <w:r/>
    </w:p>
    <w:p>
      <w:pPr>
        <w:pStyle w:val="967"/>
        <w:ind w:right="-252" w:firstLine="420"/>
        <w:spacing w:line="360" w:lineRule="auto"/>
        <w:rPr>
          <w:rFonts w:hint="eastAsia" w:ascii="宋体" w:hAnsi="宋体"/>
          <w:szCs w:val="21"/>
        </w:rPr>
      </w:pPr>
      <w:r>
        <w:rPr>
          <w:rFonts w:hint="eastAsia" w:ascii="宋体" w:hAnsi="宋体"/>
          <w:szCs w:val="21"/>
        </w:rPr>
        <w:t xml:space="preserve">3.1、投标文件应当在提交投标文件的截止时间前制作并上传电子投标文件。</w:t>
      </w:r>
      <w:r/>
    </w:p>
    <w:p>
      <w:pPr>
        <w:pStyle w:val="967"/>
        <w:ind w:right="-252" w:firstLine="420"/>
        <w:spacing w:line="360" w:lineRule="auto"/>
        <w:rPr>
          <w:rFonts w:ascii="宋体" w:hAnsi="宋体"/>
          <w:szCs w:val="21"/>
        </w:rPr>
      </w:pPr>
      <w:r>
        <w:rPr>
          <w:rFonts w:hint="eastAsia" w:ascii="宋体" w:hAnsi="宋体"/>
          <w:szCs w:val="21"/>
        </w:rPr>
        <w:t xml:space="preserve">3.2、在提交投标文件的截止时间前，投标人可以撤回或者修改投标文件，具体操作方法见《苏采云系统供应商操作手册》。</w:t>
      </w:r>
      <w:r>
        <w:rPr>
          <w:rFonts w:ascii="宋体" w:hAnsi="宋体"/>
          <w:szCs w:val="21"/>
        </w:rPr>
      </w:r>
      <w:r/>
    </w:p>
    <w:p>
      <w:pPr>
        <w:pStyle w:val="967"/>
        <w:ind w:firstLine="413"/>
        <w:spacing w:line="360" w:lineRule="auto"/>
        <w:rPr>
          <w:rFonts w:hint="eastAsia" w:ascii="宋体" w:hAnsi="宋体"/>
          <w:b/>
          <w:szCs w:val="21"/>
        </w:rPr>
      </w:pPr>
      <w:r>
        <w:rPr>
          <w:rFonts w:hint="eastAsia" w:ascii="宋体" w:hAnsi="宋体"/>
          <w:b/>
          <w:szCs w:val="21"/>
        </w:rPr>
        <w:t xml:space="preserve">4、质疑</w:t>
      </w:r>
      <w:r/>
    </w:p>
    <w:p>
      <w:pPr>
        <w:pStyle w:val="967"/>
        <w:ind w:firstLine="412"/>
        <w:spacing w:line="360" w:lineRule="auto"/>
        <w:rPr>
          <w:rFonts w:hint="eastAsia" w:ascii="宋体" w:hAnsi="宋体"/>
          <w:szCs w:val="21"/>
        </w:rPr>
      </w:pPr>
      <w:r>
        <w:rPr>
          <w:rFonts w:hint="eastAsia" w:ascii="宋体" w:hAnsi="宋体"/>
          <w:szCs w:val="21"/>
        </w:rPr>
        <w:t xml:space="preserve">4.1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67"/>
        <w:ind w:firstLine="412"/>
        <w:spacing w:line="360" w:lineRule="auto"/>
        <w:rPr>
          <w:rFonts w:hint="eastAsia" w:ascii="宋体" w:hAnsi="宋体"/>
          <w:szCs w:val="21"/>
        </w:rPr>
      </w:pPr>
      <w:r>
        <w:rPr>
          <w:rFonts w:hint="eastAsia" w:ascii="宋体" w:hAnsi="宋体"/>
          <w:szCs w:val="21"/>
        </w:rPr>
        <w:t xml:space="preserve">供应商应当在法定质疑期内一次性提出针对同一采购程序环节的质疑。</w:t>
      </w:r>
      <w:r/>
    </w:p>
    <w:p>
      <w:pPr>
        <w:pStyle w:val="967"/>
        <w:ind w:firstLine="412"/>
        <w:spacing w:line="360" w:lineRule="auto"/>
        <w:rPr>
          <w:rFonts w:hint="eastAsia" w:ascii="宋体" w:hAnsi="宋体"/>
          <w:szCs w:val="21"/>
        </w:rPr>
      </w:pPr>
      <w:r>
        <w:rPr>
          <w:rFonts w:hint="eastAsia" w:ascii="宋体" w:hAnsi="宋体"/>
          <w:szCs w:val="21"/>
        </w:rPr>
        <w:t xml:space="preserve">采购人、采购代理机构应当在收到供应商书面质疑后七个工作日内作出答复，并以书面形式通知质疑人和其他相关供应商。</w:t>
      </w:r>
      <w:r/>
    </w:p>
    <w:p>
      <w:pPr>
        <w:pStyle w:val="967"/>
        <w:ind w:firstLine="412"/>
        <w:spacing w:line="360" w:lineRule="auto"/>
        <w:rPr>
          <w:rFonts w:hint="eastAsia" w:ascii="宋体" w:hAnsi="宋体"/>
          <w:szCs w:val="21"/>
        </w:rPr>
      </w:pPr>
      <w:r>
        <w:rPr>
          <w:rFonts w:hint="eastAsia" w:ascii="宋体" w:hAnsi="宋体"/>
          <w:szCs w:val="21"/>
        </w:rPr>
        <w:t xml:space="preserve">4.2、质疑函应包括以下主要内容，并按照“谁主张、谁举证”的原则，附上必要的证明材料。　　　　　　　</w:t>
      </w:r>
      <w:r/>
    </w:p>
    <w:p>
      <w:pPr>
        <w:pStyle w:val="967"/>
        <w:ind w:firstLine="412"/>
        <w:spacing w:line="360" w:lineRule="auto"/>
        <w:rPr>
          <w:rFonts w:hint="eastAsia" w:ascii="宋体" w:hAnsi="宋体"/>
          <w:szCs w:val="21"/>
        </w:rPr>
      </w:pPr>
      <w:r>
        <w:rPr>
          <w:rFonts w:hint="eastAsia" w:ascii="宋体" w:hAnsi="宋体"/>
          <w:szCs w:val="21"/>
        </w:rPr>
        <w:t xml:space="preserve">4.2.1供应商的姓名或者名称、地址、邮编、联系人及联系电话；</w:t>
      </w:r>
      <w:r/>
    </w:p>
    <w:p>
      <w:pPr>
        <w:pStyle w:val="967"/>
        <w:ind w:firstLine="412"/>
        <w:spacing w:line="360" w:lineRule="auto"/>
        <w:rPr>
          <w:rFonts w:hint="eastAsia" w:ascii="宋体" w:hAnsi="宋体"/>
          <w:szCs w:val="21"/>
        </w:rPr>
      </w:pPr>
      <w:r>
        <w:rPr>
          <w:rFonts w:hint="eastAsia" w:ascii="宋体" w:hAnsi="宋体"/>
          <w:szCs w:val="21"/>
        </w:rPr>
        <w:t xml:space="preserve">4.2.2质疑项目名称、编号；</w:t>
      </w:r>
      <w:r/>
    </w:p>
    <w:p>
      <w:pPr>
        <w:pStyle w:val="967"/>
        <w:ind w:firstLine="412"/>
        <w:spacing w:line="360" w:lineRule="auto"/>
        <w:rPr>
          <w:rFonts w:hint="eastAsia" w:ascii="宋体" w:hAnsi="宋体"/>
          <w:szCs w:val="21"/>
        </w:rPr>
      </w:pPr>
      <w:r>
        <w:rPr>
          <w:rFonts w:hint="eastAsia" w:ascii="宋体" w:hAnsi="宋体"/>
          <w:szCs w:val="21"/>
        </w:rPr>
        <w:t xml:space="preserve">4.2.3具体、明确的质疑事项和与质疑事项相关的请求；</w:t>
      </w:r>
      <w:r/>
    </w:p>
    <w:p>
      <w:pPr>
        <w:pStyle w:val="967"/>
        <w:ind w:firstLine="412"/>
        <w:spacing w:line="360" w:lineRule="auto"/>
        <w:rPr>
          <w:rFonts w:hint="eastAsia" w:ascii="宋体" w:hAnsi="宋体"/>
          <w:szCs w:val="21"/>
        </w:rPr>
      </w:pPr>
      <w:r>
        <w:rPr>
          <w:rFonts w:hint="eastAsia" w:ascii="宋体" w:hAnsi="宋体"/>
          <w:szCs w:val="21"/>
        </w:rPr>
        <w:t xml:space="preserve">4.2.4具体的事实依据及相关证据材料；</w:t>
      </w:r>
      <w:r/>
    </w:p>
    <w:p>
      <w:pPr>
        <w:pStyle w:val="967"/>
        <w:ind w:firstLine="412"/>
        <w:spacing w:line="360" w:lineRule="auto"/>
        <w:rPr>
          <w:rFonts w:hint="eastAsia" w:ascii="宋体" w:hAnsi="宋体"/>
          <w:szCs w:val="21"/>
        </w:rPr>
      </w:pPr>
      <w:r>
        <w:rPr>
          <w:rFonts w:hint="eastAsia" w:ascii="宋体" w:hAnsi="宋体"/>
          <w:szCs w:val="21"/>
        </w:rPr>
        <w:t xml:space="preserve">4.2.5必要的法律依据；</w:t>
      </w:r>
      <w:r/>
    </w:p>
    <w:p>
      <w:pPr>
        <w:pStyle w:val="967"/>
        <w:ind w:firstLine="412"/>
        <w:spacing w:line="360" w:lineRule="auto"/>
        <w:rPr>
          <w:rFonts w:hint="eastAsia" w:ascii="宋体" w:hAnsi="宋体"/>
          <w:szCs w:val="21"/>
        </w:rPr>
      </w:pPr>
      <w:r>
        <w:rPr>
          <w:rFonts w:hint="eastAsia" w:ascii="宋体" w:hAnsi="宋体"/>
          <w:szCs w:val="21"/>
        </w:rPr>
        <w:t xml:space="preserve">4.2.6提出质疑的日期；</w:t>
      </w:r>
      <w:r/>
    </w:p>
    <w:p>
      <w:pPr>
        <w:pStyle w:val="967"/>
        <w:ind w:firstLine="412"/>
        <w:spacing w:line="360" w:lineRule="auto"/>
        <w:rPr>
          <w:rFonts w:hint="eastAsia" w:ascii="宋体" w:hAnsi="宋体"/>
          <w:szCs w:val="21"/>
        </w:rPr>
      </w:pPr>
      <w:r>
        <w:rPr>
          <w:rFonts w:hint="eastAsia" w:ascii="宋体" w:hAnsi="宋体"/>
          <w:szCs w:val="21"/>
        </w:rPr>
        <w:t xml:space="preserve">4.2.7依法获取采购文件的证明（《投标供应商确认函》）；</w:t>
      </w:r>
      <w:r/>
    </w:p>
    <w:p>
      <w:pPr>
        <w:pStyle w:val="967"/>
        <w:ind w:firstLine="412"/>
        <w:spacing w:line="360" w:lineRule="auto"/>
        <w:rPr>
          <w:rFonts w:hint="eastAsia" w:ascii="宋体" w:hAnsi="宋体"/>
          <w:szCs w:val="21"/>
        </w:rPr>
      </w:pPr>
      <w:r>
        <w:rPr>
          <w:rFonts w:hint="eastAsia" w:ascii="宋体" w:hAnsi="宋体"/>
          <w:szCs w:val="21"/>
        </w:rPr>
        <w:t xml:space="preserve">4.2.8供应商为自然人的，应当由本人签字；供应商为法人或者其他组织的，应当由法定代表人、主要负责人、或者其授权代表签字或者盖章，并加盖公章。并附上公司营业执照、相关人员身份证明的证明材料等；</w:t>
      </w:r>
      <w:r/>
    </w:p>
    <w:p>
      <w:pPr>
        <w:pStyle w:val="967"/>
        <w:ind w:firstLine="412"/>
        <w:spacing w:line="360" w:lineRule="auto"/>
        <w:rPr>
          <w:rFonts w:hint="eastAsia" w:ascii="宋体" w:hAnsi="宋体"/>
          <w:szCs w:val="21"/>
        </w:rPr>
      </w:pPr>
      <w:r>
        <w:rPr>
          <w:rFonts w:hint="eastAsia" w:ascii="宋体" w:hAnsi="宋体"/>
          <w:szCs w:val="21"/>
        </w:rPr>
        <w:t xml:space="preserve">4.2.9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pStyle w:val="967"/>
        <w:ind w:firstLine="412"/>
        <w:spacing w:line="360" w:lineRule="auto"/>
        <w:rPr>
          <w:rFonts w:hint="eastAsia" w:ascii="宋体" w:hAnsi="宋体"/>
          <w:szCs w:val="21"/>
        </w:rPr>
      </w:pPr>
      <w:r>
        <w:rPr>
          <w:rFonts w:hint="eastAsia" w:ascii="宋体" w:hAnsi="宋体"/>
          <w:szCs w:val="21"/>
        </w:rPr>
        <w:t xml:space="preserve">代理人提出质疑，应当提交供应商签署的授权委托书。</w:t>
      </w:r>
      <w:r/>
    </w:p>
    <w:p>
      <w:pPr>
        <w:pStyle w:val="967"/>
        <w:ind w:firstLine="412"/>
        <w:spacing w:line="360" w:lineRule="auto"/>
        <w:rPr>
          <w:rFonts w:hint="eastAsia" w:ascii="宋体" w:hAnsi="宋体"/>
          <w:szCs w:val="21"/>
        </w:rPr>
      </w:pPr>
      <w:r>
        <w:rPr>
          <w:rFonts w:hint="eastAsia" w:ascii="宋体" w:hAnsi="宋体"/>
          <w:szCs w:val="21"/>
        </w:rPr>
        <w:t xml:space="preserve">4.3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967"/>
        <w:ind w:firstLine="426"/>
        <w:spacing w:line="360" w:lineRule="auto"/>
        <w:rPr>
          <w:rFonts w:ascii="宋体" w:hAnsi="宋体"/>
          <w:b/>
          <w:szCs w:val="21"/>
        </w:rPr>
      </w:pPr>
      <w:r>
        <w:rPr>
          <w:rFonts w:hint="eastAsia" w:ascii="宋体" w:hAnsi="宋体"/>
          <w:b/>
          <w:szCs w:val="21"/>
        </w:rPr>
        <w:t xml:space="preserve">5、投标</w:t>
      </w:r>
      <w:r>
        <w:rPr>
          <w:rFonts w:ascii="宋体" w:hAnsi="宋体"/>
          <w:b/>
          <w:szCs w:val="21"/>
        </w:rPr>
      </w:r>
      <w:r/>
    </w:p>
    <w:p>
      <w:pPr>
        <w:pStyle w:val="967"/>
        <w:ind w:right="-252"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.1</w:t>
      </w:r>
      <w:r>
        <w:rPr>
          <w:rFonts w:hint="eastAsia" w:ascii="宋体" w:hAnsi="宋体"/>
          <w:szCs w:val="21"/>
        </w:rPr>
        <w:t xml:space="preserve">、投标人如需要，可对有关现场和周围环境进行勘察，以获取编制投标文件和签署合同所需的资料。勘察现场所发生的费用由投标人自己承担。</w:t>
      </w:r>
      <w:r>
        <w:rPr>
          <w:rFonts w:ascii="宋体" w:hAnsi="宋体"/>
          <w:szCs w:val="21"/>
        </w:rPr>
      </w:r>
      <w:r/>
    </w:p>
    <w:p>
      <w:pPr>
        <w:pStyle w:val="990"/>
        <w:ind w:right="-252" w:firstLine="424"/>
        <w:jc w:val="both"/>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.2</w:t>
      </w:r>
      <w:r>
        <w:rPr>
          <w:rFonts w:hint="eastAsia" w:ascii="宋体" w:hAnsi="宋体" w:eastAsia="宋体"/>
          <w:sz w:val="21"/>
          <w:szCs w:val="21"/>
        </w:rPr>
        <w:t xml:space="preserve">、招标人向投标人提供的有关现场的资料和数据，是招标人现有的能使投标人利用的资料，招标人对投标人由此而做出的推论、理解和结论概不负责。</w:t>
      </w:r>
      <w:r>
        <w:rPr>
          <w:rFonts w:ascii="宋体" w:hAnsi="宋体" w:eastAsia="宋体"/>
          <w:sz w:val="21"/>
          <w:szCs w:val="21"/>
        </w:rPr>
      </w:r>
      <w:r/>
    </w:p>
    <w:p>
      <w:pPr>
        <w:pStyle w:val="990"/>
        <w:jc w:val="both"/>
        <w:spacing w:line="360" w:lineRule="auto"/>
        <w:rPr>
          <w:rFonts w:hint="eastAsia" w:ascii="宋体" w:hAnsi="宋体" w:eastAsia="宋体"/>
          <w:sz w:val="21"/>
          <w:szCs w:val="21"/>
        </w:rPr>
      </w:pPr>
      <w:r>
        <w:rPr>
          <w:rFonts w:hint="eastAsia" w:ascii="宋体" w:hAnsi="宋体" w:eastAsia="宋体"/>
          <w:sz w:val="21"/>
          <w:szCs w:val="21"/>
        </w:rPr>
        <w:t xml:space="preserve">5.3、投标答疑会产生的对招标文件内容的修改，由招标人按照规定，以补充通知的方式发布。</w:t>
      </w:r>
      <w:r/>
    </w:p>
    <w:p>
      <w:pPr>
        <w:pStyle w:val="967"/>
        <w:ind w:firstLine="420"/>
        <w:spacing w:line="360" w:lineRule="auto"/>
        <w:rPr>
          <w:rFonts w:hint="eastAsia" w:ascii="宋体" w:hAnsi="宋体"/>
          <w:szCs w:val="21"/>
        </w:rPr>
      </w:pPr>
      <w:r>
        <w:rPr>
          <w:rFonts w:hint="eastAsia" w:ascii="宋体" w:hAnsi="宋体"/>
          <w:szCs w:val="21"/>
        </w:rPr>
        <w:t xml:space="preserve">5.4、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p>
    <w:p>
      <w:pPr>
        <w:pStyle w:val="967"/>
        <w:ind w:firstLine="413"/>
        <w:spacing w:line="360" w:lineRule="auto"/>
        <w:rPr>
          <w:rFonts w:ascii="宋体" w:hAnsi="宋体"/>
          <w:b/>
          <w:szCs w:val="21"/>
        </w:rPr>
      </w:pPr>
      <w:r>
        <w:rPr>
          <w:rFonts w:hint="eastAsia" w:ascii="宋体" w:hAnsi="宋体"/>
          <w:b/>
          <w:szCs w:val="21"/>
        </w:rPr>
        <w:t xml:space="preserve">四、投标文件说明</w:t>
      </w:r>
      <w:r>
        <w:rPr>
          <w:rFonts w:ascii="宋体" w:hAnsi="宋体"/>
          <w:b/>
          <w:szCs w:val="21"/>
        </w:rPr>
      </w:r>
      <w:r/>
    </w:p>
    <w:p>
      <w:pPr>
        <w:pStyle w:val="967"/>
        <w:ind w:firstLine="413"/>
        <w:spacing w:line="360" w:lineRule="auto"/>
        <w:rPr>
          <w:rFonts w:ascii="宋体" w:hAnsi="宋体"/>
          <w:b/>
          <w:szCs w:val="21"/>
        </w:rPr>
      </w:pPr>
      <w:r>
        <w:rPr>
          <w:rFonts w:hint="eastAsia" w:ascii="宋体" w:hAnsi="宋体"/>
          <w:b/>
          <w:szCs w:val="21"/>
        </w:rPr>
        <w:t xml:space="preserve">1、投标文件计量单位和使用文字</w:t>
      </w:r>
      <w:r>
        <w:rPr>
          <w:rFonts w:ascii="宋体" w:hAnsi="宋体"/>
          <w:b/>
          <w:szCs w:val="21"/>
        </w:rPr>
      </w:r>
      <w:r/>
    </w:p>
    <w:p>
      <w:pPr>
        <w:pStyle w:val="990"/>
        <w:jc w:val="both"/>
        <w:spacing w:line="360" w:lineRule="auto"/>
        <w:rPr>
          <w:rFonts w:hint="eastAsia"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p>
    <w:p>
      <w:pPr>
        <w:pStyle w:val="967"/>
        <w:ind w:right="-252"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1.2、投标文件应使用中文编制，投标文件中必须使用其他文字的，必须附有中文译本。对于未附有中文译本和中文译本不准确的投标文件，由此引起的对投标人不利后果的，招标人概不负责。</w:t>
      </w:r>
      <w:r>
        <w:rPr>
          <w:rFonts w:ascii="宋体" w:hAnsi="宋体"/>
          <w:szCs w:val="21"/>
        </w:rPr>
      </w:r>
      <w:r/>
    </w:p>
    <w:p>
      <w:pPr>
        <w:pStyle w:val="967"/>
        <w:ind w:firstLine="413"/>
        <w:spacing w:line="360" w:lineRule="auto"/>
        <w:rPr>
          <w:rFonts w:hint="eastAsia" w:ascii="宋体" w:hAnsi="宋体"/>
          <w:b/>
          <w:szCs w:val="21"/>
        </w:rPr>
      </w:pPr>
      <w:r>
        <w:rPr>
          <w:rFonts w:ascii="宋体" w:hAnsi="宋体"/>
          <w:b/>
          <w:szCs w:val="21"/>
        </w:rPr>
        <w:t xml:space="preserve">2</w:t>
      </w:r>
      <w:r>
        <w:rPr>
          <w:rFonts w:hint="eastAsia" w:ascii="宋体" w:hAnsi="宋体"/>
          <w:b/>
          <w:szCs w:val="21"/>
        </w:rPr>
        <w:t xml:space="preserve">、投标文件的组成和顺序</w:t>
      </w:r>
      <w:r/>
    </w:p>
    <w:p>
      <w:pPr>
        <w:pStyle w:val="967"/>
        <w:ind w:right="-252" w:firstLine="420"/>
        <w:spacing w:line="360" w:lineRule="auto"/>
        <w:rPr>
          <w:rFonts w:hint="eastAsia" w:ascii="宋体" w:hAnsi="宋体"/>
          <w:szCs w:val="21"/>
        </w:rPr>
      </w:pPr>
      <w:r>
        <w:rPr>
          <w:rFonts w:hint="eastAsia" w:ascii="宋体" w:hAnsi="宋体"/>
          <w:szCs w:val="21"/>
        </w:rPr>
        <w:t xml:space="preserve">2.1封面</w:t>
      </w:r>
      <w:r>
        <w:rPr>
          <w:rFonts w:hint="eastAsia" w:ascii="宋体" w:hAnsi="宋体" w:cs="宋体"/>
          <w:b/>
          <w:bCs/>
          <w:color w:val="000000"/>
          <w:szCs w:val="21"/>
        </w:rPr>
        <w:t xml:space="preserve">（格式自拟，至少标明项目名称、项目编号、投标供应商名称）</w:t>
      </w:r>
      <w:r>
        <w:rPr>
          <w:rFonts w:hint="eastAsia" w:ascii="宋体" w:hAnsi="宋体"/>
          <w:szCs w:val="21"/>
        </w:rPr>
      </w:r>
      <w:r/>
    </w:p>
    <w:p>
      <w:pPr>
        <w:pStyle w:val="967"/>
        <w:ind w:right="-252" w:firstLine="420"/>
        <w:spacing w:line="360" w:lineRule="auto"/>
        <w:rPr>
          <w:rFonts w:ascii="宋体" w:hAnsi="宋体"/>
          <w:szCs w:val="21"/>
        </w:rPr>
      </w:pPr>
      <w:r>
        <w:rPr>
          <w:rFonts w:hint="eastAsia" w:ascii="宋体" w:hAnsi="宋体"/>
          <w:szCs w:val="21"/>
        </w:rPr>
        <w:t xml:space="preserve">2.2</w:t>
      </w:r>
      <w:r>
        <w:rPr>
          <w:rFonts w:ascii="宋体" w:hAnsi="宋体"/>
          <w:szCs w:val="21"/>
        </w:rPr>
        <w:t xml:space="preserve"> </w:t>
      </w:r>
      <w:r>
        <w:rPr>
          <w:rFonts w:hint="eastAsia" w:ascii="宋体" w:hAnsi="宋体"/>
          <w:szCs w:val="21"/>
        </w:rPr>
        <w:t xml:space="preserve">基本目录</w:t>
      </w:r>
      <w:r>
        <w:rPr>
          <w:rFonts w:ascii="宋体" w:hAnsi="宋体"/>
          <w:szCs w:val="21"/>
        </w:rPr>
      </w:r>
      <w:r/>
    </w:p>
    <w:p>
      <w:pPr>
        <w:pStyle w:val="967"/>
        <w:ind w:right="-252" w:firstLine="420"/>
        <w:spacing w:line="360" w:lineRule="auto"/>
        <w:rPr>
          <w:rFonts w:ascii="宋体" w:hAnsi="宋体"/>
          <w:szCs w:val="21"/>
        </w:rPr>
      </w:pPr>
      <w:r>
        <w:rPr>
          <w:rFonts w:hint="eastAsia" w:ascii="宋体" w:hAnsi="宋体"/>
          <w:szCs w:val="21"/>
        </w:rPr>
        <w:t xml:space="preserve">2.3开标一览表；</w:t>
      </w:r>
      <w:r>
        <w:rPr>
          <w:rFonts w:ascii="宋体" w:hAnsi="宋体"/>
          <w:szCs w:val="21"/>
        </w:rPr>
      </w:r>
      <w:r/>
    </w:p>
    <w:p>
      <w:pPr>
        <w:pStyle w:val="967"/>
        <w:ind w:right="-252" w:firstLine="420"/>
        <w:spacing w:line="360" w:lineRule="auto"/>
        <w:rPr>
          <w:rFonts w:hint="eastAsia" w:ascii="宋体" w:hAnsi="宋体"/>
          <w:szCs w:val="21"/>
        </w:rPr>
      </w:pPr>
      <w:r>
        <w:rPr>
          <w:rFonts w:hint="eastAsia" w:ascii="宋体" w:hAnsi="宋体"/>
          <w:szCs w:val="21"/>
        </w:rPr>
        <w:t xml:space="preserve">2.4公开分项报价；</w:t>
      </w:r>
      <w:r/>
    </w:p>
    <w:p>
      <w:pPr>
        <w:pStyle w:val="967"/>
        <w:ind w:right="-252" w:firstLine="422"/>
        <w:spacing w:line="360" w:lineRule="auto"/>
        <w:rPr>
          <w:rFonts w:ascii="宋体" w:hAnsi="宋体"/>
          <w:b/>
          <w:color w:val="000000"/>
          <w:szCs w:val="21"/>
        </w:rPr>
      </w:pPr>
      <w:r>
        <w:rPr>
          <w:rFonts w:hint="eastAsia" w:ascii="宋体" w:hAnsi="宋体"/>
          <w:b/>
          <w:color w:val="000000"/>
          <w:szCs w:val="21"/>
        </w:rPr>
        <w:t xml:space="preserve">2.5资格证明文件：</w:t>
      </w:r>
      <w:r>
        <w:rPr>
          <w:rFonts w:ascii="宋体" w:hAnsi="宋体"/>
          <w:b/>
          <w:color w:val="000000"/>
          <w:szCs w:val="21"/>
        </w:rPr>
      </w:r>
      <w:r/>
    </w:p>
    <w:p>
      <w:pPr>
        <w:pStyle w:val="967"/>
        <w:ind w:right="-252" w:firstLine="422"/>
        <w:spacing w:line="360" w:lineRule="auto"/>
        <w:rPr>
          <w:rFonts w:ascii="宋体" w:hAnsi="宋体"/>
          <w:b/>
          <w:color w:val="000000"/>
          <w:szCs w:val="21"/>
        </w:rPr>
      </w:pPr>
      <w:r>
        <w:rPr>
          <w:rFonts w:hint="eastAsia" w:ascii="宋体" w:hAnsi="宋体"/>
          <w:b/>
          <w:color w:val="000000"/>
          <w:szCs w:val="21"/>
        </w:rPr>
        <w:t xml:space="preserve">投标人满足《中华人民共和国政府采购法》第二十二条规定</w:t>
      </w:r>
      <w:r>
        <w:rPr>
          <w:rFonts w:ascii="宋体" w:hAnsi="宋体"/>
          <w:b/>
          <w:color w:val="000000"/>
          <w:szCs w:val="21"/>
        </w:rPr>
      </w:r>
      <w:r/>
    </w:p>
    <w:p>
      <w:pPr>
        <w:pStyle w:val="967"/>
        <w:ind w:right="-252" w:firstLine="420"/>
        <w:spacing w:line="360" w:lineRule="auto"/>
        <w:rPr>
          <w:rFonts w:ascii="宋体" w:hAnsi="宋体"/>
          <w:szCs w:val="21"/>
        </w:rPr>
      </w:pPr>
      <w:r>
        <w:rPr>
          <w:rFonts w:hint="eastAsia" w:ascii="宋体" w:hAnsi="宋体"/>
          <w:szCs w:val="21"/>
        </w:rPr>
        <w:t xml:space="preserve">2.5.1</w:t>
      </w:r>
      <w:bookmarkStart w:id="14" w:name="OLE_LINK9"/>
      <w:r/>
      <w:bookmarkStart w:id="15" w:name="OLE_LINK10"/>
      <w:r>
        <w:rPr>
          <w:rFonts w:hint="eastAsia" w:ascii="宋体" w:hAnsi="宋体"/>
          <w:szCs w:val="21"/>
        </w:rPr>
        <w:t xml:space="preserve">具有独立承担民事责任的能力</w:t>
      </w:r>
      <w:bookmarkEnd w:id="14"/>
      <w:r/>
      <w:bookmarkEnd w:id="15"/>
      <w:r>
        <w:rPr>
          <w:rFonts w:hint="eastAsia" w:ascii="宋体" w:hAnsi="宋体"/>
          <w:szCs w:val="21"/>
        </w:rPr>
        <w:t xml:space="preserve">（</w:t>
      </w:r>
      <w:bookmarkStart w:id="16" w:name="OLE_LINK51"/>
      <w:r/>
      <w:bookmarkStart w:id="17" w:name="OLE_LINK50"/>
      <w:r>
        <w:rPr>
          <w:rFonts w:hint="eastAsia" w:ascii="宋体" w:hAnsi="宋体"/>
          <w:szCs w:val="21"/>
        </w:rPr>
        <w:t xml:space="preserve">提供法人或者其他组织的营业执照等证明文件、自然人的身份证明</w:t>
      </w:r>
      <w:bookmarkEnd w:id="16"/>
      <w:r/>
      <w:bookmarkEnd w:id="17"/>
      <w:r>
        <w:rPr>
          <w:rFonts w:hint="eastAsia" w:ascii="宋体" w:hAnsi="宋体"/>
          <w:szCs w:val="21"/>
        </w:rPr>
        <w:t xml:space="preserve">）；</w:t>
      </w:r>
      <w:r>
        <w:rPr>
          <w:rFonts w:ascii="宋体" w:hAnsi="宋体"/>
          <w:szCs w:val="21"/>
        </w:rPr>
      </w:r>
      <w:r/>
    </w:p>
    <w:p>
      <w:pPr>
        <w:pStyle w:val="967"/>
        <w:ind w:right="-252" w:firstLine="420"/>
        <w:spacing w:line="360" w:lineRule="auto"/>
        <w:rPr>
          <w:rFonts w:ascii="宋体" w:hAnsi="宋体"/>
          <w:szCs w:val="21"/>
        </w:rPr>
      </w:pPr>
      <w:r>
        <w:rPr>
          <w:rFonts w:hint="eastAsia" w:ascii="宋体" w:hAnsi="宋体"/>
          <w:szCs w:val="21"/>
        </w:rPr>
        <w:t xml:space="preserve">2.5.2</w:t>
      </w:r>
      <w:bookmarkStart w:id="18" w:name="OLE_LINK11"/>
      <w:r/>
      <w:bookmarkStart w:id="19" w:name="OLE_LINK12"/>
      <w:r>
        <w:rPr>
          <w:rFonts w:hint="eastAsia" w:ascii="宋体" w:hAnsi="宋体"/>
          <w:szCs w:val="21"/>
        </w:rPr>
        <w:t xml:space="preserve">具有良好的商业信誉和健全的财务会计制度</w:t>
      </w:r>
      <w:bookmarkEnd w:id="18"/>
      <w:r/>
      <w:bookmarkEnd w:id="19"/>
      <w:r>
        <w:rPr>
          <w:rFonts w:hint="eastAsia" w:ascii="宋体" w:hAnsi="宋体"/>
          <w:szCs w:val="21"/>
        </w:rPr>
        <w:t xml:space="preserve">（格式见投标承诺函或提供相应证明材料）；</w:t>
      </w:r>
      <w:r>
        <w:rPr>
          <w:rFonts w:ascii="宋体" w:hAnsi="宋体"/>
          <w:szCs w:val="21"/>
        </w:rPr>
      </w:r>
      <w:r/>
    </w:p>
    <w:p>
      <w:pPr>
        <w:pStyle w:val="967"/>
        <w:ind w:right="-252" w:firstLine="420"/>
        <w:spacing w:line="360" w:lineRule="auto"/>
        <w:rPr>
          <w:rFonts w:ascii="宋体" w:hAnsi="宋体"/>
          <w:szCs w:val="21"/>
        </w:rPr>
      </w:pPr>
      <w:r>
        <w:rPr>
          <w:rFonts w:hint="eastAsia" w:ascii="宋体" w:hAnsi="宋体"/>
          <w:szCs w:val="21"/>
        </w:rPr>
        <w:t xml:space="preserve">2.5.3</w:t>
      </w:r>
      <w:bookmarkStart w:id="20" w:name="OLE_LINK14"/>
      <w:r/>
      <w:bookmarkStart w:id="21" w:name="OLE_LINK13"/>
      <w:r>
        <w:rPr>
          <w:rFonts w:hint="eastAsia" w:ascii="宋体" w:hAnsi="宋体"/>
          <w:szCs w:val="21"/>
        </w:rPr>
        <w:t xml:space="preserve">具有履行合同所必需的设备和专业技术能力</w:t>
      </w:r>
      <w:bookmarkEnd w:id="20"/>
      <w:r/>
      <w:bookmarkEnd w:id="21"/>
      <w:r>
        <w:rPr>
          <w:rFonts w:hint="eastAsia" w:ascii="宋体" w:hAnsi="宋体"/>
          <w:szCs w:val="21"/>
        </w:rPr>
        <w:t xml:space="preserve">（格式见投标承诺函或提供相应证明材料）；</w:t>
      </w:r>
      <w:r>
        <w:rPr>
          <w:rFonts w:ascii="宋体" w:hAnsi="宋体"/>
          <w:szCs w:val="21"/>
        </w:rPr>
      </w:r>
      <w:r/>
    </w:p>
    <w:p>
      <w:pPr>
        <w:pStyle w:val="967"/>
        <w:ind w:right="-252" w:firstLine="420"/>
        <w:spacing w:line="360" w:lineRule="auto"/>
        <w:rPr>
          <w:rFonts w:ascii="宋体" w:hAnsi="宋体"/>
          <w:szCs w:val="21"/>
        </w:rPr>
      </w:pPr>
      <w:r>
        <w:rPr>
          <w:rFonts w:hint="eastAsia" w:ascii="宋体" w:hAnsi="宋体"/>
          <w:szCs w:val="21"/>
        </w:rPr>
        <w:t xml:space="preserve">2.5.4</w:t>
      </w:r>
      <w:bookmarkStart w:id="22" w:name="OLE_LINK16"/>
      <w:r/>
      <w:bookmarkStart w:id="23" w:name="OLE_LINK17"/>
      <w:r>
        <w:rPr>
          <w:rFonts w:hint="eastAsia" w:ascii="宋体" w:hAnsi="宋体"/>
          <w:szCs w:val="21"/>
        </w:rPr>
        <w:t xml:space="preserve">具有依法缴纳税收和社会保障资金的良好记录</w:t>
      </w:r>
      <w:bookmarkEnd w:id="22"/>
      <w:r/>
      <w:bookmarkEnd w:id="23"/>
      <w:r>
        <w:rPr>
          <w:rFonts w:hint="eastAsia" w:ascii="宋体" w:hAnsi="宋体"/>
          <w:szCs w:val="21"/>
        </w:rPr>
        <w:t xml:space="preserve">（格式见投标承诺函或提供相应证明材料）；</w:t>
      </w:r>
      <w:r>
        <w:rPr>
          <w:rFonts w:ascii="宋体" w:hAnsi="宋体"/>
          <w:szCs w:val="21"/>
        </w:rPr>
      </w:r>
      <w:r/>
    </w:p>
    <w:p>
      <w:pPr>
        <w:pStyle w:val="967"/>
        <w:ind w:right="-252" w:firstLine="420"/>
        <w:spacing w:line="360" w:lineRule="auto"/>
        <w:rPr>
          <w:rFonts w:hint="eastAsia" w:ascii="宋体" w:hAnsi="宋体"/>
          <w:szCs w:val="21"/>
        </w:rPr>
      </w:pPr>
      <w:r>
        <w:rPr>
          <w:rFonts w:hint="eastAsia" w:ascii="宋体" w:hAnsi="宋体"/>
          <w:szCs w:val="21"/>
        </w:rPr>
        <w:t xml:space="preserve">2.5.5参加政府采购活动前三年内，在经营活动中没有重大违法记录（格式见投标承诺函或提供相应证明材料）；</w:t>
      </w:r>
      <w:r/>
    </w:p>
    <w:p>
      <w:pPr>
        <w:pStyle w:val="967"/>
        <w:ind w:firstLine="420"/>
        <w:spacing w:line="360" w:lineRule="auto"/>
        <w:rPr>
          <w:rFonts w:ascii="宋体" w:hAnsi="宋体"/>
          <w:b/>
          <w:color w:val="ff0000"/>
          <w:szCs w:val="21"/>
        </w:rPr>
      </w:pPr>
      <w:r>
        <w:rPr>
          <w:rFonts w:hint="eastAsia" w:ascii="宋体" w:hAnsi="宋体"/>
          <w:b/>
          <w:color w:val="000000"/>
          <w:szCs w:val="21"/>
        </w:rPr>
        <w:t xml:space="preserve">2.6</w:t>
      </w:r>
      <w:r>
        <w:rPr>
          <w:rFonts w:ascii="宋体" w:hAnsi="宋体"/>
          <w:b/>
          <w:color w:val="000000"/>
          <w:szCs w:val="21"/>
        </w:rPr>
        <w:t xml:space="preserve">供应商符合相关扶持政策的证明材料</w:t>
      </w:r>
      <w:r>
        <w:rPr>
          <w:rFonts w:hint="eastAsia" w:ascii="宋体" w:hAnsi="宋体"/>
          <w:b/>
          <w:color w:val="000000"/>
          <w:szCs w:val="21"/>
        </w:rPr>
        <w:t xml:space="preserve">：</w:t>
      </w:r>
      <w:r>
        <w:rPr>
          <w:rFonts w:ascii="宋体" w:hAnsi="宋体"/>
          <w:b/>
          <w:color w:val="ff0000"/>
          <w:szCs w:val="21"/>
        </w:rPr>
      </w:r>
      <w:r/>
    </w:p>
    <w:p>
      <w:pPr>
        <w:pStyle w:val="967"/>
        <w:ind w:firstLine="420"/>
        <w:spacing w:line="360" w:lineRule="auto"/>
        <w:rPr>
          <w:rFonts w:ascii="宋体" w:hAnsi="宋体"/>
          <w:color w:val="000000"/>
          <w:szCs w:val="21"/>
        </w:rPr>
      </w:pPr>
      <w:r>
        <w:rPr>
          <w:rFonts w:hint="eastAsia" w:ascii="宋体" w:hAnsi="宋体"/>
          <w:color w:val="000000"/>
          <w:szCs w:val="21"/>
        </w:rPr>
        <w:t xml:space="preserve">落实政府采购政策需满足的资格条件，则必须按要求提供以下材料中的至少一份，否则将被认定为资格审查不合格：</w:t>
      </w:r>
      <w:r>
        <w:rPr>
          <w:rFonts w:ascii="宋体" w:hAnsi="宋体"/>
          <w:color w:val="000000"/>
          <w:szCs w:val="21"/>
        </w:rPr>
      </w:r>
      <w:r/>
    </w:p>
    <w:p>
      <w:pPr>
        <w:pStyle w:val="967"/>
        <w:ind w:firstLine="420"/>
        <w:spacing w:line="360" w:lineRule="auto"/>
        <w:rPr>
          <w:rFonts w:ascii="宋体" w:hAnsi="宋体"/>
          <w:color w:val="000000"/>
          <w:szCs w:val="21"/>
        </w:rPr>
      </w:pPr>
      <w:r>
        <w:rPr>
          <w:rFonts w:ascii="宋体" w:hAnsi="宋体"/>
          <w:color w:val="000000"/>
          <w:szCs w:val="21"/>
        </w:rPr>
        <w:t xml:space="preserve">中小企业声明函；</w:t>
      </w:r>
      <w:r/>
    </w:p>
    <w:p>
      <w:pPr>
        <w:pStyle w:val="967"/>
        <w:ind w:firstLine="420"/>
        <w:spacing w:line="360" w:lineRule="auto"/>
        <w:rPr>
          <w:rFonts w:ascii="宋体" w:hAnsi="宋体"/>
          <w:color w:val="000000"/>
          <w:szCs w:val="21"/>
        </w:rPr>
      </w:pPr>
      <w:r>
        <w:rPr>
          <w:rFonts w:ascii="宋体" w:hAnsi="宋体"/>
          <w:color w:val="000000"/>
          <w:szCs w:val="21"/>
        </w:rPr>
        <w:t xml:space="preserve">残疾人福利性单位声明函；</w:t>
      </w:r>
      <w:r/>
    </w:p>
    <w:p>
      <w:pPr>
        <w:pStyle w:val="967"/>
        <w:ind w:firstLine="420"/>
        <w:spacing w:line="360" w:lineRule="auto"/>
        <w:rPr>
          <w:rFonts w:hint="eastAsia" w:ascii="宋体" w:hAnsi="宋体"/>
          <w:color w:val="000000"/>
          <w:szCs w:val="21"/>
        </w:rPr>
      </w:pPr>
      <w:r>
        <w:rPr>
          <w:rFonts w:ascii="宋体" w:hAnsi="宋体"/>
          <w:color w:val="000000"/>
          <w:szCs w:val="21"/>
        </w:rPr>
        <w:t xml:space="preserve">监狱企业证明文件；</w:t>
      </w:r>
      <w:r>
        <w:rPr>
          <w:rFonts w:hint="eastAsia" w:ascii="宋体" w:hAnsi="宋体"/>
          <w:color w:val="000000"/>
          <w:szCs w:val="21"/>
        </w:rPr>
      </w:r>
      <w:r/>
    </w:p>
    <w:p>
      <w:pPr>
        <w:pStyle w:val="967"/>
        <w:ind w:firstLine="422"/>
        <w:spacing w:line="360" w:lineRule="auto"/>
        <w:rPr>
          <w:rFonts w:hint="eastAsia" w:ascii="Tahoma" w:hAnsi="Tahoma"/>
          <w:b/>
          <w:color w:val="000000"/>
        </w:rPr>
      </w:pPr>
      <w:r>
        <w:rPr>
          <w:rFonts w:hint="eastAsia" w:ascii="宋体" w:hAnsi="宋体"/>
          <w:b/>
          <w:color w:val="000000"/>
          <w:szCs w:val="21"/>
        </w:rPr>
        <w:t xml:space="preserve">2.7</w:t>
      </w:r>
      <w:r>
        <w:rPr>
          <w:rFonts w:hint="eastAsia" w:ascii="Tahoma" w:hAnsi="Tahoma"/>
          <w:b/>
          <w:color w:val="000000"/>
        </w:rPr>
        <w:t xml:space="preserve">特殊条件：无。</w:t>
      </w:r>
      <w:r/>
    </w:p>
    <w:p>
      <w:pPr>
        <w:pStyle w:val="967"/>
        <w:ind w:firstLine="422"/>
        <w:spacing w:line="360" w:lineRule="auto"/>
        <w:rPr>
          <w:rFonts w:hint="eastAsia" w:ascii="宋体" w:hAnsi="宋体"/>
          <w:b/>
          <w:color w:val="000000"/>
          <w:szCs w:val="21"/>
        </w:rPr>
      </w:pPr>
      <w:r>
        <w:rPr>
          <w:rFonts w:hint="eastAsia" w:ascii="宋体" w:hAnsi="宋体"/>
          <w:b/>
          <w:color w:val="000000"/>
          <w:szCs w:val="21"/>
        </w:rPr>
        <w:t xml:space="preserve">2.8符合性审查：</w:t>
      </w:r>
      <w:r/>
    </w:p>
    <w:p>
      <w:pPr>
        <w:pStyle w:val="967"/>
        <w:ind w:right="-252" w:firstLine="420"/>
        <w:spacing w:line="360" w:lineRule="auto"/>
        <w:rPr>
          <w:rFonts w:hint="eastAsia" w:ascii="宋体" w:hAnsi="宋体"/>
          <w:color w:val="000000"/>
          <w:szCs w:val="21"/>
        </w:rPr>
      </w:pPr>
      <w:r>
        <w:rPr>
          <w:rFonts w:hint="eastAsia" w:ascii="宋体" w:hAnsi="宋体"/>
          <w:color w:val="000000"/>
          <w:szCs w:val="21"/>
        </w:rPr>
        <w:t xml:space="preserve">2.8.1投标单位情况表；</w:t>
      </w:r>
      <w:r/>
    </w:p>
    <w:p>
      <w:pPr>
        <w:pStyle w:val="967"/>
        <w:ind w:right="-252" w:firstLine="420"/>
        <w:spacing w:line="360" w:lineRule="auto"/>
        <w:rPr>
          <w:rFonts w:hint="eastAsia" w:ascii="宋体" w:hAnsi="宋体"/>
          <w:color w:val="000000"/>
          <w:szCs w:val="21"/>
        </w:rPr>
      </w:pPr>
      <w:r>
        <w:rPr>
          <w:rFonts w:hint="eastAsia" w:ascii="宋体" w:hAnsi="宋体"/>
          <w:color w:val="000000"/>
          <w:szCs w:val="21"/>
        </w:rPr>
        <w:t xml:space="preserve">2.8.2关于资格文件的声明函；</w:t>
      </w:r>
      <w:r/>
    </w:p>
    <w:p>
      <w:pPr>
        <w:pStyle w:val="967"/>
        <w:ind w:firstLine="420"/>
        <w:spacing w:line="360" w:lineRule="auto"/>
        <w:rPr>
          <w:rFonts w:ascii="宋体" w:hAnsi="宋体"/>
          <w:color w:val="000000"/>
          <w:szCs w:val="21"/>
        </w:rPr>
      </w:pPr>
      <w:r>
        <w:rPr>
          <w:rFonts w:hint="eastAsia" w:ascii="宋体" w:hAnsi="宋体"/>
          <w:color w:val="000000"/>
          <w:szCs w:val="21"/>
        </w:rPr>
        <w:t xml:space="preserve">2.8.3投标承诺函；</w:t>
      </w:r>
      <w:r>
        <w:rPr>
          <w:rFonts w:ascii="宋体" w:hAnsi="宋体"/>
          <w:color w:val="000000"/>
          <w:szCs w:val="21"/>
        </w:rPr>
      </w:r>
      <w:r/>
    </w:p>
    <w:p>
      <w:pPr>
        <w:pStyle w:val="967"/>
        <w:ind w:firstLine="420"/>
        <w:spacing w:line="360" w:lineRule="auto"/>
        <w:rPr>
          <w:rFonts w:hint="eastAsia" w:ascii="宋体" w:hAnsi="宋体"/>
          <w:color w:val="000000"/>
          <w:szCs w:val="21"/>
        </w:rPr>
      </w:pPr>
      <w:r>
        <w:rPr>
          <w:rFonts w:hint="eastAsia" w:ascii="宋体" w:hAnsi="宋体"/>
          <w:color w:val="000000"/>
          <w:szCs w:val="21"/>
        </w:rPr>
        <w:t xml:space="preserve">2.8.4</w:t>
      </w:r>
      <w:bookmarkStart w:id="24" w:name="OLE_LINK49"/>
      <w:r/>
      <w:bookmarkStart w:id="25" w:name="OLE_LINK48"/>
      <w:r>
        <w:rPr>
          <w:rFonts w:hint="eastAsia" w:ascii="宋体" w:hAnsi="宋体"/>
          <w:color w:val="000000"/>
          <w:szCs w:val="21"/>
        </w:rPr>
        <w:t xml:space="preserve">偏离表</w:t>
      </w:r>
      <w:bookmarkEnd w:id="24"/>
      <w:r/>
      <w:bookmarkEnd w:id="25"/>
      <w:r>
        <w:rPr>
          <w:rFonts w:hint="eastAsia" w:ascii="宋体" w:hAnsi="宋体"/>
          <w:color w:val="000000"/>
          <w:szCs w:val="21"/>
        </w:rPr>
        <w:t xml:space="preserve">（技术、商务）；</w:t>
      </w:r>
      <w:r/>
    </w:p>
    <w:p>
      <w:pPr>
        <w:pStyle w:val="967"/>
        <w:ind w:firstLine="420"/>
        <w:spacing w:line="360" w:lineRule="auto"/>
        <w:rPr>
          <w:rFonts w:ascii="宋体" w:hAnsi="宋体"/>
          <w:color w:val="000000"/>
          <w:szCs w:val="21"/>
        </w:rPr>
      </w:pPr>
      <w:r/>
      <w:bookmarkStart w:id="26" w:name="_Hlk160091709"/>
      <w:r>
        <w:rPr>
          <w:rFonts w:hint="eastAsia" w:ascii="宋体" w:hAnsi="宋体"/>
          <w:color w:val="000000"/>
          <w:szCs w:val="21"/>
        </w:rPr>
        <w:t xml:space="preserve">2.8.5</w:t>
      </w:r>
      <w:bookmarkStart w:id="27" w:name="_Hlk182915693"/>
      <w:r>
        <w:rPr>
          <w:rFonts w:ascii="宋体" w:hAnsi="宋体"/>
          <w:color w:val="000000"/>
          <w:szCs w:val="21"/>
        </w:rPr>
        <w:t xml:space="preserve">法定代表人授权委托书</w:t>
      </w:r>
      <w:bookmarkEnd w:id="27"/>
      <w:r>
        <w:rPr>
          <w:rFonts w:ascii="宋体" w:hAnsi="宋体"/>
          <w:color w:val="000000"/>
          <w:szCs w:val="21"/>
        </w:rPr>
        <w:t xml:space="preserve">（如有授权，必须提供）</w:t>
      </w:r>
      <w:bookmarkEnd w:id="26"/>
      <w:r>
        <w:rPr>
          <w:rFonts w:hint="eastAsia" w:ascii="宋体" w:hAnsi="宋体"/>
          <w:color w:val="000000"/>
          <w:szCs w:val="21"/>
        </w:rPr>
        <w:t xml:space="preserve">；</w:t>
      </w:r>
      <w:r>
        <w:rPr>
          <w:rFonts w:ascii="宋体" w:hAnsi="宋体"/>
          <w:color w:val="000000"/>
          <w:szCs w:val="21"/>
        </w:rPr>
      </w:r>
      <w:r/>
    </w:p>
    <w:p>
      <w:pPr>
        <w:pStyle w:val="967"/>
        <w:numPr>
          <w:ilvl w:val="1"/>
          <w:numId w:val="14"/>
        </w:numPr>
        <w:spacing w:line="360" w:lineRule="auto"/>
        <w:tabs>
          <w:tab w:val="left" w:pos="360" w:leader="none"/>
        </w:tabs>
        <w:rPr>
          <w:rFonts w:ascii="宋体" w:hAnsi="宋体" w:cs="Arial"/>
          <w:b/>
          <w:szCs w:val="21"/>
        </w:rPr>
      </w:pPr>
      <w:r>
        <w:rPr>
          <w:rFonts w:hint="eastAsia" w:ascii="宋体" w:hAnsi="宋体" w:cs="Arial"/>
          <w:b/>
          <w:szCs w:val="21"/>
        </w:rPr>
        <w:t xml:space="preserve">2.9综合评审评分项：</w:t>
      </w:r>
      <w:r>
        <w:rPr>
          <w:rFonts w:ascii="宋体" w:hAnsi="宋体" w:cs="Arial"/>
          <w:b/>
          <w:szCs w:val="21"/>
        </w:rPr>
      </w:r>
      <w:r/>
    </w:p>
    <w:p>
      <w:pPr>
        <w:pStyle w:val="967"/>
        <w:ind w:firstLine="420"/>
        <w:spacing w:line="360" w:lineRule="auto"/>
        <w:rPr>
          <w:rFonts w:ascii="宋体" w:hAnsi="宋体"/>
          <w:color w:val="000000"/>
          <w:szCs w:val="21"/>
        </w:rPr>
      </w:pPr>
      <w:r>
        <w:rPr>
          <w:rFonts w:hint="eastAsia" w:ascii="宋体" w:hAnsi="宋体"/>
          <w:color w:val="000000"/>
          <w:szCs w:val="21"/>
        </w:rPr>
        <w:t xml:space="preserve">1、技术评审所需的相关证明材料</w:t>
      </w:r>
      <w:r>
        <w:rPr>
          <w:rFonts w:hint="eastAsia" w:ascii="宋体" w:hAnsi="宋体" w:cs="Arial"/>
          <w:szCs w:val="21"/>
        </w:rPr>
        <w:t xml:space="preserve">（技术方案、人员配置、业绩等）</w:t>
      </w:r>
      <w:r>
        <w:rPr>
          <w:rFonts w:hint="eastAsia" w:ascii="宋体" w:hAnsi="宋体"/>
          <w:color w:val="000000"/>
          <w:szCs w:val="21"/>
        </w:rPr>
        <w:t xml:space="preserve">；</w:t>
      </w:r>
      <w:r>
        <w:rPr>
          <w:rFonts w:ascii="宋体" w:hAnsi="宋体"/>
          <w:color w:val="000000"/>
          <w:szCs w:val="21"/>
        </w:rPr>
      </w:r>
      <w:r/>
    </w:p>
    <w:p>
      <w:pPr>
        <w:pStyle w:val="967"/>
        <w:ind w:firstLine="420"/>
        <w:spacing w:line="360" w:lineRule="auto"/>
        <w:rPr>
          <w:rFonts w:ascii="宋体" w:hAnsi="宋体"/>
          <w:color w:val="000000"/>
          <w:szCs w:val="21"/>
        </w:rPr>
      </w:pPr>
      <w:r>
        <w:rPr>
          <w:rFonts w:hint="eastAsia" w:ascii="宋体" w:hAnsi="宋体"/>
          <w:color w:val="000000"/>
          <w:szCs w:val="21"/>
        </w:rPr>
        <w:t xml:space="preserve">综上：</w:t>
      </w:r>
      <w:r>
        <w:rPr>
          <w:rFonts w:ascii="宋体" w:hAnsi="宋体"/>
          <w:color w:val="000000"/>
          <w:szCs w:val="21"/>
        </w:rPr>
      </w:r>
      <w:r/>
    </w:p>
    <w:p>
      <w:pPr>
        <w:pStyle w:val="967"/>
        <w:ind w:firstLine="420"/>
        <w:spacing w:line="360" w:lineRule="auto"/>
        <w:rPr>
          <w:rFonts w:ascii="宋体" w:hAnsi="宋体"/>
          <w:color w:val="000000"/>
          <w:szCs w:val="21"/>
        </w:rPr>
      </w:pPr>
      <w:r>
        <w:rPr>
          <w:rFonts w:hint="eastAsia" w:ascii="宋体" w:hAnsi="宋体"/>
          <w:color w:val="000000"/>
          <w:szCs w:val="21"/>
        </w:rPr>
        <w:t xml:space="preserve">（1）投标人所提交的资料的完整与否，将直接影响投标人的评分。</w:t>
      </w:r>
      <w:r>
        <w:rPr>
          <w:rFonts w:ascii="宋体" w:hAnsi="宋体"/>
          <w:color w:val="000000"/>
          <w:szCs w:val="21"/>
        </w:rPr>
      </w:r>
      <w:r/>
    </w:p>
    <w:p>
      <w:pPr>
        <w:pStyle w:val="967"/>
        <w:ind w:firstLine="420"/>
        <w:spacing w:line="360" w:lineRule="auto"/>
        <w:rPr>
          <w:rFonts w:ascii="宋体" w:hAnsi="宋体"/>
          <w:color w:val="000000"/>
          <w:szCs w:val="21"/>
        </w:rPr>
      </w:pPr>
      <w:r>
        <w:rPr>
          <w:rFonts w:hint="eastAsia" w:ascii="宋体" w:hAnsi="宋体"/>
          <w:color w:val="000000"/>
          <w:szCs w:val="21"/>
        </w:rPr>
        <w:t xml:space="preserve">（2）制作电子投标文件时必须与投标文件制作软件目录一一对应，将相关资料上传至相应模块。</w:t>
      </w:r>
      <w:r>
        <w:rPr>
          <w:rFonts w:ascii="宋体" w:hAnsi="宋体"/>
          <w:color w:val="000000"/>
          <w:szCs w:val="21"/>
        </w:rPr>
      </w:r>
      <w:r/>
    </w:p>
    <w:p>
      <w:pPr>
        <w:pStyle w:val="967"/>
        <w:ind w:firstLine="420"/>
        <w:spacing w:line="360" w:lineRule="auto"/>
        <w:rPr>
          <w:rFonts w:ascii="宋体" w:hAnsi="宋体"/>
          <w:color w:val="000000"/>
          <w:szCs w:val="21"/>
        </w:rPr>
      </w:pPr>
      <w:r>
        <w:rPr>
          <w:rFonts w:hint="eastAsia" w:ascii="宋体" w:hAnsi="宋体"/>
          <w:color w:val="000000"/>
          <w:szCs w:val="21"/>
        </w:rPr>
        <w:t xml:space="preserve">（3）开评标过程中如有问题采购代理机构工作人员会及时通过《投标供应商确认函》留存的手机号与供应商联系。请供应商确保该手机号通讯畅通，否则导致的不利后果由供应商自行承担。</w:t>
      </w:r>
      <w:r>
        <w:rPr>
          <w:rFonts w:ascii="宋体" w:hAnsi="宋体"/>
          <w:color w:val="000000"/>
          <w:szCs w:val="21"/>
        </w:rPr>
      </w:r>
      <w:r/>
    </w:p>
    <w:p>
      <w:pPr>
        <w:pStyle w:val="967"/>
        <w:ind w:firstLine="413"/>
        <w:spacing w:line="360" w:lineRule="auto"/>
        <w:rPr>
          <w:rFonts w:hint="eastAsia" w:ascii="宋体" w:hAnsi="宋体"/>
          <w:b/>
          <w:szCs w:val="21"/>
        </w:rPr>
      </w:pPr>
      <w:r>
        <w:rPr>
          <w:rFonts w:hint="eastAsia" w:ascii="宋体" w:hAnsi="宋体"/>
          <w:b/>
          <w:szCs w:val="21"/>
        </w:rPr>
        <w:t xml:space="preserve">3、投标文件编制说明</w:t>
      </w:r>
      <w:r/>
    </w:p>
    <w:p>
      <w:pPr>
        <w:pStyle w:val="967"/>
        <w:ind w:firstLine="420"/>
        <w:spacing w:line="360" w:lineRule="auto"/>
        <w:rPr>
          <w:rFonts w:hint="eastAsia" w:ascii="宋体" w:hAnsi="宋体"/>
          <w:color w:val="000000"/>
          <w:szCs w:val="21"/>
        </w:rPr>
      </w:pPr>
      <w:r>
        <w:rPr>
          <w:rFonts w:hint="eastAsia" w:ascii="宋体" w:hAnsi="宋体"/>
          <w:color w:val="000000"/>
          <w:szCs w:val="21"/>
        </w:rPr>
        <w:t xml:space="preserve">3.1、对本次投标的详细说明由投标人视各自的情况自行编制。</w:t>
      </w:r>
      <w:r/>
    </w:p>
    <w:p>
      <w:pPr>
        <w:pStyle w:val="967"/>
        <w:ind w:firstLine="420"/>
        <w:spacing w:line="360" w:lineRule="auto"/>
        <w:rPr>
          <w:rFonts w:hint="eastAsia" w:ascii="宋体" w:hAnsi="宋体"/>
          <w:color w:val="000000"/>
          <w:szCs w:val="21"/>
        </w:rPr>
      </w:pPr>
      <w:r>
        <w:rPr>
          <w:rFonts w:hint="eastAsia" w:ascii="宋体" w:hAnsi="宋体"/>
          <w:color w:val="000000"/>
          <w:szCs w:val="21"/>
        </w:rPr>
        <w:t xml:space="preserve">3.2、对本次投标的详细说明可以包含(但不限于)以下内容：</w:t>
      </w:r>
      <w:r/>
    </w:p>
    <w:p>
      <w:pPr>
        <w:pStyle w:val="967"/>
        <w:ind w:firstLine="420"/>
        <w:spacing w:line="360" w:lineRule="auto"/>
        <w:rPr>
          <w:rFonts w:hint="eastAsia" w:ascii="宋体" w:hAnsi="宋体"/>
          <w:color w:val="000000"/>
          <w:szCs w:val="21"/>
        </w:rPr>
      </w:pPr>
      <w:r>
        <w:rPr>
          <w:rFonts w:hint="eastAsia" w:ascii="宋体" w:hAnsi="宋体"/>
          <w:color w:val="000000"/>
          <w:szCs w:val="21"/>
        </w:rPr>
        <w:t xml:space="preserve">3.2.1 投标人提出的合理化建议；</w:t>
      </w:r>
      <w:r/>
    </w:p>
    <w:p>
      <w:pPr>
        <w:pStyle w:val="967"/>
        <w:ind w:firstLine="420"/>
        <w:spacing w:line="360" w:lineRule="auto"/>
        <w:rPr>
          <w:rFonts w:ascii="宋体" w:hAnsi="宋体"/>
          <w:color w:val="000000"/>
          <w:szCs w:val="21"/>
        </w:rPr>
      </w:pPr>
      <w:r>
        <w:rPr>
          <w:rFonts w:hint="eastAsia" w:ascii="宋体" w:hAnsi="宋体"/>
          <w:color w:val="000000"/>
          <w:szCs w:val="21"/>
        </w:rPr>
        <w:t xml:space="preserve">3.2.2 技术服务和售后服务的内容及措施。</w:t>
      </w:r>
      <w:r>
        <w:rPr>
          <w:rFonts w:ascii="宋体" w:hAnsi="宋体"/>
          <w:color w:val="000000"/>
          <w:szCs w:val="21"/>
        </w:rPr>
      </w:r>
      <w:r/>
    </w:p>
    <w:p>
      <w:pPr>
        <w:pStyle w:val="967"/>
        <w:ind w:firstLine="411"/>
        <w:spacing w:line="360" w:lineRule="auto"/>
        <w:rPr>
          <w:rFonts w:ascii="宋体" w:hAnsi="宋体"/>
          <w:b/>
          <w:szCs w:val="21"/>
        </w:rPr>
      </w:pPr>
      <w:r>
        <w:rPr>
          <w:rFonts w:hint="eastAsia" w:ascii="宋体" w:hAnsi="宋体"/>
          <w:b/>
          <w:szCs w:val="21"/>
        </w:rPr>
        <w:t xml:space="preserve">4、投标报价</w:t>
      </w:r>
      <w:r>
        <w:rPr>
          <w:rFonts w:ascii="宋体" w:hAnsi="宋体"/>
          <w:b/>
          <w:szCs w:val="21"/>
        </w:rPr>
      </w:r>
      <w:r/>
    </w:p>
    <w:p>
      <w:pPr>
        <w:pStyle w:val="990"/>
        <w:ind w:right="-252"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、除非合同中另有规定，投标人对《投标报价表》</w:t>
      </w:r>
      <w:r>
        <w:rPr>
          <w:rFonts w:ascii="宋体" w:hAnsi="宋体" w:eastAsia="宋体"/>
          <w:sz w:val="21"/>
          <w:szCs w:val="21"/>
        </w:rPr>
        <w:t xml:space="preserve"> </w:t>
      </w:r>
      <w:r>
        <w:rPr>
          <w:rFonts w:hint="eastAsia" w:ascii="宋体" w:hAnsi="宋体" w:eastAsia="宋体"/>
          <w:sz w:val="21"/>
          <w:szCs w:val="21"/>
        </w:rPr>
        <w:t xml:space="preserve">中的全部货物和服务的报价应包括</w:t>
      </w:r>
      <w:r>
        <w:rPr>
          <w:rFonts w:ascii="宋体" w:hAnsi="宋体" w:eastAsia="宋体"/>
          <w:sz w:val="21"/>
          <w:szCs w:val="21"/>
        </w:rPr>
        <w:t xml:space="preserve">完成该项工作所需的人工费（含奖金、社会保障金、加班费等）、</w:t>
      </w:r>
      <w:r>
        <w:rPr>
          <w:rFonts w:hint="eastAsia" w:ascii="宋体" w:hAnsi="宋体" w:eastAsia="宋体"/>
          <w:sz w:val="21"/>
          <w:szCs w:val="21"/>
        </w:rPr>
        <w:t xml:space="preserve">材料、</w:t>
      </w:r>
      <w:r>
        <w:rPr>
          <w:rFonts w:ascii="宋体" w:hAnsi="宋体" w:eastAsia="宋体"/>
          <w:sz w:val="21"/>
          <w:szCs w:val="21"/>
        </w:rPr>
        <w:t xml:space="preserve">日常维修费、工具费、服装、胸卡等和其它在管理过程中发生的一切费用，还包括耗材、劳保、各种税费及政策性文件规定及合同包含的所有风险、责任等各项应有费用</w:t>
      </w:r>
      <w:r>
        <w:rPr>
          <w:rFonts w:hint="eastAsia" w:ascii="宋体" w:hAnsi="宋体" w:eastAsia="宋体"/>
          <w:sz w:val="21"/>
          <w:szCs w:val="21"/>
        </w:rPr>
        <w:t xml:space="preserve">。</w:t>
      </w:r>
      <w:r/>
    </w:p>
    <w:p>
      <w:pPr>
        <w:pStyle w:val="99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.2</w:t>
      </w:r>
      <w:r>
        <w:rPr>
          <w:rFonts w:hint="eastAsia" w:ascii="宋体" w:hAnsi="宋体" w:eastAsia="宋体"/>
          <w:sz w:val="21"/>
          <w:szCs w:val="21"/>
        </w:rPr>
        <w:t xml:space="preserve">、投标人应按《投标报价表》</w:t>
      </w:r>
      <w:r>
        <w:rPr>
          <w:rFonts w:ascii="宋体" w:hAnsi="宋体" w:eastAsia="宋体"/>
          <w:sz w:val="21"/>
          <w:szCs w:val="21"/>
        </w:rPr>
        <w:t xml:space="preserve"> </w:t>
      </w:r>
      <w:r>
        <w:rPr>
          <w:rFonts w:hint="eastAsia" w:ascii="宋体" w:hAnsi="宋体" w:eastAsia="宋体"/>
          <w:sz w:val="21"/>
          <w:szCs w:val="21"/>
        </w:rPr>
        <w:t xml:space="preserve">中的全部货物和服务计算单价和总价。《投标报价表》</w:t>
      </w:r>
      <w:r>
        <w:rPr>
          <w:rFonts w:ascii="宋体" w:hAnsi="宋体" w:eastAsia="宋体"/>
          <w:sz w:val="21"/>
          <w:szCs w:val="21"/>
        </w:rPr>
        <w:t xml:space="preserve"> </w:t>
      </w:r>
      <w:r>
        <w:rPr>
          <w:rFonts w:hint="eastAsia" w:ascii="宋体" w:hAnsi="宋体" w:eastAsia="宋体"/>
          <w:sz w:val="21"/>
          <w:szCs w:val="21"/>
        </w:rPr>
        <w:t xml:space="preserve">中的每一单项均应计算并填写单价和总价，并由法定代表人或授权委托人签署。</w:t>
      </w:r>
      <w:r>
        <w:rPr>
          <w:rFonts w:ascii="宋体" w:hAnsi="宋体" w:eastAsia="宋体"/>
          <w:sz w:val="21"/>
          <w:szCs w:val="21"/>
        </w:rPr>
      </w:r>
      <w:r/>
    </w:p>
    <w:p>
      <w:pPr>
        <w:pStyle w:val="990"/>
        <w:ind w:right="-252" w:firstLine="409"/>
        <w:jc w:val="both"/>
        <w:spacing w:line="360" w:lineRule="auto"/>
        <w:rPr>
          <w:rFonts w:ascii="宋体" w:hAnsi="宋体" w:eastAsia="宋体"/>
          <w:dstrike/>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b/>
          <w:sz w:val="21"/>
          <w:szCs w:val="21"/>
        </w:rPr>
        <w:t xml:space="preserve">投标人应对招标文件内所要采购的全部内容进行报价，只投其中部分内容者，其标书将被拒绝。</w:t>
      </w:r>
      <w:r>
        <w:rPr>
          <w:rFonts w:ascii="宋体" w:hAnsi="宋体" w:eastAsia="宋体"/>
          <w:dstrike/>
          <w:sz w:val="21"/>
          <w:szCs w:val="21"/>
        </w:rPr>
      </w:r>
      <w:r/>
    </w:p>
    <w:p>
      <w:pPr>
        <w:pStyle w:val="990"/>
        <w:ind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.4</w:t>
      </w:r>
      <w:r>
        <w:rPr>
          <w:rFonts w:hint="eastAsia" w:ascii="宋体" w:hAnsi="宋体" w:eastAsia="宋体"/>
          <w:sz w:val="21"/>
          <w:szCs w:val="21"/>
        </w:rPr>
        <w:t xml:space="preserve">、一项投标内容只允许一个报价，招标人不接受任何有选择性的投标报价。</w:t>
      </w:r>
      <w:r>
        <w:rPr>
          <w:rFonts w:ascii="宋体" w:hAnsi="宋体" w:eastAsia="宋体"/>
          <w:sz w:val="21"/>
          <w:szCs w:val="21"/>
        </w:rPr>
      </w:r>
      <w:r/>
    </w:p>
    <w:p>
      <w:pPr>
        <w:pStyle w:val="990"/>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、投标文件报价中的单价和总价全部采用人民币表示，除非合同的特殊条款另有规定。</w:t>
      </w:r>
      <w:r/>
    </w:p>
    <w:p>
      <w:pPr>
        <w:pStyle w:val="990"/>
        <w:ind w:firstLine="409"/>
        <w:jc w:val="both"/>
        <w:spacing w:line="360" w:lineRule="auto"/>
        <w:rPr>
          <w:rFonts w:ascii="宋体" w:hAnsi="宋体" w:eastAsia="宋体"/>
          <w:sz w:val="21"/>
          <w:szCs w:val="21"/>
        </w:rPr>
      </w:pPr>
      <w:r>
        <w:rPr>
          <w:rFonts w:hint="eastAsia" w:ascii="宋体" w:hAnsi="宋体" w:eastAsia="宋体"/>
          <w:sz w:val="21"/>
          <w:szCs w:val="21"/>
        </w:rPr>
        <w:t xml:space="preserve">4.6、招标人提供的工程量清单供投标人参考，投标人认为招标人提供的工程量清单有错项、漏项、描述不清的，投标人在招标答疑期提出，经招标人确认后，由招标人按规定以补充通知方式调整、修改。答疑之后，如投标人仍有异议，投标人可以将调整工程量或（和）工程项目添加至《补充分部分项工程量清单与计价表》内。中标之后，不得以招标清单错项、漏项、描述不清等任何理由提出增加费用等要求。</w:t>
      </w:r>
      <w:r>
        <w:rPr>
          <w:rFonts w:ascii="宋体" w:hAnsi="宋体" w:eastAsia="宋体"/>
          <w:sz w:val="21"/>
          <w:szCs w:val="21"/>
        </w:rPr>
      </w:r>
      <w:r/>
    </w:p>
    <w:p>
      <w:pPr>
        <w:pStyle w:val="990"/>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7、最低报价不能作为中标的保证。</w:t>
      </w:r>
      <w:r/>
    </w:p>
    <w:p>
      <w:pPr>
        <w:pStyle w:val="967"/>
        <w:ind w:firstLine="411"/>
        <w:spacing w:line="360" w:lineRule="auto"/>
        <w:rPr>
          <w:rFonts w:ascii="宋体" w:hAnsi="宋体"/>
          <w:b/>
          <w:szCs w:val="21"/>
        </w:rPr>
      </w:pPr>
      <w:r>
        <w:rPr>
          <w:rFonts w:hint="eastAsia" w:ascii="宋体" w:hAnsi="宋体"/>
          <w:b/>
          <w:szCs w:val="21"/>
        </w:rPr>
        <w:t xml:space="preserve">5. 投标文件的有效期</w:t>
      </w:r>
      <w:r>
        <w:rPr>
          <w:rFonts w:ascii="宋体" w:hAnsi="宋体"/>
          <w:b/>
          <w:szCs w:val="21"/>
        </w:rPr>
      </w:r>
      <w:r/>
    </w:p>
    <w:p>
      <w:pPr>
        <w:pStyle w:val="967"/>
        <w:ind w:firstLine="409"/>
        <w:spacing w:line="360" w:lineRule="auto"/>
        <w:rPr>
          <w:rFonts w:ascii="宋体" w:hAnsi="宋体"/>
          <w:szCs w:val="21"/>
        </w:rPr>
      </w:pPr>
      <w:r>
        <w:rPr>
          <w:rFonts w:hint="eastAsia" w:ascii="宋体" w:hAnsi="宋体"/>
          <w:szCs w:val="21"/>
        </w:rPr>
        <w:t xml:space="preserve">5.1、自开标日起60天内，投标书应保持有效。有效期短于这个规定期限的投标，将被拒绝。</w:t>
      </w:r>
      <w:r>
        <w:rPr>
          <w:rFonts w:ascii="宋体" w:hAnsi="宋体"/>
          <w:szCs w:val="21"/>
        </w:rPr>
      </w:r>
      <w:r/>
    </w:p>
    <w:p>
      <w:pPr>
        <w:pStyle w:val="967"/>
        <w:ind w:right="-252" w:firstLine="409"/>
        <w:spacing w:line="360" w:lineRule="auto"/>
        <w:rPr>
          <w:rFonts w:hint="eastAsia" w:ascii="宋体" w:hAnsi="宋体"/>
          <w:szCs w:val="21"/>
        </w:rPr>
      </w:pPr>
      <w:r>
        <w:rPr>
          <w:rFonts w:hint="eastAsia" w:ascii="宋体" w:hAnsi="宋体"/>
          <w:szCs w:val="21"/>
        </w:rPr>
        <w:t xml:space="preserve">5.2、在特殊情况下，招标人可与投标人协商延长投标书的有效期。这种要求和答复都应以书面、传真或媒体发布的方式进行。</w:t>
      </w:r>
      <w:r>
        <w:rPr>
          <w:rFonts w:ascii="宋体" w:hAnsi="宋体"/>
          <w:szCs w:val="21"/>
        </w:rPr>
        <w:t xml:space="preserve"> </w:t>
      </w:r>
      <w:r>
        <w:rPr>
          <w:rFonts w:hint="eastAsia" w:ascii="宋体" w:hAnsi="宋体"/>
          <w:szCs w:val="21"/>
        </w:rPr>
        <w:t xml:space="preserve">同意延长有效期的投标人不能修改投标文件。拒绝接受延期要求的投标人的投标将被拒绝。</w:t>
      </w:r>
      <w:r/>
    </w:p>
    <w:p>
      <w:pPr>
        <w:pStyle w:val="967"/>
        <w:ind w:right="-252" w:firstLine="409"/>
        <w:spacing w:line="360" w:lineRule="auto"/>
        <w:rPr>
          <w:rFonts w:hint="eastAsia" w:ascii="宋体" w:hAnsi="宋体"/>
          <w:szCs w:val="21"/>
        </w:rPr>
      </w:pPr>
      <w:r>
        <w:rPr>
          <w:rFonts w:hint="eastAsia" w:ascii="宋体" w:hAnsi="宋体"/>
          <w:szCs w:val="21"/>
        </w:rPr>
        <w:t xml:space="preserve">五、投标文件的制作</w:t>
      </w:r>
      <w:r/>
    </w:p>
    <w:p>
      <w:pPr>
        <w:pStyle w:val="967"/>
        <w:ind w:right="-252" w:firstLine="409"/>
        <w:spacing w:line="360" w:lineRule="auto"/>
        <w:rPr>
          <w:rFonts w:hint="eastAsia" w:ascii="宋体" w:hAnsi="宋体"/>
          <w:szCs w:val="21"/>
        </w:rPr>
      </w:pPr>
      <w:r>
        <w:rPr>
          <w:rFonts w:hint="eastAsia" w:ascii="宋体" w:hAnsi="宋体"/>
          <w:szCs w:val="21"/>
        </w:rPr>
        <w:t xml:space="preserve">1.本项目采用电子招投标形式，请供应商按照《苏采云系统供应商操作手册》进行制作、上传电子投标文件。</w:t>
      </w:r>
      <w:r/>
    </w:p>
    <w:p>
      <w:pPr>
        <w:pStyle w:val="967"/>
        <w:ind w:right="-252" w:firstLine="409"/>
        <w:spacing w:line="360" w:lineRule="auto"/>
        <w:rPr>
          <w:rFonts w:hint="eastAsia" w:ascii="宋体" w:hAnsi="宋体"/>
          <w:szCs w:val="21"/>
        </w:rPr>
      </w:pPr>
      <w:r>
        <w:rPr>
          <w:rFonts w:hint="eastAsia" w:ascii="宋体" w:hAnsi="宋体"/>
          <w:szCs w:val="21"/>
        </w:rPr>
        <w:t xml:space="preserve">2.制作电子投标文件时，应按照招标文件要求加盖投标人电子公章。</w:t>
      </w:r>
      <w:r/>
    </w:p>
    <w:p>
      <w:pPr>
        <w:pStyle w:val="967"/>
        <w:ind w:right="-252" w:firstLine="409"/>
        <w:spacing w:line="360" w:lineRule="auto"/>
        <w:rPr>
          <w:rFonts w:hint="eastAsia" w:ascii="宋体" w:hAnsi="宋体"/>
          <w:szCs w:val="21"/>
        </w:rPr>
      </w:pPr>
      <w:r>
        <w:rPr>
          <w:rFonts w:hint="eastAsia" w:ascii="宋体" w:hAnsi="宋体"/>
          <w:szCs w:val="21"/>
        </w:rPr>
        <w:t xml:space="preserve">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967"/>
        <w:ind w:right="-252" w:firstLine="409"/>
        <w:spacing w:line="360" w:lineRule="auto"/>
        <w:rPr>
          <w:rFonts w:hint="eastAsia" w:ascii="宋体" w:hAnsi="宋体"/>
          <w:szCs w:val="21"/>
        </w:rPr>
      </w:pPr>
      <w:r>
        <w:rPr>
          <w:rFonts w:hint="eastAsia" w:ascii="宋体" w:hAnsi="宋体"/>
          <w:szCs w:val="21"/>
        </w:rPr>
        <w:t xml:space="preserve">4．投标文件的递交</w:t>
      </w:r>
      <w:r/>
    </w:p>
    <w:p>
      <w:pPr>
        <w:pStyle w:val="967"/>
        <w:ind w:right="-252" w:firstLine="409"/>
        <w:spacing w:line="360" w:lineRule="auto"/>
        <w:rPr>
          <w:rFonts w:hint="eastAsia" w:ascii="宋体" w:hAnsi="宋体"/>
          <w:szCs w:val="21"/>
        </w:rPr>
      </w:pPr>
      <w:r>
        <w:rPr>
          <w:rFonts w:hint="eastAsia" w:ascii="宋体" w:hAnsi="宋体"/>
          <w:szCs w:val="21"/>
        </w:rPr>
        <w:t xml:space="preserve">4.1 电子投标文件的递交</w:t>
      </w:r>
      <w:r/>
    </w:p>
    <w:p>
      <w:pPr>
        <w:pStyle w:val="967"/>
        <w:ind w:right="-252" w:firstLine="409"/>
        <w:spacing w:line="360" w:lineRule="auto"/>
        <w:rPr>
          <w:rFonts w:hint="eastAsia" w:ascii="宋体" w:hAnsi="宋体"/>
          <w:szCs w:val="21"/>
        </w:rPr>
      </w:pPr>
      <w:r>
        <w:rPr>
          <w:rFonts w:hint="eastAsia" w:ascii="宋体" w:hAnsi="宋体"/>
          <w:szCs w:val="21"/>
        </w:rPr>
        <w:t xml:space="preserve">4.1.1投标人应当在在投标截止时间前制作并上传电子投标文件。</w:t>
      </w:r>
      <w:r/>
    </w:p>
    <w:p>
      <w:pPr>
        <w:pStyle w:val="967"/>
        <w:ind w:right="-252" w:firstLine="409"/>
        <w:spacing w:line="360" w:lineRule="auto"/>
        <w:rPr>
          <w:rFonts w:hint="eastAsia" w:ascii="宋体" w:hAnsi="宋体"/>
          <w:szCs w:val="21"/>
        </w:rPr>
      </w:pPr>
      <w:r>
        <w:rPr>
          <w:rFonts w:hint="eastAsia" w:ascii="宋体" w:hAnsi="宋体"/>
          <w:szCs w:val="21"/>
        </w:rPr>
        <w:t xml:space="preserve">4.1.2投标人通过“苏采云”系统不见面开标大厅在线参与开标活动。（具体操作详见《苏采云系统供应商操作手册》，网址链接https://czju.suzhou.gov.cn/zfcg/html/content/20231220161910031.shtml）</w:t>
      </w:r>
      <w:r/>
    </w:p>
    <w:p>
      <w:pPr>
        <w:pStyle w:val="967"/>
        <w:ind w:right="-252" w:firstLine="409"/>
        <w:spacing w:line="360" w:lineRule="auto"/>
        <w:rPr>
          <w:rFonts w:hint="eastAsia" w:ascii="宋体" w:hAnsi="宋体"/>
          <w:szCs w:val="21"/>
        </w:rPr>
      </w:pPr>
      <w:r>
        <w:rPr>
          <w:rFonts w:hint="eastAsia" w:ascii="宋体" w:hAnsi="宋体"/>
          <w:szCs w:val="21"/>
        </w:rPr>
        <w:t xml:space="preserve">5．投标截止时间</w:t>
      </w:r>
      <w:r/>
    </w:p>
    <w:p>
      <w:pPr>
        <w:pStyle w:val="967"/>
        <w:ind w:right="-252" w:firstLine="409"/>
        <w:spacing w:line="360" w:lineRule="auto"/>
        <w:rPr>
          <w:rFonts w:hint="eastAsia" w:ascii="宋体" w:hAnsi="宋体"/>
          <w:szCs w:val="21"/>
        </w:rPr>
      </w:pPr>
      <w:r>
        <w:rPr>
          <w:rFonts w:hint="eastAsia" w:ascii="宋体" w:hAnsi="宋体"/>
          <w:szCs w:val="21"/>
        </w:rPr>
        <w:t xml:space="preserve">5.1 投标人上传电子投标文件的时间不得迟于招标公告中规定的投标截止时间。</w:t>
      </w:r>
      <w:r/>
    </w:p>
    <w:p>
      <w:pPr>
        <w:pStyle w:val="967"/>
        <w:ind w:right="-252" w:firstLine="409"/>
        <w:spacing w:line="360" w:lineRule="auto"/>
        <w:rPr>
          <w:rFonts w:hint="eastAsia" w:ascii="宋体" w:hAnsi="宋体"/>
          <w:szCs w:val="21"/>
        </w:rPr>
      </w:pPr>
      <w:r>
        <w:rPr>
          <w:rFonts w:hint="eastAsia" w:ascii="宋体" w:hAnsi="宋体"/>
          <w:szCs w:val="21"/>
        </w:rPr>
        <w:t xml:space="preserve">投标人应充分考虑到网络环境、网络带宽等风险因素，如因投标人自身原因造成的电子投标文件上传不成功的按照本招标文件无效条款相关规定做无效投标处理。</w:t>
      </w:r>
      <w:r/>
    </w:p>
    <w:p>
      <w:pPr>
        <w:pStyle w:val="967"/>
        <w:ind w:right="-252" w:firstLine="409"/>
        <w:spacing w:line="360" w:lineRule="auto"/>
        <w:rPr>
          <w:rFonts w:hint="eastAsia" w:ascii="宋体" w:hAnsi="宋体"/>
          <w:szCs w:val="21"/>
        </w:rPr>
      </w:pPr>
      <w:r>
        <w:rPr>
          <w:rFonts w:hint="eastAsia" w:ascii="宋体" w:hAnsi="宋体"/>
          <w:szCs w:val="21"/>
        </w:rPr>
        <w:t xml:space="preserve">5.2采购人和采购代理机构推迟投标截止时间时，将按本须知规定的更正公告的方式对外发布。在这种情况下，采购人、采购代理机构和投标人的权利和义务将受到新的截止期的约束。</w:t>
      </w:r>
      <w:r/>
    </w:p>
    <w:p>
      <w:pPr>
        <w:pStyle w:val="967"/>
        <w:ind w:right="-252" w:firstLine="409"/>
        <w:spacing w:line="360" w:lineRule="auto"/>
        <w:rPr>
          <w:rFonts w:hint="eastAsia" w:ascii="宋体" w:hAnsi="宋体"/>
          <w:szCs w:val="21"/>
        </w:rPr>
      </w:pPr>
      <w:r>
        <w:rPr>
          <w:rFonts w:hint="eastAsia" w:ascii="宋体" w:hAnsi="宋体"/>
          <w:szCs w:val="21"/>
        </w:rPr>
        <w:t xml:space="preserve">6.投标文件的拒收</w:t>
      </w:r>
      <w:r/>
    </w:p>
    <w:p>
      <w:pPr>
        <w:pStyle w:val="967"/>
        <w:ind w:right="-252" w:firstLine="409"/>
        <w:spacing w:line="360" w:lineRule="auto"/>
        <w:rPr>
          <w:rFonts w:hint="eastAsia" w:ascii="宋体" w:hAnsi="宋体"/>
          <w:szCs w:val="21"/>
        </w:rPr>
      </w:pPr>
      <w:r>
        <w:rPr>
          <w:rFonts w:hint="eastAsia" w:ascii="宋体" w:hAnsi="宋体"/>
          <w:szCs w:val="21"/>
        </w:rPr>
        <w:t xml:space="preserve">6.1代理机构拒绝接收在其规定的投标截止时间后上传的任何投标文件。</w:t>
      </w:r>
      <w:r/>
    </w:p>
    <w:p>
      <w:pPr>
        <w:pStyle w:val="967"/>
        <w:ind w:right="-252" w:firstLine="409"/>
        <w:spacing w:line="360" w:lineRule="auto"/>
        <w:rPr>
          <w:rFonts w:hint="eastAsia" w:ascii="宋体" w:hAnsi="宋体"/>
          <w:szCs w:val="21"/>
        </w:rPr>
      </w:pPr>
      <w:r>
        <w:rPr>
          <w:rFonts w:hint="eastAsia" w:ascii="宋体" w:hAnsi="宋体"/>
          <w:szCs w:val="21"/>
        </w:rPr>
        <w:t xml:space="preserve">7．投标文件的撤回和修改</w:t>
      </w:r>
      <w:r/>
    </w:p>
    <w:p>
      <w:pPr>
        <w:pStyle w:val="967"/>
        <w:ind w:right="-252" w:firstLine="409"/>
        <w:spacing w:line="360" w:lineRule="auto"/>
        <w:rPr>
          <w:rFonts w:hint="eastAsia" w:ascii="宋体" w:hAnsi="宋体"/>
          <w:szCs w:val="21"/>
        </w:rPr>
      </w:pPr>
      <w:r>
        <w:rPr>
          <w:rFonts w:hint="eastAsia" w:ascii="宋体" w:hAnsi="宋体"/>
          <w:szCs w:val="21"/>
        </w:rPr>
        <w:t xml:space="preserve">7.1 投标文件的撤回</w:t>
      </w:r>
      <w:r/>
    </w:p>
    <w:p>
      <w:pPr>
        <w:pStyle w:val="967"/>
        <w:ind w:right="-252" w:firstLine="409"/>
        <w:spacing w:line="360" w:lineRule="auto"/>
        <w:rPr>
          <w:rFonts w:hint="eastAsia" w:ascii="宋体" w:hAnsi="宋体"/>
          <w:szCs w:val="21"/>
        </w:rPr>
      </w:pPr>
      <w:r>
        <w:rPr>
          <w:rFonts w:hint="eastAsia" w:ascii="宋体" w:hAnsi="宋体"/>
          <w:szCs w:val="21"/>
        </w:rPr>
        <w:t xml:space="preserve">7.1.1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67"/>
        <w:ind w:right="-252" w:firstLine="409"/>
        <w:spacing w:line="360" w:lineRule="auto"/>
        <w:rPr>
          <w:rFonts w:ascii="宋体" w:hAnsi="宋体"/>
          <w:szCs w:val="21"/>
        </w:rPr>
      </w:pPr>
      <w:r>
        <w:rPr>
          <w:rFonts w:hint="eastAsia" w:ascii="宋体" w:hAnsi="宋体"/>
          <w:szCs w:val="21"/>
        </w:rPr>
        <w:t xml:space="preserve">7.1.2投标人在投标文件网上提交截止时间前，可以撤回其电子投标文件，具体操作方法见《苏采云系统供应商操作手册》。投标人撤回电子投标文件，则认为其不再参与本项目投标活动。</w:t>
      </w:r>
      <w:r>
        <w:rPr>
          <w:rFonts w:ascii="宋体" w:hAnsi="宋体"/>
          <w:szCs w:val="21"/>
        </w:rPr>
      </w:r>
      <w:r/>
    </w:p>
    <w:p>
      <w:pPr>
        <w:pStyle w:val="967"/>
        <w:ind w:firstLine="411"/>
        <w:spacing w:line="360" w:lineRule="auto"/>
        <w:rPr>
          <w:rFonts w:hint="eastAsia" w:ascii="宋体" w:hAnsi="宋体"/>
          <w:b/>
          <w:szCs w:val="21"/>
        </w:rPr>
      </w:pPr>
      <w:r>
        <w:rPr>
          <w:rFonts w:hint="eastAsia" w:ascii="宋体" w:hAnsi="宋体"/>
          <w:b/>
          <w:szCs w:val="21"/>
        </w:rPr>
        <w:t xml:space="preserve">六、开标和评标</w:t>
      </w:r>
      <w:r/>
    </w:p>
    <w:p>
      <w:pPr>
        <w:pStyle w:val="967"/>
        <w:ind w:firstLine="409"/>
        <w:spacing w:line="360" w:lineRule="auto"/>
        <w:rPr>
          <w:rFonts w:hint="eastAsia" w:ascii="宋体" w:hAnsi="宋体"/>
          <w:szCs w:val="21"/>
        </w:rPr>
      </w:pPr>
      <w:r>
        <w:rPr>
          <w:rFonts w:hint="eastAsia" w:ascii="宋体" w:hAnsi="宋体"/>
          <w:szCs w:val="21"/>
        </w:rPr>
        <w:t xml:space="preserve">1、开标</w:t>
      </w:r>
      <w:r/>
    </w:p>
    <w:p>
      <w:pPr>
        <w:pStyle w:val="967"/>
        <w:ind w:firstLine="409"/>
        <w:spacing w:line="360" w:lineRule="auto"/>
        <w:rPr>
          <w:rFonts w:hint="eastAsia" w:ascii="宋体" w:hAnsi="宋体"/>
          <w:szCs w:val="21"/>
        </w:rPr>
      </w:pPr>
      <w:r>
        <w:rPr>
          <w:rFonts w:hint="eastAsia" w:ascii="宋体" w:hAnsi="宋体"/>
          <w:szCs w:val="21"/>
        </w:rPr>
        <w:t xml:space="preserve">1.1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967"/>
        <w:ind w:firstLine="409"/>
        <w:spacing w:line="360" w:lineRule="auto"/>
        <w:rPr>
          <w:rFonts w:hint="eastAsia" w:ascii="宋体" w:hAnsi="宋体"/>
          <w:szCs w:val="21"/>
        </w:rPr>
      </w:pPr>
      <w:r>
        <w:rPr>
          <w:rFonts w:hint="eastAsia" w:ascii="宋体" w:hAnsi="宋体"/>
          <w:szCs w:val="21"/>
        </w:rPr>
        <w:t xml:space="preserve">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67"/>
        <w:ind w:firstLine="409"/>
        <w:spacing w:line="360" w:lineRule="auto"/>
        <w:rPr>
          <w:rFonts w:hint="eastAsia" w:ascii="宋体" w:hAnsi="宋体"/>
          <w:szCs w:val="21"/>
        </w:rPr>
      </w:pPr>
      <w:r>
        <w:rPr>
          <w:rFonts w:hint="eastAsia" w:ascii="宋体" w:hAnsi="宋体"/>
          <w:szCs w:val="21"/>
        </w:rPr>
        <w:t xml:space="preserve">2．评标委员会</w:t>
      </w:r>
      <w:r/>
    </w:p>
    <w:p>
      <w:pPr>
        <w:pStyle w:val="967"/>
        <w:ind w:firstLine="409"/>
        <w:spacing w:line="360" w:lineRule="auto"/>
        <w:rPr>
          <w:rFonts w:hint="eastAsia" w:ascii="宋体" w:hAnsi="宋体"/>
          <w:szCs w:val="21"/>
        </w:rPr>
      </w:pPr>
      <w:r>
        <w:rPr>
          <w:rFonts w:hint="eastAsia" w:ascii="宋体" w:hAnsi="宋体"/>
          <w:szCs w:val="21"/>
        </w:rPr>
        <w:t xml:space="preserve">2.1评标委员会负责具体评标事务，并独立履行下列职责：</w:t>
      </w:r>
      <w:r/>
    </w:p>
    <w:p>
      <w:pPr>
        <w:pStyle w:val="967"/>
        <w:ind w:firstLine="409"/>
        <w:spacing w:line="360" w:lineRule="auto"/>
        <w:rPr>
          <w:rFonts w:hint="eastAsia" w:ascii="宋体" w:hAnsi="宋体"/>
          <w:szCs w:val="21"/>
        </w:rPr>
      </w:pPr>
      <w:r>
        <w:rPr>
          <w:rFonts w:hint="eastAsia" w:ascii="宋体" w:hAnsi="宋体"/>
          <w:szCs w:val="21"/>
        </w:rPr>
        <w:t xml:space="preserve">2.1.1审查、评价投标文件是否符合招标文件的商务、技术等实质性要求；</w:t>
      </w:r>
      <w:r/>
    </w:p>
    <w:p>
      <w:pPr>
        <w:pStyle w:val="967"/>
        <w:ind w:firstLine="409"/>
        <w:spacing w:line="360" w:lineRule="auto"/>
        <w:rPr>
          <w:rFonts w:hint="eastAsia" w:ascii="宋体" w:hAnsi="宋体"/>
          <w:szCs w:val="21"/>
        </w:rPr>
      </w:pPr>
      <w:r>
        <w:rPr>
          <w:rFonts w:hint="eastAsia" w:ascii="宋体" w:hAnsi="宋体"/>
          <w:szCs w:val="21"/>
        </w:rPr>
        <w:t xml:space="preserve">2.1.2要求投标人对投标文件有关事项作出澄清或者说明；</w:t>
      </w:r>
      <w:r/>
    </w:p>
    <w:p>
      <w:pPr>
        <w:pStyle w:val="967"/>
        <w:ind w:firstLine="409"/>
        <w:spacing w:line="360" w:lineRule="auto"/>
        <w:rPr>
          <w:rFonts w:hint="eastAsia" w:ascii="宋体" w:hAnsi="宋体"/>
          <w:szCs w:val="21"/>
        </w:rPr>
      </w:pPr>
      <w:r>
        <w:rPr>
          <w:rFonts w:hint="eastAsia" w:ascii="宋体" w:hAnsi="宋体"/>
          <w:szCs w:val="21"/>
        </w:rPr>
        <w:t xml:space="preserve">2.1.3对投标文件进行比较和评价；</w:t>
      </w:r>
      <w:r/>
    </w:p>
    <w:p>
      <w:pPr>
        <w:pStyle w:val="967"/>
        <w:ind w:firstLine="409"/>
        <w:spacing w:line="360" w:lineRule="auto"/>
        <w:rPr>
          <w:rFonts w:hint="eastAsia" w:ascii="宋体" w:hAnsi="宋体"/>
          <w:szCs w:val="21"/>
        </w:rPr>
      </w:pPr>
      <w:r>
        <w:rPr>
          <w:rFonts w:hint="eastAsia" w:ascii="宋体" w:hAnsi="宋体"/>
          <w:szCs w:val="21"/>
        </w:rPr>
        <w:t xml:space="preserve">2.1.4确定中标候选人名单，以及根据采购人委托直接确定中标人；</w:t>
      </w:r>
      <w:r/>
    </w:p>
    <w:p>
      <w:pPr>
        <w:pStyle w:val="967"/>
        <w:ind w:firstLine="409"/>
        <w:spacing w:line="360" w:lineRule="auto"/>
        <w:rPr>
          <w:rFonts w:hint="eastAsia" w:ascii="宋体" w:hAnsi="宋体"/>
          <w:szCs w:val="21"/>
        </w:rPr>
      </w:pPr>
      <w:r>
        <w:rPr>
          <w:rFonts w:hint="eastAsia" w:ascii="宋体" w:hAnsi="宋体"/>
          <w:szCs w:val="21"/>
        </w:rPr>
        <w:t xml:space="preserve">2.1.5向采购人、采购代理机构或者有关部门报告评标中发现的违法行为。</w:t>
      </w:r>
      <w:r/>
    </w:p>
    <w:p>
      <w:pPr>
        <w:pStyle w:val="967"/>
        <w:ind w:firstLine="409"/>
        <w:spacing w:line="360" w:lineRule="auto"/>
        <w:rPr>
          <w:rFonts w:hint="eastAsia" w:ascii="宋体" w:hAnsi="宋体"/>
          <w:szCs w:val="21"/>
        </w:rPr>
      </w:pPr>
      <w:r>
        <w:rPr>
          <w:rFonts w:hint="eastAsia" w:ascii="宋体" w:hAnsi="宋体"/>
          <w:szCs w:val="21"/>
        </w:rPr>
        <w:t xml:space="preserve">2.2评标委员会成员应当履行下列义务：</w:t>
      </w:r>
      <w:r/>
    </w:p>
    <w:p>
      <w:pPr>
        <w:pStyle w:val="967"/>
        <w:ind w:firstLine="409"/>
        <w:spacing w:line="360" w:lineRule="auto"/>
        <w:rPr>
          <w:rFonts w:hint="eastAsia" w:ascii="宋体" w:hAnsi="宋体"/>
          <w:szCs w:val="21"/>
        </w:rPr>
      </w:pPr>
      <w:r>
        <w:rPr>
          <w:rFonts w:hint="eastAsia" w:ascii="宋体" w:hAnsi="宋体"/>
          <w:szCs w:val="21"/>
        </w:rPr>
        <w:t xml:space="preserve">2.2.1遵纪守法，客观、公正、廉洁地履行职责；</w:t>
      </w:r>
      <w:r/>
    </w:p>
    <w:p>
      <w:pPr>
        <w:pStyle w:val="967"/>
        <w:ind w:firstLine="409"/>
        <w:spacing w:line="360" w:lineRule="auto"/>
        <w:rPr>
          <w:rFonts w:hint="eastAsia" w:ascii="宋体" w:hAnsi="宋体"/>
          <w:szCs w:val="21"/>
        </w:rPr>
      </w:pPr>
      <w:r>
        <w:rPr>
          <w:rFonts w:hint="eastAsia" w:ascii="宋体" w:hAnsi="宋体"/>
          <w:szCs w:val="21"/>
        </w:rPr>
        <w:t xml:space="preserve">2.2.2按照招标文件规定的评标办法和评标标准进行评标，对评审意见承担个人责任；</w:t>
      </w:r>
      <w:r/>
    </w:p>
    <w:p>
      <w:pPr>
        <w:pStyle w:val="967"/>
        <w:ind w:firstLine="409"/>
        <w:spacing w:line="360" w:lineRule="auto"/>
        <w:rPr>
          <w:rFonts w:hint="eastAsia" w:ascii="宋体" w:hAnsi="宋体"/>
          <w:szCs w:val="21"/>
        </w:rPr>
      </w:pPr>
      <w:r>
        <w:rPr>
          <w:rFonts w:hint="eastAsia" w:ascii="宋体" w:hAnsi="宋体"/>
          <w:szCs w:val="21"/>
        </w:rPr>
        <w:t xml:space="preserve">2.2.3对评标过程和结果，以及投标人的商业秘密保密；</w:t>
      </w:r>
      <w:r/>
    </w:p>
    <w:p>
      <w:pPr>
        <w:pStyle w:val="967"/>
        <w:ind w:firstLine="409"/>
        <w:spacing w:line="360" w:lineRule="auto"/>
        <w:rPr>
          <w:rFonts w:hint="eastAsia" w:ascii="宋体" w:hAnsi="宋体"/>
          <w:szCs w:val="21"/>
        </w:rPr>
      </w:pPr>
      <w:r>
        <w:rPr>
          <w:rFonts w:hint="eastAsia" w:ascii="宋体" w:hAnsi="宋体"/>
          <w:szCs w:val="21"/>
        </w:rPr>
        <w:t xml:space="preserve">2.2.4评标委员会根据全体评标成员签字的原始评标记录和评标结果编写评标报告。评标报告应当包括以下内容：</w:t>
      </w:r>
      <w:r/>
    </w:p>
    <w:p>
      <w:pPr>
        <w:pStyle w:val="967"/>
        <w:ind w:firstLine="409"/>
        <w:spacing w:line="360" w:lineRule="auto"/>
        <w:rPr>
          <w:rFonts w:hint="eastAsia" w:ascii="宋体" w:hAnsi="宋体"/>
          <w:szCs w:val="21"/>
        </w:rPr>
      </w:pPr>
      <w:r>
        <w:rPr>
          <w:rFonts w:hint="eastAsia" w:ascii="宋体" w:hAnsi="宋体"/>
          <w:szCs w:val="21"/>
        </w:rPr>
        <w:t xml:space="preserve">2.2.4.1招标公告刊登的媒体名称、开标日期和地点；</w:t>
      </w:r>
      <w:r/>
    </w:p>
    <w:p>
      <w:pPr>
        <w:pStyle w:val="967"/>
        <w:ind w:firstLine="409"/>
        <w:spacing w:line="360" w:lineRule="auto"/>
        <w:rPr>
          <w:rFonts w:hint="eastAsia" w:ascii="宋体" w:hAnsi="宋体"/>
          <w:szCs w:val="21"/>
        </w:rPr>
      </w:pPr>
      <w:r>
        <w:rPr>
          <w:rFonts w:hint="eastAsia" w:ascii="宋体" w:hAnsi="宋体"/>
          <w:szCs w:val="21"/>
        </w:rPr>
        <w:t xml:space="preserve">2.2.4.2投标人名单和评标委员会成员名单；</w:t>
      </w:r>
      <w:r/>
    </w:p>
    <w:p>
      <w:pPr>
        <w:pStyle w:val="967"/>
        <w:ind w:firstLine="409"/>
        <w:spacing w:line="360" w:lineRule="auto"/>
        <w:rPr>
          <w:rFonts w:hint="eastAsia" w:ascii="宋体" w:hAnsi="宋体"/>
          <w:szCs w:val="21"/>
        </w:rPr>
      </w:pPr>
      <w:r>
        <w:rPr>
          <w:rFonts w:hint="eastAsia" w:ascii="宋体" w:hAnsi="宋体"/>
          <w:szCs w:val="21"/>
        </w:rPr>
        <w:t xml:space="preserve">2.2.4.3评标方法和标准；</w:t>
      </w:r>
      <w:r/>
    </w:p>
    <w:p>
      <w:pPr>
        <w:pStyle w:val="967"/>
        <w:ind w:firstLine="409"/>
        <w:spacing w:line="360" w:lineRule="auto"/>
        <w:rPr>
          <w:rFonts w:hint="eastAsia" w:ascii="宋体" w:hAnsi="宋体"/>
          <w:szCs w:val="21"/>
        </w:rPr>
      </w:pPr>
      <w:r>
        <w:rPr>
          <w:rFonts w:hint="eastAsia" w:ascii="宋体" w:hAnsi="宋体"/>
          <w:szCs w:val="21"/>
        </w:rPr>
        <w:t xml:space="preserve">2.2.4.4开标记录和评标情况及说明，包括无效投标人名单及原因；</w:t>
      </w:r>
      <w:r/>
    </w:p>
    <w:p>
      <w:pPr>
        <w:pStyle w:val="967"/>
        <w:ind w:firstLine="409"/>
        <w:spacing w:line="360" w:lineRule="auto"/>
        <w:rPr>
          <w:rFonts w:hint="eastAsia" w:ascii="宋体" w:hAnsi="宋体"/>
          <w:szCs w:val="21"/>
        </w:rPr>
      </w:pPr>
      <w:r>
        <w:rPr>
          <w:rFonts w:hint="eastAsia" w:ascii="宋体" w:hAnsi="宋体"/>
          <w:szCs w:val="21"/>
        </w:rPr>
        <w:t xml:space="preserve">2.2.4.5评标结果，确定的中标候选人名单或者经采购人委托直接确定的中标人；</w:t>
      </w:r>
      <w:r/>
    </w:p>
    <w:p>
      <w:pPr>
        <w:pStyle w:val="967"/>
        <w:ind w:firstLine="409"/>
        <w:spacing w:line="360" w:lineRule="auto"/>
        <w:rPr>
          <w:rFonts w:hint="eastAsia" w:ascii="宋体" w:hAnsi="宋体"/>
          <w:szCs w:val="21"/>
        </w:rPr>
      </w:pPr>
      <w:r>
        <w:rPr>
          <w:rFonts w:hint="eastAsia" w:ascii="宋体" w:hAnsi="宋体"/>
          <w:szCs w:val="21"/>
        </w:rPr>
        <w:t xml:space="preserve">2.2.4.6其他需要说明的情况，包括评标过程中投标人根据评标委员会要求进行的澄清、说明或者补正，评标委员会成员的更换等。</w:t>
      </w:r>
      <w:r/>
    </w:p>
    <w:p>
      <w:pPr>
        <w:pStyle w:val="967"/>
        <w:ind w:firstLine="409"/>
        <w:spacing w:line="360" w:lineRule="auto"/>
        <w:rPr>
          <w:rFonts w:hint="eastAsia" w:ascii="宋体" w:hAnsi="宋体"/>
          <w:szCs w:val="21"/>
        </w:rPr>
      </w:pPr>
      <w:r>
        <w:rPr>
          <w:rFonts w:hint="eastAsia" w:ascii="宋体" w:hAnsi="宋体"/>
          <w:szCs w:val="21"/>
        </w:rPr>
        <w:t xml:space="preserve">2.2.5配合相关部门的投诉处理工作；</w:t>
      </w:r>
      <w:r/>
    </w:p>
    <w:p>
      <w:pPr>
        <w:pStyle w:val="967"/>
        <w:ind w:firstLine="409"/>
        <w:spacing w:line="360" w:lineRule="auto"/>
        <w:rPr>
          <w:rFonts w:hint="eastAsia" w:ascii="宋体" w:hAnsi="宋体"/>
          <w:szCs w:val="21"/>
        </w:rPr>
      </w:pPr>
      <w:r>
        <w:rPr>
          <w:rFonts w:hint="eastAsia" w:ascii="宋体" w:hAnsi="宋体"/>
          <w:szCs w:val="21"/>
        </w:rPr>
        <w:t xml:space="preserve">2.2.6配合采购人和采购代理机构答复投标人提出的质疑。</w:t>
      </w:r>
      <w:r/>
    </w:p>
    <w:p>
      <w:pPr>
        <w:pStyle w:val="967"/>
        <w:ind w:firstLine="409"/>
        <w:spacing w:line="360" w:lineRule="auto"/>
        <w:rPr>
          <w:rFonts w:hint="eastAsia" w:ascii="宋体" w:hAnsi="宋体"/>
          <w:szCs w:val="21"/>
        </w:rPr>
      </w:pPr>
      <w:r>
        <w:rPr>
          <w:rFonts w:hint="eastAsia" w:ascii="宋体" w:hAnsi="宋体"/>
          <w:szCs w:val="21"/>
        </w:rPr>
        <w:t xml:space="preserve">3.评标内容保密</w:t>
      </w:r>
      <w:r/>
    </w:p>
    <w:p>
      <w:pPr>
        <w:pStyle w:val="967"/>
        <w:ind w:firstLine="409"/>
        <w:spacing w:line="360" w:lineRule="auto"/>
        <w:rPr>
          <w:rFonts w:hint="eastAsia" w:ascii="宋体" w:hAnsi="宋体"/>
          <w:szCs w:val="21"/>
        </w:rPr>
      </w:pPr>
      <w:r>
        <w:rPr>
          <w:rFonts w:hint="eastAsia" w:ascii="宋体" w:hAnsi="宋体"/>
          <w:szCs w:val="21"/>
        </w:rPr>
        <w:t xml:space="preserve">3.1凡是与审查、澄清、评价和比较投标的有关资料以及授标建议等，采购人、评委、代理机构均不得向投标人或与评标无关的其他人员透露。</w:t>
      </w:r>
      <w:r/>
    </w:p>
    <w:p>
      <w:pPr>
        <w:pStyle w:val="967"/>
        <w:ind w:firstLine="409"/>
        <w:spacing w:line="360" w:lineRule="auto"/>
        <w:rPr>
          <w:rFonts w:hint="eastAsia" w:ascii="宋体" w:hAnsi="宋体"/>
          <w:szCs w:val="21"/>
        </w:rPr>
      </w:pPr>
      <w:r>
        <w:rPr>
          <w:rFonts w:hint="eastAsia" w:ascii="宋体" w:hAnsi="宋体"/>
          <w:szCs w:val="21"/>
        </w:rPr>
        <w:t xml:space="preserve">3.2在评标过程中，投标人不得以任何行为影响评标过程，否则其投标文件将被作为无效投标文件。</w:t>
      </w:r>
      <w:r/>
    </w:p>
    <w:p>
      <w:pPr>
        <w:pStyle w:val="967"/>
        <w:ind w:firstLine="409"/>
        <w:spacing w:line="360" w:lineRule="auto"/>
        <w:rPr>
          <w:rFonts w:hint="eastAsia" w:ascii="宋体" w:hAnsi="宋体"/>
          <w:szCs w:val="21"/>
        </w:rPr>
      </w:pPr>
      <w:r>
        <w:rPr>
          <w:rFonts w:hint="eastAsia" w:ascii="宋体" w:hAnsi="宋体"/>
          <w:szCs w:val="21"/>
        </w:rPr>
        <w:t xml:space="preserve">3.3 代理机构和评标委员会不向未中标的投标人解释未中标原因，也不公布评标过程中的相关细节。</w:t>
      </w:r>
      <w:r/>
    </w:p>
    <w:p>
      <w:pPr>
        <w:pStyle w:val="967"/>
        <w:ind w:firstLine="409"/>
        <w:spacing w:line="360" w:lineRule="auto"/>
        <w:rPr>
          <w:rFonts w:hint="eastAsia" w:ascii="宋体" w:hAnsi="宋体"/>
          <w:szCs w:val="21"/>
        </w:rPr>
      </w:pPr>
      <w:r>
        <w:rPr>
          <w:rFonts w:hint="eastAsia" w:ascii="宋体" w:hAnsi="宋体"/>
          <w:szCs w:val="21"/>
        </w:rPr>
        <w:t xml:space="preserve">3.4 采用综合评分法的项目，未中标的投标人中标结果公告发布后可通过苏采云系统查看自己的评审得分及排序情况。</w:t>
      </w:r>
      <w:r/>
    </w:p>
    <w:p>
      <w:pPr>
        <w:pStyle w:val="967"/>
        <w:ind w:firstLine="409"/>
        <w:spacing w:line="360" w:lineRule="auto"/>
        <w:rPr>
          <w:rFonts w:hint="eastAsia" w:ascii="宋体" w:hAnsi="宋体"/>
          <w:szCs w:val="21"/>
        </w:rPr>
      </w:pPr>
      <w:r>
        <w:rPr>
          <w:rFonts w:hint="eastAsia" w:ascii="宋体" w:hAnsi="宋体"/>
          <w:szCs w:val="21"/>
        </w:rPr>
        <w:t xml:space="preserve">4．投标文件的澄清</w:t>
      </w:r>
      <w:r/>
    </w:p>
    <w:p>
      <w:pPr>
        <w:pStyle w:val="967"/>
        <w:ind w:firstLine="409"/>
        <w:spacing w:line="360" w:lineRule="auto"/>
        <w:rPr>
          <w:rFonts w:hint="eastAsia" w:ascii="宋体" w:hAnsi="宋体"/>
          <w:szCs w:val="21"/>
        </w:rPr>
      </w:pPr>
      <w:r>
        <w:rPr>
          <w:rFonts w:hint="eastAsia" w:ascii="宋体" w:hAnsi="宋体"/>
          <w:szCs w:val="21"/>
        </w:rPr>
        <w:t xml:space="preserve">4.1对于投标文件中含义不明确、同类问题表述不一致或者有明显文字和计算错误的内容，评标委员会应当以书面形式要求投标人作出必要的澄清、说明或者补正。</w:t>
      </w:r>
      <w:r/>
    </w:p>
    <w:p>
      <w:pPr>
        <w:pStyle w:val="967"/>
        <w:ind w:firstLine="409"/>
        <w:spacing w:line="360" w:lineRule="auto"/>
        <w:rPr>
          <w:rFonts w:hint="eastAsia" w:ascii="宋体" w:hAnsi="宋体"/>
          <w:szCs w:val="21"/>
        </w:rPr>
      </w:pPr>
      <w:r>
        <w:rPr>
          <w:rFonts w:hint="eastAsia" w:ascii="宋体" w:hAnsi="宋体"/>
          <w:szCs w:val="21"/>
        </w:rPr>
        <w:t xml:space="preserve">4.2投标人的澄清、说明或者补正应当采用书面形式，并加盖其单位电子公章。投标人的澄清、说明或者补正不得超出投标文件的范围或者改变投标文件的实质性内容。</w:t>
      </w:r>
      <w:r/>
    </w:p>
    <w:p>
      <w:pPr>
        <w:pStyle w:val="967"/>
        <w:ind w:firstLine="409"/>
        <w:spacing w:line="360" w:lineRule="auto"/>
        <w:rPr>
          <w:rFonts w:hint="eastAsia" w:ascii="宋体" w:hAnsi="宋体"/>
          <w:szCs w:val="21"/>
        </w:rPr>
      </w:pPr>
      <w:r>
        <w:rPr>
          <w:rFonts w:hint="eastAsia" w:ascii="宋体" w:hAnsi="宋体"/>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967"/>
        <w:ind w:firstLine="409"/>
        <w:spacing w:line="360" w:lineRule="auto"/>
        <w:rPr>
          <w:rFonts w:hint="eastAsia" w:ascii="宋体" w:hAnsi="宋体"/>
          <w:szCs w:val="21"/>
        </w:rPr>
      </w:pPr>
      <w:r>
        <w:rPr>
          <w:rFonts w:hint="eastAsia" w:ascii="宋体" w:hAnsi="宋体"/>
          <w:szCs w:val="21"/>
        </w:rPr>
        <w:t xml:space="preserve">5．对投标文件的初审</w:t>
      </w:r>
      <w:r/>
    </w:p>
    <w:p>
      <w:pPr>
        <w:pStyle w:val="967"/>
        <w:ind w:firstLine="409"/>
        <w:spacing w:line="360" w:lineRule="auto"/>
        <w:rPr>
          <w:rFonts w:hint="eastAsia" w:ascii="宋体" w:hAnsi="宋体"/>
          <w:szCs w:val="21"/>
        </w:rPr>
      </w:pPr>
      <w:r>
        <w:rPr>
          <w:rFonts w:hint="eastAsia" w:ascii="宋体" w:hAnsi="宋体"/>
          <w:szCs w:val="21"/>
        </w:rPr>
        <w:t xml:space="preserve">5.1投标文件初审分为资格审查和符合性审查。</w:t>
      </w:r>
      <w:r/>
    </w:p>
    <w:p>
      <w:pPr>
        <w:pStyle w:val="967"/>
        <w:ind w:firstLine="409"/>
        <w:spacing w:line="360" w:lineRule="auto"/>
        <w:rPr>
          <w:rFonts w:hint="eastAsia" w:ascii="宋体" w:hAnsi="宋体"/>
          <w:szCs w:val="21"/>
        </w:rPr>
      </w:pPr>
      <w:r>
        <w:rPr>
          <w:rFonts w:hint="eastAsia" w:ascii="宋体" w:hAnsi="宋体"/>
          <w:szCs w:val="21"/>
        </w:rPr>
        <w:t xml:space="preserve">5.1.1 资格审查：采购人应当依法对投标人的资格进行审查，未通过资格审查的视为无效投标。</w:t>
      </w:r>
      <w:r/>
    </w:p>
    <w:p>
      <w:pPr>
        <w:pStyle w:val="967"/>
        <w:ind w:firstLine="409"/>
        <w:spacing w:line="360" w:lineRule="auto"/>
        <w:rPr>
          <w:rFonts w:hint="eastAsia" w:ascii="宋体" w:hAnsi="宋体"/>
          <w:szCs w:val="21"/>
        </w:rPr>
      </w:pPr>
      <w:r>
        <w:rPr>
          <w:rFonts w:hint="eastAsia" w:ascii="宋体" w:hAnsi="宋体"/>
          <w:szCs w:val="21"/>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pStyle w:val="967"/>
        <w:ind w:firstLine="409"/>
        <w:spacing w:line="360" w:lineRule="auto"/>
        <w:rPr>
          <w:rFonts w:hint="eastAsia" w:ascii="宋体" w:hAnsi="宋体"/>
          <w:szCs w:val="21"/>
        </w:rPr>
      </w:pPr>
      <w:r>
        <w:rPr>
          <w:rFonts w:hint="eastAsia" w:ascii="宋体" w:hAnsi="宋体"/>
          <w:szCs w:val="21"/>
        </w:rPr>
        <w:t xml:space="preserve">5.1.3查询时间：进入评审环节前。</w:t>
      </w:r>
      <w:r/>
    </w:p>
    <w:p>
      <w:pPr>
        <w:pStyle w:val="967"/>
        <w:ind w:firstLine="409"/>
        <w:spacing w:line="360" w:lineRule="auto"/>
        <w:rPr>
          <w:rFonts w:hint="eastAsia" w:ascii="宋体" w:hAnsi="宋体"/>
          <w:szCs w:val="21"/>
        </w:rPr>
      </w:pPr>
      <w:r>
        <w:rPr>
          <w:rFonts w:hint="eastAsia" w:ascii="宋体" w:hAnsi="宋体"/>
          <w:szCs w:val="21"/>
        </w:rPr>
        <w:t xml:space="preserve">5.1.4查询证据留存方式：打印查询的信用报告，由评标委员会进行认定。</w:t>
      </w:r>
      <w:r/>
    </w:p>
    <w:p>
      <w:pPr>
        <w:pStyle w:val="967"/>
        <w:ind w:firstLine="409"/>
        <w:spacing w:line="360" w:lineRule="auto"/>
        <w:rPr>
          <w:rFonts w:hint="eastAsia" w:ascii="宋体" w:hAnsi="宋体"/>
          <w:szCs w:val="21"/>
        </w:rPr>
      </w:pPr>
      <w:r>
        <w:rPr>
          <w:rFonts w:hint="eastAsia" w:ascii="宋体" w:hAnsi="宋体"/>
          <w:szCs w:val="21"/>
        </w:rPr>
        <w:t xml:space="preserve">5.1.5 符合性审查：依据招标文件的规定，由评委会从投标文件的有效性、完整性和对招标文件的响应程度进行审查，以确定是否对招标文件的实质性要求作出响应。</w:t>
      </w:r>
      <w:r/>
    </w:p>
    <w:p>
      <w:pPr>
        <w:pStyle w:val="967"/>
        <w:ind w:firstLine="409"/>
        <w:spacing w:line="360" w:lineRule="auto"/>
        <w:rPr>
          <w:rFonts w:hint="eastAsia" w:ascii="宋体" w:hAnsi="宋体"/>
          <w:szCs w:val="21"/>
        </w:rPr>
      </w:pPr>
      <w:r>
        <w:rPr>
          <w:rFonts w:hint="eastAsia" w:ascii="宋体" w:hAnsi="宋体"/>
          <w:szCs w:val="21"/>
        </w:rPr>
        <w:t xml:space="preserve">5.1.6 未通过资格审查或符合性审查的投标人，代理机构将在苏采云系统中告知未通过资格审查或符合性审查的原因，评标结束后，代理机构将不再告知未通过资格审查和符合性审查的原因。</w:t>
      </w:r>
      <w:r/>
    </w:p>
    <w:p>
      <w:pPr>
        <w:pStyle w:val="967"/>
        <w:ind w:firstLine="409"/>
        <w:spacing w:line="360" w:lineRule="auto"/>
        <w:rPr>
          <w:rFonts w:hint="eastAsia" w:ascii="宋体" w:hAnsi="宋体"/>
          <w:szCs w:val="21"/>
        </w:rPr>
      </w:pPr>
      <w:r>
        <w:rPr>
          <w:rFonts w:hint="eastAsia" w:ascii="宋体" w:hAnsi="宋体"/>
          <w:szCs w:val="21"/>
        </w:rPr>
        <w:t xml:space="preserve">5.2评标委员会应当对符合资格的投标人的投标文件进行资格及符合性审查，以确定其是否满足招标文件的实质性要求。投标文件有下列情况之一者评标委员会有权将其拒绝：</w:t>
      </w:r>
      <w:r/>
    </w:p>
    <w:p>
      <w:pPr>
        <w:pStyle w:val="967"/>
        <w:ind w:firstLine="409"/>
        <w:spacing w:line="360" w:lineRule="auto"/>
        <w:rPr>
          <w:rFonts w:hint="eastAsia" w:ascii="宋体" w:hAnsi="宋体"/>
          <w:szCs w:val="21"/>
        </w:rPr>
      </w:pPr>
      <w:r>
        <w:rPr>
          <w:rFonts w:hint="eastAsia" w:ascii="宋体" w:hAnsi="宋体"/>
          <w:szCs w:val="21"/>
        </w:rPr>
        <w:t xml:space="preserve">5.2.1投标人的投标文件未按照本须知规定制作的；</w:t>
      </w:r>
      <w:r/>
    </w:p>
    <w:p>
      <w:pPr>
        <w:pStyle w:val="967"/>
        <w:ind w:firstLine="409"/>
        <w:spacing w:line="360" w:lineRule="auto"/>
        <w:rPr>
          <w:rFonts w:hint="eastAsia" w:ascii="宋体" w:hAnsi="宋体"/>
          <w:szCs w:val="21"/>
        </w:rPr>
      </w:pPr>
      <w:r>
        <w:rPr>
          <w:rFonts w:hint="eastAsia" w:ascii="宋体" w:hAnsi="宋体"/>
          <w:szCs w:val="21"/>
        </w:rPr>
        <w:t xml:space="preserve">5.2.2未按本须知规定提交资格文件；</w:t>
      </w:r>
      <w:r/>
    </w:p>
    <w:p>
      <w:pPr>
        <w:pStyle w:val="967"/>
        <w:ind w:firstLine="409"/>
        <w:spacing w:line="360" w:lineRule="auto"/>
        <w:rPr>
          <w:rFonts w:hint="eastAsia" w:ascii="宋体" w:hAnsi="宋体"/>
          <w:szCs w:val="21"/>
        </w:rPr>
      </w:pPr>
      <w:r>
        <w:rPr>
          <w:rFonts w:hint="eastAsia" w:ascii="宋体" w:hAnsi="宋体"/>
          <w:szCs w:val="21"/>
        </w:rPr>
        <w:t xml:space="preserve">5.2.3与招标文件有重大偏离；</w:t>
      </w:r>
      <w:r/>
    </w:p>
    <w:p>
      <w:pPr>
        <w:pStyle w:val="967"/>
        <w:ind w:firstLine="409"/>
        <w:spacing w:line="360" w:lineRule="auto"/>
        <w:rPr>
          <w:rFonts w:hint="eastAsia" w:ascii="宋体" w:hAnsi="宋体"/>
          <w:szCs w:val="21"/>
        </w:rPr>
      </w:pPr>
      <w:r>
        <w:rPr>
          <w:rFonts w:hint="eastAsia" w:ascii="宋体" w:hAnsi="宋体"/>
          <w:szCs w:val="21"/>
        </w:rPr>
        <w:t xml:space="preserve">5.2.4投标人拒绝修正错误；</w:t>
      </w:r>
      <w:r/>
    </w:p>
    <w:p>
      <w:pPr>
        <w:pStyle w:val="967"/>
        <w:ind w:firstLine="409"/>
        <w:spacing w:line="360" w:lineRule="auto"/>
        <w:rPr>
          <w:rFonts w:hint="eastAsia" w:ascii="宋体" w:hAnsi="宋体"/>
          <w:szCs w:val="21"/>
        </w:rPr>
      </w:pPr>
      <w:r>
        <w:rPr>
          <w:rFonts w:hint="eastAsia" w:ascii="宋体" w:hAnsi="宋体"/>
          <w:szCs w:val="21"/>
        </w:rPr>
        <w:t xml:space="preserve">5.2.5投标人的报价是选择性的；</w:t>
      </w:r>
      <w:r/>
    </w:p>
    <w:p>
      <w:pPr>
        <w:pStyle w:val="967"/>
        <w:ind w:firstLine="409"/>
        <w:spacing w:line="360" w:lineRule="auto"/>
        <w:rPr>
          <w:rFonts w:hint="eastAsia" w:ascii="宋体" w:hAnsi="宋体"/>
          <w:szCs w:val="21"/>
        </w:rPr>
      </w:pPr>
      <w:r>
        <w:rPr>
          <w:rFonts w:hint="eastAsia" w:ascii="宋体" w:hAnsi="宋体"/>
          <w:szCs w:val="21"/>
        </w:rPr>
        <w:t xml:space="preserve">5.2.6投标人的报价只投了部分内容；</w:t>
      </w:r>
      <w:r/>
    </w:p>
    <w:p>
      <w:pPr>
        <w:pStyle w:val="967"/>
        <w:ind w:firstLine="409"/>
        <w:spacing w:line="360" w:lineRule="auto"/>
        <w:rPr>
          <w:rFonts w:hint="eastAsia" w:ascii="宋体" w:hAnsi="宋体"/>
          <w:szCs w:val="21"/>
        </w:rPr>
      </w:pPr>
      <w:r>
        <w:rPr>
          <w:rFonts w:hint="eastAsia" w:ascii="宋体" w:hAnsi="宋体"/>
          <w:szCs w:val="21"/>
        </w:rPr>
        <w:t xml:space="preserve">5.2.7投标人的投标文件出现了评标委员会认为不应当雷同的情况；</w:t>
      </w:r>
      <w:r/>
    </w:p>
    <w:p>
      <w:pPr>
        <w:pStyle w:val="967"/>
        <w:ind w:firstLine="409"/>
        <w:spacing w:line="360" w:lineRule="auto"/>
        <w:rPr>
          <w:rFonts w:hint="eastAsia" w:ascii="宋体" w:hAnsi="宋体"/>
          <w:szCs w:val="21"/>
        </w:rPr>
      </w:pPr>
      <w:r>
        <w:rPr>
          <w:rFonts w:hint="eastAsia" w:ascii="宋体" w:hAnsi="宋体"/>
          <w:szCs w:val="21"/>
        </w:rPr>
        <w:t xml:space="preserve">5.2.8其他被评委会认定无效的情况。</w:t>
      </w:r>
      <w:r/>
    </w:p>
    <w:p>
      <w:pPr>
        <w:pStyle w:val="967"/>
        <w:ind w:firstLine="409"/>
        <w:spacing w:line="360" w:lineRule="auto"/>
        <w:rPr>
          <w:rFonts w:hint="eastAsia" w:ascii="宋体" w:hAnsi="宋体"/>
          <w:szCs w:val="21"/>
        </w:rPr>
      </w:pPr>
      <w:r>
        <w:rPr>
          <w:rFonts w:hint="eastAsia" w:ascii="宋体" w:hAnsi="宋体"/>
          <w:szCs w:val="21"/>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67"/>
        <w:ind w:firstLine="409"/>
        <w:spacing w:line="360" w:lineRule="auto"/>
        <w:rPr>
          <w:rFonts w:hint="eastAsia" w:ascii="宋体" w:hAnsi="宋体"/>
          <w:szCs w:val="21"/>
        </w:rPr>
      </w:pPr>
      <w:r>
        <w:rPr>
          <w:rFonts w:hint="eastAsia" w:ascii="宋体" w:hAnsi="宋体"/>
          <w:szCs w:val="21"/>
        </w:rPr>
        <w:t xml:space="preserve">5.4评委会将对确定为实质性响应的投标进行进一步审核，确定其是否有计算上或累加上的算术错误，修正错误的原则如下：</w:t>
      </w:r>
      <w:r/>
    </w:p>
    <w:p>
      <w:pPr>
        <w:pStyle w:val="967"/>
        <w:ind w:firstLine="409"/>
        <w:spacing w:line="360" w:lineRule="auto"/>
        <w:rPr>
          <w:rFonts w:hint="eastAsia" w:ascii="宋体" w:hAnsi="宋体"/>
          <w:szCs w:val="21"/>
        </w:rPr>
      </w:pPr>
      <w:r>
        <w:rPr>
          <w:rFonts w:hint="eastAsia" w:ascii="宋体" w:hAnsi="宋体"/>
          <w:szCs w:val="21"/>
        </w:rPr>
        <w:t xml:space="preserve">（1）投标文件中开标一览表内容与投标文件中相应内容不一致的，以开标一览表为准。</w:t>
      </w:r>
      <w:r/>
    </w:p>
    <w:p>
      <w:pPr>
        <w:pStyle w:val="967"/>
        <w:ind w:firstLine="409"/>
        <w:spacing w:line="360" w:lineRule="auto"/>
        <w:rPr>
          <w:rFonts w:hint="eastAsia" w:ascii="宋体" w:hAnsi="宋体"/>
          <w:szCs w:val="21"/>
        </w:rPr>
      </w:pPr>
      <w:r>
        <w:rPr>
          <w:rFonts w:hint="eastAsia" w:ascii="宋体" w:hAnsi="宋体"/>
          <w:szCs w:val="21"/>
        </w:rPr>
        <w:t xml:space="preserve">（2）大写金额和小写金额不一致的，以大写金额为准。</w:t>
      </w:r>
      <w:r/>
    </w:p>
    <w:p>
      <w:pPr>
        <w:pStyle w:val="967"/>
        <w:ind w:firstLine="409"/>
        <w:spacing w:line="360" w:lineRule="auto"/>
        <w:rPr>
          <w:rFonts w:hint="eastAsia" w:ascii="宋体" w:hAnsi="宋体"/>
          <w:szCs w:val="21"/>
        </w:rPr>
      </w:pPr>
      <w:r>
        <w:rPr>
          <w:rFonts w:hint="eastAsia" w:ascii="宋体" w:hAnsi="宋体"/>
          <w:szCs w:val="21"/>
        </w:rPr>
        <w:t xml:space="preserve">（3）单价金额小数点或者百分比有明显错位的，以开标一览表的总价为准，并修改单价。</w:t>
      </w:r>
      <w:r/>
    </w:p>
    <w:p>
      <w:pPr>
        <w:pStyle w:val="967"/>
        <w:ind w:firstLine="409"/>
        <w:spacing w:line="360" w:lineRule="auto"/>
        <w:rPr>
          <w:rFonts w:hint="eastAsia" w:ascii="宋体" w:hAnsi="宋体"/>
          <w:szCs w:val="21"/>
        </w:rPr>
      </w:pPr>
      <w:r>
        <w:rPr>
          <w:rFonts w:hint="eastAsia" w:ascii="宋体" w:hAnsi="宋体"/>
          <w:szCs w:val="21"/>
        </w:rPr>
        <w:t xml:space="preserve">（4）总价金额与按单价汇总金额不一致的，以单价金额计算结果为准。</w:t>
      </w:r>
      <w:r/>
    </w:p>
    <w:p>
      <w:pPr>
        <w:pStyle w:val="967"/>
        <w:ind w:firstLine="409"/>
        <w:spacing w:line="360" w:lineRule="auto"/>
        <w:rPr>
          <w:rFonts w:hint="eastAsia" w:ascii="宋体" w:hAnsi="宋体"/>
          <w:szCs w:val="21"/>
        </w:rPr>
      </w:pPr>
      <w:r>
        <w:rPr>
          <w:rFonts w:hint="eastAsia" w:ascii="宋体" w:hAnsi="宋体"/>
          <w:szCs w:val="21"/>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67"/>
        <w:ind w:firstLine="409"/>
        <w:spacing w:line="360" w:lineRule="auto"/>
        <w:rPr>
          <w:rFonts w:hint="eastAsia" w:ascii="宋体" w:hAnsi="宋体"/>
          <w:szCs w:val="21"/>
        </w:rPr>
      </w:pPr>
      <w:r>
        <w:rPr>
          <w:rFonts w:hint="eastAsia" w:ascii="宋体" w:hAnsi="宋体"/>
          <w:szCs w:val="21"/>
        </w:rPr>
        <w:t xml:space="preserve">5.5 评委会将按上述修正错误的方法调整投标文件中的投标报价，并通过苏采云系统告知投标人，调整后的价格应对投标人具有约束力。如果投标人不接受修正后的价格，则其投标将被拒绝。</w:t>
      </w:r>
      <w:r/>
    </w:p>
    <w:p>
      <w:pPr>
        <w:pStyle w:val="967"/>
        <w:ind w:firstLine="409"/>
        <w:spacing w:line="360" w:lineRule="auto"/>
        <w:rPr>
          <w:rFonts w:hint="eastAsia" w:ascii="宋体" w:hAnsi="宋体"/>
          <w:szCs w:val="21"/>
        </w:rPr>
      </w:pPr>
      <w:r>
        <w:rPr>
          <w:rFonts w:hint="eastAsia" w:ascii="宋体" w:hAnsi="宋体"/>
          <w:szCs w:val="21"/>
        </w:rPr>
        <w:t xml:space="preserve">5.6投标人在开、评标全过程中应保持通讯畅通，及时登录苏采云系统查阅、答复相关信息。</w:t>
      </w:r>
      <w:r/>
    </w:p>
    <w:p>
      <w:pPr>
        <w:pStyle w:val="967"/>
        <w:ind w:firstLine="409"/>
        <w:spacing w:line="360" w:lineRule="auto"/>
        <w:rPr>
          <w:rFonts w:hint="eastAsia" w:ascii="宋体" w:hAnsi="宋体"/>
          <w:szCs w:val="21"/>
        </w:rPr>
      </w:pPr>
      <w:r>
        <w:rPr>
          <w:rFonts w:hint="eastAsia" w:ascii="宋体" w:hAnsi="宋体"/>
          <w:szCs w:val="21"/>
        </w:rPr>
        <w:t xml:space="preserve">6．无效投标条款和废标条款</w:t>
      </w:r>
      <w:r/>
    </w:p>
    <w:p>
      <w:pPr>
        <w:pStyle w:val="967"/>
        <w:ind w:firstLine="409"/>
        <w:spacing w:line="360" w:lineRule="auto"/>
        <w:rPr>
          <w:rFonts w:hint="eastAsia" w:ascii="宋体" w:hAnsi="宋体"/>
          <w:szCs w:val="21"/>
        </w:rPr>
      </w:pPr>
      <w:r>
        <w:rPr>
          <w:rFonts w:hint="eastAsia" w:ascii="宋体" w:hAnsi="宋体"/>
          <w:szCs w:val="21"/>
        </w:rPr>
        <w:t xml:space="preserve">6.1无效投标条款</w:t>
      </w:r>
      <w:r/>
    </w:p>
    <w:p>
      <w:pPr>
        <w:pStyle w:val="967"/>
        <w:ind w:firstLine="409"/>
        <w:spacing w:line="360" w:lineRule="auto"/>
        <w:rPr>
          <w:rFonts w:hint="eastAsia" w:ascii="宋体" w:hAnsi="宋体"/>
          <w:szCs w:val="21"/>
        </w:rPr>
      </w:pPr>
      <w:r>
        <w:rPr>
          <w:rFonts w:hint="eastAsia" w:ascii="宋体" w:hAnsi="宋体"/>
          <w:szCs w:val="21"/>
        </w:rPr>
        <w:t xml:space="preserve">6.1.1 投标人在苏采云系统规定的时间内未成功解密电子投标文件的。</w:t>
      </w:r>
      <w:r/>
    </w:p>
    <w:p>
      <w:pPr>
        <w:pStyle w:val="967"/>
        <w:ind w:firstLine="409"/>
        <w:spacing w:line="360" w:lineRule="auto"/>
        <w:rPr>
          <w:rFonts w:hint="eastAsia" w:ascii="宋体" w:hAnsi="宋体"/>
          <w:szCs w:val="21"/>
        </w:rPr>
      </w:pPr>
      <w:r>
        <w:rPr>
          <w:rFonts w:hint="eastAsia" w:ascii="宋体" w:hAnsi="宋体"/>
          <w:szCs w:val="21"/>
        </w:rPr>
        <w:t xml:space="preserve">6.1.2 投标人未按照招标文件要求上传电子投标文件的。</w:t>
      </w:r>
      <w:r/>
    </w:p>
    <w:p>
      <w:pPr>
        <w:pStyle w:val="967"/>
        <w:ind w:firstLine="409"/>
        <w:spacing w:line="360" w:lineRule="auto"/>
        <w:rPr>
          <w:rFonts w:hint="eastAsia" w:ascii="宋体" w:hAnsi="宋体"/>
          <w:szCs w:val="21"/>
        </w:rPr>
      </w:pPr>
      <w:r>
        <w:rPr>
          <w:rFonts w:hint="eastAsia" w:ascii="宋体" w:hAnsi="宋体"/>
          <w:szCs w:val="21"/>
        </w:rPr>
        <w:t xml:space="preserve">6.1.3同一投标人提交两个（含两个）以上不同的投标报价的。</w:t>
      </w:r>
      <w:r/>
    </w:p>
    <w:p>
      <w:pPr>
        <w:pStyle w:val="967"/>
        <w:ind w:firstLine="409"/>
        <w:spacing w:line="360" w:lineRule="auto"/>
        <w:rPr>
          <w:rFonts w:hint="eastAsia" w:ascii="宋体" w:hAnsi="宋体"/>
          <w:szCs w:val="21"/>
        </w:rPr>
      </w:pPr>
      <w:r>
        <w:rPr>
          <w:rFonts w:hint="eastAsia" w:ascii="宋体" w:hAnsi="宋体"/>
          <w:szCs w:val="21"/>
        </w:rPr>
        <w:t xml:space="preserve">6.1.4投标人不具备招标文件中规定资格要求的。</w:t>
      </w:r>
      <w:r/>
    </w:p>
    <w:p>
      <w:pPr>
        <w:pStyle w:val="967"/>
        <w:ind w:firstLine="409"/>
        <w:spacing w:line="360" w:lineRule="auto"/>
        <w:rPr>
          <w:rFonts w:hint="eastAsia" w:ascii="宋体" w:hAnsi="宋体"/>
          <w:szCs w:val="21"/>
        </w:rPr>
      </w:pPr>
      <w:r>
        <w:rPr>
          <w:rFonts w:hint="eastAsia" w:ascii="宋体" w:hAnsi="宋体"/>
          <w:szCs w:val="21"/>
        </w:rPr>
        <w:t xml:space="preserve">6.1.5投标人的报价超过了采购预算或最高限价的。</w:t>
      </w:r>
      <w:r/>
    </w:p>
    <w:p>
      <w:pPr>
        <w:pStyle w:val="967"/>
        <w:ind w:firstLine="409"/>
        <w:spacing w:line="360" w:lineRule="auto"/>
        <w:rPr>
          <w:rFonts w:hint="eastAsia" w:ascii="宋体" w:hAnsi="宋体"/>
          <w:szCs w:val="21"/>
        </w:rPr>
      </w:pPr>
      <w:r>
        <w:rPr>
          <w:rFonts w:hint="eastAsia" w:ascii="宋体" w:hAnsi="宋体"/>
          <w:szCs w:val="21"/>
        </w:rPr>
        <w:t xml:space="preserve">6.1.6未通过符合性审查的。</w:t>
      </w:r>
      <w:r/>
    </w:p>
    <w:p>
      <w:pPr>
        <w:pStyle w:val="967"/>
        <w:ind w:firstLine="409"/>
        <w:spacing w:line="360" w:lineRule="auto"/>
        <w:rPr>
          <w:rFonts w:hint="eastAsia" w:ascii="宋体" w:hAnsi="宋体"/>
          <w:szCs w:val="21"/>
        </w:rPr>
      </w:pPr>
      <w:r>
        <w:rPr>
          <w:rFonts w:hint="eastAsia" w:ascii="宋体" w:hAnsi="宋体"/>
          <w:szCs w:val="21"/>
        </w:rPr>
        <w:t xml:space="preserve">6.1.7不符合招标文件中规定的实质性要求和条件的。</w:t>
      </w:r>
      <w:r/>
    </w:p>
    <w:p>
      <w:pPr>
        <w:pStyle w:val="967"/>
        <w:ind w:firstLine="409"/>
        <w:spacing w:line="360" w:lineRule="auto"/>
        <w:rPr>
          <w:rFonts w:hint="eastAsia" w:ascii="宋体" w:hAnsi="宋体"/>
          <w:szCs w:val="21"/>
        </w:rPr>
      </w:pPr>
      <w:r>
        <w:rPr>
          <w:rFonts w:hint="eastAsia" w:ascii="宋体" w:hAnsi="宋体"/>
          <w:szCs w:val="21"/>
        </w:rPr>
        <w:t xml:space="preserve">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67"/>
        <w:ind w:firstLine="409"/>
        <w:spacing w:line="360" w:lineRule="auto"/>
        <w:rPr>
          <w:rFonts w:hint="eastAsia" w:ascii="宋体" w:hAnsi="宋体"/>
          <w:szCs w:val="21"/>
        </w:rPr>
      </w:pPr>
      <w:r>
        <w:rPr>
          <w:rFonts w:hint="eastAsia" w:ascii="宋体" w:hAnsi="宋体"/>
          <w:szCs w:val="21"/>
        </w:rPr>
        <w:t xml:space="preserve">6.1.9 投标文件含有采购人不能接受的附加条件的。</w:t>
      </w:r>
      <w:r/>
    </w:p>
    <w:p>
      <w:pPr>
        <w:pStyle w:val="967"/>
        <w:ind w:firstLine="409"/>
        <w:spacing w:line="360" w:lineRule="auto"/>
        <w:rPr>
          <w:rFonts w:hint="eastAsia" w:ascii="宋体" w:hAnsi="宋体"/>
          <w:szCs w:val="21"/>
        </w:rPr>
      </w:pPr>
      <w:r>
        <w:rPr>
          <w:rFonts w:hint="eastAsia" w:ascii="宋体" w:hAnsi="宋体"/>
          <w:szCs w:val="21"/>
        </w:rPr>
        <w:t xml:space="preserve">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967"/>
        <w:ind w:firstLine="409"/>
        <w:spacing w:line="360" w:lineRule="auto"/>
        <w:rPr>
          <w:rFonts w:hint="eastAsia" w:ascii="宋体" w:hAnsi="宋体"/>
          <w:szCs w:val="21"/>
        </w:rPr>
      </w:pPr>
      <w:r>
        <w:rPr>
          <w:rFonts w:hint="eastAsia" w:ascii="宋体" w:hAnsi="宋体"/>
          <w:szCs w:val="21"/>
        </w:rPr>
        <w:t xml:space="preserve">6.1.11 投标文件未按照招标文件要求加盖CA电子公章的。</w:t>
      </w:r>
      <w:r/>
    </w:p>
    <w:p>
      <w:pPr>
        <w:pStyle w:val="967"/>
        <w:ind w:firstLine="409"/>
        <w:spacing w:line="360" w:lineRule="auto"/>
        <w:rPr>
          <w:rFonts w:hint="eastAsia" w:ascii="宋体" w:hAnsi="宋体"/>
          <w:szCs w:val="21"/>
        </w:rPr>
      </w:pPr>
      <w:r>
        <w:rPr>
          <w:rFonts w:hint="eastAsia" w:ascii="宋体" w:hAnsi="宋体"/>
          <w:szCs w:val="21"/>
        </w:rPr>
        <w:t xml:space="preserve">6.1.12其他法律、法规及本招标文件规定的属无效投标的情形。</w:t>
      </w:r>
      <w:r/>
    </w:p>
    <w:p>
      <w:pPr>
        <w:pStyle w:val="967"/>
        <w:ind w:firstLine="409"/>
        <w:spacing w:line="360" w:lineRule="auto"/>
        <w:rPr>
          <w:rFonts w:hint="eastAsia" w:ascii="宋体" w:hAnsi="宋体"/>
          <w:szCs w:val="21"/>
        </w:rPr>
      </w:pPr>
      <w:r>
        <w:rPr>
          <w:rFonts w:hint="eastAsia" w:ascii="宋体" w:hAnsi="宋体"/>
          <w:szCs w:val="21"/>
        </w:rPr>
        <w:t xml:space="preserve">6.2废标条款</w:t>
      </w:r>
      <w:r/>
    </w:p>
    <w:p>
      <w:pPr>
        <w:pStyle w:val="967"/>
        <w:ind w:firstLine="409"/>
        <w:spacing w:line="360" w:lineRule="auto"/>
        <w:rPr>
          <w:rFonts w:hint="eastAsia" w:ascii="宋体" w:hAnsi="宋体"/>
          <w:szCs w:val="21"/>
        </w:rPr>
      </w:pPr>
      <w:r>
        <w:rPr>
          <w:rFonts w:hint="eastAsia" w:ascii="宋体" w:hAnsi="宋体"/>
          <w:szCs w:val="21"/>
        </w:rPr>
        <w:t xml:space="preserve">6.2.1符合专业条件的供应商或者对招标文件作实质响应的供应商不足三家的。</w:t>
      </w:r>
      <w:r/>
    </w:p>
    <w:p>
      <w:pPr>
        <w:pStyle w:val="967"/>
        <w:ind w:firstLine="409"/>
        <w:spacing w:line="360" w:lineRule="auto"/>
        <w:rPr>
          <w:rFonts w:hint="eastAsia" w:ascii="宋体" w:hAnsi="宋体"/>
          <w:szCs w:val="21"/>
        </w:rPr>
      </w:pPr>
      <w:r>
        <w:rPr>
          <w:rFonts w:hint="eastAsia" w:ascii="宋体" w:hAnsi="宋体"/>
          <w:szCs w:val="21"/>
        </w:rPr>
        <w:t xml:space="preserve">6.2.2出现影响采购公正的违法、违规行为的。</w:t>
      </w:r>
      <w:r/>
    </w:p>
    <w:p>
      <w:pPr>
        <w:pStyle w:val="967"/>
        <w:ind w:firstLine="409"/>
        <w:spacing w:line="360" w:lineRule="auto"/>
        <w:rPr>
          <w:rFonts w:hint="eastAsia" w:ascii="宋体" w:hAnsi="宋体"/>
          <w:szCs w:val="21"/>
        </w:rPr>
      </w:pPr>
      <w:r>
        <w:rPr>
          <w:rFonts w:hint="eastAsia" w:ascii="宋体" w:hAnsi="宋体"/>
          <w:szCs w:val="21"/>
        </w:rPr>
        <w:t xml:space="preserve">6.2.3因重大变故，采购任务取消的。</w:t>
      </w:r>
      <w:r/>
    </w:p>
    <w:p>
      <w:pPr>
        <w:pStyle w:val="967"/>
        <w:ind w:firstLine="409"/>
        <w:spacing w:line="360" w:lineRule="auto"/>
        <w:rPr>
          <w:rFonts w:hint="eastAsia" w:ascii="宋体" w:hAnsi="宋体"/>
          <w:szCs w:val="21"/>
        </w:rPr>
      </w:pPr>
      <w:r>
        <w:rPr>
          <w:rFonts w:hint="eastAsia" w:ascii="宋体" w:hAnsi="宋体"/>
          <w:szCs w:val="21"/>
        </w:rPr>
        <w:t xml:space="preserve">6.2.4评标委员会认定招标文件存在歧义、重大缺陷导致评审工作无法进行。</w:t>
      </w:r>
      <w:r/>
    </w:p>
    <w:p>
      <w:pPr>
        <w:pStyle w:val="967"/>
        <w:ind w:firstLine="409"/>
        <w:spacing w:line="360" w:lineRule="auto"/>
        <w:rPr>
          <w:rFonts w:hint="eastAsia" w:ascii="宋体" w:hAnsi="宋体"/>
          <w:szCs w:val="21"/>
        </w:rPr>
      </w:pPr>
      <w:r>
        <w:rPr>
          <w:rFonts w:hint="eastAsia" w:ascii="宋体" w:hAnsi="宋体"/>
          <w:szCs w:val="21"/>
        </w:rPr>
        <w:t xml:space="preserve">6.2.5 因苏采云系统系统故障原因造成开标不成功的。</w:t>
      </w:r>
      <w:r/>
    </w:p>
    <w:p>
      <w:pPr>
        <w:pStyle w:val="967"/>
        <w:ind w:firstLine="409"/>
        <w:spacing w:line="360" w:lineRule="auto"/>
        <w:rPr>
          <w:rFonts w:hint="eastAsia" w:ascii="宋体" w:hAnsi="宋体"/>
          <w:szCs w:val="21"/>
        </w:rPr>
      </w:pPr>
      <w:r>
        <w:rPr>
          <w:rFonts w:hint="eastAsia" w:ascii="宋体" w:hAnsi="宋体"/>
          <w:szCs w:val="21"/>
        </w:rPr>
        <w:t xml:space="preserve">6.3 投标截止时间结束后参加投标的供应商不足三家的处理：</w:t>
      </w:r>
      <w:r/>
    </w:p>
    <w:p>
      <w:pPr>
        <w:pStyle w:val="967"/>
        <w:ind w:firstLine="409"/>
        <w:spacing w:line="360" w:lineRule="auto"/>
        <w:rPr>
          <w:rFonts w:ascii="宋体" w:hAnsi="宋体"/>
          <w:szCs w:val="21"/>
        </w:rPr>
      </w:pPr>
      <w:r>
        <w:rPr>
          <w:rFonts w:hint="eastAsia" w:ascii="宋体" w:hAnsi="宋体"/>
          <w:szCs w:val="21"/>
        </w:rPr>
        <w:t xml:space="preserve">6.3.1如出现投标截止时间结束后参加投标的供应商或者在评标期间对招标文件做出实质响应的供应商不足三家情况，按政府采购相关规定执行。</w:t>
      </w:r>
      <w:r>
        <w:rPr>
          <w:rFonts w:ascii="宋体" w:hAnsi="宋体"/>
          <w:szCs w:val="21"/>
        </w:rPr>
      </w:r>
      <w:r/>
    </w:p>
    <w:p>
      <w:pPr>
        <w:pStyle w:val="967"/>
        <w:ind w:firstLine="411"/>
        <w:spacing w:line="360" w:lineRule="auto"/>
        <w:rPr>
          <w:rFonts w:ascii="宋体" w:hAnsi="宋体"/>
          <w:b/>
          <w:szCs w:val="21"/>
        </w:rPr>
      </w:pPr>
      <w:r>
        <w:rPr>
          <w:rFonts w:hint="eastAsia" w:ascii="宋体" w:hAnsi="宋体"/>
          <w:b/>
          <w:szCs w:val="21"/>
        </w:rPr>
        <w:t xml:space="preserve">七、授予合同</w:t>
      </w:r>
      <w:r>
        <w:rPr>
          <w:rFonts w:ascii="宋体" w:hAnsi="宋体"/>
          <w:b/>
          <w:szCs w:val="21"/>
        </w:rPr>
      </w:r>
      <w:r/>
    </w:p>
    <w:p>
      <w:pPr>
        <w:pStyle w:val="967"/>
        <w:ind w:firstLine="411"/>
        <w:spacing w:line="360" w:lineRule="auto"/>
        <w:rPr>
          <w:rFonts w:ascii="宋体" w:hAnsi="宋体"/>
          <w:b/>
          <w:szCs w:val="21"/>
        </w:rPr>
      </w:pPr>
      <w:r>
        <w:rPr>
          <w:rFonts w:hint="eastAsia" w:ascii="宋体" w:hAnsi="宋体"/>
          <w:b/>
          <w:szCs w:val="21"/>
        </w:rPr>
        <w:t xml:space="preserve">1、中标单位的确认</w:t>
      </w:r>
      <w:r>
        <w:rPr>
          <w:rFonts w:ascii="宋体" w:hAnsi="宋体"/>
          <w:b/>
          <w:szCs w:val="21"/>
        </w:rPr>
      </w:r>
      <w:r/>
    </w:p>
    <w:p>
      <w:pPr>
        <w:pStyle w:val="990"/>
        <w:ind w:right="-252"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1.1、评标委员会根据投标人资格审查情况，对投标文件进行评价和比较，按照评标办法和标准进行评标，并按招标人的委托向招标人推荐中标候选单位。</w:t>
      </w:r>
      <w:r/>
    </w:p>
    <w:p>
      <w:pPr>
        <w:pStyle w:val="990"/>
        <w:ind w:right="-252"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1.2、经评标委员会评审并确定中标单位后，招标人将在规定的时间内将中标结果在政府采购管理部门指定媒体上予以公示。</w:t>
      </w:r>
      <w:r/>
    </w:p>
    <w:p>
      <w:pPr>
        <w:pStyle w:val="99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各投标单位如对公示结果有异议，应在中标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期限届满之日起七个工作日后向招标人提出质疑或质疑未经投标单位法定代表人或参加投标的授权委托人签署，招标人有权对该质疑不予答复。</w:t>
      </w:r>
      <w:r>
        <w:rPr>
          <w:rFonts w:ascii="宋体" w:hAnsi="宋体" w:eastAsia="宋体"/>
          <w:sz w:val="21"/>
          <w:szCs w:val="21"/>
        </w:rPr>
      </w:r>
      <w:r/>
    </w:p>
    <w:p>
      <w:pPr>
        <w:pStyle w:val="99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eastAsia="宋体"/>
          <w:sz w:val="21"/>
          <w:szCs w:val="21"/>
        </w:rPr>
        <w:t xml:space="preserve"> </w:t>
      </w:r>
      <w:r/>
    </w:p>
    <w:p>
      <w:pPr>
        <w:pStyle w:val="99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1.4、评标委员会有权评定中标，同时也有权拒绝任何或所有投标者中标。</w:t>
      </w:r>
      <w:r>
        <w:rPr>
          <w:rFonts w:ascii="宋体" w:hAnsi="宋体" w:eastAsia="宋体"/>
          <w:sz w:val="21"/>
          <w:szCs w:val="21"/>
        </w:rPr>
      </w:r>
      <w:r/>
    </w:p>
    <w:p>
      <w:pPr>
        <w:pStyle w:val="967"/>
        <w:ind w:firstLine="411"/>
        <w:spacing w:line="360" w:lineRule="auto"/>
        <w:rPr>
          <w:rFonts w:ascii="宋体" w:hAnsi="宋体"/>
          <w:b/>
          <w:szCs w:val="21"/>
        </w:rPr>
      </w:pPr>
      <w:r>
        <w:rPr>
          <w:rFonts w:hint="eastAsia" w:ascii="宋体" w:hAnsi="宋体"/>
          <w:b/>
          <w:szCs w:val="21"/>
        </w:rPr>
        <w:t xml:space="preserve">2、合同授予标准</w:t>
      </w:r>
      <w:r>
        <w:rPr>
          <w:rFonts w:ascii="宋体" w:hAnsi="宋体"/>
          <w:b/>
          <w:szCs w:val="21"/>
        </w:rPr>
      </w:r>
      <w:r/>
    </w:p>
    <w:p>
      <w:pPr>
        <w:pStyle w:val="99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招标人将把合同授予其投标文件在实质上响应招标文件要求和按本须知规定评选出的投标人。确定为中标的投标人必须具有实施本合同的能力和资源。</w:t>
      </w:r>
      <w:r>
        <w:rPr>
          <w:rFonts w:ascii="宋体" w:hAnsi="宋体" w:eastAsia="宋体"/>
          <w:sz w:val="21"/>
          <w:szCs w:val="21"/>
        </w:rPr>
      </w:r>
      <w:r/>
    </w:p>
    <w:p>
      <w:pPr>
        <w:pStyle w:val="967"/>
        <w:ind w:firstLine="411"/>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、中标通知书</w:t>
      </w:r>
      <w:r>
        <w:rPr>
          <w:rFonts w:ascii="宋体" w:hAnsi="宋体"/>
          <w:b/>
          <w:szCs w:val="21"/>
        </w:rPr>
      </w:r>
      <w:r/>
    </w:p>
    <w:p>
      <w:pPr>
        <w:pStyle w:val="967"/>
        <w:ind w:firstLine="409"/>
        <w:spacing w:line="360" w:lineRule="auto"/>
        <w:rPr>
          <w:rFonts w:hint="eastAsia" w:ascii="宋体" w:hAnsi="宋体"/>
          <w:szCs w:val="21"/>
        </w:rPr>
      </w:pPr>
      <w:r>
        <w:rPr>
          <w:rFonts w:hint="eastAsia" w:ascii="宋体" w:hAnsi="宋体"/>
          <w:szCs w:val="21"/>
        </w:rPr>
        <w:t xml:space="preserve">3.1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  </w:t>
      </w:r>
      <w:r/>
    </w:p>
    <w:p>
      <w:pPr>
        <w:pStyle w:val="967"/>
        <w:ind w:firstLine="409"/>
        <w:spacing w:line="360" w:lineRule="auto"/>
        <w:rPr>
          <w:rFonts w:hint="eastAsia" w:ascii="宋体" w:hAnsi="宋体"/>
          <w:szCs w:val="21"/>
        </w:rPr>
      </w:pPr>
      <w:r>
        <w:rPr>
          <w:rFonts w:hint="eastAsia" w:ascii="宋体" w:hAnsi="宋体"/>
          <w:szCs w:val="21"/>
        </w:rPr>
        <w:t xml:space="preserve">3.2、中标通知书将成为合同的组成部分。</w:t>
      </w:r>
      <w:r/>
    </w:p>
    <w:p>
      <w:pPr>
        <w:pStyle w:val="967"/>
        <w:ind w:firstLine="409"/>
        <w:spacing w:line="360" w:lineRule="auto"/>
        <w:rPr>
          <w:rFonts w:hint="eastAsia" w:ascii="宋体" w:hAnsi="宋体"/>
          <w:szCs w:val="21"/>
        </w:rPr>
      </w:pPr>
      <w:r>
        <w:rPr>
          <w:rFonts w:hint="eastAsia" w:ascii="宋体" w:hAnsi="宋体"/>
          <w:szCs w:val="21"/>
        </w:rPr>
        <w:t xml:space="preserve">3.3、投标人对未中标单位不承担解释未中标原因的义务。</w:t>
      </w:r>
      <w:r/>
    </w:p>
    <w:p>
      <w:pPr>
        <w:pStyle w:val="967"/>
        <w:ind w:firstLine="411"/>
        <w:spacing w:line="360" w:lineRule="auto"/>
        <w:rPr>
          <w:rFonts w:hint="eastAsia" w:ascii="宋体" w:hAnsi="宋体"/>
          <w:b/>
          <w:szCs w:val="21"/>
        </w:rPr>
      </w:pPr>
      <w:r>
        <w:rPr>
          <w:rFonts w:hint="eastAsia" w:ascii="宋体" w:hAnsi="宋体"/>
          <w:b/>
          <w:szCs w:val="21"/>
        </w:rPr>
        <w:t xml:space="preserve">4、合同的签订</w:t>
      </w:r>
      <w:r/>
    </w:p>
    <w:p>
      <w:pPr>
        <w:pStyle w:val="967"/>
        <w:ind w:firstLine="409"/>
        <w:spacing w:line="360" w:lineRule="auto"/>
        <w:rPr>
          <w:rFonts w:hint="eastAsia" w:ascii="宋体" w:hAnsi="宋体"/>
          <w:szCs w:val="21"/>
        </w:rPr>
      </w:pPr>
      <w:r>
        <w:rPr>
          <w:rFonts w:hint="eastAsia" w:ascii="宋体" w:hAnsi="宋体"/>
          <w:szCs w:val="21"/>
        </w:rPr>
        <w:t xml:space="preserve">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967"/>
        <w:ind w:firstLine="409"/>
        <w:spacing w:line="360" w:lineRule="auto"/>
        <w:rPr>
          <w:rFonts w:hint="eastAsia" w:ascii="宋体" w:hAnsi="宋体"/>
          <w:szCs w:val="21"/>
        </w:rPr>
      </w:pPr>
      <w:r>
        <w:rPr>
          <w:rFonts w:hint="eastAsia" w:ascii="宋体" w:hAnsi="宋体"/>
          <w:szCs w:val="21"/>
        </w:rPr>
        <w:t xml:space="preserve">4.2 采购人与中标人所签订的合同不得对招标文件确定的事项和中标人投标文件作实质性修改，采购人不得向中标人提出任何不合理的要求作为签订合同的条件。</w:t>
      </w:r>
      <w:r/>
    </w:p>
    <w:p>
      <w:pPr>
        <w:pStyle w:val="967"/>
        <w:ind w:firstLine="409"/>
        <w:spacing w:line="360" w:lineRule="auto"/>
        <w:rPr>
          <w:rFonts w:hint="eastAsia" w:ascii="宋体" w:hAnsi="宋体"/>
          <w:szCs w:val="21"/>
        </w:rPr>
      </w:pPr>
      <w:r>
        <w:rPr>
          <w:rFonts w:hint="eastAsia" w:ascii="宋体" w:hAnsi="宋体"/>
          <w:szCs w:val="21"/>
        </w:rPr>
        <w:t xml:space="preserve">4.3招标文件、中标人的投标文件及招标过程中有关澄清、承诺文件均应作为合同附件。</w:t>
      </w:r>
      <w:r/>
    </w:p>
    <w:p>
      <w:pPr>
        <w:pStyle w:val="967"/>
        <w:ind w:firstLine="409"/>
        <w:spacing w:line="360" w:lineRule="auto"/>
        <w:rPr>
          <w:rFonts w:hint="eastAsia" w:ascii="宋体" w:hAnsi="宋体"/>
          <w:szCs w:val="21"/>
        </w:rPr>
      </w:pPr>
      <w:r>
        <w:rPr>
          <w:rFonts w:hint="eastAsia" w:ascii="宋体" w:hAnsi="宋体"/>
          <w:szCs w:val="21"/>
        </w:rPr>
        <w:t xml:space="preserve">4.4依据《政府采购促进中小企业发展管理办法》（财库〔2020〕46号）规定，依据本办法规定享受扶持政策获得政府采购合同的，小微企业不得将合同分包给大中型企业，中型企业不得将合同分包给大型企业。</w:t>
      </w:r>
      <w:r/>
    </w:p>
    <w:p>
      <w:pPr>
        <w:pStyle w:val="967"/>
        <w:ind w:firstLine="409"/>
        <w:spacing w:line="360" w:lineRule="auto"/>
        <w:rPr>
          <w:rFonts w:ascii="宋体" w:hAnsi="宋体"/>
          <w:szCs w:val="21"/>
        </w:rPr>
      </w:pPr>
      <w:r>
        <w:rPr>
          <w:rFonts w:hint="eastAsia" w:ascii="宋体" w:hAnsi="宋体"/>
          <w:szCs w:val="21"/>
        </w:rPr>
        <w:t xml:space="preserve">4.5政府采购合同履行中，采购人需追加与合同标的相同货物、工程或者服务的，在不改变合同其他条款的前提下，可以与中标人协商签订补充合同，但所有补充合同的采购金额不得超过原合同采购金额的10%。</w:t>
      </w:r>
      <w:r>
        <w:rPr>
          <w:rFonts w:ascii="宋体" w:hAnsi="宋体"/>
          <w:szCs w:val="21"/>
        </w:rPr>
      </w:r>
      <w:r/>
    </w:p>
    <w:p>
      <w:pPr>
        <w:pStyle w:val="967"/>
        <w:ind w:firstLine="411"/>
        <w:spacing w:line="360" w:lineRule="auto"/>
        <w:rPr>
          <w:rFonts w:ascii="宋体" w:hAnsi="宋体"/>
          <w:b/>
          <w:szCs w:val="21"/>
        </w:rPr>
      </w:pPr>
      <w:r>
        <w:rPr>
          <w:rFonts w:hint="eastAsia" w:ascii="宋体" w:hAnsi="宋体"/>
          <w:b/>
          <w:szCs w:val="21"/>
        </w:rPr>
        <w:t xml:space="preserve">八、其他事项</w:t>
      </w:r>
      <w:r>
        <w:rPr>
          <w:rFonts w:ascii="宋体" w:hAnsi="宋体"/>
          <w:b/>
          <w:szCs w:val="21"/>
        </w:rPr>
      </w:r>
      <w:r/>
    </w:p>
    <w:p>
      <w:pPr>
        <w:pStyle w:val="967"/>
        <w:ind w:firstLine="411"/>
        <w:spacing w:line="360" w:lineRule="auto"/>
        <w:rPr>
          <w:rFonts w:ascii="宋体" w:hAnsi="宋体"/>
          <w:b/>
          <w:szCs w:val="21"/>
        </w:rPr>
      </w:pPr>
      <w:r>
        <w:rPr>
          <w:rFonts w:hint="eastAsia" w:ascii="宋体" w:hAnsi="宋体"/>
          <w:b/>
          <w:szCs w:val="21"/>
        </w:rPr>
        <w:t xml:space="preserve">1、中标服务费</w:t>
      </w:r>
      <w:r>
        <w:rPr>
          <w:rFonts w:ascii="宋体" w:hAnsi="宋体"/>
          <w:b/>
          <w:szCs w:val="21"/>
        </w:rPr>
      </w:r>
      <w:r/>
    </w:p>
    <w:p>
      <w:pPr>
        <w:pStyle w:val="990"/>
        <w:ind w:firstLine="409"/>
        <w:jc w:val="both"/>
        <w:spacing w:line="360" w:lineRule="auto"/>
        <w:rPr>
          <w:rFonts w:ascii="宋体" w:hAnsi="宋体" w:eastAsia="宋体"/>
          <w:sz w:val="21"/>
          <w:szCs w:val="21"/>
        </w:rPr>
      </w:pPr>
      <w:r>
        <w:rPr>
          <w:rFonts w:hint="eastAsia" w:ascii="宋体" w:hAnsi="宋体" w:eastAsia="宋体"/>
          <w:sz w:val="21"/>
          <w:szCs w:val="21"/>
        </w:rPr>
        <w:t xml:space="preserve">1.1、中标单位须按规定支付中标服务费，该费用应在中标公示后三个工作日内付清。</w:t>
      </w:r>
      <w:r>
        <w:rPr>
          <w:rFonts w:ascii="宋体" w:hAnsi="宋体" w:eastAsia="宋体"/>
          <w:sz w:val="21"/>
          <w:szCs w:val="21"/>
        </w:rPr>
      </w:r>
      <w:r/>
    </w:p>
    <w:p>
      <w:pPr>
        <w:pStyle w:val="990"/>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1.2、中标单位如果未按规定缴纳中标服务费，招标代理公司保留诉讼的权利。</w:t>
      </w:r>
      <w:r/>
    </w:p>
    <w:p>
      <w:pPr>
        <w:pStyle w:val="990"/>
        <w:ind w:firstLine="409"/>
        <w:jc w:val="both"/>
        <w:spacing w:line="360" w:lineRule="auto"/>
        <w:rPr>
          <w:rFonts w:ascii="宋体" w:hAnsi="宋体" w:eastAsia="宋体"/>
          <w:sz w:val="21"/>
          <w:szCs w:val="21"/>
        </w:rPr>
      </w:pPr>
      <w:r>
        <w:rPr>
          <w:rFonts w:hint="eastAsia" w:ascii="宋体" w:hAnsi="宋体" w:eastAsia="宋体"/>
          <w:sz w:val="21"/>
          <w:szCs w:val="21"/>
        </w:rPr>
        <w:t xml:space="preserve">1.3、</w:t>
      </w:r>
      <w:r>
        <w:rPr>
          <w:rFonts w:hint="eastAsia" w:ascii="宋体" w:hAnsi="宋体" w:eastAsia="宋体"/>
          <w:color w:val="000000"/>
          <w:sz w:val="21"/>
          <w:szCs w:val="21"/>
        </w:rPr>
        <w:t xml:space="preserve">中标服务费以差额累计法计取（</w:t>
      </w:r>
      <w:r>
        <w:rPr>
          <w:rFonts w:hint="eastAsia" w:ascii="宋体" w:hAnsi="宋体" w:eastAsia="宋体"/>
          <w:sz w:val="21"/>
          <w:szCs w:val="21"/>
        </w:rPr>
        <w:t xml:space="preserve">按预算金额100万元以下收取1.5%；100-500万元收取1.1%；500-1000万元收取0.8%；1000-5000万元收取0.5%；5000万元以上收取0.25%；不足叁仟元按叁仟元整）。</w:t>
      </w:r>
      <w:r>
        <w:rPr>
          <w:rFonts w:ascii="宋体" w:hAnsi="宋体" w:eastAsia="宋体"/>
          <w:sz w:val="21"/>
          <w:szCs w:val="21"/>
        </w:rPr>
      </w:r>
      <w:r/>
    </w:p>
    <w:p>
      <w:pPr>
        <w:pStyle w:val="967"/>
        <w:ind w:firstLine="411"/>
        <w:spacing w:line="360" w:lineRule="auto"/>
        <w:rPr>
          <w:rFonts w:ascii="宋体" w:hAnsi="宋体"/>
          <w:b/>
          <w:szCs w:val="21"/>
        </w:rPr>
      </w:pPr>
      <w:r>
        <w:rPr>
          <w:rFonts w:hint="eastAsia" w:ascii="宋体" w:hAnsi="宋体"/>
          <w:b/>
          <w:szCs w:val="21"/>
        </w:rPr>
        <w:t xml:space="preserve">2、监督</w:t>
      </w:r>
      <w:r>
        <w:rPr>
          <w:rFonts w:ascii="宋体" w:hAnsi="宋体"/>
          <w:b/>
          <w:szCs w:val="21"/>
        </w:rPr>
      </w:r>
      <w:r/>
    </w:p>
    <w:p>
      <w:pPr>
        <w:pStyle w:val="967"/>
        <w:ind w:firstLine="409"/>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、政府有关监督部门将对招投标全过程进行监督。</w:t>
      </w:r>
      <w:r/>
    </w:p>
    <w:p>
      <w:pPr>
        <w:pStyle w:val="967"/>
        <w:ind w:firstLine="411"/>
        <w:spacing w:line="360" w:lineRule="auto"/>
        <w:rPr>
          <w:rFonts w:hint="eastAsia" w:ascii="宋体" w:hAnsi="宋体"/>
          <w:b/>
          <w:szCs w:val="21"/>
        </w:rPr>
      </w:pPr>
      <w:r>
        <w:rPr>
          <w:rFonts w:hint="eastAsia" w:ascii="宋体" w:hAnsi="宋体"/>
          <w:b/>
          <w:szCs w:val="21"/>
        </w:rPr>
        <w:t xml:space="preserve">3、未尽事宜</w:t>
      </w:r>
      <w:r/>
    </w:p>
    <w:p>
      <w:pPr>
        <w:pStyle w:val="967"/>
        <w:ind w:firstLine="409"/>
        <w:spacing w:line="360" w:lineRule="auto"/>
        <w:rPr>
          <w:rFonts w:hint="eastAsia"/>
        </w:rPr>
      </w:pPr>
      <w:r>
        <w:rPr>
          <w:rFonts w:hint="eastAsia"/>
        </w:rPr>
        <w:t xml:space="preserve">按《中华人民共和国政府采购法》及其他有关政府采购的法律法规的规定执行。</w:t>
      </w:r>
      <w:r/>
    </w:p>
    <w:p>
      <w:pPr>
        <w:pStyle w:val="990"/>
        <w:ind w:firstLine="409"/>
        <w:jc w:val="both"/>
        <w:spacing w:line="360" w:lineRule="auto"/>
        <w:rPr>
          <w:rFonts w:hint="eastAsia" w:ascii="宋体" w:hAnsi="宋体" w:eastAsia="宋体"/>
          <w:sz w:val="21"/>
          <w:szCs w:val="21"/>
        </w:rPr>
      </w:pPr>
      <w:r>
        <w:rPr>
          <w:rFonts w:ascii="宋体" w:hAnsi="宋体" w:eastAsia="宋体"/>
          <w:sz w:val="21"/>
          <w:szCs w:val="21"/>
        </w:rPr>
        <w:t xml:space="preserve">按《昆山市政府采购供应商诚信管理办法》的规定执行。</w:t>
      </w:r>
      <w:r>
        <w:rPr>
          <w:rFonts w:hint="eastAsia" w:ascii="宋体" w:hAnsi="宋体" w:eastAsia="宋体"/>
          <w:sz w:val="21"/>
          <w:szCs w:val="21"/>
        </w:rPr>
      </w:r>
      <w:r/>
    </w:p>
    <w:p>
      <w:pPr>
        <w:pStyle w:val="968"/>
        <w:jc w:val="center"/>
        <w:rPr>
          <w:rFonts w:hint="eastAsia"/>
        </w:rPr>
      </w:pPr>
      <w:r/>
      <w:bookmarkStart w:id="28" w:name="_Toc276023191"/>
      <w:r/>
      <w:bookmarkStart w:id="29" w:name="_Toc13543212"/>
      <w:r>
        <w:br w:type="page" w:clear="all"/>
      </w:r>
      <w:bookmarkStart w:id="30" w:name="_Toc194916141"/>
      <w:r>
        <w:rPr>
          <w:rFonts w:hint="eastAsia"/>
        </w:rPr>
        <w:t xml:space="preserve">第三章</w:t>
      </w:r>
      <w:r>
        <w:t xml:space="preserve"> </w:t>
      </w:r>
      <w:r>
        <w:rPr>
          <w:rFonts w:hint="eastAsia"/>
        </w:rPr>
        <w:t xml:space="preserve">投标文件格式</w:t>
      </w:r>
      <w:bookmarkEnd w:id="30"/>
      <w:r/>
      <w:bookmarkStart w:id="31" w:name="gpcItem_SubmitDocStruct"/>
      <w:r>
        <w:t xml:space="preserve">  </w:t>
      </w:r>
      <w:bookmarkEnd w:id="31"/>
      <w:r>
        <w:rPr>
          <w:rFonts w:hint="eastAsia"/>
        </w:rPr>
      </w:r>
      <w:r/>
    </w:p>
    <w:p>
      <w:pPr>
        <w:pStyle w:val="967"/>
        <w:rPr>
          <w:rFonts w:ascii="Tahoma" w:hAnsi="Tahoma"/>
          <w:sz w:val="24"/>
        </w:rPr>
      </w:pPr>
      <w:r>
        <w:rPr>
          <w:rFonts w:ascii="Tahoma" w:hAnsi="Tahoma"/>
          <w:sz w:val="24"/>
        </w:rPr>
      </w:r>
      <w:r/>
    </w:p>
    <w:p>
      <w:pPr>
        <w:pStyle w:val="990"/>
        <w:ind w:firstLine="417"/>
        <w:spacing w:line="360" w:lineRule="auto"/>
        <w:rPr>
          <w:rFonts w:hint="eastAsia" w:ascii="宋体" w:hAnsi="宋体" w:eastAsia="宋体"/>
          <w:b/>
          <w:sz w:val="21"/>
          <w:szCs w:val="21"/>
        </w:rPr>
      </w:pPr>
      <w:r>
        <w:rPr>
          <w:rFonts w:hint="eastAsia" w:ascii="黑体" w:hAnsi="宋体" w:eastAsia="宋体"/>
          <w:b/>
          <w:sz w:val="21"/>
          <w:szCs w:val="21"/>
        </w:rPr>
        <w:t xml:space="preserve">说明：</w:t>
      </w:r>
      <w:r>
        <w:rPr>
          <w:rFonts w:hint="eastAsia" w:ascii="宋体" w:hAnsi="宋体" w:eastAsia="宋体"/>
          <w:b/>
          <w:sz w:val="21"/>
          <w:szCs w:val="21"/>
        </w:rPr>
        <w:t xml:space="preserve">对本章所有的投标书格式 ，投标方可根据自身情况进行补充和修改，但补充和修改不得造成与本格式内容有实质性的违背。</w:t>
      </w:r>
      <w:r/>
    </w:p>
    <w:p>
      <w:pPr>
        <w:pStyle w:val="990"/>
        <w:ind w:firstLine="417"/>
        <w:spacing w:line="360" w:lineRule="auto"/>
        <w:rPr>
          <w:rFonts w:hint="eastAsia" w:ascii="宋体" w:hAnsi="宋体" w:eastAsia="宋体"/>
          <w:b/>
          <w:sz w:val="21"/>
          <w:szCs w:val="21"/>
        </w:rPr>
      </w:pPr>
      <w:r>
        <w:rPr>
          <w:rFonts w:hint="eastAsia" w:ascii="宋体" w:hAnsi="宋体" w:eastAsia="宋体"/>
          <w:b/>
          <w:sz w:val="21"/>
          <w:szCs w:val="21"/>
        </w:rPr>
      </w:r>
      <w:r/>
    </w:p>
    <w:p>
      <w:pPr>
        <w:pStyle w:val="969"/>
        <w:spacing w:before="480" w:after="240"/>
        <w:rPr>
          <w:rFonts w:ascii="黑体" w:hAnsi="黑体"/>
          <w:color w:val="000000"/>
        </w:rPr>
      </w:pPr>
      <w:r/>
      <w:bookmarkStart w:id="32" w:name="_Ref363807956"/>
      <w:r/>
      <w:bookmarkStart w:id="33" w:name="_Ref37248457"/>
      <w:r/>
      <w:bookmarkStart w:id="34" w:name="_Ref12546102"/>
      <w:r>
        <w:rPr>
          <w:rFonts w:hint="eastAsia" w:ascii="黑体" w:hAnsi="黑体"/>
          <w:color w:val="000000"/>
        </w:rPr>
        <w:t xml:space="preserve">投标承诺函</w:t>
      </w:r>
      <w:bookmarkEnd w:id="33"/>
      <w:r>
        <w:rPr>
          <w:rFonts w:ascii="黑体" w:hAnsi="黑体"/>
          <w:color w:val="000000"/>
        </w:rPr>
      </w:r>
      <w:r/>
    </w:p>
    <w:p>
      <w:pPr>
        <w:pStyle w:val="1128"/>
        <w:ind w:firstLine="420"/>
        <w:spacing w:line="360" w:lineRule="auto"/>
        <w:rPr>
          <w:rFonts w:hAnsi="宋体" w:eastAsia="宋体"/>
          <w:sz w:val="21"/>
          <w:szCs w:val="21"/>
        </w:rPr>
      </w:pPr>
      <w:r>
        <w:rPr>
          <w:rFonts w:hAnsi="宋体" w:eastAsia="宋体"/>
          <w:sz w:val="21"/>
          <w:szCs w:val="21"/>
        </w:rPr>
        <w:t xml:space="preserve">致：___________________(采购人名称）、</w:t>
      </w:r>
      <w:r>
        <w:rPr>
          <w:rFonts w:eastAsia="宋体"/>
          <w:sz w:val="21"/>
        </w:rPr>
        <w:t xml:space="preserve">江苏正华新工程咨询有限公司：</w:t>
      </w:r>
      <w:r>
        <w:rPr>
          <w:rFonts w:hAnsi="宋体" w:eastAsia="宋体"/>
          <w:sz w:val="21"/>
          <w:szCs w:val="21"/>
        </w:rPr>
      </w:r>
      <w:r/>
    </w:p>
    <w:p>
      <w:pPr>
        <w:pStyle w:val="990"/>
        <w:ind w:right="-252"/>
        <w:spacing w:line="360" w:lineRule="auto"/>
        <w:rPr>
          <w:rFonts w:hint="eastAsia" w:ascii="宋体" w:hAnsi="宋体" w:eastAsia="宋体"/>
          <w:sz w:val="21"/>
          <w:szCs w:val="21"/>
        </w:rPr>
      </w:pPr>
      <w:r>
        <w:rPr>
          <w:rFonts w:hAnsi="宋体" w:eastAsia="宋体"/>
          <w:sz w:val="21"/>
          <w:szCs w:val="21"/>
        </w:rPr>
        <w:t xml:space="preserve">  </w:t>
      </w:r>
      <w:r>
        <w:rPr>
          <w:rFonts w:hint="eastAsia" w:ascii="宋体" w:hAnsi="宋体" w:eastAsia="宋体"/>
          <w:sz w:val="21"/>
          <w:szCs w:val="21"/>
        </w:rPr>
        <w:t xml:space="preserve">经仔细阅读和研究，我方同意招标文件（包括补充文件）的各条款要求，自愿参加（项目名称及项目编号）的投标活动，并做出如下承诺：</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1.我方同意提供与投标有关的一切数据或资料，并保证所提供的投标文件及相关资料均真实有效，若有不实，由此产生的后果由我方承担；</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2.我方愿意按照招标文件的要求，响应该项目的全部实质性内容。 </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3.我方具有良好的商业信誉和健全的财务会计制度；</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4.我方具有依法缴纳税收和社会保障资金的良好记录；</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5.我方具有履行合同所必需的设备和专业技术能力；</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6.我方参加本次政府采购活动前3年内在经营活动中无重大违法记录；</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7.我方最后报价含服务过程所发生的全部费用。</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8.我方同意按采购人确定的评标办法及评标标准，由评标专家进行评审；</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9.我方同意按招标文件中的规定，投标文件的有效期限为自开标日起三个月内；</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10.我方同意采购人关于违约责任的认定方式和对违约责任的处罚；在履约过程中，如我方违约，我方愿意承担相应违约责任。</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11.除不可抗力外，我方如果发生以下行为，将在行为发生的10个工作日内，向采购人支付本招标文件公布的预算价的2%作为违约赔偿金。</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（1）在招标文件规定的投标有效期内进行实质上修改或撤回投标；</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（2）中标后不依法与采购人签订合同；</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（3）在投标文件中提供虚假材料；</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（4）恶意串通；</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（5）其他违法违规情形。</w:t>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12.我方知晓上述行为的法律后果，并认可本承诺函作为采购人要求我方履行违约赔偿的依据。</w:t>
      </w:r>
      <w:r/>
    </w:p>
    <w:p>
      <w:pPr>
        <w:pStyle w:val="990"/>
        <w:ind w:right="-252"/>
        <w:spacing w:line="360" w:lineRule="auto"/>
        <w:rPr>
          <w:rFonts w:ascii="宋体" w:hAnsi="宋体" w:eastAsia="宋体"/>
          <w:sz w:val="21"/>
          <w:szCs w:val="21"/>
        </w:rPr>
      </w:pPr>
      <w:r>
        <w:rPr>
          <w:rFonts w:hint="eastAsia" w:ascii="宋体" w:hAnsi="宋体" w:eastAsia="宋体"/>
          <w:sz w:val="21"/>
          <w:szCs w:val="21"/>
        </w:rPr>
        <w:t xml:space="preserve">13.我单位同意招标人关于违约责任的认定方式和对违约责任的处罚；在服务过程中，如我单位违约，我单位愿意承担相应违约责任。</w:t>
      </w:r>
      <w:r>
        <w:rPr>
          <w:rFonts w:ascii="宋体" w:hAnsi="宋体" w:eastAsia="宋体"/>
          <w:sz w:val="21"/>
          <w:szCs w:val="21"/>
        </w:rPr>
      </w:r>
      <w:r/>
    </w:p>
    <w:p>
      <w:pPr>
        <w:pStyle w:val="1128"/>
        <w:ind w:firstLine="5040"/>
        <w:spacing w:line="360" w:lineRule="auto"/>
        <w:rPr>
          <w:rFonts w:hAnsi="宋体" w:eastAsia="宋体"/>
          <w:sz w:val="21"/>
          <w:szCs w:val="21"/>
        </w:rPr>
      </w:pPr>
      <w:r>
        <w:rPr>
          <w:rFonts w:hAnsi="宋体" w:eastAsia="宋体"/>
          <w:sz w:val="21"/>
          <w:szCs w:val="21"/>
        </w:rPr>
        <w:t xml:space="preserve">  投标人：（单位盖章）</w:t>
      </w:r>
      <w:r/>
    </w:p>
    <w:p>
      <w:pPr>
        <w:pStyle w:val="1128"/>
        <w:ind w:firstLine="3570"/>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p>
    <w:p>
      <w:pPr>
        <w:pStyle w:val="1128"/>
        <w:ind w:firstLine="5670"/>
        <w:spacing w:line="360" w:lineRule="auto"/>
        <w:rPr>
          <w:rFonts w:hAnsi="宋体" w:eastAsia="宋体"/>
          <w:sz w:val="21"/>
          <w:szCs w:val="21"/>
        </w:rPr>
      </w:pPr>
      <w:r>
        <w:rPr>
          <w:rFonts w:hAnsi="宋体" w:eastAsia="宋体"/>
          <w:sz w:val="21"/>
          <w:szCs w:val="21"/>
        </w:rPr>
        <w:t xml:space="preserve">年     月     日</w:t>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9"/>
        <w:spacing w:before="480" w:after="240"/>
        <w:rPr>
          <w:rFonts w:hint="eastAsia"/>
        </w:rPr>
      </w:pPr>
      <w:r/>
      <w:bookmarkStart w:id="35" w:name="_Ref63328984"/>
      <w:r>
        <w:rPr>
          <w:rFonts w:hint="eastAsia"/>
        </w:rPr>
        <w:t xml:space="preserve">（投标方）法定代表人授权委托书</w:t>
      </w:r>
      <w:bookmarkEnd w:id="32"/>
      <w:r/>
      <w:bookmarkEnd w:id="34"/>
      <w:r/>
      <w:bookmarkEnd w:id="35"/>
      <w:r>
        <w:rPr>
          <w:rFonts w:hint="eastAsia"/>
        </w:rPr>
      </w:r>
      <w:r/>
    </w:p>
    <w:p>
      <w:pPr>
        <w:pStyle w:val="990"/>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990"/>
        <w:ind w:right="-252"/>
        <w:spacing w:line="360" w:lineRule="auto"/>
        <w:rPr>
          <w:rFonts w:ascii="宋体" w:hAnsi="宋体" w:eastAsia="宋体"/>
          <w:sz w:val="21"/>
          <w:szCs w:val="21"/>
        </w:rPr>
      </w:pPr>
      <w:r>
        <w:rPr>
          <w:rFonts w:hint="eastAsia" w:ascii="宋体" w:hAnsi="宋体" w:eastAsia="宋体"/>
          <w:sz w:val="21"/>
          <w:szCs w:val="21"/>
        </w:rPr>
        <w:t xml:space="preserve">本授权委托书声明：</w:t>
      </w:r>
      <w:r>
        <w:rPr>
          <w:rFonts w:ascii="宋体" w:hAnsi="宋体" w:eastAsia="宋体"/>
          <w:sz w:val="21"/>
          <w:szCs w:val="21"/>
        </w:rPr>
        <w:t xml:space="preserve">  </w:t>
      </w:r>
      <w:r>
        <w:rPr>
          <w:rFonts w:hint="eastAsia" w:ascii="宋体" w:hAnsi="宋体" w:eastAsia="宋体"/>
          <w:sz w:val="21"/>
          <w:szCs w:val="21"/>
        </w:rPr>
        <w:t xml:space="preserve">我</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（姓名）系</w:t>
      </w:r>
      <w:r>
        <w:rPr>
          <w:rFonts w:ascii="宋体" w:hAnsi="宋体" w:eastAsia="宋体"/>
          <w:sz w:val="21"/>
          <w:szCs w:val="21"/>
          <w:u w:val="single"/>
        </w:rPr>
        <w:t xml:space="preserve">             </w:t>
      </w:r>
      <w:r>
        <w:rPr>
          <w:rFonts w:hint="eastAsia" w:ascii="宋体" w:hAnsi="宋体" w:eastAsia="宋体"/>
          <w:sz w:val="21"/>
          <w:szCs w:val="21"/>
        </w:rPr>
        <w:t xml:space="preserve">（投标单位名称）的法定代表人，现授权委托</w:t>
      </w:r>
      <w:r>
        <w:rPr>
          <w:rFonts w:ascii="宋体" w:hAnsi="宋体" w:eastAsia="宋体"/>
          <w:sz w:val="21"/>
          <w:szCs w:val="21"/>
          <w:u w:val="single"/>
        </w:rPr>
        <w:t xml:space="preserve">              </w:t>
      </w:r>
      <w:r>
        <w:rPr>
          <w:rFonts w:hint="eastAsia" w:ascii="宋体" w:hAnsi="宋体" w:eastAsia="宋体"/>
          <w:sz w:val="21"/>
          <w:szCs w:val="21"/>
        </w:rPr>
        <w:t xml:space="preserve">（单位名称）的</w:t>
      </w:r>
      <w:r>
        <w:rPr>
          <w:rFonts w:ascii="宋体" w:hAnsi="宋体" w:eastAsia="宋体"/>
          <w:sz w:val="21"/>
          <w:szCs w:val="21"/>
          <w:u w:val="single"/>
        </w:rPr>
        <w:t xml:space="preserve">         </w:t>
      </w:r>
      <w:r>
        <w:rPr>
          <w:rFonts w:hint="eastAsia" w:ascii="宋体" w:hAnsi="宋体" w:eastAsia="宋体"/>
          <w:sz w:val="21"/>
          <w:szCs w:val="21"/>
        </w:rPr>
        <w:t xml:space="preserve">（姓名）为我公司代理人，以本公司的名义参加</w:t>
      </w:r>
      <w:r>
        <w:rPr>
          <w:rStyle w:val="1040"/>
          <w:rFonts w:hint="eastAsia" w:ascii="宋体" w:hAnsi="宋体" w:eastAsia="宋体"/>
          <w:sz w:val="21"/>
          <w:szCs w:val="21"/>
        </w:rPr>
        <w:t xml:space="preserve">江苏正华新工程咨询有限公司</w:t>
      </w:r>
      <w:r>
        <w:rPr>
          <w:rFonts w:hint="eastAsia" w:ascii="宋体" w:hAnsi="宋体" w:eastAsia="宋体"/>
          <w:sz w:val="21"/>
          <w:szCs w:val="21"/>
        </w:rPr>
        <w:t xml:space="preserve">组织实施的编号为</w:t>
      </w:r>
      <w:r>
        <w:rPr>
          <w:rFonts w:hint="eastAsia" w:eastAsia="宋体"/>
          <w:color w:val="000000"/>
          <w:sz w:val="21"/>
          <w:szCs w:val="21"/>
        </w:rPr>
        <w:t xml:space="preserve">JSZC-320583-SZZH-G2026-0005</w:t>
      </w:r>
      <w:r>
        <w:rPr>
          <w:rFonts w:hint="eastAsia" w:ascii="宋体" w:hAnsi="宋体" w:eastAsia="宋体"/>
          <w:color w:val="000000"/>
          <w:sz w:val="21"/>
          <w:szCs w:val="21"/>
        </w:rPr>
        <w:t xml:space="preserve">号</w:t>
      </w:r>
      <w:r>
        <w:rPr>
          <w:rFonts w:hint="eastAsia" w:ascii="宋体" w:hAnsi="宋体" w:eastAsia="宋体"/>
          <w:sz w:val="21"/>
          <w:szCs w:val="21"/>
        </w:rPr>
        <w:t xml:space="preserve">的招标活动。代理人在开标、评标、合同过程中所签署的一切文件和处理与这有关的一切事务，我均予以承认。</w:t>
      </w:r>
      <w:r>
        <w:rPr>
          <w:rFonts w:ascii="宋体" w:hAnsi="宋体" w:eastAsia="宋体"/>
          <w:sz w:val="21"/>
          <w:szCs w:val="21"/>
        </w:rPr>
      </w:r>
      <w:r/>
    </w:p>
    <w:p>
      <w:pPr>
        <w:pStyle w:val="990"/>
        <w:ind w:right="-252"/>
        <w:spacing w:line="360" w:lineRule="auto"/>
        <w:rPr>
          <w:rFonts w:hint="eastAsia" w:ascii="宋体" w:hAnsi="宋体" w:eastAsia="宋体"/>
          <w:sz w:val="21"/>
          <w:szCs w:val="21"/>
        </w:rPr>
      </w:pPr>
      <w:r>
        <w:rPr>
          <w:rFonts w:hint="eastAsia" w:ascii="宋体" w:hAnsi="宋体" w:eastAsia="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990"/>
        <w:spacing w:line="360" w:lineRule="auto"/>
        <w:rPr>
          <w:rFonts w:hint="eastAsia" w:ascii="宋体" w:hAnsi="宋体" w:eastAsia="宋体"/>
          <w:sz w:val="21"/>
          <w:szCs w:val="21"/>
        </w:rPr>
      </w:pPr>
      <w:r>
        <w:rPr>
          <w:rFonts w:hint="eastAsia" w:ascii="宋体" w:hAnsi="宋体" w:eastAsia="宋体"/>
          <w:sz w:val="21"/>
          <w:szCs w:val="21"/>
        </w:rPr>
        <w:t xml:space="preserve">代理人无权再委托</w:t>
      </w:r>
      <w:r/>
    </w:p>
    <w:p>
      <w:pPr>
        <w:pStyle w:val="990"/>
        <w:ind w:firstLine="699"/>
        <w:spacing w:line="360" w:lineRule="auto"/>
        <w:rPr>
          <w:rFonts w:hint="eastAsia" w:ascii="宋体" w:hAnsi="宋体" w:eastAsia="宋体"/>
          <w:sz w:val="21"/>
          <w:szCs w:val="21"/>
        </w:rPr>
      </w:pPr>
      <w:r>
        <w:rPr>
          <w:rFonts w:hint="eastAsia" w:ascii="宋体" w:hAnsi="宋体" w:eastAsia="宋体"/>
          <w:sz w:val="21"/>
          <w:szCs w:val="21"/>
        </w:rPr>
        <w:t xml:space="preserve">特此委托</w:t>
      </w:r>
      <w:r/>
    </w:p>
    <w:p>
      <w:pPr>
        <w:pStyle w:val="990"/>
        <w:ind w:firstLine="699"/>
        <w:spacing w:line="360" w:lineRule="auto"/>
        <w:rPr>
          <w:rFonts w:hint="eastAsia" w:ascii="宋体" w:hAnsi="宋体" w:eastAsia="宋体"/>
          <w:sz w:val="21"/>
          <w:szCs w:val="21"/>
        </w:rPr>
      </w:pPr>
      <w:r>
        <w:rPr>
          <w:rFonts w:hint="eastAsia" w:ascii="宋体" w:hAnsi="宋体" w:eastAsia="宋体"/>
          <w:sz w:val="21"/>
          <w:szCs w:val="21"/>
        </w:rPr>
      </w:r>
      <w:r/>
    </w:p>
    <w:p>
      <w:pPr>
        <w:pStyle w:val="967"/>
        <w:spacing w:line="360" w:lineRule="auto"/>
        <w:rPr>
          <w:rFonts w:ascii="宋体" w:hAnsi="宋体"/>
          <w:szCs w:val="21"/>
        </w:rPr>
      </w:pPr>
      <w:r>
        <w:rPr>
          <w:rFonts w:hint="eastAsia" w:ascii="宋体" w:hAnsi="宋体"/>
          <w:szCs w:val="21"/>
        </w:rPr>
        <w:t xml:space="preserve">被授权人姓名： </w:t>
      </w:r>
      <w:r>
        <w:rPr>
          <w:rFonts w:ascii="宋体" w:hAnsi="宋体"/>
          <w:szCs w:val="21"/>
        </w:rPr>
      </w:r>
      <w:r/>
    </w:p>
    <w:p>
      <w:pPr>
        <w:pStyle w:val="967"/>
        <w:spacing w:line="360" w:lineRule="auto"/>
        <w:rPr>
          <w:rFonts w:ascii="宋体" w:hAnsi="宋体"/>
          <w:szCs w:val="21"/>
        </w:rPr>
      </w:pPr>
      <w:r>
        <w:rPr>
          <w:rFonts w:hint="eastAsia" w:ascii="宋体" w:hAnsi="宋体"/>
          <w:szCs w:val="21"/>
        </w:rPr>
        <w:t xml:space="preserve">职务：</w:t>
      </w:r>
      <w:r>
        <w:rPr>
          <w:rFonts w:ascii="宋体" w:hAnsi="宋体"/>
          <w:szCs w:val="21"/>
        </w:rPr>
      </w:r>
      <w:r/>
    </w:p>
    <w:p>
      <w:pPr>
        <w:pStyle w:val="967"/>
        <w:spacing w:line="360" w:lineRule="auto"/>
        <w:rPr>
          <w:rFonts w:ascii="宋体" w:hAnsi="宋体"/>
          <w:szCs w:val="21"/>
        </w:rPr>
      </w:pPr>
      <w:r>
        <w:rPr>
          <w:rFonts w:hint="eastAsia" w:ascii="宋体" w:hAnsi="宋体"/>
          <w:szCs w:val="21"/>
        </w:rPr>
        <w:t xml:space="preserve">身份证号码：                        </w:t>
      </w:r>
      <w:r>
        <w:rPr>
          <w:rFonts w:ascii="宋体" w:hAnsi="宋体"/>
          <w:szCs w:val="21"/>
        </w:rPr>
      </w:r>
      <w:r/>
    </w:p>
    <w:p>
      <w:pPr>
        <w:pStyle w:val="967"/>
        <w:spacing w:line="360" w:lineRule="auto"/>
        <w:rPr>
          <w:rFonts w:ascii="宋体" w:hAnsi="宋体"/>
          <w:szCs w:val="21"/>
        </w:rPr>
      </w:pPr>
      <w:r>
        <w:rPr>
          <w:rFonts w:hint="eastAsia" w:ascii="宋体" w:hAnsi="宋体"/>
          <w:szCs w:val="21"/>
        </w:rPr>
        <w:t xml:space="preserve">联系电话：</w:t>
      </w:r>
      <w:r>
        <w:rPr>
          <w:rFonts w:ascii="宋体" w:hAnsi="宋体"/>
          <w:szCs w:val="21"/>
        </w:rPr>
      </w:r>
      <w:r/>
    </w:p>
    <w:p>
      <w:pPr>
        <w:pStyle w:val="967"/>
        <w:spacing w:line="360" w:lineRule="auto"/>
        <w:rPr>
          <w:rFonts w:ascii="宋体" w:hAnsi="宋体"/>
          <w:szCs w:val="21"/>
        </w:rPr>
      </w:pPr>
      <w:r>
        <w:rPr>
          <w:rFonts w:hint="eastAsia" w:ascii="宋体" w:hAnsi="宋体"/>
          <w:szCs w:val="21"/>
        </w:rPr>
        <w:t xml:space="preserve">附双方身份证：</w:t>
      </w:r>
      <w:r>
        <w:rPr>
          <w:rFonts w:ascii="宋体" w:hAnsi="宋体"/>
          <w:szCs w:val="21"/>
        </w:rPr>
      </w:r>
      <w:r/>
    </w:p>
    <w:p>
      <w:pPr>
        <w:pStyle w:val="990"/>
        <w:ind w:firstLine="699"/>
        <w:spacing w:line="360" w:lineRule="auto"/>
        <w:rPr>
          <w:rFonts w:ascii="宋体" w:hAnsi="宋体" w:eastAsia="宋体"/>
          <w:sz w:val="21"/>
          <w:szCs w:val="21"/>
        </w:rPr>
      </w:pPr>
      <w:r>
        <w:rPr>
          <w:rFonts w:ascii="宋体" w:hAnsi="宋体" w:eastAsia="宋体"/>
          <w:sz w:val="21"/>
          <w:szCs w:val="21"/>
        </w:rPr>
      </w:r>
      <w:r/>
    </w:p>
    <w:p>
      <w:pPr>
        <w:pStyle w:val="967"/>
        <w:ind w:firstLine="5040"/>
        <w:jc w:val="right"/>
        <w:spacing w:line="360" w:lineRule="auto"/>
        <w:rPr>
          <w:rFonts w:hint="eastAsia" w:ascii="宋体" w:hAnsi="宋体"/>
          <w:szCs w:val="21"/>
        </w:rPr>
      </w:pPr>
      <w:r>
        <w:rPr>
          <w:rFonts w:hint="eastAsia" w:ascii="宋体" w:hAnsi="宋体"/>
          <w:szCs w:val="21"/>
        </w:rPr>
        <w:t xml:space="preserve">投标人：（单位盖章）</w:t>
      </w:r>
      <w:r/>
    </w:p>
    <w:p>
      <w:pPr>
        <w:pStyle w:val="1128"/>
        <w:ind w:firstLine="5040"/>
        <w:jc w:val="right"/>
        <w:spacing w:line="360" w:lineRule="auto"/>
        <w:rPr>
          <w:rFonts w:hAnsi="宋体" w:eastAsia="宋体"/>
          <w:sz w:val="21"/>
          <w:szCs w:val="21"/>
        </w:rPr>
      </w:pPr>
      <w:r>
        <w:rPr>
          <w:rFonts w:hAnsi="宋体" w:eastAsia="宋体"/>
          <w:sz w:val="21"/>
          <w:szCs w:val="21"/>
        </w:rPr>
        <w:t xml:space="preserve">   </w:t>
      </w:r>
      <w:bookmarkStart w:id="36" w:name="_Ref363807957"/>
      <w:r/>
      <w:bookmarkStart w:id="37" w:name="_Ref12520342"/>
      <w:r>
        <w:rPr>
          <w:rFonts w:hAnsi="宋体" w:eastAsia="宋体"/>
          <w:sz w:val="21"/>
          <w:szCs w:val="21"/>
        </w:rPr>
        <w:t xml:space="preserve">法定代表人：（签字或盖章）</w:t>
      </w:r>
      <w:r/>
    </w:p>
    <w:p>
      <w:pPr>
        <w:pStyle w:val="1128"/>
        <w:ind w:firstLine="5040"/>
        <w:jc w:val="right"/>
        <w:spacing w:line="360" w:lineRule="auto"/>
        <w:rPr>
          <w:rFonts w:hAnsi="宋体" w:eastAsia="宋体"/>
          <w:sz w:val="21"/>
          <w:szCs w:val="21"/>
        </w:rPr>
      </w:pPr>
      <w:r>
        <w:rPr>
          <w:rFonts w:hAnsi="宋体" w:eastAsia="宋体"/>
          <w:sz w:val="21"/>
          <w:szCs w:val="21"/>
        </w:rPr>
        <w:t xml:space="preserve">被授权人：（签字或盖章）</w:t>
      </w:r>
      <w:r/>
    </w:p>
    <w:p>
      <w:pPr>
        <w:pStyle w:val="1128"/>
        <w:ind w:firstLine="5040"/>
        <w:jc w:val="right"/>
        <w:spacing w:line="360" w:lineRule="auto"/>
        <w:rPr>
          <w:rFonts w:hAnsi="宋体" w:eastAsia="宋体"/>
          <w:sz w:val="21"/>
          <w:szCs w:val="21"/>
        </w:rPr>
      </w:pPr>
      <w:r>
        <w:rPr>
          <w:rFonts w:hAnsi="宋体" w:eastAsia="宋体"/>
          <w:sz w:val="21"/>
          <w:szCs w:val="21"/>
        </w:rPr>
        <w:t xml:space="preserve">年     月     日</w:t>
      </w:r>
      <w:r/>
    </w:p>
    <w:p>
      <w:pPr>
        <w:pStyle w:val="969"/>
        <w:jc w:val="both"/>
        <w:spacing w:before="480" w:after="240"/>
        <w:rPr>
          <w:rFonts w:hint="eastAsia"/>
        </w:rPr>
      </w:pPr>
      <w:r/>
      <w:bookmarkStart w:id="38" w:name="_Ref12546113"/>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9"/>
        <w:spacing w:before="480" w:after="240"/>
      </w:pPr>
      <w:r/>
      <w:bookmarkStart w:id="39" w:name="_Ref150260621"/>
      <w:r>
        <w:t xml:space="preserve">开标一览表</w:t>
      </w:r>
      <w:bookmarkEnd w:id="36"/>
      <w:r/>
      <w:bookmarkEnd w:id="37"/>
      <w:r/>
      <w:bookmarkEnd w:id="38"/>
      <w:r/>
      <w:bookmarkEnd w:id="39"/>
      <w:r/>
      <w:r/>
    </w:p>
    <w:p>
      <w:pPr>
        <w:pStyle w:val="1078"/>
        <w:ind w:firstLine="480"/>
        <w:spacing w:line="360" w:lineRule="auto"/>
        <w:rPr>
          <w:rFonts w:hAnsi="宋体" w:eastAsia="宋体"/>
          <w:sz w:val="21"/>
          <w:szCs w:val="21"/>
        </w:rPr>
      </w:pPr>
      <w:r>
        <w:rPr>
          <w:rFonts w:hint="eastAsia" w:hAnsi="宋体" w:eastAsia="宋体"/>
          <w:sz w:val="21"/>
          <w:szCs w:val="21"/>
        </w:rPr>
        <w:t xml:space="preserve">                                </w:t>
      </w:r>
      <w:r>
        <w:rPr>
          <w:rFonts w:hAnsi="宋体" w:eastAsia="宋体"/>
          <w:sz w:val="21"/>
          <w:szCs w:val="21"/>
        </w:rPr>
        <w:t xml:space="preserve">开标一览表（总报价）</w:t>
      </w:r>
      <w:r/>
    </w:p>
    <w:p>
      <w:pPr>
        <w:pStyle w:val="1078"/>
        <w:ind w:firstLine="480"/>
        <w:spacing w:line="360" w:lineRule="auto"/>
        <w:rPr>
          <w:rFonts w:hint="eastAsia" w:hAnsi="宋体" w:eastAsia="宋体"/>
          <w:sz w:val="21"/>
          <w:szCs w:val="21"/>
        </w:rPr>
      </w:pPr>
      <w:r>
        <w:rPr>
          <w:rFonts w:hint="eastAsia" w:hAnsi="宋体" w:eastAsia="宋体"/>
          <w:sz w:val="21"/>
          <w:szCs w:val="21"/>
        </w:rPr>
        <w:t xml:space="preserve">投标人全称（加盖公章）： </w:t>
      </w:r>
      <w:r/>
    </w:p>
    <w:p>
      <w:pPr>
        <w:pStyle w:val="1078"/>
        <w:ind w:firstLine="480"/>
        <w:spacing w:line="360" w:lineRule="auto"/>
        <w:rPr>
          <w:rFonts w:hint="eastAsia" w:hAnsi="宋体" w:eastAsia="宋体"/>
          <w:sz w:val="21"/>
          <w:szCs w:val="21"/>
        </w:rPr>
      </w:pPr>
      <w:r>
        <w:rPr>
          <w:rFonts w:hint="eastAsia" w:hAnsi="宋体" w:eastAsia="宋体"/>
          <w:sz w:val="21"/>
          <w:szCs w:val="21"/>
        </w:rPr>
        <w:t xml:space="preserve">项目编号： </w:t>
      </w:r>
      <w:r/>
    </w:p>
    <w:p>
      <w:pPr>
        <w:pStyle w:val="1078"/>
        <w:ind w:firstLine="480"/>
        <w:spacing w:line="360" w:lineRule="auto"/>
        <w:rPr>
          <w:rFonts w:hint="eastAsia" w:hAnsi="宋体" w:eastAsia="宋体"/>
          <w:sz w:val="21"/>
          <w:szCs w:val="21"/>
        </w:rPr>
      </w:pPr>
      <w:r>
        <w:rPr>
          <w:rFonts w:hint="eastAsia" w:hAnsi="宋体" w:eastAsia="宋体"/>
          <w:sz w:val="21"/>
          <w:szCs w:val="21"/>
        </w:rPr>
        <w:t xml:space="preserve">分包号：采购包1</w:t>
      </w:r>
      <w:r/>
    </w:p>
    <w:tbl>
      <w:tblPr>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30"/>
        <w:gridCol w:w="4424"/>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tcPr>
          <w:p>
            <w:pPr>
              <w:pStyle w:val="967"/>
              <w:jc w:val="left"/>
              <w:spacing w:line="360" w:lineRule="auto"/>
              <w:widowControl/>
              <w:rPr>
                <w:szCs w:val="21"/>
              </w:rPr>
            </w:pPr>
            <w:r>
              <w:rPr>
                <w:rFonts w:ascii="宋体" w:hAnsi="宋体" w:cs="宋体"/>
                <w:szCs w:val="21"/>
              </w:rPr>
              <w:t xml:space="preserve">项目名称</w:t>
            </w:r>
            <w:r>
              <w:rPr>
                <w:szCs w:val="21"/>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tcPr>
          <w:p>
            <w:pPr>
              <w:pStyle w:val="967"/>
              <w:jc w:val="left"/>
              <w:spacing w:line="360" w:lineRule="auto"/>
              <w:widowControl/>
              <w:rPr>
                <w:szCs w:val="21"/>
              </w:rPr>
            </w:pPr>
            <w:r>
              <w:rPr>
                <w:rFonts w:ascii="宋体" w:hAnsi="宋体" w:cs="宋体"/>
                <w:szCs w:val="21"/>
              </w:rPr>
              <w:t xml:space="preserve">投标总报价</w:t>
            </w:r>
            <w:r>
              <w:rPr>
                <w:szCs w:val="21"/>
              </w:rPr>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tcPr>
          <w:p>
            <w:pPr>
              <w:pStyle w:val="967"/>
              <w:spacing w:line="360" w:lineRule="auto"/>
              <w:rPr>
                <w:rFonts w:hint="eastAsia"/>
                <w:szCs w:val="21"/>
              </w:rPr>
            </w:pPr>
            <w:r>
              <w:rPr>
                <w:rFonts w:hint="eastAsia" w:ascii="宋体" w:hAnsi="宋体" w:cs="宋体"/>
                <w:szCs w:val="21"/>
              </w:rPr>
              <w:t xml:space="preserve">昆山第六人民医院异地新建污水系统租赁服务</w:t>
            </w:r>
            <w:r>
              <w:rPr>
                <w:rFonts w:hint="eastAsia"/>
                <w:szCs w:val="21"/>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tcPr>
          <w:p>
            <w:pPr>
              <w:pStyle w:val="967"/>
              <w:jc w:val="left"/>
              <w:spacing w:line="360" w:lineRule="auto"/>
              <w:widowControl/>
              <w:rPr>
                <w:szCs w:val="21"/>
              </w:rPr>
            </w:pPr>
            <w:r>
              <w:rPr>
                <w:rFonts w:ascii="宋体" w:hAnsi="宋体" w:cs="宋体"/>
                <w:szCs w:val="21"/>
              </w:rPr>
              <w:t xml:space="preserve">小写：</w:t>
            </w: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2" o:spid="_x0000_s2" o:spt="1" type="#_x0000_t1"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元</w:t>
            </w:r>
            <w:r>
              <w:rPr>
                <w:rFonts w:hint="eastAsia" w:ascii="宋体" w:hAnsi="宋体" w:cs="宋体"/>
                <w:szCs w:val="21"/>
              </w:rPr>
              <w:t xml:space="preserve">人民币）</w:t>
            </w:r>
            <w:r>
              <w:rPr>
                <w:szCs w:val="21"/>
              </w:rPr>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tcPr>
          <w:p>
            <w:pPr>
              <w:pStyle w:val="967"/>
              <w:jc w:val="left"/>
              <w:spacing w:line="360" w:lineRule="auto"/>
              <w:widowControl/>
              <w:rPr>
                <w:szCs w:val="21"/>
              </w:rPr>
            </w:pPr>
            <w:r>
              <w:rPr>
                <w:rFonts w:ascii="宋体" w:hAnsi="宋体" w:cs="宋体"/>
                <w:szCs w:val="21"/>
              </w:rPr>
              <w:t xml:space="preserve">投标报价大写金额</w:t>
            </w:r>
            <w:r>
              <w:rPr>
                <w:szCs w:val="21"/>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tcPr>
          <w:p>
            <w:pPr>
              <w:pStyle w:val="967"/>
              <w:jc w:val="left"/>
              <w:spacing w:line="360" w:lineRule="auto"/>
              <w:widowControl/>
              <w:rPr>
                <w:szCs w:val="21"/>
              </w:rPr>
            </w:pPr>
            <w:r>
              <w:rPr>
                <w:rFonts w:ascii="宋体" w:hAnsi="宋体" w:cs="宋体"/>
                <w:szCs w:val="21"/>
              </w:rPr>
              <w:t xml:space="preserve">金额大写 </w:t>
            </w:r>
            <w:r>
              <w:rPr>
                <w:szCs w:val="21"/>
              </w:rPr>
            </w:r>
            <w:r/>
          </w:p>
        </w:tc>
      </w:tr>
    </w:tbl>
    <w:p>
      <w:pPr>
        <w:pStyle w:val="1078"/>
        <w:ind w:firstLine="480"/>
        <w:spacing w:line="360" w:lineRule="auto"/>
        <w:rPr>
          <w:rFonts w:hint="eastAsia" w:hAnsi="宋体" w:eastAsia="宋体"/>
          <w:sz w:val="21"/>
          <w:szCs w:val="21"/>
        </w:rPr>
      </w:pPr>
      <w:r>
        <w:rPr>
          <w:rFonts w:hint="eastAsia" w:hAnsi="宋体" w:eastAsia="宋体"/>
          <w:sz w:val="21"/>
          <w:szCs w:val="21"/>
        </w:rPr>
      </w:r>
      <w:r/>
    </w:p>
    <w:p>
      <w:pPr>
        <w:pStyle w:val="1078"/>
        <w:ind w:firstLine="480"/>
        <w:spacing w:line="360" w:lineRule="auto"/>
        <w:rPr>
          <w:rFonts w:hAnsi="宋体" w:eastAsia="宋体"/>
          <w:sz w:val="21"/>
          <w:szCs w:val="21"/>
        </w:rPr>
      </w:pPr>
      <w:r>
        <w:rPr>
          <w:rFonts w:hAnsi="宋体" w:eastAsia="宋体"/>
          <w:sz w:val="21"/>
          <w:szCs w:val="21"/>
        </w:rPr>
      </w:r>
      <w:r/>
    </w:p>
    <w:p>
      <w:pPr>
        <w:pStyle w:val="1078"/>
        <w:ind w:firstLine="480"/>
        <w:spacing w:line="360" w:lineRule="auto"/>
        <w:rPr>
          <w:rFonts w:hint="eastAsia" w:hAnsi="宋体" w:eastAsia="宋体"/>
          <w:sz w:val="21"/>
          <w:szCs w:val="21"/>
        </w:rPr>
      </w:pPr>
      <w:r>
        <w:rPr>
          <w:rFonts w:hint="eastAsia" w:hAnsi="宋体" w:eastAsia="宋体"/>
          <w:sz w:val="21"/>
          <w:szCs w:val="21"/>
        </w:rPr>
        <w:t xml:space="preserve">                                                                年   月  日</w:t>
      </w:r>
      <w:r/>
    </w:p>
    <w:p>
      <w:pPr>
        <w:pStyle w:val="967"/>
        <w:spacing w:line="360" w:lineRule="auto"/>
        <w:rPr>
          <w:rFonts w:ascii="宋体" w:hAnsi="宋体"/>
          <w:szCs w:val="21"/>
        </w:rPr>
      </w:pPr>
      <w:r>
        <w:rPr>
          <w:rFonts w:ascii="宋体" w:hAnsi="宋体"/>
          <w:szCs w:val="21"/>
        </w:rPr>
        <w:t xml:space="preserve">填写说明：</w:t>
      </w:r>
      <w:r/>
    </w:p>
    <w:p>
      <w:pPr>
        <w:pStyle w:val="967"/>
        <w:spacing w:line="360" w:lineRule="auto"/>
        <w:rPr>
          <w:rFonts w:ascii="宋体" w:hAnsi="宋体"/>
          <w:b/>
          <w:bCs/>
          <w:szCs w:val="21"/>
        </w:rPr>
      </w:pPr>
      <w:r>
        <w:rPr>
          <w:rFonts w:ascii="宋体" w:hAnsi="宋体"/>
          <w:b/>
          <w:bCs/>
          <w:szCs w:val="21"/>
        </w:rPr>
        <w:t xml:space="preserve">1、开标一览表必须加盖投标人公章（复印件无效）。</w:t>
      </w:r>
      <w:r/>
    </w:p>
    <w:p>
      <w:pPr>
        <w:pStyle w:val="967"/>
        <w:spacing w:line="360" w:lineRule="auto"/>
        <w:rPr>
          <w:rFonts w:ascii="宋体" w:hAnsi="宋体"/>
          <w:b/>
          <w:bCs/>
          <w:szCs w:val="21"/>
        </w:rPr>
      </w:pPr>
      <w:r>
        <w:rPr>
          <w:rFonts w:ascii="宋体" w:hAnsi="宋体"/>
          <w:b/>
          <w:bCs/>
          <w:szCs w:val="21"/>
        </w:rPr>
        <w:t xml:space="preserve">2、如有分包，投标人投任何一个包的标的，都需单独填写开标一览表。</w:t>
      </w:r>
      <w:r/>
    </w:p>
    <w:p>
      <w:pPr>
        <w:pStyle w:val="1078"/>
        <w:ind w:firstLine="480"/>
        <w:spacing w:line="360" w:lineRule="auto"/>
        <w:rPr>
          <w:rFonts w:hint="eastAsia" w:hAnsi="宋体" w:eastAsia="宋体"/>
          <w:sz w:val="21"/>
          <w:szCs w:val="21"/>
        </w:rPr>
      </w:pPr>
      <w:r>
        <w:rPr>
          <w:rFonts w:hint="eastAsia" w:hAnsi="宋体" w:eastAsia="宋体"/>
          <w:sz w:val="21"/>
          <w:szCs w:val="21"/>
        </w:rPr>
      </w:r>
      <w:r/>
    </w:p>
    <w:p>
      <w:pPr>
        <w:pStyle w:val="1078"/>
        <w:ind w:firstLine="480"/>
        <w:spacing w:line="360" w:lineRule="auto"/>
        <w:rPr>
          <w:rFonts w:hint="eastAsia" w:hAnsi="宋体" w:eastAsia="宋体"/>
          <w:sz w:val="21"/>
          <w:szCs w:val="21"/>
        </w:rPr>
      </w:pPr>
      <w:r>
        <w:rPr>
          <w:rFonts w:hint="eastAsia" w:hAnsi="宋体" w:eastAsia="宋体"/>
          <w:sz w:val="21"/>
          <w:szCs w:val="21"/>
        </w:rPr>
      </w:r>
      <w:r/>
    </w:p>
    <w:p>
      <w:pPr>
        <w:pStyle w:val="969"/>
        <w:spacing w:before="480" w:after="240"/>
      </w:pPr>
      <w:r>
        <w:rPr>
          <w:rFonts w:hint="eastAsia"/>
        </w:rPr>
        <w:t xml:space="preserve">公开分项报价</w:t>
      </w:r>
      <w:r/>
    </w:p>
    <w:p>
      <w:pPr>
        <w:pStyle w:val="1078"/>
        <w:spacing w:line="360" w:lineRule="auto"/>
        <w:rPr>
          <w:rFonts w:hAnsi="宋体" w:eastAsia="宋体"/>
          <w:b/>
          <w:sz w:val="24"/>
        </w:rPr>
      </w:pPr>
      <w:r>
        <w:rPr>
          <w:rFonts w:hAnsi="宋体" w:eastAsia="宋体"/>
          <w:b/>
          <w:sz w:val="24"/>
        </w:rPr>
      </w:r>
      <w:r/>
    </w:p>
    <w:p>
      <w:pPr>
        <w:pStyle w:val="1078"/>
        <w:jc w:val="center"/>
        <w:spacing w:line="360" w:lineRule="auto"/>
        <w:rPr>
          <w:rFonts w:hint="eastAsia" w:hAnsi="宋体" w:eastAsia="宋体"/>
          <w:color w:val="000000"/>
          <w:sz w:val="24"/>
        </w:rPr>
      </w:pPr>
      <w:r>
        <w:rPr>
          <w:rFonts w:hAnsi="宋体" w:eastAsia="宋体"/>
          <w:color w:val="000000"/>
          <w:sz w:val="24"/>
          <w:u w:val="single"/>
        </w:rPr>
        <w:t xml:space="preserve">                    </w:t>
      </w:r>
      <w:r>
        <w:rPr>
          <w:rFonts w:hAnsi="宋体" w:eastAsia="宋体"/>
          <w:color w:val="000000"/>
          <w:sz w:val="24"/>
        </w:rPr>
        <w:t xml:space="preserve"> </w:t>
      </w:r>
      <w:r>
        <w:rPr>
          <w:rFonts w:hint="eastAsia" w:hAnsi="宋体" w:eastAsia="宋体"/>
          <w:color w:val="000000"/>
          <w:sz w:val="24"/>
        </w:rPr>
        <w:t xml:space="preserve">公开分项报价</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23"/>
        <w:gridCol w:w="3904"/>
        <w:gridCol w:w="1709"/>
        <w:gridCol w:w="2120"/>
      </w:tblGrid>
      <w:tr>
        <w:trPr>
          <w:trHeight w:val="348"/>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昆山市第六人民医院异地新建污水系统租赁服务汇总表</w:t>
            </w: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pStyle w:val="967"/>
              <w:jc w:val="left"/>
              <w:widowControl/>
              <w:rPr>
                <w:rFonts w:ascii="宋体" w:hAnsi="宋体" w:cs="宋体"/>
                <w:color w:val="000000"/>
                <w:szCs w:val="21"/>
              </w:rPr>
            </w:pPr>
            <w:r>
              <w:rPr>
                <w:rFonts w:hint="eastAsia" w:ascii="宋体" w:hAnsi="宋体" w:cs="宋体"/>
                <w:color w:val="000000"/>
                <w:szCs w:val="21"/>
                <w:lang w:bidi="ar"/>
              </w:rPr>
              <w:t xml:space="preserve">名称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单位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价格（元）</w:t>
            </w: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pStyle w:val="967"/>
              <w:jc w:val="left"/>
              <w:widowControl/>
              <w:rPr>
                <w:rFonts w:ascii="宋体" w:hAnsi="宋体" w:cs="宋体"/>
                <w:color w:val="000000"/>
                <w:szCs w:val="21"/>
              </w:rPr>
            </w:pPr>
            <w:r>
              <w:rPr>
                <w:rFonts w:hint="eastAsia" w:ascii="宋体" w:hAnsi="宋体" w:cs="宋体"/>
                <w:color w:val="000000"/>
                <w:szCs w:val="21"/>
                <w:lang w:bidi="ar"/>
              </w:rPr>
              <w:t xml:space="preserve">设备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tcPr>
          <w:p>
            <w:pPr>
              <w:pStyle w:val="96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pStyle w:val="967"/>
              <w:jc w:val="left"/>
              <w:widowControl/>
              <w:rPr>
                <w:rFonts w:ascii="宋体" w:hAnsi="宋体" w:cs="宋体"/>
                <w:color w:val="000000"/>
                <w:szCs w:val="21"/>
              </w:rPr>
            </w:pPr>
            <w:r>
              <w:rPr>
                <w:rFonts w:hint="eastAsia" w:ascii="宋体" w:hAnsi="宋体" w:cs="宋体"/>
                <w:color w:val="000000"/>
                <w:szCs w:val="21"/>
                <w:lang w:bidi="ar"/>
              </w:rPr>
              <w:t xml:space="preserve">运维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tcPr>
          <w:p>
            <w:pPr>
              <w:pStyle w:val="96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2.1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pStyle w:val="967"/>
              <w:jc w:val="left"/>
              <w:widowControl/>
              <w:rPr>
                <w:rFonts w:ascii="宋体" w:hAnsi="宋体" w:cs="宋体"/>
                <w:color w:val="000000"/>
                <w:szCs w:val="21"/>
              </w:rPr>
            </w:pPr>
            <w:r>
              <w:rPr>
                <w:rFonts w:hint="eastAsia" w:ascii="宋体" w:hAnsi="宋体" w:cs="宋体"/>
                <w:color w:val="000000"/>
                <w:szCs w:val="21"/>
                <w:lang w:bidi="ar"/>
              </w:rPr>
              <w:t xml:space="preserve">运维人员费用</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tcPr>
          <w:p>
            <w:pPr>
              <w:pStyle w:val="96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2.2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pStyle w:val="967"/>
              <w:jc w:val="left"/>
              <w:widowControl/>
              <w:rPr>
                <w:rFonts w:ascii="宋体" w:hAnsi="宋体" w:cs="宋体"/>
                <w:color w:val="000000"/>
                <w:szCs w:val="21"/>
              </w:rPr>
            </w:pPr>
            <w:r>
              <w:rPr>
                <w:rFonts w:hint="eastAsia" w:ascii="宋体" w:hAnsi="宋体" w:cs="宋体"/>
                <w:color w:val="000000"/>
                <w:szCs w:val="21"/>
                <w:lang w:bidi="ar"/>
              </w:rPr>
              <w:t xml:space="preserve">耗材及消毒药剂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tcPr>
          <w:p>
            <w:pPr>
              <w:pStyle w:val="96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2.3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pStyle w:val="967"/>
              <w:jc w:val="left"/>
              <w:widowControl/>
              <w:rPr>
                <w:rFonts w:ascii="宋体" w:hAnsi="宋体" w:cs="宋体"/>
                <w:color w:val="000000"/>
                <w:szCs w:val="21"/>
              </w:rPr>
            </w:pPr>
            <w:r>
              <w:rPr>
                <w:rFonts w:hint="eastAsia" w:ascii="宋体" w:hAnsi="宋体" w:cs="宋体"/>
                <w:color w:val="000000"/>
                <w:szCs w:val="21"/>
                <w:lang w:bidi="ar"/>
              </w:rPr>
              <w:t xml:space="preserve">排污许可证及卫监要求检测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tcPr>
          <w:p>
            <w:pPr>
              <w:pStyle w:val="96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2.4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pStyle w:val="967"/>
              <w:jc w:val="left"/>
              <w:widowControl/>
              <w:rPr>
                <w:rFonts w:ascii="宋体" w:hAnsi="宋体" w:cs="宋体"/>
                <w:color w:val="000000"/>
                <w:szCs w:val="21"/>
              </w:rPr>
            </w:pPr>
            <w:r>
              <w:rPr>
                <w:rFonts w:hint="eastAsia" w:ascii="宋体" w:hAnsi="宋体" w:cs="宋体"/>
                <w:color w:val="000000"/>
                <w:szCs w:val="21"/>
                <w:lang w:bidi="ar"/>
              </w:rPr>
              <w:t xml:space="preserve">在线监测设备维护</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tcPr>
          <w:p>
            <w:pPr>
              <w:pStyle w:val="96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pStyle w:val="967"/>
              <w:jc w:val="left"/>
              <w:widowControl/>
              <w:rPr>
                <w:rFonts w:ascii="宋体" w:hAnsi="宋体" w:cs="宋体"/>
                <w:color w:val="000000"/>
                <w:szCs w:val="21"/>
              </w:rPr>
            </w:pPr>
            <w:r>
              <w:rPr>
                <w:rFonts w:hint="eastAsia" w:ascii="宋体" w:hAnsi="宋体" w:cs="宋体"/>
                <w:color w:val="000000"/>
                <w:szCs w:val="21"/>
                <w:lang w:bidi="ar"/>
              </w:rPr>
              <w:t xml:space="preserve">在线监测软件平台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tcPr>
          <w:p>
            <w:pPr>
              <w:pStyle w:val="967"/>
              <w:jc w:val="center"/>
              <w:widowControl/>
              <w:rPr>
                <w:rFonts w:ascii="宋体" w:hAnsi="宋体" w:cs="宋体"/>
                <w:color w:val="000000"/>
                <w:szCs w:val="21"/>
              </w:rPr>
            </w:pP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pStyle w:val="967"/>
              <w:jc w:val="left"/>
              <w:widowControl/>
              <w:rPr>
                <w:rFonts w:ascii="宋体" w:hAnsi="宋体" w:cs="宋体"/>
                <w:color w:val="000000"/>
                <w:szCs w:val="21"/>
              </w:rPr>
            </w:pPr>
            <w:r>
              <w:rPr>
                <w:rFonts w:hint="eastAsia" w:ascii="宋体" w:hAnsi="宋体" w:cs="宋体"/>
                <w:color w:val="000000"/>
                <w:szCs w:val="21"/>
                <w:lang w:bidi="ar"/>
              </w:rPr>
              <w:t xml:space="preserve">合计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pStyle w:val="967"/>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4" w:type="pct"/>
            <w:vAlign w:val="center"/>
            <w:textDirection w:val="lrTb"/>
            <w:noWrap/>
          </w:tcPr>
          <w:p>
            <w:pPr>
              <w:pStyle w:val="967"/>
              <w:jc w:val="center"/>
              <w:widowControl/>
              <w:rPr>
                <w:rFonts w:ascii="宋体" w:hAnsi="宋体" w:cs="宋体"/>
                <w:color w:val="000000"/>
                <w:szCs w:val="21"/>
              </w:rPr>
            </w:pPr>
            <w:r>
              <w:rPr>
                <w:rFonts w:ascii="宋体" w:hAnsi="宋体" w:cs="宋体"/>
                <w:color w:val="000000"/>
                <w:szCs w:val="21"/>
              </w:rPr>
            </w:r>
            <w:r/>
          </w:p>
        </w:tc>
      </w:tr>
    </w:tbl>
    <w:p>
      <w:pPr>
        <w:pStyle w:val="1078"/>
        <w:jc w:val="center"/>
        <w:spacing w:line="360" w:lineRule="auto"/>
        <w:rPr>
          <w:rFonts w:hAnsi="宋体" w:eastAsia="宋体"/>
          <w:color w:val="ff0000"/>
          <w:sz w:val="24"/>
        </w:rPr>
      </w:pPr>
      <w:r>
        <w:rPr>
          <w:rFonts w:hAnsi="宋体" w:eastAsia="宋体"/>
          <w:color w:val="ff0000"/>
          <w:sz w:val="24"/>
        </w:rPr>
      </w:r>
      <w:r/>
    </w:p>
    <w:tbl>
      <w:tblPr>
        <w:tblW w:w="9029" w:type="dxa"/>
        <w:tblInd w:w="96" w:type="dxa"/>
        <w:tblLayout w:type="autofit"/>
        <w:tblCellMar>
          <w:left w:w="108" w:type="dxa"/>
          <w:top w:w="0" w:type="dxa"/>
          <w:right w:w="108" w:type="dxa"/>
          <w:bottom w:w="0" w:type="dxa"/>
        </w:tblCellMar>
        <w:tblLook w:val="04A0" w:firstRow="1" w:lastRow="0" w:firstColumn="1" w:lastColumn="0" w:noHBand="0" w:noVBand="1"/>
      </w:tblPr>
      <w:tblGrid>
        <w:gridCol w:w="540"/>
        <w:gridCol w:w="1224"/>
        <w:gridCol w:w="948"/>
        <w:gridCol w:w="2577"/>
        <w:gridCol w:w="640"/>
        <w:gridCol w:w="640"/>
        <w:gridCol w:w="930"/>
        <w:gridCol w:w="1530"/>
      </w:tblGrid>
      <w:tr>
        <w:trPr>
          <w:trHeight w:val="600"/>
        </w:trPr>
        <w:tc>
          <w:tcPr>
            <w:gridSpan w:val="8"/>
            <w:tcBorders>
              <w:top w:val="single" w:color="000000" w:sz="4" w:space="0"/>
              <w:left w:val="single" w:color="000000" w:sz="4" w:space="0"/>
              <w:bottom w:val="single" w:color="000000" w:sz="4" w:space="0"/>
              <w:right w:val="single" w:color="000000" w:sz="4" w:space="0"/>
            </w:tcBorders>
            <w:tcW w:w="9029"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昆山第六人民医院异地新建污水系统租赁服务-设备</w:t>
            </w: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序号</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名  称</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参考品牌</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规格</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单位</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数量</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单价</w:t>
            </w:r>
            <w:r>
              <w:rPr>
                <w:rFonts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总价（元）</w:t>
            </w:r>
            <w:r>
              <w:rPr>
                <w:rFonts w:ascii="宋体" w:hAnsi="宋体" w:cs="仿宋"/>
                <w:b/>
                <w:bCs/>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一</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预处理水池（池体土建建设）</w:t>
            </w:r>
            <w:r>
              <w:rPr>
                <w:rFonts w:ascii="宋体" w:hAnsi="宋体" w:cs="仿宋"/>
                <w:b/>
                <w:bCs/>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手动格栅</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格栅间隙：10mm            </w:t>
              <w:br w:type="textWrapping" w:clear="all"/>
              <w:t xml:space="preserve">格栅尺寸：依据格栅池体定制</w:t>
              <w:br w:type="textWrapping" w:clear="all"/>
              <w:t xml:space="preserve">材质：SUS304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消毒池循环泵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河见、南方、凯泉</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口径：DN50</w:t>
              <w:br w:type="textWrapping" w:clear="all"/>
              <w:t xml:space="preserve">流量：9m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扬程：6m</w:t>
              <w:br w:type="textWrapping" w:clear="all"/>
              <w:t xml:space="preserve">功率：0.4kw</w:t>
              <w:br w:type="textWrapping" w:clear="all"/>
              <w:t xml:space="preserve">电压：380v</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br w:type="textWrapping" w:clear="all"/>
              <w:t xml:space="preserve">分体式表头：DC24V，带立式柱显</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排放泵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河见、南方、凯泉</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口径：DN50</w:t>
              <w:br w:type="textWrapping" w:clear="all"/>
              <w:t xml:space="preserve">流量：9m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扬程：6m</w:t>
              <w:br w:type="textWrapping" w:clear="all"/>
              <w:t xml:space="preserve">功率：0.4kw</w:t>
              <w:br w:type="textWrapping" w:clear="all"/>
              <w:t xml:space="preserve">电压：380v</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br w:type="textWrapping" w:clear="all"/>
              <w:t xml:space="preserve">分体式表头：DC24V，带立式柱显</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背压阀</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规格：软管接头  </w:t>
              <w:br w:type="textWrapping" w:clear="all"/>
              <w:t xml:space="preserve">工作压力：0-0.8MPa   </w:t>
              <w:br w:type="textWrapping" w:clear="all"/>
              <w:t xml:space="preserve">材质：UPVC</w:t>
              <w:br w:type="textWrapping" w:clear="all"/>
              <w:t xml:space="preserve">大小：DN15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7</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加药泵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赛高、力高、爱力浦</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流量：8L/H</w:t>
              <w:br w:type="textWrapping" w:clear="all"/>
              <w:t xml:space="preserve">压力：0.6Mpa</w:t>
              <w:br w:type="textWrapping" w:clear="all"/>
              <w:t xml:space="preserve">泵速：100min－1</w:t>
              <w:br w:type="textWrapping" w:clear="all"/>
              <w:t xml:space="preserve">膜片规格：84㎜</w:t>
              <w:br w:type="textWrapping" w:clear="all"/>
              <w:t xml:space="preserve">电机功率：60W</w:t>
              <w:br w:type="textWrapping" w:clear="all"/>
              <w:t xml:space="preserve">电压：380V/50Hz</w:t>
              <w:br w:type="textWrapping" w:clear="all"/>
              <w:t xml:space="preserve">进出口：软管接头</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8</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脱氯加药箱</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大自然、祥盛塑业、恒毅环保</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PE,加药箱，300L；</w:t>
              <w:br w:type="textWrapping" w:clear="all"/>
              <w:t xml:space="preserve">配套搅拌机；</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9</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杆式液位，低液位，根据加药箱液位定做</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10</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背压阀</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规格：软管接头  </w:t>
              <w:br w:type="textWrapping" w:clear="all"/>
              <w:t xml:space="preserve">工作压力：0-0.8MPa   </w:t>
              <w:br w:type="textWrapping" w:clear="all"/>
              <w:t xml:space="preserve">材质：UPVC</w:t>
              <w:br w:type="textWrapping" w:clear="all"/>
              <w:t xml:space="preserve">大小：DN15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加药泵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赛高、力高、爱力浦</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流量：8L/H</w:t>
              <w:br w:type="textWrapping" w:clear="all"/>
              <w:t xml:space="preserve">压力：0.6Mpa</w:t>
              <w:br w:type="textWrapping" w:clear="all"/>
              <w:t xml:space="preserve">泵速：100min－1</w:t>
              <w:br w:type="textWrapping" w:clear="all"/>
              <w:t xml:space="preserve">膜片规格：84㎜</w:t>
              <w:br w:type="textWrapping" w:clear="all"/>
              <w:t xml:space="preserve">电机功率：60W</w:t>
              <w:br w:type="textWrapping" w:clear="all"/>
              <w:t xml:space="preserve">电压：380V/50Hz</w:t>
              <w:br w:type="textWrapping" w:clear="all"/>
              <w:t xml:space="preserve">进出口：软管接头</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电柜</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含其余电器元件、电气控制系统、组态程序、人机界面；详见电气清单</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管道沟</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长度60米，宽度300mm,深度500mm.开挖、预埋及回填</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14</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预埋管件及电缆</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DN25化工UPVC长度240米,DN50化工UPVC长度80米，电缆电线长度560米</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二</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格栅池（池体土建建设）</w:t>
              <w:br w:type="textWrapping" w:clear="all"/>
              <w:t xml:space="preserve">池内壁尺寸（L）2500*（W）900*（H）6000mm</w:t>
            </w:r>
            <w:r>
              <w:rPr>
                <w:rFonts w:ascii="宋体" w:hAnsi="宋体" w:cs="仿宋"/>
                <w:b/>
                <w:bCs/>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机械格栅</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格栅池尺寸：渠宽＝900mm，渠高＝4000mm；</w:t>
              <w:br w:type="textWrapping" w:clear="all"/>
              <w:t xml:space="preserve">处理量：21m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栅隙：10mm</w:t>
              <w:br w:type="textWrapping" w:clear="all"/>
              <w:t xml:space="preserve">材质：SUS304</w:t>
              <w:br w:type="textWrapping" w:clear="all"/>
              <w:t xml:space="preserve">功率：</w:t>
              <w:br w:type="textWrapping" w:clear="all"/>
              <w:t xml:space="preserve">电压:380V</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集渣装置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依据格栅尺寸定制；</w:t>
              <w:br w:type="textWrapping" w:clear="all"/>
              <w:t xml:space="preserve">材质:SUS304</w:t>
              <w:br w:type="textWrapping" w:clear="all"/>
              <w:t xml:space="preserve">L1200*W500*H800mm（±1%）,</w:t>
              <w:br w:type="textWrapping" w:clear="all"/>
              <w:t xml:space="preserve">集渣装置高度由粗格栅高度定，底部需要有滤水装置,滤水收集到格栅池 </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格栅收集罩子</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尺寸：L4100*W1500*H2500mm</w:t>
              <w:br w:type="textWrapping" w:clear="all"/>
              <w:t xml:space="preserve">岩棉夹心板50mm,外部装饰五面，灰色铝合金百叶窗，预留检修门2处:外开式双开门，高度1800mm，宽度1200mm。</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三</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调节池（池体土建建设）</w:t>
            </w:r>
            <w:r>
              <w:rPr>
                <w:rFonts w:ascii="宋体" w:hAnsi="宋体" w:cs="仿宋"/>
                <w:b/>
                <w:bCs/>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br w:type="textWrapping" w:clear="all"/>
              <w:t xml:space="preserve">分体式表头：DC24V，带立式柱显</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提升泵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流量：25m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扬程：14m</w:t>
              <w:br w:type="textWrapping" w:clear="all"/>
              <w:t xml:space="preserve">功率：2.2KW</w:t>
              <w:br w:type="textWrapping" w:clear="all"/>
              <w:t xml:space="preserve">口径：DN65</w:t>
              <w:br w:type="textWrapping" w:clear="all"/>
              <w:t xml:space="preserve">电压：380V</w:t>
              <w:br w:type="textWrapping" w:clear="all"/>
              <w:t xml:space="preserve">材质：铸铁</w:t>
              <w:br w:type="textWrapping" w:clear="all"/>
              <w:t xml:space="preserve">切割泵，配套耦合装置；</w:t>
              <w:br w:type="textWrapping" w:clear="all"/>
              <w:t xml:space="preserve">池深6m</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智能流量计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科旗、创造、杭州米科</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DN65；防水型</w:t>
              <w:br w:type="textWrapping" w:clear="all"/>
              <w:t xml:space="preserve">（分体式）</w:t>
              <w:br w:type="textWrapping" w:clear="all"/>
              <w:t xml:space="preserve">聚四氟乙烯（PTFE）衬里</w:t>
              <w:br w:type="textWrapping" w:clear="all"/>
              <w:t xml:space="preserve">RS232通讯地、（24V）电源输入</w:t>
              <w:br w:type="textWrapping" w:clear="all"/>
              <w:t xml:space="preserve">法兰接口</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潜水搅拌机</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川源、兰江、凯普德</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功率：1.5KW</w:t>
              <w:br w:type="textWrapping" w:clear="all"/>
              <w:t xml:space="preserve">电压：380V</w:t>
              <w:br w:type="textWrapping" w:clear="all"/>
              <w:t xml:space="preserve">材质：SUS304</w:t>
              <w:br w:type="textWrapping" w:clear="all"/>
              <w:t xml:space="preserve">含耦合器</w:t>
              <w:br w:type="textWrapping" w:clear="all"/>
              <w:t xml:space="preserve">池体深度6m；</w:t>
              <w:br w:type="textWrapping" w:clear="all"/>
              <w:t xml:space="preserve">人孔尺寸：L1000*W700mm</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四</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应急池（池体土建建设）</w:t>
            </w:r>
            <w:r>
              <w:rPr>
                <w:rFonts w:ascii="宋体" w:hAnsi="宋体" w:cs="仿宋"/>
                <w:b/>
                <w:bCs/>
                <w:color w:val="000000"/>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提升泵</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流量：25m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扬程：14m</w:t>
              <w:br w:type="textWrapping" w:clear="all"/>
              <w:t xml:space="preserve">功率：2.2KW</w:t>
              <w:br w:type="textWrapping" w:clear="all"/>
              <w:t xml:space="preserve">口径：DN65</w:t>
              <w:br w:type="textWrapping" w:clear="all"/>
              <w:t xml:space="preserve">电压：380V</w:t>
              <w:br w:type="textWrapping" w:clear="all"/>
              <w:t xml:space="preserve">材质：铸铁</w:t>
              <w:br w:type="textWrapping" w:clear="all"/>
              <w:t xml:space="preserve">切割泵，配套耦合装置；</w:t>
              <w:br w:type="textWrapping" w:clear="all"/>
              <w:t xml:space="preserve">池深6m</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br w:type="textWrapping" w:clear="all"/>
              <w:t xml:space="preserve">分体式表头：DC24V，带立式柱显</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潜水搅拌机</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川源、兰江、凯普德</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功率：1.5KW</w:t>
              <w:br w:type="textWrapping" w:clear="all"/>
              <w:t xml:space="preserve">电压：380V</w:t>
              <w:br w:type="textWrapping" w:clear="all"/>
              <w:t xml:space="preserve">材质：SUS304</w:t>
              <w:br w:type="textWrapping" w:clear="all"/>
              <w:t xml:space="preserve">含耦合器</w:t>
              <w:br w:type="textWrapping" w:clear="all"/>
              <w:t xml:space="preserve">池体深度6m；</w:t>
              <w:br w:type="textWrapping" w:clear="all"/>
              <w:t xml:space="preserve">人孔尺寸：L1000*W1000mm</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五</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污泥池（池体土建建设）</w:t>
            </w:r>
            <w:r>
              <w:rPr>
                <w:rFonts w:ascii="宋体" w:hAnsi="宋体" w:cs="仿宋"/>
                <w:b/>
                <w:bCs/>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br w:type="textWrapping" w:clear="all"/>
              <w:t xml:space="preserve">分体式表头：DC24V，带立式柱显</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污泥泵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流量：25m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扬程：10m</w:t>
              <w:br w:type="textWrapping" w:clear="all"/>
              <w:t xml:space="preserve">功率：1.5KW</w:t>
              <w:br w:type="textWrapping" w:clear="all"/>
              <w:t xml:space="preserve">电压：380V/50Hz</w:t>
              <w:br w:type="textWrapping" w:clear="all"/>
              <w:t xml:space="preserve">口径：DN65</w:t>
              <w:br w:type="textWrapping" w:clear="all"/>
              <w:t xml:space="preserve">材质：铸铁</w:t>
              <w:br w:type="textWrapping" w:clear="all"/>
              <w:t xml:space="preserve">配套耦合装置；</w:t>
              <w:br w:type="textWrapping" w:clear="all"/>
              <w:t xml:space="preserve">池深6m</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潜水搅拌机</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川源、兰江、凯普德</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功率：0.85KW</w:t>
              <w:br w:type="textWrapping" w:clear="all"/>
              <w:t xml:space="preserve">电压：380V</w:t>
              <w:br w:type="textWrapping" w:clear="all"/>
              <w:t xml:space="preserve">材质：SUS304</w:t>
              <w:br w:type="textWrapping" w:clear="all"/>
              <w:t xml:space="preserve">含耦合器</w:t>
              <w:br w:type="textWrapping" w:clear="all"/>
              <w:t xml:space="preserve">池体深度6m；</w:t>
              <w:br w:type="textWrapping" w:clear="all"/>
              <w:t xml:space="preserve">人孔尺寸：L1000*W1000mm</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六</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缺氧池（池体土建建设）</w:t>
            </w:r>
            <w:r>
              <w:rPr>
                <w:rFonts w:ascii="宋体" w:hAnsi="宋体" w:cs="仿宋"/>
                <w:b/>
                <w:bCs/>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潜水搅拌机</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川源、兰江、凯普德</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功率：1.5KW</w:t>
              <w:br w:type="textWrapping" w:clear="all"/>
              <w:t xml:space="preserve">电压：380V</w:t>
              <w:br w:type="textWrapping" w:clear="all"/>
              <w:t xml:space="preserve">材质：SUS304</w:t>
              <w:br w:type="textWrapping" w:clear="all"/>
              <w:t xml:space="preserve">含耦合器</w:t>
              <w:br w:type="textWrapping" w:clear="all"/>
              <w:t xml:space="preserve">池体深度6m；</w:t>
              <w:br w:type="textWrapping" w:clear="all"/>
              <w:t xml:space="preserve">人孔尺寸：L1000*W1000mm</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组合填料</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塑料环，填料@150mm,L:2.5m</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m</w:t>
            </w:r>
            <w:r>
              <w:rPr>
                <w:rStyle w:val="1348"/>
                <w:rFonts w:ascii="宋体" w:hAnsi="宋体" w:eastAsia="宋体"/>
                <w:sz w:val="21"/>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118</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cantSplit/>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填料支架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6#槽钢</w:t>
              <w:br w:type="textWrapping" w:clear="all"/>
              <w:t xml:space="preserve">材质：SUS304，防腐处理</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支</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20</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cantSplit/>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地脚板</w:t>
              <w:br w:type="textWrapping" w:clear="all"/>
              <w:t xml:space="preserve">规格：150*150mm，四角螺栓固定孔</w:t>
              <w:br w:type="textWrapping" w:clear="all"/>
              <w:t xml:space="preserve">材质：SUS304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38</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cantSplit/>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14#螺纹钢</w:t>
              <w:br w:type="textWrapping" w:clear="all"/>
              <w:t xml:space="preserve">材质：SUS304，防腐处理</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支</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70</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七</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好氧池（池体土建建设）</w:t>
            </w:r>
            <w:r>
              <w:rPr>
                <w:rFonts w:ascii="宋体" w:hAnsi="宋体" w:cs="仿宋"/>
                <w:b/>
                <w:bCs/>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组合填料</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塑料环，填料@150mm,L:2.5m</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m</w:t>
            </w:r>
            <w:r>
              <w:rPr>
                <w:rStyle w:val="1348"/>
                <w:rFonts w:ascii="宋体" w:hAnsi="宋体" w:eastAsia="宋体"/>
                <w:sz w:val="21"/>
                <w:szCs w:val="21"/>
                <w:lang w:bidi="ar"/>
              </w:rPr>
              <w:t xml:space="preserve">3</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200</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cantSplit/>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填料支架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6#槽钢</w:t>
              <w:br w:type="textWrapping" w:clear="all"/>
              <w:t xml:space="preserve">材质：SUS304，防腐处理</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支</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cantSplit/>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地脚板</w:t>
              <w:br w:type="textWrapping" w:clear="all"/>
              <w:t xml:space="preserve">规格：150*150mm，四角螺栓固定孔</w:t>
              <w:br w:type="textWrapping" w:clear="all"/>
              <w:t xml:space="preserve">材质：SUS304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48</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cantSplit/>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14#螺纹钢</w:t>
              <w:br w:type="textWrapping" w:clear="all"/>
              <w:t xml:space="preserve">材质：SUS304，防腐处理</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支</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70</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曝气系统</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配套；</w:t>
              <w:br w:type="textWrapping" w:clear="all"/>
              <w:t xml:space="preserve">水池尺寸;L5300*4000mm</w:t>
              <w:br w:type="textWrapping" w:clear="all"/>
              <w:t xml:space="preserve">面积：21.2㎡</w:t>
              <w:br w:type="textWrapping" w:clear="all"/>
              <w:t xml:space="preserve">UPVC（含底座）</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微孔曝气盘</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Φ215（膜片硅橡胶）</w:t>
              <w:br w:type="textWrapping" w:clear="all"/>
              <w:t xml:space="preserve">ABS+硅橡胶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126</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7</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内回流泵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流量：25m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扬程：10m</w:t>
              <w:br w:type="textWrapping" w:clear="all"/>
              <w:t xml:space="preserve">功率：1.5KW</w:t>
              <w:br w:type="textWrapping" w:clear="all"/>
              <w:t xml:space="preserve">电压：380V/50Hz</w:t>
              <w:br w:type="textWrapping" w:clear="all"/>
              <w:t xml:space="preserve">口径：DN65</w:t>
              <w:br w:type="textWrapping" w:clear="all"/>
              <w:t xml:space="preserve">材质：铸铁</w:t>
              <w:br w:type="textWrapping" w:clear="all"/>
              <w:t xml:space="preserve">配套耦合装置；</w:t>
              <w:br w:type="textWrapping" w:clear="all"/>
              <w:t xml:space="preserve">池深6m</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8</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出水堰及挡板</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B=300mm,材质SUS304</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个</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八</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沉淀池（池体土建建设）</w:t>
            </w:r>
            <w:r>
              <w:rPr>
                <w:rFonts w:ascii="宋体" w:hAnsi="宋体" w:cs="仿宋"/>
                <w:b/>
                <w:bCs/>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导流筒</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高度2.5m（上口直径0.6m，下口直径0.81m,含反射板）</w:t>
              <w:br w:type="textWrapping" w:clear="all"/>
              <w:t xml:space="preserve">防止池体泥斗高度导致导流筒进不去，做成2段池内螺栓对接紧固。</w:t>
              <w:br w:type="textWrapping" w:clear="all"/>
              <w:t xml:space="preserve">材质：SUS304</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固定支架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8#槽钢</w:t>
              <w:br w:type="textWrapping" w:clear="all"/>
              <w:t xml:space="preserve">材质：碳钢，防腐处理</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沉淀池出水堰及出水挡板</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B=300mm,材质SUS304</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九</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污泥回流池（池体土建建设）</w:t>
            </w:r>
            <w:r>
              <w:rPr>
                <w:rFonts w:ascii="宋体" w:hAnsi="宋体" w:cs="仿宋"/>
                <w:b/>
                <w:bCs/>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污泥回流泵</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流量：25m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扬程：10m</w:t>
              <w:br w:type="textWrapping" w:clear="all"/>
              <w:t xml:space="preserve">功率：1.5KW</w:t>
              <w:br w:type="textWrapping" w:clear="all"/>
              <w:t xml:space="preserve">电压：380V/50Hz</w:t>
              <w:br w:type="textWrapping" w:clear="all"/>
              <w:t xml:space="preserve">口径：DN65</w:t>
              <w:br w:type="textWrapping" w:clear="all"/>
              <w:t xml:space="preserve">材质：铸铁</w:t>
              <w:br w:type="textWrapping" w:clear="all"/>
              <w:t xml:space="preserve">配套耦合装置；</w:t>
              <w:br w:type="textWrapping" w:clear="all"/>
              <w:t xml:space="preserve">池深6m</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探头：静压式，量程0-6m，输出0~20mA，不锈钢材质</w:t>
              <w:br w:type="textWrapping" w:clear="all"/>
              <w:t xml:space="preserve">分体式表头：DC24V，带立式柱显</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十</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排放池（池体土建建设）</w:t>
            </w:r>
            <w:r>
              <w:rPr>
                <w:rFonts w:ascii="宋体" w:hAnsi="宋体" w:cs="仿宋"/>
                <w:b/>
                <w:bCs/>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循环回流泵</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流量：23m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扬程：14m</w:t>
              <w:br w:type="textWrapping" w:clear="all"/>
              <w:t xml:space="preserve">功率：2.2KW</w:t>
              <w:br w:type="textWrapping" w:clear="all"/>
              <w:t xml:space="preserve">口径：DN65</w:t>
              <w:br w:type="textWrapping" w:clear="all"/>
              <w:t xml:space="preserve">电压：380V</w:t>
              <w:br w:type="textWrapping" w:clear="all"/>
              <w:t xml:space="preserve">材质：铸铁</w:t>
              <w:br w:type="textWrapping" w:clear="all"/>
              <w:t xml:space="preserve">配套耦合装置；</w:t>
              <w:br w:type="textWrapping" w:clear="all"/>
              <w:t xml:space="preserve">池深6m</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排放泵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流量：23m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扬程：14m</w:t>
              <w:br w:type="textWrapping" w:clear="all"/>
              <w:t xml:space="preserve">功率：2.2KW</w:t>
              <w:br w:type="textWrapping" w:clear="all"/>
              <w:t xml:space="preserve">口径：DN65</w:t>
              <w:br w:type="textWrapping" w:clear="all"/>
              <w:t xml:space="preserve">电压：380V</w:t>
              <w:br w:type="textWrapping" w:clear="all"/>
              <w:t xml:space="preserve">材质：铸铁</w:t>
              <w:br w:type="textWrapping" w:clear="all"/>
              <w:t xml:space="preserve">配套耦合装置；</w:t>
              <w:br w:type="textWrapping" w:clear="all"/>
              <w:t xml:space="preserve">池深6m</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液位控制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威尔太、华电、广州东仪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探头：静压式；</w:t>
              <w:br w:type="textWrapping" w:clear="all"/>
              <w:t xml:space="preserve">量程：0-6m；</w:t>
              <w:br w:type="textWrapping" w:clear="all"/>
              <w:t xml:space="preserve">输出4~20mA；</w:t>
              <w:br w:type="textWrapping" w:clear="all"/>
              <w:t xml:space="preserve">分体式表头：DC24V，</w:t>
              <w:br w:type="textWrapping" w:clear="all"/>
              <w:t xml:space="preserve">带立式柱显</w:t>
              <w:br w:type="textWrapping" w:clear="all"/>
              <w:t xml:space="preserve">材质：不锈钢</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巴歇尔槽</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2#巴歇尔槽，Q=0~47m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计量槽材质SUS304；</w:t>
              <w:br w:type="textWrapping" w:clear="all"/>
              <w:t xml:space="preserve">配套超声波流量计.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采样泵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川源、凯泉、南方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流量：18m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扬程：15m</w:t>
              <w:br w:type="textWrapping" w:clear="all"/>
              <w:t xml:space="preserve">功率：1.5KW</w:t>
              <w:br w:type="textWrapping" w:clear="all"/>
              <w:t xml:space="preserve">电压：380V/50Hz</w:t>
              <w:br w:type="textWrapping" w:clear="all"/>
              <w:t xml:space="preserve">口径：DN50</w:t>
              <w:br w:type="textWrapping" w:clear="all"/>
              <w:t xml:space="preserve">材质：铸铁</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采样泵</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新界、凯泉、南方</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流量：1m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扬程：15m</w:t>
              <w:br w:type="textWrapping" w:clear="all"/>
              <w:t xml:space="preserve">功率：0.37KW</w:t>
              <w:br w:type="textWrapping" w:clear="all"/>
              <w:t xml:space="preserve">电压：220V/50Hz</w:t>
              <w:br w:type="textWrapping" w:clear="all"/>
              <w:t xml:space="preserve">材质：铸铁</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十一</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设备间（土建建设）</w:t>
            </w:r>
            <w:r>
              <w:rPr>
                <w:rFonts w:ascii="宋体" w:hAnsi="宋体" w:cs="仿宋"/>
                <w:b/>
                <w:bCs/>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回转式鼓风机</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百事德、永成、川源</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风压：0.5Kgf/cm</w:t>
              <w:br w:type="textWrapping" w:clear="all"/>
              <w:t xml:space="preserve">风量：5.11m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/min</w:t>
              <w:br w:type="textWrapping" w:clear="all"/>
              <w:t xml:space="preserve">功率：7.5KW</w:t>
              <w:br w:type="textWrapping" w:clear="all"/>
              <w:t xml:space="preserve">口径：DN80</w:t>
              <w:br w:type="textWrapping" w:clear="all"/>
              <w:t xml:space="preserve">电控配变频</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鼓风机变频控制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配套鼓风机用</w:t>
              <w:br w:type="textWrapping" w:clear="all"/>
              <w:t xml:space="preserve">含电柜、含3个变频器</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64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风机房隔音</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房间内部尺寸：L5.8*W3.4*H5.5m</w:t>
              <w:br w:type="textWrapping" w:clear="all"/>
              <w:t xml:space="preserve">制作型式：表面贴消音棉</w:t>
              <w:br w:type="textWrapping" w:clear="all"/>
              <w:t xml:space="preserve">消音棉材质：阻燃聚氨酯</w:t>
              <w:br w:type="textWrapping" w:clear="all"/>
              <w:t xml:space="preserve">厚度≥40mm；</w:t>
              <w:br w:type="textWrapping" w:clear="all"/>
              <w:t xml:space="preserve">距离地面300mm高度一圈制作不锈钢304护板，护板厚度1.5mm，防止消音棉被破坏。</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十二</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加药间（土建建设）</w:t>
            </w:r>
            <w:r>
              <w:rPr>
                <w:rFonts w:ascii="宋体" w:hAnsi="宋体" w:cs="仿宋"/>
                <w:b/>
                <w:bCs/>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加药箱</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大自然、祥盛塑业、恒毅环保</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加药桶：1500L，材质PE；</w:t>
              <w:br w:type="textWrapping" w:clear="all"/>
              <w:t xml:space="preserve">直径1170m</w:t>
              <w:br w:type="textWrapping" w:clear="all"/>
              <w:t xml:space="preserve">配套透明可视液位；</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加药泵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赛高、力高、爱力浦</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流量:0-25L/H</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加药泵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赛高、力高、爱力浦</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DMS200</w:t>
              <w:br w:type="textWrapping" w:clear="all"/>
              <w:t xml:space="preserve">流量:0-5L/H</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加药泵固定支架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成品，不锈钢支架，固定安装4台加药泵</w:t>
              <w:br w:type="textWrapping" w:clear="all"/>
              <w:t xml:space="preserve">材质：SUS304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药箱液位</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杆式液位，高低液位</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十三</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电控间（土建建设）</w:t>
            </w:r>
            <w:r>
              <w:rPr>
                <w:rFonts w:ascii="宋体" w:hAnsi="宋体" w:cs="仿宋"/>
                <w:b/>
                <w:bCs/>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电控系统</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触摸屏、通讯模块及其它元器件、远程控制系统（电脑端和手机端）</w:t>
              <w:br w:type="textWrapping" w:clear="all"/>
              <w:t xml:space="preserve">含监控、在线监测盒、4G网络天线</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总余氯检测仪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科瑞达、泽铭、苏州科特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lang w:bidi="ar"/>
              </w:rPr>
            </w:pPr>
            <w:r>
              <w:rPr>
                <w:rFonts w:hint="eastAsia" w:ascii="宋体" w:hAnsi="宋体" w:cs="仿宋"/>
                <w:color w:val="000000"/>
                <w:szCs w:val="21"/>
                <w:lang w:bidi="ar"/>
              </w:rPr>
              <w:br w:type="textWrapping" w:clear="all"/>
              <w:t xml:space="preserve">测量方法：分光光度法</w:t>
              <w:br w:type="textWrapping" w:clear="all"/>
              <w:t xml:space="preserve">带PH计</w:t>
            </w:r>
            <w:r>
              <w:rPr>
                <w:rFonts w:ascii="宋体" w:hAnsi="宋体" w:cs="仿宋"/>
                <w:color w:val="000000"/>
                <w:szCs w:val="21"/>
                <w:lang w:bidi="ar"/>
              </w:rPr>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测量范围：0~10mg/L</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DPD比色法，测量精确、稳定；</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内置校正曲线，用户校准可直接调用；支持用户手动校准（零点和不超过2个浓度点校准）；支持过程校准；</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支持多种测量方式：连续测量；间隔测量；手动测定；</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测量间隔可选择：10min-12h,每次间隔10min,用户使用更方便；</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具有隔离(4～20)mA和RS485输出；</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具有自动上、下限报警功能；</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具有断电数据保持电路, 即使非正常停电, 仪器内部贮存的数据仍有效， 开机后勿需校准即可进入测量；</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主要性能参数</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分辨率：0.01mg/L</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 示值误差：≤1mg/L：±0.05 mg/L；</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＞1mg/L：±5%</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重复性：≤1mg/L：±0.025 mg/L；</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＞1mg/L：±3%</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检出限：不大于0.05mg/L。</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输出信号：隔离（4～20）mA，最大负载为750Ω。 </w:t>
            </w:r>
            <w:r/>
          </w:p>
          <w:p>
            <w:pPr>
              <w:pStyle w:val="967"/>
              <w:jc w:val="left"/>
              <w:widowControl/>
              <w:rPr>
                <w:rFonts w:ascii="宋体" w:hAnsi="宋体" w:cs="仿宋"/>
                <w:color w:val="000000"/>
                <w:szCs w:val="21"/>
              </w:rPr>
            </w:pPr>
            <w:r>
              <w:rPr>
                <w:rFonts w:hint="eastAsia" w:ascii="宋体" w:hAnsi="宋体" w:cs="仿宋"/>
                <w:color w:val="000000"/>
                <w:szCs w:val="21"/>
              </w:rPr>
              <w:t xml:space="preserve">报警、控制继电器触点容量：2.5A，250V交流（无感），报警控制精度：±1.0%FS。含取样泵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PH计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三泽、源泓、苏州科特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lang w:bidi="ar"/>
              </w:rPr>
            </w:pPr>
            <w:r>
              <w:rPr>
                <w:rFonts w:hint="eastAsia" w:ascii="宋体" w:hAnsi="宋体" w:cs="仿宋"/>
                <w:color w:val="000000"/>
                <w:szCs w:val="21"/>
                <w:lang w:bidi="ar"/>
              </w:rPr>
              <w:t xml:space="preserve">PC-1000</w:t>
            </w:r>
            <w:r>
              <w:rPr>
                <w:rFonts w:ascii="宋体" w:hAnsi="宋体" w:cs="仿宋"/>
                <w:color w:val="000000"/>
                <w:szCs w:val="21"/>
                <w:lang w:bidi="ar"/>
              </w:rPr>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量</w:t>
              <w:tab/>
              <w:t xml:space="preserve">程：pH: -2.00～16.00pH；ORP: -1999～+1999mV；Temp.: -30.0～130.0℃</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解析度：pH: 0.01pH ； ORP: 1mV；Temp.: 0.1℃  输出负载：max750Ω</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精 确 度：pH: 0.01pH±1Digit  ORP: 1mV±1Digit</w:t>
              <w:tab/>
              <w:t xml:space="preserve">    Temp.: 0.1%±1Digit</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温度补偿：自动温度补偿 Pt1000、Pt100双模式选择；手动温度补偿 按键设定</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继电器输出：高低点、区间值任意设定</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清洗接点：程序设定时间控制；兼容高点或低点功能</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模拟输出：2路隔离式4～20mA输出可程序对应pH/ORP、Temp.设定</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数位输出：RS-485 Modbus标准数字量通讯</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溶液接地：可消除溶液带电干扰</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工作温度：-20～60℃</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电源输入：88～265V AC宽电源、50/60Hz；或24V DC可选</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防护等级：IP65</w:t>
            </w:r>
            <w:r/>
          </w:p>
          <w:p>
            <w:pPr>
              <w:pStyle w:val="967"/>
              <w:jc w:val="left"/>
              <w:widowControl/>
              <w:rPr>
                <w:rFonts w:ascii="宋体" w:hAnsi="宋体" w:cs="仿宋"/>
                <w:color w:val="000000"/>
                <w:szCs w:val="21"/>
              </w:rPr>
            </w:pPr>
            <w:r>
              <w:rPr>
                <w:rFonts w:ascii="宋体" w:hAnsi="宋体" w:cs="仿宋"/>
                <w:color w:val="000000"/>
                <w:szCs w:val="21"/>
              </w:rPr>
              <w:t xml:space="preserve">CCEP</w:t>
            </w:r>
            <w:r>
              <w:rPr>
                <w:rFonts w:hint="eastAsia" w:ascii="宋体" w:hAnsi="宋体" w:cs="仿宋"/>
                <w:color w:val="000000"/>
                <w:szCs w:val="21"/>
              </w:rPr>
              <w:t xml:space="preserve">中国环境保护产品认证</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数据采集仪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神采、源泓、天一信德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lang w:bidi="ar"/>
              </w:rPr>
            </w:pPr>
            <w:r>
              <w:rPr>
                <w:rFonts w:hint="eastAsia" w:ascii="宋体" w:hAnsi="宋体" w:cs="仿宋"/>
                <w:color w:val="000000"/>
                <w:szCs w:val="21"/>
                <w:lang w:bidi="ar"/>
              </w:rPr>
              <w:t xml:space="preserve">环保用数采仪</w:t>
            </w:r>
            <w:r>
              <w:rPr>
                <w:rFonts w:ascii="宋体" w:hAnsi="宋体" w:cs="仿宋"/>
                <w:color w:val="000000"/>
                <w:szCs w:val="21"/>
                <w:lang w:bidi="ar"/>
              </w:rPr>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检测设备数据采集，确保数据联网上传至环保局相关平台</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氨氮检测仪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创造、源泓、苏州科特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测量范围：0-300mg/L,中国环境保护产品认证（CCEP）；符合国家标准，确保数据准确上传，通过环保验收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COD在线检测仪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创造、源泓、苏州科特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测量范围：0-1500mg/L,中国环境保护产品认证（CCEP），符合国家标准，确保数据准确上传，通过环保验收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7</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等比例采样器</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创造、源泓、苏州科特</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1、采样时间间隔1～99h59min</w:t>
            </w:r>
            <w:r/>
          </w:p>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2、采样量1～2000mL</w:t>
            </w:r>
            <w:r/>
          </w:p>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3、采样精度优于±5％</w:t>
            </w:r>
            <w:r/>
          </w:p>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4、流量输入信号4～20mA</w:t>
            </w:r>
            <w:r/>
          </w:p>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5、流量测量范围0～9999t/hMTBF＞3000h</w:t>
            </w:r>
            <w:r/>
          </w:p>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6、工作电压(220±15%)V.AC仪器噪声≤60dB</w:t>
            </w:r>
            <w:r/>
          </w:p>
          <w:p>
            <w:pPr>
              <w:pStyle w:val="967"/>
              <w:jc w:val="left"/>
              <w:widowControl/>
              <w:rPr>
                <w:rFonts w:ascii="宋体" w:hAnsi="宋体" w:cs="仿宋"/>
                <w:color w:val="000000"/>
                <w:szCs w:val="21"/>
              </w:rPr>
            </w:pPr>
            <w:r>
              <w:rPr>
                <w:rFonts w:hint="eastAsia" w:ascii="宋体" w:hAnsi="宋体" w:cs="仿宋"/>
                <w:color w:val="000000"/>
                <w:szCs w:val="21"/>
                <w:lang w:bidi="ar"/>
              </w:rPr>
              <w:t xml:space="preserve">7、采样方式超标留样、定时定量、定流定量、定时比例、定量、平行监测留样</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十四</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废气处理设备（地基土建建设）</w:t>
            </w:r>
            <w:r>
              <w:rPr>
                <w:rFonts w:ascii="宋体" w:hAnsi="宋体" w:cs="仿宋"/>
                <w:b/>
                <w:bCs/>
                <w:color w:val="000000"/>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光催化+活性炭吸附一体机（含风机）</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风量：5000m</w:t>
            </w:r>
            <w:r>
              <w:rPr>
                <w:rFonts w:hint="eastAsia" w:ascii="宋体" w:hAnsi="宋体" w:cs="宋体"/>
                <w:color w:val="000000"/>
                <w:szCs w:val="21"/>
                <w:lang w:bidi="ar"/>
              </w:rPr>
              <w:t xml:space="preserve">³</w:t>
            </w:r>
            <w:r>
              <w:rPr>
                <w:rStyle w:val="1343"/>
                <w:rFonts w:ascii="宋体" w:hAnsi="宋体" w:eastAsia="宋体"/>
                <w:sz w:val="21"/>
                <w:szCs w:val="21"/>
                <w:lang w:bidi="ar"/>
              </w:rPr>
              <w:t xml:space="preserve">/h</w:t>
              <w:br w:type="textWrapping" w:clear="all"/>
              <w:t xml:space="preserve">光催化+活性炭吸附一体机（含风机）</w:t>
              <w:br w:type="textWrapping" w:clear="all"/>
              <w:t xml:space="preserve">设备内部隔音；</w:t>
              <w:br w:type="textWrapping" w:clear="all"/>
              <w:t xml:space="preserve">设备功率：5.5KW</w:t>
              <w:br w:type="textWrapping" w:clear="all"/>
              <w:t xml:space="preserve">含管道风阀、软接头；</w:t>
              <w:br w:type="textWrapping" w:clear="all"/>
              <w:t xml:space="preserve">含取样、及固定支架</w:t>
              <w:br w:type="textWrapping" w:clear="all"/>
              <w:t xml:space="preserve">含变频电机及变频器</w:t>
              <w:br w:type="textWrapping" w:clear="all"/>
              <w:t xml:space="preserve">其中活性炭碘值≥800</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井字架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排放高度15m；</w:t>
              <w:br w:type="textWrapping" w:clear="all"/>
              <w:t xml:space="preserve">井字架、取样平台、及固定支架</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十五</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压泥间</w:t>
            </w:r>
            <w:r>
              <w:rPr>
                <w:rFonts w:ascii="宋体" w:hAnsi="宋体" w:cs="仿宋"/>
                <w:b/>
                <w:bCs/>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叠螺式脱水机</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无锡凌德、万洁、领旗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DS-5Kg/h</w:t>
              <w:br w:type="textWrapping" w:clear="all"/>
              <w:t xml:space="preserve">配置脱水主体、电控柜、絮凝搅拌槽、集液槽、冲洗装置、主轴</w:t>
              <w:br w:type="textWrapping" w:clear="all"/>
              <w:t xml:space="preserve">材质：不锈钢</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含投药装置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加药桶200L+配套搅拌机+计量泵系统</w:t>
              <w:br w:type="textWrapping" w:clear="all"/>
              <w:t xml:space="preserve">功率：1.5KW</w:t>
              <w:br w:type="textWrapping" w:clear="all"/>
              <w:t xml:space="preserve">电压：380V</w:t>
              <w:br w:type="textWrapping" w:clear="all"/>
              <w:t xml:space="preserve">材质：PE</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气动隔膜泵</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威马、美宝、隆恩特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型号：8040A，</w:t>
              <w:br w:type="textWrapping" w:clear="all"/>
              <w:t xml:space="preserve">尺寸：330*490（mm),</w:t>
              <w:br w:type="textWrapping" w:clear="all"/>
              <w:t xml:space="preserve">流量：8吨/小时，</w:t>
              <w:br w:type="textWrapping" w:clear="all"/>
              <w:t xml:space="preserve">口径：1.5寸，</w:t>
              <w:br w:type="textWrapping" w:clear="all"/>
              <w:t xml:space="preserve">气口径：12mm</w:t>
              <w:br w:type="textWrapping" w:clear="all"/>
              <w:t xml:space="preserve">扬程：0~50米</w:t>
              <w:br w:type="textWrapping" w:clear="all"/>
              <w:t xml:space="preserve">进出口径：1.5寸</w:t>
              <w:br w:type="textWrapping" w:clear="all"/>
              <w:t xml:space="preserve">材质：铝合金</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气泵</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胜斯特、英格索兰、寿力</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型号22V-0.25-8，</w:t>
              <w:br w:type="textWrapping" w:clear="all"/>
              <w:t xml:space="preserve">电压220V，</w:t>
              <w:br w:type="textWrapping" w:clear="all"/>
              <w:t xml:space="preserve">功率2.2KW，</w:t>
              <w:br w:type="textWrapping" w:clear="all"/>
              <w:t xml:space="preserve">容量70L，</w:t>
              <w:br w:type="textWrapping" w:clear="all"/>
              <w:t xml:space="preserve">流量0.25m3/min,</w:t>
              <w:br w:type="textWrapping" w:clear="all"/>
              <w:t xml:space="preserve">尺寸：90*37*71（cm)</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台</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十六</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管材管件辅材部分</w:t>
            </w:r>
            <w:r>
              <w:rPr>
                <w:rFonts w:ascii="宋体" w:hAnsi="宋体" w:cs="仿宋"/>
                <w:b/>
                <w:bCs/>
                <w:color w:val="000000"/>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管阀件、线材、辅材（含部分管道保温）</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94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定制</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管阀件、线材（含部分管道保温）</w:t>
              <w:br w:type="textWrapping" w:clear="all"/>
              <w:t xml:space="preserve">油漆、标示、KT板</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non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b/>
                <w:bCs/>
                <w:color w:val="000000"/>
                <w:szCs w:val="21"/>
              </w:rPr>
            </w:pPr>
            <w:r>
              <w:rPr>
                <w:rFonts w:hint="eastAsia" w:ascii="宋体" w:hAnsi="宋体" w:cs="仿宋"/>
                <w:b/>
                <w:bCs/>
                <w:color w:val="000000"/>
                <w:szCs w:val="21"/>
                <w:lang w:bidi="ar"/>
              </w:rPr>
              <w:t xml:space="preserve">十七</w:t>
            </w:r>
            <w:r>
              <w:rPr>
                <w:rFonts w:ascii="宋体" w:hAnsi="宋体" w:cs="仿宋"/>
                <w:b/>
                <w:bCs/>
                <w:color w:val="000000"/>
                <w:szCs w:val="21"/>
              </w:rPr>
            </w:r>
            <w:r/>
          </w:p>
        </w:tc>
        <w:tc>
          <w:tcPr>
            <w:gridSpan w:val="7"/>
            <w:tcBorders>
              <w:top w:val="single" w:color="000000" w:sz="4" w:space="0"/>
              <w:left w:val="single" w:color="000000" w:sz="4" w:space="0"/>
              <w:bottom w:val="single" w:color="000000" w:sz="4" w:space="0"/>
              <w:right w:val="single" w:color="000000" w:sz="4" w:space="0"/>
            </w:tcBorders>
            <w:tcW w:w="8489" w:type="dxa"/>
            <w:vAlign w:val="center"/>
            <w:textDirection w:val="lrTb"/>
            <w:noWrap w:val="false"/>
          </w:tcPr>
          <w:p>
            <w:pPr>
              <w:pStyle w:val="967"/>
              <w:jc w:val="left"/>
              <w:widowControl/>
              <w:rPr>
                <w:rFonts w:ascii="宋体" w:hAnsi="宋体" w:cs="仿宋"/>
                <w:b/>
                <w:bCs/>
                <w:color w:val="000000"/>
                <w:szCs w:val="21"/>
              </w:rPr>
            </w:pPr>
            <w:r>
              <w:rPr>
                <w:rFonts w:hint="eastAsia" w:ascii="宋体" w:hAnsi="宋体" w:cs="仿宋"/>
                <w:b/>
                <w:bCs/>
                <w:color w:val="000000"/>
                <w:szCs w:val="21"/>
                <w:lang w:bidi="ar"/>
              </w:rPr>
              <w:t xml:space="preserve">其它部分</w:t>
            </w:r>
            <w:r>
              <w:rPr>
                <w:rFonts w:ascii="宋体" w:hAnsi="宋体" w:cs="仿宋"/>
                <w:b/>
                <w:bCs/>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水质检测费</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第三方取样检测、出具报告</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次</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废气检测</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non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第三方取样检测、出具报告</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安装调试</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污水站设备安装及单机调试、设备联动调试、进水调试、操作培训等</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吊装费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KT板</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widowControl/>
              <w:rPr>
                <w:rFonts w:ascii="宋体" w:hAnsi="宋体" w:cs="仿宋"/>
                <w:color w:val="000000"/>
                <w:szCs w:val="21"/>
              </w:rPr>
            </w:pPr>
            <w:r>
              <w:rPr>
                <w:rFonts w:hint="eastAsia" w:ascii="宋体" w:hAnsi="宋体" w:cs="仿宋"/>
                <w:color w:val="000000"/>
                <w:szCs w:val="21"/>
                <w:lang w:bidi="ar"/>
              </w:rPr>
              <w:t xml:space="preserve">KT板、排放标志</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十八</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总价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967"/>
              <w:jc w:val="left"/>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bl>
    <w:p>
      <w:pPr>
        <w:pStyle w:val="1128"/>
        <w:ind w:firstLine="5760"/>
        <w:spacing w:line="360" w:lineRule="auto"/>
        <w:rPr>
          <w:rFonts w:ascii="Tahoma" w:hAnsi="Tahoma"/>
          <w:sz w:val="24"/>
        </w:rPr>
      </w:pPr>
      <w:r>
        <w:rPr>
          <w:rFonts w:ascii="Tahoma" w:hAnsi="Tahoma"/>
          <w:sz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90"/>
        <w:gridCol w:w="1909"/>
        <w:gridCol w:w="1840"/>
        <w:gridCol w:w="4017"/>
      </w:tblGrid>
      <w:tr>
        <w:trPr>
          <w:trHeight w:val="288"/>
        </w:trPr>
        <w:tc>
          <w:tcPr>
            <w:gridSpan w:val="4"/>
            <w:tcBorders>
              <w:top w:val="none" w:color="000000" w:sz="0" w:space="0"/>
              <w:left w:val="none" w:color="000000" w:sz="0" w:space="0"/>
              <w:bottom w:val="none" w:color="000000" w:sz="0" w:space="0"/>
              <w:right w:val="none" w:color="000000" w:sz="0" w:space="0"/>
            </w:tcBorders>
            <w:tcW w:w="5000" w:type="pct"/>
            <w:vAlign w:val="center"/>
            <w:textDirection w:val="lrTb"/>
            <w:noWrap w:val="false"/>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运维人员费用清单</w:t>
            </w:r>
            <w:r>
              <w:rPr>
                <w:rFonts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项目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金额（元/年）</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内容</w:t>
            </w:r>
            <w:r>
              <w:rPr>
                <w:rFonts w:ascii="宋体" w:hAnsi="宋体" w:cs="仿宋"/>
                <w:color w:val="000000"/>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日常巡检维护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按照污水站运维需求，每周2人/3 次巡检运维；运维人员持证上岗</w:t>
            </w:r>
            <w:r>
              <w:rPr>
                <w:rFonts w:ascii="宋体" w:hAnsi="宋体" w:cs="仿宋"/>
                <w:color w:val="000000"/>
                <w:szCs w:val="21"/>
              </w:rPr>
            </w:r>
            <w:r/>
          </w:p>
        </w:tc>
      </w:tr>
      <w:tr>
        <w:trPr>
          <w:trHeight w:val="8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定期设备保养</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按照污水站各系统保养计划月度、季度、年度保养、污泥压制要求配置人员；运维人员持证上岗</w:t>
            </w:r>
            <w:r>
              <w:rPr>
                <w:rFonts w:ascii="宋体" w:hAnsi="宋体" w:cs="仿宋"/>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应急处置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运维单位设置应急小组及技术支持；应对突发情况处置；应急人员持证上岗；</w:t>
            </w:r>
            <w:r>
              <w:rPr>
                <w:rFonts w:ascii="宋体" w:hAnsi="宋体" w:cs="仿宋"/>
                <w:color w:val="000000"/>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合计三年费用</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6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pStyle w:val="967"/>
              <w:jc w:val="center"/>
              <w:rPr>
                <w:rFonts w:ascii="宋体" w:hAnsi="宋体" w:cs="宋体"/>
                <w:color w:val="000000"/>
                <w:szCs w:val="21"/>
              </w:rPr>
            </w:pPr>
            <w:r>
              <w:rPr>
                <w:rFonts w:ascii="宋体" w:hAnsi="宋体" w:cs="宋体"/>
                <w:color w:val="000000"/>
                <w:szCs w:val="21"/>
              </w:rPr>
            </w:r>
            <w:r/>
          </w:p>
        </w:tc>
      </w:tr>
    </w:tbl>
    <w:p>
      <w:pPr>
        <w:pStyle w:val="1128"/>
        <w:ind w:firstLine="5760"/>
        <w:spacing w:line="360" w:lineRule="auto"/>
        <w:rPr>
          <w:rFonts w:ascii="Tahoma" w:hAnsi="Tahoma"/>
          <w:sz w:val="24"/>
        </w:rPr>
      </w:pPr>
      <w:r>
        <w:rPr>
          <w:rFonts w:ascii="Tahoma" w:hAnsi="Tahoma"/>
          <w:sz w:val="24"/>
        </w:rPr>
      </w:r>
      <w:r/>
    </w:p>
    <w:p>
      <w:pPr>
        <w:pStyle w:val="1128"/>
        <w:ind w:firstLine="5760"/>
        <w:spacing w:line="360" w:lineRule="auto"/>
        <w:rPr>
          <w:rFonts w:ascii="Tahoma" w:hAnsi="Tahoma"/>
          <w:sz w:val="24"/>
        </w:rPr>
      </w:pPr>
      <w:r>
        <w:rPr>
          <w:rFonts w:ascii="Tahoma" w:hAnsi="Tahoma"/>
          <w:sz w:val="24"/>
        </w:rPr>
      </w:r>
      <w:r/>
    </w:p>
    <w:tbl>
      <w:tblPr>
        <w:tblW w:w="4900" w:type="pct"/>
        <w:tblInd w:w="0" w:type="dxa"/>
        <w:tblLayout w:type="autofit"/>
        <w:tblCellMar>
          <w:left w:w="108" w:type="dxa"/>
          <w:top w:w="0" w:type="dxa"/>
          <w:right w:w="108" w:type="dxa"/>
          <w:bottom w:w="0" w:type="dxa"/>
        </w:tblCellMar>
        <w:tblLook w:val="04A0" w:firstRow="1" w:lastRow="0" w:firstColumn="1" w:lastColumn="0" w:noHBand="0" w:noVBand="1"/>
      </w:tblPr>
      <w:tblGrid>
        <w:gridCol w:w="86"/>
        <w:gridCol w:w="594"/>
        <w:gridCol w:w="318"/>
        <w:gridCol w:w="878"/>
        <w:gridCol w:w="1279"/>
        <w:gridCol w:w="365"/>
        <w:gridCol w:w="547"/>
        <w:gridCol w:w="1659"/>
        <w:gridCol w:w="1790"/>
        <w:gridCol w:w="1043"/>
        <w:gridCol w:w="120"/>
      </w:tblGrid>
      <w:tr>
        <w:trPr>
          <w:trHeight w:val="604"/>
        </w:trPr>
        <w:tc>
          <w:tcPr>
            <w:gridSpan w:val="11"/>
            <w:tcBorders>
              <w:top w:val="none" w:color="000000" w:sz="0" w:space="0"/>
              <w:left w:val="none" w:color="000000" w:sz="0" w:space="0"/>
              <w:bottom w:val="none" w:color="000000" w:sz="0" w:space="0"/>
              <w:right w:val="none" w:color="000000" w:sz="0" w:space="0"/>
            </w:tcBorders>
            <w:tcW w:w="5000" w:type="pct"/>
            <w:vAlign w:val="center"/>
            <w:textDirection w:val="lrTb"/>
            <w:noWrap/>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耗材及消毒药剂清单</w:t>
            </w: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项目</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类型</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2302"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说明</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金额</w:t>
              <w:br w:type="textWrapping" w:clear="all"/>
              <w:t xml:space="preserve">（元/年）</w:t>
            </w: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89"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污水站耗材及消毒药剂</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947"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机械润滑油</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2302"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3#锂基酯；18L/桶，设备传动部位润滑</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70" w:type="pct"/>
            <w:vAlign w:val="center"/>
            <w:vMerge w:val="restart"/>
            <w:textDirection w:val="lrTb"/>
            <w:noWrap/>
          </w:tcPr>
          <w:p>
            <w:pPr>
              <w:pStyle w:val="967"/>
              <w:jc w:val="center"/>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皮带</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废气风机皮带更换</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电子清洁剂</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02016C，电控箱内部清洁</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除锈剂</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WD-40，金属部件清洁用</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液位计</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易耗件更换使用</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各类管阀件</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易耗件更换使用</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7</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人员防护装备</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手套、护目镜、安全鞋、防护服等</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8</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清洁工具</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扫把、拖把等清洁工具</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9</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镀锌喷漆</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防腐漆，户外设备和钢结构</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10</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浮球液位计</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池体液位控制</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11</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风机过滤棉</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废气系统进气过滤异物</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12</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活性炭</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废气系统吸附；碘800 活性炭；按需求更换，更换后旧活性炭处置由院方负责</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13</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UV 灯管</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废气系统杀菌；灯管及整流器；按需求更换，更换后旧灯管处置由院方负责</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14</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脱氯药剂</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预处理污水脱氯使用</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15</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生物菌种养料</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葡萄糖、面粉等定期投喂，培养菌种</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16</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9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消毒药剂</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399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低浓度次氯酸钠溶液消毒剂；根据实际污水处理量按需求添加</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6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17</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合计</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三年费用</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2302" w:type="pct"/>
            <w:vAlign w:val="center"/>
            <w:textDirection w:val="lrTb"/>
            <w:noWrap/>
          </w:tcPr>
          <w:p>
            <w:pPr>
              <w:pStyle w:val="967"/>
              <w:jc w:val="center"/>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pStyle w:val="967"/>
              <w:jc w:val="center"/>
              <w:widowControl/>
              <w:rPr>
                <w:rFonts w:ascii="宋体" w:hAnsi="宋体" w:cs="仿宋"/>
                <w:color w:val="000000"/>
                <w:szCs w:val="21"/>
              </w:rPr>
            </w:pPr>
            <w:r>
              <w:rPr>
                <w:rFonts w:ascii="宋体" w:hAnsi="宋体" w:cs="仿宋"/>
                <w:color w:val="000000"/>
                <w:szCs w:val="21"/>
              </w:rPr>
            </w:r>
            <w:r/>
          </w:p>
        </w:tc>
      </w:tr>
      <w:tr>
        <w:trPr>
          <w:gridAfter w:val="1"/>
          <w:trHeight w:val="288"/>
        </w:trPr>
        <w:tc>
          <w:tcPr>
            <w:gridSpan w:val="10"/>
            <w:tcBorders>
              <w:top w:val="none" w:color="000000" w:sz="0" w:space="0"/>
              <w:left w:val="none" w:color="000000" w:sz="0" w:space="0"/>
              <w:bottom w:val="none" w:color="000000" w:sz="0" w:space="0"/>
              <w:right w:val="none" w:color="000000" w:sz="0" w:space="0"/>
            </w:tcBorders>
            <w:tcW w:w="4880" w:type="pct"/>
            <w:vAlign w:val="center"/>
            <w:textDirection w:val="lrTb"/>
            <w:noWrap w:val="false"/>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排污许可证及卫监要求检测清单</w:t>
            </w:r>
            <w:r>
              <w:rPr>
                <w:rFonts w:ascii="宋体" w:hAnsi="宋体" w:cs="宋体"/>
                <w:color w:val="000000"/>
                <w:szCs w:val="21"/>
              </w:rPr>
            </w:r>
            <w:r/>
          </w:p>
        </w:tc>
      </w:tr>
      <w:tr>
        <w:trPr>
          <w:gridAfter w:val="1"/>
          <w:trHeight w:val="420"/>
        </w:trPr>
        <w:tc>
          <w:tcPr>
            <w:gridSpan w:val="3"/>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项目</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数量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金额（元/年）</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32"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备注</w:t>
            </w:r>
            <w:r>
              <w:rPr>
                <w:rFonts w:ascii="宋体" w:hAnsi="宋体" w:cs="仿宋"/>
                <w:color w:val="000000"/>
                <w:szCs w:val="21"/>
              </w:rPr>
            </w:r>
            <w:r/>
          </w:p>
        </w:tc>
      </w:tr>
      <w:tr>
        <w:trPr>
          <w:cantSplit/>
          <w:gridAfter w:val="1"/>
          <w:trHeight w:val="420"/>
        </w:trPr>
        <w:tc>
          <w:tcPr>
            <w:gridSpan w:val="3"/>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排污许可证检测</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25"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年度</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956" w:type="pct"/>
            <w:vAlign w:val="center"/>
            <w:vMerge w:val="restart"/>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32" w:type="pct"/>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含废气、废水检测等每月出具第三方监测报告以及江苏省排污单位自行监测信息发布平台申报维护</w:t>
            </w:r>
            <w:r>
              <w:rPr>
                <w:rFonts w:ascii="宋体" w:hAnsi="宋体" w:cs="仿宋"/>
                <w:color w:val="000000"/>
                <w:szCs w:val="21"/>
              </w:rPr>
            </w:r>
            <w:r/>
          </w:p>
        </w:tc>
      </w:tr>
      <w:tr>
        <w:trPr>
          <w:cantSplit/>
          <w:gridAfter w:val="1"/>
          <w:trHeight w:val="420"/>
        </w:trPr>
        <w:tc>
          <w:tcPr>
            <w:gridSpan w:val="3"/>
            <w:tcBorders>
              <w:top w:val="single" w:color="000000" w:sz="4" w:space="0"/>
              <w:left w:val="single" w:color="000000" w:sz="4" w:space="0"/>
              <w:bottom w:val="single" w:color="000000" w:sz="4" w:space="0"/>
              <w:right w:val="single" w:color="000000" w:sz="4" w:space="0"/>
            </w:tcBorders>
            <w:tcW w:w="912"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卫监要求水样检测</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912"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659"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833"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gridAfter w:val="1"/>
          <w:trHeight w:val="420"/>
        </w:trPr>
        <w:tc>
          <w:tcPr>
            <w:gridSpan w:val="3"/>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三年小计</w:t>
            </w:r>
            <w:r>
              <w:rPr>
                <w:rFonts w:ascii="宋体" w:hAnsi="宋体" w:cs="仿宋"/>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32" w:type="pct"/>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r>
    </w:tbl>
    <w:p>
      <w:pPr>
        <w:pStyle w:val="1128"/>
        <w:ind w:firstLine="5760"/>
        <w:spacing w:line="360" w:lineRule="auto"/>
        <w:rPr>
          <w:rFonts w:ascii="Tahoma" w:hAnsi="Tahoma"/>
          <w:sz w:val="24"/>
        </w:rPr>
      </w:pPr>
      <w:r>
        <w:rPr>
          <w:rFonts w:ascii="Tahoma" w:hAnsi="Tahoma"/>
          <w:sz w:val="24"/>
        </w:rPr>
      </w:r>
      <w:r/>
    </w:p>
    <w:tbl>
      <w:tblPr>
        <w:tblW w:w="8772" w:type="dxa"/>
        <w:tblInd w:w="96" w:type="dxa"/>
        <w:tblLayout w:type="autofit"/>
        <w:tblCellMar>
          <w:left w:w="108" w:type="dxa"/>
          <w:top w:w="0" w:type="dxa"/>
          <w:right w:w="108" w:type="dxa"/>
          <w:bottom w:w="0" w:type="dxa"/>
        </w:tblCellMar>
        <w:tblLook w:val="04A0" w:firstRow="1" w:lastRow="0" w:firstColumn="1" w:lastColumn="0" w:noHBand="0" w:noVBand="1"/>
      </w:tblPr>
      <w:tblGrid>
        <w:gridCol w:w="960"/>
        <w:gridCol w:w="2328"/>
        <w:gridCol w:w="708"/>
        <w:gridCol w:w="1416"/>
        <w:gridCol w:w="2124"/>
        <w:gridCol w:w="1236"/>
      </w:tblGrid>
      <w:tr>
        <w:trPr>
          <w:trHeight w:val="288"/>
        </w:trPr>
        <w:tc>
          <w:tcPr>
            <w:gridSpan w:val="6"/>
            <w:tcBorders>
              <w:top w:val="none" w:color="000000" w:sz="0" w:space="0"/>
              <w:left w:val="none" w:color="000000" w:sz="0" w:space="0"/>
              <w:bottom w:val="none" w:color="000000" w:sz="0" w:space="0"/>
              <w:right w:val="none" w:color="000000" w:sz="0" w:space="0"/>
            </w:tcBorders>
            <w:tcW w:w="8772" w:type="dxa"/>
            <w:vAlign w:val="center"/>
            <w:textDirection w:val="lrTb"/>
            <w:noWrap w:val="false"/>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在线监测设备维护清单</w:t>
            </w: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运维项目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数量</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金额（元/年）</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服务内同</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备注</w:t>
            </w:r>
            <w:r>
              <w:rPr>
                <w:rFonts w:ascii="宋体" w:hAnsi="宋体" w:cs="仿宋"/>
                <w:color w:val="000000"/>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COD 在线监测仪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含检测试剂、季度比对及维护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检测仪检测试 剂残液外运处置由使用方负责处置</w:t>
            </w:r>
            <w:r>
              <w:rPr>
                <w:rFonts w:ascii="宋体" w:hAnsi="宋体" w:cs="仿宋"/>
                <w:color w:val="000000"/>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氨氮在线监测仪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含检测试剂、季度比对及维护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3</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DPD 总氯在线检测仪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含检测试剂、季度比对及维护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4</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PH 在线监测仪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含检测试剂及维护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5</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流量计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年度计量/季度比对</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6</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数据采集仪</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离线数据补发；流量数据卡等</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7</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等比例采样器</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日常维护</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auto"/>
            <w:vAlign w:val="center"/>
            <w:vMerge w:val="continue"/>
            <w:textDirection w:val="lrTb"/>
            <w:noWrap w:val="false"/>
          </w:tcPr>
          <w:p>
            <w:pPr>
              <w:pStyle w:val="967"/>
              <w:jc w:val="left"/>
              <w:widowControl/>
              <w:rPr>
                <w:rFonts w:ascii="宋体" w:hAnsi="宋体" w:cs="仿宋"/>
                <w:color w:val="000000"/>
                <w:szCs w:val="21"/>
              </w:rPr>
            </w:pPr>
            <w:r>
              <w:rPr>
                <w:rFonts w:ascii="宋体" w:hAnsi="宋体" w:cs="仿宋"/>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8</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9</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三年小计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67"/>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96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967"/>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967"/>
              <w:rPr>
                <w:rFonts w:ascii="宋体" w:hAnsi="宋体" w:cs="宋体"/>
                <w:color w:val="000000"/>
                <w:szCs w:val="21"/>
              </w:rPr>
            </w:pPr>
            <w:r>
              <w:rPr>
                <w:rFonts w:ascii="宋体" w:hAnsi="宋体" w:cs="宋体"/>
                <w:color w:val="000000"/>
                <w:szCs w:val="21"/>
              </w:rPr>
            </w:r>
            <w:r/>
          </w:p>
        </w:tc>
      </w:tr>
    </w:tbl>
    <w:p>
      <w:pPr>
        <w:pStyle w:val="1128"/>
        <w:ind w:firstLine="5760"/>
        <w:spacing w:line="360" w:lineRule="auto"/>
        <w:rPr>
          <w:rFonts w:ascii="Tahoma" w:hAnsi="Tahoma"/>
          <w:sz w:val="24"/>
        </w:rPr>
      </w:pPr>
      <w:r>
        <w:rPr>
          <w:rFonts w:ascii="Tahoma" w:hAnsi="Tahoma"/>
          <w:sz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74"/>
        <w:gridCol w:w="1344"/>
        <w:gridCol w:w="5264"/>
        <w:gridCol w:w="1374"/>
      </w:tblGrid>
      <w:tr>
        <w:trPr>
          <w:trHeight w:val="288"/>
        </w:trPr>
        <w:tc>
          <w:tcPr>
            <w:gridSpan w:val="4"/>
            <w:tcBorders>
              <w:top w:val="none" w:color="000000" w:sz="0" w:space="0"/>
              <w:left w:val="none" w:color="000000" w:sz="0" w:space="0"/>
              <w:bottom w:val="none" w:color="000000" w:sz="0" w:space="0"/>
              <w:right w:val="none" w:color="000000" w:sz="0" w:space="0"/>
            </w:tcBorders>
            <w:tcW w:w="5000" w:type="pct"/>
            <w:vAlign w:val="center"/>
            <w:textDirection w:val="lrTb"/>
            <w:noWrap w:val="false"/>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在线监测软件平台清单</w:t>
            </w:r>
            <w:r>
              <w:rPr>
                <w:rFonts w:ascii="宋体" w:hAnsi="宋体" w:cs="宋体"/>
                <w:color w:val="000000"/>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项目</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972"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说明</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金额（元/年）</w:t>
            </w:r>
            <w:r>
              <w:rPr>
                <w:rFonts w:ascii="宋体" w:hAnsi="宋体" w:cs="仿宋"/>
                <w:color w:val="000000"/>
                <w:szCs w:val="21"/>
              </w:rPr>
            </w:r>
            <w:r/>
          </w:p>
        </w:tc>
      </w:tr>
      <w:tr>
        <w:trPr>
          <w:trHeight w:val="1480"/>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1</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在线监测软件平台</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972"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检测数据上传至监测平台，作为运维辅助手段监测医院污水站运行情况，院 方有权限浏览本院污水运行监测数据，包括流量、PH、总余氯等实时监测数据； 平台实时监测数据、历史曲线及异常报警记录，支持数据导出与图表生成功能， 满足监管部门对数据报表、运行台账管理等需求。</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2</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三年小计</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2972" w:type="pct"/>
            <w:vAlign w:val="center"/>
            <w:textDirection w:val="lrTb"/>
            <w:noWrap w:val="false"/>
          </w:tcPr>
          <w:p>
            <w:pPr>
              <w:pStyle w:val="967"/>
              <w:jc w:val="center"/>
              <w:rPr>
                <w:rFonts w:ascii="宋体" w:hAnsi="宋体" w:cs="仿宋"/>
                <w:color w:val="000000"/>
                <w:szCs w:val="21"/>
              </w:rPr>
            </w:pP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pStyle w:val="967"/>
              <w:jc w:val="center"/>
              <w:widowControl/>
              <w:rPr>
                <w:rFonts w:ascii="宋体" w:hAnsi="宋体" w:cs="仿宋"/>
                <w:color w:val="000000"/>
                <w:szCs w:val="21"/>
              </w:rPr>
            </w:pPr>
            <w:r>
              <w:rPr>
                <w:rFonts w:ascii="宋体" w:hAnsi="宋体" w:cs="仿宋"/>
                <w:color w:val="000000"/>
                <w:szCs w:val="21"/>
              </w:rPr>
            </w:r>
            <w:r/>
          </w:p>
        </w:tc>
      </w:tr>
    </w:tbl>
    <w:p>
      <w:pPr>
        <w:pStyle w:val="1128"/>
        <w:ind w:firstLine="5760"/>
        <w:spacing w:line="360" w:lineRule="auto"/>
        <w:tabs>
          <w:tab w:val="left" w:pos="7785" w:leader="none"/>
        </w:tabs>
        <w:rPr>
          <w:rFonts w:ascii="Tahoma" w:hAnsi="Tahoma"/>
          <w:sz w:val="24"/>
        </w:rPr>
      </w:pPr>
      <w:r>
        <w:rPr>
          <w:rFonts w:ascii="Tahoma" w:hAnsi="Tahoma"/>
          <w:sz w:val="24"/>
        </w:rPr>
      </w:r>
      <w:r/>
    </w:p>
    <w:p>
      <w:pPr>
        <w:pStyle w:val="1078"/>
        <w:spacing w:line="360" w:lineRule="auto"/>
        <w:rPr>
          <w:rFonts w:hAnsi="宋体" w:eastAsia="宋体"/>
          <w:sz w:val="21"/>
          <w:szCs w:val="21"/>
        </w:rPr>
      </w:pPr>
      <w:r>
        <w:rPr>
          <w:rFonts w:hAnsi="宋体" w:eastAsia="宋体"/>
          <w:sz w:val="21"/>
          <w:szCs w:val="21"/>
        </w:rPr>
      </w:r>
      <w:r/>
    </w:p>
    <w:p>
      <w:pPr>
        <w:pStyle w:val="1128"/>
        <w:ind w:firstLine="5040"/>
        <w:jc w:val="right"/>
        <w:spacing w:line="360" w:lineRule="auto"/>
        <w:rPr>
          <w:rFonts w:hAnsi="宋体" w:eastAsia="宋体"/>
          <w:sz w:val="21"/>
          <w:szCs w:val="21"/>
        </w:rPr>
      </w:pPr>
      <w:r>
        <w:rPr>
          <w:rFonts w:hAnsi="宋体" w:eastAsia="宋体"/>
          <w:sz w:val="21"/>
          <w:szCs w:val="21"/>
        </w:rPr>
        <w:t xml:space="preserve">  投标人：（单位盖章）</w:t>
      </w:r>
      <w:r/>
    </w:p>
    <w:p>
      <w:pPr>
        <w:pStyle w:val="1128"/>
        <w:jc w:val="right"/>
        <w:spacing w:line="360" w:lineRule="auto"/>
        <w:rPr>
          <w:rFonts w:eastAsia="宋体"/>
          <w:sz w:val="21"/>
          <w:szCs w:val="21"/>
        </w:rPr>
      </w:pPr>
      <w:r>
        <w:rPr>
          <w:rFonts w:eastAsia="宋体"/>
          <w:sz w:val="21"/>
          <w:szCs w:val="21"/>
        </w:rPr>
        <w:t xml:space="preserve">法定代表人或授权委托人：（签字或盖章）</w:t>
      </w:r>
      <w:r/>
    </w:p>
    <w:p>
      <w:pPr>
        <w:pStyle w:val="1128"/>
        <w:jc w:val="right"/>
        <w:spacing w:line="360" w:lineRule="auto"/>
        <w:rPr>
          <w:rFonts w:hAnsi="宋体" w:eastAsia="宋体"/>
          <w:sz w:val="21"/>
          <w:szCs w:val="21"/>
        </w:rPr>
      </w:pPr>
      <w:r>
        <w:rPr>
          <w:rFonts w:hAnsi="宋体" w:eastAsia="宋体"/>
          <w:sz w:val="21"/>
          <w:szCs w:val="21"/>
        </w:rPr>
        <w:t xml:space="preserve">年     月     日</w:t>
      </w:r>
      <w:r/>
    </w:p>
    <w:p>
      <w:pPr>
        <w:pStyle w:val="1078"/>
        <w:spacing w:line="360" w:lineRule="auto"/>
        <w:rPr>
          <w:rFonts w:hAnsi="宋体" w:eastAsia="宋体"/>
          <w:sz w:val="24"/>
        </w:rPr>
      </w:pPr>
      <w:r>
        <w:rPr>
          <w:rFonts w:hAnsi="宋体" w:eastAsia="宋体"/>
          <w:sz w:val="24"/>
        </w:rPr>
      </w:r>
      <w:r/>
    </w:p>
    <w:p>
      <w:pPr>
        <w:pStyle w:val="967"/>
        <w:rPr>
          <w:rFonts w:hint="eastAsia" w:ascii="Tahoma" w:hAnsi="Tahoma"/>
          <w:sz w:val="24"/>
        </w:rPr>
      </w:pPr>
      <w:r/>
      <w:bookmarkStart w:id="40" w:name="_Ref363807960"/>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9"/>
        <w:spacing w:before="480" w:after="240"/>
        <w:rPr>
          <w:rFonts w:hint="eastAsia"/>
        </w:rPr>
      </w:pPr>
      <w:r/>
      <w:bookmarkStart w:id="41" w:name="_Ref448317042"/>
      <w:r>
        <w:rPr>
          <w:rFonts w:hint="eastAsia"/>
        </w:rPr>
        <w:t xml:space="preserve">偏离表（技术、商务）</w:t>
      </w:r>
      <w:bookmarkEnd w:id="40"/>
      <w:r/>
      <w:bookmarkEnd w:id="41"/>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99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2130" w:type="dxa"/>
            <w:vAlign w:val="top"/>
            <w:textDirection w:val="lrTb"/>
            <w:noWrap w:val="false"/>
          </w:tcPr>
          <w:p>
            <w:pPr>
              <w:pStyle w:val="99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w:t>
            </w:r>
            <w:r/>
          </w:p>
        </w:tc>
        <w:tc>
          <w:tcPr>
            <w:tcW w:w="2131" w:type="dxa"/>
            <w:vAlign w:val="top"/>
            <w:textDirection w:val="lrTb"/>
            <w:noWrap w:val="false"/>
          </w:tcPr>
          <w:p>
            <w:pPr>
              <w:pStyle w:val="99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w:t>
            </w:r>
            <w:r/>
          </w:p>
        </w:tc>
        <w:tc>
          <w:tcPr>
            <w:tcW w:w="2131" w:type="dxa"/>
            <w:vAlign w:val="top"/>
            <w:textDirection w:val="lrTb"/>
            <w:noWrap w:val="false"/>
          </w:tcPr>
          <w:p>
            <w:pPr>
              <w:pStyle w:val="99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w:t>
            </w:r>
            <w:r/>
          </w:p>
        </w:tc>
      </w:tr>
      <w:tr>
        <w:trPr/>
        <w:tc>
          <w:tcPr>
            <w:tcW w:w="2130"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90"/>
              <w:ind w:firstLine="0"/>
              <w:spacing w:line="360" w:lineRule="auto"/>
              <w:rPr>
                <w:rFonts w:ascii="宋体" w:hAnsi="宋体" w:eastAsia="宋体"/>
                <w:sz w:val="21"/>
                <w:szCs w:val="21"/>
              </w:rPr>
            </w:pPr>
            <w:r>
              <w:rPr>
                <w:rFonts w:ascii="宋体" w:hAnsi="宋体" w:eastAsia="宋体"/>
                <w:sz w:val="21"/>
                <w:szCs w:val="21"/>
              </w:rPr>
            </w:r>
            <w:r/>
          </w:p>
        </w:tc>
      </w:tr>
    </w:tbl>
    <w:p>
      <w:pPr>
        <w:pStyle w:val="990"/>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1128"/>
        <w:ind w:firstLine="5040"/>
        <w:jc w:val="right"/>
        <w:spacing w:line="360" w:lineRule="auto"/>
        <w:rPr>
          <w:rFonts w:hAnsi="宋体" w:eastAsia="宋体"/>
          <w:sz w:val="21"/>
          <w:szCs w:val="21"/>
        </w:rPr>
      </w:pPr>
      <w:r>
        <w:rPr>
          <w:rFonts w:hAnsi="宋体" w:eastAsia="宋体"/>
          <w:sz w:val="21"/>
          <w:szCs w:val="21"/>
        </w:rPr>
        <w:t xml:space="preserve">投标人：（单位盖章）</w:t>
      </w:r>
      <w:r/>
    </w:p>
    <w:p>
      <w:pPr>
        <w:pStyle w:val="1128"/>
        <w:jc w:val="right"/>
        <w:spacing w:line="360" w:lineRule="auto"/>
        <w:rPr>
          <w:rFonts w:eastAsia="宋体"/>
          <w:sz w:val="21"/>
          <w:szCs w:val="21"/>
        </w:rPr>
      </w:pPr>
      <w:r>
        <w:rPr>
          <w:rFonts w:eastAsia="宋体"/>
          <w:sz w:val="21"/>
          <w:szCs w:val="21"/>
        </w:rPr>
        <w:t xml:space="preserve">法定代表人或授权委托人：（签字或盖章）</w:t>
      </w:r>
      <w:r/>
    </w:p>
    <w:p>
      <w:pPr>
        <w:pStyle w:val="1128"/>
        <w:jc w:val="right"/>
        <w:spacing w:line="360" w:lineRule="auto"/>
        <w:rPr>
          <w:rFonts w:hAnsi="宋体" w:eastAsia="宋体"/>
          <w:sz w:val="21"/>
          <w:szCs w:val="21"/>
        </w:rPr>
      </w:pPr>
      <w:r>
        <w:rPr>
          <w:rFonts w:hAnsi="宋体" w:eastAsia="宋体"/>
          <w:sz w:val="21"/>
          <w:szCs w:val="21"/>
        </w:rPr>
        <w:t xml:space="preserve">年     月     日</w:t>
      </w:r>
      <w:r/>
    </w:p>
    <w:p>
      <w:pPr>
        <w:pStyle w:val="1128"/>
        <w:ind w:firstLine="5760"/>
        <w:spacing w:line="360" w:lineRule="auto"/>
        <w:rPr>
          <w:rFonts w:ascii="Tahoma" w:hAnsi="Tahoma"/>
          <w:sz w:val="24"/>
        </w:rPr>
      </w:pPr>
      <w:r>
        <w:rPr>
          <w:rFonts w:ascii="Tahoma" w:hAnsi="Tahoma"/>
          <w:sz w:val="24"/>
        </w:rPr>
      </w:r>
      <w:r/>
    </w:p>
    <w:p>
      <w:pPr>
        <w:pStyle w:val="969"/>
        <w:spacing w:before="480" w:after="240"/>
        <w:rPr>
          <w:rFonts w:hint="eastAsia"/>
        </w:rPr>
      </w:pPr>
      <w:r>
        <w:rPr>
          <w:rFonts w:hint="eastAsia"/>
        </w:rPr>
        <w:t xml:space="preserve">项目组成员一览表</w:t>
      </w:r>
      <w:r/>
    </w:p>
    <w:tbl>
      <w:tblPr>
        <w:tblW w:w="4913" w:type="pct"/>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264"/>
        <w:gridCol w:w="1264"/>
        <w:gridCol w:w="1264"/>
        <w:gridCol w:w="1265"/>
        <w:gridCol w:w="1265"/>
        <w:gridCol w:w="1204"/>
      </w:tblGrid>
      <w:tr>
        <w:trPr>
          <w:trHeight w:val="635"/>
        </w:trPr>
        <w:tc>
          <w:tcPr>
            <w:tcW w:w="67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序号</w:t>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姓名</w:t>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性别</w:t>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岗位</w:t>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年龄</w:t>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学历</w:t>
            </w:r>
            <w:r/>
          </w:p>
        </w:tc>
        <w:tc>
          <w:tcPr>
            <w:tcW w:w="692"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职称</w:t>
            </w:r>
            <w:r/>
          </w:p>
        </w:tc>
      </w:tr>
      <w:tr>
        <w:trPr>
          <w:trHeight w:val="495"/>
        </w:trPr>
        <w:tc>
          <w:tcPr>
            <w:tcW w:w="67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1</w:t>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692"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r>
      <w:tr>
        <w:trPr>
          <w:trHeight w:val="495"/>
        </w:trPr>
        <w:tc>
          <w:tcPr>
            <w:tcW w:w="67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2</w:t>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692"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r>
      <w:tr>
        <w:trPr>
          <w:trHeight w:val="495"/>
        </w:trPr>
        <w:tc>
          <w:tcPr>
            <w:tcW w:w="67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3</w:t>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692"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r>
      <w:tr>
        <w:trPr>
          <w:trHeight w:val="495"/>
        </w:trPr>
        <w:tc>
          <w:tcPr>
            <w:tcW w:w="67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4</w:t>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692"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r>
      <w:tr>
        <w:trPr>
          <w:trHeight w:val="495"/>
        </w:trPr>
        <w:tc>
          <w:tcPr>
            <w:tcW w:w="67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5</w:t>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692"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r>
      <w:tr>
        <w:trPr>
          <w:trHeight w:val="495"/>
        </w:trPr>
        <w:tc>
          <w:tcPr>
            <w:tcW w:w="67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6</w:t>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692"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r>
      <w:tr>
        <w:trPr>
          <w:trHeight w:val="495"/>
        </w:trPr>
        <w:tc>
          <w:tcPr>
            <w:tcW w:w="67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w:t>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692"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r>
      <w:tr>
        <w:trPr>
          <w:trHeight w:val="495"/>
        </w:trPr>
        <w:tc>
          <w:tcPr>
            <w:tcW w:w="67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692"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r>
      <w:tr>
        <w:trPr>
          <w:trHeight w:val="495"/>
        </w:trPr>
        <w:tc>
          <w:tcPr>
            <w:tcW w:w="67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6"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727"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c>
          <w:tcPr>
            <w:tcW w:w="692" w:type="pct"/>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r>
            <w:r/>
          </w:p>
        </w:tc>
      </w:tr>
    </w:tbl>
    <w:p>
      <w:pPr>
        <w:pStyle w:val="967"/>
        <w:rPr>
          <w:rFonts w:ascii="Tahoma" w:hAnsi="Tahoma"/>
          <w:sz w:val="24"/>
        </w:rPr>
      </w:pPr>
      <w:r>
        <w:rPr>
          <w:rFonts w:ascii="Tahoma" w:hAnsi="Tahoma"/>
          <w:sz w:val="24"/>
        </w:rPr>
      </w:r>
      <w:r/>
    </w:p>
    <w:p>
      <w:pPr>
        <w:pStyle w:val="967"/>
        <w:rPr>
          <w:rFonts w:hint="eastAsia" w:ascii="Tahoma" w:hAnsi="Tahoma"/>
          <w:sz w:val="24"/>
        </w:rPr>
      </w:pPr>
      <w:r>
        <w:rPr>
          <w:rFonts w:hint="eastAsia" w:ascii="Tahoma" w:hAnsi="Tahoma"/>
          <w:sz w:val="24"/>
        </w:rPr>
      </w:r>
      <w:r/>
    </w:p>
    <w:p>
      <w:pPr>
        <w:pStyle w:val="990"/>
        <w:ind w:firstLine="5040"/>
        <w:jc w:val="right"/>
        <w:spacing w:line="360" w:lineRule="auto"/>
        <w:rPr>
          <w:rFonts w:ascii="宋体" w:eastAsia="宋体"/>
          <w:sz w:val="21"/>
          <w:szCs w:val="21"/>
        </w:rPr>
      </w:pPr>
      <w:r/>
      <w:bookmarkStart w:id="42" w:name="_10、资格证明文件"/>
      <w:r/>
      <w:bookmarkEnd w:id="42"/>
      <w:r>
        <w:rPr>
          <w:rFonts w:hAnsi="宋体" w:eastAsia="宋体"/>
          <w:sz w:val="21"/>
          <w:szCs w:val="21"/>
        </w:rPr>
        <w:t xml:space="preserve">投标人</w:t>
      </w:r>
      <w:r>
        <w:rPr>
          <w:rFonts w:hint="eastAsia" w:hAnsi="宋体" w:eastAsia="宋体"/>
          <w:sz w:val="21"/>
          <w:szCs w:val="21"/>
        </w:rPr>
        <w:t xml:space="preserve">：（单位盖章）</w:t>
      </w:r>
      <w:r>
        <w:rPr>
          <w:rFonts w:ascii="宋体" w:eastAsia="宋体"/>
          <w:sz w:val="21"/>
          <w:szCs w:val="21"/>
        </w:rPr>
      </w:r>
      <w:r/>
    </w:p>
    <w:p>
      <w:pPr>
        <w:pStyle w:val="1128"/>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p>
    <w:p>
      <w:pPr>
        <w:pStyle w:val="1128"/>
        <w:ind w:firstLine="5670"/>
        <w:jc w:val="right"/>
        <w:spacing w:line="360" w:lineRule="auto"/>
        <w:rPr>
          <w:rFonts w:hAnsi="宋体" w:eastAsia="宋体"/>
          <w:sz w:val="21"/>
          <w:szCs w:val="21"/>
        </w:rPr>
      </w:pPr>
      <w:r>
        <w:rPr>
          <w:rFonts w:hAnsi="宋体" w:eastAsia="宋体"/>
          <w:sz w:val="21"/>
          <w:szCs w:val="21"/>
        </w:rPr>
        <w:t xml:space="preserve">年     月     日</w:t>
      </w:r>
      <w:r/>
    </w:p>
    <w:p>
      <w:pPr>
        <w:pStyle w:val="1128"/>
        <w:ind w:firstLine="5760"/>
        <w:spacing w:line="360" w:lineRule="auto"/>
        <w:rPr>
          <w:rFonts w:ascii="Tahoma" w:hAnsi="Tahoma"/>
          <w:sz w:val="24"/>
        </w:rPr>
      </w:pPr>
      <w:r>
        <w:rPr>
          <w:rFonts w:ascii="Tahoma" w:hAnsi="Tahoma"/>
          <w:sz w:val="24"/>
        </w:rPr>
      </w:r>
      <w:r/>
    </w:p>
    <w:p>
      <w:pPr>
        <w:pStyle w:val="969"/>
        <w:spacing w:before="480" w:after="240" w:line="360" w:lineRule="auto"/>
        <w:rPr>
          <w:rFonts w:ascii="黑体" w:hAnsi="黑体"/>
          <w:szCs w:val="28"/>
        </w:rPr>
      </w:pPr>
      <w:r/>
      <w:bookmarkStart w:id="43" w:name="_Ref84597358"/>
      <w:r>
        <w:rPr>
          <w:rFonts w:hint="eastAsia" w:ascii="黑体" w:hAnsi="黑体"/>
          <w:szCs w:val="28"/>
        </w:rPr>
        <w:t xml:space="preserve">类似业绩一览表</w:t>
      </w:r>
      <w:bookmarkEnd w:id="43"/>
      <w:r>
        <w:rPr>
          <w:rFonts w:ascii="黑体" w:hAnsi="黑体"/>
          <w:szCs w:val="28"/>
        </w:rPr>
      </w:r>
      <w:r/>
    </w:p>
    <w:p>
      <w:pPr>
        <w:pStyle w:val="967"/>
        <w:jc w:val="center"/>
        <w:spacing w:line="400" w:lineRule="exact"/>
        <w:rPr>
          <w:rFonts w:hint="eastAsia" w:ascii="宋体" w:hAnsi="宋体"/>
          <w:b/>
          <w:bCs/>
          <w:color w:val="000000"/>
          <w:szCs w:val="21"/>
        </w:rPr>
      </w:pPr>
      <w:r>
        <w:rPr>
          <w:rFonts w:hint="eastAsia" w:ascii="宋体" w:hAnsi="宋体"/>
          <w:b/>
          <w:bCs/>
          <w:color w:val="000000"/>
          <w:szCs w:val="21"/>
        </w:rPr>
        <w:t xml:space="preserve">类似业绩一览表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032"/>
        <w:gridCol w:w="1890"/>
        <w:gridCol w:w="1889"/>
        <w:gridCol w:w="1121"/>
      </w:tblGrid>
      <w:tr>
        <w:trPr>
          <w:cantSplit/>
          <w:trHeight w:val="600"/>
        </w:trPr>
        <w:tc>
          <w:tcPr>
            <w:tcW w:w="817" w:type="dxa"/>
            <w:vAlign w:val="center"/>
            <w:textDirection w:val="lrTb"/>
            <w:noWrap w:val="false"/>
          </w:tcPr>
          <w:p>
            <w:pPr>
              <w:pStyle w:val="96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序号</w:t>
            </w:r>
            <w:r/>
          </w:p>
        </w:tc>
        <w:tc>
          <w:tcPr>
            <w:tcW w:w="1985" w:type="dxa"/>
            <w:vAlign w:val="center"/>
            <w:textDirection w:val="lrTb"/>
            <w:noWrap w:val="false"/>
          </w:tcPr>
          <w:p>
            <w:pPr>
              <w:pStyle w:val="96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项目名称</w:t>
            </w:r>
            <w:r/>
          </w:p>
        </w:tc>
        <w:tc>
          <w:tcPr>
            <w:tcW w:w="2032" w:type="dxa"/>
            <w:vAlign w:val="center"/>
            <w:textDirection w:val="lrTb"/>
            <w:noWrap w:val="false"/>
          </w:tcPr>
          <w:p>
            <w:pPr>
              <w:pStyle w:val="96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委托方</w:t>
            </w:r>
            <w:r/>
          </w:p>
        </w:tc>
        <w:tc>
          <w:tcPr>
            <w:tcW w:w="1890" w:type="dxa"/>
            <w:vAlign w:val="center"/>
            <w:textDirection w:val="lrTb"/>
            <w:noWrap w:val="false"/>
          </w:tcPr>
          <w:p>
            <w:pPr>
              <w:pStyle w:val="96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项目概述</w:t>
            </w:r>
            <w:r/>
          </w:p>
        </w:tc>
        <w:tc>
          <w:tcPr>
            <w:tcW w:w="1889" w:type="dxa"/>
            <w:vAlign w:val="center"/>
            <w:textDirection w:val="lrTb"/>
            <w:noWrap w:val="false"/>
          </w:tcPr>
          <w:p>
            <w:pPr>
              <w:pStyle w:val="96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合同金额（元）</w:t>
            </w:r>
            <w:r/>
          </w:p>
        </w:tc>
        <w:tc>
          <w:tcPr>
            <w:tcW w:w="1121" w:type="dxa"/>
            <w:vAlign w:val="center"/>
            <w:textDirection w:val="lrTb"/>
            <w:noWrap w:val="false"/>
          </w:tcPr>
          <w:p>
            <w:pPr>
              <w:pStyle w:val="96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备注</w:t>
            </w:r>
            <w:r/>
          </w:p>
        </w:tc>
      </w:tr>
      <w:tr>
        <w:trPr>
          <w:cantSplit/>
          <w:trHeight w:val="793"/>
        </w:trPr>
        <w:tc>
          <w:tcPr>
            <w:tcW w:w="817" w:type="dxa"/>
            <w:vAlign w:val="center"/>
            <w:textDirection w:val="lrTb"/>
            <w:noWrap w:val="false"/>
          </w:tcPr>
          <w:p>
            <w:pPr>
              <w:pStyle w:val="96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1</w:t>
            </w:r>
            <w:r/>
          </w:p>
        </w:tc>
        <w:tc>
          <w:tcPr>
            <w:tcW w:w="1985"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2032"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90"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89"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121"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r>
      <w:tr>
        <w:trPr>
          <w:cantSplit/>
          <w:trHeight w:val="793"/>
        </w:trPr>
        <w:tc>
          <w:tcPr>
            <w:tcW w:w="817" w:type="dxa"/>
            <w:vAlign w:val="center"/>
            <w:textDirection w:val="lrTb"/>
            <w:noWrap w:val="false"/>
          </w:tcPr>
          <w:p>
            <w:pPr>
              <w:pStyle w:val="96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2</w:t>
            </w:r>
            <w:r/>
          </w:p>
        </w:tc>
        <w:tc>
          <w:tcPr>
            <w:tcW w:w="1985"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2032"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90"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89"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121"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r>
      <w:tr>
        <w:trPr>
          <w:cantSplit/>
          <w:trHeight w:val="793"/>
        </w:trPr>
        <w:tc>
          <w:tcPr>
            <w:tcW w:w="817" w:type="dxa"/>
            <w:vAlign w:val="center"/>
            <w:textDirection w:val="lrTb"/>
            <w:noWrap w:val="false"/>
          </w:tcPr>
          <w:p>
            <w:pPr>
              <w:pStyle w:val="96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3</w:t>
            </w:r>
            <w:r/>
          </w:p>
        </w:tc>
        <w:tc>
          <w:tcPr>
            <w:tcW w:w="1985"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2032"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90"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89"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121"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r>
      <w:tr>
        <w:trPr>
          <w:cantSplit/>
          <w:trHeight w:val="793"/>
        </w:trPr>
        <w:tc>
          <w:tcPr>
            <w:tcW w:w="817" w:type="dxa"/>
            <w:vAlign w:val="center"/>
            <w:textDirection w:val="lrTb"/>
            <w:noWrap w:val="false"/>
          </w:tcPr>
          <w:p>
            <w:pPr>
              <w:pStyle w:val="967"/>
              <w:jc w:val="center"/>
              <w:spacing w:line="360" w:lineRule="auto"/>
              <w:tabs>
                <w:tab w:val="left" w:pos="2940" w:leader="none"/>
              </w:tabs>
              <w:rPr>
                <w:rFonts w:hint="eastAsia" w:ascii="宋体" w:hAnsi="宋体" w:cs="宋体"/>
                <w:szCs w:val="21"/>
              </w:rPr>
            </w:pPr>
            <w:r>
              <w:rPr>
                <w:rFonts w:hint="eastAsia" w:ascii="宋体" w:hAnsi="宋体" w:cs="宋体"/>
                <w:szCs w:val="21"/>
              </w:rPr>
              <w:t xml:space="preserve">…</w:t>
            </w:r>
            <w:r/>
          </w:p>
        </w:tc>
        <w:tc>
          <w:tcPr>
            <w:tcW w:w="1985"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2032"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90"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889"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c>
          <w:tcPr>
            <w:tcW w:w="1121" w:type="dxa"/>
            <w:vAlign w:val="center"/>
            <w:textDirection w:val="lrTb"/>
            <w:noWrap w:val="false"/>
          </w:tcPr>
          <w:p>
            <w:pPr>
              <w:pStyle w:val="967"/>
              <w:jc w:val="left"/>
              <w:spacing w:line="360" w:lineRule="auto"/>
              <w:tabs>
                <w:tab w:val="left" w:pos="2940" w:leader="none"/>
              </w:tabs>
              <w:rPr>
                <w:rFonts w:hint="eastAsia" w:ascii="宋体" w:hAnsi="宋体" w:cs="宋体"/>
                <w:szCs w:val="21"/>
              </w:rPr>
            </w:pPr>
            <w:r>
              <w:rPr>
                <w:rFonts w:hint="eastAsia" w:ascii="宋体" w:hAnsi="宋体" w:cs="宋体"/>
                <w:szCs w:val="21"/>
              </w:rPr>
            </w:r>
            <w:r/>
          </w:p>
        </w:tc>
      </w:tr>
    </w:tbl>
    <w:p>
      <w:pPr>
        <w:pStyle w:val="967"/>
        <w:jc w:val="center"/>
        <w:spacing w:line="400" w:lineRule="exact"/>
        <w:rPr>
          <w:rFonts w:ascii="宋体" w:hAnsi="宋体"/>
          <w:b/>
          <w:bCs/>
          <w:color w:val="000000"/>
          <w:szCs w:val="21"/>
        </w:rPr>
      </w:pPr>
      <w:r>
        <w:rPr>
          <w:rFonts w:ascii="宋体" w:hAnsi="宋体"/>
          <w:b/>
          <w:bCs/>
          <w:color w:val="000000"/>
          <w:szCs w:val="21"/>
        </w:rPr>
      </w:r>
      <w:r/>
    </w:p>
    <w:p>
      <w:pPr>
        <w:pStyle w:val="990"/>
        <w:ind w:firstLine="5040"/>
        <w:spacing w:line="360" w:lineRule="auto"/>
        <w:rPr>
          <w:rFonts w:hint="eastAsia" w:hAnsi="宋体" w:eastAsia="宋体"/>
          <w:sz w:val="21"/>
          <w:szCs w:val="21"/>
        </w:rPr>
      </w:pPr>
      <w:r>
        <w:rPr>
          <w:rFonts w:hint="eastAsia" w:hAnsi="宋体" w:eastAsia="宋体"/>
          <w:sz w:val="21"/>
          <w:szCs w:val="21"/>
        </w:rPr>
      </w:r>
      <w:r/>
    </w:p>
    <w:p>
      <w:pPr>
        <w:pStyle w:val="990"/>
        <w:ind w:firstLine="5040"/>
        <w:jc w:val="right"/>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rPr>
          <w:rFonts w:ascii="宋体" w:eastAsia="宋体"/>
          <w:sz w:val="21"/>
          <w:szCs w:val="21"/>
        </w:rPr>
      </w:r>
      <w:r/>
    </w:p>
    <w:p>
      <w:pPr>
        <w:pStyle w:val="1128"/>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p>
    <w:p>
      <w:pPr>
        <w:pStyle w:val="1128"/>
        <w:ind w:firstLine="5670"/>
        <w:jc w:val="right"/>
        <w:spacing w:line="360" w:lineRule="auto"/>
        <w:rPr>
          <w:rFonts w:hAnsi="宋体" w:eastAsia="宋体"/>
          <w:sz w:val="21"/>
          <w:szCs w:val="21"/>
        </w:rPr>
      </w:pPr>
      <w:r>
        <w:rPr>
          <w:rFonts w:hAnsi="宋体" w:eastAsia="宋体"/>
          <w:sz w:val="21"/>
          <w:szCs w:val="21"/>
        </w:rPr>
        <w:t xml:space="preserve">年     月     日</w:t>
      </w:r>
      <w:r/>
    </w:p>
    <w:p>
      <w:pPr>
        <w:pStyle w:val="969"/>
        <w:spacing w:before="480" w:after="240" w:line="360" w:lineRule="auto"/>
        <w:rPr>
          <w:rFonts w:hint="eastAsia" w:ascii="黑体" w:hAnsi="黑体"/>
          <w:szCs w:val="28"/>
        </w:rPr>
      </w:pPr>
      <w:r>
        <w:rPr>
          <w:rFonts w:hint="eastAsia" w:ascii="黑体" w:hAnsi="黑体"/>
          <w:szCs w:val="28"/>
        </w:rPr>
        <w:t xml:space="preserve">关于资格文件的声明函</w:t>
      </w:r>
      <w:r/>
    </w:p>
    <w:p>
      <w:pPr>
        <w:pStyle w:val="990"/>
        <w:jc w:val="center"/>
        <w:spacing w:line="360" w:lineRule="auto"/>
        <w:rPr>
          <w:rFonts w:hint="eastAsia" w:ascii="宋体" w:eastAsia="宋体"/>
          <w:b/>
          <w:sz w:val="30"/>
          <w:szCs w:val="30"/>
        </w:rPr>
      </w:pPr>
      <w:r>
        <w:rPr>
          <w:rFonts w:hint="eastAsia" w:ascii="宋体" w:eastAsia="宋体"/>
          <w:b/>
          <w:sz w:val="30"/>
          <w:szCs w:val="30"/>
        </w:rPr>
      </w:r>
      <w:r/>
    </w:p>
    <w:p>
      <w:pPr>
        <w:pStyle w:val="990"/>
        <w:ind w:firstLine="0"/>
        <w:spacing w:line="360" w:lineRule="auto"/>
        <w:rPr>
          <w:rFonts w:ascii="宋体" w:eastAsia="宋体"/>
          <w:b/>
          <w:sz w:val="21"/>
          <w:szCs w:val="21"/>
        </w:rPr>
      </w:pPr>
      <w:r>
        <w:rPr>
          <w:rFonts w:hint="eastAsia" w:ascii="宋体" w:hAnsi="宋体" w:eastAsia="宋体"/>
          <w:sz w:val="21"/>
          <w:szCs w:val="21"/>
        </w:rPr>
        <w:t xml:space="preserve">___________________(采购人名称）、江苏正华新工程咨询有限公司：</w:t>
      </w:r>
      <w:r>
        <w:rPr>
          <w:rFonts w:ascii="宋体" w:eastAsia="宋体"/>
          <w:b/>
          <w:sz w:val="21"/>
          <w:szCs w:val="21"/>
        </w:rPr>
      </w:r>
      <w:r/>
    </w:p>
    <w:p>
      <w:pPr>
        <w:pStyle w:val="990"/>
        <w:spacing w:line="360" w:lineRule="auto"/>
        <w:rPr>
          <w:rFonts w:ascii="宋体" w:eastAsia="宋体"/>
          <w:sz w:val="21"/>
          <w:szCs w:val="21"/>
        </w:rPr>
      </w:pPr>
      <w:r>
        <w:rPr>
          <w:rFonts w:hint="eastAsia" w:ascii="宋体" w:hAnsi="宋体" w:eastAsia="宋体"/>
          <w:sz w:val="21"/>
          <w:szCs w:val="21"/>
        </w:rPr>
        <w:t xml:space="preserve">本公司愿就由贵公司组织实施的编号</w:t>
      </w:r>
      <w:r>
        <w:rPr>
          <w:rFonts w:hint="eastAsia" w:ascii="宋体" w:hAnsi="宋体" w:eastAsia="宋体"/>
          <w:color w:val="000000"/>
          <w:sz w:val="21"/>
          <w:szCs w:val="21"/>
        </w:rPr>
        <w:t xml:space="preserve">为</w:t>
      </w:r>
      <w:r>
        <w:rPr>
          <w:rFonts w:hint="eastAsia" w:eastAsia="宋体"/>
          <w:color w:val="000000"/>
          <w:sz w:val="21"/>
          <w:szCs w:val="21"/>
        </w:rPr>
        <w:t xml:space="preserve">JSZC-320583-SZZH-G2026-0005</w:t>
      </w:r>
      <w:r>
        <w:rPr>
          <w:rFonts w:hint="eastAsia" w:ascii="宋体" w:hAnsi="宋体" w:eastAsia="宋体"/>
          <w:color w:val="000000"/>
          <w:sz w:val="21"/>
          <w:szCs w:val="21"/>
        </w:rPr>
        <w:t xml:space="preserve">号的招标</w:t>
      </w:r>
      <w:r>
        <w:rPr>
          <w:rFonts w:hint="eastAsia" w:ascii="宋体" w:hAnsi="宋体" w:eastAsia="宋体"/>
          <w:sz w:val="21"/>
          <w:szCs w:val="21"/>
        </w:rPr>
        <w:t xml:space="preserve">活动进行投标。本公司所提交的投标文件中所有关于投标资格的文件、证明和陈述均是真实的、准确的。若与真实情况不符，本公司愿意承担由此而产生的一切后果。</w:t>
      </w:r>
      <w:r>
        <w:rPr>
          <w:rFonts w:ascii="宋体" w:eastAsia="宋体"/>
          <w:sz w:val="21"/>
          <w:szCs w:val="21"/>
        </w:rPr>
      </w:r>
      <w:r/>
    </w:p>
    <w:p>
      <w:pPr>
        <w:pStyle w:val="990"/>
        <w:ind w:firstLine="0"/>
        <w:spacing w:line="360" w:lineRule="auto"/>
        <w:rPr>
          <w:rFonts w:hint="eastAsia" w:ascii="宋体" w:eastAsia="宋体"/>
          <w:sz w:val="21"/>
          <w:szCs w:val="21"/>
        </w:rPr>
      </w:pPr>
      <w:r>
        <w:rPr>
          <w:rFonts w:hint="eastAsia" w:ascii="宋体" w:eastAsia="宋体"/>
          <w:sz w:val="21"/>
          <w:szCs w:val="21"/>
        </w:rPr>
      </w:r>
      <w:r/>
    </w:p>
    <w:p>
      <w:pPr>
        <w:pStyle w:val="990"/>
        <w:ind w:firstLine="5040"/>
        <w:jc w:val="right"/>
        <w:spacing w:line="360" w:lineRule="auto"/>
        <w:rPr>
          <w:rFonts w:ascii="宋体" w:eastAsia="宋体"/>
          <w:sz w:val="21"/>
          <w:szCs w:val="21"/>
        </w:rPr>
      </w:pPr>
      <w:r>
        <w:rPr>
          <w:rFonts w:hAnsi="宋体" w:eastAsia="宋体"/>
          <w:sz w:val="21"/>
          <w:szCs w:val="21"/>
        </w:rPr>
        <w:t xml:space="preserve">                                                  投标人</w:t>
      </w:r>
      <w:r>
        <w:rPr>
          <w:rFonts w:hint="eastAsia" w:hAnsi="宋体" w:eastAsia="宋体"/>
          <w:sz w:val="21"/>
          <w:szCs w:val="21"/>
        </w:rPr>
        <w:t xml:space="preserve">：（单位盖章）</w:t>
      </w:r>
      <w:r>
        <w:rPr>
          <w:rFonts w:ascii="宋体" w:eastAsia="宋体"/>
          <w:sz w:val="21"/>
          <w:szCs w:val="21"/>
        </w:rPr>
      </w:r>
      <w:r/>
    </w:p>
    <w:p>
      <w:pPr>
        <w:pStyle w:val="1128"/>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p>
    <w:p>
      <w:pPr>
        <w:pStyle w:val="1128"/>
        <w:ind w:firstLine="5670"/>
        <w:jc w:val="right"/>
        <w:spacing w:line="360" w:lineRule="auto"/>
        <w:rPr>
          <w:rFonts w:hAnsi="宋体" w:eastAsia="宋体"/>
          <w:sz w:val="21"/>
          <w:szCs w:val="21"/>
        </w:rPr>
      </w:pPr>
      <w:r>
        <w:rPr>
          <w:rFonts w:hAnsi="宋体" w:eastAsia="宋体"/>
          <w:sz w:val="21"/>
          <w:szCs w:val="21"/>
        </w:rPr>
        <w:t xml:space="preserve">年     月     日</w:t>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90"/>
        <w:ind w:firstLine="0"/>
        <w:rPr>
          <w:rFonts w:hint="eastAsia" w:ascii="黑体" w:hAnsi="黑体" w:eastAsia="黑体"/>
          <w:sz w:val="28"/>
          <w:szCs w:val="28"/>
        </w:rPr>
      </w:pPr>
      <w:r>
        <w:rPr>
          <w:rFonts w:hint="eastAsia" w:ascii="宋体" w:hAnsi="宋体" w:eastAsia="宋体"/>
          <w:b/>
          <w:sz w:val="21"/>
          <w:szCs w:val="21"/>
        </w:rPr>
        <w:t xml:space="preserve"> </w:t>
      </w:r>
      <w:r>
        <w:rPr>
          <w:rFonts w:hint="eastAsia" w:ascii="黑体" w:hAnsi="黑体" w:eastAsia="黑体"/>
          <w:sz w:val="28"/>
          <w:szCs w:val="28"/>
        </w:rPr>
        <w:t xml:space="preserve">投标单位情况表</w:t>
      </w:r>
      <w:r/>
    </w:p>
    <w:p>
      <w:pPr>
        <w:pStyle w:val="990"/>
        <w:rPr>
          <w:rFonts w:ascii="宋体" w:eastAsia="宋体"/>
          <w:b/>
          <w:sz w:val="30"/>
          <w:szCs w:val="30"/>
        </w:rPr>
      </w:pPr>
      <w:r>
        <w:rPr>
          <w:rFonts w:ascii="宋体" w:eastAsia="宋体"/>
          <w:b/>
          <w:sz w:val="30"/>
          <w:szCs w:val="30"/>
        </w:rPr>
      </w:r>
      <w:r/>
    </w:p>
    <w:p>
      <w:pPr>
        <w:pStyle w:val="990"/>
        <w:rPr>
          <w:rFonts w:hint="eastAsia" w:ascii="宋体" w:hAnsi="宋体" w:eastAsia="宋体"/>
          <w:sz w:val="21"/>
          <w:szCs w:val="21"/>
        </w:rPr>
      </w:pPr>
      <w:r>
        <w:rPr>
          <w:rFonts w:hint="eastAsia" w:ascii="宋体" w:hAnsi="宋体" w:eastAsia="宋体"/>
          <w:sz w:val="21"/>
          <w:szCs w:val="21"/>
        </w:rPr>
        <w:t xml:space="preserve">单位名称（盖章）</w:t>
      </w:r>
      <w:r/>
    </w:p>
    <w:p>
      <w:pPr>
        <w:pStyle w:val="990"/>
        <w:rPr>
          <w:rFonts w:ascii="宋体" w:eastAsia="宋体"/>
          <w:sz w:val="21"/>
          <w:szCs w:val="21"/>
        </w:rPr>
      </w:pPr>
      <w:r>
        <w:rPr>
          <w:rFonts w:ascii="宋体" w:eastAsia="宋体"/>
          <w:sz w:val="21"/>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tcPr>
          <w:p>
            <w:pPr>
              <w:pStyle w:val="967"/>
              <w:jc w:val="center"/>
              <w:spacing w:line="300" w:lineRule="auto"/>
              <w:rPr>
                <w:rFonts w:ascii="宋体" w:hAnsi="宋体"/>
                <w:szCs w:val="21"/>
              </w:rPr>
            </w:pPr>
            <w:r/>
            <w:bookmarkStart w:id="44" w:name="_Ref497310705"/>
            <w:r>
              <w:rPr>
                <w:rFonts w:ascii="宋体" w:hAnsi="宋体"/>
                <w:szCs w:val="21"/>
              </w:rPr>
              <w:t xml:space="preserve">1</w:t>
            </w:r>
            <w:r/>
          </w:p>
        </w:tc>
        <w:tc>
          <w:tcPr>
            <w:gridSpan w:val="2"/>
            <w:tcBorders>
              <w:right w:val="single" w:color="000000" w:sz="4" w:space="0"/>
            </w:tcBorders>
            <w:tcW w:w="1564" w:type="dxa"/>
            <w:vAlign w:val="center"/>
            <w:textDirection w:val="lrTb"/>
            <w:noWrap/>
          </w:tcPr>
          <w:p>
            <w:pPr>
              <w:pStyle w:val="967"/>
              <w:jc w:val="center"/>
              <w:spacing w:line="300" w:lineRule="auto"/>
              <w:rPr>
                <w:rFonts w:ascii="宋体" w:hAnsi="宋体"/>
                <w:szCs w:val="21"/>
              </w:rPr>
            </w:pPr>
            <w:r>
              <w:rPr>
                <w:rFonts w:ascii="宋体" w:hAnsi="宋体"/>
                <w:szCs w:val="21"/>
              </w:rPr>
              <w:t xml:space="preserve">法定代表人</w:t>
            </w:r>
            <w:r/>
          </w:p>
        </w:tc>
        <w:tc>
          <w:tcPr>
            <w:gridSpan w:val="3"/>
            <w:tcBorders>
              <w:left w:val="single" w:color="000000" w:sz="4" w:space="0"/>
            </w:tcBorders>
            <w:tcW w:w="2784" w:type="dxa"/>
            <w:vAlign w:val="center"/>
            <w:textDirection w:val="lrTb"/>
            <w:noWrap/>
          </w:tcPr>
          <w:p>
            <w:pPr>
              <w:pStyle w:val="967"/>
              <w:jc w:val="center"/>
              <w:spacing w:line="300" w:lineRule="auto"/>
              <w:rPr>
                <w:rFonts w:ascii="宋体" w:hAnsi="宋体"/>
                <w:szCs w:val="21"/>
              </w:rPr>
            </w:pPr>
            <w:r>
              <w:rPr>
                <w:rFonts w:ascii="宋体" w:hAnsi="宋体"/>
                <w:szCs w:val="21"/>
              </w:rPr>
            </w:r>
            <w:r/>
          </w:p>
        </w:tc>
        <w:tc>
          <w:tcPr>
            <w:gridSpan w:val="2"/>
            <w:tcW w:w="1580" w:type="dxa"/>
            <w:vAlign w:val="center"/>
            <w:textDirection w:val="lrTb"/>
            <w:noWrap/>
          </w:tcPr>
          <w:p>
            <w:pPr>
              <w:pStyle w:val="967"/>
              <w:spacing w:line="300" w:lineRule="auto"/>
              <w:rPr>
                <w:rFonts w:ascii="宋体" w:hAnsi="宋体"/>
                <w:szCs w:val="21"/>
              </w:rPr>
            </w:pPr>
            <w:r>
              <w:rPr>
                <w:rFonts w:ascii="宋体" w:hAnsi="宋体"/>
                <w:szCs w:val="21"/>
              </w:rPr>
              <w:t xml:space="preserve">公司成立日期</w:t>
            </w:r>
            <w:r/>
          </w:p>
        </w:tc>
        <w:tc>
          <w:tcPr>
            <w:gridSpan w:val="2"/>
            <w:tcW w:w="2764" w:type="dxa"/>
            <w:vAlign w:val="center"/>
            <w:textDirection w:val="lrTb"/>
            <w:noWrap/>
          </w:tcPr>
          <w:p>
            <w:pPr>
              <w:pStyle w:val="967"/>
              <w:jc w:val="center"/>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967"/>
              <w:jc w:val="center"/>
              <w:spacing w:line="300" w:lineRule="auto"/>
              <w:rPr>
                <w:rFonts w:ascii="宋体" w:hAnsi="宋体"/>
                <w:szCs w:val="21"/>
              </w:rPr>
            </w:pPr>
            <w:r>
              <w:rPr>
                <w:rFonts w:ascii="宋体" w:hAnsi="宋体"/>
                <w:szCs w:val="21"/>
              </w:rPr>
              <w:t xml:space="preserve">2</w:t>
            </w:r>
            <w:r/>
          </w:p>
        </w:tc>
        <w:tc>
          <w:tcPr>
            <w:gridSpan w:val="2"/>
            <w:tcBorders>
              <w:right w:val="single" w:color="000000" w:sz="4" w:space="0"/>
            </w:tcBorders>
            <w:tcW w:w="1564" w:type="dxa"/>
            <w:vAlign w:val="center"/>
            <w:textDirection w:val="lrTb"/>
            <w:noWrap/>
          </w:tcPr>
          <w:p>
            <w:pPr>
              <w:pStyle w:val="967"/>
              <w:jc w:val="center"/>
              <w:spacing w:line="300" w:lineRule="auto"/>
              <w:rPr>
                <w:rFonts w:ascii="宋体" w:hAnsi="宋体"/>
                <w:szCs w:val="21"/>
              </w:rPr>
            </w:pPr>
            <w:r>
              <w:rPr>
                <w:rFonts w:ascii="宋体" w:hAnsi="宋体"/>
                <w:szCs w:val="21"/>
              </w:rPr>
              <w:t xml:space="preserve">总部地址</w:t>
            </w:r>
            <w:r/>
          </w:p>
        </w:tc>
        <w:tc>
          <w:tcPr>
            <w:gridSpan w:val="7"/>
            <w:tcBorders>
              <w:left w:val="single" w:color="000000" w:sz="4" w:space="0"/>
            </w:tcBorders>
            <w:tcW w:w="7128" w:type="dxa"/>
            <w:vAlign w:val="center"/>
            <w:textDirection w:val="lrTb"/>
            <w:noWrap/>
          </w:tcPr>
          <w:p>
            <w:pPr>
              <w:pStyle w:val="967"/>
              <w:jc w:val="center"/>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967"/>
              <w:jc w:val="center"/>
              <w:spacing w:line="300" w:lineRule="auto"/>
              <w:rPr>
                <w:rFonts w:ascii="宋体" w:hAnsi="宋体"/>
                <w:szCs w:val="21"/>
              </w:rPr>
            </w:pPr>
            <w:r>
              <w:rPr>
                <w:rFonts w:ascii="宋体" w:hAnsi="宋体"/>
                <w:szCs w:val="21"/>
              </w:rPr>
              <w:t xml:space="preserve">3</w:t>
            </w:r>
            <w:r/>
          </w:p>
        </w:tc>
        <w:tc>
          <w:tcPr>
            <w:gridSpan w:val="2"/>
            <w:tcBorders>
              <w:right w:val="single" w:color="000000" w:sz="4" w:space="0"/>
            </w:tcBorders>
            <w:tcW w:w="1564" w:type="dxa"/>
            <w:vAlign w:val="center"/>
            <w:textDirection w:val="lrTb"/>
            <w:noWrap/>
          </w:tcPr>
          <w:p>
            <w:pPr>
              <w:pStyle w:val="967"/>
              <w:spacing w:line="300" w:lineRule="auto"/>
              <w:rPr>
                <w:rFonts w:ascii="宋体" w:hAnsi="宋体"/>
                <w:szCs w:val="21"/>
              </w:rPr>
            </w:pPr>
            <w:r>
              <w:rPr>
                <w:rFonts w:ascii="宋体" w:hAnsi="宋体"/>
                <w:szCs w:val="21"/>
              </w:rPr>
              <w:t xml:space="preserve">本地办事处地址</w:t>
            </w:r>
            <w:r/>
          </w:p>
        </w:tc>
        <w:tc>
          <w:tcPr>
            <w:gridSpan w:val="7"/>
            <w:tcBorders>
              <w:left w:val="single" w:color="000000" w:sz="4" w:space="0"/>
            </w:tcBorders>
            <w:tcW w:w="7128" w:type="dxa"/>
            <w:vAlign w:val="center"/>
            <w:textDirection w:val="lrTb"/>
            <w:noWrap/>
          </w:tcPr>
          <w:p>
            <w:pPr>
              <w:pStyle w:val="967"/>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967"/>
              <w:jc w:val="center"/>
              <w:spacing w:line="300" w:lineRule="auto"/>
              <w:rPr>
                <w:rFonts w:ascii="宋体" w:hAnsi="宋体"/>
                <w:szCs w:val="21"/>
              </w:rPr>
            </w:pPr>
            <w:r>
              <w:rPr>
                <w:rFonts w:ascii="宋体" w:hAnsi="宋体"/>
                <w:szCs w:val="21"/>
              </w:rPr>
              <w:t xml:space="preserve">4</w:t>
            </w:r>
            <w:r/>
          </w:p>
        </w:tc>
        <w:tc>
          <w:tcPr>
            <w:tcBorders>
              <w:right w:val="single" w:color="000000" w:sz="4" w:space="0"/>
            </w:tcBorders>
            <w:tcW w:w="1088" w:type="dxa"/>
            <w:vAlign w:val="center"/>
            <w:textDirection w:val="lrTb"/>
            <w:noWrap/>
          </w:tcPr>
          <w:p>
            <w:pPr>
              <w:pStyle w:val="967"/>
              <w:jc w:val="center"/>
              <w:spacing w:line="300" w:lineRule="auto"/>
              <w:rPr>
                <w:rFonts w:ascii="宋体" w:hAnsi="宋体"/>
                <w:szCs w:val="21"/>
              </w:rPr>
            </w:pPr>
            <w:r>
              <w:rPr>
                <w:rFonts w:ascii="宋体" w:hAnsi="宋体"/>
                <w:szCs w:val="21"/>
              </w:rPr>
              <w:t xml:space="preserve">电话</w:t>
            </w:r>
            <w:r/>
          </w:p>
        </w:tc>
        <w:tc>
          <w:tcPr>
            <w:gridSpan w:val="3"/>
            <w:tcBorders>
              <w:left w:val="single" w:color="000000" w:sz="4" w:space="0"/>
            </w:tcBorders>
            <w:tcW w:w="2773" w:type="dxa"/>
            <w:vAlign w:val="center"/>
            <w:textDirection w:val="lrTb"/>
            <w:noWrap/>
          </w:tcPr>
          <w:p>
            <w:pPr>
              <w:pStyle w:val="967"/>
              <w:spacing w:line="300" w:lineRule="auto"/>
              <w:rPr>
                <w:rFonts w:ascii="宋体" w:hAnsi="宋体"/>
                <w:szCs w:val="21"/>
              </w:rPr>
            </w:pPr>
            <w:r>
              <w:rPr>
                <w:rFonts w:ascii="宋体" w:hAnsi="宋体"/>
                <w:szCs w:val="21"/>
              </w:rPr>
            </w:r>
            <w:r/>
          </w:p>
        </w:tc>
        <w:tc>
          <w:tcPr>
            <w:gridSpan w:val="2"/>
            <w:tcBorders>
              <w:right w:val="single" w:color="000000" w:sz="4" w:space="0"/>
            </w:tcBorders>
            <w:tcW w:w="1289" w:type="dxa"/>
            <w:vAlign w:val="center"/>
            <w:textDirection w:val="lrTb"/>
            <w:noWrap/>
          </w:tcPr>
          <w:p>
            <w:pPr>
              <w:pStyle w:val="967"/>
              <w:jc w:val="center"/>
              <w:spacing w:line="300" w:lineRule="auto"/>
              <w:rPr>
                <w:rFonts w:ascii="宋体" w:hAnsi="宋体"/>
                <w:szCs w:val="21"/>
              </w:rPr>
            </w:pPr>
            <w:r>
              <w:rPr>
                <w:rFonts w:ascii="宋体" w:hAnsi="宋体"/>
                <w:szCs w:val="21"/>
              </w:rPr>
              <w:t xml:space="preserve">联系人</w:t>
            </w:r>
            <w:r/>
          </w:p>
        </w:tc>
        <w:tc>
          <w:tcPr>
            <w:gridSpan w:val="3"/>
            <w:tcBorders>
              <w:left w:val="single" w:color="000000" w:sz="4" w:space="0"/>
            </w:tcBorders>
            <w:tcW w:w="3542" w:type="dxa"/>
            <w:vAlign w:val="center"/>
            <w:textDirection w:val="lrTb"/>
            <w:noWrap/>
          </w:tcPr>
          <w:p>
            <w:pPr>
              <w:pStyle w:val="967"/>
              <w:spacing w:line="300" w:lineRule="auto"/>
              <w:rPr>
                <w:rFonts w:ascii="宋体" w:hAnsi="宋体"/>
                <w:szCs w:val="21"/>
              </w:rPr>
            </w:pPr>
            <w:r>
              <w:rPr>
                <w:rFonts w:ascii="宋体" w:hAnsi="宋体"/>
                <w:szCs w:val="21"/>
              </w:rPr>
            </w:r>
            <w:r/>
          </w:p>
        </w:tc>
      </w:tr>
      <w:tr>
        <w:trPr>
          <w:trHeight w:val="625"/>
        </w:trPr>
        <w:tc>
          <w:tcPr>
            <w:tcW w:w="650" w:type="dxa"/>
            <w:vAlign w:val="center"/>
            <w:textDirection w:val="lrTb"/>
            <w:noWrap/>
          </w:tcPr>
          <w:p>
            <w:pPr>
              <w:pStyle w:val="967"/>
              <w:jc w:val="center"/>
              <w:spacing w:line="300" w:lineRule="auto"/>
              <w:rPr>
                <w:rFonts w:ascii="宋体" w:hAnsi="宋体"/>
                <w:szCs w:val="21"/>
              </w:rPr>
            </w:pPr>
            <w:r>
              <w:rPr>
                <w:rFonts w:ascii="宋体" w:hAnsi="宋体"/>
                <w:szCs w:val="21"/>
              </w:rPr>
              <w:t xml:space="preserve">5</w:t>
            </w:r>
            <w:r/>
          </w:p>
        </w:tc>
        <w:tc>
          <w:tcPr>
            <w:tcBorders>
              <w:right w:val="single" w:color="000000" w:sz="4" w:space="0"/>
            </w:tcBorders>
            <w:tcW w:w="1088" w:type="dxa"/>
            <w:vAlign w:val="center"/>
            <w:textDirection w:val="lrTb"/>
            <w:noWrap/>
          </w:tcPr>
          <w:p>
            <w:pPr>
              <w:pStyle w:val="967"/>
              <w:jc w:val="center"/>
              <w:spacing w:line="300" w:lineRule="auto"/>
              <w:rPr>
                <w:rFonts w:ascii="宋体" w:hAnsi="宋体"/>
                <w:szCs w:val="21"/>
              </w:rPr>
            </w:pPr>
            <w:r>
              <w:rPr>
                <w:rFonts w:ascii="宋体" w:hAnsi="宋体"/>
                <w:szCs w:val="21"/>
              </w:rPr>
              <w:t xml:space="preserve">传真</w:t>
            </w:r>
            <w:r/>
          </w:p>
        </w:tc>
        <w:tc>
          <w:tcPr>
            <w:gridSpan w:val="3"/>
            <w:tcBorders>
              <w:left w:val="single" w:color="000000" w:sz="4" w:space="0"/>
            </w:tcBorders>
            <w:tcW w:w="2773" w:type="dxa"/>
            <w:vAlign w:val="center"/>
            <w:textDirection w:val="lrTb"/>
            <w:noWrap/>
          </w:tcPr>
          <w:p>
            <w:pPr>
              <w:pStyle w:val="967"/>
              <w:spacing w:line="300" w:lineRule="auto"/>
              <w:rPr>
                <w:rFonts w:ascii="宋体" w:hAnsi="宋体"/>
                <w:szCs w:val="21"/>
              </w:rPr>
            </w:pPr>
            <w:r>
              <w:rPr>
                <w:rFonts w:ascii="宋体" w:hAnsi="宋体"/>
                <w:szCs w:val="21"/>
              </w:rPr>
            </w:r>
            <w:r/>
          </w:p>
        </w:tc>
        <w:tc>
          <w:tcPr>
            <w:gridSpan w:val="2"/>
            <w:tcBorders>
              <w:right w:val="single" w:color="000000" w:sz="4" w:space="0"/>
            </w:tcBorders>
            <w:tcW w:w="1289" w:type="dxa"/>
            <w:vAlign w:val="center"/>
            <w:textDirection w:val="lrTb"/>
            <w:noWrap/>
          </w:tcPr>
          <w:p>
            <w:pPr>
              <w:pStyle w:val="967"/>
              <w:jc w:val="center"/>
              <w:spacing w:line="300" w:lineRule="auto"/>
              <w:rPr>
                <w:rFonts w:ascii="宋体" w:hAnsi="宋体"/>
                <w:szCs w:val="21"/>
              </w:rPr>
            </w:pPr>
            <w:r>
              <w:rPr>
                <w:rFonts w:ascii="宋体" w:hAnsi="宋体"/>
                <w:szCs w:val="21"/>
              </w:rPr>
              <w:t xml:space="preserve">电子邮箱</w:t>
            </w:r>
            <w:r/>
          </w:p>
        </w:tc>
        <w:tc>
          <w:tcPr>
            <w:gridSpan w:val="3"/>
            <w:tcBorders>
              <w:left w:val="single" w:color="000000" w:sz="4" w:space="0"/>
            </w:tcBorders>
            <w:tcW w:w="3542" w:type="dxa"/>
            <w:vAlign w:val="center"/>
            <w:textDirection w:val="lrTb"/>
            <w:noWrap/>
          </w:tcPr>
          <w:p>
            <w:pPr>
              <w:pStyle w:val="967"/>
              <w:spacing w:line="300" w:lineRule="auto"/>
              <w:rPr>
                <w:rFonts w:ascii="宋体" w:hAnsi="宋体"/>
                <w:b/>
                <w:sz w:val="18"/>
                <w:szCs w:val="18"/>
              </w:rPr>
            </w:pPr>
            <w:r>
              <w:rPr>
                <w:rFonts w:ascii="宋体" w:hAnsi="宋体"/>
                <w:b/>
                <w:sz w:val="18"/>
                <w:szCs w:val="18"/>
              </w:rPr>
            </w:r>
            <w:r/>
          </w:p>
        </w:tc>
      </w:tr>
      <w:tr>
        <w:trPr>
          <w:trHeight w:val="645"/>
        </w:trPr>
        <w:tc>
          <w:tcPr>
            <w:tcW w:w="650" w:type="dxa"/>
            <w:vAlign w:val="center"/>
            <w:textDirection w:val="lrTb"/>
            <w:noWrap/>
          </w:tcPr>
          <w:p>
            <w:pPr>
              <w:pStyle w:val="967"/>
              <w:jc w:val="center"/>
              <w:spacing w:line="300" w:lineRule="auto"/>
              <w:rPr>
                <w:rFonts w:ascii="宋体" w:hAnsi="宋体"/>
                <w:szCs w:val="21"/>
              </w:rPr>
            </w:pPr>
            <w:r>
              <w:rPr>
                <w:rFonts w:ascii="宋体" w:hAnsi="宋体"/>
                <w:szCs w:val="21"/>
              </w:rPr>
              <w:t xml:space="preserve">6</w:t>
            </w:r>
            <w:r/>
          </w:p>
        </w:tc>
        <w:tc>
          <w:tcPr>
            <w:tcBorders>
              <w:right w:val="single" w:color="000000" w:sz="4" w:space="0"/>
            </w:tcBorders>
            <w:tcW w:w="1088" w:type="dxa"/>
            <w:vAlign w:val="center"/>
            <w:textDirection w:val="lrTb"/>
            <w:noWrap/>
          </w:tcPr>
          <w:p>
            <w:pPr>
              <w:pStyle w:val="967"/>
              <w:rPr>
                <w:rFonts w:ascii="宋体" w:hAnsi="宋体"/>
                <w:szCs w:val="20"/>
              </w:rPr>
            </w:pPr>
            <w:r>
              <w:rPr>
                <w:rFonts w:ascii="宋体" w:hAnsi="宋体"/>
                <w:szCs w:val="20"/>
              </w:rPr>
              <w:t xml:space="preserve">单位从业人员数量</w:t>
            </w:r>
            <w:r/>
          </w:p>
        </w:tc>
        <w:tc>
          <w:tcPr>
            <w:gridSpan w:val="3"/>
            <w:tcBorders>
              <w:left w:val="single" w:color="000000" w:sz="4" w:space="0"/>
            </w:tcBorders>
            <w:tcW w:w="2773" w:type="dxa"/>
            <w:vAlign w:val="center"/>
            <w:textDirection w:val="lrTb"/>
            <w:noWrap/>
          </w:tcPr>
          <w:p>
            <w:pPr>
              <w:pStyle w:val="967"/>
              <w:ind w:firstLine="2160"/>
              <w:spacing w:line="300" w:lineRule="auto"/>
              <w:rPr>
                <w:rFonts w:ascii="宋体" w:hAnsi="宋体"/>
                <w:szCs w:val="21"/>
              </w:rPr>
            </w:pPr>
            <w:r>
              <w:rPr>
                <w:rFonts w:ascii="宋体" w:hAnsi="宋体"/>
                <w:szCs w:val="21"/>
              </w:rPr>
              <w:t xml:space="preserve">人</w:t>
            </w:r>
            <w:r/>
          </w:p>
        </w:tc>
        <w:tc>
          <w:tcPr>
            <w:gridSpan w:val="4"/>
            <w:tcBorders>
              <w:right w:val="single" w:color="000000" w:sz="4" w:space="0"/>
            </w:tcBorders>
            <w:tcW w:w="2701" w:type="dxa"/>
            <w:vAlign w:val="center"/>
            <w:textDirection w:val="lrTb"/>
            <w:noWrap/>
          </w:tcPr>
          <w:p>
            <w:pPr>
              <w:pStyle w:val="967"/>
              <w:spacing w:line="300" w:lineRule="auto"/>
              <w:rPr>
                <w:rFonts w:ascii="宋体" w:hAnsi="宋体"/>
                <w:szCs w:val="21"/>
              </w:rPr>
            </w:pPr>
            <w:r>
              <w:rPr>
                <w:rFonts w:ascii="宋体" w:hAnsi="宋体"/>
                <w:szCs w:val="21"/>
              </w:rPr>
              <w:t xml:space="preserve">单位202</w:t>
            </w:r>
            <w:r>
              <w:rPr>
                <w:rFonts w:hint="eastAsia" w:ascii="宋体" w:hAnsi="宋体"/>
                <w:szCs w:val="21"/>
              </w:rPr>
              <w:t xml:space="preserve">5</w:t>
            </w:r>
            <w:r>
              <w:rPr>
                <w:rFonts w:ascii="宋体" w:hAnsi="宋体"/>
                <w:szCs w:val="21"/>
              </w:rPr>
              <w:t xml:space="preserve">年总营业收入</w:t>
            </w:r>
            <w:r/>
          </w:p>
        </w:tc>
        <w:tc>
          <w:tcPr>
            <w:tcBorders>
              <w:left w:val="single" w:color="000000" w:sz="4" w:space="0"/>
            </w:tcBorders>
            <w:tcW w:w="2130" w:type="dxa"/>
            <w:vAlign w:val="center"/>
            <w:textDirection w:val="lrTb"/>
            <w:noWrap/>
          </w:tcPr>
          <w:p>
            <w:pPr>
              <w:pStyle w:val="967"/>
              <w:ind w:firstLine="1470"/>
              <w:spacing w:line="300" w:lineRule="auto"/>
              <w:rPr>
                <w:rFonts w:ascii="宋体" w:hAnsi="宋体"/>
                <w:szCs w:val="21"/>
              </w:rPr>
            </w:pPr>
            <w:r>
              <w:rPr>
                <w:rFonts w:ascii="宋体" w:hAnsi="宋体"/>
                <w:szCs w:val="21"/>
              </w:rPr>
              <w:t xml:space="preserve">万元</w:t>
            </w:r>
            <w:r/>
          </w:p>
        </w:tc>
      </w:tr>
      <w:tr>
        <w:trPr>
          <w:trHeight w:val="645"/>
        </w:trPr>
        <w:tc>
          <w:tcPr>
            <w:tcW w:w="650" w:type="dxa"/>
            <w:vAlign w:val="center"/>
            <w:textDirection w:val="lrTb"/>
            <w:noWrap/>
          </w:tcPr>
          <w:p>
            <w:pPr>
              <w:pStyle w:val="967"/>
              <w:jc w:val="center"/>
              <w:spacing w:line="300" w:lineRule="auto"/>
              <w:rPr>
                <w:rFonts w:ascii="宋体" w:hAnsi="宋体"/>
                <w:szCs w:val="21"/>
              </w:rPr>
            </w:pPr>
            <w:r>
              <w:rPr>
                <w:rFonts w:hint="eastAsia" w:ascii="宋体" w:hAnsi="宋体"/>
                <w:szCs w:val="21"/>
              </w:rPr>
              <w:t xml:space="preserve">7</w:t>
            </w:r>
            <w:r>
              <w:rPr>
                <w:rFonts w:ascii="宋体" w:hAnsi="宋体"/>
                <w:szCs w:val="21"/>
              </w:rPr>
            </w:r>
            <w:r/>
          </w:p>
        </w:tc>
        <w:tc>
          <w:tcPr>
            <w:tcBorders>
              <w:right w:val="single" w:color="000000" w:sz="4" w:space="0"/>
            </w:tcBorders>
            <w:tcW w:w="1088" w:type="dxa"/>
            <w:vAlign w:val="center"/>
            <w:textDirection w:val="lrTb"/>
            <w:noWrap/>
          </w:tcPr>
          <w:p>
            <w:pPr>
              <w:pStyle w:val="967"/>
              <w:rPr>
                <w:rFonts w:ascii="宋体" w:hAnsi="宋体"/>
                <w:szCs w:val="20"/>
              </w:rPr>
            </w:pPr>
            <w:r>
              <w:rPr>
                <w:rFonts w:hint="eastAsia" w:ascii="宋体" w:hAnsi="宋体"/>
                <w:szCs w:val="20"/>
              </w:rPr>
              <w:t xml:space="preserve">企业规模</w:t>
            </w:r>
            <w:r>
              <w:rPr>
                <w:rFonts w:ascii="宋体" w:hAnsi="宋体"/>
                <w:szCs w:val="20"/>
              </w:rPr>
            </w:r>
            <w:r/>
          </w:p>
        </w:tc>
        <w:tc>
          <w:tcPr>
            <w:gridSpan w:val="8"/>
            <w:tcBorders>
              <w:left w:val="single" w:color="000000" w:sz="4" w:space="0"/>
            </w:tcBorders>
            <w:tcW w:w="7604" w:type="dxa"/>
            <w:vAlign w:val="center"/>
            <w:textDirection w:val="lrTb"/>
            <w:noWrap/>
          </w:tcPr>
          <w:p>
            <w:pPr>
              <w:pStyle w:val="967"/>
              <w:jc w:val="center"/>
              <w:spacing w:line="300" w:lineRule="auto"/>
              <w:rPr>
                <w:rFonts w:ascii="宋体" w:hAnsi="宋体"/>
                <w:szCs w:val="21"/>
              </w:rPr>
            </w:pPr>
            <w:r>
              <w:rPr>
                <w:rFonts w:hint="eastAsia" w:ascii="宋体" w:hAnsi="宋体"/>
                <w:szCs w:val="21"/>
              </w:rPr>
              <w:t xml:space="preserve">□大型 □中型 □小型 □微型</w:t>
            </w:r>
            <w:r>
              <w:rPr>
                <w:rFonts w:ascii="宋体" w:hAnsi="宋体"/>
                <w:szCs w:val="21"/>
              </w:rPr>
            </w:r>
            <w:r/>
          </w:p>
        </w:tc>
      </w:tr>
      <w:tr>
        <w:trPr>
          <w:trHeight w:val="1767"/>
        </w:trPr>
        <w:tc>
          <w:tcPr>
            <w:tcW w:w="650" w:type="dxa"/>
            <w:vAlign w:val="center"/>
            <w:textDirection w:val="lrTb"/>
            <w:noWrap/>
          </w:tcPr>
          <w:p>
            <w:pPr>
              <w:pStyle w:val="967"/>
              <w:jc w:val="center"/>
              <w:spacing w:line="300" w:lineRule="auto"/>
              <w:rPr>
                <w:rFonts w:ascii="宋体" w:hAnsi="宋体"/>
                <w:szCs w:val="21"/>
              </w:rPr>
            </w:pPr>
            <w:r>
              <w:rPr>
                <w:rFonts w:ascii="宋体" w:hAnsi="宋体"/>
                <w:szCs w:val="21"/>
              </w:rPr>
              <w:t xml:space="preserve">8</w:t>
            </w:r>
            <w:r/>
          </w:p>
        </w:tc>
        <w:tc>
          <w:tcPr>
            <w:gridSpan w:val="9"/>
            <w:tcW w:w="8692" w:type="dxa"/>
            <w:vAlign w:val="center"/>
            <w:textDirection w:val="lrTb"/>
            <w:noWrap/>
          </w:tcPr>
          <w:p>
            <w:pPr>
              <w:pStyle w:val="967"/>
              <w:spacing w:line="300" w:lineRule="auto"/>
              <w:rPr>
                <w:rFonts w:ascii="宋体" w:hAnsi="宋体"/>
                <w:szCs w:val="21"/>
              </w:rPr>
            </w:pPr>
            <w:r>
              <w:rPr>
                <w:rFonts w:ascii="宋体" w:hAnsi="宋体"/>
                <w:szCs w:val="21"/>
              </w:rPr>
              <w:t xml:space="preserve">主营范围</w:t>
            </w:r>
            <w:r/>
          </w:p>
          <w:p>
            <w:pPr>
              <w:pStyle w:val="967"/>
              <w:spacing w:line="300" w:lineRule="auto"/>
              <w:rPr>
                <w:rFonts w:ascii="宋体" w:hAnsi="宋体"/>
                <w:szCs w:val="21"/>
              </w:rPr>
            </w:pPr>
            <w:r>
              <w:rPr>
                <w:rFonts w:ascii="宋体" w:hAnsi="宋体"/>
                <w:szCs w:val="21"/>
              </w:rPr>
              <w:t xml:space="preserve">1._____________________________________</w:t>
            </w:r>
            <w:r/>
          </w:p>
          <w:p>
            <w:pPr>
              <w:pStyle w:val="967"/>
              <w:spacing w:line="300" w:lineRule="auto"/>
              <w:rPr>
                <w:rFonts w:ascii="宋体" w:hAnsi="宋体"/>
                <w:szCs w:val="21"/>
              </w:rPr>
            </w:pPr>
            <w:r>
              <w:rPr>
                <w:rFonts w:ascii="宋体" w:hAnsi="宋体"/>
                <w:szCs w:val="21"/>
              </w:rPr>
              <w:t xml:space="preserve">2._____________________________________</w:t>
            </w:r>
            <w:r/>
          </w:p>
          <w:p>
            <w:pPr>
              <w:pStyle w:val="967"/>
              <w:spacing w:line="300" w:lineRule="auto"/>
              <w:rPr>
                <w:rFonts w:ascii="宋体" w:hAnsi="宋体"/>
                <w:szCs w:val="21"/>
              </w:rPr>
            </w:pPr>
            <w:r>
              <w:rPr>
                <w:rFonts w:ascii="宋体" w:hAnsi="宋体"/>
                <w:szCs w:val="21"/>
              </w:rPr>
              <w:t xml:space="preserve">3._____________________________________</w:t>
            </w:r>
            <w:r/>
          </w:p>
        </w:tc>
      </w:tr>
      <w:tr>
        <w:trPr>
          <w:trHeight w:val="1548"/>
        </w:trPr>
        <w:tc>
          <w:tcPr>
            <w:tcW w:w="650" w:type="dxa"/>
            <w:vAlign w:val="center"/>
            <w:textDirection w:val="lrTb"/>
            <w:noWrap/>
          </w:tcPr>
          <w:p>
            <w:pPr>
              <w:pStyle w:val="967"/>
              <w:jc w:val="center"/>
              <w:spacing w:line="300" w:lineRule="auto"/>
              <w:rPr>
                <w:rFonts w:ascii="宋体" w:hAnsi="宋体"/>
                <w:szCs w:val="21"/>
              </w:rPr>
            </w:pPr>
            <w:r>
              <w:rPr>
                <w:rFonts w:ascii="宋体" w:hAnsi="宋体"/>
                <w:szCs w:val="21"/>
              </w:rPr>
              <w:t xml:space="preserve">9</w:t>
            </w:r>
            <w:r/>
          </w:p>
        </w:tc>
        <w:tc>
          <w:tcPr>
            <w:gridSpan w:val="3"/>
            <w:tcW w:w="2445" w:type="dxa"/>
            <w:vAlign w:val="center"/>
            <w:textDirection w:val="lrTb"/>
            <w:noWrap/>
          </w:tcPr>
          <w:p>
            <w:pPr>
              <w:pStyle w:val="967"/>
              <w:spacing w:line="300" w:lineRule="auto"/>
              <w:rPr>
                <w:rFonts w:ascii="宋体" w:hAnsi="宋体"/>
                <w:szCs w:val="21"/>
              </w:rPr>
            </w:pPr>
            <w:r>
              <w:rPr>
                <w:rFonts w:ascii="宋体" w:hAnsi="宋体"/>
                <w:szCs w:val="21"/>
              </w:rPr>
              <w:t xml:space="preserve">最近3年内在经营过程中受到何种奖励或处分</w:t>
            </w:r>
            <w:r/>
          </w:p>
        </w:tc>
        <w:tc>
          <w:tcPr>
            <w:gridSpan w:val="6"/>
            <w:tcW w:w="6247" w:type="dxa"/>
            <w:vAlign w:val="top"/>
            <w:textDirection w:val="lrTb"/>
            <w:noWrap/>
          </w:tcPr>
          <w:p>
            <w:pPr>
              <w:pStyle w:val="967"/>
              <w:spacing w:line="300" w:lineRule="auto"/>
              <w:rPr>
                <w:rFonts w:ascii="宋体" w:hAnsi="宋体"/>
                <w:szCs w:val="21"/>
              </w:rPr>
            </w:pPr>
            <w:r>
              <w:rPr>
                <w:rFonts w:ascii="宋体" w:hAnsi="宋体"/>
                <w:szCs w:val="21"/>
              </w:rPr>
            </w:r>
            <w:r/>
          </w:p>
        </w:tc>
      </w:tr>
      <w:tr>
        <w:trPr>
          <w:trHeight w:val="618"/>
        </w:trPr>
        <w:tc>
          <w:tcPr>
            <w:tcW w:w="650" w:type="dxa"/>
            <w:vAlign w:val="center"/>
            <w:textDirection w:val="lrTb"/>
            <w:noWrap/>
          </w:tcPr>
          <w:p>
            <w:pPr>
              <w:pStyle w:val="967"/>
              <w:jc w:val="center"/>
              <w:spacing w:line="300" w:lineRule="auto"/>
              <w:rPr>
                <w:rFonts w:ascii="宋体" w:hAnsi="宋体"/>
                <w:szCs w:val="21"/>
              </w:rPr>
            </w:pPr>
            <w:r>
              <w:rPr>
                <w:rFonts w:ascii="宋体" w:hAnsi="宋体"/>
                <w:szCs w:val="21"/>
              </w:rPr>
              <w:t xml:space="preserve">10</w:t>
            </w:r>
            <w:r/>
          </w:p>
        </w:tc>
        <w:tc>
          <w:tcPr>
            <w:gridSpan w:val="3"/>
            <w:tcW w:w="2445" w:type="dxa"/>
            <w:vAlign w:val="top"/>
            <w:textDirection w:val="lrTb"/>
            <w:noWrap/>
          </w:tcPr>
          <w:p>
            <w:pPr>
              <w:pStyle w:val="967"/>
              <w:spacing w:line="300" w:lineRule="auto"/>
              <w:rPr>
                <w:rFonts w:ascii="宋体" w:hAnsi="宋体"/>
                <w:szCs w:val="21"/>
              </w:rPr>
            </w:pPr>
            <w:r>
              <w:rPr>
                <w:rFonts w:ascii="宋体" w:hAnsi="宋体"/>
                <w:szCs w:val="21"/>
              </w:rPr>
              <w:t xml:space="preserve">最近3年内有无因售假、售劣或是其他原因被消费者投诉或起诉的情况及说明</w:t>
            </w:r>
            <w:r/>
          </w:p>
        </w:tc>
        <w:tc>
          <w:tcPr>
            <w:gridSpan w:val="6"/>
            <w:tcW w:w="6247" w:type="dxa"/>
            <w:vAlign w:val="top"/>
            <w:textDirection w:val="lrTb"/>
            <w:noWrap/>
          </w:tcPr>
          <w:p>
            <w:pPr>
              <w:pStyle w:val="967"/>
              <w:spacing w:line="300" w:lineRule="auto"/>
              <w:rPr>
                <w:rFonts w:ascii="宋体" w:hAnsi="宋体"/>
                <w:szCs w:val="21"/>
              </w:rPr>
            </w:pPr>
            <w:r>
              <w:rPr>
                <w:rFonts w:ascii="宋体" w:hAnsi="宋体"/>
                <w:szCs w:val="21"/>
              </w:rPr>
            </w:r>
            <w:r/>
          </w:p>
        </w:tc>
      </w:tr>
      <w:tr>
        <w:trPr>
          <w:trHeight w:val="1392"/>
        </w:trPr>
        <w:tc>
          <w:tcPr>
            <w:tcW w:w="650" w:type="dxa"/>
            <w:vAlign w:val="center"/>
            <w:textDirection w:val="lrTb"/>
            <w:noWrap/>
          </w:tcPr>
          <w:p>
            <w:pPr>
              <w:pStyle w:val="967"/>
              <w:jc w:val="center"/>
              <w:spacing w:line="300" w:lineRule="auto"/>
              <w:rPr>
                <w:rFonts w:ascii="宋体" w:hAnsi="宋体"/>
                <w:szCs w:val="21"/>
              </w:rPr>
            </w:pPr>
            <w:r>
              <w:rPr>
                <w:rFonts w:ascii="宋体" w:hAnsi="宋体"/>
                <w:szCs w:val="21"/>
              </w:rPr>
              <w:t xml:space="preserve">11</w:t>
            </w:r>
            <w:r/>
          </w:p>
        </w:tc>
        <w:tc>
          <w:tcPr>
            <w:gridSpan w:val="9"/>
            <w:tcW w:w="8692" w:type="dxa"/>
            <w:vAlign w:val="center"/>
            <w:textDirection w:val="lrTb"/>
            <w:noWrap/>
          </w:tcPr>
          <w:p>
            <w:pPr>
              <w:pStyle w:val="967"/>
              <w:spacing w:line="300" w:lineRule="auto"/>
              <w:rPr>
                <w:rFonts w:ascii="宋体" w:hAnsi="宋体"/>
                <w:szCs w:val="21"/>
              </w:rPr>
            </w:pPr>
            <w:r>
              <w:rPr>
                <w:rFonts w:ascii="宋体" w:hAnsi="宋体"/>
                <w:szCs w:val="21"/>
              </w:rPr>
              <w:t xml:space="preserve">其他需要说明的情况</w:t>
            </w:r>
            <w:r/>
          </w:p>
        </w:tc>
      </w:tr>
    </w:tbl>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7"/>
        <w:spacing w:line="360" w:lineRule="auto"/>
        <w:rPr>
          <w:rFonts w:ascii="宋体" w:hAnsi="宋体"/>
          <w:szCs w:val="21"/>
        </w:rPr>
      </w:pPr>
      <w:r>
        <w:rPr>
          <w:rFonts w:ascii="宋体" w:hAnsi="宋体"/>
          <w:szCs w:val="21"/>
        </w:rPr>
      </w:r>
      <w:r/>
    </w:p>
    <w:p>
      <w:pPr>
        <w:pStyle w:val="967"/>
        <w:jc w:val="left"/>
        <w:spacing w:line="360" w:lineRule="auto"/>
        <w:rPr>
          <w:rFonts w:hint="eastAsia" w:ascii="宋体" w:hAnsi="宋体"/>
          <w:b/>
          <w:sz w:val="24"/>
        </w:rPr>
      </w:pPr>
      <w:r>
        <w:rPr>
          <w:rFonts w:hint="eastAsia" w:ascii="宋体" w:hAnsi="宋体"/>
          <w:b/>
          <w:sz w:val="24"/>
        </w:rPr>
        <w:t xml:space="preserve">无重大违法记录声明</w:t>
      </w:r>
      <w:r/>
    </w:p>
    <w:p>
      <w:pPr>
        <w:pStyle w:val="967"/>
        <w:jc w:val="left"/>
        <w:spacing w:line="360" w:lineRule="auto"/>
        <w:rPr>
          <w:rFonts w:hint="eastAsia" w:ascii="宋体" w:hAnsi="宋体"/>
          <w:b/>
          <w:sz w:val="24"/>
        </w:rPr>
      </w:pPr>
      <w:r>
        <w:rPr>
          <w:rFonts w:hint="eastAsia" w:ascii="宋体" w:hAnsi="宋体"/>
          <w:b/>
          <w:sz w:val="24"/>
        </w:rPr>
      </w:r>
      <w:r/>
    </w:p>
    <w:p>
      <w:pPr>
        <w:pStyle w:val="967"/>
        <w:spacing w:line="360" w:lineRule="auto"/>
        <w:rPr>
          <w:rFonts w:hint="eastAsia" w:ascii="宋体" w:hAnsi="宋体"/>
        </w:rPr>
      </w:pPr>
      <w:r>
        <w:rPr>
          <w:rFonts w:hint="eastAsia" w:ascii="宋体" w:hAnsi="宋体"/>
        </w:rPr>
        <w:t xml:space="preserve">致：___________________________(采购人名称）：</w:t>
      </w:r>
      <w:r/>
    </w:p>
    <w:p>
      <w:pPr>
        <w:pStyle w:val="967"/>
        <w:spacing w:line="360" w:lineRule="auto"/>
        <w:rPr>
          <w:rFonts w:hint="eastAsia" w:ascii="宋体" w:hAnsi="宋体"/>
        </w:rPr>
      </w:pPr>
      <w:r>
        <w:rPr>
          <w:rFonts w:hint="eastAsia" w:ascii="宋体" w:hAnsi="宋体"/>
          <w:szCs w:val="21"/>
        </w:rPr>
        <w:t xml:space="preserve">    我单位</w:t>
      </w:r>
      <w:r>
        <w:rPr>
          <w:rFonts w:hint="eastAsia" w:ascii="宋体" w:hAnsi="宋体"/>
          <w:szCs w:val="21"/>
          <w:u w:val="single"/>
        </w:rPr>
        <w:t xml:space="preserve">   （供应商名称）         </w:t>
      </w:r>
      <w:r>
        <w:rPr>
          <w:rFonts w:hint="eastAsia" w:ascii="宋体" w:hAnsi="宋体"/>
          <w:szCs w:val="21"/>
        </w:rPr>
        <w:t xml:space="preserve">郑重声明：</w:t>
      </w:r>
      <w:r>
        <w:rPr>
          <w:rFonts w:hint="eastAsia" w:ascii="宋体" w:hAnsi="宋体"/>
        </w:rPr>
      </w:r>
      <w:r/>
    </w:p>
    <w:p>
      <w:pPr>
        <w:pStyle w:val="967"/>
        <w:spacing w:line="360" w:lineRule="auto"/>
        <w:rPr>
          <w:rFonts w:hint="eastAsia" w:ascii="宋体" w:hAnsi="宋体"/>
          <w:szCs w:val="21"/>
        </w:rPr>
      </w:pPr>
      <w:r>
        <w:rPr>
          <w:rFonts w:hint="eastAsia" w:ascii="宋体" w:hAnsi="宋体"/>
          <w:szCs w:val="21"/>
        </w:rPr>
        <w:t xml:space="preserve">    参加政府采购活动前3年内在经营活动中</w:t>
      </w:r>
      <w:r>
        <w:rPr>
          <w:rFonts w:hint="eastAsia" w:ascii="宋体" w:hAnsi="宋体"/>
          <w:szCs w:val="21"/>
          <w:u w:val="single"/>
        </w:rPr>
        <w:t xml:space="preserve">        （在下划线上如实填写：有或没有）</w:t>
      </w:r>
      <w:r>
        <w:rPr>
          <w:rFonts w:hint="eastAsia" w:ascii="宋体" w:hAnsi="宋体"/>
          <w:szCs w:val="21"/>
        </w:rPr>
        <w:t xml:space="preserve">重大违法记录。</w:t>
      </w:r>
      <w:r/>
    </w:p>
    <w:p>
      <w:pPr>
        <w:pStyle w:val="967"/>
        <w:spacing w:line="360" w:lineRule="auto"/>
        <w:rPr>
          <w:rFonts w:hint="eastAsia" w:ascii="宋体" w:hAnsi="宋体"/>
          <w:szCs w:val="21"/>
        </w:rPr>
      </w:pPr>
      <w:r>
        <w:rPr>
          <w:rFonts w:hint="eastAsia" w:ascii="宋体" w:hAnsi="宋体"/>
          <w:szCs w:val="21"/>
        </w:rPr>
        <w:t xml:space="preserve">    （说明：政府采购法第二十二条第一款第五项所称重大违法记录，是指供应商因违法经营受到刑事处罚或者责令停产停业、吊销许可证或者执照、较大数额罚款等行政处罚。）</w:t>
      </w:r>
      <w:r/>
    </w:p>
    <w:p>
      <w:pPr>
        <w:pStyle w:val="967"/>
        <w:jc w:val="right"/>
        <w:spacing w:line="360" w:lineRule="auto"/>
        <w:rPr>
          <w:rFonts w:hint="eastAsia" w:ascii="宋体" w:hAnsi="宋体"/>
          <w:szCs w:val="21"/>
        </w:rPr>
      </w:pPr>
      <w:r>
        <w:rPr>
          <w:rFonts w:hint="eastAsia" w:ascii="宋体" w:hAnsi="宋体"/>
          <w:szCs w:val="21"/>
        </w:rPr>
        <w:t xml:space="preserve">                     </w:t>
      </w:r>
      <w:r/>
    </w:p>
    <w:p>
      <w:pPr>
        <w:pStyle w:val="990"/>
        <w:ind w:firstLine="5040"/>
        <w:jc w:val="right"/>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rPr>
          <w:rFonts w:ascii="宋体" w:eastAsia="宋体"/>
          <w:sz w:val="21"/>
          <w:szCs w:val="21"/>
        </w:rPr>
      </w:r>
      <w:r/>
    </w:p>
    <w:p>
      <w:pPr>
        <w:pStyle w:val="1128"/>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p>
    <w:p>
      <w:pPr>
        <w:pStyle w:val="1128"/>
        <w:ind w:firstLine="5670"/>
        <w:jc w:val="right"/>
        <w:spacing w:line="360" w:lineRule="auto"/>
        <w:rPr>
          <w:rFonts w:hAnsi="宋体" w:eastAsia="宋体"/>
          <w:sz w:val="21"/>
          <w:szCs w:val="21"/>
        </w:rPr>
      </w:pPr>
      <w:r>
        <w:rPr>
          <w:rFonts w:hAnsi="宋体" w:eastAsia="宋体"/>
          <w:sz w:val="21"/>
          <w:szCs w:val="21"/>
        </w:rPr>
        <w:t xml:space="preserve">年     月     日</w:t>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90"/>
        <w:ind w:firstLine="0"/>
        <w:rPr>
          <w:rFonts w:hint="eastAsia" w:ascii="宋体" w:hAnsi="宋体" w:eastAsia="宋体"/>
          <w:b/>
          <w:color w:val="000000"/>
          <w:sz w:val="21"/>
          <w:szCs w:val="21"/>
        </w:rPr>
      </w:pPr>
      <w:r>
        <w:rPr>
          <w:rFonts w:ascii="宋体" w:hAnsi="宋体" w:eastAsia="宋体"/>
          <w:b/>
          <w:color w:val="000000"/>
          <w:sz w:val="21"/>
          <w:szCs w:val="21"/>
        </w:rPr>
        <w:t xml:space="preserve">中小企业声明函</w:t>
      </w:r>
      <w:r>
        <w:rPr>
          <w:rFonts w:hint="eastAsia" w:ascii="宋体" w:hAnsi="宋体" w:eastAsia="宋体"/>
          <w:b/>
          <w:color w:val="000000"/>
          <w:sz w:val="21"/>
          <w:szCs w:val="21"/>
        </w:rPr>
      </w:r>
      <w:r/>
    </w:p>
    <w:p>
      <w:pPr>
        <w:pStyle w:val="990"/>
        <w:ind w:firstLine="0"/>
        <w:rPr>
          <w:rFonts w:ascii="宋体" w:hAnsi="宋体" w:eastAsia="宋体"/>
          <w:b/>
          <w:sz w:val="21"/>
          <w:szCs w:val="21"/>
          <w:highlight w:val="yellow"/>
        </w:rPr>
      </w:pPr>
      <w:r>
        <w:rPr>
          <w:rFonts w:ascii="宋体" w:hAnsi="宋体" w:eastAsia="宋体"/>
          <w:b/>
          <w:sz w:val="21"/>
          <w:szCs w:val="21"/>
          <w:highlight w:val="yellow"/>
        </w:rPr>
      </w:r>
      <w:r/>
    </w:p>
    <w:p>
      <w:pPr>
        <w:pStyle w:val="967"/>
        <w:spacing w:line="360" w:lineRule="auto"/>
        <w:rPr>
          <w:color w:val="000000"/>
          <w:sz w:val="36"/>
          <w:szCs w:val="36"/>
        </w:rPr>
      </w:pPr>
      <w:r>
        <w:rPr>
          <w:rFonts w:hint="eastAsia" w:ascii="宋体" w:hAnsi="宋体"/>
          <w:color w:val="000000"/>
        </w:rPr>
        <w:t xml:space="preserve">致：____________________(采购人名称）</w:t>
      </w:r>
      <w:r>
        <w:rPr>
          <w:color w:val="000000"/>
          <w:sz w:val="36"/>
          <w:szCs w:val="36"/>
        </w:rPr>
      </w:r>
      <w:r/>
    </w:p>
    <w:p>
      <w:pPr>
        <w:pStyle w:val="967"/>
        <w:rPr>
          <w:rFonts w:hint="eastAsia" w:ascii="Tahoma" w:hAnsi="Tahoma"/>
          <w:sz w:val="24"/>
        </w:rPr>
      </w:pPr>
      <w:r>
        <w:rPr>
          <w:rFonts w:hint="eastAsia" w:ascii="Tahoma" w:hAnsi="Tahoma"/>
          <w:sz w:val="24"/>
        </w:rPr>
      </w:r>
      <w:r/>
    </w:p>
    <w:p>
      <w:pPr>
        <w:pStyle w:val="1157"/>
        <w:ind w:left="-210" w:right="-210" w:firstLine="425"/>
        <w:jc w:val="center"/>
        <w:spacing w:line="360" w:lineRule="auto"/>
        <w:rPr>
          <w:rFonts w:hAnsi="宋体" w:eastAsia="宋体"/>
          <w:sz w:val="21"/>
          <w:szCs w:val="21"/>
        </w:rPr>
      </w:pPr>
      <w:r/>
      <w:bookmarkEnd w:id="44"/>
      <w:r>
        <w:rPr>
          <w:rFonts w:hAnsi="宋体" w:eastAsia="宋体"/>
          <w:color w:val="000000"/>
          <w:sz w:val="21"/>
          <w:szCs w:val="21"/>
        </w:rPr>
        <w:t xml:space="preserve">  </w:t>
      </w:r>
      <w:r>
        <w:rPr>
          <w:rFonts w:hAnsi="宋体" w:eastAsia="宋体"/>
          <w:sz w:val="21"/>
          <w:szCs w:val="21"/>
        </w:rPr>
        <w:t xml:space="preserve">中小企业声明函（服务）</w:t>
      </w:r>
      <w:r/>
    </w:p>
    <w:p>
      <w:pPr>
        <w:pStyle w:val="1157"/>
        <w:ind w:left="-210" w:right="-210" w:firstLine="425"/>
        <w:spacing w:line="360" w:lineRule="auto"/>
        <w:rPr>
          <w:rFonts w:hAnsi="宋体" w:eastAsia="宋体"/>
          <w:sz w:val="21"/>
          <w:szCs w:val="21"/>
        </w:rPr>
      </w:pPr>
      <w:r>
        <w:rPr>
          <w:rFonts w:hAnsi="宋体" w:eastAsia="宋体"/>
          <w:sz w:val="21"/>
          <w:szCs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pStyle w:val="1157"/>
        <w:ind w:left="-210" w:right="-210" w:firstLine="425"/>
        <w:spacing w:line="360" w:lineRule="auto"/>
        <w:rPr>
          <w:rFonts w:hAnsi="宋体" w:eastAsia="宋体"/>
          <w:sz w:val="21"/>
          <w:szCs w:val="21"/>
        </w:rPr>
      </w:pPr>
      <w:r>
        <w:rPr>
          <w:rFonts w:hAnsi="宋体" w:eastAsia="宋体"/>
          <w:sz w:val="21"/>
          <w:szCs w:val="21"/>
        </w:rPr>
        <w:t xml:space="preserve">1.（标的名称），属于（采购文件中明确的所属行业）；承建（承接）企业为（企业名称），从业人员    人，营业收入为    万元，资产总额为    万元，属于（中型企业、小型企业、微型企业）；</w:t>
      </w:r>
      <w:r/>
    </w:p>
    <w:p>
      <w:pPr>
        <w:pStyle w:val="1157"/>
        <w:ind w:left="-210" w:right="-210" w:firstLine="425"/>
        <w:spacing w:line="360" w:lineRule="auto"/>
        <w:rPr>
          <w:rFonts w:hAnsi="宋体" w:eastAsia="宋体"/>
          <w:sz w:val="21"/>
          <w:szCs w:val="21"/>
        </w:rPr>
      </w:pPr>
      <w:r>
        <w:rPr>
          <w:rFonts w:hAnsi="宋体" w:eastAsia="宋体"/>
          <w:sz w:val="21"/>
          <w:szCs w:val="21"/>
        </w:rPr>
        <w:t xml:space="preserve">2.（标的名称），属于（采购文件中明确的所属行业）；承建（承接）企业为（企业名称），从业人员    人，营业收入为    万元，资产总额为    万元，属于（中型企业、小型企业、微型企业）；</w:t>
      </w:r>
      <w:r/>
    </w:p>
    <w:p>
      <w:pPr>
        <w:pStyle w:val="1157"/>
        <w:ind w:left="-210" w:right="-210" w:firstLine="425"/>
        <w:spacing w:line="360" w:lineRule="auto"/>
        <w:rPr>
          <w:rFonts w:hAnsi="宋体" w:eastAsia="宋体"/>
          <w:sz w:val="21"/>
          <w:szCs w:val="21"/>
        </w:rPr>
      </w:pPr>
      <w:r>
        <w:rPr>
          <w:rFonts w:hAnsi="宋体" w:eastAsia="宋体"/>
          <w:sz w:val="21"/>
          <w:szCs w:val="21"/>
        </w:rPr>
        <w:t xml:space="preserve">…… </w:t>
      </w:r>
      <w:r/>
    </w:p>
    <w:p>
      <w:pPr>
        <w:pStyle w:val="1157"/>
        <w:ind w:left="-210" w:right="-210" w:firstLine="425"/>
        <w:spacing w:line="360" w:lineRule="auto"/>
        <w:rPr>
          <w:rFonts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1157"/>
        <w:ind w:left="-210" w:right="-210" w:firstLine="425"/>
        <w:spacing w:line="360" w:lineRule="auto"/>
        <w:rPr>
          <w:rFonts w:hAnsi="宋体" w:eastAsia="宋体"/>
          <w:sz w:val="21"/>
          <w:szCs w:val="21"/>
        </w:rPr>
      </w:pPr>
      <w:r>
        <w:rPr>
          <w:rFonts w:hAnsi="宋体" w:eastAsia="宋体"/>
          <w:sz w:val="21"/>
          <w:szCs w:val="21"/>
        </w:rPr>
        <w:t xml:space="preserve">本企业对上述声明内容的真实性负责。如有虚假，将依法承担相应责任。</w:t>
      </w:r>
      <w:r/>
    </w:p>
    <w:p>
      <w:pPr>
        <w:pStyle w:val="1157"/>
        <w:ind w:left="-210" w:right="-210" w:firstLine="425"/>
        <w:spacing w:line="360" w:lineRule="auto"/>
        <w:rPr>
          <w:rFonts w:hAnsi="宋体" w:eastAsia="宋体"/>
          <w:sz w:val="21"/>
          <w:szCs w:val="21"/>
        </w:rPr>
      </w:pPr>
      <w:r>
        <w:rPr>
          <w:rFonts w:hAnsi="宋体" w:eastAsia="宋体"/>
          <w:sz w:val="21"/>
          <w:szCs w:val="21"/>
        </w:rPr>
      </w:r>
      <w:r/>
    </w:p>
    <w:p>
      <w:pPr>
        <w:pStyle w:val="1157"/>
        <w:ind w:left="-210" w:right="-210" w:firstLine="425"/>
        <w:spacing w:line="360" w:lineRule="auto"/>
        <w:rPr>
          <w:rFonts w:hAnsi="宋体" w:eastAsia="宋体"/>
          <w:sz w:val="21"/>
          <w:szCs w:val="21"/>
        </w:rPr>
      </w:pPr>
      <w:r>
        <w:rPr>
          <w:rFonts w:hAnsi="宋体" w:eastAsia="宋体"/>
          <w:sz w:val="21"/>
          <w:szCs w:val="21"/>
        </w:rPr>
        <w:t xml:space="preserve">注：1.从业人员、营业收入、资产总额填报上一年度数据，无上一年度数据的新成立企业可不填报。</w:t>
      </w:r>
      <w:r/>
    </w:p>
    <w:p>
      <w:pPr>
        <w:pStyle w:val="1157"/>
        <w:ind w:left="-210" w:right="-210" w:firstLine="425"/>
        <w:spacing w:line="360" w:lineRule="auto"/>
        <w:rPr>
          <w:rFonts w:hAnsi="宋体" w:eastAsia="宋体"/>
          <w:color w:val="000000"/>
          <w:sz w:val="21"/>
          <w:szCs w:val="21"/>
        </w:rPr>
      </w:pPr>
      <w:r>
        <w:rPr>
          <w:rFonts w:hAnsi="宋体"/>
          <w:b/>
          <w:color w:val="000000"/>
          <w:szCs w:val="21"/>
        </w:rPr>
        <w:t xml:space="preserve">  </w:t>
      </w:r>
      <w:r>
        <w:rPr>
          <w:rFonts w:hAnsi="宋体" w:eastAsia="宋体"/>
          <w:color w:val="000000"/>
          <w:sz w:val="21"/>
          <w:szCs w:val="21"/>
        </w:rPr>
        <w:t xml:space="preserve"> 2. 本项目服务所属行业为</w:t>
      </w:r>
      <w:r>
        <w:rPr>
          <w:rFonts w:hAnsi="宋体" w:eastAsia="宋体"/>
          <w:b/>
          <w:bCs/>
          <w:color w:val="000000"/>
          <w:sz w:val="21"/>
          <w:szCs w:val="21"/>
        </w:rPr>
        <w:t xml:space="preserve">租赁和商务服务业</w:t>
      </w:r>
      <w:r>
        <w:rPr>
          <w:rFonts w:hAnsi="宋体" w:eastAsia="宋体"/>
          <w:color w:val="000000"/>
          <w:sz w:val="21"/>
          <w:szCs w:val="21"/>
        </w:rPr>
        <w:t xml:space="preserve">，中小微企业划分标准请根据《中小企业划型标准规定》（工信部联企业﹝2011﹞300号文）。</w:t>
      </w:r>
      <w:r/>
    </w:p>
    <w:p>
      <w:pPr>
        <w:pStyle w:val="1157"/>
        <w:ind w:left="-210" w:right="-210" w:firstLine="425"/>
        <w:spacing w:line="360" w:lineRule="auto"/>
        <w:rPr>
          <w:rFonts w:hAnsi="宋体" w:eastAsia="宋体"/>
          <w:color w:val="000000"/>
          <w:sz w:val="21"/>
          <w:szCs w:val="21"/>
        </w:rPr>
      </w:pPr>
      <w:r>
        <w:rPr>
          <w:rFonts w:hAnsi="宋体" w:eastAsia="宋体"/>
          <w:color w:val="000000"/>
          <w:sz w:val="21"/>
          <w:szCs w:val="21"/>
        </w:rPr>
      </w:r>
      <w:r/>
    </w:p>
    <w:p>
      <w:pPr>
        <w:pStyle w:val="1157"/>
        <w:ind w:left="-210" w:right="-210" w:firstLine="425"/>
        <w:spacing w:line="360" w:lineRule="auto"/>
        <w:rPr>
          <w:rFonts w:hAnsi="宋体" w:eastAsia="宋体"/>
          <w:color w:val="000000"/>
          <w:sz w:val="21"/>
          <w:szCs w:val="21"/>
        </w:rPr>
      </w:pPr>
      <w:r>
        <w:rPr>
          <w:rFonts w:hAnsi="宋体" w:eastAsia="宋体"/>
          <w:color w:val="000000"/>
          <w:sz w:val="21"/>
          <w:szCs w:val="21"/>
        </w:rPr>
      </w:r>
      <w:r/>
    </w:p>
    <w:p>
      <w:pPr>
        <w:pStyle w:val="1128"/>
        <w:spacing w:line="360" w:lineRule="auto"/>
        <w:rPr>
          <w:rFonts w:ascii="Tahoma" w:hAnsi="宋体" w:eastAsia="宋体"/>
          <w:color w:val="000000"/>
          <w:sz w:val="21"/>
          <w:szCs w:val="21"/>
        </w:rPr>
      </w:pPr>
      <w:r>
        <w:rPr>
          <w:rFonts w:ascii="Tahoma" w:hAnsi="宋体" w:eastAsia="宋体"/>
          <w:color w:val="000000"/>
          <w:sz w:val="21"/>
          <w:szCs w:val="21"/>
        </w:rPr>
        <w:t xml:space="preserve">                                                             企业名称（盖章）：</w:t>
      </w:r>
      <w:r/>
    </w:p>
    <w:p>
      <w:pPr>
        <w:pStyle w:val="1128"/>
        <w:spacing w:line="360" w:lineRule="auto"/>
        <w:rPr>
          <w:rFonts w:ascii="Tahoma" w:hAnsi="宋体" w:eastAsia="宋体"/>
          <w:color w:val="000000"/>
          <w:sz w:val="21"/>
          <w:szCs w:val="21"/>
        </w:rPr>
      </w:pPr>
      <w:r>
        <w:rPr>
          <w:rFonts w:ascii="Tahoma" w:hAnsi="宋体" w:eastAsia="宋体"/>
          <w:color w:val="000000"/>
          <w:sz w:val="21"/>
          <w:szCs w:val="21"/>
        </w:rPr>
        <w:t xml:space="preserve">                                                             日 期：</w:t>
      </w:r>
      <w:r/>
    </w:p>
    <w:p>
      <w:pPr>
        <w:pStyle w:val="1128"/>
        <w:jc w:val="left"/>
        <w:spacing w:line="360" w:lineRule="auto"/>
        <w:rPr>
          <w:rFonts w:ascii="Tahoma" w:hAnsi="宋体" w:eastAsia="宋体"/>
          <w:color w:val="000000"/>
          <w:sz w:val="21"/>
          <w:szCs w:val="21"/>
        </w:rPr>
      </w:pPr>
      <w:r>
        <w:rPr>
          <w:rFonts w:ascii="Tahoma" w:hAnsi="宋体" w:eastAsia="宋体"/>
          <w:color w:val="000000"/>
          <w:sz w:val="21"/>
          <w:szCs w:val="21"/>
        </w:rPr>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附：中小企业划型标准规定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（十四）物业管理。从业人员1000人以下或营业收入5000万元以下的为中小微型企业。其中，从业人员</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57"/>
        <w:ind w:left="-210" w:right="-210" w:firstLine="425"/>
        <w:jc w:val="left"/>
        <w:spacing w:line="360" w:lineRule="auto"/>
        <w:rPr>
          <w:rFonts w:hAnsi="宋体" w:eastAsia="宋体"/>
          <w:color w:val="000000"/>
          <w:sz w:val="21"/>
          <w:szCs w:val="21"/>
        </w:rPr>
      </w:pPr>
      <w:r>
        <w:rPr>
          <w:rFonts w:hAnsi="宋体" w:eastAsia="宋体"/>
          <w:color w:val="000000"/>
          <w:sz w:val="21"/>
          <w:szCs w:val="21"/>
        </w:rPr>
        <w:t xml:space="preserve">（十六）其他未列明行业。从业人员300人以下的为中小微型企业。其中，从业人员100人及以上的为中型企业；从业人员10人及以上的为小型企业；从业人员10人以下的为微型企业。   </w:t>
      </w:r>
      <w:r/>
    </w:p>
    <w:p>
      <w:pPr>
        <w:pStyle w:val="967"/>
        <w:rPr>
          <w:rFonts w:ascii="Tahoma" w:hAnsi="Tahoma"/>
          <w:sz w:val="24"/>
        </w:rPr>
      </w:pPr>
      <w:r>
        <w:rPr>
          <w:rFonts w:ascii="Tahoma" w:hAnsi="Tahoma"/>
          <w:sz w:val="24"/>
        </w:rPr>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7"/>
        <w:rPr>
          <w:rFonts w:ascii="Tahoma" w:hAnsi="Tahoma"/>
          <w:sz w:val="24"/>
        </w:rPr>
      </w:pPr>
      <w:r>
        <w:rPr>
          <w:rFonts w:ascii="Tahoma" w:hAnsi="Tahoma"/>
          <w:sz w:val="24"/>
        </w:rPr>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7"/>
        <w:spacing w:line="400" w:lineRule="exact"/>
        <w:rPr>
          <w:rFonts w:hint="eastAsia" w:ascii="宋体" w:hAnsi="宋体"/>
          <w:b/>
        </w:rPr>
      </w:pPr>
      <w:r>
        <w:rPr>
          <w:rFonts w:hint="eastAsia" w:ascii="宋体" w:hAnsi="宋体"/>
          <w:b/>
        </w:rPr>
        <w:t xml:space="preserve">残疾人福利性单位声明函</w:t>
      </w:r>
      <w:r/>
    </w:p>
    <w:p>
      <w:pPr>
        <w:pStyle w:val="1157"/>
        <w:ind w:left="-210" w:right="-210" w:firstLine="425"/>
        <w:spacing w:line="360" w:lineRule="auto"/>
        <w:rPr>
          <w:rFonts w:hAnsi="宋体" w:eastAsia="宋体"/>
          <w:sz w:val="21"/>
          <w:szCs w:val="21"/>
        </w:rPr>
      </w:pPr>
      <w:r>
        <w:rPr>
          <w:rFonts w:hAnsi="宋体" w:eastAsia="宋体"/>
          <w:sz w:val="21"/>
          <w:szCs w:val="21"/>
        </w:rPr>
      </w:r>
      <w:r/>
    </w:p>
    <w:p>
      <w:pPr>
        <w:pStyle w:val="1157"/>
        <w:ind w:left="-210" w:right="-210" w:firstLine="425"/>
        <w:jc w:val="left"/>
        <w:spacing w:line="360" w:lineRule="auto"/>
        <w:rPr>
          <w:rFonts w:hAnsi="宋体" w:eastAsia="宋体"/>
          <w:sz w:val="21"/>
          <w:szCs w:val="21"/>
        </w:rPr>
      </w:pPr>
      <w:r>
        <w:rPr>
          <w:rFonts w:hAnsi="宋体" w:eastAsia="宋体"/>
          <w:sz w:val="21"/>
          <w:szCs w:val="21"/>
        </w:rPr>
        <w:t xml:space="preserve">残疾人福利性单位声明函</w:t>
      </w:r>
      <w:r/>
    </w:p>
    <w:p>
      <w:pPr>
        <w:pStyle w:val="1157"/>
        <w:ind w:left="-210" w:right="-210" w:firstLine="425"/>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 </w:t>
      </w:r>
      <w:r>
        <w:rPr>
          <w:rFonts w:hAnsi="宋体" w:eastAsia="宋体"/>
          <w:sz w:val="21"/>
          <w:szCs w:val="21"/>
          <w:u w:val="single"/>
        </w:rPr>
        <w:t xml:space="preserve">      __</w:t>
      </w:r>
      <w:r>
        <w:rPr>
          <w:rFonts w:hAnsi="宋体" w:eastAsia="宋体"/>
          <w:sz w:val="21"/>
          <w:szCs w:val="21"/>
        </w:rPr>
        <w:t xml:space="preserve">_单位的__</w:t>
      </w:r>
      <w:r>
        <w:rPr>
          <w:rFonts w:hAnsi="宋体" w:eastAsia="宋体"/>
          <w:sz w:val="21"/>
          <w:szCs w:val="21"/>
          <w:u w:val="single"/>
        </w:rPr>
        <w:t xml:space="preserve">__      </w:t>
      </w:r>
      <w:r>
        <w:rPr>
          <w:rFonts w:hAnsi="宋体" w:eastAsia="宋体"/>
          <w:sz w:val="21"/>
          <w:szCs w:val="21"/>
        </w:rPr>
        <w:t xml:space="preserve">__项目采购活动提供本单位制造的货物（由本单位承担工程/提供服务），或者提供其他残疾人福利性单位制造的货物（不包括使用非残疾人福利性单位注册商标的货物）。</w:t>
      </w:r>
      <w:r/>
    </w:p>
    <w:p>
      <w:pPr>
        <w:pStyle w:val="1157"/>
        <w:ind w:left="-210" w:right="-210" w:firstLine="425"/>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1157"/>
        <w:ind w:left="-210" w:right="-210" w:firstLine="425"/>
        <w:spacing w:line="360" w:lineRule="auto"/>
        <w:rPr>
          <w:rFonts w:hAnsi="宋体" w:eastAsia="宋体"/>
          <w:sz w:val="21"/>
          <w:szCs w:val="21"/>
        </w:rPr>
      </w:pPr>
      <w:r>
        <w:rPr>
          <w:rFonts w:hAnsi="宋体" w:eastAsia="宋体"/>
          <w:sz w:val="21"/>
          <w:szCs w:val="21"/>
        </w:rPr>
      </w:r>
      <w:r/>
    </w:p>
    <w:p>
      <w:pPr>
        <w:pStyle w:val="990"/>
        <w:ind w:firstLine="5040"/>
        <w:jc w:val="right"/>
        <w:spacing w:line="360" w:lineRule="auto"/>
        <w:rPr>
          <w:rFonts w:ascii="宋体" w:eastAsia="宋体"/>
          <w:sz w:val="21"/>
          <w:szCs w:val="21"/>
        </w:rPr>
      </w:pPr>
      <w:r>
        <w:rPr>
          <w:rFonts w:hAnsi="宋体" w:eastAsia="宋体"/>
          <w:sz w:val="21"/>
          <w:szCs w:val="21"/>
        </w:rPr>
        <w:t xml:space="preserve">                                                        投标人</w:t>
      </w:r>
      <w:r>
        <w:rPr>
          <w:rFonts w:hint="eastAsia" w:hAnsi="宋体" w:eastAsia="宋体"/>
          <w:sz w:val="21"/>
          <w:szCs w:val="21"/>
        </w:rPr>
        <w:t xml:space="preserve">：（单位盖章）</w:t>
      </w:r>
      <w:r>
        <w:rPr>
          <w:rFonts w:ascii="宋体" w:eastAsia="宋体"/>
          <w:sz w:val="21"/>
          <w:szCs w:val="21"/>
        </w:rPr>
      </w:r>
      <w:r/>
    </w:p>
    <w:p>
      <w:pPr>
        <w:pStyle w:val="1128"/>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p>
    <w:p>
      <w:pPr>
        <w:pStyle w:val="1128"/>
        <w:ind w:firstLine="5670"/>
        <w:jc w:val="right"/>
        <w:spacing w:line="360" w:lineRule="auto"/>
        <w:rPr>
          <w:rFonts w:hAnsi="宋体" w:eastAsia="宋体"/>
          <w:sz w:val="21"/>
          <w:szCs w:val="21"/>
        </w:rPr>
      </w:pPr>
      <w:r>
        <w:rPr>
          <w:rFonts w:hAnsi="宋体" w:eastAsia="宋体"/>
          <w:sz w:val="21"/>
          <w:szCs w:val="21"/>
        </w:rPr>
        <w:t xml:space="preserve">年     月     日</w:t>
      </w:r>
      <w:r/>
    </w:p>
    <w:p>
      <w:pPr>
        <w:pStyle w:val="1128"/>
        <w:ind w:left="5400" w:hanging="360"/>
        <w:spacing w:line="360" w:lineRule="auto"/>
        <w:rPr>
          <w:rFonts w:ascii="Tahoma" w:hAnsi="Tahoma"/>
          <w:sz w:val="24"/>
        </w:rPr>
      </w:pPr>
      <w:r>
        <w:rPr>
          <w:rFonts w:ascii="Tahoma" w:hAnsi="Tahoma"/>
          <w:sz w:val="24"/>
        </w:rPr>
      </w:r>
      <w:r/>
    </w:p>
    <w:p>
      <w:pPr>
        <w:pStyle w:val="967"/>
        <w:ind w:firstLine="424"/>
        <w:spacing w:line="360" w:lineRule="auto"/>
        <w:rPr>
          <w:rFonts w:hint="eastAsia" w:ascii="宋体" w:hAnsi="宋体" w:cs="宋体"/>
          <w:b/>
          <w:szCs w:val="21"/>
        </w:rPr>
      </w:pPr>
      <w:r>
        <w:rPr>
          <w:rFonts w:hint="eastAsia" w:ascii="宋体" w:hAnsi="宋体" w:cs="宋体"/>
          <w:b/>
          <w:szCs w:val="21"/>
        </w:rPr>
      </w:r>
      <w:r/>
    </w:p>
    <w:p>
      <w:pPr>
        <w:pStyle w:val="967"/>
        <w:rPr>
          <w:rFonts w:ascii="Tahoma" w:hAnsi="Tahoma"/>
          <w:sz w:val="24"/>
        </w:rPr>
      </w:pPr>
      <w:r>
        <w:rPr>
          <w:rFonts w:ascii="Tahoma" w:hAnsi="Tahoma"/>
          <w:sz w:val="24"/>
        </w:rPr>
      </w:r>
      <w:r/>
    </w:p>
    <w:p>
      <w:pPr>
        <w:pStyle w:val="967"/>
        <w:ind w:firstLine="424"/>
        <w:spacing w:line="360" w:lineRule="auto"/>
        <w:rPr>
          <w:rFonts w:ascii="宋体" w:hAnsi="宋体" w:cs="宋体"/>
          <w:b/>
          <w:szCs w:val="21"/>
        </w:rPr>
      </w:pPr>
      <w:r>
        <w:rPr>
          <w:rFonts w:hint="eastAsia" w:ascii="宋体" w:hAnsi="宋体" w:cs="宋体"/>
          <w:b/>
          <w:szCs w:val="21"/>
        </w:rPr>
        <w:t xml:space="preserve">注：</w:t>
      </w:r>
      <w:r>
        <w:rPr>
          <w:rFonts w:ascii="宋体" w:hAnsi="宋体" w:cs="宋体"/>
          <w:b/>
          <w:szCs w:val="21"/>
        </w:rPr>
      </w:r>
      <w:r/>
    </w:p>
    <w:p>
      <w:pPr>
        <w:pStyle w:val="967"/>
        <w:numPr>
          <w:ilvl w:val="0"/>
          <w:numId w:val="15"/>
        </w:numPr>
        <w:ind w:left="0" w:firstLine="424"/>
        <w:spacing w:line="360" w:lineRule="auto"/>
        <w:rPr>
          <w:rFonts w:hint="eastAsia" w:ascii="宋体" w:hAnsi="宋体" w:cs="宋体"/>
          <w:b/>
          <w:szCs w:val="21"/>
        </w:rPr>
      </w:pPr>
      <w:r>
        <w:rPr>
          <w:rFonts w:hint="eastAsia" w:ascii="宋体" w:hAnsi="宋体" w:cs="宋体"/>
          <w:b/>
          <w:szCs w:val="21"/>
        </w:rPr>
        <w:t xml:space="preserve">中小企业划分标准详见</w:t>
      </w:r>
      <w:r/>
    </w:p>
    <w:p>
      <w:pPr>
        <w:pStyle w:val="967"/>
        <w:ind w:firstLine="424"/>
        <w:spacing w:line="360" w:lineRule="auto"/>
        <w:rPr>
          <w:rFonts w:hint="eastAsia" w:ascii="宋体" w:hAnsi="宋体" w:cs="宋体"/>
          <w:b/>
          <w:szCs w:val="21"/>
        </w:rPr>
      </w:pPr>
      <w:r>
        <w:rPr>
          <w:rFonts w:ascii="宋体" w:hAnsi="宋体" w:cs="宋体"/>
          <w:b/>
          <w:szCs w:val="21"/>
        </w:rPr>
        <w:t xml:space="preserve">http://www.miit.gov.cn/newweb/n1146285/n1146352/n3054355/n3057278/n3057286/c3592332/content.html</w:t>
      </w:r>
      <w:r>
        <w:rPr>
          <w:rFonts w:hint="eastAsia" w:ascii="宋体" w:hAnsi="宋体" w:cs="宋体"/>
          <w:b/>
          <w:szCs w:val="21"/>
        </w:rPr>
        <w:t xml:space="preserve">“工信部联企业〔2011〕300号通知中的《中小企业划型标准规定》”。</w:t>
      </w:r>
      <w:r/>
    </w:p>
    <w:p>
      <w:pPr>
        <w:pStyle w:val="967"/>
        <w:ind w:firstLine="422"/>
        <w:spacing w:line="360" w:lineRule="exact"/>
        <w:rPr>
          <w:rFonts w:ascii="宋体" w:hAnsi="宋体"/>
          <w:b/>
          <w:szCs w:val="21"/>
        </w:rPr>
      </w:pPr>
      <w:r>
        <w:rPr>
          <w:rFonts w:hint="eastAsia" w:ascii="宋体" w:hAnsi="宋体"/>
          <w:b/>
          <w:szCs w:val="21"/>
        </w:rPr>
        <w:t xml:space="preserve">2、残疾人福利性单位及监狱企业视同小型企业。</w:t>
      </w:r>
      <w:r>
        <w:rPr>
          <w:rFonts w:ascii="宋体" w:hAnsi="宋体"/>
          <w:b/>
          <w:szCs w:val="21"/>
        </w:rPr>
      </w:r>
      <w:r/>
    </w:p>
    <w:p>
      <w:pPr>
        <w:pStyle w:val="967"/>
        <w:rPr>
          <w:rFonts w:ascii="Tahoma" w:hAnsi="Tahoma"/>
          <w:sz w:val="24"/>
        </w:rPr>
      </w:pPr>
      <w:r>
        <w:rPr>
          <w:rFonts w:ascii="Tahoma" w:hAnsi="Tahoma"/>
          <w:sz w:val="24"/>
        </w:rPr>
      </w:r>
      <w:r/>
    </w:p>
    <w:p>
      <w:pPr>
        <w:pStyle w:val="967"/>
        <w:rPr>
          <w:rFonts w:hint="eastAsia" w:ascii="Tahoma" w:hAnsi="Tahoma"/>
          <w:sz w:val="24"/>
        </w:rPr>
      </w:pPr>
      <w:r>
        <w:rPr>
          <w:rFonts w:ascii="Tahoma" w:hAnsi="Tahoma"/>
          <w:sz w:val="24"/>
        </w:rPr>
        <w:br w:type="page" w:clear="all"/>
      </w:r>
      <w:r>
        <w:rPr>
          <w:rFonts w:hint="eastAsia" w:ascii="Tahoma" w:hAnsi="Tahoma"/>
          <w:sz w:val="24"/>
        </w:rPr>
      </w:r>
      <w:r/>
    </w:p>
    <w:p>
      <w:pPr>
        <w:pStyle w:val="968"/>
        <w:jc w:val="center"/>
        <w:spacing w:line="360" w:lineRule="auto"/>
        <w:rPr>
          <w:rFonts w:hint="eastAsia"/>
        </w:rPr>
      </w:pPr>
      <w:r/>
      <w:bookmarkStart w:id="45" w:name="_Toc194916142"/>
      <w:r>
        <w:rPr>
          <w:rFonts w:hint="eastAsia"/>
        </w:rPr>
        <w:t xml:space="preserve">第四章 招标书</w:t>
      </w:r>
      <w:bookmarkEnd w:id="28"/>
      <w:r/>
      <w:bookmarkEnd w:id="45"/>
      <w:r>
        <w:rPr>
          <w:rFonts w:hint="eastAsia"/>
        </w:rPr>
      </w:r>
      <w:r/>
    </w:p>
    <w:p>
      <w:pPr>
        <w:pStyle w:val="990"/>
        <w:ind w:right="-252" w:firstLine="464"/>
        <w:spacing w:line="360" w:lineRule="auto"/>
        <w:rPr>
          <w:rFonts w:hint="eastAsia" w:ascii="宋体" w:hAnsi="宋体" w:eastAsia="宋体"/>
          <w:bCs/>
          <w:sz w:val="21"/>
          <w:szCs w:val="21"/>
        </w:rPr>
      </w:pPr>
      <w:r>
        <w:rPr>
          <w:rFonts w:ascii="宋体" w:hAnsi="宋体" w:eastAsia="宋体"/>
          <w:bCs/>
          <w:sz w:val="21"/>
          <w:szCs w:val="21"/>
        </w:rPr>
        <w:t xml:space="preserve">受</w:t>
      </w:r>
      <w:r>
        <w:rPr>
          <w:rFonts w:hint="eastAsia" w:ascii="宋体" w:hAnsi="宋体" w:eastAsia="宋体"/>
          <w:bCs/>
          <w:sz w:val="21"/>
          <w:szCs w:val="21"/>
        </w:rPr>
        <w:t xml:space="preserve">昆山市张浦镇人民政府（昆山市张浦镇社会事业办公室）</w:t>
      </w:r>
      <w:r>
        <w:rPr>
          <w:rFonts w:ascii="宋体" w:hAnsi="宋体" w:eastAsia="宋体"/>
          <w:bCs/>
          <w:sz w:val="21"/>
          <w:szCs w:val="21"/>
        </w:rPr>
        <w:t xml:space="preserve">委托，</w:t>
      </w:r>
      <w:r>
        <w:rPr>
          <w:rFonts w:hint="eastAsia" w:ascii="宋体" w:hAnsi="宋体" w:eastAsia="宋体"/>
          <w:bCs/>
          <w:sz w:val="21"/>
          <w:szCs w:val="21"/>
        </w:rPr>
        <w:t xml:space="preserve">江苏正华新工程咨询有限公司</w:t>
      </w:r>
      <w:r>
        <w:rPr>
          <w:rFonts w:ascii="宋体" w:hAnsi="宋体" w:eastAsia="宋体"/>
          <w:bCs/>
          <w:sz w:val="21"/>
          <w:szCs w:val="21"/>
        </w:rPr>
        <w:t xml:space="preserve">对其所需采购的</w:t>
      </w:r>
      <w:r>
        <w:rPr>
          <w:rFonts w:hint="eastAsia" w:ascii="宋体" w:hAnsi="宋体" w:eastAsia="宋体"/>
          <w:bCs/>
          <w:sz w:val="21"/>
          <w:szCs w:val="21"/>
        </w:rPr>
        <w:t xml:space="preserve">昆山第六人民医院异地新建污水系统租赁服务进行国内公开招标。欢迎有资格的单位参加投标。</w:t>
      </w:r>
      <w:r/>
    </w:p>
    <w:p>
      <w:pPr>
        <w:pStyle w:val="990"/>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一、招标项目编号：JSZC-320583-SZZH-G2026-0005号</w:t>
      </w:r>
      <w:r/>
    </w:p>
    <w:p>
      <w:pPr>
        <w:pStyle w:val="990"/>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二、招标内容：昆山第六人民医院异地新建污水系统租赁服务</w:t>
      </w:r>
      <w:r/>
    </w:p>
    <w:p>
      <w:pPr>
        <w:pStyle w:val="990"/>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三、招标要求</w:t>
      </w:r>
      <w:r/>
    </w:p>
    <w:p>
      <w:pPr>
        <w:pStyle w:val="990"/>
        <w:ind w:right="-252" w:firstLine="464"/>
        <w:spacing w:line="360" w:lineRule="auto"/>
        <w:rPr>
          <w:rFonts w:ascii="宋体" w:hAnsi="宋体" w:eastAsia="宋体"/>
          <w:bCs/>
          <w:sz w:val="21"/>
          <w:szCs w:val="21"/>
        </w:rPr>
      </w:pPr>
      <w:r>
        <w:rPr>
          <w:rFonts w:hint="eastAsia" w:ascii="宋体" w:hAnsi="宋体" w:eastAsia="宋体"/>
          <w:bCs/>
          <w:sz w:val="21"/>
          <w:szCs w:val="21"/>
        </w:rPr>
        <w:t xml:space="preserve">（一）项目概况</w:t>
      </w:r>
      <w:r>
        <w:rPr>
          <w:rFonts w:ascii="宋体" w:hAnsi="宋体" w:eastAsia="宋体"/>
          <w:bCs/>
          <w:sz w:val="21"/>
          <w:szCs w:val="21"/>
        </w:rPr>
      </w:r>
      <w:r/>
    </w:p>
    <w:p>
      <w:pPr>
        <w:pStyle w:val="990"/>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1、本项目为昆山市第六人民医院污水处理站设备租赁服务项目，设计日处理污水量为500m³。</w:t>
      </w:r>
      <w:r/>
    </w:p>
    <w:p>
      <w:pPr>
        <w:pStyle w:val="990"/>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2、设计处理能力</w:t>
      </w:r>
      <w:r/>
    </w:p>
    <w:p>
      <w:pPr>
        <w:pStyle w:val="990"/>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根据院方提供资料，污水水量依据《医院污水处理工程技术规范》（HJ2029-2013）计算，设计日处理污水量为500m³。</w:t>
      </w:r>
      <w:r/>
    </w:p>
    <w:p>
      <w:pPr>
        <w:pStyle w:val="990"/>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3、设计进水水质</w:t>
      </w:r>
      <w:r/>
    </w:p>
    <w:p>
      <w:pPr>
        <w:pStyle w:val="990"/>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根据类似医院进水水质如下：（仅供参考，实际以医院进水水质为准）</w:t>
        <w:tab/>
      </w:r>
      <w:r/>
    </w:p>
    <w:tbl>
      <w:tblPr>
        <w:tblW w:w="4868" w:type="pct"/>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937"/>
        <w:gridCol w:w="1304"/>
        <w:gridCol w:w="1304"/>
        <w:gridCol w:w="1304"/>
        <w:gridCol w:w="1129"/>
        <w:gridCol w:w="1852"/>
      </w:tblGrid>
      <w:tr>
        <w:trPr>
          <w:trHeight w:val="1186"/>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指标</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COD</w:t>
            </w:r>
            <w:r>
              <w:rPr>
                <w:rFonts w:hint="eastAsia" w:ascii="宋体" w:hAnsi="宋体"/>
                <w:color w:val="000000"/>
                <w:szCs w:val="21"/>
                <w:vertAlign w:val="subscript"/>
              </w:rPr>
              <w:t xml:space="preserve">cr</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(mg/L)</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BOD5</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(mg/L)</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NH</w:t>
            </w:r>
            <w:r>
              <w:rPr>
                <w:rFonts w:hint="eastAsia" w:ascii="宋体" w:hAnsi="宋体"/>
                <w:color w:val="000000"/>
                <w:szCs w:val="21"/>
                <w:vertAlign w:val="subscript"/>
              </w:rPr>
              <w:t xml:space="preserve">3</w:t>
            </w:r>
            <w:r>
              <w:rPr>
                <w:rFonts w:hint="eastAsia" w:ascii="宋体" w:hAnsi="宋体"/>
                <w:color w:val="000000"/>
                <w:szCs w:val="21"/>
              </w:rPr>
              <w:t xml:space="preserve">-N</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(mg/L)</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SS</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(mg/L)</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PH</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(无量纲)</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粪大肠杆菌</w:t>
            </w:r>
            <w:r>
              <w:rPr>
                <w:rFonts w:ascii="宋体" w:hAnsi="宋体"/>
                <w:color w:val="000000"/>
                <w:szCs w:val="21"/>
              </w:rPr>
            </w:r>
            <w:r/>
          </w:p>
          <w:p>
            <w:pPr>
              <w:pStyle w:val="967"/>
              <w:jc w:val="center"/>
              <w:rPr>
                <w:rFonts w:ascii="宋体" w:hAnsi="宋体"/>
                <w:color w:val="000000"/>
                <w:szCs w:val="21"/>
              </w:rPr>
            </w:pPr>
            <w:r>
              <w:rPr>
                <w:rFonts w:hint="eastAsia" w:ascii="宋体" w:hAnsi="宋体"/>
                <w:color w:val="000000"/>
                <w:szCs w:val="21"/>
              </w:rPr>
              <w:t xml:space="preserve">(MPN/L)</w:t>
            </w:r>
            <w:r>
              <w:rPr>
                <w:rFonts w:ascii="宋体" w:hAnsi="宋体"/>
                <w:color w:val="000000"/>
                <w:szCs w:val="21"/>
              </w:rPr>
            </w:r>
            <w:r/>
          </w:p>
        </w:tc>
      </w:tr>
      <w:tr>
        <w:trPr>
          <w:trHeight w:val="693"/>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标准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350</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250</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100</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150</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6～9</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3.31×10</w:t>
            </w:r>
            <w:r>
              <w:rPr>
                <w:rFonts w:hint="eastAsia" w:ascii="宋体" w:hAnsi="宋体"/>
                <w:color w:val="000000"/>
                <w:szCs w:val="21"/>
                <w:vertAlign w:val="superscript"/>
              </w:rPr>
              <w:t xml:space="preserve">8</w:t>
            </w:r>
            <w:r>
              <w:rPr>
                <w:rFonts w:ascii="宋体" w:hAnsi="宋体"/>
                <w:color w:val="000000"/>
                <w:szCs w:val="21"/>
              </w:rPr>
            </w:r>
            <w:r/>
          </w:p>
        </w:tc>
      </w:tr>
    </w:tbl>
    <w:p>
      <w:pPr>
        <w:pStyle w:val="990"/>
        <w:ind w:right="-252" w:firstLine="464"/>
        <w:spacing w:line="360" w:lineRule="auto"/>
        <w:rPr>
          <w:rFonts w:ascii="宋体" w:hAnsi="宋体" w:eastAsia="宋体"/>
          <w:bCs/>
          <w:sz w:val="21"/>
          <w:szCs w:val="21"/>
        </w:rPr>
      </w:pPr>
      <w:r>
        <w:rPr>
          <w:rFonts w:hint="eastAsia" w:ascii="宋体" w:hAnsi="宋体" w:eastAsia="宋体"/>
          <w:bCs/>
          <w:sz w:val="21"/>
          <w:szCs w:val="21"/>
        </w:rPr>
        <w:t xml:space="preserve">4、设计出水水质</w:t>
      </w:r>
      <w:r>
        <w:rPr>
          <w:rFonts w:ascii="宋体" w:hAnsi="宋体" w:eastAsia="宋体"/>
          <w:bCs/>
          <w:sz w:val="21"/>
          <w:szCs w:val="21"/>
        </w:rPr>
      </w:r>
      <w:r/>
    </w:p>
    <w:p>
      <w:pPr>
        <w:pStyle w:val="967"/>
        <w:ind w:firstLine="420"/>
        <w:spacing w:line="360" w:lineRule="auto"/>
        <w:rPr>
          <w:rFonts w:hint="eastAsia" w:ascii="宋体" w:hAnsi="宋体"/>
          <w:color w:val="000000"/>
          <w:szCs w:val="21"/>
        </w:rPr>
      </w:pPr>
      <w:r>
        <w:rPr>
          <w:rFonts w:hint="eastAsia" w:ascii="宋体" w:hAnsi="宋体"/>
          <w:color w:val="000000"/>
          <w:szCs w:val="21"/>
        </w:rPr>
        <w:t xml:space="preserve">医院污水处理后水质达到《医疗机构水污染物排放标准》（GB18466-2005）表2中预处理标准及《污水排入城镇下水道水质标准》（GB/T31962-2015）中B等级标准排入市政管网：</w:t>
      </w:r>
      <w:r/>
    </w:p>
    <w:tbl>
      <w:tblPr>
        <w:tblW w:w="4959"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412"/>
        <w:gridCol w:w="1182"/>
        <w:gridCol w:w="1111"/>
        <w:gridCol w:w="1433"/>
        <w:gridCol w:w="2080"/>
        <w:gridCol w:w="1565"/>
      </w:tblGrid>
      <w:tr>
        <w:trPr>
          <w:trHeight w:val="597"/>
        </w:trPr>
        <w:tc>
          <w:tcPr>
            <w:tcBorders>
              <w:top w:val="single" w:color="000000" w:sz="2" w:space="0"/>
              <w:left w:val="single" w:color="000000" w:sz="2" w:space="0"/>
              <w:bottom w:val="single" w:color="000000" w:sz="2" w:space="0"/>
              <w:right w:val="single" w:color="000000" w:sz="2" w:space="0"/>
            </w:tcBorders>
            <w:tcW w:w="1413" w:type="dxa"/>
            <w:vAlign w:val="center"/>
            <w:textDirection w:val="lrTb"/>
            <w:noWrap/>
          </w:tcPr>
          <w:p>
            <w:pPr>
              <w:pStyle w:val="967"/>
              <w:rPr>
                <w:rFonts w:ascii="宋体" w:hAnsi="宋体"/>
                <w:color w:val="000000"/>
                <w:szCs w:val="21"/>
              </w:rPr>
            </w:pPr>
            <w:r>
              <w:rPr>
                <w:rFonts w:hint="eastAsia" w:ascii="宋体" w:hAnsi="宋体"/>
                <w:color w:val="000000"/>
                <w:szCs w:val="21"/>
              </w:rPr>
              <w:t xml:space="preserve">粪大肠菌群</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5000MPN/L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11"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PH</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43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6-9mg/L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2080"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CODcr</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565"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250mg/L</w:t>
            </w:r>
            <w:r>
              <w:rPr>
                <w:rFonts w:ascii="宋体" w:hAnsi="宋体"/>
                <w:color w:val="000000"/>
                <w:szCs w:val="21"/>
              </w:rPr>
            </w:r>
            <w:r/>
          </w:p>
        </w:tc>
      </w:tr>
      <w:tr>
        <w:trPr>
          <w:trHeight w:val="597"/>
        </w:trPr>
        <w:tc>
          <w:tcPr>
            <w:tcBorders>
              <w:top w:val="single" w:color="000000" w:sz="2" w:space="0"/>
              <w:left w:val="single" w:color="000000" w:sz="2" w:space="0"/>
              <w:bottom w:val="single" w:color="000000" w:sz="2" w:space="0"/>
              <w:right w:val="single" w:color="000000" w:sz="2" w:space="0"/>
            </w:tcBorders>
            <w:tcW w:w="141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BOD5</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100mg/L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11"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SS</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43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60mg/L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2080"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氨氮</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565"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45mg/L</w:t>
            </w:r>
            <w:r>
              <w:rPr>
                <w:rFonts w:ascii="宋体" w:hAnsi="宋体"/>
                <w:color w:val="000000"/>
                <w:szCs w:val="21"/>
              </w:rPr>
            </w:r>
            <w:r/>
          </w:p>
        </w:tc>
      </w:tr>
      <w:tr>
        <w:trPr>
          <w:trHeight w:val="597"/>
        </w:trPr>
        <w:tc>
          <w:tcPr>
            <w:tcBorders>
              <w:top w:val="single" w:color="000000" w:sz="2" w:space="0"/>
              <w:left w:val="single" w:color="000000" w:sz="2" w:space="0"/>
              <w:bottom w:val="single" w:color="000000" w:sz="2" w:space="0"/>
              <w:right w:val="single" w:color="000000" w:sz="2" w:space="0"/>
            </w:tcBorders>
            <w:tcW w:w="141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动植物油</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20mg/L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11"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石油类</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43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20mg/L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2080"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阴离子表面活性剂</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565"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10mg/L</w:t>
            </w:r>
            <w:r>
              <w:rPr>
                <w:rFonts w:ascii="宋体" w:hAnsi="宋体"/>
                <w:color w:val="000000"/>
                <w:szCs w:val="21"/>
              </w:rPr>
            </w:r>
            <w:r/>
          </w:p>
        </w:tc>
      </w:tr>
      <w:tr>
        <w:trPr>
          <w:trHeight w:val="597"/>
        </w:trPr>
        <w:tc>
          <w:tcPr>
            <w:tcBorders>
              <w:top w:val="single" w:color="000000" w:sz="2" w:space="0"/>
              <w:left w:val="single" w:color="000000" w:sz="2" w:space="0"/>
              <w:bottom w:val="single" w:color="000000" w:sz="2" w:space="0"/>
              <w:right w:val="single" w:color="000000" w:sz="2" w:space="0"/>
            </w:tcBorders>
            <w:tcW w:w="141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色度</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_</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11"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挥发酚</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43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1.0mg/L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2080"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总氰化物</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565"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0.5 mg</w:t>
            </w:r>
            <w:r>
              <w:rPr>
                <w:rFonts w:hint="eastAsia" w:ascii="宋体" w:hAnsi="宋体"/>
                <w:color w:val="000000"/>
                <w:szCs w:val="21"/>
              </w:rPr>
              <w:t xml:space="preserve">/L</w:t>
            </w:r>
            <w:r>
              <w:rPr>
                <w:rFonts w:ascii="宋体" w:hAnsi="宋体"/>
                <w:color w:val="000000"/>
                <w:szCs w:val="21"/>
              </w:rPr>
            </w:r>
            <w:r/>
          </w:p>
        </w:tc>
      </w:tr>
      <w:tr>
        <w:trPr>
          <w:trHeight w:val="597"/>
        </w:trPr>
        <w:tc>
          <w:tcPr>
            <w:tcBorders>
              <w:top w:val="single" w:color="000000" w:sz="2" w:space="0"/>
              <w:left w:val="single" w:color="000000" w:sz="2" w:space="0"/>
              <w:bottom w:val="single" w:color="000000" w:sz="2" w:space="0"/>
              <w:right w:val="single" w:color="000000" w:sz="2" w:space="0"/>
            </w:tcBorders>
            <w:tcW w:w="141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总汞</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0.05 mg/L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11"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总镉</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43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0.1 mg/L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2080"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总铬</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565"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1.5 mg/L</w:t>
            </w:r>
            <w:r>
              <w:rPr>
                <w:rFonts w:ascii="宋体" w:hAnsi="宋体"/>
                <w:color w:val="000000"/>
                <w:szCs w:val="21"/>
              </w:rPr>
            </w:r>
            <w:r/>
          </w:p>
        </w:tc>
      </w:tr>
      <w:tr>
        <w:trPr>
          <w:trHeight w:val="597"/>
        </w:trPr>
        <w:tc>
          <w:tcPr>
            <w:tcBorders>
              <w:top w:val="single" w:color="000000" w:sz="2" w:space="0"/>
              <w:left w:val="single" w:color="000000" w:sz="2" w:space="0"/>
              <w:bottom w:val="single" w:color="000000" w:sz="2" w:space="0"/>
              <w:right w:val="single" w:color="000000" w:sz="2" w:space="0"/>
            </w:tcBorders>
            <w:tcW w:w="141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六价铬</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0.5 mg/L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11"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总砷</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43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0.5 mg/L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2080"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总铅</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565"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1.0 mg/L</w:t>
            </w:r>
            <w:r>
              <w:rPr>
                <w:rFonts w:ascii="宋体" w:hAnsi="宋体"/>
                <w:color w:val="000000"/>
                <w:szCs w:val="21"/>
              </w:rPr>
            </w:r>
            <w:r/>
          </w:p>
        </w:tc>
      </w:tr>
      <w:tr>
        <w:trPr>
          <w:trHeight w:val="597"/>
        </w:trPr>
        <w:tc>
          <w:tcPr>
            <w:tcBorders>
              <w:top w:val="single" w:color="000000" w:sz="2" w:space="0"/>
              <w:left w:val="single" w:color="000000" w:sz="2" w:space="0"/>
              <w:bottom w:val="single" w:color="000000" w:sz="2" w:space="0"/>
              <w:right w:val="single" w:color="000000" w:sz="2" w:space="0"/>
            </w:tcBorders>
            <w:tcW w:w="141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总银</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0.5 mg/L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11" w:type="dxa"/>
            <w:vAlign w:val="center"/>
            <w:textDirection w:val="lrTb"/>
            <w:noWrap/>
          </w:tcPr>
          <w:p>
            <w:pPr>
              <w:pStyle w:val="967"/>
              <w:jc w:val="center"/>
              <w:rPr>
                <w:rFonts w:ascii="宋体" w:hAnsi="宋体"/>
                <w:color w:val="000000"/>
                <w:szCs w:val="21"/>
              </w:rPr>
            </w:pPr>
            <w:r>
              <w:rPr>
                <w:rFonts w:hint="eastAsia" w:ascii="宋体" w:hAnsi="宋体"/>
                <w:color w:val="000000"/>
                <w:szCs w:val="21"/>
                <w:shd w:val="clear" w:color="auto" w:fill="ffffff"/>
              </w:rPr>
              <w:t xml:space="preserve">总α</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43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1Bq/L</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2080" w:type="dxa"/>
            <w:vAlign w:val="center"/>
            <w:textDirection w:val="lrTb"/>
            <w:noWrap/>
          </w:tcPr>
          <w:p>
            <w:pPr>
              <w:pStyle w:val="967"/>
              <w:jc w:val="center"/>
              <w:rPr>
                <w:rFonts w:ascii="宋体" w:hAnsi="宋体"/>
                <w:color w:val="000000"/>
                <w:szCs w:val="21"/>
              </w:rPr>
            </w:pPr>
            <w:r>
              <w:rPr>
                <w:rFonts w:hint="eastAsia" w:ascii="宋体" w:hAnsi="宋体"/>
                <w:color w:val="000000"/>
                <w:szCs w:val="21"/>
                <w:shd w:val="clear" w:color="auto" w:fill="ffffff"/>
              </w:rPr>
              <w:t xml:space="preserve">总β</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565"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10Bq/L</w:t>
            </w:r>
            <w:r>
              <w:rPr>
                <w:rFonts w:ascii="宋体" w:hAnsi="宋体"/>
                <w:color w:val="000000"/>
                <w:szCs w:val="21"/>
              </w:rPr>
            </w:r>
            <w:r/>
          </w:p>
        </w:tc>
      </w:tr>
      <w:tr>
        <w:trPr>
          <w:trHeight w:val="597"/>
        </w:trPr>
        <w:tc>
          <w:tcPr>
            <w:tcBorders>
              <w:top w:val="single" w:color="000000" w:sz="2" w:space="0"/>
              <w:left w:val="single" w:color="000000" w:sz="2" w:space="0"/>
              <w:bottom w:val="single" w:color="000000" w:sz="2" w:space="0"/>
              <w:right w:val="single" w:color="000000" w:sz="2" w:space="0"/>
            </w:tcBorders>
            <w:tcW w:w="1413"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总余氯</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tcPr>
          <w:p>
            <w:pPr>
              <w:pStyle w:val="967"/>
              <w:jc w:val="center"/>
              <w:rPr>
                <w:rFonts w:ascii="宋体" w:hAnsi="宋体"/>
                <w:color w:val="000000"/>
                <w:szCs w:val="21"/>
              </w:rPr>
            </w:pPr>
            <w:r>
              <w:rPr>
                <w:rFonts w:hint="eastAsia" w:ascii="宋体" w:hAnsi="宋体"/>
                <w:color w:val="000000"/>
                <w:szCs w:val="21"/>
              </w:rPr>
              <w:t xml:space="preserve">_</w:t>
            </w: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111" w:type="dxa"/>
            <w:vAlign w:val="center"/>
            <w:textDirection w:val="lrTb"/>
            <w:noWrap/>
          </w:tcPr>
          <w:p>
            <w:pPr>
              <w:pStyle w:val="967"/>
              <w:jc w:val="center"/>
              <w:rPr>
                <w:rFonts w:ascii="宋体" w:hAnsi="宋体"/>
                <w:color w:val="000000"/>
                <w:szCs w:val="21"/>
              </w:rPr>
            </w:pP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433" w:type="dxa"/>
            <w:vAlign w:val="center"/>
            <w:textDirection w:val="lrTb"/>
            <w:noWrap/>
          </w:tcPr>
          <w:p>
            <w:pPr>
              <w:pStyle w:val="967"/>
              <w:jc w:val="center"/>
              <w:rPr>
                <w:rFonts w:ascii="宋体" w:hAnsi="宋体"/>
                <w:color w:val="000000"/>
                <w:szCs w:val="21"/>
              </w:rPr>
            </w:pP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2080" w:type="dxa"/>
            <w:vAlign w:val="center"/>
            <w:textDirection w:val="lrTb"/>
            <w:noWrap/>
          </w:tcPr>
          <w:p>
            <w:pPr>
              <w:pStyle w:val="967"/>
              <w:jc w:val="center"/>
              <w:rPr>
                <w:rFonts w:ascii="宋体" w:hAnsi="宋体"/>
                <w:color w:val="000000"/>
                <w:szCs w:val="21"/>
              </w:rPr>
            </w:pPr>
            <w:r>
              <w:rPr>
                <w:rFonts w:ascii="宋体" w:hAnsi="宋体"/>
                <w:color w:val="000000"/>
                <w:szCs w:val="21"/>
              </w:rPr>
            </w:r>
            <w:r/>
          </w:p>
        </w:tc>
        <w:tc>
          <w:tcPr>
            <w:tcBorders>
              <w:top w:val="single" w:color="000000" w:sz="2" w:space="0"/>
              <w:left w:val="single" w:color="000000" w:sz="2" w:space="0"/>
              <w:bottom w:val="single" w:color="000000" w:sz="2" w:space="0"/>
              <w:right w:val="single" w:color="000000" w:sz="2" w:space="0"/>
            </w:tcBorders>
            <w:tcW w:w="1565" w:type="dxa"/>
            <w:vAlign w:val="center"/>
            <w:textDirection w:val="lrTb"/>
            <w:noWrap/>
          </w:tcPr>
          <w:p>
            <w:pPr>
              <w:pStyle w:val="967"/>
              <w:jc w:val="center"/>
              <w:rPr>
                <w:rFonts w:ascii="宋体" w:hAnsi="宋体"/>
                <w:color w:val="000000"/>
                <w:szCs w:val="21"/>
              </w:rPr>
            </w:pPr>
            <w:r>
              <w:rPr>
                <w:rFonts w:ascii="宋体" w:hAnsi="宋体"/>
                <w:color w:val="000000"/>
                <w:szCs w:val="21"/>
              </w:rPr>
            </w:r>
            <w:r/>
          </w:p>
        </w:tc>
      </w:tr>
      <w:tr>
        <w:trPr>
          <w:trHeight w:val="597"/>
        </w:trPr>
        <w:tc>
          <w:tcPr>
            <w:gridSpan w:val="6"/>
            <w:tcBorders>
              <w:top w:val="single" w:color="000000" w:sz="2" w:space="0"/>
              <w:left w:val="single" w:color="000000" w:sz="2" w:space="0"/>
              <w:bottom w:val="single" w:color="000000" w:sz="2" w:space="0"/>
              <w:right w:val="single" w:color="000000" w:sz="2" w:space="0"/>
            </w:tcBorders>
            <w:tcW w:w="8784" w:type="dxa"/>
            <w:vAlign w:val="center"/>
            <w:textDirection w:val="lrTb"/>
            <w:noWrap/>
          </w:tcPr>
          <w:p>
            <w:pPr>
              <w:pStyle w:val="967"/>
              <w:spacing w:line="360" w:lineRule="auto"/>
              <w:rPr>
                <w:rFonts w:ascii="宋体" w:hAnsi="宋体"/>
                <w:color w:val="000000"/>
                <w:szCs w:val="21"/>
              </w:rPr>
            </w:pPr>
            <w:r>
              <w:rPr>
                <w:rFonts w:hint="eastAsia" w:ascii="宋体" w:hAnsi="宋体"/>
                <w:color w:val="000000"/>
                <w:szCs w:val="21"/>
              </w:rPr>
              <w:t xml:space="preserve">注：1）采用含氯消毒剂消毒的工艺控制要求为：</w:t>
            </w:r>
            <w:r>
              <w:rPr>
                <w:rFonts w:ascii="宋体" w:hAnsi="宋体"/>
                <w:color w:val="000000"/>
                <w:szCs w:val="21"/>
              </w:rPr>
            </w:r>
            <w:r/>
          </w:p>
          <w:p>
            <w:pPr>
              <w:pStyle w:val="967"/>
              <w:ind w:left="-120" w:firstLine="840"/>
              <w:spacing w:line="360" w:lineRule="auto"/>
              <w:rPr>
                <w:rFonts w:hint="eastAsia" w:ascii="宋体" w:hAnsi="宋体"/>
                <w:color w:val="000000"/>
                <w:szCs w:val="21"/>
              </w:rPr>
            </w:pPr>
            <w:r>
              <w:rPr>
                <w:rFonts w:hint="eastAsia" w:ascii="宋体" w:hAnsi="宋体"/>
                <w:color w:val="000000"/>
                <w:szCs w:val="21"/>
              </w:rPr>
              <w:t xml:space="preserve">排放标准：消毒接触池接触时间≥1h,接触池出口余氯3～10mg/L。</w:t>
            </w:r>
            <w:r/>
          </w:p>
          <w:p>
            <w:pPr>
              <w:pStyle w:val="967"/>
              <w:ind w:left="-120" w:firstLine="840"/>
              <w:spacing w:line="360" w:lineRule="auto"/>
              <w:rPr>
                <w:rFonts w:hint="eastAsia" w:ascii="宋体" w:hAnsi="宋体"/>
                <w:color w:val="000000"/>
                <w:szCs w:val="21"/>
              </w:rPr>
            </w:pPr>
            <w:r>
              <w:rPr>
                <w:rFonts w:hint="eastAsia" w:ascii="宋体" w:hAnsi="宋体"/>
                <w:color w:val="000000"/>
                <w:szCs w:val="21"/>
              </w:rPr>
              <w:t xml:space="preserve">预处理标准：消毒接触池接触时间≥1h,接触池出口总余氯2～8mg/L。</w:t>
            </w:r>
            <w:r/>
          </w:p>
          <w:p>
            <w:pPr>
              <w:pStyle w:val="967"/>
              <w:ind w:firstLine="420"/>
              <w:spacing w:line="360" w:lineRule="auto"/>
              <w:rPr>
                <w:rFonts w:ascii="宋体" w:hAnsi="宋体"/>
                <w:color w:val="000000"/>
                <w:szCs w:val="21"/>
              </w:rPr>
            </w:pPr>
            <w:r>
              <w:rPr>
                <w:rFonts w:hint="eastAsia" w:ascii="宋体" w:hAnsi="宋体"/>
                <w:color w:val="000000"/>
                <w:szCs w:val="21"/>
              </w:rPr>
              <w:t xml:space="preserve">2）采用其他消毒剂对总余氯值不做要求。</w:t>
            </w:r>
            <w:r>
              <w:rPr>
                <w:rFonts w:ascii="宋体" w:hAnsi="宋体"/>
                <w:color w:val="000000"/>
                <w:szCs w:val="21"/>
              </w:rPr>
            </w:r>
            <w:r/>
          </w:p>
        </w:tc>
      </w:tr>
    </w:tbl>
    <w:p>
      <w:pPr>
        <w:pStyle w:val="990"/>
        <w:ind w:right="-252" w:firstLine="464"/>
        <w:spacing w:line="360" w:lineRule="auto"/>
        <w:rPr>
          <w:rFonts w:ascii="宋体" w:hAnsi="宋体" w:eastAsia="宋体"/>
          <w:bCs/>
          <w:sz w:val="21"/>
          <w:szCs w:val="21"/>
        </w:rPr>
      </w:pPr>
      <w:r>
        <w:rPr>
          <w:rFonts w:hint="eastAsia" w:ascii="宋体" w:hAnsi="宋体" w:eastAsia="宋体"/>
          <w:bCs/>
          <w:sz w:val="21"/>
          <w:szCs w:val="21"/>
        </w:rPr>
        <w:t xml:space="preserve">5、法规、标准及设计依据</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《中华人民共和国环境保护法》及其它相关的法律、法规和章程</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《建设项目环境保护管理条例》国务院令第</w:t>
      </w:r>
      <w:r>
        <w:rPr>
          <w:rFonts w:ascii="宋体" w:hAnsi="宋体" w:eastAsia="宋体"/>
          <w:bCs/>
          <w:sz w:val="21"/>
          <w:szCs w:val="21"/>
        </w:rPr>
        <w:t xml:space="preserve">253</w:t>
      </w:r>
      <w:r>
        <w:rPr>
          <w:rFonts w:hint="eastAsia" w:ascii="宋体" w:hAnsi="宋体" w:eastAsia="宋体"/>
          <w:bCs/>
          <w:sz w:val="21"/>
          <w:szCs w:val="21"/>
        </w:rPr>
        <w:t xml:space="preserve">号</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《中华人民共和国水污染防治法》</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《污水综合排放标准》</w:t>
      </w:r>
      <w:r>
        <w:rPr>
          <w:rFonts w:ascii="宋体" w:hAnsi="宋体" w:eastAsia="宋体"/>
          <w:bCs/>
          <w:sz w:val="21"/>
          <w:szCs w:val="21"/>
        </w:rPr>
        <w:t xml:space="preserve">GB8978-1996</w:t>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《医疗机构水污染物排放标准》（</w:t>
      </w:r>
      <w:r>
        <w:rPr>
          <w:rFonts w:ascii="宋体" w:hAnsi="宋体" w:eastAsia="宋体"/>
          <w:bCs/>
          <w:sz w:val="21"/>
          <w:szCs w:val="21"/>
        </w:rPr>
        <w:t xml:space="preserve">GB18466-2005</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《污水排入城镇下水道水质标准》（</w:t>
      </w:r>
      <w:r>
        <w:rPr>
          <w:rFonts w:ascii="宋体" w:hAnsi="宋体" w:eastAsia="宋体"/>
          <w:bCs/>
          <w:sz w:val="21"/>
          <w:szCs w:val="21"/>
        </w:rPr>
        <w:t xml:space="preserve">GB/T31962-2015</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《医院污水处理设计规范》（</w:t>
      </w:r>
      <w:r>
        <w:rPr>
          <w:rFonts w:ascii="宋体" w:hAnsi="宋体" w:eastAsia="宋体"/>
          <w:bCs/>
          <w:sz w:val="21"/>
          <w:szCs w:val="21"/>
        </w:rPr>
        <w:t xml:space="preserve">CECS07</w:t>
      </w:r>
      <w:r>
        <w:rPr>
          <w:rFonts w:hint="eastAsia" w:ascii="宋体" w:hAnsi="宋体" w:eastAsia="宋体"/>
          <w:bCs/>
          <w:sz w:val="21"/>
          <w:szCs w:val="21"/>
        </w:rPr>
        <w:t xml:space="preserve">：</w:t>
      </w:r>
      <w:r>
        <w:rPr>
          <w:rFonts w:ascii="宋体" w:hAnsi="宋体" w:eastAsia="宋体"/>
          <w:bCs/>
          <w:sz w:val="21"/>
          <w:szCs w:val="21"/>
        </w:rPr>
        <w:t xml:space="preserve">88</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《医院污水处理工程技术规范》（</w:t>
      </w:r>
      <w:r>
        <w:rPr>
          <w:rFonts w:ascii="宋体" w:hAnsi="宋体" w:eastAsia="宋体"/>
          <w:bCs/>
          <w:sz w:val="21"/>
          <w:szCs w:val="21"/>
        </w:rPr>
        <w:t xml:space="preserve">HJ 2029-2013</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《医院污水处理技术指南》环发</w:t>
      </w:r>
      <w:r>
        <w:rPr>
          <w:rFonts w:ascii="宋体" w:hAnsi="宋体" w:eastAsia="宋体"/>
          <w:bCs/>
          <w:sz w:val="21"/>
          <w:szCs w:val="21"/>
        </w:rPr>
        <w:t xml:space="preserve">[2003]197</w:t>
      </w:r>
      <w:r>
        <w:rPr>
          <w:rFonts w:hint="eastAsia" w:ascii="宋体" w:hAnsi="宋体" w:eastAsia="宋体"/>
          <w:bCs/>
          <w:sz w:val="21"/>
          <w:szCs w:val="21"/>
        </w:rPr>
        <w:t xml:space="preserve">号</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《消毒剂原料清单及禁限用物质》</w:t>
      </w:r>
      <w:r>
        <w:rPr>
          <w:rFonts w:ascii="宋体" w:hAnsi="宋体" w:eastAsia="宋体"/>
          <w:bCs/>
          <w:sz w:val="21"/>
          <w:szCs w:val="21"/>
        </w:rPr>
        <w:t xml:space="preserve">GB38850-2020</w:t>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《城市区域环境噪声标准》</w:t>
      </w:r>
      <w:r>
        <w:rPr>
          <w:rFonts w:ascii="宋体" w:hAnsi="宋体" w:eastAsia="宋体"/>
          <w:bCs/>
          <w:sz w:val="21"/>
          <w:szCs w:val="21"/>
        </w:rPr>
        <w:t xml:space="preserve">GB3096-1993 dB</w:t>
      </w:r>
      <w:r>
        <w:rPr>
          <w:rFonts w:hint="eastAsia" w:ascii="宋体" w:hAnsi="宋体" w:eastAsia="宋体"/>
          <w:bCs/>
          <w:sz w:val="21"/>
          <w:szCs w:val="21"/>
        </w:rPr>
        <w:t xml:space="preserve">（</w:t>
      </w:r>
      <w:r>
        <w:rPr>
          <w:rFonts w:ascii="宋体" w:hAnsi="宋体" w:eastAsia="宋体"/>
          <w:bCs/>
          <w:sz w:val="21"/>
          <w:szCs w:val="21"/>
        </w:rPr>
        <w:t xml:space="preserve">A</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《室外排水设计规范》</w:t>
      </w:r>
      <w:r>
        <w:rPr>
          <w:rFonts w:ascii="宋体" w:hAnsi="宋体" w:eastAsia="宋体"/>
          <w:bCs/>
          <w:sz w:val="21"/>
          <w:szCs w:val="21"/>
        </w:rPr>
        <w:t xml:space="preserve">GB50014-2021</w:t>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《建筑给排水设计规范》</w:t>
      </w:r>
      <w:r>
        <w:rPr>
          <w:rFonts w:ascii="宋体" w:hAnsi="宋体" w:eastAsia="宋体"/>
          <w:bCs/>
          <w:sz w:val="21"/>
          <w:szCs w:val="21"/>
        </w:rPr>
        <w:t xml:space="preserve">GB50015-2010</w:t>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《地表水环境质量标准》（</w:t>
      </w:r>
      <w:r>
        <w:rPr>
          <w:rFonts w:ascii="宋体" w:hAnsi="宋体" w:eastAsia="宋体"/>
          <w:bCs/>
          <w:sz w:val="21"/>
          <w:szCs w:val="21"/>
        </w:rPr>
        <w:t xml:space="preserve">GB3838-2002</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《环境空气质量标准》（</w:t>
      </w:r>
      <w:r>
        <w:rPr>
          <w:rFonts w:ascii="宋体" w:hAnsi="宋体" w:eastAsia="宋体"/>
          <w:bCs/>
          <w:sz w:val="21"/>
          <w:szCs w:val="21"/>
        </w:rPr>
        <w:t xml:space="preserve">GB3095-2012</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《给水排水工程结构设计规范》（</w:t>
      </w:r>
      <w:r>
        <w:rPr>
          <w:rFonts w:ascii="宋体" w:hAnsi="宋体" w:eastAsia="宋体"/>
          <w:bCs/>
          <w:sz w:val="21"/>
          <w:szCs w:val="21"/>
        </w:rPr>
        <w:t xml:space="preserve">GB50069-2002</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《供配电系统设计规范》（</w:t>
      </w:r>
      <w:r>
        <w:rPr>
          <w:rFonts w:ascii="宋体" w:hAnsi="宋体" w:eastAsia="宋体"/>
          <w:bCs/>
          <w:sz w:val="21"/>
          <w:szCs w:val="21"/>
        </w:rPr>
        <w:t xml:space="preserve">GB50052-2009</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《低压配电设计规范》（</w:t>
      </w:r>
      <w:r>
        <w:rPr>
          <w:rFonts w:ascii="宋体" w:hAnsi="宋体" w:eastAsia="宋体"/>
          <w:bCs/>
          <w:sz w:val="21"/>
          <w:szCs w:val="21"/>
        </w:rPr>
        <w:t xml:space="preserve">GB50054-2011</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《通用用电设备配电设计规范》（</w:t>
      </w:r>
      <w:r>
        <w:rPr>
          <w:rFonts w:ascii="宋体" w:hAnsi="宋体" w:eastAsia="宋体"/>
          <w:bCs/>
          <w:sz w:val="21"/>
          <w:szCs w:val="21"/>
        </w:rPr>
        <w:t xml:space="preserve">GB50055-2011</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《给水排水管道工程施工及验收规范》（</w:t>
      </w:r>
      <w:r>
        <w:rPr>
          <w:rFonts w:ascii="宋体" w:hAnsi="宋体" w:eastAsia="宋体"/>
          <w:bCs/>
          <w:sz w:val="21"/>
          <w:szCs w:val="21"/>
        </w:rPr>
        <w:t xml:space="preserve">GB50268-2008</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ascii="宋体" w:hAnsi="宋体" w:eastAsia="宋体"/>
          <w:bCs/>
          <w:sz w:val="21"/>
          <w:szCs w:val="21"/>
        </w:rPr>
      </w:pPr>
      <w:r>
        <w:rPr>
          <w:rFonts w:hint="eastAsia" w:ascii="宋体" w:hAnsi="宋体" w:eastAsia="宋体" w:cs="宋体"/>
          <w:bCs/>
          <w:sz w:val="21"/>
          <w:szCs w:val="21"/>
        </w:rPr>
        <w:t xml:space="preserve"></w:t>
      </w:r>
      <w:r>
        <w:rPr>
          <w:rFonts w:hint="eastAsia" w:ascii="宋体" w:hAnsi="宋体" w:eastAsia="宋体"/>
          <w:bCs/>
          <w:sz w:val="21"/>
          <w:szCs w:val="21"/>
        </w:rPr>
        <w:t xml:space="preserve">《水污染源在线监测系统按照技术规范》（</w:t>
      </w:r>
      <w:r>
        <w:rPr>
          <w:rFonts w:ascii="宋体" w:hAnsi="宋体" w:eastAsia="宋体"/>
          <w:bCs/>
          <w:sz w:val="21"/>
          <w:szCs w:val="21"/>
        </w:rPr>
        <w:t xml:space="preserve">HJ/T353-2007</w:t>
      </w:r>
      <w:r>
        <w:rPr>
          <w:rFonts w:hint="eastAsia" w:ascii="宋体" w:hAnsi="宋体" w:eastAsia="宋体"/>
          <w:bCs/>
          <w:sz w:val="21"/>
          <w:szCs w:val="21"/>
        </w:rPr>
        <w:t xml:space="preserve">）</w:t>
      </w:r>
      <w:r>
        <w:rPr>
          <w:rFonts w:ascii="宋体" w:hAnsi="宋体" w:eastAsia="宋体"/>
          <w:bCs/>
          <w:sz w:val="21"/>
          <w:szCs w:val="21"/>
        </w:rPr>
      </w:r>
      <w:r/>
    </w:p>
    <w:p>
      <w:pPr>
        <w:pStyle w:val="990"/>
        <w:ind w:right="-252" w:firstLine="464"/>
        <w:spacing w:line="360" w:lineRule="auto"/>
        <w:rPr>
          <w:rFonts w:hint="eastAsia" w:ascii="宋体" w:hAnsi="宋体" w:eastAsia="宋体"/>
          <w:bCs/>
          <w:sz w:val="21"/>
          <w:szCs w:val="21"/>
        </w:rPr>
      </w:pPr>
      <w:r>
        <w:rPr>
          <w:rFonts w:hint="eastAsia" w:ascii="宋体" w:hAnsi="宋体" w:eastAsia="宋体"/>
          <w:bCs/>
          <w:sz w:val="21"/>
          <w:szCs w:val="21"/>
        </w:rPr>
      </w:r>
      <w:r/>
    </w:p>
    <w:p>
      <w:pPr>
        <w:pStyle w:val="990"/>
        <w:ind w:right="-252" w:firstLine="0"/>
        <w:spacing w:line="360" w:lineRule="auto"/>
        <w:rPr>
          <w:rFonts w:ascii="宋体" w:hAnsi="宋体" w:eastAsia="宋体"/>
          <w:b/>
          <w:bCs/>
          <w:sz w:val="21"/>
          <w:szCs w:val="21"/>
        </w:rPr>
      </w:pPr>
      <w:r>
        <w:rPr>
          <w:rFonts w:hint="eastAsia" w:ascii="宋体" w:hAnsi="宋体" w:eastAsia="宋体"/>
          <w:bCs/>
          <w:sz w:val="21"/>
          <w:szCs w:val="21"/>
        </w:rPr>
        <w:t xml:space="preserve">  </w:t>
      </w:r>
      <w:r>
        <w:rPr>
          <w:rFonts w:hint="eastAsia" w:ascii="宋体" w:hAnsi="宋体" w:eastAsia="宋体"/>
          <w:b/>
          <w:bCs/>
          <w:sz w:val="21"/>
          <w:szCs w:val="21"/>
        </w:rPr>
        <w:t xml:space="preserve"> （二）污水处理</w:t>
      </w:r>
      <w:r>
        <w:rPr>
          <w:rFonts w:ascii="宋体" w:hAnsi="宋体" w:eastAsia="宋体"/>
          <w:b/>
          <w:bCs/>
          <w:sz w:val="21"/>
          <w:szCs w:val="21"/>
        </w:rPr>
      </w:r>
      <w:r/>
    </w:p>
    <w:p>
      <w:pPr>
        <w:pStyle w:val="990"/>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1、工艺流程图</w:t>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hint="eastAsia" w:ascii="Tahoma" w:hAnsi="Tahoma"/>
          <w:sz w:val="24"/>
        </w:rPr>
      </w:r>
      <w:r/>
    </w:p>
    <w:p>
      <w:pPr>
        <w:pStyle w:val="967"/>
        <w:rPr>
          <w:rFonts w:hint="eastAsia" w:ascii="Tahoma" w:hAnsi="Tahoma"/>
          <w:sz w:val="24"/>
        </w:rPr>
      </w:pPr>
      <w:r>
        <w:rPr>
          <w:rFonts w:ascii="Tahoma" w:hAnsi="Tahoma"/>
          <w:sz w:val="24"/>
        </w:rPr>
        <mc:AlternateContent>
          <mc:Choice Requires="wpg">
            <w:drawing>
              <wp:inline xmlns:wp="http://schemas.openxmlformats.org/drawingml/2006/wordprocessingDrawing" distT="0" distB="0" distL="0" distR="0">
                <wp:extent cx="4401858" cy="48799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401858" cy="4879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6.6pt;height:384.2pt;mso-wrap-distance-left:0.0pt;mso-wrap-distance-top:0.0pt;mso-wrap-distance-right:0.0pt;mso-wrap-distance-bottom:0.0pt;" stroked="f">
                <v:path textboxrect="0,0,0,0"/>
                <v:imagedata r:id="rId16" o:title=""/>
              </v:shape>
            </w:pict>
          </mc:Fallback>
        </mc:AlternateContent>
      </w:r>
      <w:r>
        <w:rPr>
          <w:rFonts w:hint="eastAsia" w:ascii="Tahoma" w:hAnsi="Tahoma"/>
          <w:sz w:val="24"/>
        </w:rPr>
      </w:r>
      <w:r/>
    </w:p>
    <w:p>
      <w:pPr>
        <w:pStyle w:val="990"/>
        <w:ind w:right="-252" w:firstLine="530"/>
        <w:spacing w:line="360" w:lineRule="auto"/>
        <w:rPr>
          <w:rFonts w:hint="eastAsia" w:eastAsia="宋体"/>
        </w:rPr>
      </w:pPr>
      <w:r>
        <w:rPr>
          <w:rFonts w:hint="eastAsia" w:eastAsia="宋体"/>
        </w:rPr>
      </w:r>
      <w:r/>
    </w:p>
    <w:p>
      <w:pPr>
        <w:pStyle w:val="990"/>
        <w:ind w:right="-252" w:firstLine="464"/>
        <w:spacing w:line="360" w:lineRule="auto"/>
        <w:rPr>
          <w:rFonts w:ascii="宋体" w:hAnsi="宋体" w:eastAsia="宋体"/>
          <w:bCs/>
          <w:sz w:val="21"/>
          <w:szCs w:val="21"/>
        </w:rPr>
      </w:pPr>
      <w:r>
        <w:rPr>
          <w:rFonts w:hint="eastAsia" w:ascii="宋体" w:hAnsi="宋体" w:eastAsia="宋体"/>
          <w:bCs/>
          <w:sz w:val="21"/>
          <w:szCs w:val="21"/>
        </w:rPr>
        <w:t xml:space="preserve">2、工艺流程说明</w:t>
      </w:r>
      <w:r>
        <w:rPr>
          <w:rFonts w:ascii="宋体" w:hAnsi="宋体" w:eastAsia="宋体"/>
          <w:bCs/>
          <w:sz w:val="21"/>
          <w:szCs w:val="21"/>
        </w:rPr>
      </w:r>
      <w:r/>
    </w:p>
    <w:p>
      <w:pPr>
        <w:pStyle w:val="967"/>
        <w:numPr>
          <w:ilvl w:val="0"/>
          <w:numId w:val="16"/>
        </w:numPr>
        <w:jc w:val="left"/>
        <w:spacing w:line="360" w:lineRule="auto"/>
        <w:widowControl/>
        <w:rPr>
          <w:rFonts w:hint="eastAsia" w:ascii="宋体" w:hAnsi="宋体"/>
          <w:szCs w:val="21"/>
        </w:rPr>
      </w:pPr>
      <w:r>
        <w:rPr>
          <w:rFonts w:hint="eastAsia" w:ascii="宋体" w:hAnsi="宋体"/>
          <w:szCs w:val="21"/>
        </w:rPr>
        <w:t xml:space="preserve">医疗污水收集后，首先进入初沉池，初沉池出水溢流进入格栅，设格栅一套，拦截污水中大颗粒固体物和漂浮物，保证后续处理装置稳定运行。</w:t>
      </w:r>
      <w:r/>
    </w:p>
    <w:p>
      <w:pPr>
        <w:pStyle w:val="967"/>
        <w:numPr>
          <w:ilvl w:val="0"/>
          <w:numId w:val="16"/>
        </w:numPr>
        <w:jc w:val="left"/>
        <w:spacing w:line="360" w:lineRule="auto"/>
        <w:widowControl/>
        <w:rPr>
          <w:rFonts w:hint="eastAsia" w:ascii="宋体" w:hAnsi="宋体"/>
          <w:szCs w:val="21"/>
        </w:rPr>
      </w:pPr>
      <w:r>
        <w:rPr>
          <w:rFonts w:hint="eastAsia" w:ascii="宋体" w:hAnsi="宋体"/>
          <w:szCs w:val="21"/>
        </w:rPr>
        <w:t xml:space="preserve">医疗污水自流进入调节池，污水在调节池收集储存，减少污水特征上的波动，调节水质和水量，为后续的水处理系统提供一个稳定和优化的操作条件。当污水暂时停止排放污水时，仍能对处理系统继续输入污水，保证系统的正常运行。内设空气搅拌装置，使沉淀物能被污水泵排走，避免调节池堵塞。</w:t>
      </w:r>
      <w:r/>
    </w:p>
    <w:p>
      <w:pPr>
        <w:pStyle w:val="967"/>
        <w:numPr>
          <w:ilvl w:val="0"/>
          <w:numId w:val="16"/>
        </w:numPr>
        <w:jc w:val="left"/>
        <w:spacing w:line="360" w:lineRule="auto"/>
        <w:widowControl/>
        <w:rPr>
          <w:rFonts w:hint="eastAsia" w:ascii="宋体" w:hAnsi="宋体"/>
          <w:szCs w:val="21"/>
        </w:rPr>
      </w:pPr>
      <w:r>
        <w:rPr>
          <w:rFonts w:hint="eastAsia" w:ascii="宋体" w:hAnsi="宋体"/>
          <w:szCs w:val="21"/>
        </w:rPr>
        <w:t xml:space="preserve">设置应急池，与调节池互通；</w:t>
      </w:r>
      <w:r/>
    </w:p>
    <w:p>
      <w:pPr>
        <w:pStyle w:val="967"/>
        <w:numPr>
          <w:ilvl w:val="0"/>
          <w:numId w:val="16"/>
        </w:numPr>
        <w:jc w:val="left"/>
        <w:spacing w:line="360" w:lineRule="auto"/>
        <w:widowControl/>
        <w:rPr>
          <w:rFonts w:hint="eastAsia" w:ascii="宋体" w:hAnsi="宋体"/>
          <w:szCs w:val="21"/>
        </w:rPr>
      </w:pPr>
      <w:r>
        <w:rPr>
          <w:rFonts w:hint="eastAsia" w:ascii="宋体" w:hAnsi="宋体"/>
          <w:szCs w:val="21"/>
        </w:rPr>
        <w:t xml:space="preserve">采用缺氧池，将污水中大分子难分解的有机物质变为小分子易降解的物质，不溶性物质分解为可溶性物质，长链状物质变为短链状或断链，B/C比上升，提高了污水的可生化性。</w:t>
      </w:r>
      <w:r/>
    </w:p>
    <w:p>
      <w:pPr>
        <w:pStyle w:val="967"/>
        <w:numPr>
          <w:ilvl w:val="0"/>
          <w:numId w:val="16"/>
        </w:numPr>
        <w:jc w:val="left"/>
        <w:spacing w:line="360" w:lineRule="auto"/>
        <w:widowControl/>
        <w:rPr>
          <w:rFonts w:hint="eastAsia" w:ascii="宋体" w:hAnsi="宋体"/>
          <w:szCs w:val="21"/>
        </w:rPr>
      </w:pPr>
      <w:r>
        <w:rPr>
          <w:rFonts w:hint="eastAsia" w:ascii="宋体" w:hAnsi="宋体"/>
          <w:szCs w:val="21"/>
        </w:rPr>
        <w:t xml:space="preserve">接着污水自流进入接触氧化池，通过控制各阶段曝气量使池内保持一定的溶解氧和优良的生物菌群与有机污染物接触反应环境，为有机污染物的降除，创造了最适应环境，废水中的有机污染物质被活性污泥中的各类生物菌群氧化分解为二氧化碳和水，得到去除。</w:t>
      </w:r>
      <w:r/>
    </w:p>
    <w:p>
      <w:pPr>
        <w:pStyle w:val="967"/>
        <w:numPr>
          <w:ilvl w:val="0"/>
          <w:numId w:val="16"/>
        </w:numPr>
        <w:jc w:val="left"/>
        <w:spacing w:line="360" w:lineRule="auto"/>
        <w:widowControl/>
        <w:rPr>
          <w:rFonts w:hint="eastAsia" w:ascii="宋体" w:hAnsi="宋体"/>
          <w:szCs w:val="21"/>
        </w:rPr>
      </w:pPr>
      <w:r>
        <w:rPr>
          <w:rFonts w:hint="eastAsia" w:ascii="宋体" w:hAnsi="宋体"/>
          <w:szCs w:val="21"/>
        </w:rPr>
        <w:t xml:space="preserve">采用沉淀池澄清接触氧化池出水中含有的脱落生物菌群和其他一些不溶性物质。沉淀池污泥部分回流至水解池，剩余污泥院方定期委外处理。</w:t>
      </w:r>
      <w:r/>
    </w:p>
    <w:p>
      <w:pPr>
        <w:pStyle w:val="967"/>
        <w:numPr>
          <w:ilvl w:val="0"/>
          <w:numId w:val="16"/>
        </w:numPr>
        <w:jc w:val="left"/>
        <w:spacing w:line="360" w:lineRule="auto"/>
        <w:widowControl/>
        <w:rPr>
          <w:rFonts w:hint="eastAsia" w:ascii="宋体" w:hAnsi="宋体"/>
          <w:szCs w:val="21"/>
        </w:rPr>
      </w:pPr>
      <w:r>
        <w:rPr>
          <w:rFonts w:hint="eastAsia" w:ascii="宋体" w:hAnsi="宋体"/>
          <w:szCs w:val="21"/>
        </w:rPr>
        <w:t xml:space="preserve">沉淀出水进入消毒池，出水经过消毒池消毒排放。消毒药剂使用含氯消毒药剂。</w:t>
      </w:r>
      <w:r/>
    </w:p>
    <w:p>
      <w:pPr>
        <w:pStyle w:val="967"/>
        <w:numPr>
          <w:ilvl w:val="0"/>
          <w:numId w:val="16"/>
        </w:numPr>
        <w:jc w:val="left"/>
        <w:spacing w:line="360" w:lineRule="auto"/>
        <w:widowControl/>
        <w:rPr>
          <w:rFonts w:hint="eastAsia" w:ascii="宋体" w:hAnsi="宋体"/>
          <w:szCs w:val="21"/>
        </w:rPr>
      </w:pPr>
      <w:r>
        <w:rPr>
          <w:rFonts w:hint="eastAsia" w:ascii="宋体" w:hAnsi="宋体"/>
          <w:szCs w:val="21"/>
        </w:rPr>
        <w:t xml:space="preserve">整个污水处理系统运行数据通过物联网进行实时在线监测。</w:t>
      </w:r>
      <w:r/>
    </w:p>
    <w:p>
      <w:pPr>
        <w:pStyle w:val="967"/>
        <w:numPr>
          <w:ilvl w:val="0"/>
          <w:numId w:val="16"/>
        </w:numPr>
        <w:jc w:val="left"/>
        <w:spacing w:line="360" w:lineRule="auto"/>
        <w:widowControl/>
        <w:rPr>
          <w:rFonts w:hint="eastAsia" w:ascii="宋体" w:hAnsi="宋体"/>
          <w:szCs w:val="21"/>
        </w:rPr>
      </w:pPr>
      <w:r>
        <w:rPr>
          <w:rFonts w:hint="eastAsia" w:ascii="宋体" w:hAnsi="宋体"/>
          <w:szCs w:val="21"/>
        </w:rPr>
        <w:t xml:space="preserve">污泥在污泥池收集。污泥定期压滤后由院方委托有资质的第三方外运处理。</w:t>
      </w:r>
      <w:r/>
    </w:p>
    <w:p>
      <w:pPr>
        <w:pStyle w:val="967"/>
        <w:numPr>
          <w:ilvl w:val="0"/>
          <w:numId w:val="16"/>
        </w:numPr>
        <w:jc w:val="left"/>
        <w:spacing w:line="360" w:lineRule="auto"/>
        <w:widowControl/>
        <w:rPr>
          <w:rFonts w:hint="eastAsia" w:ascii="宋体" w:hAnsi="宋体"/>
          <w:szCs w:val="21"/>
        </w:rPr>
      </w:pPr>
      <w:r>
        <w:rPr>
          <w:rFonts w:hint="eastAsia" w:ascii="宋体" w:hAnsi="宋体"/>
          <w:szCs w:val="21"/>
        </w:rPr>
        <w:t xml:space="preserve">调节池、缺氧池、接触氧化池、和污泥池产生的臭气，经收集后，采用光催化+活性炭吸附装置处理后排放。</w:t>
      </w:r>
      <w:r/>
    </w:p>
    <w:p>
      <w:pPr>
        <w:pStyle w:val="967"/>
        <w:ind w:left="420"/>
        <w:jc w:val="left"/>
        <w:spacing w:line="360" w:lineRule="auto"/>
        <w:widowControl/>
        <w:rPr>
          <w:rFonts w:ascii="宋体" w:hAnsi="宋体"/>
          <w:szCs w:val="21"/>
        </w:rPr>
      </w:pPr>
      <w:r>
        <w:rPr>
          <w:rFonts w:hint="eastAsia" w:ascii="宋体" w:hAnsi="宋体"/>
          <w:bCs/>
          <w:szCs w:val="21"/>
        </w:rPr>
        <w:t xml:space="preserve">3、消毒药剂说明</w:t>
      </w:r>
      <w:r>
        <w:rPr>
          <w:rFonts w:ascii="宋体" w:hAnsi="宋体"/>
          <w:szCs w:val="21"/>
        </w:rPr>
      </w:r>
      <w:r/>
    </w:p>
    <w:p>
      <w:pPr>
        <w:pStyle w:val="967"/>
        <w:spacing w:line="360" w:lineRule="auto"/>
        <w:rPr>
          <w:rFonts w:hint="eastAsia" w:ascii="宋体" w:hAnsi="宋体"/>
          <w:szCs w:val="21"/>
        </w:rPr>
      </w:pPr>
      <w:r>
        <w:rPr>
          <w:rFonts w:hint="eastAsia" w:ascii="宋体" w:hAnsi="宋体"/>
          <w:szCs w:val="21"/>
        </w:rPr>
        <w:t xml:space="preserve">本项目消毒药剂采样5%次氯酸钠溶液。</w:t>
      </w:r>
      <w:r/>
    </w:p>
    <w:p>
      <w:pPr>
        <w:pStyle w:val="967"/>
        <w:spacing w:line="360" w:lineRule="auto"/>
        <w:rPr>
          <w:rFonts w:hint="eastAsia" w:ascii="宋体" w:hAnsi="宋体"/>
          <w:szCs w:val="21"/>
        </w:rPr>
      </w:pPr>
      <w:r>
        <w:rPr>
          <w:rFonts w:hint="eastAsia" w:ascii="宋体" w:hAnsi="宋体"/>
          <w:szCs w:val="21"/>
        </w:rPr>
        <w:t xml:space="preserve">品名：次氯酸钠消毒剂 (有效氯含量≤5%)；</w:t>
      </w:r>
      <w:r/>
    </w:p>
    <w:p>
      <w:pPr>
        <w:pStyle w:val="967"/>
        <w:spacing w:line="360" w:lineRule="auto"/>
        <w:rPr>
          <w:rFonts w:hint="eastAsia" w:ascii="宋体" w:hAnsi="宋体"/>
          <w:szCs w:val="21"/>
        </w:rPr>
      </w:pPr>
      <w:r>
        <w:rPr>
          <w:rFonts w:hint="eastAsia" w:ascii="宋体" w:hAnsi="宋体"/>
          <w:szCs w:val="21"/>
        </w:rPr>
        <w:t xml:space="preserve">按照GB12268-2005及《危险化学品名录（2002版）》相关条款要求，本品有效氯含量不大于5%，不属于危险化学品。</w:t>
      </w:r>
      <w:r/>
    </w:p>
    <w:p>
      <w:pPr>
        <w:pStyle w:val="967"/>
        <w:spacing w:line="360" w:lineRule="auto"/>
        <w:rPr>
          <w:rFonts w:hint="eastAsia" w:ascii="宋体" w:hAnsi="宋体"/>
          <w:szCs w:val="21"/>
        </w:rPr>
      </w:pPr>
      <w:r>
        <w:rPr>
          <w:rFonts w:hint="eastAsia" w:ascii="宋体" w:hAnsi="宋体"/>
          <w:szCs w:val="21"/>
        </w:rPr>
        <w:t xml:space="preserve">作用：常用的含氯消毒剂之一，可杀灭多种细菌、病毒和真菌，如大肠杆菌、沙门氏菌等。</w:t>
      </w:r>
      <w:r/>
    </w:p>
    <w:p>
      <w:pPr>
        <w:pStyle w:val="967"/>
        <w:spacing w:line="360" w:lineRule="auto"/>
        <w:rPr>
          <w:rFonts w:hint="eastAsia" w:ascii="宋体" w:hAnsi="宋体"/>
          <w:szCs w:val="21"/>
        </w:rPr>
      </w:pPr>
      <w:r>
        <w:rPr>
          <w:rFonts w:hint="eastAsia" w:ascii="宋体" w:hAnsi="宋体"/>
          <w:szCs w:val="21"/>
        </w:rPr>
        <w:t xml:space="preserve">杀菌原理：通过水解作用形成次氯酸，次氯酸再进一步分解形成新生态氧[O]，新生态氧的极强氧化性使菌体和病毒的蛋白质变性，从而使病原微生物致死。</w:t>
      </w:r>
      <w:r/>
    </w:p>
    <w:p>
      <w:pPr>
        <w:pStyle w:val="967"/>
        <w:spacing w:line="360" w:lineRule="auto"/>
        <w:rPr>
          <w:rFonts w:hint="eastAsia" w:ascii="宋体" w:hAnsi="宋体"/>
          <w:szCs w:val="21"/>
        </w:rPr>
      </w:pPr>
      <w:r>
        <w:rPr>
          <w:rFonts w:hint="eastAsia" w:ascii="宋体" w:hAnsi="宋体"/>
          <w:szCs w:val="21"/>
        </w:rPr>
        <w:t xml:space="preserve">建议添加量：0.15~0.5L/吨（以实际情况为准），作用后剩余氯含量符合GB18466-2005要求。</w:t>
      </w:r>
      <w:r/>
    </w:p>
    <w:p>
      <w:pPr>
        <w:pStyle w:val="967"/>
        <w:ind w:right="-159"/>
        <w:spacing w:line="360" w:lineRule="auto"/>
        <w:rPr>
          <w:rFonts w:ascii="宋体"/>
          <w:b/>
          <w:bCs/>
          <w:color w:val="000000"/>
          <w:szCs w:val="21"/>
        </w:rPr>
      </w:pPr>
      <w:r>
        <w:rPr>
          <w:rFonts w:hint="eastAsia" w:ascii="宋体" w:hAnsi="宋体"/>
          <w:b/>
          <w:bCs/>
          <w:color w:val="000000"/>
          <w:szCs w:val="21"/>
        </w:rPr>
        <w:t xml:space="preserve">（三）其他污染物处理</w:t>
      </w:r>
      <w:r>
        <w:rPr>
          <w:rFonts w:ascii="宋体"/>
          <w:b/>
          <w:bCs/>
          <w:color w:val="000000"/>
          <w:szCs w:val="21"/>
        </w:rPr>
      </w:r>
      <w:r/>
    </w:p>
    <w:p>
      <w:pPr>
        <w:pStyle w:val="967"/>
        <w:spacing w:line="360" w:lineRule="auto"/>
        <w:rPr>
          <w:rFonts w:hint="eastAsia" w:ascii="宋体" w:hAnsi="宋体"/>
          <w:szCs w:val="21"/>
        </w:rPr>
      </w:pPr>
      <w:r>
        <w:rPr>
          <w:rFonts w:hint="eastAsia" w:ascii="宋体" w:hAnsi="宋体"/>
          <w:szCs w:val="21"/>
        </w:rPr>
        <w:t xml:space="preserve">1、系统运行当中会产生生化废气，根据《医院污水处理技术指南》环发[2003]197号中6.2.1要求：为防止病毒从医院水处理构筑物表面挥发到大气中而造成病毒的二次传播污染，将水处理池盖板密闭，预留进、出气口，把处于自由扩散状态的气体组织起来。进入管道定向流动到能阻截、过滤吸附、辐照或杀死病毒、细菌的设备中，经过有效处理后再排入大气。经处理后需保证污水处理站周边空气中污染物达到《医疗机构水污染物排放标准》GB18466-2005表3要求：</w:t>
      </w:r>
      <w:r/>
    </w:p>
    <w:tbl>
      <w:tblPr>
        <w:tblW w:w="8161"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43"/>
        <w:gridCol w:w="5616"/>
        <w:gridCol w:w="1802"/>
      </w:tblGrid>
      <w:tr>
        <w:trPr>
          <w:trHeight w:val="478"/>
        </w:trPr>
        <w:tc>
          <w:tcPr>
            <w:tcBorders>
              <w:top w:val="single" w:color="000000" w:sz="12" w:space="0"/>
              <w:left w:val="single" w:color="000000" w:sz="12" w:space="0"/>
              <w:bottom w:val="single" w:color="000000" w:sz="6" w:space="0"/>
              <w:right w:val="single" w:color="000000" w:sz="6" w:space="0"/>
            </w:tcBorders>
            <w:tcW w:w="743" w:type="dxa"/>
            <w:vAlign w:val="center"/>
            <w:textDirection w:val="lrTb"/>
            <w:noWrap w:val="false"/>
          </w:tcPr>
          <w:p>
            <w:pPr>
              <w:pStyle w:val="1346"/>
              <w:ind w:firstLine="0"/>
              <w:jc w:val="center"/>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Borders>
              <w:top w:val="single" w:color="000000" w:sz="12" w:space="0"/>
              <w:left w:val="single" w:color="000000" w:sz="6" w:space="0"/>
              <w:bottom w:val="single" w:color="000000" w:sz="6" w:space="0"/>
              <w:right w:val="single" w:color="000000" w:sz="6" w:space="0"/>
            </w:tcBorders>
            <w:tcW w:w="5616" w:type="dxa"/>
            <w:vAlign w:val="center"/>
            <w:textDirection w:val="lrTb"/>
            <w:noWrap w:val="false"/>
          </w:tcPr>
          <w:p>
            <w:pPr>
              <w:pStyle w:val="1346"/>
              <w:ind w:firstLine="0"/>
              <w:jc w:val="center"/>
              <w:rPr>
                <w:rFonts w:ascii="宋体" w:hAnsi="宋体"/>
                <w:color w:val="000000"/>
                <w:sz w:val="21"/>
                <w:szCs w:val="21"/>
              </w:rPr>
            </w:pPr>
            <w:r>
              <w:rPr>
                <w:rFonts w:hint="eastAsia" w:ascii="宋体" w:hAnsi="宋体"/>
                <w:color w:val="000000"/>
                <w:sz w:val="21"/>
                <w:szCs w:val="21"/>
              </w:rPr>
              <w:t xml:space="preserve">控制项目</w:t>
            </w:r>
            <w:r>
              <w:rPr>
                <w:rFonts w:ascii="宋体" w:hAnsi="宋体"/>
                <w:color w:val="000000"/>
                <w:sz w:val="21"/>
                <w:szCs w:val="21"/>
              </w:rPr>
            </w:r>
            <w:r/>
          </w:p>
        </w:tc>
        <w:tc>
          <w:tcPr>
            <w:tcBorders>
              <w:top w:val="single" w:color="000000" w:sz="12" w:space="0"/>
              <w:left w:val="single" w:color="000000" w:sz="6" w:space="0"/>
              <w:bottom w:val="single" w:color="000000" w:sz="6" w:space="0"/>
              <w:right w:val="single" w:color="000000" w:sz="12" w:space="0"/>
            </w:tcBorders>
            <w:tcW w:w="1802" w:type="dxa"/>
            <w:vAlign w:val="center"/>
            <w:textDirection w:val="lrTb"/>
            <w:noWrap w:val="false"/>
          </w:tcPr>
          <w:p>
            <w:pPr>
              <w:pStyle w:val="1346"/>
              <w:ind w:firstLine="0"/>
              <w:jc w:val="center"/>
              <w:rPr>
                <w:rFonts w:ascii="宋体" w:hAnsi="宋体"/>
                <w:color w:val="000000"/>
                <w:sz w:val="21"/>
                <w:szCs w:val="21"/>
              </w:rPr>
            </w:pPr>
            <w:r>
              <w:rPr>
                <w:rFonts w:hint="eastAsia" w:ascii="宋体" w:hAnsi="宋体"/>
                <w:color w:val="000000"/>
                <w:sz w:val="21"/>
                <w:szCs w:val="21"/>
              </w:rPr>
              <w:t xml:space="preserve">标准值</w:t>
            </w:r>
            <w:r>
              <w:rPr>
                <w:rFonts w:ascii="宋体" w:hAnsi="宋体"/>
                <w:color w:val="000000"/>
                <w:sz w:val="21"/>
                <w:szCs w:val="21"/>
              </w:rPr>
            </w:r>
            <w:r/>
          </w:p>
        </w:tc>
      </w:tr>
      <w:tr>
        <w:trPr>
          <w:trHeight w:val="631"/>
        </w:trPr>
        <w:tc>
          <w:tcPr>
            <w:tcBorders>
              <w:top w:val="single" w:color="000000" w:sz="6" w:space="0"/>
              <w:left w:val="single" w:color="000000" w:sz="12" w:space="0"/>
              <w:bottom w:val="single" w:color="000000" w:sz="6" w:space="0"/>
              <w:right w:val="single" w:color="000000" w:sz="6" w:space="0"/>
            </w:tcBorders>
            <w:tcW w:w="743" w:type="dxa"/>
            <w:vAlign w:val="center"/>
            <w:textDirection w:val="lrTb"/>
            <w:noWrap w:val="false"/>
          </w:tcPr>
          <w:p>
            <w:pPr>
              <w:pStyle w:val="1346"/>
              <w:ind w:firstLine="0"/>
              <w:jc w:val="center"/>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5616" w:type="dxa"/>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氨（mg/m</w:t>
            </w:r>
            <w:r>
              <w:rPr>
                <w:rFonts w:hint="eastAsia" w:ascii="宋体" w:hAnsi="宋体"/>
                <w:color w:val="000000"/>
                <w:position w:val="10"/>
                <w:szCs w:val="21"/>
                <w:vertAlign w:val="superscript"/>
              </w:rPr>
              <w:t xml:space="preserve">3</w:t>
            </w:r>
            <w:r>
              <w:rPr>
                <w:rFonts w:hint="eastAsia" w:ascii="宋体" w:hAnsi="宋体"/>
                <w:color w:val="000000"/>
                <w:szCs w:val="21"/>
              </w:rPr>
              <w:t xml:space="preserve">）</w:t>
            </w:r>
            <w:r>
              <w:rPr>
                <w:rFonts w:ascii="宋体"/>
                <w:color w:val="000000"/>
                <w:szCs w:val="21"/>
              </w:rPr>
            </w:r>
            <w:r/>
          </w:p>
        </w:tc>
        <w:tc>
          <w:tcPr>
            <w:tcBorders>
              <w:top w:val="single" w:color="000000" w:sz="6" w:space="0"/>
              <w:left w:val="single" w:color="000000" w:sz="6" w:space="0"/>
              <w:bottom w:val="single" w:color="000000" w:sz="6" w:space="0"/>
              <w:right w:val="single" w:color="000000" w:sz="12" w:space="0"/>
            </w:tcBorders>
            <w:tcW w:w="1802" w:type="dxa"/>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1.0</w:t>
            </w:r>
            <w:r>
              <w:rPr>
                <w:rFonts w:ascii="宋体"/>
                <w:color w:val="000000"/>
                <w:szCs w:val="21"/>
              </w:rPr>
            </w:r>
            <w:r/>
          </w:p>
        </w:tc>
      </w:tr>
      <w:tr>
        <w:trPr>
          <w:trHeight w:val="631"/>
        </w:trPr>
        <w:tc>
          <w:tcPr>
            <w:tcBorders>
              <w:top w:val="single" w:color="000000" w:sz="6" w:space="0"/>
              <w:left w:val="single" w:color="000000" w:sz="12" w:space="0"/>
              <w:bottom w:val="single" w:color="000000" w:sz="6" w:space="0"/>
              <w:right w:val="single" w:color="000000" w:sz="6" w:space="0"/>
            </w:tcBorders>
            <w:tcW w:w="743" w:type="dxa"/>
            <w:vAlign w:val="center"/>
            <w:textDirection w:val="lrTb"/>
            <w:noWrap w:val="false"/>
          </w:tcPr>
          <w:p>
            <w:pPr>
              <w:pStyle w:val="1346"/>
              <w:ind w:firstLine="0"/>
              <w:jc w:val="center"/>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5616" w:type="dxa"/>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硫化氢（mg/m</w:t>
            </w:r>
            <w:r>
              <w:rPr>
                <w:rFonts w:hint="eastAsia" w:ascii="宋体" w:hAnsi="宋体"/>
                <w:color w:val="000000"/>
                <w:position w:val="10"/>
                <w:szCs w:val="21"/>
                <w:vertAlign w:val="superscript"/>
              </w:rPr>
              <w:t xml:space="preserve">3</w:t>
            </w:r>
            <w:r>
              <w:rPr>
                <w:rFonts w:hint="eastAsia" w:ascii="宋体" w:hAnsi="宋体"/>
                <w:color w:val="000000"/>
                <w:szCs w:val="21"/>
              </w:rPr>
              <w:t xml:space="preserve">）</w:t>
            </w:r>
            <w:r>
              <w:rPr>
                <w:rFonts w:ascii="宋体"/>
                <w:color w:val="000000"/>
                <w:szCs w:val="21"/>
              </w:rPr>
            </w:r>
            <w:r/>
          </w:p>
        </w:tc>
        <w:tc>
          <w:tcPr>
            <w:tcBorders>
              <w:top w:val="single" w:color="000000" w:sz="6" w:space="0"/>
              <w:left w:val="single" w:color="000000" w:sz="6" w:space="0"/>
              <w:bottom w:val="single" w:color="000000" w:sz="6" w:space="0"/>
              <w:right w:val="single" w:color="000000" w:sz="12" w:space="0"/>
            </w:tcBorders>
            <w:tcW w:w="1802" w:type="dxa"/>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0.03</w:t>
            </w:r>
            <w:r>
              <w:rPr>
                <w:rFonts w:ascii="宋体"/>
                <w:color w:val="000000"/>
                <w:szCs w:val="21"/>
              </w:rPr>
            </w:r>
            <w:r/>
          </w:p>
        </w:tc>
      </w:tr>
      <w:tr>
        <w:trPr>
          <w:trHeight w:val="463"/>
        </w:trPr>
        <w:tc>
          <w:tcPr>
            <w:tcBorders>
              <w:top w:val="single" w:color="000000" w:sz="6" w:space="0"/>
              <w:left w:val="single" w:color="000000" w:sz="12" w:space="0"/>
              <w:bottom w:val="single" w:color="000000" w:sz="6" w:space="0"/>
              <w:right w:val="single" w:color="000000" w:sz="6" w:space="0"/>
            </w:tcBorders>
            <w:tcW w:w="743" w:type="dxa"/>
            <w:vAlign w:val="center"/>
            <w:textDirection w:val="lrTb"/>
            <w:noWrap w:val="false"/>
          </w:tcPr>
          <w:p>
            <w:pPr>
              <w:pStyle w:val="1346"/>
              <w:ind w:firstLine="0"/>
              <w:jc w:val="center"/>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5616" w:type="dxa"/>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臭气浓度（无量纲）</w:t>
            </w:r>
            <w:r>
              <w:rPr>
                <w:rFonts w:ascii="宋体"/>
                <w:color w:val="000000"/>
                <w:szCs w:val="21"/>
              </w:rPr>
            </w:r>
            <w:r/>
          </w:p>
        </w:tc>
        <w:tc>
          <w:tcPr>
            <w:tcBorders>
              <w:top w:val="single" w:color="000000" w:sz="6" w:space="0"/>
              <w:left w:val="single" w:color="000000" w:sz="6" w:space="0"/>
              <w:bottom w:val="single" w:color="000000" w:sz="6" w:space="0"/>
              <w:right w:val="single" w:color="000000" w:sz="12" w:space="0"/>
            </w:tcBorders>
            <w:tcW w:w="1802" w:type="dxa"/>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10</w:t>
            </w:r>
            <w:r>
              <w:rPr>
                <w:rFonts w:ascii="宋体"/>
                <w:color w:val="000000"/>
                <w:szCs w:val="21"/>
              </w:rPr>
            </w:r>
            <w:r/>
          </w:p>
        </w:tc>
      </w:tr>
      <w:tr>
        <w:trPr>
          <w:trHeight w:val="631"/>
        </w:trPr>
        <w:tc>
          <w:tcPr>
            <w:tcBorders>
              <w:top w:val="single" w:color="000000" w:sz="6" w:space="0"/>
              <w:left w:val="single" w:color="000000" w:sz="12" w:space="0"/>
              <w:bottom w:val="single" w:color="000000" w:sz="6" w:space="0"/>
              <w:right w:val="single" w:color="000000" w:sz="6" w:space="0"/>
            </w:tcBorders>
            <w:tcW w:w="743" w:type="dxa"/>
            <w:vAlign w:val="center"/>
            <w:textDirection w:val="lrTb"/>
            <w:noWrap w:val="false"/>
          </w:tcPr>
          <w:p>
            <w:pPr>
              <w:pStyle w:val="1346"/>
              <w:ind w:firstLine="0"/>
              <w:jc w:val="center"/>
              <w:rPr>
                <w:rFonts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5616" w:type="dxa"/>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氯气（mg/m</w:t>
            </w:r>
            <w:r>
              <w:rPr>
                <w:rFonts w:hint="eastAsia" w:ascii="宋体" w:hAnsi="宋体"/>
                <w:color w:val="000000"/>
                <w:position w:val="10"/>
                <w:szCs w:val="21"/>
                <w:vertAlign w:val="superscript"/>
              </w:rPr>
              <w:t xml:space="preserve">3</w:t>
            </w:r>
            <w:r>
              <w:rPr>
                <w:rFonts w:hint="eastAsia" w:ascii="宋体" w:hAnsi="宋体"/>
                <w:color w:val="000000"/>
                <w:szCs w:val="21"/>
              </w:rPr>
              <w:t xml:space="preserve">）</w:t>
            </w:r>
            <w:r>
              <w:rPr>
                <w:rFonts w:ascii="宋体"/>
                <w:color w:val="000000"/>
                <w:szCs w:val="21"/>
              </w:rPr>
            </w:r>
            <w:r/>
          </w:p>
        </w:tc>
        <w:tc>
          <w:tcPr>
            <w:tcBorders>
              <w:top w:val="single" w:color="000000" w:sz="6" w:space="0"/>
              <w:left w:val="single" w:color="000000" w:sz="6" w:space="0"/>
              <w:bottom w:val="single" w:color="000000" w:sz="6" w:space="0"/>
              <w:right w:val="single" w:color="000000" w:sz="12" w:space="0"/>
            </w:tcBorders>
            <w:tcW w:w="1802" w:type="dxa"/>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0.1</w:t>
            </w:r>
            <w:r>
              <w:rPr>
                <w:rFonts w:ascii="宋体"/>
                <w:color w:val="000000"/>
                <w:szCs w:val="21"/>
              </w:rPr>
            </w:r>
            <w:r/>
          </w:p>
        </w:tc>
      </w:tr>
      <w:tr>
        <w:trPr>
          <w:trHeight w:val="493"/>
        </w:trPr>
        <w:tc>
          <w:tcPr>
            <w:tcBorders>
              <w:top w:val="single" w:color="000000" w:sz="6" w:space="0"/>
              <w:left w:val="single" w:color="000000" w:sz="12" w:space="0"/>
              <w:bottom w:val="single" w:color="000000" w:sz="12" w:space="0"/>
              <w:right w:val="single" w:color="000000" w:sz="6" w:space="0"/>
            </w:tcBorders>
            <w:tcW w:w="743" w:type="dxa"/>
            <w:vAlign w:val="center"/>
            <w:textDirection w:val="lrTb"/>
            <w:noWrap w:val="false"/>
          </w:tcPr>
          <w:p>
            <w:pPr>
              <w:pStyle w:val="1346"/>
              <w:ind w:firstLine="0"/>
              <w:jc w:val="center"/>
              <w:rPr>
                <w:rFonts w:ascii="宋体" w:hAnsi="宋体"/>
                <w:color w:val="000000"/>
                <w:sz w:val="21"/>
                <w:szCs w:val="21"/>
              </w:rPr>
            </w:pPr>
            <w:r>
              <w:rPr>
                <w:rFonts w:hint="eastAsia" w:ascii="宋体" w:hAnsi="宋体"/>
                <w:color w:val="000000"/>
                <w:sz w:val="21"/>
                <w:szCs w:val="21"/>
              </w:rPr>
              <w:t xml:space="preserve">5</w:t>
            </w:r>
            <w:r>
              <w:rPr>
                <w:rFonts w:ascii="宋体" w:hAnsi="宋体"/>
                <w:color w:val="000000"/>
                <w:sz w:val="21"/>
                <w:szCs w:val="21"/>
              </w:rPr>
            </w:r>
            <w:r/>
          </w:p>
        </w:tc>
        <w:tc>
          <w:tcPr>
            <w:tcBorders>
              <w:top w:val="single" w:color="000000" w:sz="6" w:space="0"/>
              <w:left w:val="single" w:color="000000" w:sz="6" w:space="0"/>
              <w:bottom w:val="single" w:color="000000" w:sz="12" w:space="0"/>
              <w:right w:val="single" w:color="000000" w:sz="6" w:space="0"/>
            </w:tcBorders>
            <w:tcW w:w="5616" w:type="dxa"/>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甲烷（指处理站内最高体积百分数 %）</w:t>
            </w:r>
            <w:r>
              <w:rPr>
                <w:rFonts w:ascii="宋体"/>
                <w:color w:val="000000"/>
                <w:szCs w:val="21"/>
              </w:rPr>
            </w:r>
            <w:r/>
          </w:p>
        </w:tc>
        <w:tc>
          <w:tcPr>
            <w:tcBorders>
              <w:top w:val="single" w:color="000000" w:sz="6" w:space="0"/>
              <w:left w:val="single" w:color="000000" w:sz="6" w:space="0"/>
              <w:bottom w:val="single" w:color="000000" w:sz="12" w:space="0"/>
              <w:right w:val="single" w:color="000000" w:sz="12" w:space="0"/>
            </w:tcBorders>
            <w:tcW w:w="1802" w:type="dxa"/>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1%</w:t>
            </w:r>
            <w:r>
              <w:rPr>
                <w:rFonts w:ascii="宋体"/>
                <w:color w:val="000000"/>
                <w:szCs w:val="21"/>
              </w:rPr>
            </w:r>
            <w:r/>
          </w:p>
        </w:tc>
      </w:tr>
    </w:tbl>
    <w:p>
      <w:pPr>
        <w:pStyle w:val="967"/>
        <w:ind w:firstLine="420"/>
        <w:spacing w:line="360" w:lineRule="auto"/>
        <w:rPr>
          <w:rFonts w:hint="eastAsia" w:ascii="宋体" w:hAnsi="宋体"/>
          <w:color w:val="000000"/>
          <w:szCs w:val="21"/>
        </w:rPr>
      </w:pPr>
      <w:r>
        <w:rPr>
          <w:rFonts w:hint="eastAsia" w:ascii="宋体" w:hAnsi="宋体"/>
          <w:color w:val="000000"/>
          <w:szCs w:val="21"/>
        </w:rPr>
        <w:t xml:space="preserve"> 医院废气控制工艺比较</w:t>
      </w:r>
      <w:r/>
    </w:p>
    <w:tbl>
      <w:tblPr>
        <w:tblW w:w="4545" w:type="pct"/>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24"/>
        <w:gridCol w:w="1055"/>
        <w:gridCol w:w="1322"/>
        <w:gridCol w:w="1322"/>
        <w:gridCol w:w="1460"/>
        <w:gridCol w:w="1702"/>
        <w:gridCol w:w="565"/>
      </w:tblGrid>
      <w:tr>
        <w:trPr>
          <w:trHeight w:val="722"/>
        </w:trPr>
        <w:tc>
          <w:tcPr>
            <w:tcBorders>
              <w:top w:val="single" w:color="000000" w:sz="12" w:space="0"/>
              <w:left w:val="single" w:color="000000" w:sz="12" w:space="0"/>
              <w:bottom w:val="single" w:color="000000" w:sz="6" w:space="0"/>
              <w:right w:val="single" w:color="000000" w:sz="6" w:space="0"/>
            </w:tcBorders>
            <w:tcW w:w="388"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序号</w:t>
            </w:r>
            <w:r>
              <w:rPr>
                <w:rFonts w:ascii="宋体"/>
                <w:color w:val="000000"/>
                <w:szCs w:val="21"/>
              </w:rPr>
            </w:r>
            <w:r/>
          </w:p>
        </w:tc>
        <w:tc>
          <w:tcPr>
            <w:tcBorders>
              <w:top w:val="single" w:color="000000" w:sz="12" w:space="0"/>
              <w:left w:val="single" w:color="000000" w:sz="6" w:space="0"/>
              <w:bottom w:val="single" w:color="000000" w:sz="6" w:space="0"/>
              <w:right w:val="single" w:color="000000" w:sz="6" w:space="0"/>
            </w:tcBorders>
            <w:tcW w:w="655"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技术方法</w:t>
            </w:r>
            <w:r>
              <w:rPr>
                <w:rFonts w:ascii="宋体"/>
                <w:color w:val="000000"/>
                <w:szCs w:val="21"/>
              </w:rPr>
            </w:r>
            <w:r/>
          </w:p>
        </w:tc>
        <w:tc>
          <w:tcPr>
            <w:tcBorders>
              <w:top w:val="single" w:color="000000" w:sz="12" w:space="0"/>
              <w:left w:val="single" w:color="000000" w:sz="6" w:space="0"/>
              <w:bottom w:val="single" w:color="000000" w:sz="6" w:space="0"/>
              <w:right w:val="single" w:color="000000" w:sz="6" w:space="0"/>
            </w:tcBorders>
            <w:tcW w:w="82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应用</w:t>
            </w:r>
            <w:r>
              <w:rPr>
                <w:rFonts w:ascii="宋体"/>
                <w:color w:val="000000"/>
                <w:szCs w:val="21"/>
              </w:rPr>
            </w:r>
            <w:r/>
          </w:p>
        </w:tc>
        <w:tc>
          <w:tcPr>
            <w:tcBorders>
              <w:top w:val="single" w:color="000000" w:sz="12" w:space="0"/>
              <w:left w:val="single" w:color="000000" w:sz="6" w:space="0"/>
              <w:bottom w:val="single" w:color="000000" w:sz="6" w:space="0"/>
              <w:right w:val="single" w:color="000000" w:sz="6" w:space="0"/>
            </w:tcBorders>
            <w:tcW w:w="82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费用</w:t>
            </w:r>
            <w:r>
              <w:rPr>
                <w:rFonts w:ascii="宋体"/>
                <w:color w:val="000000"/>
                <w:szCs w:val="21"/>
              </w:rPr>
            </w:r>
            <w:r/>
          </w:p>
        </w:tc>
        <w:tc>
          <w:tcPr>
            <w:tcBorders>
              <w:top w:val="single" w:color="000000" w:sz="12" w:space="0"/>
              <w:left w:val="single" w:color="000000" w:sz="6" w:space="0"/>
              <w:bottom w:val="single" w:color="000000" w:sz="6" w:space="0"/>
              <w:right w:val="single" w:color="000000" w:sz="6" w:space="0"/>
            </w:tcBorders>
            <w:tcW w:w="907"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优点</w:t>
            </w:r>
            <w:r>
              <w:rPr>
                <w:rFonts w:ascii="宋体"/>
                <w:color w:val="000000"/>
                <w:szCs w:val="21"/>
              </w:rPr>
            </w:r>
            <w:r/>
          </w:p>
        </w:tc>
        <w:tc>
          <w:tcPr>
            <w:tcBorders>
              <w:top w:val="single" w:color="000000" w:sz="12" w:space="0"/>
              <w:left w:val="single" w:color="000000" w:sz="6" w:space="0"/>
              <w:bottom w:val="single" w:color="000000" w:sz="6" w:space="0"/>
              <w:right w:val="single" w:color="000000" w:sz="6" w:space="0"/>
            </w:tcBorders>
            <w:tcW w:w="1057"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缺点</w:t>
            </w:r>
            <w:r>
              <w:rPr>
                <w:rFonts w:ascii="宋体"/>
                <w:color w:val="000000"/>
                <w:szCs w:val="21"/>
              </w:rPr>
            </w:r>
            <w:r/>
          </w:p>
        </w:tc>
        <w:tc>
          <w:tcPr>
            <w:tcBorders>
              <w:top w:val="single" w:color="000000" w:sz="12" w:space="0"/>
              <w:left w:val="single" w:color="000000" w:sz="6" w:space="0"/>
              <w:bottom w:val="single" w:color="000000" w:sz="6" w:space="0"/>
              <w:right w:val="single" w:color="000000" w:sz="12" w:space="0"/>
            </w:tcBorders>
            <w:tcW w:w="35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去除率</w:t>
            </w:r>
            <w:r>
              <w:rPr>
                <w:rFonts w:ascii="宋体"/>
                <w:color w:val="000000"/>
                <w:szCs w:val="21"/>
              </w:rPr>
            </w:r>
            <w:r/>
          </w:p>
        </w:tc>
      </w:tr>
      <w:tr>
        <w:trPr/>
        <w:tc>
          <w:tcPr>
            <w:tcBorders>
              <w:top w:val="single" w:color="000000" w:sz="6" w:space="0"/>
              <w:left w:val="single" w:color="000000" w:sz="12" w:space="0"/>
              <w:bottom w:val="single" w:color="000000" w:sz="6" w:space="0"/>
              <w:right w:val="single" w:color="000000" w:sz="6" w:space="0"/>
            </w:tcBorders>
            <w:tcW w:w="388"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1</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655"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填料式湿法吸收塔</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82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中至重度污染；</w:t>
            </w:r>
            <w:r>
              <w:rPr>
                <w:rFonts w:ascii="宋体"/>
                <w:color w:val="000000"/>
                <w:szCs w:val="21"/>
              </w:rPr>
            </w:r>
            <w:r/>
          </w:p>
          <w:p>
            <w:pPr>
              <w:pStyle w:val="967"/>
              <w:jc w:val="center"/>
              <w:rPr>
                <w:rFonts w:ascii="宋体"/>
                <w:color w:val="000000"/>
                <w:szCs w:val="21"/>
              </w:rPr>
            </w:pPr>
            <w:r>
              <w:rPr>
                <w:rFonts w:hint="eastAsia" w:ascii="宋体" w:hAnsi="宋体"/>
                <w:color w:val="000000"/>
                <w:szCs w:val="21"/>
              </w:rPr>
              <w:t xml:space="preserve">中至大型设备</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82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中等投资和高运行成本</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有效可靠、使用年限长</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1057"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须处理排放废水，药剂消耗、填料定期更换产生医废等</w:t>
            </w:r>
            <w:r>
              <w:rPr>
                <w:rFonts w:ascii="宋体"/>
                <w:color w:val="000000"/>
                <w:szCs w:val="21"/>
              </w:rPr>
            </w:r>
            <w:r/>
          </w:p>
        </w:tc>
        <w:tc>
          <w:tcPr>
            <w:tcBorders>
              <w:top w:val="single" w:color="000000" w:sz="6" w:space="0"/>
              <w:left w:val="single" w:color="000000" w:sz="6" w:space="0"/>
              <w:bottom w:val="single" w:color="000000" w:sz="6" w:space="0"/>
              <w:right w:val="single" w:color="000000" w:sz="12" w:space="0"/>
            </w:tcBorders>
            <w:tcW w:w="35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99%</w:t>
            </w:r>
            <w:r>
              <w:rPr>
                <w:rFonts w:ascii="宋体"/>
                <w:color w:val="000000"/>
                <w:szCs w:val="21"/>
              </w:rPr>
            </w:r>
            <w:r/>
          </w:p>
        </w:tc>
      </w:tr>
      <w:tr>
        <w:trPr/>
        <w:tc>
          <w:tcPr>
            <w:tcBorders>
              <w:top w:val="single" w:color="000000" w:sz="6" w:space="0"/>
              <w:left w:val="single" w:color="000000" w:sz="12" w:space="0"/>
              <w:bottom w:val="single" w:color="000000" w:sz="6" w:space="0"/>
              <w:right w:val="single" w:color="000000" w:sz="6" w:space="0"/>
            </w:tcBorders>
            <w:tcW w:w="388"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2</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655"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活性炭吸附器</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82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低至中度污染；小至大型设施</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82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低投资，运行成本取决于活性炭填料更换次数</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占地面积小，方法、结构简易</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1057"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只适用于低浓度臭气，难以确定活性炭使用寿命，产生医疗废物</w:t>
            </w:r>
            <w:r>
              <w:rPr>
                <w:rFonts w:ascii="宋体"/>
                <w:color w:val="000000"/>
                <w:szCs w:val="21"/>
              </w:rPr>
            </w:r>
            <w:r/>
          </w:p>
        </w:tc>
        <w:tc>
          <w:tcPr>
            <w:tcBorders>
              <w:top w:val="single" w:color="000000" w:sz="6" w:space="0"/>
              <w:left w:val="single" w:color="000000" w:sz="6" w:space="0"/>
              <w:bottom w:val="single" w:color="000000" w:sz="6" w:space="0"/>
              <w:right w:val="single" w:color="000000" w:sz="12" w:space="0"/>
            </w:tcBorders>
            <w:tcW w:w="35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99%</w:t>
            </w:r>
            <w:r>
              <w:rPr>
                <w:rFonts w:ascii="宋体"/>
                <w:color w:val="000000"/>
                <w:szCs w:val="21"/>
              </w:rPr>
            </w:r>
            <w:r/>
          </w:p>
        </w:tc>
      </w:tr>
      <w:tr>
        <w:trPr/>
        <w:tc>
          <w:tcPr>
            <w:tcBorders>
              <w:top w:val="single" w:color="000000" w:sz="6" w:space="0"/>
              <w:left w:val="single" w:color="000000" w:sz="12" w:space="0"/>
              <w:bottom w:val="single" w:color="000000" w:sz="6" w:space="0"/>
              <w:right w:val="single" w:color="000000" w:sz="6" w:space="0"/>
            </w:tcBorders>
            <w:tcW w:w="388"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3</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655" w:type="pct"/>
            <w:vAlign w:val="center"/>
            <w:textDirection w:val="lrTb"/>
            <w:noWrap w:val="false"/>
          </w:tcPr>
          <w:p>
            <w:pPr>
              <w:pStyle w:val="967"/>
              <w:jc w:val="center"/>
              <w:tabs>
                <w:tab w:val="left" w:pos="600" w:leader="none"/>
              </w:tabs>
              <w:rPr>
                <w:rFonts w:ascii="宋体"/>
                <w:color w:val="000000"/>
                <w:szCs w:val="21"/>
              </w:rPr>
            </w:pPr>
            <w:r>
              <w:rPr>
                <w:rFonts w:hint="eastAsia" w:ascii="宋体" w:hAnsi="宋体"/>
                <w:color w:val="000000"/>
                <w:szCs w:val="21"/>
              </w:rPr>
              <w:t xml:space="preserve">生物滤池</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82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低至重度污染；大型设施</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82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中等投资和运行成本</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简易；运行维护较少</w:t>
            </w:r>
            <w:r>
              <w:rPr>
                <w:rFonts w:ascii="宋体"/>
                <w:color w:val="000000"/>
                <w:szCs w:val="21"/>
              </w:rPr>
            </w:r>
            <w:r/>
          </w:p>
        </w:tc>
        <w:tc>
          <w:tcPr>
            <w:tcBorders>
              <w:top w:val="single" w:color="000000" w:sz="6" w:space="0"/>
              <w:left w:val="single" w:color="000000" w:sz="6" w:space="0"/>
              <w:bottom w:val="single" w:color="000000" w:sz="6" w:space="0"/>
              <w:right w:val="single" w:color="000000" w:sz="6" w:space="0"/>
            </w:tcBorders>
            <w:tcW w:w="1057"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难以确立设计标准；不适合高浓度臭气，填料定期更换产生医废等</w:t>
            </w:r>
            <w:r>
              <w:rPr>
                <w:rFonts w:ascii="宋体"/>
                <w:color w:val="000000"/>
                <w:szCs w:val="21"/>
              </w:rPr>
            </w:r>
            <w:r/>
          </w:p>
        </w:tc>
        <w:tc>
          <w:tcPr>
            <w:tcBorders>
              <w:top w:val="single" w:color="000000" w:sz="6" w:space="0"/>
              <w:left w:val="single" w:color="000000" w:sz="6" w:space="0"/>
              <w:bottom w:val="single" w:color="000000" w:sz="6" w:space="0"/>
              <w:right w:val="single" w:color="000000" w:sz="12" w:space="0"/>
            </w:tcBorders>
            <w:tcW w:w="35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＞95%</w:t>
            </w:r>
            <w:r>
              <w:rPr>
                <w:rFonts w:ascii="宋体"/>
                <w:color w:val="000000"/>
                <w:szCs w:val="21"/>
              </w:rPr>
            </w:r>
            <w:r/>
          </w:p>
        </w:tc>
      </w:tr>
      <w:tr>
        <w:trPr/>
        <w:tc>
          <w:tcPr>
            <w:tcBorders>
              <w:top w:val="single" w:color="000000" w:sz="6" w:space="0"/>
              <w:left w:val="single" w:color="000000" w:sz="12" w:space="0"/>
              <w:bottom w:val="single" w:color="000000" w:sz="12" w:space="0"/>
              <w:right w:val="single" w:color="000000" w:sz="6" w:space="0"/>
            </w:tcBorders>
            <w:tcW w:w="388"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4</w:t>
            </w:r>
            <w:r>
              <w:rPr>
                <w:rFonts w:ascii="宋体"/>
                <w:color w:val="000000"/>
                <w:szCs w:val="21"/>
              </w:rPr>
            </w:r>
            <w:r/>
          </w:p>
        </w:tc>
        <w:tc>
          <w:tcPr>
            <w:tcBorders>
              <w:top w:val="single" w:color="000000" w:sz="6" w:space="0"/>
              <w:left w:val="single" w:color="000000" w:sz="6" w:space="0"/>
              <w:bottom w:val="single" w:color="000000" w:sz="12" w:space="0"/>
              <w:right w:val="single" w:color="000000" w:sz="6" w:space="0"/>
            </w:tcBorders>
            <w:tcW w:w="655"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UV光催化氧化</w:t>
            </w:r>
            <w:r>
              <w:rPr>
                <w:rFonts w:ascii="宋体"/>
                <w:color w:val="000000"/>
                <w:szCs w:val="21"/>
              </w:rPr>
            </w:r>
            <w:r/>
          </w:p>
        </w:tc>
        <w:tc>
          <w:tcPr>
            <w:tcBorders>
              <w:top w:val="single" w:color="000000" w:sz="6" w:space="0"/>
              <w:left w:val="single" w:color="000000" w:sz="6" w:space="0"/>
              <w:bottom w:val="single" w:color="000000" w:sz="12" w:space="0"/>
              <w:right w:val="single" w:color="000000" w:sz="6" w:space="0"/>
            </w:tcBorders>
            <w:tcW w:w="82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低至中度污染；小至大型设施</w:t>
            </w:r>
            <w:r>
              <w:rPr>
                <w:rFonts w:ascii="宋体"/>
                <w:color w:val="000000"/>
                <w:szCs w:val="21"/>
              </w:rPr>
            </w:r>
            <w:r/>
          </w:p>
        </w:tc>
        <w:tc>
          <w:tcPr>
            <w:tcBorders>
              <w:top w:val="single" w:color="000000" w:sz="6" w:space="0"/>
              <w:left w:val="single" w:color="000000" w:sz="6" w:space="0"/>
              <w:bottom w:val="single" w:color="000000" w:sz="12" w:space="0"/>
              <w:right w:val="single" w:color="000000" w:sz="6" w:space="0"/>
            </w:tcBorders>
            <w:tcW w:w="82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低投资和低运行成本</w:t>
            </w:r>
            <w:r>
              <w:rPr>
                <w:rFonts w:ascii="宋体"/>
                <w:color w:val="000000"/>
                <w:szCs w:val="21"/>
              </w:rPr>
            </w:r>
            <w:r/>
          </w:p>
        </w:tc>
        <w:tc>
          <w:tcPr>
            <w:tcBorders>
              <w:top w:val="single" w:color="000000" w:sz="6" w:space="0"/>
              <w:left w:val="single" w:color="000000" w:sz="6" w:space="0"/>
              <w:bottom w:val="single" w:color="000000" w:sz="12" w:space="0"/>
              <w:right w:val="single" w:color="000000" w:sz="6" w:space="0"/>
            </w:tcBorders>
            <w:tcW w:w="907"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占地面积小，能耗低，工艺成熟</w:t>
            </w:r>
            <w:r>
              <w:rPr>
                <w:rFonts w:ascii="宋体"/>
                <w:color w:val="000000"/>
                <w:szCs w:val="21"/>
              </w:rPr>
            </w:r>
            <w:r/>
          </w:p>
        </w:tc>
        <w:tc>
          <w:tcPr>
            <w:tcBorders>
              <w:top w:val="single" w:color="000000" w:sz="6" w:space="0"/>
              <w:left w:val="single" w:color="000000" w:sz="6" w:space="0"/>
              <w:bottom w:val="single" w:color="000000" w:sz="12" w:space="0"/>
              <w:right w:val="single" w:color="000000" w:sz="6" w:space="0"/>
            </w:tcBorders>
            <w:tcW w:w="1057"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不适合高浓度臭气，灯管需定期维护</w:t>
            </w:r>
            <w:r>
              <w:rPr>
                <w:rFonts w:ascii="宋体"/>
                <w:color w:val="000000"/>
                <w:szCs w:val="21"/>
              </w:rPr>
            </w:r>
            <w:r/>
          </w:p>
        </w:tc>
        <w:tc>
          <w:tcPr>
            <w:tcBorders>
              <w:top w:val="single" w:color="000000" w:sz="6" w:space="0"/>
              <w:left w:val="single" w:color="000000" w:sz="6" w:space="0"/>
              <w:bottom w:val="single" w:color="000000" w:sz="12" w:space="0"/>
              <w:right w:val="single" w:color="000000" w:sz="12" w:space="0"/>
            </w:tcBorders>
            <w:tcW w:w="351" w:type="pct"/>
            <w:vAlign w:val="center"/>
            <w:textDirection w:val="lrTb"/>
            <w:noWrap w:val="false"/>
          </w:tcPr>
          <w:p>
            <w:pPr>
              <w:pStyle w:val="967"/>
              <w:jc w:val="center"/>
              <w:rPr>
                <w:rFonts w:ascii="宋体"/>
                <w:color w:val="000000"/>
                <w:szCs w:val="21"/>
              </w:rPr>
            </w:pPr>
            <w:r>
              <w:rPr>
                <w:rFonts w:hint="eastAsia" w:ascii="宋体" w:hAnsi="宋体"/>
                <w:color w:val="000000"/>
                <w:szCs w:val="21"/>
              </w:rPr>
              <w:t xml:space="preserve">＞90%</w:t>
            </w:r>
            <w:r>
              <w:rPr>
                <w:rFonts w:ascii="宋体"/>
                <w:color w:val="000000"/>
                <w:szCs w:val="21"/>
              </w:rPr>
            </w:r>
            <w:r/>
          </w:p>
        </w:tc>
      </w:tr>
    </w:tbl>
    <w:p>
      <w:pPr>
        <w:pStyle w:val="967"/>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本项目采用光催化+活性炭吸附处理工艺，满足废气处理要求。</w:t>
      </w:r>
      <w:r/>
    </w:p>
    <w:p>
      <w:pPr>
        <w:pStyle w:val="967"/>
        <w:spacing w:line="360" w:lineRule="auto"/>
        <w:rPr>
          <w:rFonts w:ascii="宋体" w:hAnsi="宋体"/>
          <w:color w:val="000000"/>
          <w:szCs w:val="21"/>
        </w:rPr>
      </w:pPr>
      <w:r>
        <w:rPr>
          <w:rFonts w:hint="eastAsia" w:ascii="宋体" w:hAnsi="宋体"/>
          <w:color w:val="000000"/>
          <w:szCs w:val="21"/>
        </w:rPr>
        <w:t xml:space="preserve">  2、污泥处理</w:t>
      </w:r>
      <w:r>
        <w:rPr>
          <w:rFonts w:ascii="宋体" w:hAnsi="宋体"/>
          <w:color w:val="000000"/>
          <w:szCs w:val="21"/>
        </w:rPr>
      </w:r>
      <w:r/>
    </w:p>
    <w:p>
      <w:pPr>
        <w:pStyle w:val="967"/>
        <w:ind w:firstLine="420"/>
        <w:spacing w:line="360" w:lineRule="auto"/>
        <w:rPr>
          <w:rFonts w:hint="eastAsia" w:ascii="宋体" w:hAnsi="宋体"/>
          <w:color w:val="000000"/>
          <w:szCs w:val="21"/>
        </w:rPr>
      </w:pPr>
      <w:r>
        <w:rPr>
          <w:rFonts w:hint="eastAsia" w:ascii="宋体" w:hAnsi="宋体"/>
          <w:color w:val="000000"/>
          <w:szCs w:val="21"/>
        </w:rPr>
        <w:t xml:space="preserve">废水处理系统中的“生化”和“沉淀”当中会产生一定量的污泥。定期进行污泥处理，清液回流进入污水处理系统进水口，</w:t>
      </w:r>
      <w:r>
        <w:rPr>
          <w:rFonts w:hint="eastAsia" w:ascii="宋体" w:hAnsi="宋体"/>
          <w:szCs w:val="21"/>
        </w:rPr>
        <w:t xml:space="preserve">本项目污泥由院方定期委托有资质的第三方处理，按医疗废物处置</w:t>
      </w:r>
      <w:r>
        <w:rPr>
          <w:rFonts w:hint="eastAsia" w:ascii="宋体" w:hAnsi="宋体"/>
          <w:color w:val="000000"/>
          <w:szCs w:val="21"/>
        </w:rPr>
        <w:t xml:space="preserve">。参照《医疗机构水污染物排放标准》（GB18466-2005）。</w:t>
      </w:r>
      <w:r/>
    </w:p>
    <w:p>
      <w:pPr>
        <w:pStyle w:val="967"/>
        <w:ind w:right="68"/>
        <w:spacing w:line="360" w:lineRule="auto"/>
        <w:rPr>
          <w:rFonts w:hint="eastAsia" w:ascii="宋体" w:hAnsi="宋体"/>
          <w:color w:val="000000"/>
          <w:szCs w:val="21"/>
        </w:rPr>
      </w:pPr>
      <w:r>
        <w:rPr>
          <w:rFonts w:hint="eastAsia" w:ascii="宋体" w:hAnsi="宋体"/>
          <w:color w:val="000000"/>
          <w:szCs w:val="21"/>
        </w:rPr>
        <w:t xml:space="preserve"> </w:t>
      </w:r>
      <w:r/>
    </w:p>
    <w:p>
      <w:pPr>
        <w:pStyle w:val="967"/>
        <w:ind w:right="68"/>
        <w:spacing w:line="360" w:lineRule="auto"/>
        <w:rPr>
          <w:rFonts w:hint="eastAsia" w:ascii="宋体" w:hAnsi="宋体"/>
          <w:color w:val="000000"/>
          <w:szCs w:val="21"/>
        </w:rPr>
      </w:pPr>
      <w:r>
        <w:rPr>
          <w:rFonts w:hint="eastAsia" w:ascii="宋体" w:hAnsi="宋体"/>
          <w:color w:val="000000"/>
          <w:szCs w:val="21"/>
        </w:rPr>
      </w:r>
      <w:r/>
    </w:p>
    <w:p>
      <w:pPr>
        <w:pStyle w:val="967"/>
        <w:ind w:right="68"/>
        <w:spacing w:line="360" w:lineRule="auto"/>
        <w:rPr>
          <w:rFonts w:hint="eastAsia" w:ascii="宋体" w:hAnsi="宋体"/>
          <w:color w:val="000000"/>
          <w:szCs w:val="21"/>
        </w:rPr>
      </w:pPr>
      <w:r>
        <w:rPr>
          <w:rFonts w:hint="eastAsia" w:ascii="宋体" w:hAnsi="宋体"/>
          <w:color w:val="000000"/>
          <w:szCs w:val="21"/>
        </w:rPr>
      </w:r>
      <w:r/>
    </w:p>
    <w:p>
      <w:pPr>
        <w:pStyle w:val="967"/>
        <w:ind w:right="68"/>
        <w:spacing w:line="360" w:lineRule="auto"/>
        <w:rPr>
          <w:rFonts w:ascii="宋体"/>
          <w:color w:val="000000"/>
          <w:szCs w:val="21"/>
        </w:rPr>
      </w:pPr>
      <w:r>
        <w:rPr>
          <w:rFonts w:hint="eastAsia" w:ascii="宋体" w:hAnsi="宋体"/>
          <w:color w:val="000000"/>
          <w:szCs w:val="21"/>
        </w:rPr>
        <w:t xml:space="preserve"> 3、噪音处理</w:t>
      </w:r>
      <w:r>
        <w:rPr>
          <w:rFonts w:ascii="宋体"/>
          <w:color w:val="000000"/>
          <w:szCs w:val="21"/>
        </w:rPr>
      </w:r>
      <w:r/>
    </w:p>
    <w:p>
      <w:pPr>
        <w:pStyle w:val="967"/>
        <w:jc w:val="center"/>
        <w:rPr>
          <w:rFonts w:ascii="宋体" w:hAnsi="宋体"/>
          <w:szCs w:val="21"/>
        </w:rPr>
      </w:pPr>
      <w:r>
        <w:rPr>
          <w:rFonts w:hint="eastAsia" w:ascii="宋体"/>
          <w:color w:val="000000"/>
          <w:szCs w:val="21"/>
        </w:rPr>
        <w:t xml:space="preserve">          </w:t>
      </w:r>
      <w:r>
        <w:rPr>
          <w:rFonts w:hint="eastAsia" w:ascii="宋体" w:hAnsi="宋体"/>
          <w:szCs w:val="21"/>
        </w:rPr>
        <w:t xml:space="preserve">参照GB3096-1993《城市区域环境噪声标准》dB（A）</w:t>
      </w:r>
      <w:r>
        <w:rPr>
          <w:rFonts w:ascii="宋体" w:hAnsi="宋体"/>
          <w:szCs w:val="21"/>
        </w:rPr>
      </w:r>
      <w:r/>
    </w:p>
    <w:p>
      <w:pPr>
        <w:pStyle w:val="967"/>
        <w:jc w:val="center"/>
        <w:rPr>
          <w:rFonts w:hint="eastAsia" w:ascii="宋体" w:hAnsi="宋体"/>
          <w:szCs w:val="21"/>
        </w:rPr>
      </w:pPr>
      <w:r>
        <w:rPr>
          <w:rFonts w:hint="eastAsia" w:ascii="宋体" w:hAnsi="宋体"/>
          <w:szCs w:val="21"/>
        </w:rPr>
        <w:t xml:space="preserve">环境噪音限值            单位：dB(A)</w:t>
      </w:r>
      <w:r/>
    </w:p>
    <w:tbl>
      <w:tblPr>
        <w:tblW w:w="0" w:type="auto"/>
        <w:tblInd w:w="9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2"/>
        <w:gridCol w:w="1689"/>
        <w:gridCol w:w="1430"/>
        <w:gridCol w:w="1843"/>
      </w:tblGrid>
      <w:tr>
        <w:trPr>
          <w:cantSplit/>
        </w:trPr>
        <w:tc>
          <w:tcPr>
            <w:gridSpan w:val="2"/>
            <w:tcW w:w="3531" w:type="dxa"/>
            <w:vAlign w:val="center"/>
            <w:vMerge w:val="restart"/>
            <w:textDirection w:val="lrTb"/>
            <w:noWrap w:val="false"/>
          </w:tcPr>
          <w:p>
            <w:pPr>
              <w:pStyle w:val="967"/>
              <w:jc w:val="center"/>
              <w:rPr>
                <w:rFonts w:ascii="宋体" w:hAnsi="宋体"/>
                <w:szCs w:val="21"/>
              </w:rPr>
            </w:pPr>
            <w:r>
              <w:rPr>
                <w:rFonts w:hint="eastAsia" w:ascii="宋体" w:hAnsi="宋体"/>
                <w:szCs w:val="21"/>
              </w:rPr>
              <w:t xml:space="preserve">声环境功能区类别</w:t>
            </w:r>
            <w:r>
              <w:rPr>
                <w:rFonts w:ascii="宋体" w:hAnsi="宋体"/>
                <w:szCs w:val="21"/>
              </w:rPr>
            </w:r>
            <w:r/>
          </w:p>
        </w:tc>
        <w:tc>
          <w:tcPr>
            <w:gridSpan w:val="2"/>
            <w:tcW w:w="3273" w:type="dxa"/>
            <w:vAlign w:val="center"/>
            <w:textDirection w:val="lrTb"/>
            <w:noWrap w:val="false"/>
          </w:tcPr>
          <w:p>
            <w:pPr>
              <w:pStyle w:val="967"/>
              <w:jc w:val="center"/>
              <w:rPr>
                <w:rFonts w:ascii="宋体" w:hAnsi="宋体"/>
                <w:szCs w:val="21"/>
              </w:rPr>
            </w:pPr>
            <w:r>
              <w:rPr>
                <w:rFonts w:hint="eastAsia" w:ascii="宋体" w:hAnsi="宋体"/>
                <w:szCs w:val="21"/>
              </w:rPr>
              <w:t xml:space="preserve">时段</w:t>
            </w:r>
            <w:r>
              <w:rPr>
                <w:rFonts w:ascii="宋体" w:hAnsi="宋体"/>
                <w:szCs w:val="21"/>
              </w:rPr>
            </w:r>
            <w:r/>
          </w:p>
        </w:tc>
      </w:tr>
      <w:tr>
        <w:trPr>
          <w:cantSplit/>
          <w:trHeight w:val="331"/>
        </w:trPr>
        <w:tc>
          <w:tcPr>
            <w:gridSpan w:val="2"/>
            <w:tcW w:w="5220" w:type="dxa"/>
            <w:vAlign w:val="center"/>
            <w:vMerge w:val="continue"/>
            <w:textDirection w:val="lrTb"/>
            <w:noWrap w:val="false"/>
          </w:tcPr>
          <w:p>
            <w:pPr>
              <w:pStyle w:val="967"/>
              <w:rPr>
                <w:rFonts w:ascii="宋体" w:hAnsi="宋体"/>
                <w:szCs w:val="21"/>
              </w:rPr>
            </w:pPr>
            <w:r>
              <w:rPr>
                <w:rFonts w:ascii="宋体" w:hAnsi="宋体"/>
                <w:szCs w:val="21"/>
              </w:rPr>
            </w:r>
            <w:r/>
          </w:p>
        </w:tc>
        <w:tc>
          <w:tcPr>
            <w:tcW w:w="1430" w:type="dxa"/>
            <w:vAlign w:val="bottom"/>
            <w:textDirection w:val="lrTb"/>
            <w:noWrap w:val="false"/>
          </w:tcPr>
          <w:p>
            <w:pPr>
              <w:pStyle w:val="967"/>
              <w:jc w:val="center"/>
              <w:rPr>
                <w:rFonts w:ascii="宋体" w:hAnsi="宋体"/>
                <w:szCs w:val="21"/>
              </w:rPr>
            </w:pPr>
            <w:r>
              <w:rPr>
                <w:rFonts w:hint="eastAsia" w:ascii="宋体" w:hAnsi="宋体"/>
                <w:szCs w:val="21"/>
              </w:rPr>
              <w:t xml:space="preserve">昼间</w:t>
            </w:r>
            <w:r>
              <w:rPr>
                <w:rFonts w:ascii="宋体" w:hAnsi="宋体"/>
                <w:szCs w:val="21"/>
              </w:rPr>
            </w:r>
            <w:r/>
          </w:p>
        </w:tc>
        <w:tc>
          <w:tcPr>
            <w:tcW w:w="1843" w:type="dxa"/>
            <w:vAlign w:val="bottom"/>
            <w:textDirection w:val="lrTb"/>
            <w:noWrap w:val="false"/>
          </w:tcPr>
          <w:p>
            <w:pPr>
              <w:pStyle w:val="967"/>
              <w:jc w:val="center"/>
              <w:rPr>
                <w:rFonts w:ascii="宋体" w:hAnsi="宋体"/>
                <w:szCs w:val="21"/>
              </w:rPr>
            </w:pPr>
            <w:r>
              <w:rPr>
                <w:rFonts w:hint="eastAsia" w:ascii="宋体" w:hAnsi="宋体"/>
                <w:szCs w:val="21"/>
              </w:rPr>
              <w:t xml:space="preserve">夜间</w:t>
            </w:r>
            <w:r>
              <w:rPr>
                <w:rFonts w:ascii="宋体" w:hAnsi="宋体"/>
                <w:szCs w:val="21"/>
              </w:rPr>
            </w:r>
            <w:r/>
          </w:p>
        </w:tc>
      </w:tr>
      <w:tr>
        <w:trPr>
          <w:trHeight w:val="151"/>
        </w:trPr>
        <w:tc>
          <w:tcPr>
            <w:gridSpan w:val="2"/>
            <w:tcW w:w="3531" w:type="dxa"/>
            <w:vAlign w:val="center"/>
            <w:textDirection w:val="lrTb"/>
            <w:noWrap w:val="false"/>
          </w:tcPr>
          <w:p>
            <w:pPr>
              <w:pStyle w:val="967"/>
              <w:jc w:val="center"/>
              <w:rPr>
                <w:rFonts w:ascii="宋体" w:hAnsi="宋体"/>
                <w:szCs w:val="21"/>
              </w:rPr>
            </w:pPr>
            <w:r>
              <w:rPr>
                <w:rFonts w:hint="eastAsia" w:ascii="宋体" w:hAnsi="宋体"/>
                <w:szCs w:val="21"/>
              </w:rPr>
              <w:t xml:space="preserve">0类</w:t>
            </w:r>
            <w:r>
              <w:rPr>
                <w:rFonts w:ascii="宋体" w:hAnsi="宋体"/>
                <w:szCs w:val="21"/>
              </w:rPr>
            </w:r>
            <w:r/>
          </w:p>
        </w:tc>
        <w:tc>
          <w:tcPr>
            <w:tcW w:w="1430" w:type="dxa"/>
            <w:vAlign w:val="center"/>
            <w:textDirection w:val="lrTb"/>
            <w:noWrap w:val="false"/>
          </w:tcPr>
          <w:p>
            <w:pPr>
              <w:pStyle w:val="967"/>
              <w:jc w:val="center"/>
              <w:rPr>
                <w:rFonts w:ascii="宋体" w:hAnsi="宋体"/>
                <w:szCs w:val="21"/>
              </w:rPr>
            </w:pPr>
            <w:r>
              <w:rPr>
                <w:rFonts w:hint="eastAsia" w:ascii="宋体" w:hAnsi="宋体"/>
                <w:szCs w:val="21"/>
              </w:rPr>
              <w:t xml:space="preserve">50</w:t>
            </w:r>
            <w:r>
              <w:rPr>
                <w:rFonts w:ascii="宋体" w:hAnsi="宋体"/>
                <w:szCs w:val="21"/>
              </w:rPr>
            </w:r>
            <w:r/>
          </w:p>
        </w:tc>
        <w:tc>
          <w:tcPr>
            <w:tcW w:w="1843" w:type="dxa"/>
            <w:vAlign w:val="center"/>
            <w:textDirection w:val="lrTb"/>
            <w:noWrap w:val="false"/>
          </w:tcPr>
          <w:p>
            <w:pPr>
              <w:pStyle w:val="967"/>
              <w:jc w:val="center"/>
              <w:rPr>
                <w:rFonts w:ascii="宋体" w:hAnsi="宋体"/>
                <w:szCs w:val="21"/>
              </w:rPr>
            </w:pPr>
            <w:r>
              <w:rPr>
                <w:rFonts w:hint="eastAsia" w:ascii="宋体" w:hAnsi="宋体"/>
                <w:szCs w:val="21"/>
              </w:rPr>
              <w:t xml:space="preserve">40</w:t>
            </w:r>
            <w:r>
              <w:rPr>
                <w:rFonts w:ascii="宋体" w:hAnsi="宋体"/>
                <w:szCs w:val="21"/>
              </w:rPr>
            </w:r>
            <w:r/>
          </w:p>
        </w:tc>
      </w:tr>
      <w:tr>
        <w:trPr>
          <w:trHeight w:val="151"/>
        </w:trPr>
        <w:tc>
          <w:tcPr>
            <w:gridSpan w:val="2"/>
            <w:tcW w:w="3531" w:type="dxa"/>
            <w:vAlign w:val="center"/>
            <w:textDirection w:val="lrTb"/>
            <w:noWrap w:val="false"/>
          </w:tcPr>
          <w:p>
            <w:pPr>
              <w:pStyle w:val="967"/>
              <w:jc w:val="center"/>
              <w:rPr>
                <w:rFonts w:ascii="宋体" w:hAnsi="宋体"/>
                <w:szCs w:val="21"/>
              </w:rPr>
            </w:pPr>
            <w:r>
              <w:rPr>
                <w:rFonts w:hint="eastAsia" w:ascii="宋体" w:hAnsi="宋体"/>
                <w:szCs w:val="21"/>
              </w:rPr>
              <w:t xml:space="preserve">1类</w:t>
            </w:r>
            <w:r>
              <w:rPr>
                <w:rFonts w:ascii="宋体" w:hAnsi="宋体"/>
                <w:szCs w:val="21"/>
              </w:rPr>
            </w:r>
            <w:r/>
          </w:p>
        </w:tc>
        <w:tc>
          <w:tcPr>
            <w:tcW w:w="1430" w:type="dxa"/>
            <w:vAlign w:val="center"/>
            <w:textDirection w:val="lrTb"/>
            <w:noWrap w:val="false"/>
          </w:tcPr>
          <w:p>
            <w:pPr>
              <w:pStyle w:val="967"/>
              <w:jc w:val="center"/>
              <w:rPr>
                <w:rFonts w:ascii="宋体" w:hAnsi="宋体"/>
                <w:szCs w:val="21"/>
              </w:rPr>
            </w:pPr>
            <w:r>
              <w:rPr>
                <w:rFonts w:hint="eastAsia" w:ascii="宋体" w:hAnsi="宋体"/>
                <w:szCs w:val="21"/>
              </w:rPr>
              <w:t xml:space="preserve">55</w:t>
            </w:r>
            <w:r>
              <w:rPr>
                <w:rFonts w:ascii="宋体" w:hAnsi="宋体"/>
                <w:szCs w:val="21"/>
              </w:rPr>
            </w:r>
            <w:r/>
          </w:p>
        </w:tc>
        <w:tc>
          <w:tcPr>
            <w:tcW w:w="1843" w:type="dxa"/>
            <w:vAlign w:val="center"/>
            <w:textDirection w:val="lrTb"/>
            <w:noWrap w:val="false"/>
          </w:tcPr>
          <w:p>
            <w:pPr>
              <w:pStyle w:val="967"/>
              <w:jc w:val="center"/>
              <w:rPr>
                <w:rFonts w:ascii="宋体" w:hAnsi="宋体"/>
                <w:szCs w:val="21"/>
              </w:rPr>
            </w:pPr>
            <w:r>
              <w:rPr>
                <w:rFonts w:hint="eastAsia" w:ascii="宋体" w:hAnsi="宋体"/>
                <w:szCs w:val="21"/>
              </w:rPr>
              <w:t xml:space="preserve">45</w:t>
            </w:r>
            <w:r>
              <w:rPr>
                <w:rFonts w:ascii="宋体" w:hAnsi="宋体"/>
                <w:szCs w:val="21"/>
              </w:rPr>
            </w:r>
            <w:r/>
          </w:p>
        </w:tc>
      </w:tr>
      <w:tr>
        <w:trPr>
          <w:trHeight w:val="104"/>
        </w:trPr>
        <w:tc>
          <w:tcPr>
            <w:gridSpan w:val="2"/>
            <w:tcW w:w="3531" w:type="dxa"/>
            <w:vAlign w:val="center"/>
            <w:textDirection w:val="lrTb"/>
            <w:noWrap w:val="false"/>
          </w:tcPr>
          <w:p>
            <w:pPr>
              <w:pStyle w:val="967"/>
              <w:jc w:val="center"/>
              <w:rPr>
                <w:rFonts w:ascii="宋体" w:hAnsi="宋体"/>
                <w:szCs w:val="21"/>
              </w:rPr>
            </w:pPr>
            <w:r>
              <w:rPr>
                <w:rFonts w:hint="eastAsia" w:ascii="宋体" w:hAnsi="宋体"/>
                <w:szCs w:val="21"/>
              </w:rPr>
              <w:t xml:space="preserve">2类</w:t>
            </w:r>
            <w:r>
              <w:rPr>
                <w:rFonts w:ascii="宋体" w:hAnsi="宋体"/>
                <w:szCs w:val="21"/>
              </w:rPr>
            </w:r>
            <w:r/>
          </w:p>
        </w:tc>
        <w:tc>
          <w:tcPr>
            <w:tcW w:w="1430" w:type="dxa"/>
            <w:vAlign w:val="center"/>
            <w:textDirection w:val="lrTb"/>
            <w:noWrap w:val="false"/>
          </w:tcPr>
          <w:p>
            <w:pPr>
              <w:pStyle w:val="967"/>
              <w:jc w:val="center"/>
              <w:rPr>
                <w:rFonts w:ascii="宋体" w:hAnsi="宋体"/>
                <w:szCs w:val="21"/>
              </w:rPr>
            </w:pPr>
            <w:r>
              <w:rPr>
                <w:rFonts w:hint="eastAsia" w:ascii="宋体" w:hAnsi="宋体"/>
                <w:szCs w:val="21"/>
              </w:rPr>
              <w:t xml:space="preserve">60</w:t>
            </w:r>
            <w:r>
              <w:rPr>
                <w:rFonts w:ascii="宋体" w:hAnsi="宋体"/>
                <w:szCs w:val="21"/>
              </w:rPr>
            </w:r>
            <w:r/>
          </w:p>
        </w:tc>
        <w:tc>
          <w:tcPr>
            <w:tcW w:w="1843" w:type="dxa"/>
            <w:vAlign w:val="center"/>
            <w:textDirection w:val="lrTb"/>
            <w:noWrap w:val="false"/>
          </w:tcPr>
          <w:p>
            <w:pPr>
              <w:pStyle w:val="967"/>
              <w:jc w:val="center"/>
              <w:rPr>
                <w:rFonts w:ascii="宋体" w:hAnsi="宋体"/>
                <w:szCs w:val="21"/>
              </w:rPr>
            </w:pPr>
            <w:r>
              <w:rPr>
                <w:rFonts w:hint="eastAsia" w:ascii="宋体" w:hAnsi="宋体"/>
                <w:szCs w:val="21"/>
              </w:rPr>
              <w:t xml:space="preserve">50</w:t>
            </w:r>
            <w:r>
              <w:rPr>
                <w:rFonts w:ascii="宋体" w:hAnsi="宋体"/>
                <w:szCs w:val="21"/>
              </w:rPr>
            </w:r>
            <w:r/>
          </w:p>
        </w:tc>
      </w:tr>
      <w:tr>
        <w:trPr>
          <w:trHeight w:val="104"/>
        </w:trPr>
        <w:tc>
          <w:tcPr>
            <w:gridSpan w:val="2"/>
            <w:tcW w:w="3531" w:type="dxa"/>
            <w:vAlign w:val="center"/>
            <w:textDirection w:val="lrTb"/>
            <w:noWrap w:val="false"/>
          </w:tcPr>
          <w:p>
            <w:pPr>
              <w:pStyle w:val="967"/>
              <w:jc w:val="center"/>
              <w:rPr>
                <w:rFonts w:ascii="宋体" w:hAnsi="宋体"/>
                <w:szCs w:val="21"/>
              </w:rPr>
            </w:pPr>
            <w:r>
              <w:rPr>
                <w:rFonts w:hint="eastAsia" w:ascii="宋体" w:hAnsi="宋体"/>
                <w:szCs w:val="21"/>
              </w:rPr>
              <w:t xml:space="preserve">3类</w:t>
            </w:r>
            <w:r>
              <w:rPr>
                <w:rFonts w:ascii="宋体" w:hAnsi="宋体"/>
                <w:szCs w:val="21"/>
              </w:rPr>
            </w:r>
            <w:r/>
          </w:p>
        </w:tc>
        <w:tc>
          <w:tcPr>
            <w:tcW w:w="1430" w:type="dxa"/>
            <w:vAlign w:val="center"/>
            <w:textDirection w:val="lrTb"/>
            <w:noWrap w:val="false"/>
          </w:tcPr>
          <w:p>
            <w:pPr>
              <w:pStyle w:val="967"/>
              <w:jc w:val="center"/>
              <w:rPr>
                <w:rFonts w:ascii="宋体" w:hAnsi="宋体"/>
                <w:szCs w:val="21"/>
              </w:rPr>
            </w:pPr>
            <w:r>
              <w:rPr>
                <w:rFonts w:hint="eastAsia" w:ascii="宋体" w:hAnsi="宋体"/>
                <w:szCs w:val="21"/>
              </w:rPr>
              <w:t xml:space="preserve">65</w:t>
            </w:r>
            <w:r>
              <w:rPr>
                <w:rFonts w:ascii="宋体" w:hAnsi="宋体"/>
                <w:szCs w:val="21"/>
              </w:rPr>
            </w:r>
            <w:r/>
          </w:p>
        </w:tc>
        <w:tc>
          <w:tcPr>
            <w:tcW w:w="1843" w:type="dxa"/>
            <w:vAlign w:val="center"/>
            <w:textDirection w:val="lrTb"/>
            <w:noWrap w:val="false"/>
          </w:tcPr>
          <w:p>
            <w:pPr>
              <w:pStyle w:val="967"/>
              <w:jc w:val="center"/>
              <w:rPr>
                <w:rFonts w:ascii="宋体" w:hAnsi="宋体"/>
                <w:szCs w:val="21"/>
              </w:rPr>
            </w:pPr>
            <w:r>
              <w:rPr>
                <w:rFonts w:hint="eastAsia" w:ascii="宋体" w:hAnsi="宋体"/>
                <w:szCs w:val="21"/>
              </w:rPr>
              <w:t xml:space="preserve">55</w:t>
            </w:r>
            <w:r>
              <w:rPr>
                <w:rFonts w:ascii="宋体" w:hAnsi="宋体"/>
                <w:szCs w:val="21"/>
              </w:rPr>
            </w:r>
            <w:r/>
          </w:p>
        </w:tc>
      </w:tr>
      <w:tr>
        <w:trPr>
          <w:cantSplit/>
          <w:trHeight w:val="104"/>
        </w:trPr>
        <w:tc>
          <w:tcPr>
            <w:tcW w:w="1842" w:type="dxa"/>
            <w:vAlign w:val="center"/>
            <w:vMerge w:val="restart"/>
            <w:textDirection w:val="lrTb"/>
            <w:noWrap w:val="false"/>
          </w:tcPr>
          <w:p>
            <w:pPr>
              <w:pStyle w:val="967"/>
              <w:jc w:val="center"/>
              <w:rPr>
                <w:rFonts w:ascii="宋体" w:hAnsi="宋体"/>
                <w:szCs w:val="21"/>
              </w:rPr>
            </w:pPr>
            <w:r>
              <w:rPr>
                <w:rFonts w:hint="eastAsia" w:ascii="宋体" w:hAnsi="宋体"/>
                <w:szCs w:val="21"/>
              </w:rPr>
              <w:t xml:space="preserve">4类</w:t>
            </w:r>
            <w:r>
              <w:rPr>
                <w:rFonts w:ascii="宋体" w:hAnsi="宋体"/>
                <w:szCs w:val="21"/>
              </w:rPr>
            </w:r>
            <w:r/>
          </w:p>
        </w:tc>
        <w:tc>
          <w:tcPr>
            <w:tcW w:w="1689" w:type="dxa"/>
            <w:vAlign w:val="center"/>
            <w:textDirection w:val="lrTb"/>
            <w:noWrap w:val="false"/>
          </w:tcPr>
          <w:p>
            <w:pPr>
              <w:pStyle w:val="967"/>
              <w:jc w:val="center"/>
              <w:rPr>
                <w:rFonts w:ascii="宋体" w:hAnsi="宋体"/>
                <w:szCs w:val="21"/>
              </w:rPr>
            </w:pPr>
            <w:r>
              <w:rPr>
                <w:rFonts w:hint="eastAsia" w:ascii="宋体" w:hAnsi="宋体"/>
                <w:szCs w:val="21"/>
              </w:rPr>
              <w:t xml:space="preserve">4a类</w:t>
            </w:r>
            <w:r>
              <w:rPr>
                <w:rFonts w:ascii="宋体" w:hAnsi="宋体"/>
                <w:szCs w:val="21"/>
              </w:rPr>
            </w:r>
            <w:r/>
          </w:p>
        </w:tc>
        <w:tc>
          <w:tcPr>
            <w:tcW w:w="1430" w:type="dxa"/>
            <w:vAlign w:val="center"/>
            <w:textDirection w:val="lrTb"/>
            <w:noWrap w:val="false"/>
          </w:tcPr>
          <w:p>
            <w:pPr>
              <w:pStyle w:val="967"/>
              <w:jc w:val="center"/>
              <w:rPr>
                <w:rFonts w:ascii="宋体" w:hAnsi="宋体"/>
                <w:szCs w:val="21"/>
              </w:rPr>
            </w:pPr>
            <w:r>
              <w:rPr>
                <w:rFonts w:hint="eastAsia" w:ascii="宋体" w:hAnsi="宋体"/>
                <w:szCs w:val="21"/>
              </w:rPr>
              <w:t xml:space="preserve">70</w:t>
            </w:r>
            <w:r>
              <w:rPr>
                <w:rFonts w:ascii="宋体" w:hAnsi="宋体"/>
                <w:szCs w:val="21"/>
              </w:rPr>
            </w:r>
            <w:r/>
          </w:p>
        </w:tc>
        <w:tc>
          <w:tcPr>
            <w:tcW w:w="1843" w:type="dxa"/>
            <w:vAlign w:val="center"/>
            <w:textDirection w:val="lrTb"/>
            <w:noWrap w:val="false"/>
          </w:tcPr>
          <w:p>
            <w:pPr>
              <w:pStyle w:val="967"/>
              <w:jc w:val="center"/>
              <w:rPr>
                <w:rFonts w:ascii="宋体" w:hAnsi="宋体"/>
                <w:szCs w:val="21"/>
              </w:rPr>
            </w:pPr>
            <w:r>
              <w:rPr>
                <w:rFonts w:hint="eastAsia" w:ascii="宋体" w:hAnsi="宋体"/>
                <w:szCs w:val="21"/>
              </w:rPr>
              <w:t xml:space="preserve">55</w:t>
            </w:r>
            <w:r>
              <w:rPr>
                <w:rFonts w:ascii="宋体" w:hAnsi="宋体"/>
                <w:szCs w:val="21"/>
              </w:rPr>
            </w:r>
            <w:r/>
          </w:p>
        </w:tc>
      </w:tr>
      <w:tr>
        <w:trPr>
          <w:cantSplit/>
          <w:trHeight w:val="180"/>
        </w:trPr>
        <w:tc>
          <w:tcPr>
            <w:tcW w:w="3531" w:type="dxa"/>
            <w:vAlign w:val="center"/>
            <w:vMerge w:val="continue"/>
            <w:textDirection w:val="lrTb"/>
            <w:noWrap w:val="false"/>
          </w:tcPr>
          <w:p>
            <w:pPr>
              <w:pStyle w:val="967"/>
              <w:rPr>
                <w:rFonts w:ascii="宋体" w:hAnsi="宋体"/>
                <w:szCs w:val="21"/>
              </w:rPr>
            </w:pPr>
            <w:r>
              <w:rPr>
                <w:rFonts w:ascii="宋体" w:hAnsi="宋体"/>
                <w:szCs w:val="21"/>
              </w:rPr>
            </w:r>
            <w:r/>
          </w:p>
        </w:tc>
        <w:tc>
          <w:tcPr>
            <w:tcW w:w="1689" w:type="dxa"/>
            <w:vAlign w:val="center"/>
            <w:textDirection w:val="lrTb"/>
            <w:noWrap w:val="false"/>
          </w:tcPr>
          <w:p>
            <w:pPr>
              <w:pStyle w:val="967"/>
              <w:jc w:val="center"/>
              <w:rPr>
                <w:rFonts w:ascii="宋体" w:hAnsi="宋体"/>
                <w:szCs w:val="21"/>
              </w:rPr>
            </w:pPr>
            <w:r>
              <w:rPr>
                <w:rFonts w:hint="eastAsia" w:ascii="宋体" w:hAnsi="宋体"/>
                <w:szCs w:val="21"/>
              </w:rPr>
              <w:t xml:space="preserve">4b类</w:t>
            </w:r>
            <w:r>
              <w:rPr>
                <w:rFonts w:ascii="宋体" w:hAnsi="宋体"/>
                <w:szCs w:val="21"/>
              </w:rPr>
            </w:r>
            <w:r/>
          </w:p>
        </w:tc>
        <w:tc>
          <w:tcPr>
            <w:tcW w:w="1430" w:type="dxa"/>
            <w:vAlign w:val="center"/>
            <w:textDirection w:val="lrTb"/>
            <w:noWrap w:val="false"/>
          </w:tcPr>
          <w:p>
            <w:pPr>
              <w:pStyle w:val="967"/>
              <w:jc w:val="center"/>
              <w:rPr>
                <w:rFonts w:ascii="宋体" w:hAnsi="宋体"/>
                <w:szCs w:val="21"/>
              </w:rPr>
            </w:pPr>
            <w:r>
              <w:rPr>
                <w:rFonts w:hint="eastAsia" w:ascii="宋体" w:hAnsi="宋体"/>
                <w:szCs w:val="21"/>
              </w:rPr>
              <w:t xml:space="preserve">70</w:t>
            </w:r>
            <w:r>
              <w:rPr>
                <w:rFonts w:ascii="宋体" w:hAnsi="宋体"/>
                <w:szCs w:val="21"/>
              </w:rPr>
            </w:r>
            <w:r/>
          </w:p>
        </w:tc>
        <w:tc>
          <w:tcPr>
            <w:tcW w:w="1843" w:type="dxa"/>
            <w:vAlign w:val="center"/>
            <w:textDirection w:val="lrTb"/>
            <w:noWrap w:val="false"/>
          </w:tcPr>
          <w:p>
            <w:pPr>
              <w:pStyle w:val="967"/>
              <w:jc w:val="center"/>
              <w:rPr>
                <w:rFonts w:ascii="宋体" w:hAnsi="宋体"/>
                <w:szCs w:val="21"/>
              </w:rPr>
            </w:pPr>
            <w:r>
              <w:rPr>
                <w:rFonts w:hint="eastAsia" w:ascii="宋体" w:hAnsi="宋体"/>
                <w:szCs w:val="21"/>
              </w:rPr>
              <w:t xml:space="preserve">60</w:t>
            </w:r>
            <w:r>
              <w:rPr>
                <w:rFonts w:ascii="宋体" w:hAnsi="宋体"/>
                <w:szCs w:val="21"/>
              </w:rPr>
            </w:r>
            <w:r/>
          </w:p>
        </w:tc>
      </w:tr>
    </w:tbl>
    <w:p>
      <w:pPr>
        <w:pStyle w:val="967"/>
        <w:jc w:val="center"/>
        <w:rPr>
          <w:rFonts w:hint="eastAsia" w:ascii="宋体" w:hAnsi="宋体"/>
          <w:szCs w:val="21"/>
        </w:rPr>
      </w:pPr>
      <w:r>
        <w:rPr>
          <w:rFonts w:hint="eastAsia" w:ascii="宋体" w:hAnsi="宋体"/>
          <w:szCs w:val="21"/>
        </w:rPr>
      </w:r>
      <w:r/>
    </w:p>
    <w:p>
      <w:pPr>
        <w:pStyle w:val="967"/>
        <w:ind w:firstLine="420"/>
        <w:spacing w:line="360" w:lineRule="auto"/>
        <w:rPr>
          <w:rFonts w:ascii="宋体"/>
          <w:color w:val="000000"/>
          <w:szCs w:val="21"/>
        </w:rPr>
      </w:pPr>
      <w:r>
        <w:rPr>
          <w:rFonts w:hint="eastAsia" w:ascii="宋体" w:hAnsi="宋体" w:cs="宋体"/>
          <w:szCs w:val="21"/>
        </w:rPr>
        <w:t xml:space="preserve">本项目为2类，对污水处理设备中的水泵、鼓风机、废气风机噪音采取减噪措施：水泵出口安装法兰软接，底座安装橡胶垫减小自振。</w:t>
      </w:r>
      <w:r>
        <w:rPr>
          <w:rFonts w:ascii="宋体"/>
          <w:color w:val="000000"/>
          <w:szCs w:val="21"/>
        </w:rPr>
      </w:r>
      <w:r/>
    </w:p>
    <w:p>
      <w:pPr>
        <w:pStyle w:val="967"/>
        <w:ind w:right="-159"/>
        <w:spacing w:line="360" w:lineRule="auto"/>
        <w:rPr>
          <w:rFonts w:ascii="宋体"/>
          <w:b/>
          <w:bCs/>
          <w:color w:val="000000"/>
          <w:szCs w:val="21"/>
        </w:rPr>
      </w:pPr>
      <w:r>
        <w:rPr>
          <w:rFonts w:hint="eastAsia" w:ascii="宋体" w:hAnsi="宋体"/>
          <w:b/>
          <w:bCs/>
          <w:color w:val="000000"/>
          <w:szCs w:val="21"/>
        </w:rPr>
        <w:t xml:space="preserve">（四）供电配电</w:t>
      </w:r>
      <w:r>
        <w:rPr>
          <w:rFonts w:ascii="宋体"/>
          <w:b/>
          <w:bCs/>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1、技术要求</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1.1所采用的材料、设备等均符合图纸要求及国家质量标准的合格产品。按图纸相关说明及电气国家标准进行实施。</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1.2涉及进出本项目的孔洞由本项目施工单位在实施的同时进行相应密封性实施，保证电气实施后原有孔洞不进蛇鼠等小动物，并符合防火要求。</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1.3每台电机均提供过热载、过压保护。</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2、设计依据、标准、实施规范</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2.1国家有关电气设计规程、规范和标准，具体内容如下：</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——供电系统设计规范，GB50052；</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——低压配电设计规范，GB50054；</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——通用用电设备配电设计规范，GB50055；</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——建筑防雷设计规范，GB50057；</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——电力装置的电气测量仪表装置设计规范，GB50063；</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——电力装置的过电压保护设计规范，GB50064；</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——电力装置的接地设计规范，GB50065；</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——电力工程电缆设计规范，GB50217；</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——钢制电缆桥架工程设计规范  CECS31－91</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——建筑电气工程施工质量验收规范(GB50303-2002) </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——低压电器施工及验收规范  GB 50254—96</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——1kV及以下配线工程施工及验收规范  GB 50258—96</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2.2工艺、土建提供的用电资料。</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3、电气设备技术性能说明</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供应商提供全套满足本废水处理站电气系统运行和检修要求的电气设备，包括控制系统1套。业主提供至废水处理站设备间进线柜之间的电缆；总电源由业主提供。</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主要电气产品选择范围：</w:t>
      </w:r>
      <w:r>
        <w:rPr>
          <w:rFonts w:hint="eastAsia" w:ascii="宋体"/>
          <w:color w:val="000000"/>
          <w:szCs w:val="21"/>
        </w:rPr>
      </w:r>
      <w:r/>
    </w:p>
    <w:p>
      <w:pPr>
        <w:pStyle w:val="967"/>
        <w:ind w:right="-159" w:firstLine="420"/>
        <w:spacing w:line="360" w:lineRule="auto"/>
        <w:rPr>
          <w:rFonts w:hint="eastAsia" w:ascii="宋体"/>
          <w:color w:val="000000"/>
          <w:szCs w:val="21"/>
        </w:rPr>
      </w:pPr>
      <w:r>
        <w:rPr>
          <w:rFonts w:hint="eastAsia" w:ascii="宋体" w:hAnsi="宋体"/>
          <w:color w:val="000000"/>
          <w:szCs w:val="21"/>
        </w:rPr>
        <w:t xml:space="preserve">万能断路器、空气开关（塑壳开关）、接触器、热继电器采用知名品牌，其它附件选用优质产品。</w:t>
      </w:r>
      <w:r>
        <w:rPr>
          <w:rFonts w:hint="eastAsia" w:ascii="宋体"/>
          <w:color w:val="000000"/>
          <w:szCs w:val="21"/>
        </w:rPr>
      </w:r>
      <w:r/>
    </w:p>
    <w:p>
      <w:pPr>
        <w:pStyle w:val="967"/>
        <w:spacing w:line="360" w:lineRule="auto"/>
        <w:tabs>
          <w:tab w:val="left" w:pos="306" w:leader="none"/>
        </w:tabs>
        <w:rPr>
          <w:rFonts w:ascii="宋体" w:hAnsi="宋体"/>
          <w:b/>
          <w:bCs/>
          <w:szCs w:val="21"/>
        </w:rPr>
      </w:pPr>
      <w:r>
        <w:rPr>
          <w:rFonts w:hint="eastAsia" w:ascii="宋体" w:hAnsi="宋体"/>
          <w:b/>
          <w:bCs/>
          <w:szCs w:val="21"/>
        </w:rPr>
        <w:t xml:space="preserve">（五）运营维护</w:t>
      </w:r>
      <w:r>
        <w:rPr>
          <w:rFonts w:ascii="宋体" w:hAnsi="宋体"/>
          <w:b/>
          <w:bCs/>
          <w:szCs w:val="21"/>
        </w:rPr>
      </w:r>
      <w:r/>
    </w:p>
    <w:p>
      <w:pPr>
        <w:pStyle w:val="967"/>
        <w:spacing w:line="360" w:lineRule="auto"/>
        <w:rPr>
          <w:rFonts w:hint="eastAsia" w:ascii="宋体" w:hAnsi="宋体"/>
          <w:szCs w:val="21"/>
        </w:rPr>
      </w:pPr>
      <w:r>
        <w:rPr>
          <w:rFonts w:hint="eastAsia" w:ascii="宋体" w:hAnsi="宋体"/>
          <w:szCs w:val="21"/>
        </w:rPr>
        <w:t xml:space="preserve">1、设备维护计划</w:t>
      </w:r>
      <w:r/>
    </w:p>
    <w:tbl>
      <w:tblPr>
        <w:tblW w:w="8197"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76"/>
        <w:gridCol w:w="20"/>
        <w:gridCol w:w="1675"/>
        <w:gridCol w:w="1521"/>
        <w:gridCol w:w="1152"/>
        <w:gridCol w:w="1924"/>
        <w:gridCol w:w="15"/>
        <w:gridCol w:w="1192"/>
        <w:gridCol w:w="22"/>
      </w:tblGrid>
      <w:tr>
        <w:trPr>
          <w:trHeight w:val="649"/>
        </w:trPr>
        <w:tc>
          <w:tcPr>
            <w:gridSpan w:val="2"/>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675"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系统</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设备</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保养频率</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保养说明</w:t>
            </w:r>
            <w:r>
              <w:rPr>
                <w:rFonts w:ascii="宋体" w:hAnsi="宋体"/>
                <w:color w:val="000000"/>
                <w:szCs w:val="21"/>
              </w:rPr>
            </w:r>
            <w:r/>
          </w:p>
        </w:tc>
        <w:tc>
          <w:tcPr>
            <w:gridSpan w:val="3"/>
            <w:tcBorders>
              <w:top w:val="single" w:color="000000" w:sz="8"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配件更换</w:t>
            </w:r>
            <w:r>
              <w:rPr>
                <w:rFonts w:ascii="宋体" w:hAnsi="宋体"/>
                <w:color w:val="000000"/>
                <w:szCs w:val="21"/>
              </w:rPr>
            </w:r>
            <w:r/>
          </w:p>
        </w:tc>
      </w:tr>
      <w:tr>
        <w:trPr>
          <w:cantSplit/>
          <w:trHeight w:val="9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restart"/>
            <w:textDirection w:val="lrTb"/>
            <w:noWrap w:val="false"/>
          </w:tcPr>
          <w:p>
            <w:pPr>
              <w:pStyle w:val="1341"/>
              <w:ind w:firstLine="0"/>
              <w:rPr>
                <w:rFonts w:hAnsi="宋体"/>
                <w:szCs w:val="21"/>
              </w:rPr>
            </w:pPr>
            <w:r>
              <w:rPr>
                <w:rFonts w:hint="eastAsia" w:hAnsi="宋体"/>
                <w:color w:val="000000"/>
                <w:szCs w:val="21"/>
              </w:rPr>
              <w:t xml:space="preserve">前端收集池</w:t>
            </w:r>
            <w:r>
              <w:rPr>
                <w:rFonts w:hAnsi="宋体"/>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调节池</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巡检，观察池内状况、水质情况，池体结构等</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64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szCs w:val="21"/>
              </w:rPr>
            </w:pP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液位计</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灵敏度检查、测试</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565"/>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szCs w:val="21"/>
              </w:rPr>
            </w:pP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提升泵</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szCs w:val="21"/>
              </w:rPr>
            </w:pPr>
            <w:r>
              <w:rPr>
                <w:rFonts w:hint="eastAsia" w:ascii="宋体" w:hAnsi="宋体"/>
                <w:szCs w:val="21"/>
              </w:rPr>
              <w:t xml:space="preserve">日</w:t>
            </w: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szCs w:val="21"/>
              </w:rPr>
            </w:pPr>
            <w:r>
              <w:rPr>
                <w:rFonts w:hint="eastAsia" w:ascii="宋体" w:hAnsi="宋体"/>
                <w:szCs w:val="21"/>
              </w:rPr>
              <w:t xml:space="preserve">检查出水量（监测平台数据）</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szCs w:val="21"/>
              </w:rPr>
            </w:pPr>
            <w:r>
              <w:rPr>
                <w:rFonts w:hint="eastAsia" w:ascii="宋体" w:hAnsi="宋体"/>
                <w:szCs w:val="21"/>
              </w:rPr>
              <w:t xml:space="preserve">否</w:t>
            </w:r>
            <w:r>
              <w:rPr>
                <w:rFonts w:ascii="宋体" w:hAnsi="宋体"/>
                <w:szCs w:val="21"/>
              </w:rPr>
            </w:r>
            <w:r/>
          </w:p>
        </w:tc>
      </w:tr>
      <w:tr>
        <w:trPr>
          <w:cantSplit/>
          <w:trHeight w:val="822"/>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szCs w:val="21"/>
              </w:rPr>
            </w:pP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检查流量是否正常</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10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szCs w:val="21"/>
              </w:rPr>
            </w:pP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检测电流、绝缘性</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cantSplit/>
          <w:trHeight w:val="106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szCs w:val="21"/>
              </w:rPr>
            </w:pP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流量计</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检查是否正常</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106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手动格栅</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检查异物堵塞情况，打捞清理堵塞异物</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106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szCs w:val="21"/>
              </w:rPr>
            </w:pPr>
            <w:r>
              <w:rPr>
                <w:rFonts w:ascii="宋体" w:hAnsi="宋体"/>
                <w:szCs w:val="21"/>
              </w:rPr>
            </w:r>
            <w:r/>
          </w:p>
        </w:tc>
        <w:tc>
          <w:tcPr>
            <w:tcBorders>
              <w:top w:val="none" w:color="000000" w:sz="4" w:space="0"/>
              <w:left w:val="none" w:color="000000" w:sz="4" w:space="0"/>
              <w:bottom w:val="none" w:color="000000" w:sz="4"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检查格栅是否有破损</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cantSplit/>
          <w:trHeight w:val="90"/>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生化处理系统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污泥提升泵</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检查提升泵工作状况及回流量检查</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127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微孔曝气搅拌盘</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检查池体气泡均匀情况，根据含氧量，调整爆气程度</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cantSplit/>
          <w:trHeight w:val="9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斜管</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巡检查看污泥沉淀情况，上清液出水情况</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964"/>
        </w:trPr>
        <w:tc>
          <w:tcPr>
            <w:gridSpan w:val="2"/>
            <w:tcBorders>
              <w:top w:val="none" w:color="000000" w:sz="4" w:space="0"/>
              <w:left w:val="single" w:color="000000" w:sz="8" w:space="0"/>
              <w:bottom w:val="none" w:color="000000" w:sz="4" w:space="0"/>
              <w:right w:val="single" w:color="000000" w:sz="8" w:space="0"/>
            </w:tcBorders>
            <w:tcW w:w="696"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回转风机</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检查皮带磨损情况；运行情况；进气管过滤棉清洁；检查压力表压力是否正常</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cantSplit/>
          <w:trHeight w:val="691"/>
        </w:trPr>
        <w:tc>
          <w:tcPr>
            <w:gridSpan w:val="2"/>
            <w:tcBorders>
              <w:top w:val="none" w:color="000000" w:sz="4" w:space="0"/>
              <w:left w:val="single" w:color="000000" w:sz="8" w:space="0"/>
              <w:bottom w:val="none" w:color="000000" w:sz="4" w:space="0"/>
              <w:right w:val="single" w:color="000000" w:sz="8" w:space="0"/>
            </w:tcBorders>
            <w:tcW w:w="696"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温度量测</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81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季度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更换齿轮油</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cantSplit/>
          <w:trHeight w:val="9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14</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潜水搅拌机</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检查设备运行情况；运行电流量测</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1078"/>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15</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消毒系统及预处理系统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消毒池</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巡检，查看池体状况，出水状况等</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54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16</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池体使用评估</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822"/>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17</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加药泵</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加药泵有无空打堵塞</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801"/>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18</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szCs w:val="21"/>
              </w:rPr>
            </w:pPr>
            <w:r>
              <w:rPr>
                <w:rFonts w:hint="eastAsia" w:ascii="宋体" w:hAnsi="宋体"/>
                <w:szCs w:val="21"/>
              </w:rPr>
              <w:t xml:space="preserve">加药箱</w:t>
            </w: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szCs w:val="21"/>
              </w:rPr>
            </w:pPr>
            <w:r>
              <w:rPr>
                <w:rFonts w:hint="eastAsia" w:ascii="宋体" w:hAnsi="宋体"/>
                <w:szCs w:val="21"/>
              </w:rPr>
              <w:t xml:space="preserve">周</w:t>
            </w: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szCs w:val="21"/>
              </w:rPr>
            </w:pPr>
            <w:r>
              <w:rPr>
                <w:rFonts w:hint="eastAsia" w:ascii="宋体" w:hAnsi="宋体"/>
                <w:szCs w:val="21"/>
              </w:rPr>
              <w:t xml:space="preserve">检查药剂剩余量</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szCs w:val="21"/>
              </w:rPr>
            </w:pPr>
            <w:r>
              <w:rPr>
                <w:rFonts w:hint="eastAsia" w:ascii="宋体" w:hAnsi="宋体"/>
                <w:szCs w:val="21"/>
              </w:rPr>
              <w:t xml:space="preserve">否</w:t>
            </w:r>
            <w:r>
              <w:rPr>
                <w:rFonts w:ascii="宋体" w:hAnsi="宋体"/>
                <w:szCs w:val="21"/>
              </w:rPr>
            </w:r>
            <w:r/>
          </w:p>
        </w:tc>
      </w:tr>
      <w:tr>
        <w:trPr>
          <w:cantSplit/>
          <w:trHeight w:val="860"/>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19</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管路</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管路有无泄漏</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127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20</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监测设备</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DPD总余氯检测设备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检查设备进水量，水量不足调整，堵塞塞及时清理</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807"/>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21</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color w:val="000000"/>
                <w:szCs w:val="21"/>
              </w:rPr>
            </w:pPr>
            <w:r>
              <w:rPr>
                <w:rFonts w:hint="eastAsia" w:ascii="宋体" w:hAnsi="宋体"/>
                <w:szCs w:val="21"/>
              </w:rPr>
              <w:t xml:space="preserve">检测试剂剩余量，药剂不足及时补充</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9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22</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恒流盒清理清洁，检查管路出水情况</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807"/>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23</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季度</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数据对比</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81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24</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大保养，标定数据。</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127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25</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COD检测设备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检查设备进水量，水量不足调整，堵塞塞及时清理</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964"/>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26</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color w:val="000000"/>
                <w:szCs w:val="21"/>
              </w:rPr>
            </w:pPr>
            <w:r>
              <w:rPr>
                <w:rFonts w:hint="eastAsia" w:ascii="宋体" w:hAnsi="宋体"/>
                <w:szCs w:val="21"/>
              </w:rPr>
              <w:t xml:space="preserve">检测试剂剩余量，药剂不足及时补充</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81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27</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szCs w:val="21"/>
              </w:rPr>
            </w:pPr>
            <w:r>
              <w:rPr>
                <w:rFonts w:hint="eastAsia" w:ascii="宋体" w:hAnsi="宋体"/>
                <w:szCs w:val="21"/>
              </w:rPr>
              <w:t xml:space="preserve">数据对比，标样标定</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81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28</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top"/>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氨氮检测设备</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szCs w:val="21"/>
              </w:rPr>
            </w:pPr>
            <w:r>
              <w:rPr>
                <w:rFonts w:hint="eastAsia" w:ascii="宋体" w:hAnsi="宋体"/>
                <w:color w:val="000000"/>
                <w:szCs w:val="21"/>
              </w:rPr>
              <w:t xml:space="preserve">检查设备进水量，水量不足调整，堵塞塞及时清理</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81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29</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top"/>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szCs w:val="21"/>
              </w:rPr>
            </w:pPr>
            <w:r>
              <w:rPr>
                <w:rFonts w:hint="eastAsia" w:ascii="宋体" w:hAnsi="宋体"/>
                <w:szCs w:val="21"/>
              </w:rPr>
              <w:t xml:space="preserve">检测试剂剩余量，药剂不足及时补充</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816"/>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30</w:t>
            </w:r>
            <w:r>
              <w:rPr>
                <w:rFonts w:ascii="宋体" w:hAnsi="宋体"/>
                <w:color w:val="000000"/>
                <w:szCs w:val="21"/>
              </w:rPr>
            </w:r>
            <w:r/>
          </w:p>
        </w:tc>
        <w:tc>
          <w:tcPr>
            <w:tcBorders>
              <w:top w:val="none" w:color="000000" w:sz="4" w:space="0"/>
              <w:left w:val="none" w:color="000000" w:sz="4" w:space="0"/>
              <w:bottom w:val="none" w:color="000000" w:sz="4" w:space="0"/>
              <w:right w:val="single" w:color="000000" w:sz="8" w:space="0"/>
            </w:tcBorders>
            <w:tcW w:w="1675" w:type="dxa"/>
            <w:vAlign w:val="top"/>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szCs w:val="21"/>
              </w:rPr>
            </w:pPr>
            <w:r>
              <w:rPr>
                <w:rFonts w:hint="eastAsia" w:ascii="宋体" w:hAnsi="宋体"/>
                <w:szCs w:val="21"/>
              </w:rPr>
              <w:t xml:space="preserve">数据对比，标样标定</w:t>
            </w:r>
            <w:r>
              <w:rPr>
                <w:rFonts w:ascii="宋体" w:hAnsi="宋体"/>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821"/>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1341"/>
              <w:ind w:firstLine="0"/>
              <w:jc w:val="center"/>
              <w:rPr>
                <w:rFonts w:hAnsi="宋体"/>
                <w:szCs w:val="21"/>
              </w:rPr>
            </w:pPr>
            <w:r>
              <w:rPr>
                <w:rFonts w:hint="eastAsia" w:hAnsi="宋体"/>
                <w:color w:val="000000"/>
                <w:szCs w:val="21"/>
              </w:rPr>
              <w:t xml:space="preserve">31</w:t>
            </w:r>
            <w:r>
              <w:rPr>
                <w:rFonts w:hAnsi="宋体"/>
                <w:szCs w:val="21"/>
              </w:rPr>
            </w:r>
            <w:r/>
          </w:p>
        </w:tc>
        <w:tc>
          <w:tcPr>
            <w:tcBorders>
              <w:top w:val="none" w:color="000000" w:sz="4" w:space="0"/>
              <w:left w:val="none" w:color="000000" w:sz="4" w:space="0"/>
              <w:bottom w:val="single" w:color="000000" w:sz="8" w:space="0"/>
              <w:right w:val="single" w:color="000000" w:sz="8" w:space="0"/>
            </w:tcBorders>
            <w:tcW w:w="1675"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废气处理系统</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整体</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风机油、皮带检查</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64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32</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吸附材料的检查</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trHeight w:val="669"/>
        </w:trPr>
        <w:tc>
          <w:tcPr>
            <w:gridSpan w:val="2"/>
            <w:tcBorders>
              <w:top w:val="none" w:color="000000" w:sz="4" w:space="0"/>
              <w:left w:val="single" w:color="000000" w:sz="8" w:space="0"/>
              <w:bottom w:val="single" w:color="000000" w:sz="8" w:space="0"/>
              <w:right w:val="single" w:color="000000" w:sz="8" w:space="0"/>
            </w:tcBorders>
            <w:tcW w:w="69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33</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675"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auto"/>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5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924"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吸附材料的更换</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1229"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gridAfter w:val="1"/>
          <w:trHeight w:val="765"/>
        </w:trPr>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gridSpan w:val="2"/>
            <w:tcBorders>
              <w:top w:val="single" w:color="000000" w:sz="8" w:space="0"/>
              <w:left w:val="none" w:color="000000" w:sz="4" w:space="0"/>
              <w:bottom w:val="single" w:color="000000" w:sz="8" w:space="0"/>
              <w:right w:val="single" w:color="000000" w:sz="8" w:space="0"/>
            </w:tcBorders>
            <w:tcW w:w="1695"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保养频率</w:t>
            </w:r>
            <w:r>
              <w:rPr>
                <w:rFonts w:ascii="宋体" w:hAnsi="宋体"/>
                <w:color w:val="000000"/>
                <w:szCs w:val="21"/>
              </w:rPr>
            </w:r>
            <w:r/>
          </w:p>
        </w:tc>
        <w:tc>
          <w:tcPr>
            <w:gridSpan w:val="3"/>
            <w:tcBorders>
              <w:top w:val="single" w:color="000000" w:sz="8" w:space="0"/>
              <w:left w:val="none" w:color="000000" w:sz="4" w:space="0"/>
              <w:bottom w:val="single" w:color="000000" w:sz="8" w:space="0"/>
              <w:right w:val="single" w:color="000000" w:sz="8" w:space="0"/>
            </w:tcBorders>
            <w:tcW w:w="309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保养说明</w:t>
            </w:r>
            <w:r>
              <w:rPr>
                <w:rFonts w:ascii="宋体" w:hAnsi="宋体"/>
                <w:color w:val="000000"/>
                <w:szCs w:val="21"/>
              </w:rPr>
            </w:r>
            <w:r/>
          </w:p>
        </w:tc>
        <w:tc>
          <w:tcPr>
            <w:tcBorders>
              <w:top w:val="single" w:color="000000" w:sz="8"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更换配件</w:t>
            </w:r>
            <w:r>
              <w:rPr>
                <w:rFonts w:ascii="宋体" w:hAnsi="宋体"/>
                <w:color w:val="000000"/>
                <w:szCs w:val="21"/>
              </w:rPr>
            </w:r>
            <w:r/>
          </w:p>
        </w:tc>
      </w:tr>
      <w:tr>
        <w:trPr>
          <w:cantSplit/>
          <w:gridAfter w:val="1"/>
          <w:trHeight w:val="554"/>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967"/>
              <w:rPr>
                <w:rFonts w:ascii="宋体" w:hAnsi="宋体"/>
                <w:color w:val="000000"/>
                <w:szCs w:val="21"/>
              </w:rPr>
            </w:pPr>
            <w:r>
              <w:rPr>
                <w:rFonts w:hint="eastAsia" w:ascii="宋体" w:hAnsi="宋体"/>
                <w:color w:val="000000"/>
                <w:szCs w:val="21"/>
              </w:rPr>
              <w:t xml:space="preserve">继电器检测维护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触点检测、紧固</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gridAfter w:val="1"/>
          <w:trHeight w:val="458"/>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更换</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cantSplit/>
          <w:gridAfter w:val="1"/>
          <w:trHeight w:val="704"/>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967"/>
              <w:rPr>
                <w:rFonts w:ascii="宋体" w:hAnsi="宋体"/>
                <w:color w:val="000000"/>
                <w:szCs w:val="21"/>
              </w:rPr>
            </w:pPr>
            <w:r>
              <w:rPr>
                <w:rFonts w:hint="eastAsia" w:ascii="宋体" w:hAnsi="宋体"/>
                <w:color w:val="000000"/>
                <w:szCs w:val="21"/>
              </w:rPr>
              <w:t xml:space="preserve">接触器检测维护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接线紧固、检测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cantSplit/>
          <w:gridAfter w:val="1"/>
          <w:trHeight w:val="653"/>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接线紧固、检测、碳化等异常更换</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cantSplit/>
          <w:gridAfter w:val="1"/>
          <w:trHeight w:val="670"/>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变频器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风扇及本体清洁、接线紧固</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gridAfter w:val="1"/>
          <w:trHeight w:val="669"/>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季</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绝缘、电流、系统检测维护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gridAfter w:val="1"/>
          <w:trHeight w:val="711"/>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程序检测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gridAfter w:val="1"/>
          <w:trHeight w:val="778"/>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可编程控制器</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季</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接线紧固、接口检测维护等</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gridAfter w:val="1"/>
          <w:trHeight w:val="636"/>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年</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程序备份、系统维护</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gridAfter w:val="1"/>
          <w:trHeight w:val="697"/>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控制箱本体</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整体清洁、除锈、补漆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是</w:t>
            </w:r>
            <w:r>
              <w:rPr>
                <w:rFonts w:ascii="宋体" w:hAnsi="宋体"/>
                <w:color w:val="000000"/>
                <w:szCs w:val="21"/>
              </w:rPr>
            </w:r>
            <w:r/>
          </w:p>
        </w:tc>
      </w:tr>
      <w:tr>
        <w:trPr>
          <w:cantSplit/>
          <w:gridAfter w:val="1"/>
          <w:trHeight w:val="581"/>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季</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绝缘检测、防雷检测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gridAfter w:val="1"/>
          <w:trHeight w:val="730"/>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restart"/>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外部线路</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月</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线槽维护、线材整理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r>
        <w:trPr>
          <w:cantSplit/>
          <w:gridAfter w:val="1"/>
          <w:trHeight w:val="471"/>
        </w:trPr>
        <w:tc>
          <w:tcPr>
            <w:tcBorders>
              <w:top w:val="none" w:color="000000" w:sz="4" w:space="0"/>
              <w:left w:val="single" w:color="000000" w:sz="8" w:space="0"/>
              <w:bottom w:val="single" w:color="000000" w:sz="8" w:space="0"/>
              <w:right w:val="single" w:color="000000" w:sz="8" w:space="0"/>
            </w:tcBorders>
            <w:tcW w:w="676"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gridSpan w:val="2"/>
            <w:tcBorders>
              <w:top w:val="none" w:color="000000" w:sz="4" w:space="0"/>
              <w:left w:val="none" w:color="000000" w:sz="4" w:space="0"/>
              <w:bottom w:val="single" w:color="000000" w:sz="8" w:space="0"/>
              <w:right w:val="single" w:color="000000" w:sz="8" w:space="0"/>
            </w:tcBorders>
            <w:tcW w:w="1695" w:type="dxa"/>
            <w:vAlign w:val="center"/>
            <w:vMerge w:val="continue"/>
            <w:textDirection w:val="lrTb"/>
            <w:noWrap w:val="false"/>
          </w:tcPr>
          <w:p>
            <w:pPr>
              <w:pStyle w:val="967"/>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521"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季度</w:t>
            </w:r>
            <w:r>
              <w:rPr>
                <w:rFonts w:ascii="宋体" w:hAnsi="宋体"/>
                <w:color w:val="000000"/>
                <w:szCs w:val="21"/>
              </w:rPr>
            </w:r>
            <w:r/>
          </w:p>
        </w:tc>
        <w:tc>
          <w:tcPr>
            <w:gridSpan w:val="3"/>
            <w:tcBorders>
              <w:top w:val="none" w:color="000000" w:sz="4" w:space="0"/>
              <w:left w:val="none" w:color="000000" w:sz="4" w:space="0"/>
              <w:bottom w:val="single" w:color="000000" w:sz="8" w:space="0"/>
              <w:right w:val="single" w:color="000000" w:sz="8" w:space="0"/>
            </w:tcBorders>
            <w:tcW w:w="3091" w:type="dxa"/>
            <w:vAlign w:val="center"/>
            <w:textDirection w:val="lrTb"/>
            <w:noWrap w:val="false"/>
          </w:tcPr>
          <w:p>
            <w:pPr>
              <w:pStyle w:val="967"/>
              <w:rPr>
                <w:rFonts w:ascii="宋体" w:hAnsi="宋体"/>
                <w:color w:val="000000"/>
                <w:szCs w:val="21"/>
              </w:rPr>
            </w:pPr>
            <w:r>
              <w:rPr>
                <w:rFonts w:hint="eastAsia" w:ascii="宋体" w:hAnsi="宋体"/>
                <w:color w:val="000000"/>
                <w:szCs w:val="21"/>
              </w:rPr>
              <w:t xml:space="preserve">绝缘检测、老化检测</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1192" w:type="dxa"/>
            <w:vAlign w:val="center"/>
            <w:textDirection w:val="lrTb"/>
            <w:noWrap w:val="false"/>
          </w:tcPr>
          <w:p>
            <w:pPr>
              <w:pStyle w:val="967"/>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r>
    </w:tbl>
    <w:p>
      <w:pPr>
        <w:pStyle w:val="967"/>
        <w:spacing w:line="360" w:lineRule="auto"/>
        <w:rPr>
          <w:rFonts w:ascii="宋体" w:hAnsi="宋体"/>
          <w:color w:val="000000"/>
          <w:szCs w:val="21"/>
        </w:rPr>
      </w:pPr>
      <w:r>
        <w:rPr>
          <w:rFonts w:hint="eastAsia" w:ascii="宋体" w:hAnsi="宋体"/>
          <w:szCs w:val="21"/>
        </w:rPr>
        <w:t xml:space="preserve">2、</w:t>
      </w:r>
      <w:r>
        <w:rPr>
          <w:rFonts w:hint="eastAsia" w:ascii="宋体" w:hAnsi="宋体"/>
          <w:color w:val="000000"/>
          <w:szCs w:val="21"/>
        </w:rPr>
        <w:t xml:space="preserve">在线监测平台</w:t>
      </w:r>
      <w:r>
        <w:rPr>
          <w:rFonts w:ascii="宋体" w:hAnsi="宋体"/>
          <w:color w:val="000000"/>
          <w:szCs w:val="21"/>
        </w:rPr>
      </w:r>
      <w:r/>
    </w:p>
    <w:p>
      <w:pPr>
        <w:pStyle w:val="1341"/>
        <w:ind w:firstLine="0"/>
        <w:rPr>
          <w:rFonts w:hint="eastAsia" w:hAnsi="宋体"/>
          <w:color w:val="000000"/>
          <w:szCs w:val="21"/>
        </w:rPr>
      </w:pPr>
      <w:r>
        <w:rPr>
          <w:rFonts w:hint="eastAsia" w:hAnsi="宋体"/>
          <w:szCs w:val="21"/>
        </w:rPr>
        <w:t xml:space="preserve">2.1、</w:t>
      </w:r>
      <w:r>
        <w:rPr>
          <w:rFonts w:hint="eastAsia" w:hAnsi="宋体"/>
          <w:color w:val="000000"/>
          <w:szCs w:val="21"/>
        </w:rPr>
        <w:t xml:space="preserve">线上服务</w:t>
      </w:r>
      <w:r/>
    </w:p>
    <w:p>
      <w:pPr>
        <w:pStyle w:val="967"/>
        <w:ind w:firstLine="420"/>
        <w:spacing w:line="360" w:lineRule="auto"/>
        <w:rPr>
          <w:rFonts w:hint="eastAsia" w:ascii="宋体" w:hAnsi="宋体"/>
          <w:szCs w:val="21"/>
        </w:rPr>
      </w:pPr>
      <w:r>
        <w:rPr>
          <w:rFonts w:hint="eastAsia" w:ascii="宋体" w:hAnsi="宋体"/>
          <w:szCs w:val="21"/>
        </w:rPr>
        <w:t xml:space="preserve">污水处理实现联网，通过在线监测平台实时监控现场设备的运行状态、排放数据记录、异常情况报警等，服务单位维保人员实时查看平台，检查站点的数据和运行状态。</w:t>
      </w:r>
      <w:r/>
    </w:p>
    <w:p>
      <w:pPr>
        <w:pStyle w:val="967"/>
        <w:spacing w:line="360" w:lineRule="auto"/>
        <w:rPr>
          <w:rFonts w:hint="eastAsia" w:ascii="宋体" w:hAnsi="宋体"/>
          <w:szCs w:val="21"/>
        </w:rPr>
      </w:pPr>
      <w:r>
        <w:rPr>
          <w:rFonts w:hint="eastAsia" w:ascii="宋体" w:hAnsi="宋体"/>
          <w:szCs w:val="21"/>
        </w:rPr>
        <w:t xml:space="preserve">2.2、数据可视化</w:t>
      </w:r>
      <w:r/>
    </w:p>
    <w:p>
      <w:pPr>
        <w:pStyle w:val="967"/>
        <w:ind w:firstLine="420"/>
        <w:spacing w:line="360" w:lineRule="auto"/>
        <w:rPr>
          <w:rFonts w:hint="eastAsia" w:ascii="宋体" w:hAnsi="宋体"/>
          <w:szCs w:val="21"/>
        </w:rPr>
      </w:pPr>
      <w:r>
        <w:rPr>
          <w:rFonts w:hint="eastAsia" w:ascii="宋体" w:hAnsi="宋体"/>
          <w:szCs w:val="21"/>
        </w:rPr>
        <w:t xml:space="preserve">通过电脑端及手机端在线监测平台数据可视化；</w:t>
      </w:r>
      <w:r/>
    </w:p>
    <w:p>
      <w:pPr>
        <w:pStyle w:val="967"/>
        <w:spacing w:line="360" w:lineRule="auto"/>
        <w:rPr>
          <w:rFonts w:hint="eastAsia" w:ascii="宋体" w:hAnsi="宋体"/>
          <w:color w:val="000000"/>
          <w:szCs w:val="21"/>
        </w:rPr>
      </w:pPr>
      <w:r>
        <w:rPr>
          <w:rFonts w:hint="eastAsia" w:ascii="宋体" w:hAnsi="宋体"/>
          <w:color w:val="000000"/>
          <w:szCs w:val="21"/>
        </w:rPr>
        <w:t xml:space="preserve">2.3、远程监控</w:t>
      </w:r>
      <w:r/>
    </w:p>
    <w:p>
      <w:pPr>
        <w:pStyle w:val="967"/>
        <w:ind w:firstLine="420"/>
        <w:spacing w:line="360" w:lineRule="auto"/>
        <w:rPr>
          <w:rFonts w:hint="eastAsia" w:ascii="宋体" w:hAnsi="宋体"/>
          <w:szCs w:val="21"/>
        </w:rPr>
      </w:pPr>
      <w:r>
        <w:rPr>
          <w:rFonts w:hint="eastAsia" w:ascii="宋体" w:hAnsi="宋体"/>
          <w:szCs w:val="21"/>
        </w:rPr>
        <w:t xml:space="preserve">通过电脑端及手机端，7*24实时查看现场的设备检测数据、设备运行状况等；</w:t>
      </w:r>
      <w:r/>
    </w:p>
    <w:p>
      <w:pPr>
        <w:pStyle w:val="967"/>
        <w:ind w:left="540" w:hanging="540"/>
        <w:spacing w:line="360" w:lineRule="auto"/>
        <w:rPr>
          <w:rFonts w:hint="eastAsia" w:ascii="宋体" w:hAnsi="宋体"/>
          <w:color w:val="000000"/>
          <w:szCs w:val="21"/>
        </w:rPr>
      </w:pPr>
      <w:r>
        <w:rPr>
          <w:rFonts w:hint="eastAsia" w:ascii="宋体" w:hAnsi="宋体"/>
          <w:color w:val="000000"/>
          <w:szCs w:val="21"/>
        </w:rPr>
        <w:t xml:space="preserve">2.4、报警管理</w:t>
      </w:r>
      <w:r/>
    </w:p>
    <w:p>
      <w:pPr>
        <w:pStyle w:val="967"/>
        <w:ind w:firstLine="420"/>
        <w:spacing w:line="360" w:lineRule="auto"/>
        <w:rPr>
          <w:rFonts w:hint="eastAsia" w:ascii="宋体" w:hAnsi="宋体"/>
          <w:szCs w:val="21"/>
        </w:rPr>
      </w:pPr>
      <w:r>
        <w:rPr>
          <w:rFonts w:hint="eastAsia" w:ascii="宋体" w:hAnsi="宋体"/>
          <w:szCs w:val="21"/>
        </w:rPr>
        <w:t xml:space="preserve">系统可根据现场设备实时检测数据设定警戒值，设备报警信号及后台数据逻辑分析产生报警信息，系统会立即通过短信、邮件、APP等方式推送给维保单位人员及院方，维保人员要30分钟内及时相应，1小时内到达现场，2小时内完成警报处理，避免出现停产、设备损坏等状况；</w:t>
      </w:r>
      <w:r/>
    </w:p>
    <w:p>
      <w:pPr>
        <w:pStyle w:val="967"/>
        <w:ind w:left="540" w:hanging="540"/>
        <w:spacing w:line="360" w:lineRule="auto"/>
        <w:rPr>
          <w:rFonts w:hint="eastAsia" w:ascii="宋体" w:hAnsi="宋体"/>
          <w:color w:val="000000"/>
          <w:szCs w:val="21"/>
        </w:rPr>
      </w:pPr>
      <w:r>
        <w:rPr>
          <w:rFonts w:hint="eastAsia" w:ascii="宋体" w:hAnsi="宋体"/>
          <w:color w:val="000000"/>
          <w:szCs w:val="21"/>
        </w:rPr>
        <w:t xml:space="preserve">2.5、运维管理</w:t>
      </w:r>
      <w:r/>
    </w:p>
    <w:p>
      <w:pPr>
        <w:pStyle w:val="967"/>
        <w:ind w:firstLine="420"/>
        <w:spacing w:line="360" w:lineRule="auto"/>
        <w:rPr>
          <w:rFonts w:hint="eastAsia" w:ascii="宋体" w:hAnsi="宋体"/>
          <w:szCs w:val="21"/>
        </w:rPr>
      </w:pPr>
      <w:r>
        <w:rPr>
          <w:rFonts w:hint="eastAsia" w:ascii="宋体" w:hAnsi="宋体"/>
          <w:szCs w:val="21"/>
        </w:rPr>
        <w:t xml:space="preserve">污水站设备维保记录由运维人员根据实际运维情况填写纸质表单，并于现场保存备查。</w:t>
      </w:r>
      <w:r/>
    </w:p>
    <w:p>
      <w:pPr>
        <w:pStyle w:val="967"/>
        <w:ind w:left="540" w:hanging="540"/>
        <w:spacing w:line="480" w:lineRule="auto"/>
        <w:rPr>
          <w:rFonts w:hint="eastAsia" w:ascii="宋体" w:hAnsi="宋体"/>
          <w:color w:val="000000"/>
          <w:szCs w:val="21"/>
        </w:rPr>
        <w:outlineLvl w:val="1"/>
      </w:pPr>
      <w:r>
        <w:rPr>
          <w:rFonts w:hint="eastAsia" w:ascii="宋体" w:hAnsi="宋体"/>
          <w:color w:val="000000"/>
          <w:szCs w:val="21"/>
        </w:rPr>
        <w:t xml:space="preserve">3.处理系统日常保养计划</w:t>
      </w:r>
      <w:r/>
    </w:p>
    <w:p>
      <w:pPr>
        <w:pStyle w:val="967"/>
        <w:spacing w:line="360" w:lineRule="auto"/>
        <w:rPr>
          <w:rFonts w:hint="eastAsia" w:ascii="宋体" w:hAnsi="宋体"/>
          <w:szCs w:val="21"/>
        </w:rPr>
      </w:pPr>
      <w:r>
        <w:rPr>
          <w:rFonts w:hint="eastAsia" w:ascii="宋体" w:hAnsi="宋体"/>
          <w:color w:val="000000"/>
          <w:szCs w:val="21"/>
        </w:rPr>
        <w:t xml:space="preserve">3.1、</w:t>
      </w:r>
      <w:r>
        <w:rPr>
          <w:rFonts w:hint="eastAsia" w:ascii="宋体" w:hAnsi="宋体"/>
          <w:szCs w:val="21"/>
        </w:rPr>
        <w:t xml:space="preserve">具体包括</w:t>
      </w:r>
      <w:r/>
    </w:p>
    <w:p>
      <w:pPr>
        <w:pStyle w:val="967"/>
        <w:spacing w:line="360" w:lineRule="auto"/>
        <w:rPr>
          <w:rFonts w:hint="eastAsia" w:ascii="宋体" w:hAnsi="宋体"/>
          <w:szCs w:val="21"/>
        </w:rPr>
      </w:pPr>
      <w:r>
        <w:rPr>
          <w:rFonts w:hint="eastAsia" w:ascii="宋体" w:hAnsi="宋体"/>
          <w:szCs w:val="21"/>
        </w:rPr>
        <w:t xml:space="preserve">1）各类水泵、加药泵、各类检测仪、鼓风机、引风机、液位计等机器设备日常运作检修：包括机油添加、污染物清理、主要部件检查、密封性能检查等。</w:t>
      </w:r>
      <w:r/>
    </w:p>
    <w:p>
      <w:pPr>
        <w:pStyle w:val="967"/>
        <w:spacing w:line="360" w:lineRule="auto"/>
        <w:rPr>
          <w:rFonts w:hint="eastAsia" w:ascii="宋体" w:hAnsi="宋体"/>
          <w:szCs w:val="21"/>
        </w:rPr>
      </w:pPr>
      <w:r>
        <w:rPr>
          <w:rFonts w:hint="eastAsia" w:ascii="宋体" w:hAnsi="宋体"/>
          <w:szCs w:val="21"/>
        </w:rPr>
        <w:t xml:space="preserve">2）构筑物检修：构筑物的完整、抗腐蚀性能、密封性能、各构筑物间的流畅性。</w:t>
      </w:r>
      <w:r/>
    </w:p>
    <w:p>
      <w:pPr>
        <w:pStyle w:val="967"/>
        <w:spacing w:line="360" w:lineRule="auto"/>
        <w:rPr>
          <w:rFonts w:hint="eastAsia" w:ascii="宋体" w:hAnsi="宋体"/>
          <w:szCs w:val="21"/>
        </w:rPr>
      </w:pPr>
      <w:r>
        <w:rPr>
          <w:rFonts w:hint="eastAsia" w:ascii="宋体" w:hAnsi="宋体"/>
          <w:szCs w:val="21"/>
        </w:rPr>
        <w:t xml:space="preserve">3）简单易损设备更换及维护：流量计、阀门、仪表、电控设备等的维护及保养、更换。</w:t>
      </w:r>
      <w:r/>
    </w:p>
    <w:p>
      <w:pPr>
        <w:pStyle w:val="967"/>
        <w:spacing w:line="360" w:lineRule="auto"/>
        <w:rPr>
          <w:rFonts w:hint="eastAsia" w:ascii="宋体" w:hAnsi="宋体"/>
          <w:szCs w:val="21"/>
        </w:rPr>
      </w:pPr>
      <w:r>
        <w:rPr>
          <w:rFonts w:hint="eastAsia" w:ascii="宋体" w:hAnsi="宋体"/>
          <w:szCs w:val="21"/>
        </w:rPr>
        <w:t xml:space="preserve">3.2、检查内容</w:t>
      </w:r>
      <w:r/>
    </w:p>
    <w:p>
      <w:pPr>
        <w:pStyle w:val="967"/>
        <w:spacing w:line="360" w:lineRule="auto"/>
        <w:rPr>
          <w:rFonts w:hint="eastAsia" w:ascii="宋体" w:hAnsi="宋体"/>
          <w:szCs w:val="21"/>
        </w:rPr>
      </w:pPr>
      <w:r>
        <w:rPr>
          <w:rFonts w:hint="eastAsia" w:ascii="宋体" w:hAnsi="宋体"/>
          <w:szCs w:val="21"/>
        </w:rPr>
        <w:t xml:space="preserve">a．巡查废水站所有的设备是否处于正常待机状态，看各池液位，确认哪些需要开机处理。</w:t>
      </w:r>
      <w:r/>
    </w:p>
    <w:p>
      <w:pPr>
        <w:pStyle w:val="967"/>
        <w:spacing w:line="360" w:lineRule="auto"/>
        <w:rPr>
          <w:rFonts w:hint="eastAsia" w:ascii="宋体" w:hAnsi="宋体"/>
          <w:szCs w:val="21"/>
        </w:rPr>
      </w:pPr>
      <w:r>
        <w:rPr>
          <w:rFonts w:hint="eastAsia" w:ascii="宋体" w:hAnsi="宋体"/>
          <w:szCs w:val="21"/>
        </w:rPr>
        <w:t xml:space="preserve">b．检查配药中心地面附腐层是否完整，后来安装的设备是否补做了防腐层。</w:t>
      </w:r>
      <w:r/>
    </w:p>
    <w:p>
      <w:pPr>
        <w:pStyle w:val="967"/>
        <w:spacing w:line="360" w:lineRule="auto"/>
        <w:rPr>
          <w:rFonts w:hint="eastAsia" w:ascii="宋体" w:hAnsi="宋体"/>
          <w:szCs w:val="21"/>
        </w:rPr>
      </w:pPr>
      <w:r>
        <w:rPr>
          <w:rFonts w:hint="eastAsia" w:ascii="宋体" w:hAnsi="宋体"/>
          <w:szCs w:val="21"/>
        </w:rPr>
        <w:t xml:space="preserve">c．检查各仪表（流量计）的设定范围是否合理。</w:t>
      </w:r>
      <w:r/>
    </w:p>
    <w:p>
      <w:pPr>
        <w:pStyle w:val="967"/>
        <w:spacing w:line="360" w:lineRule="auto"/>
        <w:rPr>
          <w:rFonts w:hint="eastAsia" w:ascii="宋体" w:hAnsi="宋体"/>
          <w:szCs w:val="21"/>
        </w:rPr>
      </w:pPr>
      <w:r>
        <w:rPr>
          <w:rFonts w:hint="eastAsia" w:ascii="宋体" w:hAnsi="宋体"/>
          <w:szCs w:val="21"/>
        </w:rPr>
        <w:t xml:space="preserve">d．检查栏杆、扶手、盖板是否安装齐全、牢固可靠，人易接触到的转动设备是否带有防护罩、防护网。</w:t>
      </w:r>
      <w:r/>
    </w:p>
    <w:p>
      <w:pPr>
        <w:pStyle w:val="967"/>
        <w:spacing w:line="360" w:lineRule="auto"/>
        <w:rPr>
          <w:rFonts w:hint="eastAsia" w:ascii="宋体" w:hAnsi="宋体"/>
          <w:szCs w:val="21"/>
        </w:rPr>
      </w:pPr>
      <w:r>
        <w:rPr>
          <w:rFonts w:hint="eastAsia" w:ascii="宋体" w:hAnsi="宋体"/>
          <w:szCs w:val="21"/>
        </w:rPr>
        <w:t xml:space="preserve">e．检查设备、管道、电线安装完毕。</w:t>
      </w:r>
      <w:r/>
    </w:p>
    <w:p>
      <w:pPr>
        <w:pStyle w:val="967"/>
        <w:spacing w:line="360" w:lineRule="auto"/>
        <w:rPr>
          <w:rFonts w:hint="eastAsia" w:ascii="宋体" w:hAnsi="宋体"/>
          <w:szCs w:val="21"/>
        </w:rPr>
      </w:pPr>
      <w:r>
        <w:rPr>
          <w:rFonts w:hint="eastAsia" w:ascii="宋体" w:hAnsi="宋体"/>
          <w:szCs w:val="21"/>
        </w:rPr>
        <w:t xml:space="preserve">f．检查设备类型、编号、就位状况与记录情况一致。</w:t>
      </w:r>
      <w:r/>
    </w:p>
    <w:p>
      <w:pPr>
        <w:pStyle w:val="967"/>
        <w:spacing w:line="360" w:lineRule="auto"/>
        <w:rPr>
          <w:rFonts w:hint="eastAsia" w:ascii="宋体" w:hAnsi="宋体"/>
          <w:szCs w:val="21"/>
        </w:rPr>
      </w:pPr>
      <w:r>
        <w:rPr>
          <w:rFonts w:hint="eastAsia" w:ascii="宋体" w:hAnsi="宋体"/>
          <w:szCs w:val="21"/>
        </w:rPr>
        <w:t xml:space="preserve">g．落实动力电源供应情况。</w:t>
      </w:r>
      <w:r/>
    </w:p>
    <w:p>
      <w:pPr>
        <w:pStyle w:val="967"/>
        <w:spacing w:line="360" w:lineRule="auto"/>
        <w:rPr>
          <w:rFonts w:hint="eastAsia" w:ascii="宋体" w:hAnsi="宋体"/>
          <w:szCs w:val="21"/>
        </w:rPr>
      </w:pPr>
      <w:r>
        <w:rPr>
          <w:rFonts w:hint="eastAsia" w:ascii="宋体" w:hAnsi="宋体"/>
          <w:szCs w:val="21"/>
        </w:rPr>
        <w:t xml:space="preserve">h．检查各种所需药剂是否充足，检查设备是否加足了润滑剂及防锈剂。</w:t>
      </w:r>
      <w:r/>
    </w:p>
    <w:p>
      <w:pPr>
        <w:pStyle w:val="967"/>
        <w:spacing w:line="360" w:lineRule="auto"/>
        <w:rPr>
          <w:rFonts w:hint="eastAsia" w:ascii="宋体" w:hAnsi="宋体"/>
          <w:szCs w:val="21"/>
        </w:rPr>
      </w:pPr>
      <w:r>
        <w:rPr>
          <w:rFonts w:hint="eastAsia" w:ascii="宋体" w:hAnsi="宋体"/>
          <w:szCs w:val="21"/>
        </w:rPr>
        <w:t xml:space="preserve">i．检查主要人行通道是否畅通，对横跨主要通道的管道是否做了保护措施。</w:t>
      </w:r>
      <w:r/>
    </w:p>
    <w:p>
      <w:pPr>
        <w:pStyle w:val="967"/>
        <w:spacing w:line="360" w:lineRule="auto"/>
        <w:rPr>
          <w:rFonts w:hint="eastAsia" w:ascii="仿宋" w:hAnsi="仿宋" w:eastAsia="仿宋"/>
          <w:sz w:val="24"/>
        </w:rPr>
      </w:pPr>
      <w:r>
        <w:rPr>
          <w:rFonts w:hint="eastAsia" w:ascii="宋体" w:hAnsi="宋体"/>
          <w:szCs w:val="21"/>
        </w:rPr>
        <w:t xml:space="preserve">j．检查安装施工产生的垃圾是否被清除。</w:t>
      </w:r>
      <w:r>
        <w:rPr>
          <w:rFonts w:hint="eastAsia" w:ascii="仿宋" w:hAnsi="仿宋" w:eastAsia="仿宋"/>
          <w:sz w:val="24"/>
        </w:rPr>
      </w:r>
      <w:r/>
    </w:p>
    <w:p>
      <w:pPr>
        <w:pStyle w:val="967"/>
        <w:spacing w:line="360" w:lineRule="auto"/>
        <w:rPr>
          <w:rFonts w:hint="eastAsia" w:ascii="宋体" w:hAnsi="宋体"/>
          <w:szCs w:val="21"/>
        </w:rPr>
      </w:pPr>
      <w:r>
        <w:rPr>
          <w:rFonts w:hint="eastAsia" w:ascii="宋体" w:hAnsi="宋体"/>
          <w:color w:val="000000"/>
          <w:szCs w:val="21"/>
        </w:rPr>
        <w:t xml:space="preserve">3.3、</w:t>
      </w:r>
      <w:r>
        <w:rPr>
          <w:rFonts w:hint="eastAsia" w:ascii="宋体" w:hAnsi="宋体"/>
          <w:szCs w:val="21"/>
        </w:rPr>
        <w:t xml:space="preserve">定期保养内容：</w:t>
      </w:r>
      <w:r/>
    </w:p>
    <w:p>
      <w:pPr>
        <w:pStyle w:val="967"/>
        <w:ind w:left="-359" w:firstLine="538"/>
        <w:spacing w:line="360" w:lineRule="auto"/>
        <w:rPr>
          <w:rFonts w:hint="eastAsia" w:ascii="宋体" w:hAnsi="宋体"/>
          <w:szCs w:val="21"/>
        </w:rPr>
      </w:pPr>
      <w:r>
        <w:rPr>
          <w:rFonts w:hint="eastAsia" w:ascii="宋体" w:hAnsi="宋体"/>
          <w:szCs w:val="21"/>
        </w:rPr>
        <w:t xml:space="preserve">设备连续运转一个月或停机一个月后重新开机应保养一次，首次需按需更换润滑油，以后第三个月更换一次，不得过满或欠缺。包括如下内容：</w:t>
      </w:r>
      <w:r/>
    </w:p>
    <w:p>
      <w:pPr>
        <w:pStyle w:val="967"/>
        <w:numPr>
          <w:ilvl w:val="0"/>
          <w:numId w:val="17"/>
        </w:numPr>
        <w:jc w:val="left"/>
        <w:spacing w:line="360" w:lineRule="auto"/>
        <w:widowControl/>
        <w:tabs>
          <w:tab w:val="left" w:pos="360" w:leader="none"/>
        </w:tabs>
        <w:rPr>
          <w:rFonts w:hint="eastAsia" w:ascii="宋体" w:hAnsi="宋体"/>
          <w:szCs w:val="21"/>
        </w:rPr>
      </w:pPr>
      <w:r>
        <w:rPr>
          <w:rFonts w:hint="eastAsia" w:ascii="宋体" w:hAnsi="宋体"/>
          <w:szCs w:val="21"/>
        </w:rPr>
        <w:t xml:space="preserve">检查所有轴承以及电机润滑是否良好。</w:t>
      </w:r>
      <w:r/>
    </w:p>
    <w:p>
      <w:pPr>
        <w:pStyle w:val="967"/>
        <w:numPr>
          <w:ilvl w:val="0"/>
          <w:numId w:val="17"/>
        </w:numPr>
        <w:jc w:val="left"/>
        <w:spacing w:line="360" w:lineRule="auto"/>
        <w:widowControl/>
        <w:tabs>
          <w:tab w:val="left" w:pos="360" w:leader="none"/>
        </w:tabs>
        <w:rPr>
          <w:rFonts w:hint="eastAsia" w:ascii="宋体" w:hAnsi="宋体"/>
          <w:szCs w:val="21"/>
        </w:rPr>
      </w:pPr>
      <w:r>
        <w:rPr>
          <w:rFonts w:hint="eastAsia" w:ascii="宋体" w:hAnsi="宋体"/>
          <w:szCs w:val="21"/>
        </w:rPr>
        <w:t xml:space="preserve">检查接头及管路是滞泄露和损坏。</w:t>
      </w:r>
      <w:r/>
    </w:p>
    <w:p>
      <w:pPr>
        <w:pStyle w:val="967"/>
        <w:numPr>
          <w:ilvl w:val="0"/>
          <w:numId w:val="17"/>
        </w:numPr>
        <w:jc w:val="left"/>
        <w:spacing w:line="360" w:lineRule="auto"/>
        <w:widowControl/>
        <w:tabs>
          <w:tab w:val="left" w:pos="360" w:leader="none"/>
        </w:tabs>
        <w:rPr>
          <w:rFonts w:hint="eastAsia" w:ascii="宋体" w:hAnsi="宋体"/>
          <w:szCs w:val="21"/>
        </w:rPr>
      </w:pPr>
      <w:r>
        <w:rPr>
          <w:rFonts w:hint="eastAsia" w:ascii="宋体" w:hAnsi="宋体"/>
          <w:szCs w:val="21"/>
        </w:rPr>
        <w:t xml:space="preserve">阀门仪表是否有损坏或其他缺陷，是否需要更换。</w:t>
      </w:r>
      <w:r/>
    </w:p>
    <w:p>
      <w:pPr>
        <w:pStyle w:val="967"/>
        <w:numPr>
          <w:ilvl w:val="0"/>
          <w:numId w:val="17"/>
        </w:numPr>
        <w:jc w:val="left"/>
        <w:spacing w:line="360" w:lineRule="auto"/>
        <w:widowControl/>
        <w:tabs>
          <w:tab w:val="left" w:pos="360" w:leader="none"/>
        </w:tabs>
        <w:rPr>
          <w:rFonts w:hint="eastAsia" w:ascii="宋体" w:hAnsi="宋体"/>
          <w:szCs w:val="21"/>
        </w:rPr>
      </w:pPr>
      <w:r>
        <w:rPr>
          <w:rFonts w:hint="eastAsia" w:ascii="宋体" w:hAnsi="宋体"/>
          <w:szCs w:val="21"/>
        </w:rPr>
        <w:t xml:space="preserve">管道和阀门是否畅通、有无泄露。</w:t>
      </w:r>
      <w:r/>
    </w:p>
    <w:p>
      <w:pPr>
        <w:pStyle w:val="967"/>
        <w:ind w:left="540" w:hanging="540"/>
        <w:spacing w:line="480" w:lineRule="auto"/>
        <w:rPr>
          <w:rFonts w:hint="eastAsia" w:ascii="宋体" w:hAnsi="宋体"/>
          <w:color w:val="000000"/>
          <w:szCs w:val="21"/>
        </w:rPr>
      </w:pPr>
      <w:r>
        <w:rPr>
          <w:rFonts w:hint="eastAsia" w:ascii="宋体" w:hAnsi="宋体"/>
          <w:color w:val="000000"/>
          <w:szCs w:val="21"/>
        </w:rPr>
        <w:t xml:space="preserve">3.4、设备运行维护内容</w:t>
      </w:r>
      <w:r/>
    </w:p>
    <w:p>
      <w:pPr>
        <w:pStyle w:val="967"/>
        <w:spacing w:line="360" w:lineRule="auto"/>
        <w:rPr>
          <w:rFonts w:hint="eastAsia" w:ascii="宋体" w:hAnsi="宋体"/>
          <w:szCs w:val="21"/>
        </w:rPr>
      </w:pPr>
      <w:r>
        <w:rPr>
          <w:rFonts w:hint="eastAsia" w:ascii="宋体" w:hAnsi="宋体"/>
          <w:szCs w:val="21"/>
        </w:rPr>
        <w:t xml:space="preserve">1）维护项目</w:t>
      </w:r>
      <w:r/>
    </w:p>
    <w:p>
      <w:pPr>
        <w:pStyle w:val="967"/>
        <w:spacing w:line="360" w:lineRule="auto"/>
        <w:rPr>
          <w:rFonts w:hint="eastAsia" w:ascii="宋体" w:hAnsi="宋体"/>
          <w:szCs w:val="21"/>
        </w:rPr>
      </w:pPr>
      <w:r>
        <w:rPr>
          <w:rFonts w:hint="eastAsia" w:ascii="宋体" w:hAnsi="宋体"/>
          <w:szCs w:val="21"/>
        </w:rPr>
        <w:t xml:space="preserve">a．对所有设备，设施进行维修、防腐处理、保养，使之处于最佳运行状态。</w:t>
      </w:r>
      <w:r/>
    </w:p>
    <w:p>
      <w:pPr>
        <w:pStyle w:val="967"/>
        <w:spacing w:line="360" w:lineRule="auto"/>
        <w:rPr>
          <w:rFonts w:hint="eastAsia" w:ascii="宋体" w:hAnsi="宋体"/>
          <w:szCs w:val="21"/>
        </w:rPr>
      </w:pPr>
      <w:r>
        <w:rPr>
          <w:rFonts w:hint="eastAsia" w:ascii="宋体" w:hAnsi="宋体"/>
          <w:szCs w:val="21"/>
        </w:rPr>
        <w:t xml:space="preserve">b．对所有构筑物进行清理维修，使之能正常运转，发挥正常功效。</w:t>
      </w:r>
      <w:r/>
    </w:p>
    <w:p>
      <w:pPr>
        <w:pStyle w:val="967"/>
        <w:spacing w:line="360" w:lineRule="auto"/>
        <w:rPr>
          <w:rFonts w:hint="eastAsia" w:ascii="宋体" w:hAnsi="宋体"/>
          <w:szCs w:val="21"/>
        </w:rPr>
      </w:pPr>
      <w:r>
        <w:rPr>
          <w:rFonts w:hint="eastAsia" w:ascii="宋体" w:hAnsi="宋体"/>
          <w:szCs w:val="21"/>
        </w:rPr>
        <w:t xml:space="preserve">2）关注点</w:t>
      </w:r>
      <w:r/>
    </w:p>
    <w:p>
      <w:pPr>
        <w:pStyle w:val="967"/>
        <w:spacing w:line="360" w:lineRule="auto"/>
        <w:rPr>
          <w:rFonts w:hint="eastAsia" w:ascii="宋体" w:hAnsi="宋体"/>
          <w:szCs w:val="21"/>
        </w:rPr>
      </w:pPr>
      <w:r>
        <w:rPr>
          <w:rFonts w:hint="eastAsia" w:ascii="宋体" w:hAnsi="宋体"/>
          <w:szCs w:val="21"/>
        </w:rPr>
        <w:t xml:space="preserve">a．判断设备的运转是否正常（如：噪音、振动、马达转动，轴承部位的温度</w:t>
      </w:r>
      <w:r/>
    </w:p>
    <w:p>
      <w:pPr>
        <w:pStyle w:val="967"/>
        <w:spacing w:line="360" w:lineRule="auto"/>
        <w:rPr>
          <w:rFonts w:hint="eastAsia" w:ascii="宋体" w:hAnsi="宋体"/>
          <w:szCs w:val="21"/>
        </w:rPr>
      </w:pPr>
      <w:r>
        <w:rPr>
          <w:rFonts w:hint="eastAsia" w:ascii="宋体" w:hAnsi="宋体"/>
          <w:szCs w:val="21"/>
        </w:rPr>
        <w:t xml:space="preserve">b．判断故障所处位置</w:t>
      </w:r>
      <w:r/>
    </w:p>
    <w:p>
      <w:pPr>
        <w:pStyle w:val="967"/>
        <w:spacing w:line="360" w:lineRule="auto"/>
        <w:rPr>
          <w:rFonts w:hint="eastAsia" w:ascii="宋体" w:hAnsi="宋体"/>
          <w:szCs w:val="21"/>
        </w:rPr>
      </w:pPr>
      <w:r>
        <w:rPr>
          <w:rFonts w:hint="eastAsia" w:ascii="宋体" w:hAnsi="宋体"/>
          <w:szCs w:val="21"/>
        </w:rPr>
        <w:t xml:space="preserve">c．判断、分析故障原因及类型（如；轻微、重大损坏、设备的质量问题、操作不当等）</w:t>
      </w:r>
      <w:r/>
    </w:p>
    <w:p>
      <w:pPr>
        <w:pStyle w:val="967"/>
        <w:spacing w:line="360" w:lineRule="auto"/>
        <w:rPr>
          <w:rFonts w:hint="eastAsia" w:ascii="宋体" w:hAnsi="宋体"/>
          <w:szCs w:val="21"/>
        </w:rPr>
      </w:pPr>
      <w:r>
        <w:rPr>
          <w:rFonts w:hint="eastAsia" w:ascii="宋体" w:hAnsi="宋体"/>
          <w:szCs w:val="21"/>
        </w:rPr>
        <w:t xml:space="preserve">C.设备的初用阶段严格按照要求，在允许的时间范围内（100-300h.）对润滑油或润滑脂进行更换。</w:t>
      </w:r>
      <w:r/>
    </w:p>
    <w:p>
      <w:pPr>
        <w:pStyle w:val="967"/>
        <w:spacing w:line="360" w:lineRule="auto"/>
        <w:rPr>
          <w:rFonts w:hint="eastAsia" w:ascii="宋体" w:hAnsi="宋体"/>
          <w:szCs w:val="21"/>
        </w:rPr>
      </w:pPr>
      <w:r>
        <w:rPr>
          <w:rFonts w:hint="eastAsia" w:ascii="宋体" w:hAnsi="宋体"/>
          <w:szCs w:val="21"/>
        </w:rPr>
        <w:t xml:space="preserve">D。保持设备的清洁与周围环境的清洁卫生。（定期、定时擦抹设备上的灰尘、紧固螺丝适当的涂抹润滑油或黄油、清理杂物以免吸入设备内）</w:t>
      </w:r>
      <w:r/>
    </w:p>
    <w:p>
      <w:pPr>
        <w:pStyle w:val="967"/>
        <w:spacing w:line="360" w:lineRule="auto"/>
        <w:rPr>
          <w:rFonts w:hint="eastAsia" w:ascii="宋体" w:hAnsi="宋体"/>
          <w:szCs w:val="21"/>
        </w:rPr>
        <w:outlineLvl w:val="1"/>
      </w:pPr>
      <w:r>
        <w:rPr>
          <w:rFonts w:hint="eastAsia" w:ascii="宋体" w:hAnsi="宋体"/>
          <w:szCs w:val="21"/>
        </w:rPr>
        <w:t xml:space="preserve">4、应急预案</w:t>
      </w:r>
      <w:r/>
    </w:p>
    <w:p>
      <w:pPr>
        <w:pStyle w:val="967"/>
        <w:spacing w:line="360" w:lineRule="auto"/>
        <w:rPr>
          <w:rFonts w:hint="eastAsia" w:ascii="宋体" w:hAnsi="宋体"/>
          <w:szCs w:val="21"/>
        </w:rPr>
      </w:pPr>
      <w:r>
        <w:rPr>
          <w:rFonts w:hint="eastAsia" w:ascii="宋体" w:hAnsi="宋体"/>
          <w:szCs w:val="21"/>
        </w:rPr>
        <w:t xml:space="preserve">4.1、运维服务单位要制定应急预案并及时开展培训演练。应经常组织全员安全生产教育，增加人员安全保护意识，避免因操作不当或防护不当引发的安全事故。对于突发的安全事故，相关部门应立即上报服务单位，同时组织施救，并及时将伤员外送就医或拨打120急救电话。</w:t>
      </w:r>
      <w:r/>
    </w:p>
    <w:p>
      <w:pPr>
        <w:pStyle w:val="967"/>
        <w:spacing w:line="360" w:lineRule="auto"/>
        <w:rPr>
          <w:rFonts w:hint="eastAsia" w:ascii="宋体" w:hAnsi="宋体"/>
          <w:szCs w:val="21"/>
        </w:rPr>
      </w:pPr>
      <w:r>
        <w:rPr>
          <w:rFonts w:hint="eastAsia" w:ascii="宋体" w:hAnsi="宋体"/>
          <w:szCs w:val="21"/>
        </w:rPr>
        <w:t xml:space="preserve">4.2、应急预案应包含突发事件应急处理制度、进水水质超标时的处理方案、突发设备故障处理方案、突发安全事故处理方案、触电事故、中毒事故、设备伤害事故、职业卫生事故、坠落及溺水事故、停电事故处理方案、突发火灾事故处理方案、突发重大自然灾害等。</w:t>
      </w:r>
      <w:r/>
    </w:p>
    <w:p>
      <w:pPr>
        <w:pStyle w:val="967"/>
        <w:spacing w:line="360" w:lineRule="auto"/>
        <w:rPr>
          <w:rFonts w:hint="eastAsia" w:ascii="宋体" w:hAnsi="宋体"/>
          <w:szCs w:val="21"/>
        </w:rPr>
        <w:outlineLvl w:val="1"/>
      </w:pPr>
      <w:r>
        <w:rPr>
          <w:rFonts w:hint="eastAsia" w:ascii="宋体" w:hAnsi="宋体"/>
          <w:szCs w:val="21"/>
        </w:rPr>
        <w:t xml:space="preserve">5、安全责任制度</w:t>
      </w:r>
      <w:r/>
    </w:p>
    <w:p>
      <w:pPr>
        <w:pStyle w:val="967"/>
        <w:spacing w:line="360" w:lineRule="auto"/>
        <w:rPr>
          <w:rFonts w:hint="eastAsia" w:ascii="宋体" w:hAnsi="宋体"/>
          <w:szCs w:val="21"/>
        </w:rPr>
      </w:pPr>
      <w:r>
        <w:rPr>
          <w:rFonts w:hint="eastAsia" w:ascii="宋体" w:hAnsi="宋体"/>
          <w:szCs w:val="21"/>
        </w:rPr>
        <w:t xml:space="preserve">5.1、人员安全管理制度</w:t>
      </w:r>
      <w:r/>
    </w:p>
    <w:p>
      <w:pPr>
        <w:pStyle w:val="967"/>
        <w:ind w:firstLine="420"/>
        <w:spacing w:line="360" w:lineRule="auto"/>
        <w:rPr>
          <w:rFonts w:hint="eastAsia" w:ascii="宋体" w:hAnsi="宋体"/>
          <w:szCs w:val="21"/>
        </w:rPr>
      </w:pPr>
      <w:r>
        <w:rPr>
          <w:rFonts w:hint="eastAsia" w:ascii="宋体" w:hAnsi="宋体"/>
          <w:szCs w:val="21"/>
        </w:rPr>
        <w:t xml:space="preserve">运维单位配置一名安全责任人，对全站的安全生产工作全面负责；运维人员必须定期进行安全操作技能培训，严格遵守各项安全生产规章制度、操作规程和劳动纪律。进行动火、临时用电、进入有限空间等危险作业时，必须按规定办理作业许可证，并落实各项安全措施。</w:t>
      </w:r>
      <w:r/>
    </w:p>
    <w:p>
      <w:pPr>
        <w:pStyle w:val="967"/>
        <w:spacing w:line="360" w:lineRule="auto"/>
        <w:rPr>
          <w:rFonts w:hint="eastAsia" w:ascii="宋体" w:hAnsi="宋体"/>
          <w:szCs w:val="21"/>
        </w:rPr>
      </w:pPr>
      <w:r>
        <w:rPr>
          <w:rFonts w:hint="eastAsia" w:ascii="宋体" w:hAnsi="宋体"/>
          <w:szCs w:val="21"/>
        </w:rPr>
        <w:t xml:space="preserve">5.2、明确安全责任</w:t>
      </w:r>
      <w:r/>
    </w:p>
    <w:p>
      <w:pPr>
        <w:pStyle w:val="967"/>
        <w:ind w:firstLine="420"/>
        <w:spacing w:line="360" w:lineRule="auto"/>
        <w:rPr>
          <w:rFonts w:ascii="宋体" w:hAnsi="宋体"/>
          <w:szCs w:val="21"/>
        </w:rPr>
        <w:sectPr>
          <w:headerReference w:type="default" r:id="rId9"/>
          <w:footerReference w:type="default" r:id="rId12"/>
          <w:footerReference w:type="first" r:id="rId13"/>
          <w:footnotePr/>
          <w:endnotePr/>
          <w:type w:val="nextPage"/>
          <w:pgSz w:w="12240" w:h="15840" w:orient="portrait"/>
          <w:pgMar w:top="1440" w:right="1800" w:bottom="1440" w:left="1800" w:header="720" w:footer="720" w:gutter="0"/>
          <w:cols w:num="1" w:sep="0" w:space="720" w:equalWidth="1"/>
          <w:docGrid w:linePitch="360"/>
          <w:titlePg/>
        </w:sectPr>
      </w:pPr>
      <w:r>
        <w:rPr>
          <w:rFonts w:hint="eastAsia" w:ascii="宋体" w:hAnsi="宋体"/>
          <w:szCs w:val="21"/>
        </w:rPr>
        <w:t xml:space="preserve">贯彻执行安全生产方针；运维单位在运维过程对违反本制度的行为，视情节轻重给予批评教育、经济处罚直至解除服务合同。造成人员伤亡、财物损失由运维单位承担。造成事故的，依法追究运维的单位法律责任。</w:t>
      </w:r>
      <w:r>
        <w:rPr>
          <w:rFonts w:ascii="宋体" w:hAnsi="宋体"/>
          <w:szCs w:val="21"/>
        </w:rPr>
      </w:r>
      <w:r/>
    </w:p>
    <w:p>
      <w:pPr>
        <w:pStyle w:val="967"/>
        <w:ind w:firstLine="480"/>
        <w:spacing w:line="360" w:lineRule="auto"/>
        <w:rPr>
          <w:rFonts w:hint="eastAsia"/>
          <w:sz w:val="24"/>
        </w:rPr>
      </w:pPr>
      <w:r>
        <w:rPr>
          <w:rFonts w:hint="eastAsia"/>
          <w:sz w:val="24"/>
        </w:rPr>
      </w:r>
      <w:r/>
    </w:p>
    <w:p>
      <w:pPr>
        <w:pStyle w:val="967"/>
        <w:spacing w:line="360" w:lineRule="auto"/>
        <w:rPr>
          <w:rFonts w:hint="eastAsia" w:ascii="宋体" w:hAnsi="宋体"/>
          <w:szCs w:val="21"/>
        </w:rPr>
      </w:pPr>
      <w:r>
        <w:rPr>
          <w:rFonts w:hint="eastAsia" w:ascii="宋体" w:hAnsi="宋体" w:cs="宋体"/>
          <w:b/>
          <w:color w:val="000000"/>
          <w:szCs w:val="21"/>
        </w:rPr>
        <w:t xml:space="preserve">（六）主要处理设备及服务清单</w:t>
      </w:r>
      <w:r>
        <w:rPr>
          <w:rFonts w:hint="eastAsia" w:ascii="宋体" w:hAnsi="宋体"/>
          <w:szCs w:val="21"/>
        </w:rPr>
      </w:r>
      <w:r/>
    </w:p>
    <w:p>
      <w:pPr>
        <w:pStyle w:val="967"/>
        <w:rPr>
          <w:rFonts w:hint="eastAsia" w:ascii="Tahoma" w:hAnsi="Tahoma"/>
          <w:sz w:val="24"/>
        </w:rPr>
      </w:pPr>
      <w:r>
        <w:rPr>
          <w:rFonts w:hint="eastAsia" w:ascii="Tahoma" w:hAnsi="Tahoma"/>
          <w:sz w:val="24"/>
        </w:rPr>
      </w:r>
      <w:r/>
    </w:p>
    <w:tbl>
      <w:tblPr>
        <w:tblW w:w="4278" w:type="pct"/>
        <w:tblInd w:w="511" w:type="dxa"/>
        <w:tblLayout w:type="autofit"/>
        <w:tblCellMar>
          <w:left w:w="108" w:type="dxa"/>
          <w:top w:w="0" w:type="dxa"/>
          <w:right w:w="108" w:type="dxa"/>
          <w:bottom w:w="0" w:type="dxa"/>
        </w:tblCellMar>
        <w:tblLook w:val="04A0" w:firstRow="1" w:lastRow="0" w:firstColumn="1" w:lastColumn="0" w:noHBand="0" w:noVBand="1"/>
      </w:tblPr>
      <w:tblGrid>
        <w:gridCol w:w="1748"/>
        <w:gridCol w:w="3109"/>
        <w:gridCol w:w="3273"/>
      </w:tblGrid>
      <w:tr>
        <w:trPr>
          <w:trHeight w:val="90"/>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67"/>
              <w:jc w:val="center"/>
              <w:widowControl/>
              <w:rPr>
                <w:rFonts w:hint="eastAsia" w:ascii="宋体" w:hAnsi="宋体" w:cs="宋体"/>
                <w:color w:val="000000"/>
                <w:szCs w:val="21"/>
              </w:rPr>
            </w:pPr>
            <w:r/>
            <w:bookmarkEnd w:id="29"/>
            <w:r/>
            <w:bookmarkStart w:id="46" w:name="_Toc276023192"/>
            <w:r/>
            <w:bookmarkStart w:id="47" w:name="_Toc233272230"/>
            <w:r/>
            <w:bookmarkStart w:id="48" w:name="_Toc13889376"/>
            <w:r/>
            <w:bookmarkStart w:id="49" w:name="_Toc13642116"/>
            <w:r>
              <w:rPr>
                <w:rFonts w:hint="eastAsia" w:ascii="宋体" w:hAnsi="宋体" w:cs="宋体"/>
                <w:color w:val="000000"/>
                <w:szCs w:val="21"/>
                <w:lang w:bidi="ar"/>
              </w:rPr>
              <w:t xml:space="preserve">昆山市第六人民医院异地新建污水系统租赁服务汇总表</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pStyle w:val="967"/>
              <w:jc w:val="left"/>
              <w:widowControl/>
              <w:rPr>
                <w:rFonts w:hint="eastAsia" w:ascii="宋体" w:hAnsi="宋体" w:cs="宋体"/>
                <w:color w:val="000000"/>
                <w:szCs w:val="21"/>
              </w:rPr>
            </w:pPr>
            <w:r>
              <w:rPr>
                <w:rFonts w:hint="eastAsia" w:ascii="宋体" w:hAnsi="宋体" w:cs="宋体"/>
                <w:color w:val="000000"/>
                <w:szCs w:val="21"/>
                <w:lang w:bidi="ar"/>
              </w:rPr>
              <w:t xml:space="preserve">名称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pStyle w:val="967"/>
              <w:jc w:val="left"/>
              <w:widowControl/>
              <w:rPr>
                <w:rFonts w:hint="eastAsia" w:ascii="宋体" w:hAnsi="宋体" w:cs="宋体"/>
                <w:color w:val="000000"/>
                <w:szCs w:val="21"/>
              </w:rPr>
            </w:pPr>
            <w:r>
              <w:rPr>
                <w:rFonts w:hint="eastAsia" w:ascii="宋体" w:hAnsi="宋体" w:cs="宋体"/>
                <w:color w:val="000000"/>
                <w:szCs w:val="21"/>
                <w:lang w:bidi="ar"/>
              </w:rPr>
              <w:t xml:space="preserve">设备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pct"/>
            <w:vAlign w:val="center"/>
            <w:textDirection w:val="lrTb"/>
            <w:noWrap/>
          </w:tcPr>
          <w:p>
            <w:pPr>
              <w:pStyle w:val="967"/>
              <w:jc w:val="center"/>
              <w:widowControl/>
              <w:rPr>
                <w:rFonts w:ascii="宋体" w:hAnsi="宋体" w:cs="宋体"/>
                <w:color w:val="000000"/>
                <w:szCs w:val="21"/>
              </w:rPr>
            </w:pPr>
            <w:r>
              <w:rPr>
                <w:rFonts w:hint="eastAsia" w:ascii="宋体" w:hAnsi="宋体" w:cs="宋体"/>
                <w:color w:val="000000"/>
                <w:szCs w:val="21"/>
                <w:lang w:bidi="ar"/>
              </w:rPr>
              <w:t xml:space="preserve">项</w:t>
            </w:r>
            <w:r>
              <w:rPr>
                <w:rFonts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pStyle w:val="967"/>
              <w:jc w:val="left"/>
              <w:widowControl/>
              <w:rPr>
                <w:rFonts w:hint="eastAsia" w:ascii="宋体" w:hAnsi="宋体" w:cs="宋体"/>
                <w:color w:val="000000"/>
                <w:szCs w:val="21"/>
              </w:rPr>
            </w:pPr>
            <w:r>
              <w:rPr>
                <w:rFonts w:hint="eastAsia" w:ascii="宋体" w:hAnsi="宋体" w:cs="宋体"/>
                <w:color w:val="000000"/>
                <w:szCs w:val="21"/>
                <w:lang w:bidi="ar"/>
              </w:rPr>
              <w:t xml:space="preserve">运维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pStyle w:val="967"/>
              <w:jc w:val="left"/>
              <w:widowControl/>
              <w:rPr>
                <w:rFonts w:hint="eastAsia" w:ascii="宋体" w:hAnsi="宋体" w:cs="宋体"/>
                <w:color w:val="000000"/>
                <w:szCs w:val="21"/>
              </w:rPr>
            </w:pPr>
            <w:r>
              <w:rPr>
                <w:rFonts w:hint="eastAsia" w:ascii="宋体" w:hAnsi="宋体" w:cs="宋体"/>
                <w:color w:val="000000"/>
                <w:szCs w:val="21"/>
                <w:lang w:bidi="ar"/>
              </w:rPr>
              <w:t xml:space="preserve">运维人员费用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pStyle w:val="967"/>
              <w:jc w:val="left"/>
              <w:widowControl/>
              <w:rPr>
                <w:rFonts w:hint="eastAsia" w:ascii="宋体" w:hAnsi="宋体" w:cs="宋体"/>
                <w:color w:val="000000"/>
                <w:szCs w:val="21"/>
              </w:rPr>
            </w:pPr>
            <w:r>
              <w:rPr>
                <w:rFonts w:hint="eastAsia" w:ascii="宋体" w:hAnsi="宋体" w:cs="宋体"/>
                <w:color w:val="000000"/>
                <w:szCs w:val="21"/>
                <w:lang w:bidi="ar"/>
              </w:rPr>
              <w:t xml:space="preserve">耗材及消毒药剂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pStyle w:val="967"/>
              <w:jc w:val="left"/>
              <w:widowControl/>
              <w:rPr>
                <w:rFonts w:hint="eastAsia" w:ascii="宋体" w:hAnsi="宋体" w:cs="宋体"/>
                <w:color w:val="000000"/>
                <w:szCs w:val="21"/>
              </w:rPr>
            </w:pPr>
            <w:r>
              <w:rPr>
                <w:rFonts w:hint="eastAsia" w:ascii="宋体" w:hAnsi="宋体" w:cs="宋体"/>
                <w:color w:val="000000"/>
                <w:szCs w:val="21"/>
                <w:lang w:bidi="ar"/>
              </w:rPr>
              <w:t xml:space="preserve">排污许可证及卫监要求检测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pStyle w:val="967"/>
              <w:jc w:val="left"/>
              <w:widowControl/>
              <w:rPr>
                <w:rFonts w:hint="eastAsia" w:ascii="宋体" w:hAnsi="宋体" w:cs="宋体"/>
                <w:color w:val="000000"/>
                <w:szCs w:val="21"/>
              </w:rPr>
            </w:pPr>
            <w:r>
              <w:rPr>
                <w:rFonts w:hint="eastAsia" w:ascii="宋体" w:hAnsi="宋体" w:cs="宋体"/>
                <w:color w:val="000000"/>
                <w:szCs w:val="21"/>
                <w:lang w:bidi="ar"/>
              </w:rPr>
              <w:t xml:space="preserve">在线监测设备维护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12" w:type="pct"/>
            <w:vAlign w:val="center"/>
            <w:textDirection w:val="lrTb"/>
            <w:noWrap/>
          </w:tcPr>
          <w:p>
            <w:pPr>
              <w:pStyle w:val="967"/>
              <w:jc w:val="left"/>
              <w:widowControl/>
              <w:rPr>
                <w:rFonts w:hint="eastAsia" w:ascii="宋体" w:hAnsi="宋体" w:cs="宋体"/>
                <w:color w:val="000000"/>
                <w:szCs w:val="21"/>
              </w:rPr>
            </w:pPr>
            <w:r>
              <w:rPr>
                <w:rFonts w:hint="eastAsia" w:ascii="宋体" w:hAnsi="宋体" w:cs="宋体"/>
                <w:color w:val="000000"/>
                <w:szCs w:val="21"/>
                <w:lang w:bidi="ar"/>
              </w:rPr>
              <w:t xml:space="preserve">在线监测软件平台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13" w:type="pct"/>
            <w:vAlign w:val="center"/>
            <w:textDirection w:val="lrTb"/>
            <w:noWrap/>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bl>
    <w:p>
      <w:pPr>
        <w:pStyle w:val="967"/>
        <w:ind w:firstLine="421"/>
      </w:pPr>
      <w:r/>
      <w:r/>
    </w:p>
    <w:tbl>
      <w:tblPr>
        <w:tblW w:w="4995" w:type="pct"/>
        <w:tblInd w:w="0" w:type="dxa"/>
        <w:tblLayout w:type="fixed"/>
        <w:tblCellMar>
          <w:left w:w="108" w:type="dxa"/>
          <w:top w:w="0" w:type="dxa"/>
          <w:right w:w="108" w:type="dxa"/>
          <w:bottom w:w="0" w:type="dxa"/>
        </w:tblCellMar>
        <w:tblLook w:val="04A0" w:firstRow="1" w:lastRow="0" w:firstColumn="1" w:lastColumn="0" w:noHBand="0" w:noVBand="1"/>
      </w:tblPr>
      <w:tblGrid>
        <w:gridCol w:w="479"/>
        <w:gridCol w:w="104"/>
        <w:gridCol w:w="898"/>
        <w:gridCol w:w="1232"/>
        <w:gridCol w:w="5596"/>
        <w:gridCol w:w="670"/>
        <w:gridCol w:w="513"/>
      </w:tblGrid>
      <w:tr>
        <w:trPr>
          <w:trHeight w:val="31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昆山第六人民医院异地新建污水系统租赁服务-设备</w:t>
            </w:r>
            <w:r>
              <w:rPr>
                <w:rFonts w:ascii="宋体" w:hAnsi="宋体" w:cs="仿宋"/>
                <w:color w:val="000000"/>
                <w:szCs w:val="21"/>
              </w:rPr>
            </w:r>
            <w:r/>
          </w:p>
        </w:tc>
      </w:tr>
      <w:tr>
        <w:trPr>
          <w:trHeight w:val="315"/>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序号</w:t>
            </w:r>
            <w:r>
              <w:rPr>
                <w:rFonts w:hint="eastAsia" w:ascii="宋体" w:hAnsi="宋体" w:cs="仿宋"/>
                <w:b/>
                <w:bCs/>
                <w:color w:val="000000"/>
                <w:szCs w:val="21"/>
              </w:rPr>
            </w:r>
            <w:r/>
          </w:p>
        </w:tc>
        <w:tc>
          <w:tcPr>
            <w:tcBorders>
              <w:top w:val="single" w:color="000000" w:sz="8" w:space="0"/>
              <w:left w:val="none" w:color="000000" w:sz="4" w:space="0"/>
              <w:bottom w:val="single" w:color="000000" w:sz="8" w:space="0"/>
              <w:right w:val="single" w:color="000000" w:sz="4" w:space="0"/>
            </w:tcBorders>
            <w:tcW w:w="473"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名 </w:t>
            </w:r>
            <w:r>
              <w:rPr>
                <w:rStyle w:val="1343"/>
                <w:rFonts w:ascii="宋体" w:hAnsi="宋体" w:eastAsia="宋体"/>
                <w:sz w:val="21"/>
                <w:szCs w:val="21"/>
                <w:lang w:bidi="ar"/>
              </w:rPr>
              <w:t xml:space="preserve"> 称</w:t>
            </w:r>
            <w:r>
              <w:rPr>
                <w:rFonts w:hint="eastAsia"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参考品牌</w:t>
            </w:r>
            <w:r>
              <w:rPr>
                <w:rFonts w:hint="eastAsia" w:ascii="宋体" w:hAnsi="宋体" w:cs="仿宋"/>
                <w:b/>
                <w:bCs/>
                <w:color w:val="000000"/>
                <w:szCs w:val="21"/>
              </w:rPr>
            </w:r>
            <w:r/>
          </w:p>
        </w:tc>
        <w:tc>
          <w:tcPr>
            <w:tcBorders>
              <w:top w:val="single" w:color="000000" w:sz="4" w:space="0"/>
              <w:left w:val="single" w:color="000000" w:sz="4" w:space="0"/>
              <w:bottom w:val="single" w:color="000000" w:sz="4" w:space="0"/>
              <w:right w:val="single" w:color="000000" w:sz="4" w:space="0"/>
            </w:tcBorders>
            <w:tcW w:w="2948"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规格</w:t>
            </w:r>
            <w:r>
              <w:rPr>
                <w:rFonts w:hint="eastAsia" w:ascii="宋体" w:hAnsi="宋体" w:cs="仿宋"/>
                <w:b/>
                <w:bCs/>
                <w:color w:val="000000"/>
                <w:szCs w:val="21"/>
              </w:rPr>
            </w:r>
            <w:r/>
          </w:p>
        </w:tc>
        <w:tc>
          <w:tcPr>
            <w:tcBorders>
              <w:top w:val="single" w:color="000000" w:sz="8" w:space="0"/>
              <w:left w:val="singl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单位</w:t>
            </w:r>
            <w:r>
              <w:rPr>
                <w:rFonts w:hint="eastAsia" w:ascii="宋体" w:hAnsi="宋体" w:cs="仿宋"/>
                <w:b/>
                <w:bCs/>
                <w:color w:val="000000"/>
                <w:szCs w:val="21"/>
              </w:rPr>
            </w:r>
            <w:r/>
          </w:p>
        </w:tc>
        <w:tc>
          <w:tcPr>
            <w:tcBorders>
              <w:top w:val="single" w:color="000000" w:sz="8" w:space="0"/>
              <w:left w:val="none" w:color="000000" w:sz="4" w:space="0"/>
              <w:bottom w:val="single" w:color="000000" w:sz="8" w:space="0"/>
              <w:right w:val="single" w:color="000000" w:sz="4" w:space="0"/>
            </w:tcBorders>
            <w:tcW w:w="269" w:type="pct"/>
            <w:vAlign w:val="center"/>
            <w:textDirection w:val="lrTb"/>
            <w:noWrap/>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数量</w:t>
            </w:r>
            <w:r>
              <w:rPr>
                <w:rFonts w:hint="eastAsia" w:ascii="宋体" w:hAnsi="宋体" w:cs="仿宋"/>
                <w:b/>
                <w:bCs/>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4"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一</w:t>
            </w:r>
            <w:r>
              <w:rPr>
                <w:rFonts w:hint="eastAsia" w:ascii="宋体" w:hAnsi="宋体" w:cs="仿宋"/>
                <w:b/>
                <w:bCs/>
                <w:color w:val="000000"/>
                <w:szCs w:val="21"/>
              </w:rPr>
            </w:r>
            <w:r/>
          </w:p>
        </w:tc>
        <w:tc>
          <w:tcPr>
            <w:gridSpan w:val="5"/>
            <w:tcBorders>
              <w:top w:val="single" w:color="000000" w:sz="4" w:space="0"/>
              <w:left w:val="single" w:color="000000" w:sz="4" w:space="0"/>
              <w:bottom w:val="single" w:color="000000" w:sz="4" w:space="0"/>
              <w:right w:val="single" w:color="000000" w:sz="4"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预处理水池（池体土建建设）</w:t>
            </w:r>
            <w:r>
              <w:rPr>
                <w:rFonts w:hint="eastAsia" w:ascii="宋体" w:hAnsi="宋体" w:cs="仿宋"/>
                <w:b/>
                <w:bCs/>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手动格栅</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singl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格栅间隙：10mm </w:t>
            </w:r>
            <w:r>
              <w:rPr>
                <w:rFonts w:hint="eastAsia" w:ascii="宋体" w:hAnsi="宋体" w:cs="仿宋"/>
                <w:color w:val="000000"/>
                <w:szCs w:val="21"/>
              </w:rPr>
              <w:t xml:space="preserve">           </w:t>
            </w:r>
            <w:r/>
          </w:p>
        </w:tc>
        <w:tc>
          <w:tcPr>
            <w:tcBorders>
              <w:top w:val="singl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597"/>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格栅尺寸：依据格栅池体定制</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消毒池循环泵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河见、南方、凯泉</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口径：DN50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流量：9m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功率：0.4kw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9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26"/>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排放泵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河见、南方、凯泉</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口径：DN50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流量：9m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功率：0.4kw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684"/>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62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背压阀</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规格：软管接头 </w:t>
            </w:r>
            <w:r>
              <w:rPr>
                <w:rFonts w:hint="eastAsia" w:ascii="宋体" w:hAnsi="宋体" w:cs="仿宋"/>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55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工作压力：0-0.8MPa </w:t>
            </w:r>
            <w:r>
              <w:rPr>
                <w:rFonts w:hint="eastAsia" w:ascii="宋体" w:hAnsi="宋体" w:cs="仿宋"/>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材质：UPVC</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大小：DN15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7</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加药泵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赛高、力高、爱力浦</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流量：8L/H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压力：0.6Mpa</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泵速：100min－1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膜片规格：84㎜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电机功率：60W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进出口：软管接头</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7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8</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脱氯加药箱</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大自然、祥盛塑业、恒毅环保</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PE,加药箱，300L；</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配套搅拌机；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9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9</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杆式液位，低液位，根据加药箱液位定做</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背压阀</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规格：软管接头 </w:t>
            </w:r>
            <w:r>
              <w:rPr>
                <w:rFonts w:hint="eastAsia" w:ascii="宋体" w:hAnsi="宋体" w:cs="仿宋"/>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工作压力：0-0.8MPa </w:t>
            </w:r>
            <w:r>
              <w:rPr>
                <w:rFonts w:hint="eastAsia" w:ascii="宋体" w:hAnsi="宋体" w:cs="仿宋"/>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材质：UPVC</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大小：DN15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加药泵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赛高、力高、爱力浦</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流量：8L/H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压力：0.6Mpa</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泵速：100min－1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膜片规格：84㎜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电机功率：60W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进出口：软管接头</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802"/>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电柜</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含其余电器元件、电气控制系统、组态程序、人机界面；详见电气清单</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77"/>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管道沟</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长度60米，宽度300mm,深度500mm.开挖、预埋及回填</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97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预埋管件及电缆</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DN25化工UPVC长度240米,DN50化工UPVC长度80米，电缆电线长度560米</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31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二</w:t>
            </w:r>
            <w:r>
              <w:rPr>
                <w:rFonts w:hint="eastAsia" w:ascii="宋体" w:hAnsi="宋体" w:cs="仿宋"/>
                <w:b/>
                <w:bCs/>
                <w:color w:val="000000"/>
                <w:szCs w:val="21"/>
              </w:rPr>
            </w:r>
            <w:r/>
          </w:p>
        </w:tc>
        <w:tc>
          <w:tcPr>
            <w:gridSpan w:val="5"/>
            <w:tcBorders>
              <w:top w:val="single" w:color="000000" w:sz="8" w:space="0"/>
              <w:left w:val="none" w:color="000000" w:sz="4" w:space="0"/>
              <w:bottom w:val="none" w:color="000000" w:sz="4" w:space="0"/>
              <w:right w:val="single" w:color="000000" w:sz="4"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格栅池（池体土建建设）</w:t>
            </w:r>
            <w:r>
              <w:rPr>
                <w:rFonts w:hint="eastAsia" w:ascii="宋体" w:hAnsi="宋体" w:cs="仿宋"/>
                <w:b/>
                <w:bCs/>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b/>
                <w:bCs/>
                <w:color w:val="000000"/>
                <w:szCs w:val="21"/>
              </w:rPr>
            </w:pPr>
            <w:r>
              <w:rPr>
                <w:rFonts w:hint="eastAsia" w:ascii="宋体" w:hAnsi="宋体" w:cs="仿宋"/>
                <w:b/>
                <w:bCs/>
                <w:color w:val="000000"/>
                <w:szCs w:val="21"/>
              </w:rPr>
            </w:r>
            <w:r/>
          </w:p>
        </w:tc>
        <w:tc>
          <w:tcPr>
            <w:gridSpan w:val="5"/>
            <w:tcBorders>
              <w:top w:val="none" w:color="000000" w:sz="4" w:space="0"/>
              <w:left w:val="none" w:color="000000" w:sz="4" w:space="0"/>
              <w:bottom w:val="single" w:color="000000" w:sz="8" w:space="0"/>
              <w:right w:val="single" w:color="000000" w:sz="4"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池内壁尺寸（L）2500*（W）900*（H）6000mm</w:t>
            </w:r>
            <w:r>
              <w:rPr>
                <w:rFonts w:hint="eastAsia" w:ascii="宋体" w:hAnsi="宋体" w:cs="仿宋"/>
                <w:b/>
                <w:bCs/>
                <w:color w:val="000000"/>
                <w:szCs w:val="21"/>
              </w:rPr>
            </w:r>
            <w:r/>
          </w:p>
        </w:tc>
      </w:tr>
      <w:tr>
        <w:trPr>
          <w:cantSplit/>
          <w:trHeight w:val="751"/>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机械格栅</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格栅池尺寸：渠宽＝900mm，渠高＝4000mm；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处理量：21m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栅隙：10mm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1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集渣装置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依据格栅尺寸定制；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53"/>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L1200*W500*H800mm（±1%）,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8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集渣装置高度由粗格栅高度定，底部需要有滤水装置,滤水收集到格栅池</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99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格栅收集罩子</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尺寸：L4100*W1500*H2500mm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986"/>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岩棉夹心板50mm,外部装饰五面，灰色铝合金百叶窗，预留检修门2处:外开式双开门，高度1800mm，宽度1200mm。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三</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调节池（池体土建建设）</w:t>
            </w:r>
            <w:r>
              <w:rPr>
                <w:rFonts w:hint="eastAsia" w:ascii="宋体" w:hAnsi="宋体" w:cs="仿宋"/>
                <w:b/>
                <w:bCs/>
                <w:color w:val="000000"/>
                <w:szCs w:val="21"/>
              </w:rPr>
            </w:r>
            <w:r/>
          </w:p>
        </w:tc>
      </w:tr>
      <w:tr>
        <w:trPr>
          <w:cantSplit/>
          <w:trHeight w:val="17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47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提升泵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流量：25m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扬程：14m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功率：2.2KW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切割泵，配套耦合装置；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智能流量计</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科旗、创造、杭州米科</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DN65；防水型</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（分体式）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聚四氟乙烯（PTFE）衬里</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644"/>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RS232通讯地、（24V）电源输入</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法兰接口</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潜水搅拌机</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川源、兰江、凯普德</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含耦合器</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池体深度6m；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677"/>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人孔尺寸：L1000*W700mm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四</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应急池（池体土建建设）</w:t>
            </w:r>
            <w:r>
              <w:rPr>
                <w:rFonts w:hint="eastAsia" w:ascii="宋体" w:hAnsi="宋体" w:cs="仿宋"/>
                <w:b/>
                <w:bCs/>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提升泵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流量：25m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扬程：14m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功率：2.2KW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切割泵，配套耦合装置；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93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558"/>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潜水搅拌机</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川源、兰江、凯普德</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含耦合器</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池体深度6m；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93"/>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人孔尺寸：L1000*W1000mm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五</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污泥池（池体土建建设）</w:t>
            </w:r>
            <w:r>
              <w:rPr>
                <w:rFonts w:hint="eastAsia" w:ascii="宋体" w:hAnsi="宋体" w:cs="仿宋"/>
                <w:b/>
                <w:bCs/>
                <w:color w:val="000000"/>
                <w:szCs w:val="21"/>
              </w:rPr>
            </w:r>
            <w:r/>
          </w:p>
        </w:tc>
      </w:tr>
      <w:tr>
        <w:trPr>
          <w:cantSplit/>
          <w:trHeight w:val="733"/>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37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污泥泵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流量：25m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扬程：10m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潜水搅拌机</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川源、兰江、凯普德</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功率：0.85KW</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含耦合器</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池体深度6m；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77"/>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人孔尺寸：L1000*W1000mm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六</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缺氧池（池体土建建设）</w:t>
            </w:r>
            <w:r>
              <w:rPr>
                <w:rFonts w:hint="eastAsia" w:ascii="宋体" w:hAnsi="宋体" w:cs="仿宋"/>
                <w:b/>
                <w:bCs/>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潜水搅拌机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川源、兰江、凯普德</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含耦合器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池体深度6m；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73"/>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人孔尺寸：L1000*W1000mm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525"/>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组合填料</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塑料环，填料@150mm,L:2.5m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m</w:t>
            </w:r>
            <w:r>
              <w:rPr>
                <w:rStyle w:val="1345"/>
                <w:rFonts w:ascii="宋体" w:hAnsi="宋体" w:eastAsia="宋体"/>
                <w:sz w:val="21"/>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118</w:t>
            </w:r>
            <w:r>
              <w:rPr>
                <w:rFonts w:hint="eastAsia" w:ascii="宋体" w:hAnsi="宋体" w:cs="仿宋"/>
                <w:color w:val="000000"/>
                <w:szCs w:val="21"/>
              </w:rPr>
            </w:r>
            <w:r/>
          </w:p>
        </w:tc>
      </w:tr>
      <w:tr>
        <w:trPr>
          <w:cantSplit/>
          <w:trHeight w:val="31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填料支架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6#槽钢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支</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20</w:t>
            </w: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材质：SUS304，防腐处理</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地脚板</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38</w:t>
            </w:r>
            <w:r>
              <w:rPr>
                <w:rFonts w:hint="eastAsia" w:ascii="宋体" w:hAnsi="宋体" w:cs="仿宋"/>
                <w:color w:val="000000"/>
                <w:szCs w:val="21"/>
              </w:rPr>
            </w:r>
            <w:r/>
          </w:p>
        </w:tc>
      </w:tr>
      <w:tr>
        <w:trPr>
          <w:cantSplit/>
          <w:trHeight w:val="56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规格：150*150mm，四角螺栓固定孔</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1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14#螺纹钢</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支</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70</w:t>
            </w: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4"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材质：SUS304，防腐处理</w:t>
            </w:r>
            <w:r>
              <w:rPr>
                <w:rFonts w:hint="eastAsia" w:ascii="宋体" w:hAnsi="宋体" w:cs="仿宋"/>
                <w:color w:val="000000"/>
                <w:szCs w:val="21"/>
              </w:rPr>
            </w:r>
            <w:r/>
          </w:p>
        </w:tc>
        <w:tc>
          <w:tcPr>
            <w:tcBorders>
              <w:top w:val="none" w:color="000000" w:sz="4" w:space="0"/>
              <w:left w:val="none" w:color="000000" w:sz="4" w:space="0"/>
              <w:bottom w:val="singl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七</w:t>
            </w:r>
            <w:r>
              <w:rPr>
                <w:rFonts w:hint="eastAsia" w:ascii="宋体" w:hAnsi="宋体" w:cs="仿宋"/>
                <w:b/>
                <w:bCs/>
                <w:color w:val="000000"/>
                <w:szCs w:val="21"/>
              </w:rPr>
            </w:r>
            <w:r/>
          </w:p>
        </w:tc>
        <w:tc>
          <w:tcPr>
            <w:gridSpan w:val="5"/>
            <w:tcBorders>
              <w:top w:val="single" w:color="000000" w:sz="4" w:space="0"/>
              <w:left w:val="single" w:color="000000" w:sz="4" w:space="0"/>
              <w:bottom w:val="single" w:color="000000" w:sz="4" w:space="0"/>
              <w:right w:val="single" w:color="000000" w:sz="4"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好氧池（池体土建建设）</w:t>
            </w:r>
            <w:r>
              <w:rPr>
                <w:rFonts w:hint="eastAsia" w:ascii="宋体" w:hAnsi="宋体" w:cs="仿宋"/>
                <w:b/>
                <w:bCs/>
                <w:color w:val="000000"/>
                <w:szCs w:val="21"/>
              </w:rPr>
            </w:r>
            <w:r/>
          </w:p>
        </w:tc>
      </w:tr>
      <w:tr>
        <w:trPr>
          <w:trHeight w:val="975"/>
        </w:trPr>
        <w:tc>
          <w:tcPr>
            <w:gridSpan w:val="2"/>
            <w:tcBorders>
              <w:top w:val="singl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组合填料</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塑料环，填料@150mm,L:2.5m</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m</w:t>
            </w:r>
            <w:r>
              <w:rPr>
                <w:rStyle w:val="1345"/>
                <w:rFonts w:ascii="宋体" w:hAnsi="宋体" w:eastAsia="宋体"/>
                <w:sz w:val="21"/>
                <w:szCs w:val="21"/>
                <w:lang w:bidi="ar"/>
              </w:rPr>
              <w:t xml:space="preserve">3</w:t>
            </w:r>
            <w:r>
              <w:rPr>
                <w:rFonts w:hint="eastAsia" w:ascii="宋体" w:hAnsi="宋体" w:cs="仿宋"/>
                <w:color w:val="000000"/>
                <w:szCs w:val="21"/>
              </w:rPr>
            </w:r>
            <w:r/>
          </w:p>
        </w:tc>
        <w:tc>
          <w:tcPr>
            <w:tcBorders>
              <w:top w:val="singl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200</w:t>
            </w:r>
            <w:r>
              <w:rPr>
                <w:rFonts w:hint="eastAsia" w:ascii="宋体" w:hAnsi="宋体" w:cs="仿宋"/>
                <w:color w:val="000000"/>
                <w:szCs w:val="21"/>
              </w:rPr>
            </w:r>
            <w:r/>
          </w:p>
        </w:tc>
      </w:tr>
      <w:tr>
        <w:trPr>
          <w:cantSplit/>
          <w:trHeight w:val="31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填料支架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6#槽钢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支</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31</w:t>
            </w: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材质：SUS304，防腐处理</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地脚板</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48</w:t>
            </w:r>
            <w:r>
              <w:rPr>
                <w:rFonts w:hint="eastAsia" w:ascii="宋体" w:hAnsi="宋体" w:cs="仿宋"/>
                <w:color w:val="000000"/>
                <w:szCs w:val="21"/>
              </w:rPr>
            </w:r>
            <w:r/>
          </w:p>
        </w:tc>
      </w:tr>
      <w:tr>
        <w:trPr>
          <w:cantSplit/>
          <w:trHeight w:val="56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规格：150*150mm，四角螺栓固定孔</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1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14#螺纹钢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支</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70</w:t>
            </w: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材质：SUS304，防腐处理</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曝气系统</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配套；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64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水池尺寸;L5300*4000mm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面积：21.2㎡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UPVC（含底座）</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微孔曝气盘</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Φ215（膜片硅橡胶）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126</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ABS+硅橡胶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7</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内回流泵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流量：25m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扬程：10m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1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8</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出水堰及挡板</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B=300mm,材质SUS304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八</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沉淀池（池体土建建设）</w:t>
            </w:r>
            <w:r>
              <w:rPr>
                <w:rFonts w:hint="eastAsia" w:ascii="宋体" w:hAnsi="宋体" w:cs="仿宋"/>
                <w:b/>
                <w:bCs/>
                <w:color w:val="000000"/>
                <w:szCs w:val="21"/>
              </w:rPr>
            </w:r>
            <w:r/>
          </w:p>
        </w:tc>
      </w:tr>
      <w:tr>
        <w:trPr>
          <w:cantSplit/>
          <w:trHeight w:val="892"/>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导流筒</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高度2.5m（上口直径0.6m，下口直径0.81m,含反射板）</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887"/>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防止池体泥斗高度导致导流筒进不去，做成2段池内螺栓对接紧固。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固定支架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8#槽钢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材质：碳钢，防腐处理</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沉淀池出水堰及出水挡板</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B=300mm,材质SUS304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九</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污泥回流池（池体土建建设）</w:t>
            </w:r>
            <w:r>
              <w:rPr>
                <w:rFonts w:hint="eastAsia" w:ascii="宋体" w:hAnsi="宋体" w:cs="仿宋"/>
                <w:b/>
                <w:bCs/>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污泥回流泵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流量：25m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扬程：10m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813"/>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探头：静压式，量程0-6m，输出0~20mA，不锈钢材质</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6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分体式表头：DC24V，带立式柱显</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排放池（池体土建建设）</w:t>
            </w:r>
            <w:r>
              <w:rPr>
                <w:rFonts w:hint="eastAsia" w:ascii="宋体" w:hAnsi="宋体" w:cs="仿宋"/>
                <w:b/>
                <w:bCs/>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循环回流泵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流量：23m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扬程：14m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功率：2.2KW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排放泵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流量：23m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扬程：14m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功率：2.2KW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口径：DN65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配套耦合装置；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池深6m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液位控制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威尔太、华电、广州东仪</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探头：静压式；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量程：0-6m；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输出4~20mA；</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分体式表头：DC24V，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带立式柱显</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材质：不锈钢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6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巴歇尔槽</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2#巴歇尔槽，Q=0~47m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27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计量槽材质SUS304；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配套超声波流量计.</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采样泵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川源、凯泉、南方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流量：18m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扬程：15m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电压：380V/50Hz</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口径：DN50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采样泵</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新界、凯泉、南方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流量：1m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none" w:color="000000" w:sz="4"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扬程：15m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功率：0.37KW</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电压：220V/50Hz</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材质：铸铁</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十一</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设备间（土建建设）</w:t>
            </w:r>
            <w:r>
              <w:rPr>
                <w:rFonts w:hint="eastAsia" w:ascii="宋体" w:hAnsi="宋体" w:cs="仿宋"/>
                <w:b/>
                <w:bCs/>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回转式鼓风机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百事德、永成、川源</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风压：0.5Kgf/cm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r>
      <w:tr>
        <w:trPr>
          <w:cantSplit/>
          <w:trHeight w:val="571"/>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风量：5.11m</w:t>
            </w:r>
            <w:r>
              <w:rPr>
                <w:rStyle w:val="1344"/>
                <w:sz w:val="21"/>
                <w:szCs w:val="21"/>
                <w:lang w:bidi="ar"/>
              </w:rPr>
              <w:t xml:space="preserve">³</w:t>
            </w:r>
            <w:r>
              <w:rPr>
                <w:rFonts w:hint="eastAsia" w:ascii="宋体" w:hAnsi="宋体" w:cs="仿宋"/>
                <w:color w:val="000000"/>
                <w:szCs w:val="21"/>
              </w:rPr>
              <w:t xml:space="preserve">/min</w:t>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功率：7.5KW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口径：DN80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电控配变频</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鼓风机变频控制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配套鼓风机用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519"/>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含电柜、含3个变频器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28"/>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风机房隔音</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房间内部尺寸：L5.8*W3.4*H5.5m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72"/>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制作型式：表面贴消音棉</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消音棉材质：阻燃聚氨酯</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厚度≥40mm；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26"/>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距离地面300mm高度一圈制作不锈钢304护板，护板厚度1.5mm，防止消音棉被破坏。</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十二</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加药间（土建建设）</w:t>
            </w:r>
            <w:r>
              <w:rPr>
                <w:rFonts w:hint="eastAsia" w:ascii="宋体" w:hAnsi="宋体" w:cs="仿宋"/>
                <w:b/>
                <w:bCs/>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加药箱</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大自然、祥盛塑业、恒毅环保</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加药桶：1500L，材质PE；</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直径1170m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配套透明可视液位；</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加药泵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赛高、力高、爱力浦</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流量:0-25L/H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31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加药泵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赛高、力高、爱力浦</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DMS200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流量:0-5L/H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818"/>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加药泵固定支架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成品，不锈钢支架，固定安装4台加药泵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材质：SUS304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药箱液位</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杆式液位，高低液位</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十三</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电控间（土建建设）</w:t>
            </w:r>
            <w:r>
              <w:rPr>
                <w:rFonts w:hint="eastAsia" w:ascii="宋体" w:hAnsi="宋体" w:cs="仿宋"/>
                <w:b/>
                <w:bCs/>
                <w:color w:val="000000"/>
                <w:szCs w:val="21"/>
              </w:rPr>
            </w:r>
            <w:r/>
          </w:p>
        </w:tc>
      </w:tr>
      <w:tr>
        <w:trPr>
          <w:cantSplit/>
          <w:trHeight w:val="623"/>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电控系统</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触摸屏、通讯模块及其它元器件、远程控制系统（电脑端和手机端）</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2"/>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含监控、在线监测盒、4G网络天线</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179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总余氯检测仪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科瑞达、泽铭、苏州科特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tcPr>
          <w:p>
            <w:pPr>
              <w:pStyle w:val="967"/>
              <w:jc w:val="left"/>
              <w:widowControl/>
              <w:rPr>
                <w:rFonts w:ascii="宋体" w:hAnsi="宋体" w:cs="仿宋"/>
                <w:color w:val="000000"/>
                <w:szCs w:val="21"/>
                <w:lang w:bidi="ar"/>
              </w:rPr>
            </w:pPr>
            <w:r>
              <w:rPr>
                <w:rFonts w:hint="eastAsia" w:ascii="宋体" w:hAnsi="宋体" w:cs="仿宋"/>
                <w:color w:val="ff0000"/>
                <w:szCs w:val="21"/>
                <w:lang w:bidi="ar"/>
              </w:rPr>
              <w:br w:type="textWrapping" w:clear="all"/>
            </w:r>
            <w:r>
              <w:rPr>
                <w:rFonts w:hint="eastAsia" w:ascii="宋体" w:hAnsi="宋体" w:cs="仿宋"/>
                <w:color w:val="000000"/>
                <w:szCs w:val="21"/>
                <w:lang w:bidi="ar"/>
              </w:rPr>
              <w:t xml:space="preserve">测量方法：分光光度法</w:t>
              <w:br w:type="textWrapping" w:clear="all"/>
              <w:t xml:space="preserve">带PH计</w:t>
            </w:r>
            <w:r>
              <w:rPr>
                <w:rFonts w:ascii="宋体" w:hAnsi="宋体" w:cs="仿宋"/>
                <w:color w:val="000000"/>
                <w:szCs w:val="21"/>
                <w:lang w:bidi="ar"/>
              </w:rPr>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测量范围：0~10mg/L</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DPD比色法，测量精确、稳定；</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内置校正曲线，用户校准可直接调用；支持用户手动校准（零点和不超过2个浓度点校准）；支持过程校准；</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支持多种测量方式：连续测量；间隔测量；手动测定；</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测量间隔可选择：10min-12h,每次间隔10min,用户使用更方便；</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具有隔离(4～20)mA和RS485输出；</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具有自动上、下限报警功能；</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具有断电数据保持电路, 即使非正常停电, 仪器内部贮存的数据仍有效， 开机后勿需校准即可进入测量；</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主要性能参数</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分辨率：0.01mg/L</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 示值误差：≤1mg/L：±0.05 mg/L；</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＞1mg/L：±5%</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重复性：≤1mg/L：±0.025 mg/L；</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＞1mg/L：±3%</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检出限：不大于0.05mg/L。</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输出信号：隔离（4～20）mA，最大负载为750Ω。 </w:t>
            </w:r>
            <w:r/>
          </w:p>
          <w:p>
            <w:pPr>
              <w:pStyle w:val="967"/>
              <w:jc w:val="left"/>
              <w:widowControl/>
              <w:rPr>
                <w:rFonts w:hint="eastAsia" w:ascii="宋体" w:hAnsi="宋体" w:cs="仿宋"/>
                <w:color w:val="ff0000"/>
                <w:szCs w:val="21"/>
              </w:rPr>
            </w:pPr>
            <w:r>
              <w:rPr>
                <w:rFonts w:hint="eastAsia" w:ascii="宋体" w:hAnsi="宋体" w:cs="仿宋"/>
                <w:color w:val="000000"/>
                <w:szCs w:val="21"/>
              </w:rPr>
              <w:t xml:space="preserve">报警、控制继电器触点容量：2.5A，250V交流（无感），报警控制精度：±1.0%FS。含取样泵</w:t>
            </w:r>
            <w:r>
              <w:rPr>
                <w:rFonts w:hint="eastAsia" w:ascii="宋体" w:hAnsi="宋体" w:cs="仿宋"/>
                <w:color w:val="ff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PH计</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三泽、源泓、苏州科特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ascii="宋体" w:hAnsi="宋体" w:cs="仿宋"/>
                <w:color w:val="000000"/>
                <w:szCs w:val="21"/>
                <w:lang w:bidi="ar"/>
              </w:rPr>
            </w:pPr>
            <w:r>
              <w:rPr>
                <w:rFonts w:hint="eastAsia" w:ascii="宋体" w:hAnsi="宋体" w:cs="仿宋"/>
                <w:color w:val="000000"/>
                <w:szCs w:val="21"/>
                <w:lang w:bidi="ar"/>
              </w:rPr>
              <w:t xml:space="preserve">PC-1000</w:t>
            </w:r>
            <w:r>
              <w:rPr>
                <w:rFonts w:ascii="宋体" w:hAnsi="宋体" w:cs="仿宋"/>
                <w:color w:val="000000"/>
                <w:szCs w:val="21"/>
                <w:lang w:bidi="ar"/>
              </w:rPr>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量</w:t>
              <w:tab/>
              <w:t xml:space="preserve">程：pH: -2.00～16.00pH；ORP: -1999～+1999mV；Temp.: -30.0～130.0℃</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解析度：pH: 0.01pH ； ORP: 1mV；Temp.: 0.1℃  输出负载：max750Ω</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精 确 度：pH: 0.01pH±1Digit  ORP: 1mV±1Digit</w:t>
              <w:tab/>
              <w:t xml:space="preserve">    Temp.: 0.1%±1Digit</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温度补偿：自动温度补偿 Pt1000、Pt100双模式选择；手动温度补偿 按键设定</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继电器输出：高低点、区间值任意设定</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清洗接点：程序设定时间控制；兼容高点或低点功能</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模拟输出：2路隔离式4～20mA输出可程序对应pH/ORP、Temp.设定</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数位输出：RS-485 Modbus标准数字量通讯</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溶液接地：可消除溶液带电干扰</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工作温度：-20～60℃</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电源输入：88～265V AC宽电源、50/60Hz；或24V DC可选</w:t>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防护等级：IP65</w:t>
            </w:r>
            <w:r/>
          </w:p>
          <w:p>
            <w:pPr>
              <w:pStyle w:val="967"/>
              <w:jc w:val="left"/>
              <w:widowControl/>
              <w:rPr>
                <w:rFonts w:hint="eastAsia" w:ascii="宋体" w:hAnsi="宋体" w:cs="仿宋"/>
                <w:color w:val="ff0000"/>
                <w:szCs w:val="21"/>
              </w:rPr>
            </w:pPr>
            <w:r>
              <w:rPr>
                <w:rFonts w:ascii="宋体" w:hAnsi="宋体" w:cs="仿宋"/>
                <w:color w:val="000000"/>
                <w:szCs w:val="21"/>
              </w:rPr>
              <w:t xml:space="preserve"></w:t>
              <w:tab/>
              <w:t xml:space="preserve">CCEP</w:t>
            </w:r>
            <w:r>
              <w:rPr>
                <w:rFonts w:hint="eastAsia" w:ascii="宋体" w:hAnsi="宋体" w:cs="仿宋"/>
                <w:color w:val="000000"/>
                <w:szCs w:val="21"/>
              </w:rPr>
              <w:t xml:space="preserve">中国环境保护产品认证</w:t>
            </w:r>
            <w:r>
              <w:rPr>
                <w:rFonts w:hint="eastAsia" w:ascii="宋体" w:hAnsi="宋体" w:cs="仿宋"/>
                <w:color w:val="ff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数据采集仪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神采、源泓、天一信德</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ascii="宋体" w:hAnsi="宋体" w:cs="仿宋"/>
                <w:color w:val="000000"/>
                <w:szCs w:val="21"/>
                <w:lang w:bidi="ar"/>
              </w:rPr>
            </w:pPr>
            <w:r>
              <w:rPr>
                <w:rFonts w:hint="eastAsia" w:ascii="宋体" w:hAnsi="宋体" w:cs="仿宋"/>
                <w:color w:val="000000"/>
                <w:szCs w:val="21"/>
                <w:lang w:bidi="ar"/>
              </w:rPr>
              <w:t xml:space="preserve">环保用数采仪</w:t>
            </w:r>
            <w:r>
              <w:rPr>
                <w:rFonts w:ascii="宋体" w:hAnsi="宋体" w:cs="仿宋"/>
                <w:color w:val="000000"/>
                <w:szCs w:val="21"/>
                <w:lang w:bidi="ar"/>
              </w:rPr>
            </w:r>
            <w:r/>
          </w:p>
          <w:p>
            <w:pPr>
              <w:pStyle w:val="967"/>
              <w:jc w:val="left"/>
              <w:widowControl/>
              <w:rPr>
                <w:rFonts w:hint="eastAsia" w:ascii="宋体" w:hAnsi="宋体" w:cs="仿宋"/>
                <w:color w:val="000000"/>
                <w:szCs w:val="21"/>
              </w:rPr>
            </w:pPr>
            <w:r>
              <w:rPr>
                <w:rFonts w:hint="eastAsia" w:ascii="宋体" w:hAnsi="宋体" w:cs="仿宋"/>
                <w:color w:val="000000"/>
                <w:szCs w:val="21"/>
              </w:rPr>
              <w:t xml:space="preserve">检测设备数据采集，确保数据联网上传至环保局相关平台</w:t>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氨氮检测仪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创造、源泓、苏州科特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测量范围：0-300mg/L,中国环境保护产品认证（CCEP）；符合国家标准，确保数据准确上传，通过环保验收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COD在线检测仪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创造、源泓、苏州科特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测量范围：0-1500mg/L,中国环境保护产品认证（CCEP），符合国家标准，确保数据准确上传，通过环保验收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7</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等比例采样器</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创造、源泓、苏州科特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1、采样时间间隔1～99h59min</w:t>
            </w:r>
            <w:r/>
          </w:p>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2、采样量1～2000mL</w:t>
            </w:r>
            <w:r/>
          </w:p>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3、采样精度优于±5％</w:t>
            </w:r>
            <w:r/>
          </w:p>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4、流量输入信号4～20mA</w:t>
            </w:r>
            <w:r/>
          </w:p>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5、流量测量范围0～9999t/hMTBF＞3000h</w:t>
            </w:r>
            <w:r/>
          </w:p>
          <w:p>
            <w:pPr>
              <w:pStyle w:val="967"/>
              <w:jc w:val="left"/>
              <w:widowControl/>
              <w:rPr>
                <w:rFonts w:hint="eastAsia" w:ascii="宋体" w:hAnsi="宋体" w:cs="仿宋"/>
                <w:color w:val="000000"/>
                <w:szCs w:val="21"/>
                <w:lang w:bidi="ar"/>
              </w:rPr>
            </w:pPr>
            <w:r>
              <w:rPr>
                <w:rFonts w:hint="eastAsia" w:ascii="宋体" w:hAnsi="宋体" w:cs="仿宋"/>
                <w:color w:val="000000"/>
                <w:szCs w:val="21"/>
                <w:lang w:bidi="ar"/>
              </w:rPr>
              <w:t xml:space="preserve">6、工作电压(220±15%)V.AC仪器噪声≤60dB</w:t>
            </w:r>
            <w:r/>
          </w:p>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7、采样方式超标留样、定时定量、定流定量、定时比例、定量、平行监测留样</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十四</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废气处理设备（地基土建建设）</w:t>
            </w:r>
            <w:r>
              <w:rPr>
                <w:rFonts w:hint="eastAsia" w:ascii="宋体" w:hAnsi="宋体" w:cs="仿宋"/>
                <w:b/>
                <w:bCs/>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光催化+活性炭吸附一体机（含风机）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风量：5000m</w:t>
            </w:r>
            <w:r>
              <w:rPr>
                <w:rStyle w:val="1344"/>
                <w:sz w:val="21"/>
                <w:szCs w:val="21"/>
                <w:lang w:bidi="ar"/>
              </w:rPr>
              <w:t xml:space="preserve">³</w:t>
            </w:r>
            <w:r>
              <w:rPr>
                <w:rFonts w:hint="eastAsia" w:ascii="宋体" w:hAnsi="宋体" w:cs="仿宋"/>
                <w:color w:val="000000"/>
                <w:szCs w:val="21"/>
              </w:rPr>
              <w:t xml:space="preserve">/h</w:t>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719"/>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光催化+活性炭吸附一体机（含风机）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设备内部隔音；</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设备功率：5.5KW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含管道风阀、软接头；</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含取样、及固定支架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含变频电机及变频器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其中活性炭碘值≥800</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井字架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排放高度15m；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99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井字架、取样平台、及固定支架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十五</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压泥间</w:t>
            </w:r>
            <w:r>
              <w:rPr>
                <w:rFonts w:hint="eastAsia" w:ascii="宋体" w:hAnsi="宋体" w:cs="仿宋"/>
                <w:b/>
                <w:bCs/>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叠螺式脱水机</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无锡凌德、万洁、领旗</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DS-5Kg/h</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564"/>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配置脱水主体、电控柜、絮凝搅拌槽、集液槽、冲洗装置、主轴</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材质：不锈钢</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4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含投药装置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加药桶200L+配套搅拌机+计量泵系统</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功率：1.5KW</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电压：380V</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材质：PE</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气动隔膜泵</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威马、美宝、隆恩特</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型号：8040A，</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r>
      <w:tr>
        <w:trPr>
          <w:cantSplit/>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尺寸：330*490（mm),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流量：8吨/小时，</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口径：1.5寸，</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气口径：12mm</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扬程：0~50米</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进出口径：1.5寸</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材质：铝合金</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气泵</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胜斯特、英格索兰、寿力</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型号22V-0.25-8，</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台</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电压220V，</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功率2.2KW，</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容量70L，</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750"/>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流量0.25m3/min,</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386"/>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尺寸：90*37*71（cm)</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十六</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管材管件辅材部分</w:t>
            </w:r>
            <w:r>
              <w:rPr>
                <w:rFonts w:hint="eastAsia" w:ascii="宋体" w:hAnsi="宋体" w:cs="仿宋"/>
                <w:b/>
                <w:bCs/>
                <w:color w:val="000000"/>
                <w:szCs w:val="21"/>
              </w:rPr>
            </w:r>
            <w:r/>
          </w:p>
        </w:tc>
      </w:tr>
      <w:tr>
        <w:trPr>
          <w:cantSplit/>
          <w:trHeight w:val="543"/>
        </w:trPr>
        <w:tc>
          <w:tcPr>
            <w:gridSpan w:val="2"/>
            <w:tcBorders>
              <w:top w:val="none" w:color="000000" w:sz="4" w:space="0"/>
              <w:left w:val="single" w:color="000000" w:sz="8" w:space="0"/>
              <w:bottom w:val="single" w:color="000000" w:sz="8" w:space="0"/>
              <w:right w:val="single" w:color="000000" w:sz="8" w:space="0"/>
            </w:tcBorders>
            <w:tcW w:w="30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管阀件、线材、辅材（含部分管道保温）</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定制</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vMerge w:val="restart"/>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管阀件、线材（含部分管道保温）</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cantSplit/>
          <w:trHeight w:val="495"/>
        </w:trPr>
        <w:tc>
          <w:tcPr>
            <w:gridSpan w:val="2"/>
            <w:tcBorders>
              <w:top w:val="none" w:color="000000" w:sz="4" w:space="0"/>
              <w:left w:val="single" w:color="000000" w:sz="8" w:space="0"/>
              <w:bottom w:val="single" w:color="000000" w:sz="8" w:space="0"/>
              <w:right w:val="single" w:color="000000" w:sz="8" w:space="0"/>
            </w:tcBorders>
            <w:tcW w:w="30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473"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647"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油漆、标示、KT板</w:t>
            </w: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352"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none" w:color="000000" w:sz="4" w:space="0"/>
              <w:right w:val="single" w:color="000000" w:sz="8" w:space="0"/>
            </w:tcBorders>
            <w:tcW w:w="269" w:type="pct"/>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b/>
                <w:bCs/>
                <w:color w:val="000000"/>
                <w:szCs w:val="21"/>
              </w:rPr>
            </w:pPr>
            <w:r>
              <w:rPr>
                <w:rFonts w:hint="eastAsia" w:ascii="宋体" w:hAnsi="宋体" w:cs="仿宋"/>
                <w:b/>
                <w:bCs/>
                <w:color w:val="000000"/>
                <w:szCs w:val="21"/>
                <w:lang w:bidi="ar"/>
              </w:rPr>
              <w:t xml:space="preserve">十七</w:t>
            </w:r>
            <w:r>
              <w:rPr>
                <w:rFonts w:hint="eastAsia" w:ascii="宋体" w:hAnsi="宋体" w:cs="仿宋"/>
                <w:b/>
                <w:bCs/>
                <w:color w:val="000000"/>
                <w:szCs w:val="21"/>
              </w:rPr>
            </w:r>
            <w:r/>
          </w:p>
        </w:tc>
        <w:tc>
          <w:tcPr>
            <w:gridSpan w:val="5"/>
            <w:tcBorders>
              <w:top w:val="single" w:color="000000" w:sz="8" w:space="0"/>
              <w:left w:val="none" w:color="000000" w:sz="4" w:space="0"/>
              <w:bottom w:val="single" w:color="000000" w:sz="8" w:space="0"/>
              <w:right w:val="single" w:color="000000" w:sz="8" w:space="0"/>
            </w:tcBorders>
            <w:tcW w:w="4692" w:type="pct"/>
            <w:vAlign w:val="center"/>
            <w:textDirection w:val="lrTb"/>
            <w:noWrap w:val="false"/>
          </w:tcPr>
          <w:p>
            <w:pPr>
              <w:pStyle w:val="967"/>
              <w:jc w:val="left"/>
              <w:widowControl/>
              <w:rPr>
                <w:rFonts w:hint="eastAsia" w:ascii="宋体" w:hAnsi="宋体" w:cs="仿宋"/>
                <w:b/>
                <w:bCs/>
                <w:color w:val="000000"/>
                <w:szCs w:val="21"/>
              </w:rPr>
            </w:pPr>
            <w:r>
              <w:rPr>
                <w:rFonts w:hint="eastAsia" w:ascii="宋体" w:hAnsi="宋体" w:cs="仿宋"/>
                <w:b/>
                <w:bCs/>
                <w:color w:val="000000"/>
                <w:szCs w:val="21"/>
                <w:lang w:bidi="ar"/>
              </w:rPr>
              <w:t xml:space="preserve">其它部分</w:t>
            </w:r>
            <w:r>
              <w:rPr>
                <w:rFonts w:hint="eastAsia" w:ascii="宋体" w:hAnsi="宋体" w:cs="仿宋"/>
                <w:b/>
                <w:bCs/>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水质检测费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第三方取样检测、出具报告</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次</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735"/>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废气检测</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第三方取样检测、出具报告</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485"/>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安装调试</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污水站设备安装及单机调试、设备联动调试、进水调试、操作培训等</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吊装费</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trHeight w:val="510"/>
        </w:trPr>
        <w:tc>
          <w:tcPr>
            <w:gridSpan w:val="2"/>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473"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KT板</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7" w:type="pct"/>
            <w:vAlign w:val="center"/>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948"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KT板、排放标志</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69"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r>
      <w:tr>
        <w:trPr>
          <w:gridAfter w:val="1"/>
          <w:trHeight w:val="285"/>
        </w:trPr>
        <w:tc>
          <w:tcPr>
            <w:gridSpan w:val="6"/>
            <w:tcBorders>
              <w:top w:val="none" w:color="000000" w:sz="4" w:space="0"/>
              <w:left w:val="none" w:color="000000" w:sz="4" w:space="0"/>
              <w:bottom w:val="none" w:color="000000" w:sz="4" w:space="0"/>
              <w:right w:val="none" w:color="000000" w:sz="4" w:space="0"/>
            </w:tcBorders>
            <w:tcW w:w="4730" w:type="pct"/>
            <w:vAlign w:val="center"/>
            <w:textDirection w:val="lrTb"/>
            <w:noWrap w:val="false"/>
          </w:tcPr>
          <w:p>
            <w:pPr>
              <w:pStyle w:val="96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p>
            <w:pPr>
              <w:pStyle w:val="96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p>
            <w:pPr>
              <w:pStyle w:val="96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p>
            <w:pPr>
              <w:pStyle w:val="96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p>
            <w:pPr>
              <w:pStyle w:val="96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运维人员</w:t>
            </w:r>
            <w:r>
              <w:rPr>
                <w:rFonts w:hint="eastAsia" w:ascii="宋体" w:hAnsi="宋体" w:cs="宋体"/>
                <w:color w:val="000000"/>
                <w:sz w:val="22"/>
                <w:szCs w:val="22"/>
              </w:rPr>
            </w:r>
            <w:r/>
          </w:p>
        </w:tc>
      </w:tr>
      <w:tr>
        <w:trPr>
          <w:gridAfter w:val="1"/>
          <w:trHeight w:val="285"/>
        </w:trPr>
        <w:tc>
          <w:tcPr>
            <w:tcBorders>
              <w:top w:val="single" w:color="000000" w:sz="8" w:space="0"/>
              <w:left w:val="single" w:color="000000" w:sz="8" w:space="0"/>
              <w:bottom w:val="single" w:color="000000" w:sz="8" w:space="0"/>
              <w:right w:val="single" w:color="000000" w:sz="8" w:space="0"/>
            </w:tcBorders>
            <w:tcW w:w="252"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gridSpan w:val="3"/>
            <w:tcBorders>
              <w:top w:val="single" w:color="000000" w:sz="8" w:space="0"/>
              <w:left w:val="none" w:color="000000" w:sz="4" w:space="0"/>
              <w:bottom w:val="single" w:color="000000" w:sz="8" w:space="0"/>
              <w:right w:val="single" w:color="000000" w:sz="8" w:space="0"/>
            </w:tcBorders>
            <w:tcW w:w="117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项目</w:t>
            </w:r>
            <w:r>
              <w:rPr>
                <w:rFonts w:hint="eastAsia" w:ascii="宋体" w:hAnsi="宋体" w:cs="仿宋"/>
                <w:color w:val="000000"/>
                <w:szCs w:val="21"/>
              </w:rPr>
            </w:r>
            <w:r/>
          </w:p>
        </w:tc>
        <w:tc>
          <w:tcPr>
            <w:gridSpan w:val="2"/>
            <w:tcBorders>
              <w:top w:val="single" w:color="000000" w:sz="8" w:space="0"/>
              <w:left w:val="none" w:color="000000" w:sz="4" w:space="0"/>
              <w:bottom w:val="single" w:color="000000" w:sz="8" w:space="0"/>
              <w:right w:val="single" w:color="000000" w:sz="8" w:space="0"/>
            </w:tcBorders>
            <w:tcW w:w="3301"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内容</w:t>
            </w:r>
            <w:r>
              <w:rPr>
                <w:rFonts w:hint="eastAsia" w:ascii="宋体" w:hAnsi="宋体" w:cs="仿宋"/>
                <w:color w:val="000000"/>
                <w:szCs w:val="21"/>
              </w:rPr>
            </w:r>
            <w:r/>
          </w:p>
        </w:tc>
      </w:tr>
      <w:tr>
        <w:trPr>
          <w:gridAfter w:val="1"/>
          <w:trHeight w:val="729"/>
        </w:trPr>
        <w:tc>
          <w:tcPr>
            <w:tcBorders>
              <w:top w:val="none" w:color="000000" w:sz="4" w:space="0"/>
              <w:left w:val="single" w:color="000000" w:sz="8" w:space="0"/>
              <w:bottom w:val="single" w:color="000000" w:sz="8" w:space="0"/>
              <w:right w:val="single" w:color="000000" w:sz="8" w:space="0"/>
            </w:tcBorders>
            <w:tcW w:w="2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gridSpan w:val="3"/>
            <w:tcBorders>
              <w:top w:val="none" w:color="000000" w:sz="4" w:space="0"/>
              <w:left w:val="none" w:color="000000" w:sz="4" w:space="0"/>
              <w:bottom w:val="single" w:color="000000" w:sz="8" w:space="0"/>
              <w:right w:val="single" w:color="000000" w:sz="8" w:space="0"/>
            </w:tcBorders>
            <w:tcW w:w="117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日常巡检维护</w:t>
            </w:r>
            <w:r>
              <w:rPr>
                <w:rFonts w:hint="eastAsia" w:ascii="宋体" w:hAnsi="宋体" w:cs="仿宋"/>
                <w:color w:val="000000"/>
                <w:szCs w:val="21"/>
              </w:rPr>
            </w:r>
            <w:r/>
          </w:p>
        </w:tc>
        <w:tc>
          <w:tcPr>
            <w:gridSpan w:val="2"/>
            <w:tcBorders>
              <w:top w:val="none" w:color="000000" w:sz="4" w:space="0"/>
              <w:left w:val="none" w:color="000000" w:sz="4" w:space="0"/>
              <w:bottom w:val="single" w:color="000000" w:sz="8" w:space="0"/>
              <w:right w:val="single" w:color="000000" w:sz="8" w:space="0"/>
            </w:tcBorders>
            <w:tcW w:w="3301"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按照污水站运维需求，每周2人/3 次巡检运维；运维人员持证上岗</w:t>
            </w:r>
            <w:r>
              <w:rPr>
                <w:rFonts w:hint="eastAsia" w:ascii="宋体" w:hAnsi="宋体" w:cs="仿宋"/>
                <w:color w:val="000000"/>
                <w:szCs w:val="21"/>
              </w:rPr>
            </w:r>
            <w:r/>
          </w:p>
        </w:tc>
      </w:tr>
      <w:tr>
        <w:trPr>
          <w:gridAfter w:val="1"/>
          <w:trHeight w:val="921"/>
        </w:trPr>
        <w:tc>
          <w:tcPr>
            <w:tcBorders>
              <w:top w:val="none" w:color="000000" w:sz="4" w:space="0"/>
              <w:left w:val="single" w:color="000000" w:sz="8" w:space="0"/>
              <w:bottom w:val="single" w:color="000000" w:sz="8" w:space="0"/>
              <w:right w:val="single" w:color="000000" w:sz="8" w:space="0"/>
            </w:tcBorders>
            <w:tcW w:w="2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gridSpan w:val="3"/>
            <w:tcBorders>
              <w:top w:val="none" w:color="000000" w:sz="4" w:space="0"/>
              <w:left w:val="none" w:color="000000" w:sz="4" w:space="0"/>
              <w:bottom w:val="single" w:color="000000" w:sz="8" w:space="0"/>
              <w:right w:val="single" w:color="000000" w:sz="8" w:space="0"/>
            </w:tcBorders>
            <w:tcW w:w="117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定期设备保养</w:t>
            </w:r>
            <w:r>
              <w:rPr>
                <w:rFonts w:hint="eastAsia" w:ascii="宋体" w:hAnsi="宋体" w:cs="仿宋"/>
                <w:color w:val="000000"/>
                <w:szCs w:val="21"/>
              </w:rPr>
            </w:r>
            <w:r/>
          </w:p>
        </w:tc>
        <w:tc>
          <w:tcPr>
            <w:gridSpan w:val="2"/>
            <w:tcBorders>
              <w:top w:val="none" w:color="000000" w:sz="4" w:space="0"/>
              <w:left w:val="none" w:color="000000" w:sz="4" w:space="0"/>
              <w:bottom w:val="single" w:color="000000" w:sz="8" w:space="0"/>
              <w:right w:val="single" w:color="000000" w:sz="8" w:space="0"/>
            </w:tcBorders>
            <w:tcW w:w="3301" w:type="pct"/>
            <w:vAlign w:val="center"/>
            <w:textDirection w:val="lrTb"/>
            <w:noWrap w:val="false"/>
          </w:tcPr>
          <w:p>
            <w:pPr>
              <w:pStyle w:val="967"/>
              <w:jc w:val="left"/>
              <w:widowControl/>
              <w:rPr>
                <w:rFonts w:hint="eastAsia" w:ascii="宋体" w:hAnsi="宋体" w:cs="仿宋"/>
                <w:color w:val="000000"/>
                <w:szCs w:val="21"/>
              </w:rPr>
            </w:pPr>
            <w:r>
              <w:rPr>
                <w:rFonts w:hint="eastAsia" w:ascii="宋体" w:hAnsi="宋体" w:cs="仿宋"/>
                <w:color w:val="000000"/>
                <w:szCs w:val="21"/>
                <w:lang w:bidi="ar"/>
              </w:rPr>
              <w:t xml:space="preserve">按照污水站各系统保养计划月度、季度、年度保养、污泥压制要求配置人员；运维人员持证上岗</w:t>
            </w:r>
            <w:r>
              <w:rPr>
                <w:rFonts w:hint="eastAsia" w:ascii="宋体" w:hAnsi="宋体" w:cs="仿宋"/>
                <w:color w:val="000000"/>
                <w:szCs w:val="21"/>
              </w:rPr>
            </w:r>
            <w:r/>
          </w:p>
        </w:tc>
      </w:tr>
      <w:tr>
        <w:trPr>
          <w:gridAfter w:val="1"/>
          <w:trHeight w:val="975"/>
        </w:trPr>
        <w:tc>
          <w:tcPr>
            <w:tcBorders>
              <w:top w:val="none" w:color="000000" w:sz="4" w:space="0"/>
              <w:left w:val="single" w:color="000000" w:sz="8" w:space="0"/>
              <w:bottom w:val="single" w:color="000000" w:sz="8" w:space="0"/>
              <w:right w:val="single" w:color="000000" w:sz="8" w:space="0"/>
            </w:tcBorders>
            <w:tcW w:w="252"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gridSpan w:val="3"/>
            <w:tcBorders>
              <w:top w:val="none" w:color="000000" w:sz="4" w:space="0"/>
              <w:left w:val="none" w:color="000000" w:sz="4" w:space="0"/>
              <w:bottom w:val="single" w:color="000000" w:sz="8" w:space="0"/>
              <w:right w:val="single" w:color="000000" w:sz="8" w:space="0"/>
            </w:tcBorders>
            <w:tcW w:w="1177"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应急处置</w:t>
            </w:r>
            <w:r>
              <w:rPr>
                <w:rFonts w:hint="eastAsia" w:ascii="宋体" w:hAnsi="宋体" w:cs="仿宋"/>
                <w:color w:val="000000"/>
                <w:szCs w:val="21"/>
              </w:rPr>
            </w:r>
            <w:r/>
          </w:p>
        </w:tc>
        <w:tc>
          <w:tcPr>
            <w:gridSpan w:val="2"/>
            <w:tcBorders>
              <w:top w:val="none" w:color="000000" w:sz="4" w:space="0"/>
              <w:left w:val="none" w:color="000000" w:sz="4" w:space="0"/>
              <w:bottom w:val="single" w:color="000000" w:sz="8" w:space="0"/>
              <w:right w:val="single" w:color="000000" w:sz="8" w:space="0"/>
            </w:tcBorders>
            <w:tcW w:w="3301"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运维单位设置应急小组及技术支持；应对突发情况处置；应急人员持证上岗；</w:t>
            </w:r>
            <w:r>
              <w:rPr>
                <w:rFonts w:hint="eastAsia" w:ascii="宋体" w:hAnsi="宋体" w:cs="仿宋"/>
                <w:color w:val="000000"/>
                <w:szCs w:val="21"/>
              </w:rPr>
            </w:r>
            <w:r/>
          </w:p>
        </w:tc>
      </w:tr>
    </w:tbl>
    <w:p>
      <w:pPr>
        <w:pStyle w:val="967"/>
        <w:rPr>
          <w:rFonts w:hint="eastAsia"/>
        </w:rPr>
      </w:pPr>
      <w:r>
        <w:rPr>
          <w:rFonts w:hint="eastAsia"/>
        </w:rPr>
      </w:r>
      <w:r/>
    </w:p>
    <w:p>
      <w:pPr>
        <w:pStyle w:val="990"/>
        <w:ind w:firstLine="441"/>
        <w:jc w:val="both"/>
        <w:spacing w:line="360" w:lineRule="auto"/>
        <w:rPr>
          <w:rFonts w:hint="eastAsia" w:ascii="宋体" w:hAnsi="宋体" w:eastAsia="宋体"/>
          <w:b/>
          <w:sz w:val="21"/>
          <w:szCs w:val="21"/>
        </w:rPr>
      </w:pPr>
      <w:r>
        <w:rPr>
          <w:rFonts w:hint="eastAsia" w:ascii="宋体" w:hAnsi="宋体" w:eastAsia="宋体"/>
          <w:b/>
          <w:sz w:val="21"/>
          <w:szCs w:val="21"/>
        </w:rPr>
        <w:t xml:space="preserve">  </w:t>
      </w:r>
      <w:r/>
    </w:p>
    <w:tbl>
      <w:tblPr>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582"/>
        <w:gridCol w:w="1833"/>
        <w:gridCol w:w="1208"/>
        <w:gridCol w:w="5786"/>
      </w:tblGrid>
      <w:tr>
        <w:trPr>
          <w:trHeight w:val="285"/>
        </w:trPr>
        <w:tc>
          <w:tcPr>
            <w:gridSpan w:val="4"/>
            <w:tcBorders>
              <w:top w:val="none" w:color="000000" w:sz="4" w:space="0"/>
              <w:left w:val="none" w:color="000000" w:sz="4" w:space="0"/>
              <w:bottom w:val="single" w:color="000000" w:sz="8" w:space="0"/>
              <w:right w:val="none" w:color="000000" w:sz="4" w:space="0"/>
            </w:tcBorders>
            <w:tcW w:w="9409" w:type="auto"/>
            <w:vAlign w:val="center"/>
            <w:textDirection w:val="lrTb"/>
            <w:noWrap/>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耗材及消毒药剂清单</w:t>
            </w:r>
            <w:r>
              <w:rPr>
                <w:rFonts w:ascii="宋体" w:hAnsi="宋体" w:cs="仿宋"/>
                <w:color w:val="000000"/>
                <w:szCs w:val="21"/>
              </w:rPr>
            </w:r>
            <w:r/>
          </w:p>
        </w:tc>
      </w:tr>
      <w:tr>
        <w:trPr>
          <w:cantSplit/>
          <w:trHeight w:val="272"/>
        </w:trPr>
        <w:tc>
          <w:tcPr>
            <w:tcBorders>
              <w:top w:val="none" w:color="000000" w:sz="4" w:space="0"/>
              <w:left w:val="single" w:color="000000" w:sz="8" w:space="0"/>
              <w:bottom w:val="single" w:color="000000" w:sz="8" w:space="0"/>
              <w:right w:val="single" w:color="000000" w:sz="8" w:space="0"/>
            </w:tcBorders>
            <w:tcW w:w="582" w:type="auto"/>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序号</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项目</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208" w:type="auto"/>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类型</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5786" w:type="auto"/>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说明</w:t>
            </w:r>
            <w:r>
              <w:rPr>
                <w:rFonts w:hint="eastAsia" w:ascii="宋体" w:hAnsi="宋体" w:cs="仿宋"/>
                <w:color w:val="000000"/>
                <w:szCs w:val="21"/>
              </w:rPr>
            </w:r>
            <w:r/>
          </w:p>
        </w:tc>
      </w:tr>
      <w:tr>
        <w:trPr>
          <w:cantSplit/>
          <w:trHeight w:val="480"/>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污水站耗材及消毒药剂</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机械润滑油</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3#锂基酯；18L/桶，设备传动部位润滑</w:t>
            </w:r>
            <w:r>
              <w:rPr>
                <w:rFonts w:hint="eastAsia" w:ascii="宋体" w:hAnsi="宋体" w:cs="仿宋"/>
                <w:color w:val="000000"/>
                <w:szCs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皮带</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废气风机皮带更换</w:t>
            </w:r>
            <w:r>
              <w:rPr>
                <w:rFonts w:hint="eastAsia" w:ascii="宋体" w:hAnsi="宋体" w:cs="仿宋"/>
                <w:color w:val="000000"/>
                <w:szCs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电子清洁剂</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02016C，电控箱内部清洁</w:t>
            </w:r>
            <w:r>
              <w:rPr>
                <w:rFonts w:hint="eastAsia" w:ascii="宋体" w:hAnsi="宋体" w:cs="仿宋"/>
                <w:color w:val="000000"/>
                <w:szCs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除锈剂</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WD-40，金属部件清洁用</w:t>
            </w:r>
            <w:r>
              <w:rPr>
                <w:rFonts w:hint="eastAsia" w:ascii="宋体" w:hAnsi="宋体" w:cs="仿宋"/>
                <w:color w:val="000000"/>
                <w:szCs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液位计</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易耗件更换使用</w:t>
            </w:r>
            <w:r>
              <w:rPr>
                <w:rFonts w:hint="eastAsia" w:ascii="宋体" w:hAnsi="宋体" w:cs="仿宋"/>
                <w:color w:val="000000"/>
                <w:szCs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各类管阀件</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易耗件更换使用</w:t>
            </w:r>
            <w:r>
              <w:rPr>
                <w:rFonts w:hint="eastAsia" w:ascii="宋体" w:hAnsi="宋体" w:cs="仿宋"/>
                <w:color w:val="000000"/>
                <w:szCs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7</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人员防护装备</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手套、护目镜、安全鞋、防护服等</w:t>
            </w:r>
            <w:r>
              <w:rPr>
                <w:rFonts w:hint="eastAsia" w:ascii="宋体" w:hAnsi="宋体" w:cs="仿宋"/>
                <w:color w:val="000000"/>
                <w:szCs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8</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清洁工具</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扫把、拖把等清洁工具</w:t>
            </w:r>
            <w:r>
              <w:rPr>
                <w:rFonts w:hint="eastAsia" w:ascii="宋体" w:hAnsi="宋体" w:cs="仿宋"/>
                <w:color w:val="000000"/>
                <w:szCs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9</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镀锌喷漆</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防腐漆，户外设备和钢结构</w:t>
            </w:r>
            <w:r>
              <w:rPr>
                <w:rFonts w:hint="eastAsia" w:ascii="宋体" w:hAnsi="宋体" w:cs="仿宋"/>
                <w:color w:val="000000"/>
                <w:szCs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10</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浮球液位计</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池体液位控制</w:t>
            </w:r>
            <w:r>
              <w:rPr>
                <w:rFonts w:hint="eastAsia" w:ascii="宋体" w:hAnsi="宋体" w:cs="仿宋"/>
                <w:color w:val="000000"/>
                <w:szCs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11</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风机过滤棉</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废气系统进气过滤异物</w:t>
            </w:r>
            <w:r>
              <w:rPr>
                <w:rFonts w:hint="eastAsia" w:ascii="宋体" w:hAnsi="宋体" w:cs="仿宋"/>
                <w:color w:val="000000"/>
                <w:szCs w:val="21"/>
              </w:rPr>
            </w:r>
            <w:r/>
          </w:p>
        </w:tc>
      </w:tr>
      <w:tr>
        <w:trPr>
          <w:cantSplit/>
          <w:trHeight w:val="720"/>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12</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活性炭</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废气系统吸附；碘800 活性炭；按需求更换，更换后旧活性炭处置由院方负责</w:t>
            </w:r>
            <w:r>
              <w:rPr>
                <w:rFonts w:hint="eastAsia" w:ascii="宋体" w:hAnsi="宋体" w:cs="仿宋"/>
                <w:color w:val="000000"/>
                <w:szCs w:val="21"/>
              </w:rPr>
            </w:r>
            <w:r/>
          </w:p>
        </w:tc>
      </w:tr>
      <w:tr>
        <w:trPr>
          <w:cantSplit/>
          <w:trHeight w:val="720"/>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13</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UV 灯管</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废气系统杀菌；灯管及整流器；按需求更换，更换后旧灯管处置由院方负责</w:t>
            </w:r>
            <w:r>
              <w:rPr>
                <w:rFonts w:hint="eastAsia" w:ascii="宋体" w:hAnsi="宋体" w:cs="仿宋"/>
                <w:color w:val="000000"/>
                <w:szCs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14</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脱氯药剂</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预处理污水脱氯使用</w:t>
            </w:r>
            <w:r>
              <w:rPr>
                <w:rFonts w:hint="eastAsia" w:ascii="宋体" w:hAnsi="宋体" w:cs="仿宋"/>
                <w:color w:val="000000"/>
                <w:szCs w:val="21"/>
              </w:rPr>
            </w:r>
            <w:r/>
          </w:p>
        </w:tc>
      </w:tr>
      <w:tr>
        <w:trPr>
          <w:cantSplit/>
          <w:trHeight w:val="480"/>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15</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生物菌种养料</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葡萄糖、面粉等定期投喂，培养菌种</w:t>
            </w:r>
            <w:r>
              <w:rPr>
                <w:rFonts w:hint="eastAsia" w:ascii="宋体" w:hAnsi="宋体" w:cs="仿宋"/>
                <w:color w:val="000000"/>
                <w:szCs w:val="21"/>
              </w:rPr>
            </w:r>
            <w:r/>
          </w:p>
        </w:tc>
      </w:tr>
      <w:tr>
        <w:trPr>
          <w:cantSplit/>
          <w:trHeight w:val="480"/>
        </w:trPr>
        <w:tc>
          <w:tcPr>
            <w:tcBorders>
              <w:top w:val="none" w:color="000000" w:sz="4" w:space="0"/>
              <w:left w:val="single" w:color="000000" w:sz="8" w:space="0"/>
              <w:bottom w:val="single" w:color="000000" w:sz="8" w:space="0"/>
              <w:right w:val="single" w:color="000000" w:sz="8" w:space="0"/>
            </w:tcBorders>
            <w:tcW w:w="582"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16</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1833" w:type="auto"/>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1208"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消毒药剂</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578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低浓度次氯酸钠溶液消毒剂；根据实际污水处理量按需求添加</w:t>
            </w:r>
            <w:r>
              <w:rPr>
                <w:rFonts w:hint="eastAsia" w:ascii="宋体" w:hAnsi="宋体" w:cs="仿宋"/>
                <w:color w:val="000000"/>
                <w:szCs w:val="21"/>
              </w:rPr>
            </w:r>
            <w:r/>
          </w:p>
        </w:tc>
      </w:tr>
    </w:tbl>
    <w:p>
      <w:pPr>
        <w:pStyle w:val="990"/>
        <w:ind w:firstLine="439"/>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bl>
      <w:tblPr>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576"/>
        <w:gridCol w:w="1475"/>
        <w:gridCol w:w="941"/>
        <w:gridCol w:w="6417"/>
      </w:tblGrid>
      <w:tr>
        <w:trPr>
          <w:trHeight w:val="285"/>
        </w:trPr>
        <w:tc>
          <w:tcPr>
            <w:gridSpan w:val="4"/>
            <w:tcBorders>
              <w:top w:val="none" w:color="000000" w:sz="4" w:space="0"/>
              <w:left w:val="none" w:color="000000" w:sz="4" w:space="0"/>
              <w:bottom w:val="single" w:color="000000" w:sz="8" w:space="0"/>
              <w:right w:val="none" w:color="000000" w:sz="4" w:space="0"/>
            </w:tcBorders>
            <w:tcW w:w="9409" w:type="auto"/>
            <w:vAlign w:val="center"/>
            <w:textDirection w:val="lrTb"/>
            <w:noWrap w:val="false"/>
          </w:tcPr>
          <w:p>
            <w:pPr>
              <w:pStyle w:val="967"/>
              <w:jc w:val="center"/>
              <w:widowControl/>
              <w:rPr>
                <w:rFonts w:hint="eastAsia" w:ascii="宋体" w:hAnsi="宋体" w:cs="宋体"/>
                <w:color w:val="000000"/>
                <w:szCs w:val="21"/>
                <w:lang w:bidi="ar"/>
              </w:rPr>
            </w:pPr>
            <w:r>
              <w:rPr>
                <w:rFonts w:hint="eastAsia" w:ascii="宋体" w:hAnsi="宋体" w:cs="宋体"/>
                <w:color w:val="000000"/>
                <w:szCs w:val="21"/>
                <w:lang w:bidi="ar"/>
              </w:rPr>
            </w:r>
            <w:r/>
          </w:p>
          <w:p>
            <w:pPr>
              <w:pStyle w:val="967"/>
              <w:jc w:val="center"/>
              <w:widowControl/>
              <w:rPr>
                <w:rFonts w:hint="eastAsia" w:ascii="宋体" w:hAnsi="宋体" w:cs="宋体"/>
                <w:color w:val="000000"/>
                <w:szCs w:val="21"/>
                <w:lang w:bidi="ar"/>
              </w:rPr>
            </w:pPr>
            <w:r>
              <w:rPr>
                <w:rFonts w:hint="eastAsia" w:ascii="宋体" w:hAnsi="宋体" w:cs="宋体"/>
                <w:color w:val="000000"/>
                <w:szCs w:val="21"/>
                <w:lang w:bidi="ar"/>
              </w:rPr>
            </w:r>
            <w:r/>
          </w:p>
          <w:p>
            <w:pPr>
              <w:pStyle w:val="967"/>
              <w:jc w:val="center"/>
              <w:widowControl/>
              <w:rPr>
                <w:rFonts w:hint="eastAsia" w:ascii="宋体" w:hAnsi="宋体" w:cs="宋体"/>
                <w:color w:val="000000"/>
                <w:szCs w:val="21"/>
                <w:lang w:bidi="ar"/>
              </w:rPr>
            </w:pPr>
            <w:r>
              <w:rPr>
                <w:rFonts w:hint="eastAsia" w:ascii="宋体" w:hAnsi="宋体" w:cs="宋体"/>
                <w:color w:val="000000"/>
                <w:szCs w:val="21"/>
                <w:lang w:bidi="ar"/>
              </w:rPr>
            </w:r>
            <w:r/>
          </w:p>
          <w:p>
            <w:pPr>
              <w:pStyle w:val="967"/>
              <w:jc w:val="center"/>
              <w:widowControl/>
              <w:rPr>
                <w:rFonts w:hint="eastAsia" w:ascii="宋体" w:hAnsi="宋体" w:cs="宋体"/>
                <w:color w:val="000000"/>
                <w:szCs w:val="21"/>
                <w:lang w:bidi="ar"/>
              </w:rPr>
            </w:pPr>
            <w:r>
              <w:rPr>
                <w:rFonts w:hint="eastAsia" w:ascii="宋体" w:hAnsi="宋体" w:cs="宋体"/>
                <w:color w:val="000000"/>
                <w:szCs w:val="21"/>
                <w:lang w:bidi="ar"/>
              </w:rPr>
            </w:r>
            <w:r/>
          </w:p>
          <w:p>
            <w:pPr>
              <w:pStyle w:val="967"/>
              <w:jc w:val="center"/>
              <w:widowControl/>
              <w:rPr>
                <w:rFonts w:hint="eastAsia" w:ascii="宋体" w:hAnsi="宋体" w:cs="宋体"/>
                <w:color w:val="000000"/>
                <w:szCs w:val="21"/>
                <w:lang w:bidi="ar"/>
              </w:rPr>
            </w:pPr>
            <w:r>
              <w:rPr>
                <w:rFonts w:hint="eastAsia" w:ascii="宋体" w:hAnsi="宋体" w:cs="宋体"/>
                <w:color w:val="000000"/>
                <w:szCs w:val="21"/>
                <w:lang w:bidi="ar"/>
              </w:rPr>
            </w:r>
            <w:r/>
          </w:p>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排污许可证及卫监要求检测清单</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76" w:type="auto"/>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475"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项目</w:t>
            </w:r>
            <w:r>
              <w:rPr>
                <w:rFonts w:hint="eastAsia" w:ascii="宋体" w:hAnsi="宋体" w:cs="仿宋"/>
                <w:color w:val="000000"/>
                <w:szCs w:val="21"/>
              </w:rPr>
            </w:r>
            <w:r/>
          </w:p>
        </w:tc>
        <w:tc>
          <w:tcPr>
            <w:tcBorders>
              <w:top w:val="single" w:color="000000" w:sz="8" w:space="0"/>
              <w:left w:val="none" w:color="000000" w:sz="4" w:space="0"/>
              <w:bottom w:val="single" w:color="000000" w:sz="8" w:space="0"/>
              <w:right w:val="single" w:color="000000" w:sz="8" w:space="0"/>
            </w:tcBorders>
            <w:tcW w:w="941"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数量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6417"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备注</w:t>
            </w:r>
            <w:r>
              <w:rPr>
                <w:rFonts w:hint="eastAsia" w:ascii="宋体" w:hAnsi="宋体" w:cs="仿宋"/>
                <w:color w:val="000000"/>
                <w:szCs w:val="21"/>
              </w:rPr>
            </w:r>
            <w:r/>
          </w:p>
        </w:tc>
      </w:tr>
      <w:tr>
        <w:trPr>
          <w:cantSplit/>
          <w:trHeight w:val="1215"/>
        </w:trPr>
        <w:tc>
          <w:tcPr>
            <w:tcBorders>
              <w:top w:val="none" w:color="000000" w:sz="4" w:space="0"/>
              <w:left w:val="single" w:color="000000" w:sz="8" w:space="0"/>
              <w:bottom w:val="single" w:color="000000" w:sz="8" w:space="0"/>
              <w:right w:val="single" w:color="000000" w:sz="8" w:space="0"/>
            </w:tcBorders>
            <w:tcW w:w="57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475"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排污许可证检测</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941" w:type="dxa"/>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年度</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6417" w:type="dxa"/>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含废气、废水检测等每月出具第三方监测报告以及江苏省排污单位自行监测信息发布平台申报维护</w:t>
            </w:r>
            <w:r>
              <w:rPr>
                <w:rFonts w:hint="eastAsia" w:ascii="宋体" w:hAnsi="宋体" w:cs="仿宋"/>
                <w:color w:val="000000"/>
                <w:szCs w:val="21"/>
              </w:rPr>
            </w:r>
            <w:r/>
          </w:p>
        </w:tc>
      </w:tr>
      <w:tr>
        <w:trPr>
          <w:cantSplit/>
          <w:trHeight w:val="495"/>
        </w:trPr>
        <w:tc>
          <w:tcPr>
            <w:tcBorders>
              <w:top w:val="none" w:color="000000" w:sz="4" w:space="0"/>
              <w:left w:val="single" w:color="000000" w:sz="8" w:space="0"/>
              <w:bottom w:val="single" w:color="000000" w:sz="8" w:space="0"/>
              <w:right w:val="single" w:color="000000" w:sz="8" w:space="0"/>
            </w:tcBorders>
            <w:tcW w:w="57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475"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卫监要求水样检测</w:t>
            </w:r>
            <w:r>
              <w:rPr>
                <w:rFonts w:hint="eastAsia" w:ascii="宋体" w:hAnsi="宋体" w:cs="仿宋"/>
                <w:color w:val="000000"/>
                <w:szCs w:val="21"/>
              </w:rPr>
            </w:r>
            <w:r/>
          </w:p>
        </w:tc>
        <w:tc>
          <w:tcPr>
            <w:tcBorders>
              <w:top w:val="single" w:color="000000" w:sz="8" w:space="0"/>
              <w:left w:val="single" w:color="000000" w:sz="8" w:space="0"/>
              <w:bottom w:val="single" w:color="000000" w:sz="8" w:space="0"/>
              <w:right w:val="single" w:color="000000" w:sz="8" w:space="0"/>
            </w:tcBorders>
            <w:tcW w:w="941" w:type="dxa"/>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6417" w:type="dxa"/>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bl>
    <w:p>
      <w:pPr>
        <w:pStyle w:val="967"/>
        <w:rPr>
          <w:rFonts w:hint="eastAsia"/>
        </w:rPr>
      </w:pPr>
      <w:r>
        <w:rPr>
          <w:rFonts w:hint="eastAsia"/>
        </w:rPr>
      </w:r>
      <w:r/>
    </w:p>
    <w:p>
      <w:pPr>
        <w:pStyle w:val="967"/>
        <w:spacing w:line="360" w:lineRule="auto"/>
        <w:rPr>
          <w:rFonts w:hint="eastAsia" w:ascii="宋体" w:hAnsi="宋体" w:cs="宋体"/>
          <w:b/>
          <w:bCs/>
          <w:szCs w:val="21"/>
        </w:rPr>
      </w:pPr>
      <w:r>
        <w:rPr>
          <w:rFonts w:hint="eastAsia" w:ascii="宋体" w:hAnsi="宋体" w:cs="宋体"/>
          <w:b/>
          <w:bCs/>
          <w:szCs w:val="21"/>
        </w:rPr>
        <w:t xml:space="preserve">    </w:t>
      </w:r>
      <w:r/>
    </w:p>
    <w:tbl>
      <w:tblPr>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596"/>
        <w:gridCol w:w="1805"/>
        <w:gridCol w:w="1016"/>
        <w:gridCol w:w="3261"/>
        <w:gridCol w:w="2731"/>
      </w:tblGrid>
      <w:tr>
        <w:trPr>
          <w:trHeight w:val="285"/>
        </w:trPr>
        <w:tc>
          <w:tcPr>
            <w:gridSpan w:val="5"/>
            <w:tcBorders>
              <w:top w:val="none" w:color="000000" w:sz="4" w:space="0"/>
              <w:left w:val="none" w:color="000000" w:sz="4" w:space="0"/>
              <w:bottom w:val="single" w:color="000000" w:sz="8" w:space="0"/>
              <w:right w:val="none" w:color="000000" w:sz="4" w:space="0"/>
            </w:tcBorders>
            <w:tcW w:w="9409" w:type="auto"/>
            <w:vAlign w:val="center"/>
            <w:textDirection w:val="lrTb"/>
            <w:noWrap w:val="false"/>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在线监测设备维护清单</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596" w:type="auto"/>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运维项目</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数量</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服务内同</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2731"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备注</w:t>
            </w:r>
            <w:r>
              <w:rPr>
                <w:rFonts w:hint="eastAsia" w:ascii="宋体" w:hAnsi="宋体" w:cs="仿宋"/>
                <w:color w:val="000000"/>
                <w:szCs w:val="21"/>
              </w:rPr>
            </w:r>
            <w:r/>
          </w:p>
        </w:tc>
      </w:tr>
      <w:tr>
        <w:trPr>
          <w:cantSplit/>
          <w:trHeight w:val="975"/>
        </w:trPr>
        <w:tc>
          <w:tcPr>
            <w:tcBorders>
              <w:top w:val="none" w:color="000000" w:sz="4" w:space="0"/>
              <w:left w:val="single" w:color="000000" w:sz="8" w:space="0"/>
              <w:bottom w:val="single" w:color="000000" w:sz="8" w:space="0"/>
              <w:right w:val="single" w:color="000000" w:sz="8" w:space="0"/>
            </w:tcBorders>
            <w:tcW w:w="59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COD 在线监测仪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含检测试剂、季度比对及维护</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restart"/>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检测仪检测试 剂残液外运处置由使用方负责处置</w:t>
            </w:r>
            <w:r>
              <w:rPr>
                <w:rFonts w:hint="eastAsia" w:ascii="宋体" w:hAnsi="宋体" w:cs="仿宋"/>
                <w:color w:val="000000"/>
                <w:szCs w:val="21"/>
              </w:rPr>
            </w:r>
            <w:r/>
          </w:p>
        </w:tc>
      </w:tr>
      <w:tr>
        <w:trPr>
          <w:cantSplit/>
          <w:trHeight w:val="975"/>
        </w:trPr>
        <w:tc>
          <w:tcPr>
            <w:tcBorders>
              <w:top w:val="none" w:color="000000" w:sz="4" w:space="0"/>
              <w:left w:val="single" w:color="000000" w:sz="8" w:space="0"/>
              <w:bottom w:val="single" w:color="000000" w:sz="8" w:space="0"/>
              <w:right w:val="single" w:color="000000" w:sz="8" w:space="0"/>
            </w:tcBorders>
            <w:tcW w:w="59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2</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氨氮在线监测仪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含检测试剂、季度比对及维护</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975"/>
        </w:trPr>
        <w:tc>
          <w:tcPr>
            <w:tcBorders>
              <w:top w:val="none" w:color="000000" w:sz="4" w:space="0"/>
              <w:left w:val="single" w:color="000000" w:sz="8" w:space="0"/>
              <w:bottom w:val="single" w:color="000000" w:sz="8" w:space="0"/>
              <w:right w:val="single" w:color="000000" w:sz="8" w:space="0"/>
            </w:tcBorders>
            <w:tcW w:w="59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3</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DPD 总氯在线检测仪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含检测试剂、季度比对及维护</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tcBorders>
              <w:top w:val="none" w:color="000000" w:sz="4" w:space="0"/>
              <w:left w:val="single" w:color="000000" w:sz="8" w:space="0"/>
              <w:bottom w:val="single" w:color="000000" w:sz="8" w:space="0"/>
              <w:right w:val="single" w:color="000000" w:sz="8" w:space="0"/>
            </w:tcBorders>
            <w:tcW w:w="59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4</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PH 在线监测仪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含检测试剂及维护</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tcBorders>
              <w:top w:val="none" w:color="000000" w:sz="4" w:space="0"/>
              <w:left w:val="single" w:color="000000" w:sz="8" w:space="0"/>
              <w:bottom w:val="single" w:color="000000" w:sz="8" w:space="0"/>
              <w:right w:val="single" w:color="000000" w:sz="8" w:space="0"/>
            </w:tcBorders>
            <w:tcW w:w="59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5</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流量计</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年度计量/季度比对</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975"/>
        </w:trPr>
        <w:tc>
          <w:tcPr>
            <w:tcBorders>
              <w:top w:val="none" w:color="000000" w:sz="4" w:space="0"/>
              <w:left w:val="single" w:color="000000" w:sz="8" w:space="0"/>
              <w:bottom w:val="single" w:color="000000" w:sz="8" w:space="0"/>
              <w:right w:val="single" w:color="000000" w:sz="8" w:space="0"/>
            </w:tcBorders>
            <w:tcW w:w="59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6</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数据采集仪</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离线数据补发；流量数据卡等</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r>
        <w:trPr>
          <w:cantSplit/>
          <w:trHeight w:val="495"/>
        </w:trPr>
        <w:tc>
          <w:tcPr>
            <w:tcBorders>
              <w:top w:val="none" w:color="000000" w:sz="4" w:space="0"/>
              <w:left w:val="single" w:color="000000" w:sz="8" w:space="0"/>
              <w:bottom w:val="single" w:color="000000" w:sz="8" w:space="0"/>
              <w:right w:val="single" w:color="000000" w:sz="8" w:space="0"/>
            </w:tcBorders>
            <w:tcW w:w="596"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7</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805" w:type="auto"/>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等比例采样器</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none" w:color="000000" w:sz="4" w:space="0"/>
              <w:left w:val="none" w:color="000000" w:sz="4" w:space="0"/>
              <w:bottom w:val="single" w:color="000000" w:sz="8" w:space="0"/>
              <w:right w:val="single" w:color="000000" w:sz="8" w:space="0"/>
            </w:tcBorders>
            <w:tcW w:w="3261" w:type="dxa"/>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日常维护</w:t>
            </w:r>
            <w:r>
              <w:rPr>
                <w:rFonts w:hint="eastAsia" w:ascii="宋体" w:hAnsi="宋体" w:cs="仿宋"/>
                <w:color w:val="000000"/>
                <w:szCs w:val="21"/>
              </w:rPr>
            </w:r>
            <w:r/>
          </w:p>
        </w:tc>
        <w:tc>
          <w:tcPr>
            <w:tcBorders>
              <w:top w:val="none" w:color="000000" w:sz="4" w:space="0"/>
              <w:left w:val="single" w:color="000000" w:sz="8" w:space="0"/>
              <w:bottom w:val="single" w:color="000000" w:sz="8" w:space="0"/>
              <w:right w:val="single" w:color="000000" w:sz="8" w:space="0"/>
            </w:tcBorders>
            <w:tcW w:w="2731" w:type="dxa"/>
            <w:vAlign w:val="center"/>
            <w:vMerge w:val="continue"/>
            <w:textDirection w:val="lrTb"/>
            <w:noWrap w:val="false"/>
          </w:tcPr>
          <w:p>
            <w:pPr>
              <w:pStyle w:val="967"/>
              <w:jc w:val="center"/>
              <w:rPr>
                <w:rFonts w:hint="eastAsia" w:ascii="宋体" w:hAnsi="宋体" w:cs="仿宋"/>
                <w:color w:val="000000"/>
                <w:szCs w:val="21"/>
              </w:rPr>
            </w:pPr>
            <w:r>
              <w:rPr>
                <w:rFonts w:hint="eastAsia" w:ascii="宋体" w:hAnsi="宋体" w:cs="仿宋"/>
                <w:color w:val="000000"/>
                <w:szCs w:val="21"/>
              </w:rPr>
            </w:r>
            <w:r/>
          </w:p>
        </w:tc>
      </w:tr>
    </w:tbl>
    <w:p>
      <w:pPr>
        <w:pStyle w:val="967"/>
        <w:spacing w:line="360" w:lineRule="auto"/>
        <w:rPr>
          <w:rFonts w:hint="eastAsia" w:ascii="宋体" w:hAnsi="宋体" w:cs="宋体"/>
          <w:b/>
          <w:bCs/>
          <w:szCs w:val="21"/>
        </w:rPr>
      </w:pPr>
      <w:r>
        <w:rPr>
          <w:rFonts w:hint="eastAsia" w:ascii="宋体" w:hAnsi="宋体" w:cs="宋体"/>
          <w:b/>
          <w:bCs/>
          <w:szCs w:val="21"/>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33"/>
        <w:gridCol w:w="1441"/>
        <w:gridCol w:w="7128"/>
      </w:tblGrid>
      <w:tr>
        <w:trPr>
          <w:trHeight w:val="288"/>
        </w:trPr>
        <w:tc>
          <w:tcPr>
            <w:gridSpan w:val="3"/>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pStyle w:val="967"/>
              <w:jc w:val="center"/>
              <w:widowControl/>
              <w:rPr>
                <w:rFonts w:hint="eastAsia" w:ascii="宋体" w:hAnsi="宋体" w:cs="宋体"/>
                <w:color w:val="000000"/>
                <w:szCs w:val="21"/>
              </w:rPr>
            </w:pPr>
            <w:r>
              <w:rPr>
                <w:rFonts w:hint="eastAsia" w:ascii="宋体" w:hAnsi="宋体" w:cs="宋体"/>
                <w:color w:val="000000"/>
                <w:szCs w:val="21"/>
                <w:lang w:bidi="ar"/>
              </w:rPr>
              <w:t xml:space="preserve">在线监测软件平台清单</w:t>
            </w:r>
            <w:r>
              <w:rPr>
                <w:rFonts w:hint="eastAsia" w:ascii="宋体" w:hAnsi="宋体" w:cs="宋体"/>
                <w:color w:val="000000"/>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967"/>
              <w:jc w:val="center"/>
              <w:widowControl/>
              <w:rPr>
                <w:rFonts w:ascii="宋体" w:hAnsi="宋体" w:cs="仿宋"/>
                <w:color w:val="000000"/>
                <w:szCs w:val="21"/>
              </w:rPr>
            </w:pPr>
            <w:r>
              <w:rPr>
                <w:rFonts w:hint="eastAsia" w:ascii="宋体" w:hAnsi="宋体" w:cs="仿宋"/>
                <w:color w:val="000000"/>
                <w:szCs w:val="21"/>
                <w:lang w:bidi="ar"/>
              </w:rPr>
              <w:t xml:space="preserve">序号</w:t>
            </w:r>
            <w:r>
              <w:rPr>
                <w:rFonts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项目</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3750"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说明</w:t>
            </w:r>
            <w:r>
              <w:rPr>
                <w:rFonts w:hint="eastAsia" w:ascii="宋体" w:hAnsi="宋体" w:cs="仿宋"/>
                <w:color w:val="000000"/>
                <w:szCs w:val="21"/>
              </w:rPr>
            </w:r>
            <w:r/>
          </w:p>
        </w:tc>
      </w:tr>
      <w:tr>
        <w:trPr>
          <w:trHeight w:val="1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1</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在线监测软件平台</w:t>
            </w:r>
            <w:r>
              <w:rPr>
                <w:rFonts w:hint="eastAsia" w:ascii="宋体" w:hAnsi="宋体" w:cs="仿宋"/>
                <w:color w:val="000000"/>
                <w:szCs w:val="21"/>
              </w:rPr>
            </w:r>
            <w:r/>
          </w:p>
        </w:tc>
        <w:tc>
          <w:tcPr>
            <w:tcBorders>
              <w:top w:val="single" w:color="000000" w:sz="4" w:space="0"/>
              <w:left w:val="single" w:color="000000" w:sz="4" w:space="0"/>
              <w:bottom w:val="single" w:color="000000" w:sz="4" w:space="0"/>
              <w:right w:val="single" w:color="000000" w:sz="4" w:space="0"/>
            </w:tcBorders>
            <w:tcW w:w="3750" w:type="pct"/>
            <w:vAlign w:val="center"/>
            <w:textDirection w:val="lrTb"/>
            <w:noWrap w:val="false"/>
          </w:tcPr>
          <w:p>
            <w:pPr>
              <w:pStyle w:val="967"/>
              <w:jc w:val="center"/>
              <w:widowControl/>
              <w:rPr>
                <w:rFonts w:hint="eastAsia" w:ascii="宋体" w:hAnsi="宋体" w:cs="仿宋"/>
                <w:color w:val="000000"/>
                <w:szCs w:val="21"/>
              </w:rPr>
            </w:pPr>
            <w:r>
              <w:rPr>
                <w:rFonts w:hint="eastAsia" w:ascii="宋体" w:hAnsi="宋体" w:cs="仿宋"/>
                <w:color w:val="000000"/>
                <w:szCs w:val="21"/>
                <w:lang w:bidi="ar"/>
              </w:rPr>
              <w:t xml:space="preserve">检测数据上传至监测平台，作为运维辅助手段监测医院污水站运行情况，院 方有权限浏览本院污水运行监测数据，包括流量、PH、总余氯等实时监测数据； 平台实时监测数据、历史曲线及异常报警记录，支持数据导出与图表生成功能， 满足监管部门对数据报表、运行台账管理等需求。</w:t>
            </w:r>
            <w:r>
              <w:rPr>
                <w:rFonts w:hint="eastAsia" w:ascii="宋体" w:hAnsi="宋体" w:cs="仿宋"/>
                <w:color w:val="000000"/>
                <w:szCs w:val="21"/>
              </w:rPr>
            </w:r>
            <w:r/>
          </w:p>
        </w:tc>
      </w:tr>
    </w:tbl>
    <w:p>
      <w:pPr>
        <w:pStyle w:val="967"/>
        <w:spacing w:line="360" w:lineRule="auto"/>
        <w:rPr>
          <w:rFonts w:hint="eastAsia" w:ascii="宋体" w:hAnsi="宋体" w:cs="宋体"/>
          <w:b/>
          <w:bCs/>
          <w:szCs w:val="21"/>
        </w:rPr>
      </w:pPr>
      <w:r>
        <w:rPr>
          <w:rFonts w:hint="eastAsia" w:ascii="宋体" w:hAnsi="宋体" w:cs="宋体"/>
          <w:b/>
          <w:bCs/>
          <w:szCs w:val="21"/>
        </w:rPr>
      </w:r>
      <w:r/>
    </w:p>
    <w:p>
      <w:pPr>
        <w:pStyle w:val="967"/>
        <w:spacing w:line="360" w:lineRule="auto"/>
        <w:rPr>
          <w:rFonts w:hint="eastAsia" w:ascii="宋体" w:hAnsi="宋体" w:cs="宋体"/>
          <w:b/>
          <w:bCs/>
          <w:color w:val="000000"/>
          <w:szCs w:val="21"/>
        </w:rPr>
      </w:pPr>
      <w:r>
        <w:rPr>
          <w:rFonts w:hint="eastAsia" w:ascii="宋体" w:hAnsi="宋体" w:cs="宋体"/>
          <w:b/>
          <w:bCs/>
          <w:color w:val="000000"/>
          <w:szCs w:val="21"/>
        </w:rPr>
        <w:t xml:space="preserve">（七）</w:t>
      </w:r>
      <w:r>
        <w:rPr>
          <w:rFonts w:hint="eastAsia" w:ascii="宋体" w:hAnsi="宋体" w:cs="宋体"/>
          <w:b/>
          <w:bCs/>
          <w:color w:val="000000"/>
          <w:szCs w:val="21"/>
        </w:rPr>
        <w:t xml:space="preserve">交货期：</w:t>
      </w:r>
      <w:r>
        <w:rPr>
          <w:rFonts w:hint="eastAsia" w:ascii="宋体" w:hAnsi="宋体" w:cs="宋体"/>
          <w:b/>
          <w:bCs/>
          <w:color w:val="000000"/>
          <w:szCs w:val="21"/>
        </w:rPr>
        <w:t xml:space="preserve">接到甲方书面通知之日起</w:t>
      </w:r>
      <w:r>
        <w:rPr>
          <w:rFonts w:hint="eastAsia" w:ascii="宋体" w:hAnsi="宋体" w:cs="宋体"/>
          <w:b/>
          <w:bCs/>
          <w:color w:val="000000"/>
          <w:szCs w:val="21"/>
          <w:u w:val="single"/>
        </w:rPr>
        <w:t xml:space="preserve">90</w:t>
      </w:r>
      <w:r>
        <w:rPr>
          <w:rFonts w:hint="eastAsia" w:ascii="宋体" w:hAnsi="宋体" w:cs="宋体"/>
          <w:b/>
          <w:bCs/>
          <w:color w:val="000000"/>
          <w:szCs w:val="21"/>
        </w:rPr>
        <w:t xml:space="preserve">日历天完成安装调试并</w:t>
      </w:r>
      <w:r>
        <w:rPr>
          <w:rFonts w:ascii="宋体" w:hAnsi="宋体" w:cs="宋体"/>
          <w:b/>
          <w:bCs/>
          <w:color w:val="000000"/>
          <w:szCs w:val="21"/>
        </w:rPr>
        <w:t xml:space="preserve">通过</w:t>
      </w:r>
      <w:r>
        <w:rPr>
          <w:rFonts w:hint="eastAsia" w:ascii="宋体" w:hAnsi="宋体" w:cs="宋体"/>
          <w:b/>
          <w:bCs/>
          <w:color w:val="000000"/>
          <w:szCs w:val="21"/>
        </w:rPr>
        <w:t xml:space="preserve">验收</w:t>
      </w:r>
      <w:r>
        <w:rPr>
          <w:rFonts w:hint="eastAsia" w:ascii="宋体" w:hAnsi="宋体" w:cs="宋体"/>
          <w:b/>
          <w:bCs/>
          <w:color w:val="000000"/>
          <w:szCs w:val="21"/>
        </w:rPr>
        <w:t xml:space="preserve">，具体时间以</w:t>
      </w:r>
      <w:r>
        <w:rPr>
          <w:rFonts w:hint="eastAsia" w:ascii="宋体" w:hAnsi="宋体" w:cs="宋体"/>
          <w:b/>
          <w:bCs/>
          <w:color w:val="000000"/>
          <w:szCs w:val="21"/>
        </w:rPr>
        <w:t xml:space="preserve">甲方</w:t>
      </w:r>
      <w:r>
        <w:rPr>
          <w:rFonts w:hint="eastAsia" w:ascii="宋体" w:hAnsi="宋体" w:cs="宋体"/>
          <w:b/>
          <w:bCs/>
          <w:color w:val="000000"/>
          <w:szCs w:val="21"/>
        </w:rPr>
        <w:t xml:space="preserve">通知为准。运维期限为</w:t>
      </w:r>
      <w:r>
        <w:rPr>
          <w:rFonts w:hint="eastAsia" w:ascii="宋体" w:hAnsi="宋体" w:cs="宋体"/>
          <w:b/>
          <w:bCs/>
          <w:color w:val="000000"/>
          <w:szCs w:val="21"/>
        </w:rPr>
        <w:t xml:space="preserve">租赁设备安装到位、通过验收、医院正式运营后3年</w:t>
      </w:r>
      <w:r>
        <w:rPr>
          <w:rFonts w:hint="eastAsia" w:ascii="宋体" w:hAnsi="宋体" w:cs="宋体"/>
          <w:b/>
          <w:bCs/>
          <w:color w:val="000000"/>
          <w:szCs w:val="21"/>
        </w:rPr>
        <w:t xml:space="preserve">。</w:t>
      </w:r>
      <w:r>
        <w:rPr>
          <w:rFonts w:hint="eastAsia" w:ascii="宋体" w:hAnsi="宋体" w:cs="宋体"/>
          <w:b/>
          <w:bCs/>
          <w:color w:val="000000"/>
          <w:szCs w:val="21"/>
        </w:rPr>
      </w:r>
      <w:r/>
    </w:p>
    <w:p>
      <w:pPr>
        <w:pStyle w:val="967"/>
        <w:spacing w:line="360" w:lineRule="auto"/>
        <w:rPr>
          <w:rFonts w:hint="eastAsia" w:ascii="宋体" w:hAnsi="宋体" w:cs="宋体"/>
          <w:b/>
          <w:bCs/>
          <w:szCs w:val="21"/>
        </w:rPr>
      </w:pPr>
      <w:r>
        <w:rPr>
          <w:rFonts w:hint="eastAsia" w:ascii="宋体" w:hAnsi="宋体" w:cs="宋体"/>
          <w:b/>
          <w:bCs/>
          <w:szCs w:val="21"/>
        </w:rPr>
      </w:r>
      <w:r/>
    </w:p>
    <w:p>
      <w:pPr>
        <w:pStyle w:val="967"/>
        <w:spacing w:line="360" w:lineRule="auto"/>
        <w:rPr>
          <w:rFonts w:hint="eastAsia" w:ascii="宋体" w:hAnsi="宋体"/>
          <w:b/>
          <w:szCs w:val="21"/>
          <w:lang w:val="zh-CN"/>
        </w:rPr>
      </w:pPr>
      <w:r>
        <w:rPr>
          <w:rFonts w:hint="eastAsia" w:ascii="宋体" w:hAnsi="宋体" w:cs="宋体"/>
          <w:b/>
          <w:bCs/>
          <w:szCs w:val="21"/>
        </w:rPr>
        <w:t xml:space="preserve">四、</w:t>
      </w:r>
      <w:r>
        <w:rPr>
          <w:rFonts w:hint="eastAsia" w:ascii="宋体" w:hAnsi="宋体"/>
          <w:b/>
          <w:szCs w:val="21"/>
          <w:lang w:val="zh-CN"/>
        </w:rPr>
        <w:t xml:space="preserve">其他事项： </w:t>
      </w:r>
      <w:r/>
    </w:p>
    <w:p>
      <w:pPr>
        <w:pStyle w:val="967"/>
        <w:spacing w:line="360" w:lineRule="auto"/>
        <w:widowControl/>
        <w:rPr>
          <w:rFonts w:ascii="宋体" w:hAnsi="宋体" w:cs="Arial"/>
          <w:szCs w:val="21"/>
        </w:rPr>
      </w:pPr>
      <w:r>
        <w:rPr>
          <w:rFonts w:hint="eastAsia" w:ascii="宋体" w:hAnsi="宋体" w:cs="Arial"/>
          <w:szCs w:val="21"/>
        </w:rPr>
        <w:t xml:space="preserve">1.投标单位必须明确提供所投项目的说明及服务内容。</w:t>
      </w:r>
      <w:r>
        <w:rPr>
          <w:rFonts w:ascii="宋体" w:hAnsi="宋体" w:cs="Arial"/>
          <w:szCs w:val="21"/>
        </w:rPr>
      </w:r>
      <w:r/>
    </w:p>
    <w:p>
      <w:pPr>
        <w:pStyle w:val="967"/>
        <w:spacing w:line="360" w:lineRule="auto"/>
        <w:widowControl/>
        <w:rPr>
          <w:rFonts w:hint="eastAsia" w:ascii="宋体" w:hAnsi="宋体" w:cs="Arial"/>
          <w:szCs w:val="21"/>
        </w:rPr>
      </w:pPr>
      <w:r>
        <w:rPr>
          <w:rFonts w:hint="eastAsia" w:ascii="宋体" w:hAnsi="宋体" w:cs="Arial"/>
          <w:szCs w:val="21"/>
        </w:rPr>
        <w:t xml:space="preserve">2.投标单位必须承诺招标文件中提出的全部技术要求，如果以其中某些条款不响应时，应在文件中逐条列出，未列出的视同响应。</w:t>
      </w:r>
      <w:r/>
    </w:p>
    <w:p>
      <w:pPr>
        <w:pStyle w:val="967"/>
        <w:spacing w:line="360" w:lineRule="auto"/>
        <w:widowControl/>
        <w:rPr>
          <w:rFonts w:hint="eastAsia" w:ascii="宋体" w:hAnsi="宋体" w:cs="Arial"/>
          <w:szCs w:val="21"/>
        </w:rPr>
      </w:pPr>
      <w:r>
        <w:rPr>
          <w:rFonts w:hint="eastAsia" w:ascii="宋体" w:hAnsi="宋体" w:cs="Arial"/>
          <w:szCs w:val="21"/>
        </w:rPr>
        <w:t xml:space="preserve">3.投标单位的报价以全部服务总价一次报定，即包括直至完成本项目全部服务内容的所有人力费用、物力费用、验收费及保险、劳保、专利技术、技术支持与人员培训、售后服务与维护及相关劳务支出等工作所发生的全部费用以及投标人企业利润、税金和政策性文件规定及合同包含的所有风险、责任等各项应有费用，所报总价包括完成本项目全部内容。</w:t>
      </w:r>
      <w:r/>
    </w:p>
    <w:p>
      <w:pPr>
        <w:pStyle w:val="967"/>
        <w:spacing w:line="360" w:lineRule="auto"/>
        <w:widowControl/>
        <w:rPr>
          <w:rFonts w:hint="eastAsia" w:ascii="宋体" w:hAnsi="宋体" w:cs="Arial"/>
          <w:szCs w:val="21"/>
        </w:rPr>
      </w:pPr>
      <w:r>
        <w:rPr>
          <w:rFonts w:hint="eastAsia" w:ascii="宋体" w:hAnsi="宋体" w:cs="Arial"/>
          <w:szCs w:val="21"/>
        </w:rPr>
        <w:t xml:space="preserve">4.凡涉及招标文件的补充说明和修改，均以苏州市政府采购网通知为准。</w:t>
      </w:r>
      <w:r/>
    </w:p>
    <w:p>
      <w:pPr>
        <w:pStyle w:val="968"/>
        <w:jc w:val="center"/>
        <w:spacing w:line="360" w:lineRule="auto"/>
        <w:rPr>
          <w:rFonts w:hint="eastAsia"/>
        </w:rPr>
      </w:pPr>
      <w:r/>
      <w:bookmarkEnd w:id="46"/>
      <w:r/>
      <w:bookmarkEnd w:id="47"/>
      <w:r/>
      <w:bookmarkEnd w:id="48"/>
      <w:r/>
      <w:bookmarkEnd w:id="49"/>
      <w:r/>
      <w:bookmarkStart w:id="50" w:name="_Toc194916143"/>
      <w:r/>
      <w:bookmarkStart w:id="51" w:name="_Toc13642118"/>
      <w:r/>
      <w:bookmarkStart w:id="52" w:name="_Toc13889378"/>
      <w:r>
        <w:rPr>
          <w:rFonts w:hint="eastAsia"/>
        </w:rPr>
      </w:r>
      <w:r/>
    </w:p>
    <w:p>
      <w:pPr>
        <w:pStyle w:val="968"/>
        <w:jc w:val="center"/>
        <w:spacing w:line="360" w:lineRule="auto"/>
        <w:rPr>
          <w:rFonts w:hint="eastAsia"/>
        </w:rPr>
      </w:pPr>
      <w:r>
        <w:rPr>
          <w:rFonts w:hint="eastAsia"/>
        </w:rPr>
      </w:r>
      <w:r/>
    </w:p>
    <w:p>
      <w:pPr>
        <w:pStyle w:val="968"/>
        <w:jc w:val="center"/>
        <w:spacing w:line="360" w:lineRule="auto"/>
        <w:rPr>
          <w:rFonts w:hint="eastAsia"/>
        </w:rPr>
      </w:pPr>
      <w:r>
        <w:rPr>
          <w:rFonts w:hint="eastAsia"/>
        </w:rPr>
      </w:r>
      <w:r/>
    </w:p>
    <w:p>
      <w:pPr>
        <w:pStyle w:val="967"/>
        <w:rPr>
          <w:rFonts w:hint="eastAsia"/>
        </w:rPr>
      </w:pPr>
      <w:r>
        <w:rPr>
          <w:rFonts w:hint="eastAsia"/>
        </w:rPr>
      </w:r>
      <w:r/>
    </w:p>
    <w:p>
      <w:pPr>
        <w:pStyle w:val="968"/>
        <w:jc w:val="center"/>
        <w:spacing w:line="360" w:lineRule="auto"/>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8"/>
        <w:jc w:val="center"/>
        <w:spacing w:line="360" w:lineRule="auto"/>
        <w:rPr>
          <w:rFonts w:hint="eastAsia"/>
        </w:rPr>
      </w:pPr>
      <w:r>
        <w:rPr>
          <w:rFonts w:hint="eastAsia"/>
        </w:rPr>
        <w:t xml:space="preserve">第五章  合同主要条款</w:t>
      </w:r>
      <w:bookmarkEnd w:id="50"/>
      <w:r>
        <w:rPr>
          <w:rFonts w:hint="eastAsia"/>
        </w:rPr>
      </w:r>
      <w:r/>
    </w:p>
    <w:p>
      <w:pPr>
        <w:pStyle w:val="967"/>
        <w:spacing w:line="540" w:lineRule="exact"/>
        <w:rPr>
          <w:rFonts w:ascii="宋体" w:hAnsi="宋体"/>
          <w:szCs w:val="21"/>
        </w:rPr>
      </w:pPr>
      <w:r>
        <w:rPr>
          <w:rFonts w:hint="eastAsia" w:ascii="宋体" w:hAnsi="宋体"/>
          <w:szCs w:val="21"/>
        </w:rPr>
        <w:t xml:space="preserve">甲方：</w:t>
      </w:r>
      <w:r>
        <w:rPr>
          <w:rFonts w:ascii="宋体" w:hAnsi="宋体"/>
          <w:szCs w:val="21"/>
        </w:rPr>
      </w:r>
      <w:r/>
    </w:p>
    <w:p>
      <w:pPr>
        <w:pStyle w:val="967"/>
        <w:spacing w:line="540" w:lineRule="exact"/>
        <w:rPr>
          <w:rFonts w:hint="eastAsia" w:ascii="宋体" w:hAnsi="宋体"/>
          <w:szCs w:val="21"/>
        </w:rPr>
      </w:pPr>
      <w:r>
        <w:rPr>
          <w:rFonts w:hint="eastAsia" w:ascii="宋体" w:hAnsi="宋体"/>
          <w:szCs w:val="21"/>
        </w:rPr>
        <w:t xml:space="preserve">地址：</w:t>
      </w:r>
      <w:r/>
    </w:p>
    <w:p>
      <w:pPr>
        <w:pStyle w:val="967"/>
        <w:spacing w:line="540" w:lineRule="exact"/>
        <w:rPr>
          <w:rFonts w:hint="eastAsia" w:ascii="宋体" w:hAnsi="宋体"/>
          <w:szCs w:val="21"/>
        </w:rPr>
      </w:pPr>
      <w:r>
        <w:rPr>
          <w:rFonts w:hint="eastAsia" w:ascii="宋体" w:hAnsi="宋体"/>
          <w:szCs w:val="21"/>
        </w:rPr>
        <w:t xml:space="preserve">联系人及电话：</w:t>
      </w:r>
      <w:r/>
    </w:p>
    <w:p>
      <w:pPr>
        <w:pStyle w:val="967"/>
        <w:spacing w:line="540" w:lineRule="exact"/>
        <w:rPr>
          <w:rFonts w:hint="eastAsia" w:ascii="宋体" w:hAnsi="宋体"/>
          <w:szCs w:val="21"/>
        </w:rPr>
      </w:pPr>
      <w:r>
        <w:rPr>
          <w:rFonts w:hint="eastAsia" w:ascii="宋体" w:hAnsi="宋体"/>
          <w:szCs w:val="21"/>
        </w:rPr>
      </w:r>
      <w:r/>
    </w:p>
    <w:p>
      <w:pPr>
        <w:pStyle w:val="967"/>
        <w:spacing w:line="540" w:lineRule="exact"/>
        <w:rPr>
          <w:rFonts w:hint="eastAsia" w:ascii="宋体" w:hAnsi="宋体"/>
          <w:szCs w:val="21"/>
        </w:rPr>
      </w:pPr>
      <w:r>
        <w:rPr>
          <w:rFonts w:hint="eastAsia" w:ascii="宋体" w:hAnsi="宋体"/>
          <w:szCs w:val="21"/>
        </w:rPr>
        <w:t xml:space="preserve">乙方：</w:t>
      </w:r>
      <w:r/>
    </w:p>
    <w:p>
      <w:pPr>
        <w:pStyle w:val="967"/>
        <w:spacing w:line="540" w:lineRule="exact"/>
        <w:rPr>
          <w:rFonts w:hint="eastAsia" w:ascii="宋体" w:hAnsi="宋体"/>
          <w:szCs w:val="21"/>
        </w:rPr>
      </w:pPr>
      <w:r>
        <w:rPr>
          <w:rFonts w:hint="eastAsia" w:ascii="宋体" w:hAnsi="宋体"/>
          <w:szCs w:val="21"/>
        </w:rPr>
        <w:t xml:space="preserve">地址：</w:t>
      </w:r>
      <w:r/>
    </w:p>
    <w:p>
      <w:pPr>
        <w:pStyle w:val="967"/>
        <w:jc w:val="left"/>
        <w:spacing w:line="360" w:lineRule="auto"/>
        <w:rPr>
          <w:rFonts w:hint="eastAsia" w:ascii="宋体" w:hAnsi="宋体"/>
          <w:szCs w:val="21"/>
        </w:rPr>
      </w:pPr>
      <w:r>
        <w:rPr>
          <w:rFonts w:hint="eastAsia" w:ascii="宋体" w:hAnsi="宋体"/>
          <w:szCs w:val="21"/>
        </w:rPr>
        <w:t xml:space="preserve">联系人及电话</w:t>
      </w:r>
      <w:r/>
    </w:p>
    <w:p>
      <w:pPr>
        <w:pStyle w:val="967"/>
        <w:jc w:val="left"/>
        <w:spacing w:line="360" w:lineRule="auto"/>
        <w:rPr>
          <w:rFonts w:hint="eastAsia" w:ascii="宋体" w:hAnsi="宋体"/>
          <w:szCs w:val="21"/>
        </w:rPr>
      </w:pPr>
      <w:r>
        <w:rPr>
          <w:rFonts w:hint="eastAsia" w:ascii="宋体" w:hAnsi="宋体"/>
          <w:szCs w:val="21"/>
        </w:rPr>
      </w:r>
      <w:r/>
    </w:p>
    <w:p>
      <w:pPr>
        <w:pStyle w:val="967"/>
        <w:jc w:val="left"/>
        <w:spacing w:line="360" w:lineRule="auto"/>
        <w:rPr>
          <w:rFonts w:hint="eastAsia" w:ascii="宋体" w:hAnsi="宋体"/>
          <w:szCs w:val="21"/>
        </w:rPr>
      </w:pPr>
      <w:r>
        <w:rPr>
          <w:rFonts w:hint="eastAsia" w:ascii="宋体" w:hAnsi="宋体"/>
          <w:szCs w:val="21"/>
        </w:rPr>
        <w:t xml:space="preserve">    根据</w:t>
      </w:r>
      <w:r>
        <w:rPr>
          <w:rFonts w:hint="eastAsia" w:ascii="宋体" w:hAnsi="宋体"/>
          <w:szCs w:val="21"/>
          <w:u w:val="single"/>
        </w:rPr>
        <w:t xml:space="preserve">江苏正华新工程咨询有限公司</w:t>
      </w:r>
      <w:r>
        <w:rPr>
          <w:rFonts w:hint="eastAsia" w:ascii="宋体" w:hAnsi="宋体"/>
          <w:szCs w:val="21"/>
        </w:rPr>
        <w:t xml:space="preserve">招标编号</w:t>
      </w:r>
      <w:r>
        <w:rPr>
          <w:rFonts w:hint="eastAsia" w:ascii="宋体" w:hAnsi="宋体"/>
          <w:szCs w:val="21"/>
          <w:u w:val="single"/>
        </w:rPr>
        <w:t xml:space="preserve"> </w:t>
      </w:r>
      <w:r>
        <w:rPr>
          <w:rFonts w:hint="eastAsia" w:ascii="宋体" w:hAnsi="宋体"/>
          <w:u w:val="single"/>
        </w:rPr>
        <w:t xml:space="preserve">JSZC-320583-SZZH-G2026-0005</w:t>
      </w:r>
      <w:r>
        <w:rPr>
          <w:rFonts w:hint="eastAsia" w:ascii="宋体" w:hAnsi="宋体"/>
          <w:szCs w:val="21"/>
        </w:rPr>
        <w:t xml:space="preserve">号的招标文件及中标单位的投标文件和中标通知书，甲乙双方就此次中标的标的物的购销事宜，签订本合同书。</w:t>
      </w:r>
      <w:r/>
    </w:p>
    <w:p>
      <w:pPr>
        <w:pStyle w:val="967"/>
        <w:jc w:val="left"/>
        <w:spacing w:line="360" w:lineRule="auto"/>
        <w:rPr>
          <w:rFonts w:hint="eastAsia" w:ascii="宋体" w:hAnsi="宋体"/>
          <w:szCs w:val="21"/>
        </w:rPr>
      </w:pPr>
      <w:r>
        <w:rPr>
          <w:rFonts w:hint="eastAsia" w:ascii="宋体" w:hAnsi="宋体"/>
          <w:szCs w:val="21"/>
        </w:rPr>
        <w:t xml:space="preserve">一、合同文件</w:t>
      </w:r>
      <w:r/>
    </w:p>
    <w:p>
      <w:pPr>
        <w:pStyle w:val="967"/>
        <w:jc w:val="left"/>
        <w:spacing w:line="360" w:lineRule="auto"/>
        <w:rPr>
          <w:rFonts w:hint="eastAsia" w:ascii="宋体" w:hAnsi="宋体"/>
          <w:szCs w:val="21"/>
        </w:rPr>
      </w:pPr>
      <w:r>
        <w:rPr>
          <w:rFonts w:hint="eastAsia" w:ascii="宋体" w:hAnsi="宋体"/>
          <w:szCs w:val="21"/>
        </w:rPr>
        <w:t xml:space="preserve">下列文件为本合同不可分割部分：</w:t>
      </w:r>
      <w:r/>
    </w:p>
    <w:p>
      <w:pPr>
        <w:pStyle w:val="967"/>
        <w:jc w:val="left"/>
        <w:spacing w:line="360" w:lineRule="auto"/>
        <w:rPr>
          <w:rFonts w:hint="eastAsia" w:ascii="宋体" w:hAnsi="宋体"/>
          <w:szCs w:val="21"/>
        </w:rPr>
      </w:pPr>
      <w:r>
        <w:rPr>
          <w:rFonts w:hint="eastAsia" w:ascii="宋体" w:hAnsi="宋体"/>
          <w:szCs w:val="21"/>
        </w:rPr>
        <w:t xml:space="preserve">1.招标文件及其附件；</w:t>
      </w:r>
      <w:r/>
    </w:p>
    <w:p>
      <w:pPr>
        <w:pStyle w:val="967"/>
        <w:jc w:val="left"/>
        <w:spacing w:line="360" w:lineRule="auto"/>
        <w:rPr>
          <w:rFonts w:hint="eastAsia" w:ascii="宋体" w:hAnsi="宋体"/>
          <w:szCs w:val="21"/>
        </w:rPr>
      </w:pPr>
      <w:r>
        <w:rPr>
          <w:rFonts w:hint="eastAsia" w:ascii="宋体" w:hAnsi="宋体"/>
          <w:szCs w:val="21"/>
        </w:rPr>
        <w:t xml:space="preserve">2.乙方的投标文件；</w:t>
      </w:r>
      <w:r/>
    </w:p>
    <w:p>
      <w:pPr>
        <w:pStyle w:val="967"/>
        <w:jc w:val="left"/>
        <w:spacing w:line="360" w:lineRule="auto"/>
        <w:rPr>
          <w:rFonts w:hint="eastAsia" w:ascii="宋体" w:hAnsi="宋体"/>
          <w:szCs w:val="21"/>
        </w:rPr>
      </w:pPr>
      <w:r>
        <w:rPr>
          <w:rFonts w:hint="eastAsia" w:ascii="宋体" w:hAnsi="宋体"/>
          <w:szCs w:val="21"/>
        </w:rPr>
        <w:t xml:space="preserve">3.合同条款；</w:t>
      </w:r>
      <w:r/>
    </w:p>
    <w:p>
      <w:pPr>
        <w:pStyle w:val="967"/>
        <w:jc w:val="left"/>
        <w:spacing w:line="360" w:lineRule="auto"/>
        <w:rPr>
          <w:rFonts w:hint="eastAsia" w:ascii="宋体" w:hAnsi="宋体"/>
          <w:szCs w:val="21"/>
        </w:rPr>
      </w:pPr>
      <w:r>
        <w:rPr>
          <w:rFonts w:hint="eastAsia" w:ascii="宋体" w:hAnsi="宋体"/>
          <w:szCs w:val="21"/>
        </w:rPr>
        <w:t xml:space="preserve">4.乙方在招投标过程中所作的其它承诺、声明、书面澄清等；</w:t>
      </w:r>
      <w:r/>
    </w:p>
    <w:p>
      <w:pPr>
        <w:pStyle w:val="967"/>
        <w:jc w:val="left"/>
        <w:spacing w:line="360" w:lineRule="auto"/>
        <w:rPr>
          <w:rFonts w:hint="eastAsia" w:ascii="宋体" w:hAnsi="宋体"/>
          <w:szCs w:val="21"/>
        </w:rPr>
      </w:pPr>
      <w:r>
        <w:rPr>
          <w:rFonts w:hint="eastAsia" w:ascii="宋体" w:hAnsi="宋体"/>
          <w:szCs w:val="21"/>
        </w:rPr>
        <w:t xml:space="preserve">5.中标通知书；</w:t>
      </w:r>
      <w:r/>
    </w:p>
    <w:p>
      <w:pPr>
        <w:pStyle w:val="967"/>
        <w:jc w:val="left"/>
        <w:spacing w:line="360" w:lineRule="auto"/>
        <w:rPr>
          <w:rFonts w:hint="eastAsia" w:ascii="宋体" w:hAnsi="宋体"/>
          <w:szCs w:val="21"/>
        </w:rPr>
      </w:pPr>
      <w:r>
        <w:rPr>
          <w:rFonts w:hint="eastAsia" w:ascii="宋体" w:hAnsi="宋体"/>
          <w:szCs w:val="21"/>
        </w:rPr>
        <w:t xml:space="preserve">6.本合同附件。</w:t>
      </w:r>
      <w:r/>
    </w:p>
    <w:p>
      <w:pPr>
        <w:pStyle w:val="967"/>
        <w:jc w:val="left"/>
        <w:spacing w:line="360" w:lineRule="auto"/>
        <w:rPr>
          <w:rFonts w:hint="eastAsia" w:ascii="宋体" w:hAnsi="宋体"/>
          <w:szCs w:val="21"/>
        </w:rPr>
      </w:pPr>
      <w:r>
        <w:rPr>
          <w:rFonts w:hint="eastAsia" w:ascii="宋体" w:hAnsi="宋体"/>
          <w:szCs w:val="21"/>
        </w:rPr>
        <w:t xml:space="preserve">二、合同价款</w:t>
      </w:r>
      <w:r/>
    </w:p>
    <w:p>
      <w:pPr>
        <w:pStyle w:val="967"/>
        <w:jc w:val="left"/>
        <w:spacing w:line="360" w:lineRule="auto"/>
        <w:rPr>
          <w:rFonts w:hint="eastAsia" w:ascii="宋体" w:hAnsi="宋体"/>
          <w:szCs w:val="21"/>
        </w:rPr>
      </w:pPr>
      <w:r>
        <w:rPr>
          <w:rFonts w:hint="eastAsia" w:ascii="宋体" w:hAnsi="宋体"/>
          <w:szCs w:val="21"/>
        </w:rPr>
        <w:t xml:space="preserve">1.本合同总价为：大写</w:t>
      </w:r>
      <w:r>
        <w:rPr>
          <w:rFonts w:hint="eastAsia" w:ascii="宋体" w:hAnsi="宋体"/>
          <w:b/>
          <w:bCs/>
          <w:szCs w:val="21"/>
          <w:u w:val="single"/>
        </w:rPr>
        <w:t xml:space="preserve">人民币</w:t>
      </w:r>
      <w:r>
        <w:rPr>
          <w:rFonts w:hint="eastAsia" w:ascii="宋体" w:hAnsi="宋体"/>
          <w:b/>
          <w:bCs/>
          <w:szCs w:val="21"/>
          <w:u w:val="single"/>
        </w:rPr>
        <w:fldChar w:fldCharType="begin"/>
      </w:r>
      <w:r>
        <w:rPr>
          <w:rFonts w:hint="eastAsia" w:ascii="宋体" w:hAnsi="宋体"/>
          <w:b/>
          <w:bCs/>
          <w:szCs w:val="21"/>
          <w:u w:val="single"/>
        </w:rPr>
        <w:instrText xml:space="preserve"> = 676000 \* CHINESENUM4 \* MERGEFORMAT </w:instrText>
      </w:r>
      <w:r>
        <w:rPr>
          <w:rFonts w:ascii="宋体" w:hAnsi="宋体"/>
          <w:b/>
          <w:bCs/>
          <w:szCs w:val="21"/>
          <w:u w:val="single"/>
        </w:rPr>
        <w:fldChar w:fldCharType="separate"/>
      </w:r>
      <w:r>
        <w:rPr>
          <w:rFonts w:hint="eastAsia" w:ascii="宋体" w:hAnsi="宋体"/>
          <w:b/>
          <w:bCs/>
          <w:szCs w:val="21"/>
          <w:u w:val="single"/>
        </w:rPr>
        <w:t xml:space="preserve">          元整</w:t>
      </w:r>
      <w:r>
        <w:rPr>
          <w:rFonts w:hint="eastAsia" w:ascii="宋体" w:hAnsi="宋体"/>
          <w:b/>
          <w:bCs/>
          <w:szCs w:val="21"/>
          <w:u w:val="single"/>
        </w:rPr>
        <w:fldChar w:fldCharType="end"/>
      </w:r>
      <w:r>
        <w:rPr>
          <w:rFonts w:hint="eastAsia" w:ascii="宋体" w:hAnsi="宋体"/>
          <w:b/>
          <w:bCs/>
          <w:szCs w:val="21"/>
          <w:u w:val="single"/>
        </w:rPr>
        <w:t xml:space="preserve">（¥         元）；</w:t>
      </w:r>
      <w:r>
        <w:rPr>
          <w:rFonts w:hint="eastAsia" w:ascii="宋体" w:hAnsi="宋体" w:cs="宋体"/>
          <w:spacing w:val="1"/>
          <w:szCs w:val="21"/>
        </w:rPr>
        <w:t xml:space="preserve">适用税率：%。</w:t>
      </w:r>
      <w:r>
        <w:rPr>
          <w:rFonts w:hint="eastAsia" w:ascii="宋体" w:hAnsi="宋体"/>
          <w:szCs w:val="21"/>
        </w:rPr>
        <w:t xml:space="preserve">                               </w:t>
      </w:r>
      <w:r/>
    </w:p>
    <w:p>
      <w:pPr>
        <w:pStyle w:val="967"/>
        <w:jc w:val="left"/>
        <w:spacing w:line="360" w:lineRule="auto"/>
        <w:rPr>
          <w:rFonts w:hint="eastAsia" w:ascii="宋体" w:hAnsi="宋体"/>
          <w:color w:val="000000"/>
          <w:szCs w:val="21"/>
        </w:rPr>
      </w:pPr>
      <w:r>
        <w:rPr>
          <w:rFonts w:hint="eastAsia" w:ascii="宋体" w:hAnsi="宋体"/>
          <w:szCs w:val="21"/>
        </w:rPr>
        <w:t xml:space="preserve">   </w:t>
      </w:r>
      <w:r>
        <w:rPr>
          <w:rFonts w:hint="eastAsia" w:ascii="宋体" w:hAnsi="宋体"/>
          <w:color w:val="000000"/>
          <w:szCs w:val="21"/>
        </w:rPr>
        <w:t xml:space="preserve"> 报价包括完成该项目所需的污水站设备、配件、人工及所有备件；运维工作包括污水站设备日常巡检、定期保养、日常运行所需的耗材、消毒药剂、检测试剂、在线监测平台的使用及零备件更换、医院排污许可证及卫监部门要求的检测服务、软件升级及管理服务，各种税费及政策性文件规定及合同包含的所有风险、责任等各项应有费用。</w:t>
      </w:r>
      <w:r/>
    </w:p>
    <w:p>
      <w:pPr>
        <w:pStyle w:val="967"/>
        <w:spacing w:line="520" w:lineRule="exact"/>
        <w:rPr>
          <w:rFonts w:hint="eastAsia" w:ascii="宋体" w:hAnsi="宋体"/>
          <w:color w:val="000000"/>
          <w:szCs w:val="21"/>
        </w:rPr>
      </w:pPr>
      <w:r>
        <w:rPr>
          <w:rFonts w:hint="eastAsia" w:ascii="宋体" w:hAnsi="宋体"/>
          <w:color w:val="000000"/>
          <w:szCs w:val="21"/>
        </w:rPr>
        <w:t xml:space="preserve">2.付款方式：</w:t>
      </w:r>
      <w:r>
        <w:rPr>
          <w:rFonts w:hint="eastAsia" w:ascii="宋体" w:hAnsi="宋体"/>
          <w:color w:val="000000"/>
          <w:szCs w:val="21"/>
        </w:rPr>
        <w:t xml:space="preserve">乙方设备进场、完成安装调试、正常运行且收到乙方开具的发票后60天内，支付合同总金额的60%；租赁第二年度年底、乙方按照约定提供服务、收到乙方开具的发票后60天内支付合同总金额的10%；租赁第三年度年底、乙方按照约定提供服务、收到乙方开具的发票后60天内支付合同总金额的10%；余款待审计结果出具后三年内付清（每个付款节点的实际支付金额均需结合考核结果）。预留保证金为3%，在租赁期满且设备验收移交完成后一年内返还，本合同中所有应付款项，均不计任何利息。</w:t>
      </w:r>
      <w:r>
        <w:rPr>
          <w:rFonts w:hint="eastAsia" w:ascii="宋体" w:hAnsi="宋体"/>
          <w:color w:val="000000"/>
          <w:szCs w:val="21"/>
        </w:rPr>
      </w:r>
      <w:r/>
    </w:p>
    <w:p>
      <w:pPr>
        <w:pStyle w:val="967"/>
        <w:spacing w:line="520" w:lineRule="exact"/>
        <w:rPr>
          <w:rFonts w:hint="eastAsia" w:ascii="宋体" w:hAnsi="宋体"/>
          <w:szCs w:val="21"/>
        </w:rPr>
      </w:pPr>
      <w:r>
        <w:rPr>
          <w:rFonts w:hint="eastAsia" w:ascii="宋体" w:hAnsi="宋体"/>
          <w:szCs w:val="21"/>
        </w:rPr>
        <w:t xml:space="preserve">3.付款步骤：                  </w:t>
      </w:r>
      <w:r/>
    </w:p>
    <w:p>
      <w:pPr>
        <w:pStyle w:val="967"/>
        <w:spacing w:line="520" w:lineRule="exact"/>
        <w:rPr>
          <w:rFonts w:hint="eastAsia" w:ascii="宋体" w:hAnsi="宋体"/>
          <w:szCs w:val="21"/>
        </w:rPr>
      </w:pPr>
      <w:r>
        <w:rPr>
          <w:rFonts w:hint="eastAsia" w:ascii="宋体" w:hAnsi="宋体"/>
          <w:szCs w:val="21"/>
        </w:rPr>
        <w:t xml:space="preserve">乙方应</w:t>
      </w:r>
      <w:r>
        <w:rPr>
          <w:rFonts w:hint="eastAsia" w:ascii="宋体" w:hAnsi="宋体"/>
          <w:szCs w:val="21"/>
        </w:rPr>
        <w:t xml:space="preserve">在甲方付款前3</w:t>
      </w:r>
      <w:r>
        <w:rPr>
          <w:rFonts w:ascii="宋体" w:hAnsi="宋体"/>
          <w:szCs w:val="21"/>
        </w:rPr>
        <w:t xml:space="preserve">0</w:t>
      </w:r>
      <w:r>
        <w:rPr>
          <w:rFonts w:hint="eastAsia" w:ascii="宋体" w:hAnsi="宋体"/>
          <w:szCs w:val="21"/>
        </w:rPr>
        <w:t xml:space="preserve">天</w:t>
      </w:r>
      <w:r>
        <w:rPr>
          <w:rFonts w:hint="eastAsia" w:ascii="宋体" w:hAnsi="宋体"/>
          <w:szCs w:val="21"/>
        </w:rPr>
        <w:t xml:space="preserve">向甲方提供以下材料：</w:t>
      </w:r>
      <w:r/>
    </w:p>
    <w:p>
      <w:pPr>
        <w:pStyle w:val="967"/>
        <w:spacing w:line="520" w:lineRule="exact"/>
        <w:rPr>
          <w:rFonts w:hint="eastAsia" w:ascii="宋体" w:hAnsi="宋体"/>
          <w:szCs w:val="21"/>
        </w:rPr>
      </w:pPr>
      <w:r>
        <w:rPr>
          <w:rFonts w:hint="eastAsia" w:ascii="宋体" w:hAnsi="宋体"/>
          <w:szCs w:val="21"/>
        </w:rPr>
        <w:t xml:space="preserve">A、合格发票。</w:t>
      </w:r>
      <w:r/>
    </w:p>
    <w:p>
      <w:pPr>
        <w:pStyle w:val="967"/>
        <w:spacing w:line="520" w:lineRule="exact"/>
        <w:rPr>
          <w:rFonts w:hint="eastAsia" w:ascii="宋体" w:hAnsi="宋体"/>
          <w:szCs w:val="21"/>
        </w:rPr>
      </w:pPr>
      <w:r>
        <w:rPr>
          <w:rFonts w:hint="eastAsia" w:ascii="宋体" w:hAnsi="宋体"/>
          <w:szCs w:val="21"/>
        </w:rPr>
        <w:t xml:space="preserve">B、《政府采购合同履行验收报告》。</w:t>
      </w:r>
      <w:r/>
    </w:p>
    <w:p>
      <w:pPr>
        <w:pStyle w:val="967"/>
        <w:spacing w:line="520" w:lineRule="exact"/>
        <w:rPr>
          <w:rFonts w:hint="eastAsia" w:ascii="宋体" w:hAnsi="宋体"/>
          <w:szCs w:val="21"/>
        </w:rPr>
      </w:pPr>
      <w:r>
        <w:rPr>
          <w:rFonts w:hint="eastAsia" w:ascii="宋体" w:hAnsi="宋体"/>
          <w:szCs w:val="21"/>
        </w:rPr>
        <w:t xml:space="preserve">4.支付方式：银行转账等。</w:t>
      </w:r>
      <w:r/>
    </w:p>
    <w:p>
      <w:pPr>
        <w:pStyle w:val="967"/>
        <w:spacing w:line="520" w:lineRule="exact"/>
        <w:rPr>
          <w:rFonts w:hint="eastAsia" w:ascii="宋体" w:hAnsi="宋体"/>
          <w:szCs w:val="21"/>
        </w:rPr>
      </w:pPr>
      <w:r>
        <w:rPr>
          <w:rFonts w:hint="eastAsia" w:ascii="宋体" w:hAnsi="宋体"/>
          <w:szCs w:val="21"/>
        </w:rPr>
        <w:t xml:space="preserve">三、</w:t>
      </w:r>
      <w:r>
        <w:rPr>
          <w:rFonts w:hint="eastAsia" w:ascii="宋体" w:hAnsi="宋体"/>
          <w:szCs w:val="21"/>
        </w:rPr>
        <w:t xml:space="preserve">收款账户</w:t>
      </w:r>
      <w:r>
        <w:rPr>
          <w:rFonts w:hint="eastAsia" w:ascii="宋体" w:hAnsi="宋体"/>
          <w:szCs w:val="21"/>
        </w:rPr>
      </w:r>
      <w:r/>
    </w:p>
    <w:p>
      <w:pPr>
        <w:pStyle w:val="967"/>
        <w:spacing w:line="520" w:lineRule="exact"/>
        <w:rPr>
          <w:rFonts w:hint="eastAsia" w:ascii="宋体" w:hAnsi="宋体"/>
          <w:szCs w:val="21"/>
        </w:rPr>
      </w:pPr>
      <w:r>
        <w:rPr>
          <w:rFonts w:hint="eastAsia" w:ascii="宋体" w:hAnsi="宋体"/>
          <w:szCs w:val="21"/>
        </w:rPr>
        <w:t xml:space="preserve">1.</w:t>
      </w:r>
      <w:r>
        <w:rPr>
          <w:rFonts w:hint="eastAsia" w:ascii="宋体" w:hAnsi="宋体"/>
          <w:szCs w:val="21"/>
        </w:rPr>
        <w:t xml:space="preserve">乙方</w:t>
      </w:r>
      <w:r>
        <w:rPr>
          <w:rFonts w:ascii="宋体" w:hAnsi="宋体"/>
          <w:szCs w:val="21"/>
        </w:rPr>
        <w:t xml:space="preserve">确认</w:t>
      </w:r>
      <w:r>
        <w:rPr>
          <w:rFonts w:hint="eastAsia" w:ascii="宋体" w:hAnsi="宋体"/>
          <w:szCs w:val="21"/>
        </w:rPr>
        <w:t xml:space="preserve">甲方向</w:t>
      </w:r>
      <w:r>
        <w:rPr>
          <w:rFonts w:hint="eastAsia" w:ascii="宋体" w:hAnsi="宋体"/>
          <w:szCs w:val="21"/>
        </w:rPr>
        <w:t xml:space="preserve">乙方</w:t>
      </w:r>
      <w:r>
        <w:rPr>
          <w:rFonts w:hint="eastAsia" w:ascii="宋体" w:hAnsi="宋体"/>
          <w:szCs w:val="21"/>
        </w:rPr>
        <w:t xml:space="preserve">如下银行账户</w:t>
      </w:r>
      <w:r>
        <w:rPr>
          <w:rFonts w:hint="eastAsia" w:ascii="宋体" w:hAnsi="宋体"/>
          <w:szCs w:val="21"/>
        </w:rPr>
        <w:t xml:space="preserve">转账支付</w:t>
      </w:r>
      <w:r>
        <w:rPr>
          <w:rFonts w:hint="eastAsia" w:ascii="宋体" w:hAnsi="宋体"/>
          <w:szCs w:val="21"/>
        </w:rPr>
        <w:t xml:space="preserve">款项:</w:t>
      </w:r>
      <w:r>
        <w:rPr>
          <w:rFonts w:hint="eastAsia" w:ascii="宋体" w:hAnsi="宋体"/>
          <w:szCs w:val="21"/>
        </w:rPr>
      </w:r>
      <w:r/>
    </w:p>
    <w:p>
      <w:pPr>
        <w:pStyle w:val="967"/>
        <w:spacing w:line="520" w:lineRule="exact"/>
        <w:rPr>
          <w:rFonts w:hint="eastAsia" w:ascii="宋体" w:hAnsi="宋体"/>
          <w:szCs w:val="21"/>
        </w:rPr>
      </w:pPr>
      <w:r>
        <w:rPr>
          <w:rFonts w:hint="eastAsia" w:ascii="宋体" w:hAnsi="宋体"/>
          <w:szCs w:val="21"/>
        </w:rPr>
        <w:t xml:space="preserve">乙方开户名称：            </w:t>
      </w:r>
      <w:r/>
    </w:p>
    <w:p>
      <w:pPr>
        <w:pStyle w:val="967"/>
        <w:spacing w:line="520" w:lineRule="exact"/>
        <w:rPr>
          <w:rFonts w:hint="eastAsia" w:ascii="宋体" w:hAnsi="宋体"/>
          <w:szCs w:val="21"/>
        </w:rPr>
      </w:pPr>
      <w:r>
        <w:rPr>
          <w:rFonts w:hint="eastAsia" w:ascii="宋体" w:hAnsi="宋体"/>
          <w:szCs w:val="21"/>
        </w:rPr>
        <w:t xml:space="preserve">开户银行：                </w:t>
      </w:r>
      <w:r/>
    </w:p>
    <w:p>
      <w:pPr>
        <w:pStyle w:val="967"/>
        <w:spacing w:line="520" w:lineRule="exact"/>
        <w:rPr>
          <w:rFonts w:hint="eastAsia" w:ascii="宋体" w:hAnsi="宋体"/>
          <w:szCs w:val="21"/>
        </w:rPr>
      </w:pPr>
      <w:r>
        <w:rPr>
          <w:rFonts w:hint="eastAsia" w:ascii="宋体" w:hAnsi="宋体"/>
          <w:szCs w:val="21"/>
        </w:rPr>
        <w:t xml:space="preserve">银行账号：                </w:t>
      </w:r>
      <w:r/>
    </w:p>
    <w:p>
      <w:pPr>
        <w:pStyle w:val="967"/>
        <w:spacing w:line="520" w:lineRule="exact"/>
        <w:rPr>
          <w:rFonts w:hint="eastAsia" w:ascii="宋体" w:hAnsi="宋体"/>
          <w:szCs w:val="21"/>
        </w:rPr>
      </w:pPr>
      <w:r>
        <w:rPr>
          <w:rFonts w:hint="eastAsia" w:ascii="宋体" w:hAnsi="宋体"/>
          <w:szCs w:val="21"/>
        </w:rPr>
        <w:t xml:space="preserve">四、合同履行期限、地点</w:t>
      </w:r>
      <w:r/>
    </w:p>
    <w:p>
      <w:pPr>
        <w:pStyle w:val="967"/>
        <w:spacing w:line="520" w:lineRule="exact"/>
        <w:rPr>
          <w:rFonts w:hint="eastAsia" w:ascii="宋体" w:hAnsi="宋体"/>
          <w:szCs w:val="21"/>
        </w:rPr>
      </w:pPr>
      <w:r>
        <w:rPr>
          <w:rFonts w:hint="eastAsia" w:ascii="宋体" w:hAnsi="宋体"/>
          <w:szCs w:val="21"/>
        </w:rPr>
        <w:t xml:space="preserve">1.合同履行期限：</w:t>
      </w:r>
      <w:r/>
    </w:p>
    <w:p>
      <w:pPr>
        <w:pStyle w:val="967"/>
        <w:spacing w:line="520" w:lineRule="exact"/>
        <w:rPr>
          <w:rFonts w:hint="eastAsia" w:ascii="宋体" w:hAnsi="宋体"/>
          <w:szCs w:val="21"/>
        </w:rPr>
      </w:pPr>
      <w:r>
        <w:rPr>
          <w:rFonts w:hint="eastAsia" w:ascii="宋体" w:hAnsi="宋体"/>
          <w:szCs w:val="21"/>
        </w:rPr>
        <w:t xml:space="preserve">A、设备安装：</w:t>
      </w:r>
      <w:r>
        <w:rPr>
          <w:rFonts w:hint="eastAsia" w:ascii="宋体" w:hAnsi="宋体" w:cs="宋体"/>
          <w:b/>
          <w:bCs/>
          <w:color w:val="000000"/>
          <w:szCs w:val="21"/>
        </w:rPr>
        <w:t xml:space="preserve">接到</w:t>
      </w:r>
      <w:r>
        <w:rPr>
          <w:rFonts w:hint="eastAsia" w:ascii="宋体" w:hAnsi="宋体" w:cs="宋体"/>
          <w:b/>
          <w:bCs/>
          <w:color w:val="000000"/>
          <w:szCs w:val="21"/>
        </w:rPr>
        <w:t xml:space="preserve">甲方书面</w:t>
      </w:r>
      <w:r>
        <w:rPr>
          <w:rFonts w:hint="eastAsia" w:ascii="宋体" w:hAnsi="宋体" w:cs="宋体"/>
          <w:b/>
          <w:bCs/>
          <w:color w:val="000000"/>
          <w:szCs w:val="21"/>
        </w:rPr>
        <w:t xml:space="preserve">通知之日起</w:t>
      </w:r>
      <w:r>
        <w:rPr>
          <w:rFonts w:hint="eastAsia" w:ascii="宋体" w:hAnsi="宋体" w:cs="宋体"/>
          <w:b/>
          <w:bCs/>
          <w:color w:val="000000"/>
          <w:szCs w:val="21"/>
          <w:u w:val="single"/>
        </w:rPr>
        <w:t xml:space="preserve">90</w:t>
      </w:r>
      <w:r>
        <w:rPr>
          <w:rFonts w:hint="eastAsia" w:ascii="宋体" w:hAnsi="宋体" w:cs="宋体"/>
          <w:b/>
          <w:bCs/>
          <w:color w:val="000000"/>
          <w:szCs w:val="21"/>
        </w:rPr>
        <w:t xml:space="preserve">日历天完成安装调试</w:t>
      </w:r>
      <w:r>
        <w:rPr>
          <w:rFonts w:hint="eastAsia" w:ascii="宋体" w:hAnsi="宋体" w:cs="宋体"/>
          <w:b/>
          <w:bCs/>
          <w:color w:val="000000"/>
          <w:szCs w:val="21"/>
        </w:rPr>
        <w:t xml:space="preserve">并</w:t>
      </w:r>
      <w:r>
        <w:rPr>
          <w:rFonts w:ascii="宋体" w:hAnsi="宋体" w:cs="宋体"/>
          <w:b/>
          <w:bCs/>
          <w:color w:val="000000"/>
          <w:szCs w:val="21"/>
        </w:rPr>
        <w:t xml:space="preserve">通过</w:t>
      </w:r>
      <w:r>
        <w:rPr>
          <w:rFonts w:hint="eastAsia" w:ascii="宋体" w:hAnsi="宋体" w:cs="宋体"/>
          <w:b/>
          <w:bCs/>
          <w:color w:val="000000"/>
          <w:szCs w:val="21"/>
        </w:rPr>
        <w:t xml:space="preserve">验收</w:t>
      </w:r>
      <w:r>
        <w:rPr>
          <w:rFonts w:hint="eastAsia" w:ascii="宋体" w:hAnsi="宋体" w:cs="宋体"/>
          <w:b/>
          <w:bCs/>
          <w:color w:val="000000"/>
          <w:szCs w:val="21"/>
        </w:rPr>
        <w:t xml:space="preserve">。</w:t>
      </w:r>
      <w:r>
        <w:rPr>
          <w:rFonts w:hint="eastAsia" w:ascii="宋体" w:hAnsi="宋体"/>
          <w:szCs w:val="21"/>
        </w:rPr>
      </w:r>
      <w:r/>
    </w:p>
    <w:p>
      <w:pPr>
        <w:pStyle w:val="967"/>
        <w:spacing w:line="520" w:lineRule="exact"/>
        <w:rPr>
          <w:rFonts w:hint="eastAsia" w:ascii="宋体" w:hAnsi="宋体"/>
          <w:b/>
          <w:szCs w:val="21"/>
        </w:rPr>
      </w:pPr>
      <w:r>
        <w:rPr>
          <w:rFonts w:hint="eastAsia" w:ascii="宋体" w:hAnsi="宋体"/>
          <w:szCs w:val="21"/>
        </w:rPr>
        <w:t xml:space="preserve">B、运维期：</w:t>
      </w:r>
      <w:r>
        <w:rPr>
          <w:rFonts w:hint="eastAsia" w:ascii="宋体" w:hAnsi="宋体" w:cs="宋体"/>
          <w:b/>
          <w:bCs/>
          <w:color w:val="000000"/>
          <w:szCs w:val="21"/>
        </w:rPr>
        <w:t xml:space="preserve">租赁设备安装到位、</w:t>
      </w:r>
      <w:r>
        <w:rPr>
          <w:rFonts w:hint="eastAsia" w:ascii="宋体" w:hAnsi="宋体" w:cs="宋体"/>
          <w:b/>
          <w:bCs/>
          <w:color w:val="000000"/>
          <w:szCs w:val="21"/>
        </w:rPr>
        <w:t xml:space="preserve">通过</w:t>
      </w:r>
      <w:r>
        <w:rPr>
          <w:rFonts w:ascii="宋体" w:hAnsi="宋体" w:cs="宋体"/>
          <w:b/>
          <w:bCs/>
          <w:color w:val="000000"/>
          <w:szCs w:val="21"/>
        </w:rPr>
        <w:t xml:space="preserve">验收</w:t>
      </w:r>
      <w:r>
        <w:rPr>
          <w:rFonts w:hint="eastAsia" w:ascii="宋体" w:hAnsi="宋体" w:cs="宋体"/>
          <w:b/>
          <w:bCs/>
          <w:color w:val="000000"/>
          <w:szCs w:val="21"/>
        </w:rPr>
        <w:t xml:space="preserve">、</w:t>
      </w:r>
      <w:r>
        <w:rPr>
          <w:rFonts w:hint="eastAsia" w:ascii="宋体" w:hAnsi="宋体" w:cs="宋体"/>
          <w:b/>
          <w:bCs/>
          <w:color w:val="000000"/>
          <w:szCs w:val="21"/>
        </w:rPr>
        <w:t xml:space="preserve">医院正式运营后</w:t>
      </w:r>
      <w:r>
        <w:rPr>
          <w:rFonts w:hint="eastAsia" w:ascii="宋体" w:hAnsi="宋体" w:cs="宋体"/>
          <w:b/>
          <w:bCs/>
          <w:color w:val="000000"/>
          <w:szCs w:val="21"/>
          <w:u w:val="single"/>
        </w:rPr>
        <w:t xml:space="preserve">3</w:t>
      </w:r>
      <w:r>
        <w:rPr>
          <w:rFonts w:hint="eastAsia" w:ascii="宋体" w:hAnsi="宋体" w:cs="宋体"/>
          <w:b/>
          <w:bCs/>
          <w:color w:val="000000"/>
          <w:szCs w:val="21"/>
        </w:rPr>
        <w:t xml:space="preserve">年。</w:t>
      </w:r>
      <w:r>
        <w:rPr>
          <w:rFonts w:hint="eastAsia" w:ascii="宋体" w:hAnsi="宋体"/>
          <w:b/>
          <w:szCs w:val="21"/>
        </w:rPr>
        <w:t xml:space="preserve">自   年   月    日起至    年   月   日止。</w:t>
      </w:r>
      <w:r/>
    </w:p>
    <w:p>
      <w:pPr>
        <w:pStyle w:val="967"/>
        <w:spacing w:line="520" w:lineRule="exact"/>
        <w:rPr>
          <w:rFonts w:hint="eastAsia" w:ascii="宋体" w:hAnsi="宋体"/>
          <w:szCs w:val="21"/>
        </w:rPr>
      </w:pPr>
      <w:r>
        <w:rPr>
          <w:rFonts w:hint="eastAsia" w:ascii="宋体" w:hAnsi="宋体"/>
          <w:szCs w:val="21"/>
        </w:rPr>
        <w:t xml:space="preserve">2.服务地点：甲方指定地点。</w:t>
      </w:r>
      <w:r/>
    </w:p>
    <w:p>
      <w:pPr>
        <w:pStyle w:val="967"/>
        <w:spacing w:line="520" w:lineRule="exact"/>
        <w:rPr>
          <w:rFonts w:hint="eastAsia" w:ascii="宋体" w:hAnsi="宋体"/>
          <w:szCs w:val="21"/>
        </w:rPr>
      </w:pPr>
      <w:r>
        <w:rPr>
          <w:rFonts w:hint="eastAsia" w:ascii="宋体" w:hAnsi="宋体"/>
          <w:szCs w:val="21"/>
        </w:rPr>
        <w:t xml:space="preserve">五、标的物的一般条款</w:t>
      </w:r>
      <w:r/>
    </w:p>
    <w:p>
      <w:pPr>
        <w:pStyle w:val="967"/>
        <w:spacing w:line="520" w:lineRule="exact"/>
        <w:rPr>
          <w:rFonts w:hint="eastAsia" w:ascii="宋体" w:hAnsi="宋体"/>
          <w:szCs w:val="21"/>
        </w:rPr>
      </w:pPr>
      <w:r>
        <w:rPr>
          <w:rFonts w:hint="eastAsia" w:ascii="宋体" w:hAnsi="宋体"/>
          <w:szCs w:val="21"/>
        </w:rPr>
        <w:t xml:space="preserve">1.完整物权</w:t>
      </w:r>
      <w:r/>
    </w:p>
    <w:p>
      <w:pPr>
        <w:pStyle w:val="967"/>
        <w:spacing w:line="520" w:lineRule="exact"/>
        <w:rPr>
          <w:rFonts w:hint="eastAsia" w:ascii="宋体" w:hAnsi="宋体"/>
          <w:szCs w:val="21"/>
        </w:rPr>
      </w:pPr>
      <w:r>
        <w:rPr>
          <w:rFonts w:hint="eastAsia" w:ascii="宋体" w:hAnsi="宋体"/>
          <w:szCs w:val="21"/>
        </w:rPr>
        <w:t xml:space="preserve">    乙方应能保证所提供相关服务及备品的知识产权和所提供技术资料是合法取得，并享有完整的知识产权，不会因为甲方的使用而被责令停止使用、追偿或要求赔偿损失，如出现此情况，一切经济和法律责任均由</w:t>
      </w:r>
      <w:r>
        <w:rPr>
          <w:rFonts w:hint="eastAsia" w:ascii="宋体" w:hAnsi="宋体"/>
          <w:szCs w:val="21"/>
        </w:rPr>
        <w:t xml:space="preserve">乙</w:t>
      </w:r>
      <w:r>
        <w:rPr>
          <w:rFonts w:hint="eastAsia" w:ascii="宋体" w:hAnsi="宋体"/>
          <w:szCs w:val="21"/>
        </w:rPr>
        <w:t xml:space="preserve">方承担，由此给</w:t>
      </w:r>
      <w:r>
        <w:rPr>
          <w:rFonts w:ascii="宋体" w:hAnsi="宋体"/>
          <w:szCs w:val="21"/>
        </w:rPr>
        <w:t xml:space="preserve">甲方</w:t>
      </w:r>
      <w:r>
        <w:rPr>
          <w:rFonts w:hint="eastAsia" w:ascii="宋体" w:hAnsi="宋体"/>
          <w:szCs w:val="21"/>
        </w:rPr>
        <w:t xml:space="preserve">造成的</w:t>
      </w:r>
      <w:r>
        <w:rPr>
          <w:rFonts w:ascii="宋体" w:hAnsi="宋体"/>
          <w:szCs w:val="21"/>
        </w:rPr>
        <w:t xml:space="preserve">全部损失</w:t>
      </w:r>
      <w:r>
        <w:rPr>
          <w:rFonts w:hint="eastAsia" w:ascii="宋体" w:hAnsi="宋体"/>
          <w:szCs w:val="21"/>
        </w:rPr>
        <w:t xml:space="preserve">（包括</w:t>
      </w:r>
      <w:r>
        <w:rPr>
          <w:rFonts w:ascii="宋体" w:hAnsi="宋体"/>
          <w:szCs w:val="21"/>
        </w:rPr>
        <w:t xml:space="preserve">但不限于</w:t>
      </w:r>
      <w:r>
        <w:rPr>
          <w:rFonts w:hint="eastAsia" w:ascii="宋体" w:hAnsi="宋体"/>
          <w:szCs w:val="21"/>
        </w:rPr>
        <w:t xml:space="preserve">赔偿款</w:t>
      </w:r>
      <w:r>
        <w:rPr>
          <w:rFonts w:ascii="宋体" w:hAnsi="宋体"/>
          <w:szCs w:val="21"/>
        </w:rPr>
        <w:t xml:space="preserve">、</w:t>
      </w:r>
      <w:r>
        <w:rPr>
          <w:rFonts w:hint="eastAsia" w:ascii="宋体" w:hAnsi="宋体"/>
          <w:szCs w:val="21"/>
        </w:rPr>
        <w:t xml:space="preserve">诉讼费</w:t>
      </w:r>
      <w:r>
        <w:rPr>
          <w:rFonts w:ascii="宋体" w:hAnsi="宋体"/>
          <w:szCs w:val="21"/>
        </w:rPr>
        <w:t xml:space="preserve">、</w:t>
      </w:r>
      <w:r>
        <w:rPr>
          <w:rFonts w:hint="eastAsia" w:ascii="宋体" w:hAnsi="宋体"/>
          <w:szCs w:val="21"/>
        </w:rPr>
        <w:t xml:space="preserve">保全费、财产</w:t>
      </w:r>
      <w:r>
        <w:rPr>
          <w:rFonts w:ascii="宋体" w:hAnsi="宋体"/>
          <w:szCs w:val="21"/>
        </w:rPr>
        <w:t xml:space="preserve">保全</w:t>
      </w:r>
      <w:r>
        <w:rPr>
          <w:rFonts w:hint="eastAsia" w:ascii="宋体" w:hAnsi="宋体"/>
          <w:szCs w:val="21"/>
        </w:rPr>
        <w:t xml:space="preserve">担保费、</w:t>
      </w:r>
      <w:r>
        <w:rPr>
          <w:rFonts w:ascii="宋体" w:hAnsi="宋体"/>
          <w:szCs w:val="21"/>
        </w:rPr>
        <w:t xml:space="preserve">律师费等）</w:t>
      </w:r>
      <w:r>
        <w:rPr>
          <w:rFonts w:hint="eastAsia" w:ascii="宋体" w:hAnsi="宋体"/>
          <w:szCs w:val="21"/>
        </w:rPr>
        <w:t xml:space="preserve">也由乙方</w:t>
      </w:r>
      <w:r>
        <w:rPr>
          <w:rFonts w:ascii="宋体" w:hAnsi="宋体"/>
          <w:szCs w:val="21"/>
        </w:rPr>
        <w:t xml:space="preserve">承担</w:t>
      </w:r>
      <w:r>
        <w:rPr>
          <w:rFonts w:hint="eastAsia" w:ascii="宋体" w:hAnsi="宋体"/>
          <w:szCs w:val="21"/>
        </w:rPr>
        <w:t xml:space="preserve">。</w:t>
      </w:r>
      <w:r/>
    </w:p>
    <w:p>
      <w:pPr>
        <w:pStyle w:val="967"/>
        <w:spacing w:line="520" w:lineRule="exact"/>
        <w:rPr>
          <w:rFonts w:hint="eastAsia" w:ascii="宋体" w:hAnsi="宋体"/>
          <w:szCs w:val="21"/>
        </w:rPr>
      </w:pPr>
      <w:r>
        <w:rPr>
          <w:rFonts w:hint="eastAsia" w:ascii="宋体" w:hAnsi="宋体"/>
          <w:szCs w:val="21"/>
        </w:rPr>
        <w:t xml:space="preserve">2.对服务提出异议的时间和办法</w:t>
      </w:r>
      <w:r/>
    </w:p>
    <w:p>
      <w:pPr>
        <w:pStyle w:val="967"/>
        <w:spacing w:line="520" w:lineRule="exact"/>
        <w:rPr>
          <w:rFonts w:hint="eastAsia" w:ascii="宋体" w:hAnsi="宋体"/>
          <w:szCs w:val="21"/>
        </w:rPr>
      </w:pPr>
      <w:r>
        <w:rPr>
          <w:rFonts w:hint="eastAsia" w:ascii="宋体" w:hAnsi="宋体"/>
          <w:szCs w:val="21"/>
        </w:rPr>
        <w:t xml:space="preserve">2.1甲方在验收过程中，应当于双方约定的检验期间内将服务不符合约定的情形及处理方式以书面形式通知乙方。</w:t>
      </w:r>
      <w:r/>
    </w:p>
    <w:p>
      <w:pPr>
        <w:pStyle w:val="967"/>
        <w:spacing w:line="520" w:lineRule="exact"/>
        <w:rPr>
          <w:rFonts w:hint="eastAsia" w:ascii="宋体" w:hAnsi="宋体"/>
          <w:szCs w:val="21"/>
        </w:rPr>
      </w:pPr>
      <w:r>
        <w:rPr>
          <w:rFonts w:hint="eastAsia" w:ascii="宋体" w:hAnsi="宋体"/>
          <w:szCs w:val="21"/>
        </w:rPr>
        <w:t xml:space="preserve">2.2 乙方应在收到甲方书面异议后七天内负责处理问题，否则将视为默认甲方提出的异议和处理意见。</w:t>
      </w:r>
      <w:r/>
    </w:p>
    <w:p>
      <w:pPr>
        <w:pStyle w:val="967"/>
        <w:spacing w:line="520" w:lineRule="exact"/>
        <w:rPr>
          <w:rFonts w:hint="eastAsia" w:ascii="宋体" w:hAnsi="宋体"/>
          <w:szCs w:val="21"/>
        </w:rPr>
      </w:pPr>
      <w:r>
        <w:rPr>
          <w:rFonts w:hint="eastAsia" w:ascii="宋体" w:hAnsi="宋体"/>
          <w:szCs w:val="21"/>
        </w:rPr>
        <w:t xml:space="preserve">3.伴随服务</w:t>
      </w:r>
      <w:r/>
    </w:p>
    <w:p>
      <w:pPr>
        <w:pStyle w:val="967"/>
        <w:spacing w:line="520" w:lineRule="exact"/>
        <w:rPr>
          <w:rFonts w:hint="eastAsia" w:ascii="宋体" w:hAnsi="宋体"/>
          <w:szCs w:val="21"/>
        </w:rPr>
      </w:pPr>
      <w:r>
        <w:rPr>
          <w:rFonts w:hint="eastAsia" w:ascii="宋体" w:hAnsi="宋体"/>
          <w:szCs w:val="21"/>
        </w:rPr>
        <w:t xml:space="preserve">3.1乙方除应履行按期按量交付合格标的物的义务之外，还应提供下列服务。</w:t>
      </w:r>
      <w:r/>
    </w:p>
    <w:p>
      <w:pPr>
        <w:pStyle w:val="967"/>
        <w:spacing w:line="520" w:lineRule="exact"/>
        <w:rPr>
          <w:rFonts w:hint="eastAsia" w:ascii="宋体" w:hAnsi="宋体"/>
          <w:szCs w:val="21"/>
        </w:rPr>
      </w:pPr>
      <w:r>
        <w:rPr>
          <w:rFonts w:hint="eastAsia" w:ascii="宋体" w:hAnsi="宋体"/>
          <w:szCs w:val="21"/>
        </w:rPr>
        <w:t xml:space="preserve">3.1.1标的物的现场安装、启动、调试、运行。</w:t>
      </w:r>
      <w:r/>
    </w:p>
    <w:p>
      <w:pPr>
        <w:pStyle w:val="967"/>
        <w:spacing w:line="520" w:lineRule="exact"/>
        <w:rPr>
          <w:rFonts w:hint="eastAsia" w:ascii="宋体" w:hAnsi="宋体"/>
          <w:szCs w:val="21"/>
        </w:rPr>
      </w:pPr>
      <w:r>
        <w:rPr>
          <w:rFonts w:hint="eastAsia" w:ascii="宋体" w:hAnsi="宋体"/>
          <w:szCs w:val="21"/>
        </w:rPr>
        <w:t xml:space="preserve">3.1.2对甲方技术人员的技术指导或培训。</w:t>
      </w:r>
      <w:r/>
    </w:p>
    <w:p>
      <w:pPr>
        <w:pStyle w:val="967"/>
        <w:spacing w:line="520" w:lineRule="exact"/>
        <w:rPr>
          <w:rFonts w:hint="eastAsia" w:ascii="宋体" w:hAnsi="宋体"/>
          <w:szCs w:val="21"/>
        </w:rPr>
      </w:pPr>
      <w:r>
        <w:rPr>
          <w:rFonts w:hint="eastAsia" w:ascii="宋体" w:hAnsi="宋体"/>
          <w:szCs w:val="21"/>
        </w:rPr>
        <w:t xml:space="preserve">3.2除合同另有规定之外，伴随服务的费用均已含在合同价款中，甲方不再另行支付。</w:t>
      </w:r>
      <w:r/>
    </w:p>
    <w:p>
      <w:pPr>
        <w:pStyle w:val="967"/>
        <w:spacing w:line="520" w:lineRule="exact"/>
        <w:rPr>
          <w:rFonts w:hint="eastAsia" w:ascii="宋体" w:hAnsi="宋体"/>
          <w:szCs w:val="21"/>
        </w:rPr>
      </w:pPr>
      <w:r>
        <w:rPr>
          <w:rFonts w:hint="eastAsia" w:ascii="宋体" w:hAnsi="宋体"/>
          <w:szCs w:val="21"/>
        </w:rPr>
        <w:t xml:space="preserve">六、维保服务要求：</w:t>
      </w:r>
      <w:r/>
    </w:p>
    <w:p>
      <w:pPr>
        <w:pStyle w:val="967"/>
        <w:spacing w:line="520" w:lineRule="exact"/>
        <w:rPr>
          <w:rFonts w:hint="eastAsia" w:ascii="宋体" w:hAnsi="宋体"/>
          <w:color w:val="ff0000"/>
          <w:szCs w:val="21"/>
        </w:rPr>
      </w:pPr>
      <w:r>
        <w:rPr>
          <w:rFonts w:hint="eastAsia" w:ascii="宋体" w:hAnsi="宋体"/>
          <w:color w:val="000000"/>
          <w:szCs w:val="21"/>
        </w:rPr>
        <w:t xml:space="preserve">（一）维保要求：</w:t>
      </w:r>
      <w:r>
        <w:rPr>
          <w:rFonts w:hint="eastAsia" w:ascii="宋体" w:hAnsi="宋体"/>
          <w:color w:val="ff0000"/>
          <w:szCs w:val="21"/>
        </w:rPr>
      </w:r>
      <w:r/>
    </w:p>
    <w:p>
      <w:pPr>
        <w:pStyle w:val="967"/>
        <w:spacing w:line="520" w:lineRule="exact"/>
        <w:rPr>
          <w:rFonts w:hint="eastAsia" w:ascii="宋体" w:hAnsi="宋体"/>
          <w:szCs w:val="21"/>
        </w:rPr>
      </w:pPr>
      <w:r>
        <w:rPr>
          <w:rFonts w:hint="eastAsia" w:ascii="宋体" w:hAnsi="宋体"/>
          <w:szCs w:val="21"/>
        </w:rPr>
        <w:t xml:space="preserve">1.污水站设备日常巡检、定期保养、日常运行所需的耗材、消毒药剂、检测试剂、在线监测平台的使用及零备件更换、医院排污许可证及卫监部门要求的检测服务、软件升级及管理服务，确保医院污水合格排放，并做好相关运维台帐。</w:t>
      </w:r>
      <w:r/>
    </w:p>
    <w:p>
      <w:pPr>
        <w:pStyle w:val="967"/>
        <w:spacing w:line="520" w:lineRule="exact"/>
        <w:rPr>
          <w:rFonts w:hint="eastAsia" w:ascii="宋体" w:hAnsi="宋体"/>
          <w:szCs w:val="21"/>
        </w:rPr>
      </w:pPr>
      <w:r>
        <w:rPr>
          <w:rFonts w:hint="eastAsia" w:ascii="宋体" w:hAnsi="宋体"/>
          <w:szCs w:val="21"/>
        </w:rPr>
        <w:t xml:space="preserve">2.乙方安排专业维保人员负责医院污水处理站设备运维工作。为保证服务及时性，中标单位至少有4名以上苏州地区服务人员，并具备相关技能证书。</w:t>
      </w:r>
      <w:r/>
    </w:p>
    <w:p>
      <w:pPr>
        <w:pStyle w:val="967"/>
        <w:spacing w:line="520" w:lineRule="exact"/>
        <w:rPr>
          <w:rFonts w:ascii="宋体" w:hAnsi="宋体"/>
          <w:szCs w:val="21"/>
        </w:rPr>
      </w:pPr>
      <w:r>
        <w:rPr>
          <w:rFonts w:hint="eastAsia" w:ascii="宋体" w:hAnsi="宋体"/>
          <w:szCs w:val="21"/>
        </w:rPr>
        <w:t xml:space="preserve">3.维护人员的工时费、差旅费等全部支出和费用均已包含在合同价款内，甲方无需另行支付。</w:t>
      </w:r>
      <w:r>
        <w:rPr>
          <w:rFonts w:ascii="宋体" w:hAnsi="宋体"/>
          <w:szCs w:val="21"/>
        </w:rPr>
      </w:r>
      <w:r/>
    </w:p>
    <w:p>
      <w:pPr>
        <w:pStyle w:val="967"/>
        <w:spacing w:line="520" w:lineRule="exact"/>
        <w:rPr>
          <w:rFonts w:hint="eastAsia" w:ascii="宋体" w:hAnsi="宋体"/>
          <w:szCs w:val="21"/>
        </w:rPr>
      </w:pPr>
      <w:r>
        <w:rPr>
          <w:rFonts w:hint="eastAsia" w:ascii="宋体" w:hAnsi="宋体"/>
          <w:szCs w:val="21"/>
        </w:rPr>
        <w:t xml:space="preserve">4.</w:t>
      </w:r>
      <w:r>
        <w:rPr>
          <w:rFonts w:hint="eastAsia"/>
        </w:rPr>
        <w:t xml:space="preserve"> </w:t>
      </w:r>
      <w:r>
        <w:rPr>
          <w:rFonts w:hint="eastAsia" w:ascii="宋体" w:hAnsi="宋体"/>
          <w:szCs w:val="21"/>
        </w:rPr>
        <w:t xml:space="preserve">乙方须在收到甲方维保通知后3小时内派人至现场进行处理，并在12小时内完成维保，否则，每逾期1小时，乙方须向甲方支付违约金500元，逾期超过24小时的，甲方有权委托第三方进行处理，由此产生的费用全部由乙方承担。</w:t>
      </w:r>
      <w:r>
        <w:rPr>
          <w:rFonts w:hint="eastAsia" w:ascii="宋体" w:hAnsi="宋体"/>
          <w:szCs w:val="21"/>
        </w:rPr>
      </w:r>
      <w:r/>
    </w:p>
    <w:p>
      <w:pPr>
        <w:pStyle w:val="967"/>
        <w:spacing w:line="520" w:lineRule="exact"/>
        <w:rPr>
          <w:rFonts w:hint="eastAsia" w:ascii="宋体" w:hAnsi="宋体"/>
          <w:szCs w:val="21"/>
        </w:rPr>
      </w:pPr>
      <w:r>
        <w:rPr>
          <w:rFonts w:hint="eastAsia" w:ascii="宋体" w:hAnsi="宋体"/>
          <w:szCs w:val="21"/>
        </w:rPr>
        <w:t xml:space="preserve">（二）服务范围：</w:t>
      </w:r>
      <w:r/>
    </w:p>
    <w:p>
      <w:pPr>
        <w:pStyle w:val="967"/>
        <w:spacing w:line="520" w:lineRule="exact"/>
        <w:rPr>
          <w:rFonts w:hint="eastAsia" w:ascii="宋体" w:hAnsi="宋体"/>
          <w:szCs w:val="21"/>
        </w:rPr>
      </w:pPr>
      <w:r>
        <w:rPr>
          <w:rFonts w:hint="eastAsia" w:ascii="宋体" w:hAnsi="宋体"/>
          <w:szCs w:val="21"/>
        </w:rPr>
        <w:t xml:space="preserve">1、污水处理站设施操作及管理工作。</w:t>
      </w:r>
      <w:r/>
    </w:p>
    <w:p>
      <w:pPr>
        <w:pStyle w:val="967"/>
        <w:spacing w:line="520" w:lineRule="exact"/>
        <w:rPr>
          <w:rFonts w:hint="eastAsia" w:ascii="宋体" w:hAnsi="宋体"/>
          <w:szCs w:val="21"/>
        </w:rPr>
      </w:pPr>
      <w:r>
        <w:rPr>
          <w:rFonts w:hint="eastAsia" w:ascii="宋体" w:hAnsi="宋体"/>
          <w:szCs w:val="21"/>
        </w:rPr>
        <w:t xml:space="preserve">2、污水处理设备日常加药工作。</w:t>
      </w:r>
      <w:r/>
    </w:p>
    <w:p>
      <w:pPr>
        <w:pStyle w:val="967"/>
        <w:spacing w:line="520" w:lineRule="exact"/>
        <w:rPr>
          <w:rFonts w:hint="eastAsia" w:ascii="宋体" w:hAnsi="宋体"/>
          <w:szCs w:val="21"/>
        </w:rPr>
      </w:pPr>
      <w:r>
        <w:rPr>
          <w:rFonts w:hint="eastAsia" w:ascii="宋体" w:hAnsi="宋体"/>
          <w:szCs w:val="21"/>
        </w:rPr>
        <w:t xml:space="preserve">3、污水处理站的设备日常保养及维护工作。</w:t>
      </w:r>
      <w:r/>
    </w:p>
    <w:p>
      <w:pPr>
        <w:pStyle w:val="967"/>
        <w:spacing w:line="520" w:lineRule="exact"/>
        <w:rPr>
          <w:rFonts w:hint="eastAsia" w:ascii="宋体" w:hAnsi="宋体"/>
          <w:szCs w:val="21"/>
        </w:rPr>
      </w:pPr>
      <w:r>
        <w:rPr>
          <w:rFonts w:hint="eastAsia" w:ascii="宋体" w:hAnsi="宋体"/>
          <w:szCs w:val="21"/>
        </w:rPr>
        <w:t xml:space="preserve">4、污水处理设备维修及产生的一切费用。</w:t>
      </w:r>
      <w:r/>
    </w:p>
    <w:p>
      <w:pPr>
        <w:pStyle w:val="967"/>
        <w:spacing w:line="520" w:lineRule="exact"/>
        <w:rPr>
          <w:rFonts w:hint="eastAsia" w:ascii="宋体" w:hAnsi="宋体"/>
          <w:szCs w:val="21"/>
        </w:rPr>
      </w:pPr>
      <w:r>
        <w:rPr>
          <w:rFonts w:hint="eastAsia" w:ascii="宋体" w:hAnsi="宋体"/>
          <w:szCs w:val="21"/>
        </w:rPr>
        <w:t xml:space="preserve">5、监测平台管理、软件维护升级及监测工作。</w:t>
      </w:r>
      <w:r/>
    </w:p>
    <w:p>
      <w:pPr>
        <w:pStyle w:val="967"/>
        <w:spacing w:line="520" w:lineRule="exact"/>
        <w:rPr>
          <w:rFonts w:hint="eastAsia" w:ascii="宋体" w:hAnsi="宋体"/>
          <w:szCs w:val="21"/>
        </w:rPr>
      </w:pPr>
      <w:r>
        <w:rPr>
          <w:rFonts w:hint="eastAsia" w:ascii="宋体" w:hAnsi="宋体"/>
          <w:szCs w:val="21"/>
        </w:rPr>
        <w:t xml:space="preserve">6、相关部门要求的检测工作。</w:t>
      </w:r>
      <w:r/>
    </w:p>
    <w:p>
      <w:pPr>
        <w:pStyle w:val="967"/>
        <w:spacing w:line="520" w:lineRule="exact"/>
        <w:rPr>
          <w:rFonts w:hint="eastAsia" w:ascii="宋体" w:hAnsi="宋体"/>
          <w:szCs w:val="21"/>
        </w:rPr>
      </w:pPr>
      <w:r>
        <w:rPr>
          <w:rFonts w:hint="eastAsia" w:ascii="宋体" w:hAnsi="宋体"/>
          <w:szCs w:val="21"/>
        </w:rPr>
        <w:t xml:space="preserve">7、提供污水站运行过程中需要的耗材、备品备件、消毒药剂、检测试剂。</w:t>
      </w:r>
      <w:r/>
    </w:p>
    <w:p>
      <w:pPr>
        <w:pStyle w:val="967"/>
        <w:spacing w:line="520" w:lineRule="exact"/>
        <w:rPr>
          <w:rFonts w:hint="eastAsia" w:ascii="宋体" w:hAnsi="宋体"/>
          <w:szCs w:val="21"/>
        </w:rPr>
      </w:pPr>
      <w:r>
        <w:rPr>
          <w:rFonts w:hint="eastAsia" w:ascii="宋体" w:hAnsi="宋体"/>
          <w:szCs w:val="21"/>
        </w:rPr>
        <w:t xml:space="preserve">（三）其他要求：</w:t>
      </w:r>
      <w:r/>
    </w:p>
    <w:p>
      <w:pPr>
        <w:pStyle w:val="967"/>
        <w:spacing w:line="520" w:lineRule="exact"/>
        <w:rPr>
          <w:rFonts w:ascii="宋体" w:hAnsi="宋体"/>
          <w:szCs w:val="21"/>
        </w:rPr>
      </w:pPr>
      <w:r>
        <w:rPr>
          <w:rFonts w:hint="eastAsia" w:ascii="宋体" w:hAnsi="宋体"/>
          <w:szCs w:val="21"/>
        </w:rPr>
        <w:t xml:space="preserve">1、乙方负责员工的安全教育培训工作，所有人员在甲方场所作业必须按照有关规定进行安全培训后方可上岗。</w:t>
      </w:r>
      <w:r>
        <w:rPr>
          <w:rFonts w:ascii="宋体" w:hAnsi="宋体"/>
          <w:szCs w:val="21"/>
        </w:rPr>
      </w:r>
      <w:r/>
    </w:p>
    <w:p>
      <w:pPr>
        <w:pStyle w:val="967"/>
        <w:spacing w:line="520" w:lineRule="exact"/>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Tahoma"/>
          <w:szCs w:val="21"/>
        </w:rPr>
        <w:t xml:space="preserve"> </w:t>
      </w:r>
      <w:r>
        <w:rPr>
          <w:rFonts w:hint="eastAsia" w:ascii="宋体" w:hAnsi="宋体"/>
          <w:szCs w:val="21"/>
        </w:rPr>
        <w:t xml:space="preserve">乙方应当服从甲方的安全生产管理，乙方不服从管理导致生产安全事故的，由乙方单位承担全部事故责任。</w:t>
      </w:r>
      <w:r>
        <w:rPr>
          <w:rFonts w:ascii="宋体" w:hAnsi="宋体"/>
          <w:szCs w:val="21"/>
        </w:rPr>
      </w:r>
      <w:r/>
    </w:p>
    <w:p>
      <w:pPr>
        <w:pStyle w:val="967"/>
        <w:spacing w:line="520" w:lineRule="exact"/>
        <w:rPr>
          <w:rFonts w:ascii="宋体" w:hAnsi="宋体"/>
          <w:szCs w:val="21"/>
        </w:rPr>
      </w:pPr>
      <w:r>
        <w:rPr>
          <w:rFonts w:ascii="宋体" w:hAnsi="宋体"/>
          <w:szCs w:val="21"/>
        </w:rPr>
        <w:t xml:space="preserve">3</w:t>
      </w:r>
      <w:r>
        <w:rPr>
          <w:rFonts w:hint="eastAsia" w:ascii="宋体" w:hAnsi="宋体"/>
          <w:szCs w:val="21"/>
        </w:rPr>
        <w:t xml:space="preserve">、乙方应对承担的维保项目进行定期和专项安全检查，对查出的安全隐患应立即整改闭环，并做好安全检查回复记录。</w:t>
      </w:r>
      <w:r>
        <w:rPr>
          <w:rFonts w:ascii="宋体" w:hAnsi="宋体"/>
          <w:szCs w:val="21"/>
        </w:rPr>
      </w:r>
      <w:r/>
    </w:p>
    <w:p>
      <w:pPr>
        <w:pStyle w:val="967"/>
        <w:spacing w:line="520" w:lineRule="exact"/>
        <w:rPr>
          <w:rFonts w:ascii="宋体" w:hAnsi="宋体"/>
          <w:szCs w:val="21"/>
        </w:rPr>
      </w:pPr>
      <w:r>
        <w:rPr>
          <w:rFonts w:hint="eastAsia" w:ascii="宋体" w:hAnsi="宋体"/>
          <w:szCs w:val="21"/>
        </w:rPr>
        <w:t xml:space="preserve">七、违约责任</w:t>
      </w:r>
      <w:r>
        <w:rPr>
          <w:rFonts w:ascii="宋体" w:hAnsi="宋体"/>
          <w:szCs w:val="21"/>
        </w:rPr>
      </w:r>
      <w:r/>
    </w:p>
    <w:p>
      <w:pPr>
        <w:pStyle w:val="967"/>
        <w:spacing w:line="520" w:lineRule="exact"/>
        <w:rPr>
          <w:rFonts w:ascii="宋体" w:hAnsi="宋体"/>
          <w:szCs w:val="21"/>
        </w:rPr>
      </w:pPr>
      <w:r>
        <w:rPr>
          <w:rFonts w:hint="eastAsia" w:ascii="宋体" w:hAnsi="宋体"/>
          <w:szCs w:val="21"/>
        </w:rPr>
        <w:t xml:space="preserve">合同一方不履行合同义务或者履行合同义务不符合约定的，应当承担继续履行、采取补救措施或者赔偿损失等违约责任。</w:t>
      </w:r>
      <w:r>
        <w:rPr>
          <w:rFonts w:ascii="宋体" w:hAnsi="宋体"/>
          <w:szCs w:val="21"/>
        </w:rPr>
      </w:r>
      <w:r/>
    </w:p>
    <w:p>
      <w:pPr>
        <w:pStyle w:val="967"/>
        <w:spacing w:line="520" w:lineRule="exact"/>
        <w:rPr>
          <w:rFonts w:ascii="宋体" w:hAnsi="宋体"/>
          <w:szCs w:val="21"/>
        </w:rPr>
      </w:pPr>
      <w:r>
        <w:rPr>
          <w:rFonts w:ascii="宋体" w:hAnsi="宋体"/>
          <w:szCs w:val="21"/>
        </w:rPr>
        <w:t xml:space="preserve">1.</w:t>
      </w:r>
      <w:r>
        <w:rPr>
          <w:rFonts w:hint="eastAsia" w:ascii="宋体" w:hAnsi="宋体"/>
          <w:szCs w:val="21"/>
        </w:rPr>
        <w:t xml:space="preserve">甲方违约责任</w:t>
      </w:r>
      <w:r>
        <w:rPr>
          <w:rFonts w:ascii="宋体" w:hAnsi="宋体"/>
          <w:szCs w:val="21"/>
        </w:rPr>
      </w:r>
      <w:r/>
    </w:p>
    <w:p>
      <w:pPr>
        <w:pStyle w:val="967"/>
        <w:spacing w:line="520" w:lineRule="exact"/>
        <w:rPr>
          <w:rFonts w:ascii="宋体" w:hAnsi="宋体"/>
          <w:szCs w:val="21"/>
        </w:rPr>
      </w:pPr>
      <w:r>
        <w:rPr>
          <w:rFonts w:ascii="宋体" w:hAnsi="宋体"/>
          <w:szCs w:val="21"/>
        </w:rPr>
        <w:t xml:space="preserve">1.1</w:t>
      </w:r>
      <w:r>
        <w:rPr>
          <w:rFonts w:hint="eastAsia" w:ascii="宋体" w:hAnsi="宋体"/>
          <w:szCs w:val="21"/>
        </w:rPr>
        <w:t xml:space="preserve">甲方逾期付款的应按照逾期付款金额的每天万分之</w:t>
      </w:r>
      <w:r>
        <w:rPr>
          <w:rFonts w:hint="eastAsia" w:ascii="宋体" w:hAnsi="宋体"/>
          <w:szCs w:val="21"/>
        </w:rPr>
        <w:t xml:space="preserve">一</w:t>
      </w:r>
      <w:r>
        <w:rPr>
          <w:rFonts w:hint="eastAsia" w:ascii="宋体" w:hAnsi="宋体"/>
          <w:szCs w:val="21"/>
        </w:rPr>
        <w:t xml:space="preserve">支付逾期付款违约金。</w:t>
      </w:r>
      <w:r>
        <w:rPr>
          <w:rFonts w:ascii="宋体" w:hAnsi="宋体"/>
          <w:szCs w:val="21"/>
        </w:rPr>
      </w:r>
      <w:r/>
    </w:p>
    <w:p>
      <w:pPr>
        <w:pStyle w:val="967"/>
        <w:spacing w:line="520" w:lineRule="exact"/>
        <w:rPr>
          <w:rFonts w:hint="eastAsia" w:ascii="宋体" w:hAnsi="宋体"/>
          <w:szCs w:val="21"/>
        </w:rPr>
      </w:pPr>
      <w:r>
        <w:rPr>
          <w:rFonts w:ascii="宋体" w:hAnsi="宋体"/>
          <w:szCs w:val="21"/>
        </w:rPr>
        <w:t xml:space="preserve">1.2</w:t>
      </w:r>
      <w:r>
        <w:rPr>
          <w:rFonts w:hint="eastAsia" w:ascii="宋体" w:hAnsi="宋体"/>
          <w:szCs w:val="21"/>
        </w:rPr>
        <w:t xml:space="preserve">甲方违反合同规定，拒绝接收乙方交付的合格标的物，应当承担乙方由此造成的损失。</w:t>
      </w:r>
      <w:r/>
    </w:p>
    <w:p>
      <w:pPr>
        <w:pStyle w:val="967"/>
        <w:spacing w:line="520" w:lineRule="exact"/>
        <w:rPr>
          <w:rFonts w:hint="eastAsia" w:ascii="宋体" w:hAnsi="宋体"/>
          <w:szCs w:val="21"/>
        </w:rPr>
      </w:pPr>
      <w:r>
        <w:rPr>
          <w:rFonts w:hint="eastAsia" w:ascii="宋体" w:hAnsi="宋体"/>
          <w:szCs w:val="21"/>
        </w:rPr>
        <w:t xml:space="preserve">2.乙方违约责任</w:t>
      </w:r>
      <w:r/>
    </w:p>
    <w:p>
      <w:pPr>
        <w:pStyle w:val="967"/>
        <w:spacing w:line="520" w:lineRule="exact"/>
        <w:rPr>
          <w:rFonts w:hint="eastAsia" w:ascii="宋体" w:hAnsi="宋体"/>
          <w:szCs w:val="21"/>
        </w:rPr>
      </w:pPr>
      <w:r>
        <w:rPr>
          <w:rFonts w:hint="eastAsia" w:ascii="宋体" w:hAnsi="宋体"/>
          <w:szCs w:val="21"/>
        </w:rPr>
        <w:t xml:space="preserve">2.1乙方不能提供服务（逾期超过十五天视为不能提供服务），或提供服务不合格从而影响甲方按期正常使用的，</w:t>
      </w:r>
      <w:r>
        <w:rPr>
          <w:rFonts w:hint="eastAsia" w:ascii="宋体" w:hAnsi="宋体"/>
          <w:szCs w:val="21"/>
        </w:rPr>
        <w:t xml:space="preserve">或者转让合同的，</w:t>
      </w:r>
      <w:r>
        <w:rPr>
          <w:rFonts w:hint="eastAsia" w:ascii="宋体" w:hAnsi="宋体"/>
          <w:szCs w:val="21"/>
        </w:rPr>
        <w:t xml:space="preserve">甲方有权解除合同，乙方向甲方偿付合同总价</w:t>
      </w:r>
      <w:r>
        <w:rPr>
          <w:rFonts w:ascii="宋体" w:hAnsi="宋体"/>
          <w:szCs w:val="21"/>
        </w:rPr>
        <w:t xml:space="preserve">20</w:t>
      </w:r>
      <w:r>
        <w:rPr>
          <w:rFonts w:hint="eastAsia" w:ascii="宋体" w:hAnsi="宋体"/>
          <w:szCs w:val="21"/>
        </w:rPr>
        <w:t xml:space="preserve">%的违约金，违约金不足以补偿损失的甲方有权要求乙方补足。</w:t>
      </w:r>
      <w:r/>
    </w:p>
    <w:p>
      <w:pPr>
        <w:pStyle w:val="967"/>
        <w:spacing w:line="520" w:lineRule="exact"/>
        <w:rPr>
          <w:rFonts w:hint="eastAsia" w:ascii="宋体" w:hAnsi="宋体"/>
          <w:szCs w:val="21"/>
        </w:rPr>
      </w:pPr>
      <w:r>
        <w:rPr>
          <w:rFonts w:hint="eastAsia" w:ascii="宋体" w:hAnsi="宋体"/>
          <w:szCs w:val="21"/>
        </w:rPr>
        <w:t xml:space="preserve">2.2 乙方逾期提供服务的，</w:t>
      </w:r>
      <w:r>
        <w:rPr>
          <w:rFonts w:hint="eastAsia" w:ascii="宋体" w:hAnsi="宋体"/>
          <w:szCs w:val="21"/>
        </w:rPr>
        <w:t xml:space="preserve">每逾期一天</w:t>
      </w:r>
      <w:r>
        <w:rPr>
          <w:rFonts w:hint="eastAsia" w:ascii="宋体" w:hAnsi="宋体"/>
          <w:szCs w:val="21"/>
        </w:rPr>
        <w:t xml:space="preserve">，乙方</w:t>
      </w:r>
      <w:r>
        <w:rPr>
          <w:rFonts w:hint="eastAsia" w:ascii="宋体" w:hAnsi="宋体"/>
          <w:szCs w:val="21"/>
        </w:rPr>
        <w:t xml:space="preserve">须</w:t>
      </w:r>
      <w:r>
        <w:rPr>
          <w:rFonts w:ascii="宋体" w:hAnsi="宋体"/>
          <w:szCs w:val="21"/>
        </w:rPr>
        <w:t xml:space="preserve">向</w:t>
      </w:r>
      <w:r>
        <w:rPr>
          <w:rFonts w:hint="eastAsia" w:ascii="宋体" w:hAnsi="宋体"/>
          <w:szCs w:val="21"/>
        </w:rPr>
        <w:t xml:space="preserve">甲方</w:t>
      </w:r>
      <w:r>
        <w:rPr>
          <w:rFonts w:ascii="宋体" w:hAnsi="宋体"/>
          <w:szCs w:val="21"/>
        </w:rPr>
        <w:t xml:space="preserve">支付</w:t>
      </w:r>
      <w:r>
        <w:rPr>
          <w:rFonts w:hint="eastAsia" w:ascii="宋体" w:hAnsi="宋体"/>
          <w:szCs w:val="21"/>
        </w:rPr>
        <w:t xml:space="preserve">合同1</w:t>
      </w:r>
      <w:r>
        <w:rPr>
          <w:rFonts w:ascii="宋体" w:hAnsi="宋体"/>
          <w:szCs w:val="21"/>
        </w:rPr>
        <w:t xml:space="preserve">%</w:t>
      </w:r>
      <w:r>
        <w:rPr>
          <w:rFonts w:hint="eastAsia" w:ascii="宋体" w:hAnsi="宋体"/>
          <w:szCs w:val="21"/>
        </w:rPr>
        <w:t xml:space="preserve">的违约金，同时承担甲方因此遭致的损失</w:t>
      </w:r>
      <w:r>
        <w:rPr>
          <w:rFonts w:hint="eastAsia" w:ascii="宋体" w:hAnsi="宋体"/>
          <w:szCs w:val="21"/>
        </w:rPr>
        <w:t xml:space="preserve">。</w:t>
      </w:r>
      <w:r/>
    </w:p>
    <w:p>
      <w:pPr>
        <w:pStyle w:val="967"/>
        <w:spacing w:line="520" w:lineRule="exact"/>
        <w:rPr>
          <w:rFonts w:hint="eastAsia" w:ascii="宋体" w:hAnsi="宋体"/>
          <w:szCs w:val="21"/>
        </w:rPr>
      </w:pPr>
      <w:r>
        <w:rPr>
          <w:rFonts w:hint="eastAsia" w:ascii="宋体" w:hAnsi="宋体"/>
          <w:szCs w:val="21"/>
        </w:rPr>
        <w:t xml:space="preserve">八.不可抗力</w:t>
      </w:r>
      <w:r/>
    </w:p>
    <w:p>
      <w:pPr>
        <w:pStyle w:val="967"/>
        <w:spacing w:line="520" w:lineRule="exact"/>
        <w:rPr>
          <w:rFonts w:hint="eastAsia" w:ascii="宋体" w:hAnsi="宋体"/>
          <w:szCs w:val="21"/>
        </w:rPr>
      </w:pPr>
      <w:r>
        <w:rPr>
          <w:rFonts w:hint="eastAsia" w:ascii="宋体" w:hAnsi="宋体"/>
          <w:szCs w:val="21"/>
        </w:rPr>
        <w:t xml:space="preserve">1.因不可抗力不能履行合同的，根据不可抗力的影响，部分或者全部免除责任。但合同一方迟延履行后发生不可抗力的，不能免除责任。</w:t>
      </w:r>
      <w:r/>
    </w:p>
    <w:p>
      <w:pPr>
        <w:pStyle w:val="967"/>
        <w:spacing w:line="520" w:lineRule="exact"/>
        <w:rPr>
          <w:rFonts w:hint="eastAsia"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p>
    <w:p>
      <w:pPr>
        <w:pStyle w:val="967"/>
        <w:spacing w:line="520" w:lineRule="exact"/>
        <w:rPr>
          <w:rFonts w:hint="eastAsia" w:ascii="宋体" w:hAnsi="宋体"/>
          <w:szCs w:val="21"/>
        </w:rPr>
      </w:pPr>
      <w:r>
        <w:rPr>
          <w:rFonts w:hint="eastAsia" w:ascii="宋体" w:hAnsi="宋体"/>
          <w:szCs w:val="21"/>
        </w:rPr>
        <w:t xml:space="preserve">九、合同的解除和转让</w:t>
      </w:r>
      <w:r/>
    </w:p>
    <w:p>
      <w:pPr>
        <w:pStyle w:val="967"/>
        <w:spacing w:line="520" w:lineRule="exact"/>
        <w:rPr>
          <w:rFonts w:hint="eastAsia" w:ascii="宋体" w:hAnsi="宋体"/>
          <w:szCs w:val="21"/>
        </w:rPr>
      </w:pPr>
      <w:r>
        <w:rPr>
          <w:rFonts w:hint="eastAsia" w:ascii="宋体" w:hAnsi="宋体"/>
          <w:szCs w:val="21"/>
        </w:rPr>
        <w:t xml:space="preserve">1.合同的解除</w:t>
      </w:r>
      <w:r/>
    </w:p>
    <w:p>
      <w:pPr>
        <w:pStyle w:val="967"/>
        <w:spacing w:line="520" w:lineRule="exact"/>
        <w:rPr>
          <w:rFonts w:hint="eastAsia" w:ascii="宋体" w:hAnsi="宋体"/>
          <w:szCs w:val="21"/>
        </w:rPr>
      </w:pPr>
      <w:r>
        <w:rPr>
          <w:rFonts w:hint="eastAsia" w:ascii="宋体" w:hAnsi="宋体"/>
          <w:szCs w:val="21"/>
        </w:rPr>
        <w:t xml:space="preserve">1.1甲方和乙方协商一致，可以解除合同。</w:t>
      </w:r>
      <w:r/>
    </w:p>
    <w:p>
      <w:pPr>
        <w:pStyle w:val="967"/>
        <w:spacing w:line="520" w:lineRule="exact"/>
        <w:rPr>
          <w:rFonts w:hint="eastAsia" w:ascii="宋体" w:hAnsi="宋体"/>
          <w:szCs w:val="21"/>
        </w:rPr>
      </w:pPr>
      <w:r>
        <w:rPr>
          <w:rFonts w:hint="eastAsia" w:ascii="宋体" w:hAnsi="宋体"/>
          <w:szCs w:val="21"/>
        </w:rPr>
        <w:t xml:space="preserve">1.2有下列情形之一，合同一方可以解除合同：</w:t>
      </w:r>
      <w:r/>
    </w:p>
    <w:p>
      <w:pPr>
        <w:pStyle w:val="967"/>
        <w:spacing w:line="520" w:lineRule="exact"/>
        <w:rPr>
          <w:rFonts w:hint="eastAsia" w:ascii="宋体" w:hAnsi="宋体"/>
          <w:szCs w:val="21"/>
        </w:rPr>
      </w:pPr>
      <w:r>
        <w:rPr>
          <w:rFonts w:hint="eastAsia" w:ascii="宋体" w:hAnsi="宋体"/>
          <w:szCs w:val="21"/>
        </w:rPr>
        <w:t xml:space="preserve">1.2.1因不可抗力致使不能实现合同目的，未受不可抗力影响的一方有权解除合同。</w:t>
      </w:r>
      <w:r/>
    </w:p>
    <w:p>
      <w:pPr>
        <w:pStyle w:val="967"/>
        <w:spacing w:line="520" w:lineRule="exact"/>
        <w:rPr>
          <w:rFonts w:hint="eastAsia" w:ascii="宋体" w:hAnsi="宋体"/>
          <w:szCs w:val="21"/>
        </w:rPr>
      </w:pPr>
      <w:r>
        <w:rPr>
          <w:rFonts w:hint="eastAsia" w:ascii="宋体" w:hAnsi="宋体"/>
          <w:szCs w:val="21"/>
        </w:rPr>
        <w:t xml:space="preserve">1.2.2因合同一方违约导致合同不能履行，另一方有权解除合同。</w:t>
      </w:r>
      <w:r/>
    </w:p>
    <w:p>
      <w:pPr>
        <w:pStyle w:val="967"/>
        <w:spacing w:line="520" w:lineRule="exact"/>
        <w:rPr>
          <w:rFonts w:hint="eastAsia" w:ascii="宋体" w:hAnsi="宋体"/>
          <w:szCs w:val="21"/>
        </w:rPr>
      </w:pPr>
      <w:r>
        <w:rPr>
          <w:rFonts w:hint="eastAsia" w:ascii="宋体" w:hAnsi="宋体"/>
          <w:szCs w:val="21"/>
        </w:rPr>
        <w:t xml:space="preserve">1.2.3有权解除合同的一方，应当在违约事实或不可抗力发生之后三十天内书面通知对方以主张解除合同，合同在书面通知到达对方时解除。</w:t>
      </w:r>
      <w:r/>
    </w:p>
    <w:p>
      <w:pPr>
        <w:pStyle w:val="967"/>
        <w:spacing w:line="520" w:lineRule="exact"/>
        <w:rPr>
          <w:rFonts w:hint="eastAsia" w:ascii="宋体" w:hAnsi="宋体"/>
          <w:szCs w:val="21"/>
        </w:rPr>
      </w:pPr>
      <w:r>
        <w:rPr>
          <w:rFonts w:hint="eastAsia" w:ascii="宋体" w:hAnsi="宋体"/>
          <w:szCs w:val="21"/>
        </w:rPr>
        <w:t xml:space="preserve">2.合同的转让</w:t>
      </w:r>
      <w:r/>
    </w:p>
    <w:p>
      <w:pPr>
        <w:pStyle w:val="967"/>
        <w:spacing w:line="520" w:lineRule="exact"/>
        <w:rPr>
          <w:rFonts w:hint="eastAsia" w:ascii="宋体" w:hAnsi="宋体"/>
          <w:szCs w:val="21"/>
        </w:rPr>
      </w:pPr>
      <w:r>
        <w:rPr>
          <w:rFonts w:hint="eastAsia" w:ascii="宋体" w:hAnsi="宋体"/>
          <w:szCs w:val="21"/>
        </w:rPr>
        <w:t xml:space="preserve">2.1合同的部分和全部都不得转让。</w:t>
      </w:r>
      <w:r/>
    </w:p>
    <w:p>
      <w:pPr>
        <w:pStyle w:val="967"/>
        <w:spacing w:line="520" w:lineRule="exact"/>
        <w:rPr>
          <w:rFonts w:hint="eastAsia" w:ascii="宋体" w:hAnsi="宋体"/>
          <w:szCs w:val="21"/>
        </w:rPr>
      </w:pPr>
      <w:r>
        <w:rPr>
          <w:rFonts w:hint="eastAsia" w:ascii="宋体" w:hAnsi="宋体"/>
          <w:szCs w:val="21"/>
        </w:rPr>
        <w:t xml:space="preserve">十、合同的生效</w:t>
      </w:r>
      <w:r/>
    </w:p>
    <w:p>
      <w:pPr>
        <w:pStyle w:val="967"/>
        <w:spacing w:line="520" w:lineRule="exact"/>
        <w:rPr>
          <w:rFonts w:hint="eastAsia" w:ascii="宋体" w:hAnsi="宋体"/>
          <w:szCs w:val="21"/>
        </w:rPr>
      </w:pPr>
      <w:r>
        <w:rPr>
          <w:rFonts w:hint="eastAsia" w:ascii="宋体" w:hAnsi="宋体"/>
          <w:szCs w:val="21"/>
        </w:rPr>
        <w:t xml:space="preserve">合同经甲乙双方代表签字并加盖公章可生效。合同须经政府采购管理部门备案。</w:t>
      </w:r>
      <w:r/>
    </w:p>
    <w:p>
      <w:pPr>
        <w:pStyle w:val="967"/>
        <w:spacing w:line="520" w:lineRule="exact"/>
        <w:rPr>
          <w:rFonts w:hint="eastAsia" w:ascii="宋体" w:hAnsi="宋体"/>
          <w:szCs w:val="21"/>
        </w:rPr>
      </w:pPr>
      <w:r>
        <w:rPr>
          <w:rFonts w:hint="eastAsia" w:ascii="宋体" w:hAnsi="宋体"/>
          <w:szCs w:val="21"/>
        </w:rPr>
        <w:t xml:space="preserve">十一、争议解决</w:t>
      </w:r>
      <w:r/>
    </w:p>
    <w:p>
      <w:pPr>
        <w:pStyle w:val="967"/>
        <w:spacing w:line="520" w:lineRule="exact"/>
        <w:rPr>
          <w:rFonts w:hint="eastAsia" w:ascii="宋体" w:hAnsi="宋体"/>
          <w:szCs w:val="21"/>
        </w:rPr>
      </w:pPr>
      <w:r>
        <w:rPr>
          <w:rFonts w:hint="eastAsia" w:ascii="宋体" w:hAnsi="宋体"/>
          <w:szCs w:val="21"/>
        </w:rPr>
        <w:t xml:space="preserve">甲乙双方因合同发生争议，应在招标方的主持下进行调解，协商不成，任何一方可以向甲方所在地人民法院起诉。</w:t>
      </w:r>
      <w:r/>
    </w:p>
    <w:p>
      <w:pPr>
        <w:pStyle w:val="967"/>
        <w:spacing w:line="520" w:lineRule="exact"/>
        <w:rPr>
          <w:rFonts w:hint="eastAsia" w:ascii="宋体" w:hAnsi="宋体"/>
          <w:szCs w:val="21"/>
        </w:rPr>
      </w:pPr>
      <w:r>
        <w:rPr>
          <w:rFonts w:hint="eastAsia" w:ascii="宋体" w:hAnsi="宋体"/>
          <w:szCs w:val="21"/>
        </w:rPr>
        <w:t xml:space="preserve">十二、附则</w:t>
      </w:r>
      <w:r/>
    </w:p>
    <w:p>
      <w:pPr>
        <w:pStyle w:val="967"/>
        <w:spacing w:line="520" w:lineRule="exact"/>
        <w:rPr>
          <w:rFonts w:hint="eastAsia" w:ascii="宋体" w:hAnsi="宋体"/>
          <w:szCs w:val="21"/>
        </w:rPr>
      </w:pPr>
      <w:r>
        <w:rPr>
          <w:rFonts w:hint="eastAsia" w:ascii="宋体" w:hAnsi="宋体"/>
          <w:szCs w:val="21"/>
        </w:rPr>
        <w:t xml:space="preserve">1.合同份数：本合同一式捌份，甲方执伍份，乙方执贰份，采购代理机构执壹份。</w:t>
      </w:r>
      <w:r/>
    </w:p>
    <w:p>
      <w:pPr>
        <w:pStyle w:val="967"/>
        <w:spacing w:line="520" w:lineRule="exact"/>
        <w:rPr>
          <w:rFonts w:hint="eastAsia" w:ascii="宋体" w:hAnsi="宋体"/>
          <w:szCs w:val="21"/>
        </w:rPr>
      </w:pPr>
      <w:r>
        <w:rPr>
          <w:rFonts w:hint="eastAsia" w:ascii="宋体" w:hAnsi="宋体"/>
          <w:szCs w:val="21"/>
        </w:rPr>
        <w:t xml:space="preserve">2.本合同文件使用中文书写、解释和说明。</w:t>
      </w:r>
      <w:r/>
    </w:p>
    <w:p>
      <w:pPr>
        <w:pStyle w:val="967"/>
        <w:spacing w:line="520" w:lineRule="exact"/>
        <w:rPr>
          <w:rFonts w:hint="eastAsia" w:ascii="宋体" w:hAnsi="宋体"/>
          <w:szCs w:val="21"/>
        </w:rPr>
      </w:pPr>
      <w:r>
        <w:rPr>
          <w:rFonts w:hint="eastAsia" w:ascii="宋体" w:hAnsi="宋体"/>
          <w:szCs w:val="21"/>
        </w:rPr>
        <w:t xml:space="preserve">3.本合同履行过程中产生的纪要、协议以及中标通知书、招标文件和投标文件为本合同的附件，与合同具有同等效力。</w:t>
      </w:r>
      <w:r/>
    </w:p>
    <w:p>
      <w:pPr>
        <w:pStyle w:val="967"/>
        <w:spacing w:line="520" w:lineRule="exact"/>
        <w:rPr>
          <w:rFonts w:hint="eastAsia" w:ascii="宋体" w:hAnsi="宋体"/>
          <w:szCs w:val="21"/>
        </w:rPr>
      </w:pPr>
      <w:r>
        <w:rPr>
          <w:rFonts w:hint="eastAsia" w:ascii="宋体" w:hAnsi="宋体"/>
          <w:szCs w:val="21"/>
        </w:rPr>
        <w:t xml:space="preserve">4.未尽事宜</w:t>
      </w:r>
      <w:r/>
    </w:p>
    <w:p>
      <w:pPr>
        <w:pStyle w:val="967"/>
        <w:spacing w:line="520" w:lineRule="exact"/>
        <w:rPr>
          <w:rFonts w:hint="eastAsia" w:ascii="宋体" w:hAnsi="宋体"/>
          <w:szCs w:val="21"/>
        </w:rPr>
      </w:pPr>
      <w:r>
        <w:rPr>
          <w:rFonts w:hint="eastAsia" w:ascii="宋体" w:hAnsi="宋体"/>
          <w:szCs w:val="21"/>
        </w:rPr>
        <w:t xml:space="preserve">本合同未尽事宜应按《中华人民共和国政府采购法》、《中华人民共和国民法典》及其它有关政府采购的法律法规的规定执行。</w:t>
      </w:r>
      <w:r/>
    </w:p>
    <w:p>
      <w:pPr>
        <w:pStyle w:val="967"/>
        <w:spacing w:line="520" w:lineRule="exact"/>
        <w:rPr>
          <w:rFonts w:hint="eastAsia" w:ascii="宋体" w:hAnsi="宋体"/>
          <w:szCs w:val="21"/>
        </w:rPr>
      </w:pPr>
      <w:r>
        <w:rPr>
          <w:rFonts w:hint="eastAsia" w:ascii="宋体" w:hAnsi="宋体"/>
          <w:szCs w:val="21"/>
        </w:rPr>
      </w:r>
      <w:r/>
    </w:p>
    <w:p>
      <w:pPr>
        <w:pStyle w:val="967"/>
        <w:spacing w:line="520" w:lineRule="exact"/>
        <w:rPr>
          <w:rFonts w:ascii="宋体" w:hAnsi="宋体"/>
          <w:szCs w:val="21"/>
        </w:rPr>
      </w:pPr>
      <w:r>
        <w:rPr>
          <w:rFonts w:hint="eastAsia" w:ascii="宋体" w:hAnsi="宋体"/>
          <w:szCs w:val="21"/>
        </w:rPr>
        <w:t xml:space="preserve">甲方：                               乙方：</w:t>
      </w:r>
      <w:r>
        <w:rPr>
          <w:rFonts w:ascii="宋体" w:hAnsi="宋体"/>
          <w:szCs w:val="21"/>
        </w:rPr>
      </w:r>
      <w:r/>
    </w:p>
    <w:p>
      <w:pPr>
        <w:pStyle w:val="967"/>
        <w:spacing w:line="520" w:lineRule="exact"/>
        <w:rPr>
          <w:rFonts w:hint="eastAsia" w:ascii="宋体" w:hAnsi="宋体"/>
          <w:szCs w:val="21"/>
        </w:rPr>
      </w:pPr>
      <w:r>
        <w:rPr>
          <w:rFonts w:hint="eastAsia" w:ascii="宋体" w:hAnsi="宋体"/>
          <w:szCs w:val="21"/>
        </w:rPr>
        <w:t xml:space="preserve">法定代表人（授权代表）：             法定代表人（授权代表）：</w:t>
      </w:r>
      <w:r/>
    </w:p>
    <w:p>
      <w:pPr>
        <w:pStyle w:val="967"/>
        <w:spacing w:line="520" w:lineRule="exact"/>
        <w:rPr>
          <w:rFonts w:hint="eastAsia" w:ascii="宋体" w:hAnsi="宋体"/>
          <w:szCs w:val="21"/>
        </w:rPr>
      </w:pPr>
      <w:r>
        <w:rPr>
          <w:rFonts w:hint="eastAsia" w:ascii="宋体" w:hAnsi="宋体"/>
          <w:szCs w:val="21"/>
        </w:rPr>
        <w:t xml:space="preserve">签约日期：                            签约日期：</w:t>
      </w:r>
      <w:r/>
    </w:p>
    <w:p>
      <w:pPr>
        <w:pStyle w:val="967"/>
        <w:spacing w:line="520" w:lineRule="exact"/>
        <w:rPr>
          <w:rFonts w:hint="eastAsia" w:ascii="宋体" w:hAnsi="宋体"/>
          <w:szCs w:val="21"/>
        </w:rPr>
      </w:pPr>
      <w:r>
        <w:rPr>
          <w:rFonts w:hint="eastAsia" w:ascii="宋体" w:hAnsi="宋体"/>
          <w:szCs w:val="21"/>
        </w:rPr>
        <w:tab/>
        <w:tab/>
        <w:tab/>
        <w:tab/>
        <w:tab/>
        <w:t xml:space="preserve">                  开户行：</w:t>
      </w:r>
      <w:r/>
    </w:p>
    <w:p>
      <w:pPr>
        <w:pStyle w:val="967"/>
        <w:spacing w:line="520" w:lineRule="exact"/>
        <w:rPr>
          <w:rFonts w:hint="eastAsia" w:ascii="宋体" w:hAnsi="宋体"/>
          <w:szCs w:val="21"/>
        </w:rPr>
      </w:pPr>
      <w:r>
        <w:rPr>
          <w:rFonts w:hint="eastAsia" w:ascii="宋体" w:hAnsi="宋体"/>
          <w:szCs w:val="21"/>
        </w:rPr>
        <w:tab/>
        <w:tab/>
        <w:tab/>
        <w:tab/>
        <w:tab/>
        <w:tab/>
        <w:tab/>
        <w:t xml:space="preserve">          帐户：</w:t>
      </w:r>
      <w:r/>
    </w:p>
    <w:p>
      <w:pPr>
        <w:pStyle w:val="967"/>
        <w:spacing w:line="520" w:lineRule="exact"/>
        <w:rPr>
          <w:rFonts w:hint="eastAsia" w:ascii="宋体" w:hAnsi="宋体"/>
          <w:b/>
          <w:szCs w:val="21"/>
        </w:rPr>
      </w:pPr>
      <w:r>
        <w:rPr>
          <w:rFonts w:hint="eastAsia" w:ascii="宋体" w:hAnsi="宋体"/>
          <w:b/>
          <w:szCs w:val="21"/>
        </w:rPr>
        <w:t xml:space="preserve">附表1：清单</w:t>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hint="eastAsia" w:ascii="宋体" w:hAnsi="宋体"/>
          <w:b/>
          <w:szCs w:val="21"/>
        </w:rPr>
      </w:pPr>
      <w:r>
        <w:rPr>
          <w:rFonts w:hint="eastAsia" w:ascii="宋体" w:hAnsi="宋体"/>
          <w:b/>
          <w:szCs w:val="21"/>
        </w:rPr>
      </w:r>
      <w:r/>
    </w:p>
    <w:p>
      <w:pPr>
        <w:pStyle w:val="967"/>
        <w:spacing w:line="520" w:lineRule="exact"/>
        <w:rPr>
          <w:rFonts w:ascii="宋体" w:hAnsi="宋体"/>
          <w:b/>
          <w:szCs w:val="21"/>
        </w:rPr>
      </w:pPr>
      <w:r>
        <w:rPr>
          <w:rFonts w:hint="eastAsia" w:ascii="宋体" w:hAnsi="宋体"/>
          <w:b/>
          <w:szCs w:val="21"/>
        </w:rPr>
        <w:t xml:space="preserve">附表2：考核</w:t>
      </w:r>
      <w:r>
        <w:rPr>
          <w:rFonts w:ascii="宋体" w:hAnsi="宋体"/>
          <w:b/>
          <w:szCs w:val="21"/>
        </w:rPr>
      </w:r>
      <w:r/>
    </w:p>
    <w:tbl>
      <w:tblPr>
        <w:tblW w:w="8931"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10"/>
        <w:gridCol w:w="5528"/>
        <w:gridCol w:w="850"/>
        <w:gridCol w:w="851"/>
        <w:gridCol w:w="992"/>
      </w:tblGrid>
      <w:tr>
        <w:trPr>
          <w:trHeight w:val="424"/>
        </w:trPr>
        <w:tc>
          <w:tcPr>
            <w:gridSpan w:val="5"/>
            <w:tcBorders>
              <w:top w:val="none" w:color="000000" w:sz="0" w:space="0"/>
              <w:left w:val="none" w:color="000000" w:sz="0" w:space="0"/>
              <w:bottom w:val="none" w:color="000000" w:sz="0" w:space="0"/>
              <w:right w:val="none" w:color="000000" w:sz="0" w:space="0"/>
            </w:tcBorders>
            <w:tcW w:w="8931" w:type="dxa"/>
            <w:vAlign w:val="bottom"/>
            <w:textDirection w:val="lrTb"/>
            <w:noWrap/>
          </w:tcPr>
          <w:p>
            <w:pPr>
              <w:pStyle w:val="967"/>
              <w:jc w:val="center"/>
              <w:widowControl/>
              <w:rPr>
                <w:rFonts w:hint="eastAsia" w:ascii="宋体" w:hAnsi="宋体" w:cs="宋体"/>
                <w:b/>
                <w:bCs/>
                <w:szCs w:val="21"/>
              </w:rPr>
            </w:pPr>
            <w:r/>
            <w:bookmarkEnd w:id="51"/>
            <w:r/>
            <w:bookmarkEnd w:id="52"/>
            <w:r/>
            <w:bookmarkStart w:id="53" w:name="_Toc194916144"/>
            <w:r/>
            <w:bookmarkStart w:id="54" w:name="_Toc304374140"/>
            <w:r>
              <w:rPr>
                <w:rFonts w:hint="eastAsia" w:ascii="宋体" w:hAnsi="宋体" w:cs="宋体"/>
                <w:b/>
                <w:bCs/>
                <w:szCs w:val="21"/>
              </w:rPr>
              <w:t xml:space="preserve">昆山市第六人民医院污水站运维考核表</w:t>
            </w:r>
            <w:r/>
          </w:p>
        </w:tc>
      </w:tr>
      <w:tr>
        <w:trPr>
          <w:trHeight w:val="254"/>
        </w:trPr>
        <w:tc>
          <w:tcPr>
            <w:gridSpan w:val="5"/>
            <w:tcBorders>
              <w:top w:val="none" w:color="000000" w:sz="4" w:space="0"/>
              <w:left w:val="none" w:color="000000" w:sz="4" w:space="0"/>
              <w:bottom w:val="single" w:color="000000" w:sz="4" w:space="0"/>
              <w:right w:val="none" w:color="000000" w:sz="4" w:space="0"/>
            </w:tcBorders>
            <w:tcW w:w="8931" w:type="dxa"/>
            <w:vAlign w:val="bottom"/>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科室名称：             填表人：             填表时间：</w:t>
            </w:r>
            <w:r/>
          </w:p>
        </w:tc>
      </w:tr>
      <w:tr>
        <w:trPr>
          <w:trHeight w:val="496"/>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序号</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67"/>
              <w:jc w:val="center"/>
              <w:widowControl/>
              <w:rPr>
                <w:rFonts w:hint="eastAsia" w:ascii="宋体" w:hAnsi="宋体" w:cs="宋体"/>
                <w:szCs w:val="21"/>
              </w:rPr>
            </w:pPr>
            <w:r>
              <w:rPr>
                <w:rFonts w:hint="eastAsia" w:ascii="宋体" w:hAnsi="宋体" w:cs="宋体"/>
                <w:szCs w:val="21"/>
              </w:rPr>
              <w:t xml:space="preserve">检查标准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应得分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实得分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扣分原因</w:t>
            </w:r>
            <w:r/>
          </w:p>
        </w:tc>
      </w:tr>
      <w:tr>
        <w:trPr>
          <w:trHeight w:val="56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67"/>
              <w:jc w:val="left"/>
              <w:widowControl/>
              <w:rPr>
                <w:rFonts w:hint="eastAsia" w:ascii="宋体" w:hAnsi="宋体" w:cs="宋体"/>
                <w:szCs w:val="21"/>
              </w:rPr>
            </w:pPr>
            <w:r>
              <w:rPr>
                <w:rFonts w:hint="eastAsia" w:ascii="宋体" w:hAnsi="宋体" w:cs="宋体"/>
                <w:szCs w:val="21"/>
              </w:rPr>
              <w:t xml:space="preserve">严格遵守入院维修保养登记工作，来院服务的工作人员严格参照本院的相关工作人员安排的要求执行。严格执行生产安全和消防安全规范要求，并按标准严格执行。严格落实上报、审批、汇报、防护机制。</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r>
      <w:tr>
        <w:trPr>
          <w:trHeight w:val="975"/>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67"/>
              <w:jc w:val="left"/>
              <w:widowControl/>
              <w:rPr>
                <w:rFonts w:hint="eastAsia" w:ascii="宋体" w:hAnsi="宋体" w:cs="宋体"/>
                <w:szCs w:val="21"/>
              </w:rPr>
            </w:pPr>
            <w:r>
              <w:rPr>
                <w:rFonts w:hint="eastAsia" w:ascii="宋体" w:hAnsi="宋体" w:cs="宋体"/>
                <w:szCs w:val="21"/>
              </w:rPr>
              <w:t xml:space="preserve">来院服务单位资质证件、经营范围准入齐全且在有效期内，人员身体健康并具备相应保险，涉及到特种设备类施工操作必须持证上岗、规范穿戴工作服装、配备齐全设备，并且严格按照规范要求执行。</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r>
      <w:tr>
        <w:trPr>
          <w:trHeight w:val="120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67"/>
              <w:jc w:val="left"/>
              <w:widowControl/>
              <w:rPr>
                <w:rFonts w:hint="eastAsia" w:ascii="宋体" w:hAnsi="宋体" w:cs="宋体"/>
                <w:szCs w:val="21"/>
              </w:rPr>
            </w:pPr>
            <w:r>
              <w:rPr>
                <w:rFonts w:hint="eastAsia" w:ascii="宋体" w:hAnsi="宋体" w:cs="宋体"/>
                <w:szCs w:val="21"/>
              </w:rPr>
              <w:t xml:space="preserve">来院服务施工过程中必须做好报备告知，做好现场安全监管，符合医院安全管理要求和规定，需要医院配合的要提前做好准备，有相应安全防护措施、安全提示标识、安全间距警戒、安全设备配备等一系列事宜。</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r>
      <w:tr>
        <w:trPr>
          <w:trHeight w:val="646"/>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67"/>
              <w:jc w:val="left"/>
              <w:widowControl/>
              <w:rPr>
                <w:rFonts w:hint="eastAsia" w:ascii="宋体" w:hAnsi="宋体" w:cs="宋体"/>
                <w:szCs w:val="21"/>
              </w:rPr>
            </w:pPr>
            <w:r>
              <w:rPr>
                <w:rFonts w:hint="eastAsia" w:ascii="宋体" w:hAnsi="宋体" w:cs="宋体"/>
                <w:szCs w:val="21"/>
              </w:rPr>
              <w:t xml:space="preserve">确保污水排放水质合格，废气排放合格。</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r>
      <w:tr>
        <w:trPr>
          <w:trHeight w:val="90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67"/>
              <w:jc w:val="left"/>
              <w:widowControl/>
              <w:rPr>
                <w:rFonts w:hint="eastAsia" w:ascii="宋体" w:hAnsi="宋体" w:cs="宋体"/>
                <w:szCs w:val="21"/>
              </w:rPr>
            </w:pPr>
            <w:r>
              <w:rPr>
                <w:rFonts w:hint="eastAsia" w:ascii="宋体" w:hAnsi="宋体" w:cs="宋体"/>
                <w:szCs w:val="21"/>
              </w:rPr>
              <w:t xml:space="preserve">来院服务单位必须配合医院做好相关各类督查检查事宜，有具体要求的必须到达医院现场陪同。医院需要定期应急演练或专项培训等事宜的，必须及时达到现场。</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r>
      <w:tr>
        <w:trPr>
          <w:trHeight w:val="90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67"/>
              <w:jc w:val="left"/>
              <w:widowControl/>
              <w:rPr>
                <w:rFonts w:hint="eastAsia" w:ascii="宋体" w:hAnsi="宋体" w:cs="宋体"/>
                <w:szCs w:val="21"/>
              </w:rPr>
            </w:pPr>
            <w:r>
              <w:rPr>
                <w:rFonts w:hint="eastAsia" w:ascii="宋体" w:hAnsi="宋体" w:cs="宋体"/>
                <w:szCs w:val="21"/>
              </w:rPr>
              <w:t xml:space="preserve">维修维保方面必须做好日常巡检巡查的相关记录，并做好相应台账汇总记录，包括所有的日常维修维保、隐患整改、大件类工程维修项目等涉及到每一个事项。</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r>
      <w:tr>
        <w:trPr>
          <w:trHeight w:val="742"/>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67"/>
              <w:jc w:val="left"/>
              <w:widowControl/>
              <w:rPr>
                <w:rFonts w:hint="eastAsia" w:ascii="宋体" w:hAnsi="宋体" w:cs="宋体"/>
                <w:szCs w:val="21"/>
              </w:rPr>
            </w:pPr>
            <w:r>
              <w:rPr>
                <w:rFonts w:hint="eastAsia" w:ascii="宋体" w:hAnsi="宋体" w:cs="宋体"/>
                <w:szCs w:val="21"/>
              </w:rPr>
              <w:t xml:space="preserve">上级部门安全生产督查出现隐患项目，必须无条件配合完成，给予整改意见和措施，出具相应的情况报告，按照规范要求落实实施。</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r>
      <w:tr>
        <w:trPr>
          <w:trHeight w:val="900"/>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67"/>
              <w:jc w:val="left"/>
              <w:widowControl/>
              <w:rPr>
                <w:rFonts w:hint="eastAsia" w:ascii="宋体" w:hAnsi="宋体" w:cs="宋体"/>
                <w:szCs w:val="21"/>
              </w:rPr>
            </w:pPr>
            <w:r>
              <w:rPr>
                <w:rFonts w:hint="eastAsia" w:ascii="宋体" w:hAnsi="宋体" w:cs="宋体"/>
                <w:szCs w:val="21"/>
              </w:rPr>
              <w:t xml:space="preserve">每月进行维保维修事宜的双签、签订、评定、审核、查验，确保质量保障和安全保障，若出现不符合管理要求，医院有权责令维保单位更换到达标要求。</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r>
      <w:tr>
        <w:trPr>
          <w:trHeight w:val="665"/>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67"/>
              <w:jc w:val="left"/>
              <w:widowControl/>
              <w:rPr>
                <w:rFonts w:hint="eastAsia" w:ascii="宋体" w:hAnsi="宋体" w:cs="宋体"/>
                <w:szCs w:val="21"/>
              </w:rPr>
            </w:pPr>
            <w:r>
              <w:rPr>
                <w:rFonts w:hint="eastAsia" w:ascii="宋体" w:hAnsi="宋体" w:cs="宋体"/>
                <w:szCs w:val="21"/>
              </w:rPr>
              <w:t xml:space="preserve">应急响应机制、应急预案处置能力能够快速启动，出现应急故障、应急抢修、应急救援的，能够快速达到现场进行处理。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r>
      <w:tr>
        <w:trPr>
          <w:trHeight w:val="341"/>
        </w:trPr>
        <w:tc>
          <w:tcPr>
            <w:tcBorders>
              <w:top w:val="none" w:color="000000" w:sz="4" w:space="0"/>
              <w:left w:val="single" w:color="000000" w:sz="4" w:space="0"/>
              <w:bottom w:val="single" w:color="000000" w:sz="4" w:space="0"/>
              <w:right w:val="single" w:color="000000" w:sz="4" w:space="0"/>
            </w:tcBorders>
            <w:tcW w:w="710"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67"/>
              <w:jc w:val="center"/>
              <w:widowControl/>
              <w:rPr>
                <w:rFonts w:hint="eastAsia" w:ascii="宋体" w:hAnsi="宋体" w:cs="宋体"/>
                <w:b/>
                <w:bCs/>
                <w:szCs w:val="21"/>
              </w:rPr>
            </w:pPr>
            <w:r>
              <w:rPr>
                <w:rFonts w:hint="eastAsia" w:ascii="宋体" w:hAnsi="宋体" w:cs="宋体"/>
                <w:b/>
                <w:bCs/>
                <w:szCs w:val="21"/>
              </w:rPr>
              <w:t xml:space="preserve">合计</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67"/>
              <w:jc w:val="center"/>
              <w:widowControl/>
              <w:rPr>
                <w:rFonts w:hint="eastAsia" w:ascii="宋体" w:hAnsi="宋体" w:cs="宋体"/>
                <w:b/>
                <w:bCs/>
                <w:szCs w:val="21"/>
              </w:rPr>
            </w:pPr>
            <w:r>
              <w:rPr>
                <w:rFonts w:hint="eastAsia" w:ascii="宋体" w:hAnsi="宋体" w:cs="宋体"/>
                <w:b/>
                <w:bCs/>
                <w:szCs w:val="21"/>
              </w:rPr>
              <w:t xml:space="preserve">100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967"/>
              <w:jc w:val="center"/>
              <w:widowControl/>
              <w:rPr>
                <w:rFonts w:hint="eastAsia" w:ascii="宋体" w:hAnsi="宋体" w:cs="宋体"/>
                <w:szCs w:val="21"/>
              </w:rPr>
            </w:pPr>
            <w:r>
              <w:rPr>
                <w:rFonts w:hint="eastAsia" w:ascii="宋体" w:hAnsi="宋体" w:cs="宋体"/>
                <w:szCs w:val="21"/>
              </w:rPr>
              <w:t xml:space="preserve">　</w:t>
            </w:r>
            <w:r/>
          </w:p>
        </w:tc>
      </w:tr>
      <w:tr>
        <w:trPr>
          <w:trHeight w:val="2280"/>
        </w:trPr>
        <w:tc>
          <w:tcPr>
            <w:gridSpan w:val="5"/>
            <w:tcBorders>
              <w:top w:val="none" w:color="000000" w:sz="0" w:space="0"/>
              <w:left w:val="none" w:color="000000" w:sz="0" w:space="0"/>
              <w:bottom w:val="none" w:color="000000" w:sz="0" w:space="0"/>
              <w:right w:val="none" w:color="000000" w:sz="0" w:space="0"/>
            </w:tcBorders>
            <w:tcW w:w="8931" w:type="dxa"/>
            <w:vAlign w:val="center"/>
            <w:textDirection w:val="lrTb"/>
            <w:noWrap w:val="false"/>
          </w:tcPr>
          <w:p>
            <w:pPr>
              <w:pStyle w:val="967"/>
              <w:jc w:val="left"/>
              <w:widowControl/>
              <w:rPr>
                <w:rFonts w:hint="eastAsia" w:ascii="宋体" w:hAnsi="宋体" w:cs="宋体"/>
                <w:szCs w:val="21"/>
                <w:highlight w:val="yellow"/>
              </w:rPr>
            </w:pPr>
            <w:r>
              <w:rPr>
                <w:rFonts w:hint="eastAsia" w:ascii="宋体" w:hAnsi="宋体" w:cs="宋体"/>
                <w:szCs w:val="21"/>
              </w:rPr>
              <w:t xml:space="preserve">备注：                                                                                          1.考核分值90分及以上，方可进行维护维保费用全额付款；                                                                                2.考核分值80-89分区间范围的，扣除当期款项的5%；                         </w:t>
            </w:r>
            <w:r>
              <w:rPr>
                <w:rFonts w:hint="eastAsia" w:ascii="宋体" w:hAnsi="宋体" w:cs="宋体"/>
                <w:szCs w:val="21"/>
              </w:rPr>
              <w:t xml:space="preserve">                         3.考核分值在80分及以下的，扣除当期款项的10%；                                                                                                                                   4.维保单位因自身原因操作不当、维护不当、安全防护不当、安全督查出现重大安全事故的等事宜，造成损失的，除承担相应同等赔偿外，相应责任由维保单位承担。</w:t>
            </w:r>
            <w:r>
              <w:rPr>
                <w:rFonts w:hint="eastAsia" w:ascii="宋体" w:hAnsi="宋体" w:cs="宋体"/>
                <w:szCs w:val="21"/>
                <w:highlight w:val="yellow"/>
              </w:rPr>
            </w:r>
            <w:r/>
          </w:p>
          <w:p>
            <w:pPr>
              <w:pStyle w:val="967"/>
              <w:rPr>
                <w:rFonts w:hint="eastAsia" w:ascii="宋体" w:hAnsi="宋体" w:cs="宋体"/>
                <w:szCs w:val="21"/>
              </w:rPr>
            </w:pPr>
            <w:r>
              <w:rPr>
                <w:rFonts w:hint="eastAsia" w:ascii="宋体" w:hAnsi="宋体" w:cs="宋体"/>
                <w:szCs w:val="21"/>
              </w:rPr>
            </w:r>
            <w:r/>
          </w:p>
        </w:tc>
      </w:tr>
    </w:tbl>
    <w:p>
      <w:pPr>
        <w:pStyle w:val="968"/>
        <w:jc w:val="center"/>
        <w:spacing w:line="360" w:lineRule="auto"/>
        <w:rPr>
          <w:rFonts w:hint="eastAsia"/>
        </w:rPr>
      </w:pPr>
      <w:r>
        <w:br w:type="page" w:clear="all"/>
      </w:r>
      <w:r>
        <w:rPr>
          <w:rFonts w:hint="eastAsia"/>
        </w:rPr>
        <w:t xml:space="preserve">第六章</w:t>
      </w:r>
      <w:r>
        <w:t xml:space="preserve"> </w:t>
      </w:r>
      <w:r>
        <w:rPr>
          <w:rFonts w:hint="eastAsia"/>
        </w:rPr>
        <w:t xml:space="preserve">评标方法、评分标准</w:t>
      </w:r>
      <w:bookmarkEnd w:id="53"/>
      <w:r/>
      <w:bookmarkEnd w:id="54"/>
      <w:r>
        <w:rPr>
          <w:rFonts w:hint="eastAsia"/>
        </w:rPr>
      </w:r>
      <w:r/>
    </w:p>
    <w:p>
      <w:pPr>
        <w:pStyle w:val="967"/>
        <w:spacing w:line="360" w:lineRule="auto"/>
        <w:rPr>
          <w:rFonts w:hint="eastAsia" w:ascii="Tahoma" w:hAnsi="Tahoma"/>
          <w:sz w:val="24"/>
        </w:rPr>
      </w:pPr>
      <w:r>
        <w:rPr>
          <w:rFonts w:ascii="宋体" w:hAnsi="宋体" w:cs="Arial"/>
          <w:b/>
          <w:bCs/>
          <w:szCs w:val="21"/>
        </w:rPr>
        <w:t xml:space="preserve">一、</w:t>
      </w:r>
      <w:r>
        <w:rPr>
          <w:rFonts w:ascii="宋体" w:hAnsi="宋体" w:cs="Arial"/>
          <w:b/>
          <w:szCs w:val="21"/>
        </w:rPr>
        <w:t xml:space="preserve">评分办法</w:t>
      </w:r>
      <w:r>
        <w:rPr>
          <w:rFonts w:hint="eastAsia" w:ascii="Tahoma" w:hAnsi="Tahoma"/>
          <w:sz w:val="24"/>
        </w:rPr>
      </w:r>
      <w:r/>
    </w:p>
    <w:p>
      <w:pPr>
        <w:pStyle w:val="967"/>
        <w:ind w:firstLine="420"/>
        <w:spacing w:line="360" w:lineRule="auto"/>
        <w:rPr>
          <w:rFonts w:ascii="宋体" w:hAnsi="宋体"/>
        </w:rPr>
      </w:pPr>
      <w:r>
        <w:rPr>
          <w:rFonts w:hint="eastAsia" w:ascii="宋体" w:hAnsi="宋体"/>
        </w:rPr>
        <w:t xml:space="preserve">1、本次招标评标方法为综合评分法。即在最大限度地满足招标文件实质性要求前提下，按照招标文件中规定的各项因素进行综合评审后，以综合得分最高的投标人作为中标人或者中标候选人的评标方法。</w:t>
      </w:r>
      <w:r>
        <w:rPr>
          <w:rFonts w:ascii="宋体" w:hAnsi="宋体"/>
        </w:rPr>
      </w:r>
      <w:r/>
    </w:p>
    <w:p>
      <w:pPr>
        <w:pStyle w:val="967"/>
        <w:ind w:firstLine="480"/>
        <w:spacing w:line="400" w:lineRule="exact"/>
        <w:rPr>
          <w:rFonts w:ascii="宋体" w:hAnsi="宋体"/>
          <w:szCs w:val="21"/>
        </w:rPr>
      </w:pPr>
      <w:r>
        <w:rPr>
          <w:rFonts w:hint="eastAsia" w:ascii="宋体" w:hAnsi="宋体"/>
          <w:szCs w:val="21"/>
        </w:rPr>
        <w:t xml:space="preserve">2、综合评分的主要因素为：价格、人员配备、组织管理方案、服务保障、投标单位的综合情况、业绩、服务、对招标文件的响应程度，以及相应的比重或者数值等。</w:t>
      </w:r>
      <w:r>
        <w:rPr>
          <w:rFonts w:hint="eastAsia" w:ascii="宋体" w:hAnsi="宋体"/>
        </w:rPr>
        <w:t xml:space="preserve">总分值为100分，价格分值占总分值的比重为15%（权重），技术部分和商务部分占总分值的比重为85%（权重）。</w:t>
      </w:r>
      <w:r>
        <w:rPr>
          <w:rFonts w:ascii="宋体" w:hAnsi="宋体"/>
          <w:szCs w:val="21"/>
        </w:rPr>
      </w:r>
      <w:r/>
    </w:p>
    <w:p>
      <w:pPr>
        <w:pStyle w:val="967"/>
        <w:ind w:firstLine="480"/>
        <w:spacing w:line="400" w:lineRule="exact"/>
        <w:rPr>
          <w:rFonts w:hint="eastAsia" w:ascii="宋体" w:hAnsi="宋体"/>
          <w:szCs w:val="21"/>
        </w:rPr>
      </w:pPr>
      <w:r>
        <w:rPr>
          <w:rFonts w:hint="eastAsia" w:ascii="宋体" w:hAnsi="宋体"/>
          <w:szCs w:val="21"/>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中标人或者中标候选人</w:t>
      </w:r>
      <w:r>
        <w:rPr>
          <w:rFonts w:ascii="宋体" w:hAnsi="宋体"/>
          <w:szCs w:val="21"/>
        </w:rPr>
        <w:t xml:space="preserve">。</w:t>
      </w:r>
      <w:r>
        <w:rPr>
          <w:rFonts w:hint="eastAsia" w:ascii="宋体" w:hAnsi="宋体"/>
          <w:szCs w:val="21"/>
        </w:rPr>
      </w:r>
      <w:r/>
    </w:p>
    <w:p>
      <w:pPr>
        <w:pStyle w:val="967"/>
        <w:spacing w:line="400" w:lineRule="exact"/>
        <w:rPr>
          <w:rFonts w:hint="eastAsia" w:ascii="宋体" w:hAnsi="宋体"/>
          <w:b/>
          <w:szCs w:val="21"/>
        </w:rPr>
      </w:pPr>
      <w:r>
        <w:rPr>
          <w:rFonts w:hint="eastAsia" w:ascii="宋体" w:hAnsi="宋体"/>
          <w:b/>
          <w:szCs w:val="21"/>
        </w:rPr>
        <w:t xml:space="preserve"> 二、采购政策</w:t>
      </w:r>
      <w:r/>
    </w:p>
    <w:p>
      <w:pPr>
        <w:pStyle w:val="967"/>
        <w:ind w:firstLine="480"/>
        <w:spacing w:line="360" w:lineRule="auto"/>
        <w:rPr>
          <w:rFonts w:ascii="宋体" w:hAnsi="宋体"/>
          <w:szCs w:val="21"/>
        </w:rPr>
      </w:pPr>
      <w:r>
        <w:rPr>
          <w:rFonts w:ascii="宋体" w:hAnsi="宋体"/>
          <w:szCs w:val="21"/>
        </w:rPr>
        <w:t xml:space="preserve">1</w:t>
      </w:r>
      <w:r>
        <w:rPr>
          <w:rFonts w:hint="eastAsia" w:ascii="宋体" w:hAnsi="宋体"/>
          <w:szCs w:val="21"/>
        </w:rPr>
        <w:t xml:space="preserve">、中、小、微企业</w:t>
      </w:r>
      <w:r>
        <w:rPr>
          <w:rFonts w:ascii="宋体" w:hAnsi="宋体"/>
          <w:szCs w:val="21"/>
        </w:rPr>
      </w:r>
      <w:r/>
    </w:p>
    <w:p>
      <w:pPr>
        <w:pStyle w:val="967"/>
        <w:ind w:firstLine="420"/>
        <w:spacing w:line="360" w:lineRule="auto"/>
        <w:rPr>
          <w:rFonts w:ascii="宋体" w:hAnsi="宋体"/>
          <w:b/>
          <w:color w:val="000000"/>
          <w:szCs w:val="21"/>
        </w:rPr>
      </w:pPr>
      <w:r>
        <w:rPr>
          <w:rFonts w:hint="eastAsia" w:ascii="宋体" w:hAnsi="宋体"/>
          <w:b/>
          <w:color w:val="000000"/>
          <w:szCs w:val="21"/>
        </w:rPr>
        <w:t xml:space="preserve">①专门面向中小企业采购的</w:t>
      </w:r>
      <w:r>
        <w:rPr>
          <w:rFonts w:ascii="宋体" w:hAnsi="宋体"/>
          <w:b/>
          <w:color w:val="000000"/>
          <w:szCs w:val="21"/>
        </w:rPr>
      </w:r>
      <w:r/>
    </w:p>
    <w:p>
      <w:pPr>
        <w:pStyle w:val="967"/>
        <w:ind w:firstLine="420"/>
        <w:spacing w:line="360" w:lineRule="auto"/>
        <w:rPr>
          <w:rFonts w:ascii="宋体" w:hAnsi="宋体"/>
          <w:b/>
          <w:color w:val="000000"/>
          <w:szCs w:val="21"/>
        </w:rPr>
      </w:pPr>
      <w:r>
        <w:rPr>
          <w:rFonts w:hint="eastAsia" w:ascii="宋体" w:hAnsi="宋体"/>
          <w:b/>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rPr>
          <w:rFonts w:ascii="宋体" w:hAnsi="宋体"/>
          <w:b/>
          <w:color w:val="000000"/>
          <w:szCs w:val="21"/>
        </w:rPr>
      </w:r>
      <w:r/>
    </w:p>
    <w:p>
      <w:pPr>
        <w:pStyle w:val="967"/>
        <w:ind w:firstLine="420"/>
        <w:spacing w:line="360" w:lineRule="auto"/>
        <w:rPr>
          <w:rFonts w:ascii="宋体" w:hAnsi="宋体"/>
          <w:color w:val="000000"/>
          <w:szCs w:val="21"/>
        </w:rPr>
      </w:pPr>
      <w:r>
        <w:rPr>
          <w:rFonts w:hint="eastAsia" w:ascii="宋体" w:hAnsi="宋体"/>
          <w:color w:val="000000"/>
          <w:szCs w:val="21"/>
        </w:rPr>
        <w:t xml:space="preserve">② </w:t>
      </w:r>
      <w:bookmarkStart w:id="55" w:name="_Hlk167786003"/>
      <w:r>
        <w:rPr>
          <w:rFonts w:hint="eastAsia" w:ascii="宋体" w:hAnsi="宋体"/>
          <w:color w:val="000000"/>
          <w:szCs w:val="21"/>
        </w:rPr>
        <w:t xml:space="preserve">非专门面向中小企业采购的</w:t>
      </w:r>
      <w:bookmarkEnd w:id="55"/>
      <w:r>
        <w:rPr>
          <w:rFonts w:ascii="宋体" w:hAnsi="宋体"/>
          <w:color w:val="000000"/>
          <w:szCs w:val="21"/>
        </w:rPr>
      </w:r>
      <w:r/>
    </w:p>
    <w:p>
      <w:pPr>
        <w:pStyle w:val="967"/>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rPr>
          <w:rFonts w:ascii="宋体" w:hAnsi="宋体"/>
          <w:color w:val="000000"/>
          <w:szCs w:val="21"/>
        </w:rPr>
      </w:r>
      <w:r/>
    </w:p>
    <w:p>
      <w:pPr>
        <w:pStyle w:val="967"/>
        <w:ind w:firstLine="420"/>
        <w:spacing w:line="360" w:lineRule="auto"/>
        <w:rPr>
          <w:rFonts w:ascii="宋体" w:hAnsi="宋体"/>
          <w:color w:val="000000"/>
          <w:szCs w:val="21"/>
        </w:rPr>
      </w:pPr>
      <w:r>
        <w:rPr>
          <w:rFonts w:hint="eastAsia" w:ascii="宋体" w:hAnsi="宋体"/>
          <w:color w:val="000000"/>
          <w:szCs w:val="21"/>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rPr>
          <w:rFonts w:ascii="宋体" w:hAnsi="宋体"/>
          <w:color w:val="000000"/>
          <w:szCs w:val="21"/>
        </w:rPr>
      </w:r>
      <w:r/>
    </w:p>
    <w:p>
      <w:pPr>
        <w:pStyle w:val="967"/>
        <w:ind w:firstLine="420"/>
        <w:spacing w:line="360" w:lineRule="auto"/>
        <w:rPr>
          <w:rFonts w:ascii="宋体" w:hAnsi="宋体"/>
          <w:color w:val="000000"/>
          <w:szCs w:val="21"/>
        </w:rPr>
      </w:pPr>
      <w:r>
        <w:rPr>
          <w:rFonts w:hint="eastAsia" w:ascii="宋体" w:hAnsi="宋体"/>
          <w:color w:val="000000"/>
          <w:szCs w:val="21"/>
        </w:rPr>
        <w:t xml:space="preserve">③加盖公章后的《中小企业声明函》电子件放置于投标文件中提交，未提交则不享受预留采购份额政策。</w:t>
      </w:r>
      <w:r>
        <w:rPr>
          <w:rFonts w:ascii="宋体" w:hAnsi="宋体"/>
          <w:color w:val="000000"/>
          <w:szCs w:val="21"/>
        </w:rPr>
      </w:r>
      <w:r/>
    </w:p>
    <w:p>
      <w:pPr>
        <w:pStyle w:val="967"/>
        <w:ind w:firstLine="480"/>
        <w:spacing w:line="360" w:lineRule="auto"/>
        <w:rPr>
          <w:rFonts w:ascii="宋体" w:hAnsi="宋体"/>
          <w:szCs w:val="21"/>
        </w:rPr>
      </w:pPr>
      <w:r>
        <w:rPr>
          <w:rFonts w:ascii="宋体" w:hAnsi="宋体"/>
          <w:szCs w:val="21"/>
        </w:rPr>
        <w:t xml:space="preserve">2</w:t>
      </w:r>
      <w:r>
        <w:rPr>
          <w:rFonts w:hint="eastAsia" w:ascii="宋体" w:hAnsi="宋体"/>
          <w:szCs w:val="21"/>
        </w:rPr>
        <w:t xml:space="preserve">、残疾人福利性单位</w:t>
      </w:r>
      <w:r>
        <w:rPr>
          <w:rFonts w:ascii="宋体" w:hAnsi="宋体"/>
          <w:szCs w:val="21"/>
        </w:rPr>
      </w:r>
      <w:r/>
    </w:p>
    <w:p>
      <w:pPr>
        <w:pStyle w:val="967"/>
        <w:ind w:firstLine="420"/>
        <w:spacing w:line="360" w:lineRule="auto"/>
        <w:rPr>
          <w:rFonts w:ascii="宋体"/>
          <w:color w:val="000000"/>
          <w:szCs w:val="21"/>
        </w:rPr>
      </w:pPr>
      <w:r>
        <w:rPr>
          <w:rFonts w:hint="eastAsia" w:asci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b/>
          <w:bCs/>
          <w:color w:val="000000"/>
          <w:szCs w:val="21"/>
        </w:rPr>
        <w:t xml:space="preserve">加盖公章后的《残疾人福利性单位声明函》电子件放置于响应文件中提交，未提交则不享受预留采购份额政策。</w:t>
      </w:r>
      <w:r>
        <w:rPr>
          <w:rFonts w:ascii="宋体"/>
          <w:color w:val="000000"/>
          <w:szCs w:val="21"/>
        </w:rPr>
      </w:r>
      <w:r/>
    </w:p>
    <w:p>
      <w:pPr>
        <w:pStyle w:val="967"/>
        <w:ind w:firstLine="480"/>
        <w:spacing w:line="360" w:lineRule="auto"/>
        <w:rPr>
          <w:rFonts w:ascii="宋体" w:hAnsi="宋体"/>
          <w:szCs w:val="21"/>
        </w:rPr>
      </w:pPr>
      <w:r>
        <w:rPr>
          <w:rFonts w:ascii="宋体" w:hAnsi="宋体"/>
          <w:szCs w:val="21"/>
        </w:rPr>
        <w:t xml:space="preserve">3</w:t>
      </w:r>
      <w:r>
        <w:rPr>
          <w:rFonts w:hint="eastAsia" w:ascii="宋体" w:hAnsi="宋体"/>
          <w:szCs w:val="21"/>
        </w:rPr>
        <w:t xml:space="preserve">、监狱企业</w:t>
      </w:r>
      <w:r>
        <w:rPr>
          <w:rFonts w:ascii="宋体" w:hAnsi="宋体"/>
          <w:szCs w:val="21"/>
        </w:rPr>
      </w:r>
      <w:r/>
    </w:p>
    <w:p>
      <w:pPr>
        <w:pStyle w:val="967"/>
        <w:ind w:firstLine="420"/>
        <w:spacing w:line="360" w:lineRule="auto"/>
        <w:rPr>
          <w:rFonts w:hint="eastAsia" w:ascii="宋体"/>
          <w:b/>
          <w:bCs/>
          <w:color w:val="000000"/>
          <w:szCs w:val="21"/>
        </w:rPr>
      </w:pPr>
      <w:r>
        <w:rPr>
          <w:rFonts w:hint="eastAsia" w:asci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b/>
          <w:bCs/>
          <w:color w:val="000000"/>
          <w:szCs w:val="21"/>
        </w:rPr>
        <w:t xml:space="preserve">证明文件电子件放置于响应文件中提交，未提交则不享受预留采购份额政策。</w:t>
      </w:r>
      <w:r/>
    </w:p>
    <w:p>
      <w:pPr>
        <w:pStyle w:val="967"/>
        <w:ind w:left="420"/>
        <w:spacing w:line="360" w:lineRule="auto"/>
        <w:rPr>
          <w:rFonts w:ascii="宋体"/>
          <w:color w:val="000000"/>
          <w:szCs w:val="21"/>
        </w:rPr>
      </w:pPr>
      <w:r>
        <w:rPr>
          <w:rFonts w:hint="eastAsia" w:ascii="宋体"/>
          <w:color w:val="000000"/>
          <w:szCs w:val="21"/>
        </w:rPr>
        <w:t xml:space="preserve">4、</w:t>
      </w:r>
      <w:r>
        <w:rPr>
          <w:rFonts w:ascii="宋体"/>
          <w:color w:val="000000"/>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p>
    <w:p>
      <w:pPr>
        <w:pStyle w:val="967"/>
        <w:ind w:firstLine="422"/>
        <w:spacing w:line="360" w:lineRule="auto"/>
        <w:rPr>
          <w:rFonts w:ascii="宋体" w:hAnsi="宋体"/>
          <w:b/>
        </w:rPr>
      </w:pPr>
      <w:r>
        <w:rPr>
          <w:rFonts w:hint="eastAsia" w:ascii="宋体" w:hAnsi="宋体"/>
          <w:b/>
        </w:rPr>
        <w:t xml:space="preserve">三、评分标准</w:t>
      </w:r>
      <w:r>
        <w:rPr>
          <w:rFonts w:ascii="宋体" w:hAnsi="宋体"/>
          <w:b/>
        </w:rPr>
      </w:r>
      <w:r/>
    </w:p>
    <w:p>
      <w:pPr>
        <w:pStyle w:val="967"/>
        <w:ind w:firstLine="422"/>
        <w:spacing w:line="360" w:lineRule="auto"/>
        <w:rPr>
          <w:rFonts w:ascii="宋体" w:hAnsi="宋体"/>
          <w:b/>
        </w:rPr>
      </w:pPr>
      <w:r>
        <w:rPr>
          <w:rFonts w:hint="eastAsia" w:ascii="宋体" w:hAnsi="宋体"/>
          <w:b/>
        </w:rPr>
        <w:t xml:space="preserve">（一）价格（15分）</w:t>
      </w:r>
      <w:r>
        <w:rPr>
          <w:rFonts w:ascii="宋体" w:hAnsi="宋体"/>
          <w:b/>
        </w:rPr>
      </w:r>
      <w:r/>
    </w:p>
    <w:p>
      <w:pPr>
        <w:pStyle w:val="967"/>
        <w:ind w:firstLine="420"/>
        <w:spacing w:line="360" w:lineRule="auto"/>
        <w:rPr>
          <w:rFonts w:ascii="宋体" w:hAnsi="宋体"/>
        </w:rPr>
      </w:pPr>
      <w:r>
        <w:rPr>
          <w:rFonts w:hint="eastAsia" w:ascii="宋体" w:hAnsi="宋体"/>
        </w:rPr>
        <w:t xml:space="preserve">1.</w:t>
      </w:r>
      <w:bookmarkStart w:id="56" w:name="_Hlk182915219"/>
      <w:r>
        <w:rPr>
          <w:rFonts w:ascii="宋体" w:hAnsi="宋体"/>
        </w:rPr>
        <w:t xml:space="preserve">投标</w:t>
      </w:r>
      <w:r>
        <w:rPr>
          <w:rFonts w:hint="eastAsia" w:ascii="宋体" w:hAnsi="宋体"/>
        </w:rPr>
        <w:t xml:space="preserve">总</w:t>
      </w:r>
      <w:r>
        <w:rPr>
          <w:rFonts w:ascii="宋体" w:hAnsi="宋体"/>
        </w:rPr>
        <w:t xml:space="preserve">报价低于或等于</w:t>
      </w:r>
      <w:r>
        <w:rPr>
          <w:rFonts w:hint="eastAsia" w:ascii="宋体" w:hAnsi="宋体"/>
        </w:rPr>
        <w:t xml:space="preserve">最高限价</w:t>
      </w:r>
      <w:r>
        <w:rPr>
          <w:rFonts w:ascii="宋体" w:hAnsi="宋体"/>
        </w:rPr>
        <w:t xml:space="preserve">的，为有效投标报价</w:t>
      </w:r>
      <w:bookmarkEnd w:id="56"/>
      <w:r>
        <w:rPr>
          <w:rFonts w:ascii="宋体" w:hAnsi="宋体"/>
        </w:rPr>
        <w:t xml:space="preserve">。</w:t>
      </w:r>
      <w:bookmarkStart w:id="57" w:name="OLE_LINK46"/>
      <w:r/>
      <w:bookmarkStart w:id="58" w:name="OLE_LINK47"/>
      <w:r>
        <w:rPr>
          <w:rFonts w:ascii="宋体" w:hAnsi="宋体"/>
        </w:rPr>
        <w:t xml:space="preserve">超</w:t>
      </w:r>
      <w:r>
        <w:rPr>
          <w:rFonts w:hint="eastAsia" w:ascii="宋体" w:hAnsi="宋体"/>
        </w:rPr>
        <w:t xml:space="preserve">最高限价</w:t>
      </w:r>
      <w:r>
        <w:rPr>
          <w:rFonts w:ascii="宋体" w:hAnsi="宋体"/>
        </w:rPr>
        <w:t xml:space="preserve">的投标报价为无效投标报价。无效投标报价的投标文件不进行评审，也不得</w:t>
      </w:r>
      <w:r>
        <w:rPr>
          <w:rFonts w:hint="eastAsia" w:ascii="宋体" w:hAnsi="宋体"/>
        </w:rPr>
        <w:t xml:space="preserve">中</w:t>
      </w:r>
      <w:r>
        <w:rPr>
          <w:rFonts w:ascii="宋体" w:hAnsi="宋体"/>
        </w:rPr>
        <w:t xml:space="preserve">标。</w:t>
      </w:r>
      <w:r/>
    </w:p>
    <w:p>
      <w:pPr>
        <w:pStyle w:val="967"/>
        <w:ind w:firstLine="420"/>
        <w:spacing w:line="360" w:lineRule="auto"/>
        <w:rPr>
          <w:rFonts w:ascii="宋体" w:hAnsi="宋体"/>
        </w:rPr>
      </w:pPr>
      <w:r/>
      <w:bookmarkEnd w:id="57"/>
      <w:r/>
      <w:bookmarkEnd w:id="58"/>
      <w:r>
        <w:rPr>
          <w:rFonts w:hint="eastAsia" w:ascii="宋体" w:hAnsi="宋体"/>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rPr>
        <w:t xml:space="preserve">（如构成未实质性响应招标文件要求的，将不得中标）</w:t>
      </w:r>
      <w:r>
        <w:rPr>
          <w:rFonts w:hint="eastAsia" w:ascii="宋体" w:hAnsi="宋体"/>
        </w:rPr>
        <w:t xml:space="preserve">。</w:t>
      </w:r>
      <w:r>
        <w:rPr>
          <w:rFonts w:ascii="宋体" w:hAnsi="宋体"/>
        </w:rPr>
      </w:r>
      <w:r/>
    </w:p>
    <w:p>
      <w:pPr>
        <w:pStyle w:val="967"/>
        <w:ind w:firstLine="420"/>
        <w:spacing w:line="360" w:lineRule="auto"/>
        <w:rPr>
          <w:rFonts w:ascii="宋体" w:hAnsi="宋体"/>
        </w:rPr>
      </w:pPr>
      <w:r>
        <w:rPr>
          <w:rFonts w:hint="eastAsia" w:ascii="宋体" w:hAnsi="宋体"/>
        </w:rPr>
        <w:t xml:space="preserve">3.价格得分计算方法：根据各投标单位通过符合性审查的有效投标报价中的最低价作为评标基准价，其价格分为满分。其他投标单位的价格分统一按照下列公式计算：</w:t>
      </w:r>
      <w:r>
        <w:rPr>
          <w:rFonts w:ascii="宋体" w:hAnsi="宋体"/>
        </w:rPr>
      </w:r>
      <w:r/>
    </w:p>
    <w:p>
      <w:pPr>
        <w:pStyle w:val="967"/>
        <w:ind w:right="-252" w:firstLine="405"/>
        <w:spacing w:line="360" w:lineRule="auto"/>
        <w:rPr>
          <w:rFonts w:hint="eastAsia" w:ascii="宋体" w:hAnsi="宋体" w:cs="Arial"/>
          <w:szCs w:val="21"/>
        </w:rPr>
      </w:pPr>
      <w:r/>
      <w:bookmarkStart w:id="59" w:name="OLE_LINK23"/>
      <w:r/>
      <w:bookmarkStart w:id="60" w:name="OLE_LINK22"/>
      <w:r>
        <w:rPr>
          <w:rFonts w:hint="eastAsia" w:ascii="宋体" w:hAnsi="宋体" w:cs="Arial"/>
          <w:szCs w:val="21"/>
        </w:rPr>
        <w:t xml:space="preserve">价格得分=（评标基准价/投标报价）×价格权重×100；（计算到小数点后二位）</w:t>
      </w:r>
      <w:r/>
    </w:p>
    <w:p>
      <w:pPr>
        <w:pStyle w:val="967"/>
        <w:numPr>
          <w:ilvl w:val="0"/>
          <w:numId w:val="18"/>
        </w:numPr>
        <w:ind w:firstLine="420"/>
        <w:spacing w:line="360" w:lineRule="auto"/>
        <w:tabs>
          <w:tab w:val="left" w:pos="312" w:leader="none"/>
        </w:tabs>
        <w:rPr>
          <w:rFonts w:hint="eastAsia" w:ascii="宋体" w:hAnsi="宋体" w:cs="宋体"/>
          <w:b/>
          <w:bCs/>
          <w:color w:val="000000"/>
        </w:rPr>
      </w:pPr>
      <w:r>
        <w:rPr>
          <w:rFonts w:hint="eastAsia" w:ascii="宋体" w:hAnsi="宋体" w:cs="宋体"/>
          <w:b/>
          <w:bCs/>
          <w:color w:val="000000"/>
        </w:rPr>
        <w:t xml:space="preserve">异常低价响应审查：</w:t>
      </w:r>
      <w:r/>
    </w:p>
    <w:p>
      <w:pPr>
        <w:pStyle w:val="967"/>
        <w:ind w:firstLine="420"/>
        <w:spacing w:line="360" w:lineRule="auto"/>
        <w:rPr>
          <w:rFonts w:ascii="宋体" w:hAnsi="宋体"/>
        </w:rPr>
      </w:pPr>
      <w:r>
        <w:rPr>
          <w:rFonts w:hint="eastAsia" w:ascii="宋体" w:hAnsi="宋体"/>
        </w:rPr>
        <w:t xml:space="preserve">4.1</w:t>
      </w:r>
      <w:r>
        <w:rPr>
          <w:rFonts w:ascii="宋体" w:hAnsi="宋体"/>
        </w:rPr>
        <w:t xml:space="preserve">.</w:t>
      </w:r>
      <w:r>
        <w:rPr>
          <w:rFonts w:hint="eastAsia" w:ascii="宋体" w:hAnsi="宋体"/>
        </w:rPr>
        <w:t xml:space="preserve">评审过程中出现下列情形之一的，评审委员会应当启动异常低价投标审查程序：</w:t>
      </w:r>
      <w:r>
        <w:rPr>
          <w:rFonts w:ascii="宋体" w:hAnsi="宋体"/>
        </w:rPr>
      </w:r>
      <w:r/>
    </w:p>
    <w:p>
      <w:pPr>
        <w:pStyle w:val="967"/>
        <w:ind w:firstLine="420"/>
        <w:spacing w:line="360" w:lineRule="auto"/>
        <w:rPr>
          <w:rFonts w:ascii="宋体" w:hAnsi="宋体"/>
        </w:rPr>
      </w:pPr>
      <w:r>
        <w:rPr>
          <w:rFonts w:hint="eastAsia" w:ascii="宋体" w:hAnsi="宋体"/>
        </w:rPr>
        <w:t xml:space="preserve">4.</w:t>
      </w: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rPr>
          <w:rFonts w:ascii="宋体" w:hAnsi="宋体"/>
        </w:rPr>
      </w:r>
      <w:r/>
    </w:p>
    <w:p>
      <w:pPr>
        <w:pStyle w:val="967"/>
        <w:ind w:firstLine="420"/>
        <w:spacing w:line="360" w:lineRule="auto"/>
        <w:rPr>
          <w:rFonts w:ascii="宋体" w:hAnsi="宋体"/>
        </w:rPr>
      </w:pPr>
      <w:r>
        <w:rPr>
          <w:rFonts w:hint="eastAsia" w:ascii="宋体" w:hAnsi="宋体"/>
        </w:rPr>
        <w:t xml:space="preserve">4.</w:t>
      </w: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rPr>
          <w:rFonts w:ascii="宋体" w:hAnsi="宋体"/>
        </w:rPr>
      </w:r>
      <w:r/>
    </w:p>
    <w:p>
      <w:pPr>
        <w:pStyle w:val="967"/>
        <w:ind w:firstLine="420"/>
        <w:spacing w:line="360" w:lineRule="auto"/>
        <w:rPr>
          <w:rFonts w:ascii="宋体" w:hAnsi="宋体"/>
        </w:rPr>
      </w:pPr>
      <w:r>
        <w:rPr>
          <w:rFonts w:hint="eastAsia" w:ascii="宋体" w:hAnsi="宋体"/>
        </w:rPr>
        <w:t xml:space="preserve">4.</w:t>
      </w: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rPr>
          <w:rFonts w:ascii="宋体" w:hAnsi="宋体"/>
        </w:rPr>
      </w:r>
      <w:r/>
    </w:p>
    <w:p>
      <w:pPr>
        <w:pStyle w:val="967"/>
        <w:ind w:firstLine="420"/>
        <w:spacing w:line="360" w:lineRule="auto"/>
        <w:rPr>
          <w:rFonts w:ascii="宋体" w:hAnsi="宋体"/>
        </w:rPr>
      </w:pPr>
      <w:r>
        <w:rPr>
          <w:rFonts w:hint="eastAsia" w:ascii="宋体" w:hAnsi="宋体"/>
        </w:rPr>
        <w:t xml:space="preserve">4.</w:t>
      </w: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rPr>
          <w:rFonts w:ascii="宋体" w:hAnsi="宋体"/>
        </w:rPr>
      </w:r>
      <w:r/>
    </w:p>
    <w:p>
      <w:pPr>
        <w:pStyle w:val="967"/>
        <w:ind w:firstLine="420"/>
        <w:spacing w:line="360" w:lineRule="auto"/>
        <w:rPr>
          <w:rFonts w:ascii="宋体" w:hAnsi="宋体"/>
        </w:rPr>
      </w:pPr>
      <w:r>
        <w:rPr>
          <w:rFonts w:hint="eastAsia" w:ascii="宋体" w:hAnsi="宋体"/>
        </w:rPr>
        <w:t xml:space="preserve">4.</w:t>
      </w: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rPr>
          <w:rFonts w:ascii="宋体" w:hAnsi="宋体"/>
        </w:rPr>
      </w:r>
      <w:r/>
    </w:p>
    <w:p>
      <w:pPr>
        <w:pStyle w:val="967"/>
        <w:ind w:firstLine="420"/>
        <w:spacing w:line="360" w:lineRule="auto"/>
        <w:rPr>
          <w:rFonts w:hint="eastAsia"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rPr>
        <w:t xml:space="preserve">审查相关情况应当在评审报告中进行记录。</w:t>
      </w:r>
      <w:r/>
    </w:p>
    <w:p>
      <w:pPr>
        <w:pStyle w:val="967"/>
        <w:ind w:firstLine="422"/>
        <w:spacing w:line="360" w:lineRule="auto"/>
        <w:rPr>
          <w:rFonts w:hint="eastAsia" w:ascii="宋体" w:hAnsi="宋体"/>
          <w:b/>
        </w:rPr>
      </w:pPr>
      <w:r/>
      <w:bookmarkEnd w:id="59"/>
      <w:r/>
      <w:bookmarkEnd w:id="60"/>
      <w:r>
        <w:rPr>
          <w:rFonts w:hint="eastAsia" w:ascii="宋体" w:hAnsi="宋体"/>
          <w:b/>
        </w:rPr>
      </w:r>
      <w:r/>
    </w:p>
    <w:p>
      <w:pPr>
        <w:pStyle w:val="967"/>
        <w:ind w:firstLine="422"/>
        <w:spacing w:line="360" w:lineRule="auto"/>
        <w:rPr>
          <w:rFonts w:hint="eastAsia" w:ascii="宋体" w:hAnsi="宋体" w:cs="宋体"/>
          <w:color w:val="000000"/>
          <w:szCs w:val="21"/>
        </w:rPr>
      </w:pPr>
      <w:r>
        <w:rPr>
          <w:rFonts w:hint="eastAsia" w:ascii="宋体" w:hAnsi="宋体"/>
          <w:b/>
        </w:rPr>
        <w:t xml:space="preserve">（二）技术部分(85分)</w:t>
      </w:r>
      <w:r>
        <w:rPr>
          <w:rFonts w:ascii="宋体" w:hAnsi="宋体" w:cs="宋体"/>
          <w:color w:val="000000"/>
          <w:szCs w:val="21"/>
        </w:rPr>
        <w:t xml:space="preserve"> </w:t>
      </w:r>
      <w:r>
        <w:rPr>
          <w:rFonts w:hint="eastAsia" w:ascii="宋体" w:hAnsi="宋体" w:cs="宋体"/>
          <w:color w:val="000000"/>
          <w:szCs w:val="21"/>
        </w:rPr>
      </w:r>
      <w:r/>
    </w:p>
    <w:p>
      <w:pPr>
        <w:pStyle w:val="967"/>
        <w:ind w:firstLine="420"/>
        <w:spacing w:line="360" w:lineRule="auto"/>
        <w:rPr>
          <w:rFonts w:ascii="宋体" w:hAnsi="宋体" w:cs="宋体"/>
          <w:color w:val="000000"/>
          <w:szCs w:val="21"/>
        </w:rPr>
      </w:pPr>
      <w:r>
        <w:rPr>
          <w:rFonts w:ascii="宋体" w:hAnsi="宋体" w:cs="宋体"/>
          <w:color w:val="000000"/>
          <w:szCs w:val="21"/>
        </w:rPr>
      </w:r>
      <w:r/>
    </w:p>
    <w:p>
      <w:pPr>
        <w:pStyle w:val="967"/>
        <w:spacing w:line="480" w:lineRule="auto"/>
        <w:rPr>
          <w:rFonts w:hint="eastAsia" w:ascii="仿宋_GB2312" w:eastAsia="仿宋_GB2312"/>
          <w:b/>
          <w:sz w:val="24"/>
        </w:rPr>
      </w:pPr>
      <w:r>
        <w:rPr>
          <w:rFonts w:hint="eastAsia" w:ascii="仿宋_GB2312" w:eastAsia="仿宋_GB2312"/>
          <w:b/>
          <w:sz w:val="24"/>
        </w:rPr>
        <w:t xml:space="preserve">初审评审指标</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4644"/>
      </w:tblGrid>
      <w:tr>
        <w:trPr>
          <w:trHeight w:val="240"/>
        </w:trPr>
        <w:tc>
          <w:tcPr>
            <w:tcW w:w="1133" w:type="dxa"/>
            <w:vAlign w:val="center"/>
            <w:textDirection w:val="lrTb"/>
            <w:noWrap w:val="false"/>
          </w:tcPr>
          <w:p>
            <w:pPr>
              <w:pStyle w:val="967"/>
              <w:jc w:val="center"/>
              <w:spacing w:line="520" w:lineRule="exact"/>
              <w:rPr>
                <w:rFonts w:hint="eastAsia" w:ascii="仿宋_GB2312" w:eastAsia="仿宋_GB2312"/>
                <w:sz w:val="24"/>
              </w:rPr>
            </w:pPr>
            <w:r/>
            <w:bookmarkStart w:id="61" w:name="gpc_accord_horizontal_1"/>
            <w:r>
              <w:rPr>
                <w:rFonts w:hint="eastAsia" w:ascii="仿宋_GB2312" w:eastAsia="仿宋_GB2312"/>
                <w:sz w:val="24"/>
              </w:rPr>
              <w:t xml:space="preserve">指标</w:t>
            </w:r>
            <w:r/>
          </w:p>
        </w:tc>
        <w:tc>
          <w:tcPr>
            <w:tcW w:w="4644" w:type="dxa"/>
            <w:vAlign w:val="top"/>
            <w:textDirection w:val="lrTb"/>
            <w:noWrap w:val="false"/>
          </w:tcPr>
          <w:p>
            <w:pPr>
              <w:pStyle w:val="967"/>
              <w:jc w:val="center"/>
              <w:spacing w:line="520" w:lineRule="exact"/>
              <w:rPr>
                <w:rFonts w:hint="eastAsia" w:ascii="仿宋_GB2312" w:eastAsia="仿宋_GB2312"/>
                <w:sz w:val="24"/>
              </w:rPr>
            </w:pPr>
            <w:r>
              <w:rPr>
                <w:rFonts w:hint="eastAsia" w:ascii="仿宋_GB2312" w:eastAsia="仿宋_GB2312"/>
                <w:sz w:val="24"/>
              </w:rPr>
              <w:t xml:space="preserve">描述</w:t>
            </w:r>
            <w:r/>
          </w:p>
        </w:tc>
      </w:tr>
      <w:tr>
        <w:trPr>
          <w:trHeight w:val="438"/>
        </w:trPr>
        <w:tc>
          <w:tcPr>
            <w:tcW w:w="1133" w:type="dxa"/>
            <w:vAlign w:val="top"/>
            <w:textDirection w:val="lrTb"/>
            <w:noWrap w:val="false"/>
          </w:tcPr>
          <w:p>
            <w:pPr>
              <w:pStyle w:val="967"/>
              <w:jc w:val="center"/>
              <w:spacing w:line="520" w:lineRule="exact"/>
              <w:rPr>
                <w:rFonts w:hint="eastAsia" w:ascii="仿宋_GB2312" w:eastAsia="仿宋_GB2312"/>
                <w:sz w:val="24"/>
              </w:rPr>
            </w:pPr>
            <w:r>
              <w:rPr>
                <w:rFonts w:hint="eastAsia" w:ascii="仿宋_GB2312" w:eastAsia="仿宋_GB2312"/>
                <w:sz w:val="24"/>
              </w:rPr>
              <w:t xml:space="preserve">资格性检查</w:t>
            </w:r>
            <w:r/>
          </w:p>
        </w:tc>
        <w:tc>
          <w:tcPr>
            <w:tcW w:w="4644" w:type="dxa"/>
            <w:vAlign w:val="top"/>
            <w:textDirection w:val="lrTb"/>
            <w:noWrap w:val="false"/>
          </w:tcPr>
          <w:p>
            <w:pPr>
              <w:pStyle w:val="967"/>
              <w:jc w:val="center"/>
              <w:spacing w:line="520" w:lineRule="exact"/>
              <w:rPr>
                <w:rFonts w:hint="eastAsia" w:ascii="仿宋_GB2312" w:eastAsia="仿宋_GB2312"/>
                <w:sz w:val="24"/>
              </w:rPr>
            </w:pPr>
            <w:r>
              <w:rPr>
                <w:rFonts w:hint="eastAsia" w:ascii="仿宋_GB2312" w:eastAsia="仿宋_GB2312"/>
                <w:sz w:val="24"/>
              </w:rPr>
              <w:t xml:space="preserve">详见招标文件</w:t>
            </w:r>
            <w:r/>
          </w:p>
        </w:tc>
      </w:tr>
      <w:tr>
        <w:trPr>
          <w:trHeight w:val="438"/>
        </w:trPr>
        <w:tc>
          <w:tcPr>
            <w:tcW w:w="1133" w:type="dxa"/>
            <w:vAlign w:val="top"/>
            <w:textDirection w:val="lrTb"/>
            <w:noWrap w:val="false"/>
          </w:tcPr>
          <w:p>
            <w:pPr>
              <w:pStyle w:val="967"/>
              <w:jc w:val="center"/>
              <w:spacing w:line="520" w:lineRule="exact"/>
              <w:rPr>
                <w:rFonts w:hint="eastAsia" w:ascii="仿宋_GB2312" w:eastAsia="仿宋_GB2312"/>
                <w:sz w:val="24"/>
              </w:rPr>
            </w:pPr>
            <w:r>
              <w:rPr>
                <w:rFonts w:hint="eastAsia" w:ascii="仿宋_GB2312" w:eastAsia="仿宋_GB2312"/>
                <w:sz w:val="24"/>
              </w:rPr>
              <w:t xml:space="preserve">符合性检查</w:t>
            </w:r>
            <w:r/>
          </w:p>
        </w:tc>
        <w:tc>
          <w:tcPr>
            <w:tcW w:w="4644" w:type="dxa"/>
            <w:vAlign w:val="top"/>
            <w:textDirection w:val="lrTb"/>
            <w:noWrap w:val="false"/>
          </w:tcPr>
          <w:p>
            <w:pPr>
              <w:pStyle w:val="967"/>
              <w:jc w:val="center"/>
              <w:spacing w:line="520" w:lineRule="exact"/>
              <w:rPr>
                <w:rFonts w:hint="eastAsia" w:ascii="仿宋_GB2312" w:eastAsia="仿宋_GB2312"/>
                <w:sz w:val="24"/>
              </w:rPr>
            </w:pPr>
            <w:r>
              <w:rPr>
                <w:rFonts w:hint="eastAsia" w:ascii="仿宋_GB2312" w:eastAsia="仿宋_GB2312"/>
                <w:sz w:val="24"/>
              </w:rPr>
              <w:t xml:space="preserve">详见招标文件</w:t>
            </w:r>
            <w:r/>
          </w:p>
        </w:tc>
      </w:tr>
    </w:tbl>
    <w:p>
      <w:pPr>
        <w:pStyle w:val="967"/>
        <w:rPr>
          <w:rFonts w:hint="eastAsia"/>
          <w:b/>
        </w:rPr>
      </w:pPr>
      <w:r/>
      <w:bookmarkEnd w:id="61"/>
      <w:r>
        <w:rPr>
          <w:rFonts w:hint="eastAsia"/>
          <w:b/>
        </w:rPr>
      </w:r>
      <w:r/>
    </w:p>
    <w:p>
      <w:pPr>
        <w:pStyle w:val="967"/>
        <w:rPr>
          <w:b/>
        </w:rPr>
      </w:pPr>
      <w:r>
        <w:rPr>
          <w:b/>
        </w:rPr>
      </w:r>
      <w:r/>
    </w:p>
    <w:p>
      <w:pPr>
        <w:pStyle w:val="967"/>
        <w:ind w:left="360"/>
        <w:jc w:val="left"/>
        <w:widowControl/>
        <w:rPr>
          <w:rFonts w:hint="eastAsia" w:ascii="仿宋_GB2312" w:hAnsi="宋体" w:eastAsia="仿宋_GB2312" w:cs="宋体"/>
          <w:color w:val="000000"/>
          <w:sz w:val="24"/>
        </w:rPr>
      </w:pPr>
      <w:r>
        <w:rPr>
          <w:rFonts w:hint="eastAsia" w:ascii="仿宋_GB2312" w:hAnsi="宋体" w:eastAsia="仿宋_GB2312" w:cs="宋体"/>
          <w:color w:val="000000"/>
          <w:sz w:val="24"/>
        </w:rPr>
      </w:r>
      <w:r/>
    </w:p>
    <w:p>
      <w:pPr>
        <w:pStyle w:val="967"/>
        <w:rPr>
          <w:rFonts w:hint="eastAsia"/>
          <w:b/>
        </w:rPr>
      </w:pPr>
      <w:r>
        <w:rPr>
          <w:rFonts w:hint="eastAsia"/>
          <w:b/>
        </w:rPr>
        <w:t xml:space="preserve">复审评审指标</w:t>
      </w:r>
      <w:r>
        <w:rPr>
          <w:b/>
        </w:rPr>
        <w:t xml:space="preserve">  </w:t>
      </w:r>
      <w:r>
        <w:rPr>
          <w:rFonts w:hint="eastAsia"/>
          <w:b/>
        </w:rPr>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274"/>
        <w:gridCol w:w="6522"/>
        <w:gridCol w:w="709"/>
      </w:tblGrid>
      <w:tr>
        <w:trPr>
          <w:trHeight w:val="359"/>
        </w:trPr>
        <w:tc>
          <w:tcPr>
            <w:tcW w:w="1277" w:type="dxa"/>
            <w:vAlign w:val="top"/>
            <w:textDirection w:val="lrTb"/>
            <w:noWrap w:val="false"/>
          </w:tcPr>
          <w:p>
            <w:pPr>
              <w:pStyle w:val="967"/>
              <w:jc w:val="center"/>
              <w:spacing w:line="276" w:lineRule="auto"/>
              <w:rPr>
                <w:rFonts w:hint="eastAsia" w:ascii="宋体" w:hAnsi="宋体"/>
                <w:color w:val="000000"/>
                <w:szCs w:val="21"/>
              </w:rPr>
            </w:pPr>
            <w:r>
              <w:rPr>
                <w:rFonts w:hint="eastAsia" w:ascii="宋体" w:hAnsi="宋体"/>
                <w:color w:val="000000"/>
                <w:szCs w:val="21"/>
              </w:rPr>
              <w:t xml:space="preserve">评审类别</w:t>
            </w:r>
            <w:r/>
          </w:p>
        </w:tc>
        <w:tc>
          <w:tcPr>
            <w:tcW w:w="1274" w:type="dxa"/>
            <w:vAlign w:val="center"/>
            <w:textDirection w:val="lrTb"/>
            <w:noWrap w:val="false"/>
          </w:tcPr>
          <w:p>
            <w:pPr>
              <w:pStyle w:val="967"/>
              <w:jc w:val="left"/>
              <w:spacing w:line="276" w:lineRule="auto"/>
              <w:rPr>
                <w:rFonts w:hint="eastAsia" w:ascii="宋体" w:hAnsi="宋体"/>
                <w:color w:val="000000"/>
                <w:szCs w:val="21"/>
              </w:rPr>
            </w:pPr>
            <w:r>
              <w:rPr>
                <w:rFonts w:hint="eastAsia" w:ascii="宋体" w:hAnsi="宋体"/>
                <w:color w:val="000000"/>
                <w:szCs w:val="21"/>
              </w:rPr>
              <w:t xml:space="preserve">评审项</w:t>
            </w:r>
            <w:r/>
          </w:p>
        </w:tc>
        <w:tc>
          <w:tcPr>
            <w:tcW w:w="6522" w:type="dxa"/>
            <w:vAlign w:val="top"/>
            <w:textDirection w:val="lrTb"/>
            <w:noWrap w:val="false"/>
          </w:tcPr>
          <w:p>
            <w:pPr>
              <w:pStyle w:val="967"/>
              <w:jc w:val="left"/>
              <w:spacing w:line="276" w:lineRule="auto"/>
              <w:rPr>
                <w:rFonts w:hint="eastAsia" w:ascii="宋体" w:hAnsi="宋体"/>
                <w:color w:val="000000"/>
                <w:szCs w:val="21"/>
              </w:rPr>
            </w:pPr>
            <w:r>
              <w:rPr>
                <w:rFonts w:hint="eastAsia" w:ascii="宋体" w:hAnsi="宋体"/>
                <w:color w:val="000000"/>
                <w:szCs w:val="21"/>
              </w:rPr>
              <w:t xml:space="preserve">评审规则</w:t>
            </w:r>
            <w:r/>
          </w:p>
        </w:tc>
        <w:tc>
          <w:tcPr>
            <w:tcW w:w="709" w:type="dxa"/>
            <w:vAlign w:val="top"/>
            <w:textDirection w:val="lrTb"/>
            <w:noWrap w:val="false"/>
          </w:tcPr>
          <w:p>
            <w:pPr>
              <w:pStyle w:val="967"/>
              <w:jc w:val="center"/>
              <w:spacing w:line="276" w:lineRule="auto"/>
              <w:rPr>
                <w:rFonts w:hint="eastAsia" w:ascii="宋体" w:hAnsi="宋体"/>
                <w:color w:val="000000"/>
                <w:szCs w:val="21"/>
              </w:rPr>
            </w:pPr>
            <w:r>
              <w:rPr>
                <w:rFonts w:hint="eastAsia" w:ascii="宋体" w:hAnsi="宋体"/>
                <w:color w:val="000000"/>
                <w:szCs w:val="21"/>
              </w:rPr>
              <w:t xml:space="preserve">分值</w:t>
            </w:r>
            <w:r/>
          </w:p>
        </w:tc>
      </w:tr>
      <w:tr>
        <w:trPr>
          <w:trHeight w:val="743"/>
        </w:trPr>
        <w:tc>
          <w:tcPr>
            <w:tcW w:w="1277" w:type="dxa"/>
            <w:vAlign w:val="top"/>
            <w:textDirection w:val="lrTb"/>
            <w:noWrap w:val="false"/>
          </w:tcPr>
          <w:p>
            <w:pPr>
              <w:pStyle w:val="967"/>
              <w:jc w:val="center"/>
              <w:spacing w:line="276" w:lineRule="auto"/>
              <w:rPr>
                <w:rFonts w:hint="eastAsia" w:ascii="宋体" w:hAnsi="宋体"/>
                <w:color w:val="000000"/>
                <w:szCs w:val="21"/>
              </w:rPr>
            </w:pPr>
            <w:r>
              <w:rPr>
                <w:rFonts w:hint="eastAsia" w:ascii="宋体" w:hAnsi="宋体"/>
                <w:color w:val="000000"/>
                <w:szCs w:val="21"/>
              </w:rPr>
              <w:t xml:space="preserve">价格（15分）</w:t>
            </w:r>
            <w:r/>
          </w:p>
        </w:tc>
        <w:tc>
          <w:tcPr>
            <w:tcW w:w="1274" w:type="dxa"/>
            <w:vAlign w:val="top"/>
            <w:textDirection w:val="lrTb"/>
            <w:noWrap w:val="false"/>
          </w:tcPr>
          <w:p>
            <w:pPr>
              <w:pStyle w:val="967"/>
              <w:jc w:val="left"/>
              <w:spacing w:line="276" w:lineRule="auto"/>
              <w:rPr>
                <w:rFonts w:hint="eastAsia" w:ascii="宋体" w:hAnsi="宋体"/>
                <w:color w:val="000000"/>
                <w:szCs w:val="21"/>
              </w:rPr>
            </w:pPr>
            <w:r>
              <w:rPr>
                <w:rFonts w:hint="eastAsia" w:ascii="宋体" w:hAnsi="宋体"/>
                <w:color w:val="000000"/>
                <w:szCs w:val="21"/>
              </w:rPr>
              <w:t xml:space="preserve">价格评审指标（15分）</w:t>
            </w:r>
            <w:r/>
          </w:p>
        </w:tc>
        <w:tc>
          <w:tcPr>
            <w:tcW w:w="6522" w:type="dxa"/>
            <w:vAlign w:val="top"/>
            <w:textDirection w:val="lrTb"/>
            <w:noWrap w:val="false"/>
          </w:tcPr>
          <w:p>
            <w:pPr>
              <w:pStyle w:val="967"/>
              <w:jc w:val="left"/>
              <w:spacing w:line="276" w:lineRule="auto"/>
              <w:rPr>
                <w:rFonts w:hint="eastAsia" w:ascii="宋体" w:hAnsi="宋体"/>
                <w:color w:val="000000"/>
                <w:szCs w:val="21"/>
              </w:rPr>
            </w:pPr>
            <w:r>
              <w:rPr>
                <w:rFonts w:hint="eastAsia" w:ascii="宋体" w:hAnsi="宋体"/>
                <w:color w:val="000000"/>
                <w:szCs w:val="21"/>
              </w:rPr>
              <w:t xml:space="preserve">（评标基准价／投标报价）×价格权值×100；（</w:t>
            </w:r>
            <w:r>
              <w:rPr>
                <w:rFonts w:hint="eastAsia" w:ascii="宋体" w:hAnsi="宋体" w:cs="Arial"/>
                <w:color w:val="000000"/>
                <w:szCs w:val="21"/>
              </w:rPr>
              <w:t xml:space="preserve">计算到小数点后二位）</w:t>
            </w:r>
            <w:r>
              <w:rPr>
                <w:rFonts w:hint="eastAsia" w:ascii="宋体" w:hAnsi="宋体"/>
                <w:color w:val="000000"/>
                <w:szCs w:val="21"/>
              </w:rPr>
              <w:t xml:space="preserve">超预算的投标报价不进入评标程序。</w:t>
            </w:r>
            <w:r/>
          </w:p>
        </w:tc>
        <w:tc>
          <w:tcPr>
            <w:tcW w:w="709" w:type="dxa"/>
            <w:vAlign w:val="center"/>
            <w:textDirection w:val="lrTb"/>
            <w:noWrap w:val="false"/>
          </w:tcPr>
          <w:p>
            <w:pPr>
              <w:pStyle w:val="967"/>
              <w:jc w:val="center"/>
              <w:spacing w:line="360" w:lineRule="auto"/>
              <w:rPr>
                <w:rFonts w:hint="eastAsia" w:ascii="宋体" w:hAnsi="宋体"/>
              </w:rPr>
            </w:pPr>
            <w:r>
              <w:rPr>
                <w:rFonts w:hint="eastAsia" w:ascii="宋体" w:hAnsi="宋体"/>
              </w:rPr>
              <w:t xml:space="preserve">15分</w:t>
            </w:r>
            <w:r/>
          </w:p>
        </w:tc>
      </w:tr>
      <w:tr>
        <w:trPr>
          <w:cantSplit/>
          <w:trHeight w:val="1939"/>
        </w:trPr>
        <w:tc>
          <w:tcPr>
            <w:tcW w:w="1277" w:type="dxa"/>
            <w:vAlign w:val="center"/>
            <w:vMerge w:val="restart"/>
            <w:textDirection w:val="lrTb"/>
            <w:noWrap/>
          </w:tcPr>
          <w:p>
            <w:pPr>
              <w:pStyle w:val="967"/>
              <w:spacing w:line="360" w:lineRule="auto"/>
              <w:rPr>
                <w:rFonts w:hint="eastAsia" w:ascii="宋体" w:hAnsi="宋体"/>
                <w:b/>
                <w:szCs w:val="21"/>
              </w:rPr>
            </w:pPr>
            <w:r>
              <w:rPr>
                <w:rFonts w:hint="eastAsia" w:ascii="宋体" w:hAnsi="宋体"/>
                <w:b/>
                <w:szCs w:val="21"/>
              </w:rPr>
              <w:t xml:space="preserve">项目实施方案（72分）</w:t>
            </w:r>
            <w:r/>
          </w:p>
        </w:tc>
        <w:tc>
          <w:tcPr>
            <w:tcW w:w="1274" w:type="dxa"/>
            <w:vAlign w:val="center"/>
            <w:textDirection w:val="lrTb"/>
            <w:noWrap/>
          </w:tcPr>
          <w:p>
            <w:pPr>
              <w:pStyle w:val="967"/>
              <w:spacing w:line="360" w:lineRule="auto"/>
              <w:rPr>
                <w:rFonts w:hint="eastAsia" w:ascii="宋体" w:hAnsi="宋体"/>
                <w:szCs w:val="21"/>
              </w:rPr>
            </w:pPr>
            <w:r>
              <w:rPr>
                <w:rFonts w:hint="eastAsia" w:ascii="宋体" w:hAnsi="宋体"/>
                <w:szCs w:val="21"/>
              </w:rPr>
              <w:t xml:space="preserve">污水处理工艺深化设计方案</w:t>
            </w:r>
            <w:r/>
          </w:p>
        </w:tc>
        <w:tc>
          <w:tcPr>
            <w:tcW w:w="6522" w:type="dxa"/>
            <w:vAlign w:val="center"/>
            <w:textDirection w:val="lrTb"/>
            <w:noWrap/>
          </w:tcPr>
          <w:p>
            <w:pPr>
              <w:pStyle w:val="967"/>
              <w:spacing w:line="360" w:lineRule="auto"/>
              <w:rPr>
                <w:rFonts w:hint="eastAsia" w:ascii="宋体" w:hAnsi="宋体"/>
                <w:szCs w:val="21"/>
              </w:rPr>
            </w:pPr>
            <w:r>
              <w:rPr>
                <w:rFonts w:hint="eastAsia" w:ascii="宋体" w:hAnsi="宋体"/>
                <w:szCs w:val="21"/>
              </w:rPr>
              <w:t xml:space="preserve">提供</w:t>
            </w:r>
            <w:r>
              <w:rPr>
                <w:rFonts w:hint="eastAsia" w:ascii="宋体" w:hAnsi="宋体"/>
                <w:color w:val="000000"/>
                <w:szCs w:val="21"/>
              </w:rPr>
              <w:t xml:space="preserve">包括但不限于</w:t>
            </w:r>
            <w:r>
              <w:rPr>
                <w:rFonts w:hint="eastAsia" w:ascii="宋体" w:hAnsi="宋体"/>
                <w:szCs w:val="21"/>
              </w:rPr>
              <w:t xml:space="preserve">工艺设计总体说明、工作原理图及说明、工艺流程图、管道布局图、设备布置尺寸图、平面布置图。方案详细完整、工艺先进、完全满足采购需求的得10分；方案比较完善、基本符合采购需求的得7分；方案有所欠缺、采购需求符合性不足的得5分；与项目实际不符或不提供内容的不得分。</w:t>
            </w:r>
            <w:r/>
          </w:p>
        </w:tc>
        <w:tc>
          <w:tcPr>
            <w:tcW w:w="709" w:type="dxa"/>
            <w:vAlign w:val="center"/>
            <w:textDirection w:val="lrTb"/>
            <w:noWrap/>
          </w:tcPr>
          <w:p>
            <w:pPr>
              <w:pStyle w:val="967"/>
              <w:jc w:val="left"/>
              <w:spacing w:line="360" w:lineRule="auto"/>
              <w:rPr>
                <w:rFonts w:hint="eastAsia" w:ascii="宋体" w:hAnsi="宋体"/>
                <w:szCs w:val="21"/>
              </w:rPr>
            </w:pPr>
            <w:r>
              <w:rPr>
                <w:rFonts w:hint="eastAsia" w:ascii="宋体" w:hAnsi="宋体"/>
                <w:szCs w:val="21"/>
              </w:rPr>
              <w:t xml:space="preserve">10分</w:t>
            </w:r>
            <w:r/>
          </w:p>
        </w:tc>
      </w:tr>
      <w:tr>
        <w:trPr>
          <w:cantSplit/>
          <w:trHeight w:val="895"/>
        </w:trPr>
        <w:tc>
          <w:tcPr>
            <w:tcW w:w="1277" w:type="dxa"/>
            <w:vAlign w:val="center"/>
            <w:vMerge w:val="continue"/>
            <w:textDirection w:val="lrTb"/>
            <w:noWrap/>
          </w:tcPr>
          <w:p>
            <w:pPr>
              <w:pStyle w:val="967"/>
              <w:jc w:val="center"/>
              <w:rPr>
                <w:rFonts w:hint="eastAsia" w:ascii="宋体" w:hAnsi="宋体" w:cs="宋体"/>
                <w:bCs/>
                <w:color w:val="000000"/>
                <w:szCs w:val="21"/>
              </w:rPr>
            </w:pPr>
            <w:r>
              <w:rPr>
                <w:rFonts w:hint="eastAsia" w:ascii="宋体" w:hAnsi="宋体" w:cs="宋体"/>
                <w:bCs/>
                <w:color w:val="000000"/>
                <w:szCs w:val="21"/>
              </w:rPr>
            </w:r>
            <w:r/>
          </w:p>
        </w:tc>
        <w:tc>
          <w:tcPr>
            <w:tcW w:w="1274" w:type="dxa"/>
            <w:vAlign w:val="center"/>
            <w:textDirection w:val="lrTb"/>
            <w:noWrap/>
          </w:tcPr>
          <w:p>
            <w:pPr>
              <w:pStyle w:val="967"/>
              <w:rPr>
                <w:rFonts w:hint="eastAsia" w:ascii="宋体" w:hAnsi="宋体" w:cs="宋体"/>
                <w:bCs/>
                <w:color w:val="000000"/>
                <w:szCs w:val="21"/>
              </w:rPr>
            </w:pPr>
            <w:r>
              <w:rPr>
                <w:rFonts w:hint="eastAsia" w:ascii="宋体" w:hAnsi="宋体"/>
                <w:bCs/>
                <w:color w:val="000000"/>
                <w:szCs w:val="21"/>
              </w:rPr>
              <w:t xml:space="preserve">系统设备安装实施方案</w:t>
            </w:r>
            <w:r>
              <w:rPr>
                <w:rFonts w:hint="eastAsia" w:ascii="宋体" w:hAnsi="宋体" w:cs="宋体"/>
                <w:bCs/>
                <w:color w:val="000000"/>
                <w:szCs w:val="21"/>
              </w:rPr>
            </w:r>
            <w:r/>
          </w:p>
        </w:tc>
        <w:tc>
          <w:tcPr>
            <w:tcW w:w="6522" w:type="dxa"/>
            <w:vAlign w:val="center"/>
            <w:textDirection w:val="lrTb"/>
            <w:noWrap/>
          </w:tcPr>
          <w:p>
            <w:pPr>
              <w:pStyle w:val="967"/>
              <w:jc w:val="left"/>
              <w:spacing w:line="360" w:lineRule="auto"/>
              <w:widowControl/>
              <w:rPr>
                <w:rFonts w:hint="eastAsia" w:ascii="宋体" w:hAnsi="宋体"/>
                <w:bCs/>
                <w:color w:val="000000"/>
                <w:szCs w:val="21"/>
              </w:rPr>
            </w:pPr>
            <w:r>
              <w:rPr>
                <w:rFonts w:hint="eastAsia" w:ascii="宋体" w:hAnsi="宋体"/>
                <w:bCs/>
                <w:color w:val="000000"/>
                <w:szCs w:val="21"/>
              </w:rPr>
              <w:t xml:space="preserve">提供系统设备安装实施方案，包括但不限于实施部署、通用设备和主要设备安装、管道安装等方案。方案详细完整、措施科学合理、技术可行性强、流程标准规范的得10分；方案较为完整、措施较为合理、技术可行性一般、流程基本规范的得7分；方案简单笼统、措施合理性、技术可行性、流程规范性不足的得5分；与项目实际不符或不提供内容的不得分。</w:t>
            </w:r>
            <w:r/>
          </w:p>
        </w:tc>
        <w:tc>
          <w:tcPr>
            <w:tcW w:w="709" w:type="dxa"/>
            <w:vAlign w:val="center"/>
            <w:textDirection w:val="lrTb"/>
            <w:noWrap/>
          </w:tcPr>
          <w:p>
            <w:pPr>
              <w:pStyle w:val="967"/>
              <w:jc w:val="left"/>
              <w:spacing w:line="276" w:lineRule="auto"/>
              <w:rPr>
                <w:rFonts w:hint="eastAsia" w:ascii="宋体" w:hAnsi="宋体"/>
                <w:color w:val="000000"/>
                <w:szCs w:val="21"/>
              </w:rPr>
            </w:pPr>
            <w:r>
              <w:rPr>
                <w:rFonts w:hint="eastAsia" w:ascii="宋体" w:hAnsi="宋体"/>
                <w:color w:val="000000"/>
                <w:szCs w:val="21"/>
              </w:rPr>
              <w:t xml:space="preserve">10分</w:t>
            </w:r>
            <w:r/>
          </w:p>
        </w:tc>
      </w:tr>
      <w:tr>
        <w:trPr>
          <w:cantSplit/>
          <w:trHeight w:val="895"/>
        </w:trPr>
        <w:tc>
          <w:tcPr>
            <w:tcW w:w="1277" w:type="dxa"/>
            <w:vAlign w:val="center"/>
            <w:vMerge w:val="continue"/>
            <w:textDirection w:val="lrTb"/>
            <w:noWrap/>
          </w:tcPr>
          <w:p>
            <w:pPr>
              <w:pStyle w:val="967"/>
              <w:jc w:val="center"/>
              <w:rPr>
                <w:rFonts w:hint="eastAsia" w:ascii="宋体" w:hAnsi="宋体" w:cs="宋体"/>
                <w:bCs/>
                <w:color w:val="000000"/>
                <w:szCs w:val="21"/>
              </w:rPr>
            </w:pPr>
            <w:r>
              <w:rPr>
                <w:rFonts w:hint="eastAsia" w:ascii="宋体" w:hAnsi="宋体" w:cs="宋体"/>
                <w:bCs/>
                <w:color w:val="000000"/>
                <w:szCs w:val="21"/>
              </w:rPr>
            </w:r>
            <w:r/>
          </w:p>
        </w:tc>
        <w:tc>
          <w:tcPr>
            <w:tcW w:w="1274" w:type="dxa"/>
            <w:vAlign w:val="center"/>
            <w:textDirection w:val="lrTb"/>
            <w:noWrap/>
          </w:tcPr>
          <w:p>
            <w:pPr>
              <w:pStyle w:val="967"/>
              <w:jc w:val="left"/>
              <w:spacing w:line="360" w:lineRule="auto"/>
              <w:widowControl/>
              <w:rPr>
                <w:rFonts w:hint="eastAsia" w:ascii="宋体" w:hAnsi="宋体"/>
                <w:bCs/>
                <w:color w:val="000000"/>
                <w:szCs w:val="21"/>
              </w:rPr>
            </w:pPr>
            <w:r>
              <w:rPr>
                <w:rFonts w:hint="eastAsia" w:ascii="宋体" w:hAnsi="宋体"/>
                <w:bCs/>
                <w:color w:val="000000"/>
                <w:szCs w:val="21"/>
              </w:rPr>
              <w:t xml:space="preserve">系统运行信息化联调联动调试方案</w:t>
            </w:r>
            <w:r/>
          </w:p>
        </w:tc>
        <w:tc>
          <w:tcPr>
            <w:tcW w:w="6522" w:type="dxa"/>
            <w:vAlign w:val="center"/>
            <w:textDirection w:val="lrTb"/>
            <w:noWrap/>
          </w:tcPr>
          <w:p>
            <w:pPr>
              <w:pStyle w:val="967"/>
              <w:jc w:val="left"/>
              <w:spacing w:line="360" w:lineRule="auto"/>
              <w:widowControl/>
              <w:rPr>
                <w:rFonts w:hint="eastAsia" w:ascii="宋体" w:hAnsi="宋体"/>
                <w:bCs/>
                <w:color w:val="000000"/>
                <w:szCs w:val="21"/>
              </w:rPr>
            </w:pPr>
            <w:r>
              <w:rPr>
                <w:rFonts w:hint="eastAsia" w:ascii="宋体" w:hAnsi="宋体"/>
                <w:bCs/>
                <w:color w:val="000000"/>
                <w:szCs w:val="21"/>
              </w:rPr>
              <w:t xml:space="preserve">提供系统运行信息化联调联动调试方案，包括但不限于单机调试、联动调试、试运行、安装调试保证措施等方案。</w:t>
            </w:r>
            <w:r/>
          </w:p>
          <w:p>
            <w:pPr>
              <w:pStyle w:val="967"/>
              <w:jc w:val="left"/>
              <w:spacing w:line="360" w:lineRule="auto"/>
              <w:widowControl/>
              <w:rPr>
                <w:rFonts w:hint="eastAsia" w:ascii="宋体" w:hAnsi="宋体"/>
                <w:bCs/>
                <w:color w:val="000000"/>
                <w:szCs w:val="21"/>
              </w:rPr>
            </w:pPr>
            <w:r>
              <w:rPr>
                <w:rFonts w:hint="eastAsia" w:ascii="宋体" w:hAnsi="宋体"/>
                <w:bCs/>
                <w:color w:val="000000"/>
                <w:szCs w:val="21"/>
              </w:rPr>
              <w:t xml:space="preserve">方案详细完整、措施科学合理、技术可行性强、流程标准规范的得10分；方案较为完整、措施较为合理、技术可行性一般、流程基本规范的得7分；方案简单笼统、措施合理性、技术可行性、流程规范性不足的得5分；与项目实际不符或不提供内容的不得分。</w:t>
            </w:r>
            <w:r/>
          </w:p>
        </w:tc>
        <w:tc>
          <w:tcPr>
            <w:tcW w:w="709" w:type="dxa"/>
            <w:vAlign w:val="center"/>
            <w:textDirection w:val="lrTb"/>
            <w:noWrap/>
          </w:tcPr>
          <w:p>
            <w:pPr>
              <w:pStyle w:val="967"/>
              <w:jc w:val="left"/>
              <w:spacing w:line="276" w:lineRule="auto"/>
              <w:rPr>
                <w:rFonts w:hint="eastAsia" w:ascii="宋体" w:hAnsi="宋体"/>
                <w:color w:val="000000"/>
                <w:szCs w:val="21"/>
              </w:rPr>
            </w:pPr>
            <w:r>
              <w:rPr>
                <w:rFonts w:hint="eastAsia" w:ascii="宋体" w:hAnsi="宋体"/>
                <w:color w:val="000000"/>
                <w:szCs w:val="21"/>
              </w:rPr>
              <w:t xml:space="preserve">10分</w:t>
            </w:r>
            <w:r/>
          </w:p>
        </w:tc>
      </w:tr>
      <w:tr>
        <w:trPr>
          <w:cantSplit/>
          <w:trHeight w:val="835"/>
        </w:trPr>
        <w:tc>
          <w:tcPr>
            <w:tcW w:w="1277" w:type="dxa"/>
            <w:vAlign w:val="center"/>
            <w:vMerge w:val="continue"/>
            <w:textDirection w:val="lrTb"/>
            <w:noWrap/>
          </w:tcPr>
          <w:p>
            <w:pPr>
              <w:pStyle w:val="967"/>
              <w:jc w:val="center"/>
              <w:rPr>
                <w:rFonts w:hint="eastAsia" w:ascii="宋体" w:hAnsi="宋体" w:cs="宋体"/>
                <w:bCs/>
                <w:color w:val="000000"/>
                <w:szCs w:val="21"/>
              </w:rPr>
            </w:pPr>
            <w:r>
              <w:rPr>
                <w:rFonts w:hint="eastAsia" w:ascii="宋体" w:hAnsi="宋体" w:cs="宋体"/>
                <w:bCs/>
                <w:color w:val="000000"/>
                <w:szCs w:val="21"/>
              </w:rPr>
            </w:r>
            <w:r/>
          </w:p>
        </w:tc>
        <w:tc>
          <w:tcPr>
            <w:tcW w:w="1274" w:type="dxa"/>
            <w:vAlign w:val="center"/>
            <w:textDirection w:val="lrTb"/>
            <w:noWrap/>
          </w:tcPr>
          <w:p>
            <w:pPr>
              <w:pStyle w:val="967"/>
              <w:jc w:val="left"/>
              <w:spacing w:line="360" w:lineRule="auto"/>
              <w:rPr>
                <w:rFonts w:hint="eastAsia" w:ascii="宋体" w:hAnsi="宋体" w:cs="宋体"/>
                <w:color w:val="000000"/>
                <w:szCs w:val="21"/>
              </w:rPr>
            </w:pPr>
            <w:r>
              <w:rPr>
                <w:rFonts w:hint="eastAsia" w:ascii="宋体" w:hAnsi="宋体"/>
                <w:bCs/>
                <w:color w:val="000000"/>
                <w:szCs w:val="21"/>
              </w:rPr>
              <w:t xml:space="preserve">提供实施组织方案</w:t>
            </w:r>
            <w:r>
              <w:rPr>
                <w:rFonts w:hint="eastAsia" w:ascii="宋体" w:hAnsi="宋体" w:cs="宋体"/>
                <w:color w:val="000000"/>
                <w:szCs w:val="21"/>
              </w:rPr>
            </w:r>
            <w:r/>
          </w:p>
        </w:tc>
        <w:tc>
          <w:tcPr>
            <w:tcW w:w="6522" w:type="dxa"/>
            <w:vAlign w:val="center"/>
            <w:textDirection w:val="lrTb"/>
            <w:noWrap/>
          </w:tcPr>
          <w:p>
            <w:pPr>
              <w:pStyle w:val="967"/>
              <w:jc w:val="left"/>
              <w:spacing w:line="360" w:lineRule="auto"/>
              <w:widowControl/>
              <w:rPr>
                <w:rFonts w:hint="eastAsia" w:ascii="宋体" w:hAnsi="宋体"/>
                <w:bCs/>
                <w:color w:val="000000"/>
                <w:szCs w:val="21"/>
              </w:rPr>
            </w:pPr>
            <w:r>
              <w:rPr>
                <w:rFonts w:hint="eastAsia" w:ascii="宋体" w:hAnsi="宋体"/>
                <w:bCs/>
                <w:color w:val="000000"/>
                <w:szCs w:val="21"/>
              </w:rPr>
              <w:t xml:space="preserve">提供实施组织方案，包括但不限于项目团队组织、质量保证措施、工期保证措施、安全文明环保实施措施等方案。</w:t>
            </w:r>
            <w:r/>
          </w:p>
          <w:p>
            <w:pPr>
              <w:pStyle w:val="967"/>
              <w:jc w:val="left"/>
              <w:spacing w:line="360" w:lineRule="auto"/>
              <w:widowControl/>
              <w:rPr>
                <w:rFonts w:hint="eastAsia" w:ascii="宋体" w:hAnsi="宋体"/>
                <w:bCs/>
                <w:color w:val="000000"/>
                <w:szCs w:val="21"/>
              </w:rPr>
            </w:pPr>
            <w:r>
              <w:rPr>
                <w:rFonts w:hint="eastAsia" w:ascii="宋体" w:hAnsi="宋体"/>
                <w:bCs/>
                <w:color w:val="000000"/>
                <w:szCs w:val="21"/>
              </w:rPr>
              <w:t xml:space="preserve">方案详细完整、措施科学合理、技术可行性强、流程标准规范的得10分；方案较为完整、措施较为合理、技术可行性一般、流程基本规范的得7分；方案简单笼统、措施合理性、技术可行性、流程规范性不足的得5分；与项目实际不符或不提供内容的不得分。</w:t>
            </w:r>
            <w:r/>
          </w:p>
        </w:tc>
        <w:tc>
          <w:tcPr>
            <w:tcW w:w="709" w:type="dxa"/>
            <w:vAlign w:val="center"/>
            <w:textDirection w:val="lrTb"/>
            <w:noWrap/>
          </w:tcPr>
          <w:p>
            <w:pPr>
              <w:pStyle w:val="967"/>
              <w:jc w:val="left"/>
              <w:spacing w:line="276" w:lineRule="auto"/>
              <w:rPr>
                <w:rFonts w:hint="eastAsia" w:ascii="宋体" w:hAnsi="宋体"/>
                <w:color w:val="000000"/>
                <w:szCs w:val="21"/>
              </w:rPr>
            </w:pPr>
            <w:r>
              <w:rPr>
                <w:rFonts w:hint="eastAsia" w:ascii="宋体" w:hAnsi="宋体"/>
                <w:color w:val="000000"/>
                <w:szCs w:val="21"/>
              </w:rPr>
              <w:t xml:space="preserve">10分</w:t>
            </w:r>
            <w:r/>
          </w:p>
        </w:tc>
      </w:tr>
      <w:tr>
        <w:trPr>
          <w:cantSplit/>
          <w:trHeight w:val="2076"/>
        </w:trPr>
        <w:tc>
          <w:tcPr>
            <w:tcW w:w="1277" w:type="dxa"/>
            <w:vAlign w:val="center"/>
            <w:vMerge w:val="continue"/>
            <w:textDirection w:val="lrTb"/>
            <w:noWrap/>
          </w:tcPr>
          <w:p>
            <w:pPr>
              <w:pStyle w:val="967"/>
              <w:jc w:val="center"/>
              <w:rPr>
                <w:rFonts w:ascii="宋体" w:hAnsi="宋体" w:cs="宋体"/>
                <w:bCs/>
                <w:color w:val="000000"/>
                <w:szCs w:val="21"/>
              </w:rPr>
            </w:pPr>
            <w:r>
              <w:rPr>
                <w:rFonts w:ascii="宋体" w:hAnsi="宋体" w:cs="宋体"/>
                <w:bCs/>
                <w:color w:val="000000"/>
                <w:szCs w:val="21"/>
              </w:rPr>
            </w:r>
            <w:r/>
          </w:p>
        </w:tc>
        <w:tc>
          <w:tcPr>
            <w:tcW w:w="1274" w:type="dxa"/>
            <w:vAlign w:val="center"/>
            <w:textDirection w:val="lrTb"/>
            <w:noWrap/>
          </w:tcPr>
          <w:p>
            <w:pPr>
              <w:pStyle w:val="967"/>
              <w:jc w:val="left"/>
              <w:spacing w:line="360" w:lineRule="auto"/>
              <w:rPr>
                <w:rFonts w:hint="eastAsia" w:ascii="宋体" w:hAnsi="宋体" w:cs="宋体"/>
                <w:bCs/>
                <w:color w:val="000000"/>
                <w:szCs w:val="21"/>
              </w:rPr>
            </w:pPr>
            <w:r>
              <w:rPr>
                <w:rFonts w:hint="eastAsia" w:ascii="宋体" w:hAnsi="宋体"/>
                <w:bCs/>
                <w:color w:val="000000"/>
                <w:szCs w:val="21"/>
              </w:rPr>
              <w:t xml:space="preserve">工期进度安排及供货、运输、安装、验收方案</w:t>
            </w:r>
            <w:r>
              <w:rPr>
                <w:rFonts w:hint="eastAsia" w:ascii="宋体" w:hAnsi="宋体" w:cs="宋体"/>
                <w:bCs/>
                <w:color w:val="000000"/>
                <w:szCs w:val="21"/>
              </w:rPr>
            </w:r>
            <w:r/>
          </w:p>
        </w:tc>
        <w:tc>
          <w:tcPr>
            <w:tcW w:w="6522" w:type="dxa"/>
            <w:vAlign w:val="center"/>
            <w:textDirection w:val="lrTb"/>
            <w:noWrap/>
          </w:tcPr>
          <w:p>
            <w:pPr>
              <w:pStyle w:val="967"/>
              <w:jc w:val="left"/>
              <w:spacing w:line="360" w:lineRule="auto"/>
              <w:widowControl/>
              <w:rPr>
                <w:rFonts w:hint="eastAsia" w:ascii="宋体" w:hAnsi="宋体"/>
                <w:bCs/>
                <w:color w:val="000000"/>
                <w:szCs w:val="21"/>
              </w:rPr>
            </w:pPr>
            <w:r>
              <w:rPr>
                <w:rFonts w:hint="eastAsia" w:ascii="宋体" w:hAnsi="宋体"/>
                <w:bCs/>
                <w:color w:val="000000"/>
                <w:szCs w:val="21"/>
              </w:rPr>
              <w:t xml:space="preserve">提供工期进度安排及供货、运输、安装、验收方案。工期进度安排及供货、运输、安装方案完整、验收方案科学的得10分；工期进度安排及供货、运输、安装方案较为完整、验收方案可行、基本满足项目实施需要的得7分；方案有所欠缺、采购需求符合性不足的得5分；与项目实际不符或不提供内容的不得分。</w:t>
            </w:r>
            <w:r/>
          </w:p>
        </w:tc>
        <w:tc>
          <w:tcPr>
            <w:tcW w:w="709" w:type="dxa"/>
            <w:vAlign w:val="center"/>
            <w:textDirection w:val="lrTb"/>
            <w:noWrap/>
          </w:tcPr>
          <w:p>
            <w:pPr>
              <w:pStyle w:val="967"/>
              <w:jc w:val="center"/>
              <w:rPr>
                <w:rFonts w:hint="eastAsia" w:ascii="宋体" w:hAnsi="宋体" w:cs="宋体"/>
                <w:bCs/>
                <w:color w:val="000000"/>
                <w:szCs w:val="21"/>
              </w:rPr>
            </w:pPr>
            <w:r>
              <w:rPr>
                <w:rFonts w:hint="eastAsia" w:ascii="宋体" w:hAnsi="宋体" w:cs="宋体"/>
                <w:bCs/>
                <w:color w:val="000000"/>
                <w:szCs w:val="21"/>
              </w:rPr>
              <w:t xml:space="preserve">10分</w:t>
            </w:r>
            <w:r/>
          </w:p>
        </w:tc>
      </w:tr>
      <w:tr>
        <w:trPr>
          <w:cantSplit/>
          <w:trHeight w:val="1259"/>
        </w:trPr>
        <w:tc>
          <w:tcPr>
            <w:tcW w:w="1277" w:type="dxa"/>
            <w:vAlign w:val="center"/>
            <w:vMerge w:val="continue"/>
            <w:textDirection w:val="lrTb"/>
            <w:noWrap/>
          </w:tcPr>
          <w:p>
            <w:pPr>
              <w:pStyle w:val="967"/>
              <w:jc w:val="center"/>
              <w:rPr>
                <w:rFonts w:ascii="宋体" w:hAnsi="宋体" w:cs="宋体"/>
                <w:bCs/>
                <w:color w:val="000000"/>
                <w:szCs w:val="21"/>
              </w:rPr>
            </w:pPr>
            <w:r>
              <w:rPr>
                <w:rFonts w:ascii="宋体" w:hAnsi="宋体" w:cs="宋体"/>
                <w:bCs/>
                <w:color w:val="000000"/>
                <w:szCs w:val="21"/>
              </w:rPr>
            </w:r>
            <w:r/>
          </w:p>
        </w:tc>
        <w:tc>
          <w:tcPr>
            <w:tcW w:w="1274" w:type="dxa"/>
            <w:vAlign w:val="center"/>
            <w:textDirection w:val="lrTb"/>
            <w:noWrap/>
          </w:tcPr>
          <w:p>
            <w:pPr>
              <w:pStyle w:val="967"/>
              <w:jc w:val="center"/>
              <w:rPr>
                <w:rFonts w:ascii="宋体" w:hAnsi="宋体" w:cs="宋体"/>
                <w:bCs/>
                <w:color w:val="000000"/>
                <w:szCs w:val="21"/>
              </w:rPr>
            </w:pPr>
            <w:r>
              <w:rPr>
                <w:rStyle w:val="1347"/>
                <w:rFonts w:hint="eastAsia" w:ascii="宋体" w:hAnsi="宋体"/>
                <w:bCs/>
                <w:color w:val="000000"/>
                <w:szCs w:val="21"/>
              </w:rPr>
              <w:t xml:space="preserve">安装调试应急预案</w:t>
            </w:r>
            <w:r>
              <w:rPr>
                <w:rFonts w:ascii="宋体" w:hAnsi="宋体" w:cs="宋体"/>
                <w:bCs/>
                <w:color w:val="000000"/>
                <w:szCs w:val="21"/>
              </w:rPr>
            </w:r>
            <w:r/>
          </w:p>
        </w:tc>
        <w:tc>
          <w:tcPr>
            <w:tcW w:w="6522" w:type="dxa"/>
            <w:vAlign w:val="center"/>
            <w:textDirection w:val="lrTb"/>
            <w:noWrap/>
          </w:tcPr>
          <w:p>
            <w:pPr>
              <w:pStyle w:val="967"/>
              <w:jc w:val="left"/>
              <w:spacing w:line="360" w:lineRule="auto"/>
              <w:widowControl/>
              <w:rPr>
                <w:rFonts w:ascii="宋体" w:hAnsi="宋体"/>
                <w:color w:val="000000"/>
                <w:szCs w:val="21"/>
              </w:rPr>
            </w:pPr>
            <w:r>
              <w:rPr>
                <w:rFonts w:hint="eastAsia" w:ascii="宋体" w:hAnsi="宋体"/>
                <w:color w:val="000000"/>
                <w:szCs w:val="21"/>
              </w:rPr>
              <w:t xml:space="preserve">提供安装调试应急预案，包括但不限于管理体系与组织机构安排、技术指导与培训服务、日常运维与巡检服务、备品备件保障、发生应急情况预案及措施等方案。</w:t>
            </w:r>
            <w:r>
              <w:rPr>
                <w:rFonts w:ascii="宋体" w:hAnsi="宋体"/>
                <w:color w:val="000000"/>
                <w:szCs w:val="21"/>
              </w:rPr>
            </w:r>
            <w:r/>
          </w:p>
          <w:p>
            <w:pPr>
              <w:pStyle w:val="967"/>
              <w:jc w:val="left"/>
              <w:spacing w:line="360" w:lineRule="auto"/>
              <w:widowControl/>
              <w:rPr>
                <w:rFonts w:hint="eastAsia" w:ascii="宋体" w:hAnsi="宋体"/>
                <w:bCs/>
                <w:color w:val="000000"/>
                <w:szCs w:val="21"/>
              </w:rPr>
            </w:pPr>
            <w:r>
              <w:rPr>
                <w:rFonts w:hint="eastAsia" w:ascii="宋体" w:hAnsi="宋体"/>
                <w:color w:val="000000"/>
                <w:szCs w:val="21"/>
              </w:rPr>
              <w:t xml:space="preserve">方案详细完整、措施科学合理、技术可行性强、流程标准规范的得10分；方案较为完整、措施较为合理、技术可行性一般、流程基本规范的得7分；方案简单笼统、措施合理性、技术可行性、流程规范性不足的得5分；与项目实际不符或不提供内容的不得分</w:t>
            </w:r>
            <w:r>
              <w:rPr>
                <w:rFonts w:hint="eastAsia" w:ascii="宋体" w:hAnsi="宋体"/>
                <w:bCs/>
                <w:color w:val="000000"/>
                <w:szCs w:val="21"/>
              </w:rPr>
            </w:r>
            <w:r/>
          </w:p>
        </w:tc>
        <w:tc>
          <w:tcPr>
            <w:tcW w:w="709" w:type="dxa"/>
            <w:vAlign w:val="center"/>
            <w:textDirection w:val="lrTb"/>
            <w:noWrap/>
          </w:tcPr>
          <w:p>
            <w:pPr>
              <w:pStyle w:val="967"/>
              <w:jc w:val="center"/>
              <w:rPr>
                <w:rFonts w:ascii="宋体" w:hAnsi="宋体" w:cs="宋体"/>
                <w:bCs/>
                <w:color w:val="000000"/>
                <w:szCs w:val="21"/>
              </w:rPr>
            </w:pPr>
            <w:r>
              <w:rPr>
                <w:rFonts w:hint="eastAsia" w:ascii="宋体" w:hAnsi="宋体" w:cs="宋体"/>
                <w:bCs/>
                <w:color w:val="000000"/>
                <w:szCs w:val="21"/>
              </w:rPr>
              <w:t xml:space="preserve">10分</w:t>
            </w:r>
            <w:r>
              <w:rPr>
                <w:rFonts w:ascii="宋体" w:hAnsi="宋体" w:cs="宋体"/>
                <w:bCs/>
                <w:color w:val="000000"/>
                <w:szCs w:val="21"/>
              </w:rPr>
            </w:r>
            <w:r/>
          </w:p>
        </w:tc>
      </w:tr>
      <w:tr>
        <w:trPr>
          <w:cantSplit/>
          <w:trHeight w:val="1259"/>
        </w:trPr>
        <w:tc>
          <w:tcPr>
            <w:tcW w:w="1277" w:type="dxa"/>
            <w:vAlign w:val="center"/>
            <w:vMerge w:val="continue"/>
            <w:textDirection w:val="lrTb"/>
            <w:noWrap/>
          </w:tcPr>
          <w:p>
            <w:pPr>
              <w:pStyle w:val="967"/>
              <w:jc w:val="center"/>
              <w:rPr>
                <w:rFonts w:ascii="宋体" w:hAnsi="宋体" w:cs="宋体"/>
                <w:bCs/>
                <w:color w:val="000000"/>
                <w:szCs w:val="21"/>
              </w:rPr>
            </w:pPr>
            <w:r>
              <w:rPr>
                <w:rFonts w:ascii="宋体" w:hAnsi="宋体" w:cs="宋体"/>
                <w:bCs/>
                <w:color w:val="000000"/>
                <w:szCs w:val="21"/>
              </w:rPr>
            </w:r>
            <w:r/>
          </w:p>
        </w:tc>
        <w:tc>
          <w:tcPr>
            <w:tcW w:w="1274" w:type="dxa"/>
            <w:vAlign w:val="center"/>
            <w:textDirection w:val="lrTb"/>
            <w:noWrap/>
          </w:tcPr>
          <w:p>
            <w:pPr>
              <w:pStyle w:val="967"/>
              <w:jc w:val="center"/>
              <w:rPr>
                <w:rFonts w:ascii="宋体" w:hAnsi="宋体" w:cs="宋体"/>
                <w:bCs/>
                <w:color w:val="000000"/>
                <w:szCs w:val="21"/>
              </w:rPr>
            </w:pPr>
            <w:r>
              <w:rPr>
                <w:rFonts w:hint="eastAsia" w:ascii="宋体" w:hAnsi="宋体"/>
                <w:bCs/>
                <w:color w:val="000000"/>
                <w:szCs w:val="21"/>
              </w:rPr>
              <w:t xml:space="preserve">本项目污水站运行维护方案</w:t>
            </w:r>
            <w:r>
              <w:rPr>
                <w:rFonts w:ascii="宋体" w:hAnsi="宋体" w:cs="宋体"/>
                <w:bCs/>
                <w:color w:val="000000"/>
                <w:szCs w:val="21"/>
              </w:rPr>
            </w:r>
            <w:r/>
          </w:p>
        </w:tc>
        <w:tc>
          <w:tcPr>
            <w:tcW w:w="6522" w:type="dxa"/>
            <w:vAlign w:val="center"/>
            <w:textDirection w:val="lrTb"/>
            <w:noWrap/>
          </w:tcPr>
          <w:p>
            <w:pPr>
              <w:pStyle w:val="967"/>
              <w:jc w:val="left"/>
              <w:spacing w:line="360" w:lineRule="auto"/>
              <w:widowControl/>
              <w:rPr>
                <w:rFonts w:ascii="宋体"/>
                <w:bCs/>
                <w:color w:val="000000"/>
                <w:szCs w:val="21"/>
              </w:rPr>
            </w:pPr>
            <w:r>
              <w:rPr>
                <w:rFonts w:hint="eastAsia" w:ascii="宋体" w:hAnsi="宋体"/>
                <w:bCs/>
                <w:color w:val="000000"/>
                <w:szCs w:val="21"/>
              </w:rPr>
              <w:t xml:space="preserve">提供本项目污水站运行维护方案，包括但不限于</w:t>
            </w:r>
            <w:r>
              <w:rPr>
                <w:rFonts w:hint="eastAsia" w:ascii="宋体" w:hAnsi="宋体"/>
                <w:color w:val="000000"/>
                <w:szCs w:val="21"/>
              </w:rPr>
              <w:t xml:space="preserve">运维项目组织管理方案</w:t>
            </w:r>
            <w:r>
              <w:rPr>
                <w:rFonts w:hint="eastAsia" w:ascii="宋体" w:hAnsi="宋体"/>
                <w:bCs/>
                <w:color w:val="000000"/>
                <w:szCs w:val="21"/>
              </w:rPr>
              <w:t xml:space="preserve">、</w:t>
            </w:r>
            <w:r>
              <w:rPr>
                <w:rFonts w:hint="eastAsia" w:ascii="宋体" w:hAnsi="宋体"/>
                <w:color w:val="000000"/>
                <w:szCs w:val="21"/>
              </w:rPr>
              <w:t xml:space="preserve">现场运维方案</w:t>
            </w:r>
            <w:r>
              <w:rPr>
                <w:rFonts w:hint="eastAsia" w:ascii="宋体" w:hAnsi="宋体"/>
                <w:bCs/>
                <w:color w:val="000000"/>
                <w:szCs w:val="21"/>
              </w:rPr>
              <w:t xml:space="preserve">、运维</w:t>
            </w:r>
            <w:r>
              <w:rPr>
                <w:rFonts w:hint="eastAsia" w:ascii="宋体" w:hAnsi="宋体"/>
                <w:color w:val="000000"/>
                <w:szCs w:val="21"/>
              </w:rPr>
              <w:t xml:space="preserve">突发事故应急预案与处理能力</w:t>
            </w:r>
            <w:r>
              <w:rPr>
                <w:rFonts w:hint="eastAsia" w:ascii="宋体" w:hAnsi="宋体"/>
                <w:bCs/>
                <w:color w:val="000000"/>
                <w:szCs w:val="21"/>
              </w:rPr>
              <w:t xml:space="preserve">、</w:t>
            </w:r>
            <w:r>
              <w:rPr>
                <w:rFonts w:hint="eastAsia" w:ascii="宋体" w:hAnsi="宋体"/>
                <w:color w:val="000000"/>
                <w:szCs w:val="21"/>
              </w:rPr>
              <w:t xml:space="preserve">运营服务承诺和达标排放计划及监测、技术支持及质量保证（障）措施</w:t>
            </w:r>
            <w:r>
              <w:rPr>
                <w:rFonts w:hint="eastAsia" w:ascii="宋体" w:hAnsi="宋体"/>
                <w:bCs/>
                <w:color w:val="000000"/>
                <w:szCs w:val="21"/>
              </w:rPr>
              <w:t xml:space="preserve">等方案。</w:t>
            </w:r>
            <w:r>
              <w:rPr>
                <w:rFonts w:ascii="宋体"/>
                <w:bCs/>
                <w:color w:val="000000"/>
                <w:szCs w:val="21"/>
              </w:rPr>
            </w:r>
            <w:r/>
          </w:p>
          <w:p>
            <w:pPr>
              <w:pStyle w:val="967"/>
              <w:jc w:val="left"/>
              <w:spacing w:line="360" w:lineRule="auto"/>
              <w:rPr>
                <w:rFonts w:hint="eastAsia" w:ascii="宋体" w:hAnsi="宋体" w:cs="宋体"/>
                <w:color w:val="000000"/>
                <w:szCs w:val="21"/>
              </w:rPr>
            </w:pPr>
            <w:r>
              <w:rPr>
                <w:rFonts w:hint="eastAsia" w:ascii="宋体" w:hAnsi="宋体"/>
                <w:bCs/>
                <w:color w:val="000000"/>
                <w:szCs w:val="21"/>
              </w:rPr>
              <w:t xml:space="preserve">方案详细完整、措施科学合理、技术可行性强、流程标准规范的得12分；方案较为完整、措施较为合理、技术可行性一般、流程基本规范的得8分；方案简单笼统、措施合理性、技术可行性、流程规范性不足的得5分；与项目实际不符或不提供内容的不得分。</w:t>
            </w:r>
            <w:r>
              <w:rPr>
                <w:rFonts w:hint="eastAsia" w:ascii="宋体" w:hAnsi="宋体" w:cs="宋体"/>
                <w:color w:val="000000"/>
                <w:szCs w:val="21"/>
              </w:rPr>
            </w:r>
            <w:r/>
          </w:p>
        </w:tc>
        <w:tc>
          <w:tcPr>
            <w:tcW w:w="709" w:type="dxa"/>
            <w:vAlign w:val="center"/>
            <w:textDirection w:val="lrTb"/>
            <w:noWrap/>
          </w:tcPr>
          <w:p>
            <w:pPr>
              <w:pStyle w:val="967"/>
              <w:jc w:val="center"/>
              <w:rPr>
                <w:rFonts w:ascii="宋体" w:hAnsi="宋体" w:cs="宋体"/>
                <w:bCs/>
                <w:color w:val="000000"/>
                <w:szCs w:val="21"/>
              </w:rPr>
            </w:pPr>
            <w:r>
              <w:rPr>
                <w:rFonts w:hint="eastAsia" w:ascii="宋体" w:hAnsi="宋体" w:cs="宋体"/>
                <w:bCs/>
                <w:color w:val="000000"/>
                <w:szCs w:val="21"/>
              </w:rPr>
              <w:t xml:space="preserve">12分</w:t>
            </w:r>
            <w:r>
              <w:rPr>
                <w:rFonts w:ascii="宋体" w:hAnsi="宋体" w:cs="宋体"/>
                <w:bCs/>
                <w:color w:val="000000"/>
                <w:szCs w:val="21"/>
              </w:rPr>
            </w:r>
            <w:r/>
          </w:p>
        </w:tc>
      </w:tr>
      <w:tr>
        <w:trPr>
          <w:cantSplit/>
          <w:trHeight w:val="1259"/>
        </w:trPr>
        <w:tc>
          <w:tcPr>
            <w:tcW w:w="1277" w:type="dxa"/>
            <w:vAlign w:val="center"/>
            <w:vMerge w:val="restart"/>
            <w:textDirection w:val="lrTb"/>
            <w:noWrap/>
          </w:tcPr>
          <w:p>
            <w:pPr>
              <w:pStyle w:val="967"/>
              <w:jc w:val="center"/>
              <w:rPr>
                <w:rFonts w:hint="eastAsia" w:ascii="宋体" w:hAnsi="宋体" w:cs="宋体"/>
                <w:bCs/>
                <w:color w:val="000000"/>
                <w:szCs w:val="21"/>
              </w:rPr>
            </w:pPr>
            <w:r>
              <w:rPr>
                <w:rFonts w:hint="eastAsia" w:ascii="宋体" w:hAnsi="宋体"/>
                <w:b/>
                <w:color w:val="000000"/>
                <w:szCs w:val="21"/>
              </w:rPr>
              <w:t xml:space="preserve">综合实力（13分）</w:t>
            </w:r>
            <w:r>
              <w:rPr>
                <w:rFonts w:hint="eastAsia" w:ascii="宋体" w:hAnsi="宋体" w:cs="宋体"/>
                <w:bCs/>
                <w:color w:val="000000"/>
                <w:szCs w:val="21"/>
              </w:rPr>
            </w:r>
            <w:r/>
          </w:p>
        </w:tc>
        <w:tc>
          <w:tcPr>
            <w:tcW w:w="1274" w:type="dxa"/>
            <w:vAlign w:val="center"/>
            <w:textDirection w:val="lrTb"/>
            <w:noWrap/>
          </w:tcPr>
          <w:p>
            <w:pPr>
              <w:pStyle w:val="967"/>
              <w:jc w:val="center"/>
              <w:rPr>
                <w:rFonts w:ascii="宋体" w:hAnsi="宋体" w:cs="宋体"/>
                <w:bCs/>
                <w:color w:val="000000"/>
                <w:szCs w:val="21"/>
              </w:rPr>
            </w:pPr>
            <w:r>
              <w:rPr>
                <w:rFonts w:hint="eastAsia" w:ascii="宋体" w:hAnsi="宋体"/>
                <w:bCs/>
                <w:color w:val="000000"/>
                <w:sz w:val="24"/>
                <w:szCs w:val="21"/>
              </w:rPr>
              <w:t xml:space="preserve">项目人员配备</w:t>
            </w:r>
            <w:r>
              <w:rPr>
                <w:rFonts w:ascii="宋体" w:hAnsi="宋体" w:cs="宋体"/>
                <w:bCs/>
                <w:color w:val="000000"/>
                <w:szCs w:val="21"/>
              </w:rPr>
            </w:r>
            <w:r/>
          </w:p>
        </w:tc>
        <w:tc>
          <w:tcPr>
            <w:tcW w:w="6522" w:type="dxa"/>
            <w:vAlign w:val="center"/>
            <w:textDirection w:val="lrTb"/>
            <w:noWrap/>
          </w:tcPr>
          <w:p>
            <w:pPr>
              <w:pStyle w:val="967"/>
              <w:jc w:val="left"/>
              <w:spacing w:line="360" w:lineRule="auto"/>
              <w:widowControl/>
              <w:rPr>
                <w:rFonts w:ascii="宋体"/>
                <w:bCs/>
                <w:color w:val="000000"/>
                <w:szCs w:val="21"/>
              </w:rPr>
            </w:pPr>
            <w:r>
              <w:rPr>
                <w:rFonts w:hint="eastAsia" w:ascii="宋体" w:hAnsi="宋体"/>
                <w:bCs/>
                <w:color w:val="000000"/>
                <w:szCs w:val="21"/>
              </w:rPr>
              <w:t xml:space="preserve">（</w:t>
            </w:r>
            <w:r>
              <w:rPr>
                <w:rFonts w:ascii="宋体" w:hAnsi="宋体"/>
                <w:bCs/>
                <w:color w:val="000000"/>
                <w:szCs w:val="21"/>
              </w:rPr>
              <w:t xml:space="preserve">1</w:t>
            </w:r>
            <w:r>
              <w:rPr>
                <w:rFonts w:hint="eastAsia" w:ascii="宋体" w:hAnsi="宋体"/>
                <w:bCs/>
                <w:color w:val="000000"/>
                <w:szCs w:val="21"/>
              </w:rPr>
              <w:t xml:space="preserve">）项目经理具备中级工程师及以上职称证书的得</w:t>
            </w:r>
            <w:r>
              <w:rPr>
                <w:rFonts w:ascii="宋体" w:hAnsi="宋体"/>
                <w:bCs/>
                <w:color w:val="000000"/>
                <w:szCs w:val="21"/>
              </w:rPr>
              <w:t xml:space="preserve">2</w:t>
            </w:r>
            <w:r>
              <w:rPr>
                <w:rFonts w:hint="eastAsia" w:ascii="宋体" w:hAnsi="宋体"/>
                <w:bCs/>
                <w:color w:val="000000"/>
                <w:szCs w:val="21"/>
              </w:rPr>
              <w:t xml:space="preserve">分；本项最高得</w:t>
            </w:r>
            <w:r>
              <w:rPr>
                <w:rFonts w:ascii="宋体" w:hAnsi="宋体"/>
                <w:bCs/>
                <w:color w:val="000000"/>
                <w:szCs w:val="21"/>
              </w:rPr>
              <w:t xml:space="preserve">2</w:t>
            </w:r>
            <w:r>
              <w:rPr>
                <w:rFonts w:hint="eastAsia" w:ascii="宋体" w:hAnsi="宋体"/>
                <w:bCs/>
                <w:color w:val="000000"/>
                <w:szCs w:val="21"/>
              </w:rPr>
              <w:t xml:space="preserve">分。</w:t>
            </w:r>
            <w:r>
              <w:rPr>
                <w:rFonts w:ascii="宋体"/>
                <w:bCs/>
                <w:color w:val="000000"/>
                <w:szCs w:val="21"/>
              </w:rPr>
            </w:r>
            <w:r/>
          </w:p>
          <w:p>
            <w:pPr>
              <w:pStyle w:val="967"/>
              <w:jc w:val="left"/>
              <w:spacing w:line="360" w:lineRule="auto"/>
              <w:widowControl/>
              <w:rPr>
                <w:rFonts w:hint="eastAsia" w:ascii="宋体" w:hAnsi="宋体"/>
                <w:bCs/>
                <w:color w:val="000000"/>
                <w:szCs w:val="21"/>
              </w:rPr>
            </w:pPr>
            <w:r>
              <w:rPr>
                <w:rFonts w:hint="eastAsia" w:ascii="宋体" w:hAnsi="宋体"/>
                <w:bCs/>
                <w:color w:val="000000"/>
                <w:szCs w:val="21"/>
              </w:rPr>
              <w:t xml:space="preserve">（</w:t>
            </w:r>
            <w:r>
              <w:rPr>
                <w:rFonts w:ascii="宋体" w:hAnsi="宋体"/>
                <w:bCs/>
                <w:color w:val="000000"/>
                <w:szCs w:val="21"/>
              </w:rPr>
              <w:t xml:space="preserve">2</w:t>
            </w:r>
            <w:r>
              <w:rPr>
                <w:rFonts w:hint="eastAsia" w:ascii="宋体" w:hAnsi="宋体"/>
                <w:bCs/>
                <w:color w:val="000000"/>
                <w:szCs w:val="21"/>
              </w:rPr>
              <w:t xml:space="preserve">）项目组成员1（除项目经理外）：具有安全员证书的得</w:t>
            </w:r>
            <w:r>
              <w:rPr>
                <w:rFonts w:ascii="宋体" w:hAnsi="宋体"/>
                <w:bCs/>
                <w:color w:val="000000"/>
                <w:szCs w:val="21"/>
              </w:rPr>
              <w:t xml:space="preserve">1</w:t>
            </w:r>
            <w:r>
              <w:rPr>
                <w:rFonts w:hint="eastAsia" w:ascii="宋体" w:hAnsi="宋体"/>
                <w:bCs/>
                <w:color w:val="000000"/>
                <w:szCs w:val="21"/>
              </w:rPr>
              <w:t xml:space="preserve">分，具有注册安全工程师证书的得2分，本项最高得2分。</w:t>
            </w:r>
            <w:r/>
          </w:p>
          <w:p>
            <w:pPr>
              <w:pStyle w:val="967"/>
              <w:jc w:val="left"/>
              <w:spacing w:line="360" w:lineRule="auto"/>
              <w:rPr>
                <w:rFonts w:hint="eastAsia" w:ascii="宋体" w:hAnsi="宋体"/>
                <w:bCs/>
                <w:color w:val="000000"/>
                <w:szCs w:val="21"/>
              </w:rPr>
            </w:pPr>
            <w:r>
              <w:rPr>
                <w:rFonts w:hint="eastAsia" w:ascii="宋体" w:hAnsi="宋体"/>
                <w:bCs/>
                <w:color w:val="000000"/>
                <w:szCs w:val="21"/>
              </w:rPr>
              <w:t xml:space="preserve">（3）项目组成员2（除项目经理外）：具备污水(工业废水)处理工职业技能等级证书，得2分。</w:t>
            </w:r>
            <w:r/>
          </w:p>
          <w:p>
            <w:pPr>
              <w:pStyle w:val="967"/>
              <w:jc w:val="left"/>
              <w:spacing w:line="360" w:lineRule="auto"/>
              <w:rPr>
                <w:rFonts w:hint="eastAsia" w:ascii="宋体" w:hAnsi="宋体" w:cs="宋体"/>
                <w:color w:val="000000"/>
                <w:szCs w:val="21"/>
              </w:rPr>
            </w:pPr>
            <w:r>
              <w:rPr>
                <w:rFonts w:hint="eastAsia" w:ascii="宋体" w:hAnsi="宋体"/>
                <w:b/>
                <w:bCs/>
                <w:color w:val="000000"/>
                <w:szCs w:val="21"/>
              </w:rPr>
              <w:t xml:space="preserve">（提供相关证书及投标人为其缴纳的近期社保证明扫描件）</w:t>
            </w:r>
            <w:r>
              <w:rPr>
                <w:rFonts w:hint="eastAsia" w:ascii="宋体" w:hAnsi="宋体"/>
                <w:bCs/>
                <w:color w:val="000000"/>
                <w:szCs w:val="21"/>
              </w:rPr>
              <w:t xml:space="preserve">。</w:t>
            </w:r>
            <w:r>
              <w:rPr>
                <w:rFonts w:hint="eastAsia" w:ascii="宋体" w:hAnsi="宋体" w:cs="宋体"/>
                <w:color w:val="000000"/>
                <w:szCs w:val="21"/>
              </w:rPr>
            </w:r>
            <w:r/>
          </w:p>
        </w:tc>
        <w:tc>
          <w:tcPr>
            <w:tcW w:w="709" w:type="dxa"/>
            <w:vAlign w:val="center"/>
            <w:textDirection w:val="lrTb"/>
            <w:noWrap/>
          </w:tcPr>
          <w:p>
            <w:pPr>
              <w:pStyle w:val="967"/>
              <w:jc w:val="center"/>
              <w:rPr>
                <w:rFonts w:ascii="宋体" w:hAnsi="宋体" w:cs="宋体"/>
                <w:bCs/>
                <w:color w:val="000000"/>
                <w:szCs w:val="21"/>
              </w:rPr>
            </w:pPr>
            <w:r>
              <w:rPr>
                <w:rFonts w:hint="eastAsia" w:ascii="宋体" w:hAnsi="宋体" w:cs="宋体"/>
                <w:bCs/>
                <w:color w:val="000000"/>
                <w:szCs w:val="21"/>
              </w:rPr>
              <w:t xml:space="preserve">6分</w:t>
            </w:r>
            <w:r>
              <w:rPr>
                <w:rFonts w:ascii="宋体" w:hAnsi="宋体" w:cs="宋体"/>
                <w:bCs/>
                <w:color w:val="000000"/>
                <w:szCs w:val="21"/>
              </w:rPr>
            </w:r>
            <w:r/>
          </w:p>
        </w:tc>
      </w:tr>
      <w:tr>
        <w:trPr>
          <w:cantSplit/>
          <w:trHeight w:val="814"/>
        </w:trPr>
        <w:tc>
          <w:tcPr>
            <w:tcW w:w="1277" w:type="dxa"/>
            <w:vAlign w:val="center"/>
            <w:vMerge w:val="continue"/>
            <w:textDirection w:val="lrTb"/>
            <w:noWrap/>
          </w:tcPr>
          <w:p>
            <w:pPr>
              <w:pStyle w:val="967"/>
              <w:jc w:val="center"/>
              <w:rPr>
                <w:rFonts w:ascii="宋体" w:hAnsi="宋体" w:cs="宋体"/>
                <w:bCs/>
                <w:color w:val="000000"/>
                <w:szCs w:val="21"/>
              </w:rPr>
            </w:pPr>
            <w:r>
              <w:rPr>
                <w:rFonts w:ascii="宋体" w:hAnsi="宋体" w:cs="宋体"/>
                <w:bCs/>
                <w:color w:val="000000"/>
                <w:szCs w:val="21"/>
              </w:rPr>
            </w:r>
            <w:r/>
          </w:p>
        </w:tc>
        <w:tc>
          <w:tcPr>
            <w:tcW w:w="1274" w:type="dxa"/>
            <w:vAlign w:val="center"/>
            <w:textDirection w:val="lrTb"/>
            <w:noWrap/>
          </w:tcPr>
          <w:p>
            <w:pPr>
              <w:pStyle w:val="967"/>
              <w:jc w:val="center"/>
              <w:rPr>
                <w:rFonts w:hint="eastAsia" w:ascii="宋体" w:hAnsi="宋体" w:cs="宋体"/>
                <w:bCs/>
                <w:color w:val="000000"/>
                <w:szCs w:val="21"/>
              </w:rPr>
            </w:pPr>
            <w:r>
              <w:rPr>
                <w:rFonts w:hint="eastAsia" w:ascii="宋体" w:hAnsi="宋体" w:cs="宋体"/>
                <w:bCs/>
                <w:color w:val="000000"/>
                <w:szCs w:val="21"/>
              </w:rPr>
              <w:t xml:space="preserve">体系认证</w:t>
            </w:r>
            <w:r/>
          </w:p>
        </w:tc>
        <w:tc>
          <w:tcPr>
            <w:tcW w:w="6522" w:type="dxa"/>
            <w:vAlign w:val="center"/>
            <w:textDirection w:val="lrTb"/>
            <w:noWrap/>
          </w:tcPr>
          <w:p>
            <w:pPr>
              <w:pStyle w:val="967"/>
              <w:jc w:val="left"/>
              <w:spacing w:line="360" w:lineRule="auto"/>
              <w:rPr>
                <w:rFonts w:hint="eastAsia" w:ascii="宋体" w:hAnsi="宋体"/>
                <w:bCs/>
                <w:color w:val="000000"/>
                <w:szCs w:val="21"/>
              </w:rPr>
            </w:pPr>
            <w:r>
              <w:rPr>
                <w:rFonts w:hint="eastAsia" w:ascii="宋体" w:hAnsi="宋体"/>
                <w:bCs/>
                <w:color w:val="000000"/>
                <w:szCs w:val="21"/>
              </w:rPr>
              <w:t xml:space="preserve">投标人具备在有效期内的质量管理体系认证证书、环境管理体系认证证书、职业健康安全管理体系认证证书的，每具备一项得</w:t>
            </w:r>
            <w:r>
              <w:rPr>
                <w:rFonts w:ascii="宋体" w:hAnsi="宋体"/>
                <w:bCs/>
                <w:color w:val="000000"/>
                <w:szCs w:val="21"/>
              </w:rPr>
              <w:t xml:space="preserve">1</w:t>
            </w:r>
            <w:r>
              <w:rPr>
                <w:rFonts w:hint="eastAsia" w:ascii="宋体" w:hAnsi="宋体"/>
                <w:bCs/>
                <w:color w:val="000000"/>
                <w:szCs w:val="21"/>
              </w:rPr>
              <w:t xml:space="preserve">分，本项最高得</w:t>
            </w:r>
            <w:r>
              <w:rPr>
                <w:rFonts w:ascii="宋体" w:hAnsi="宋体"/>
                <w:bCs/>
                <w:color w:val="000000"/>
                <w:szCs w:val="21"/>
              </w:rPr>
              <w:t xml:space="preserve">3</w:t>
            </w:r>
            <w:r>
              <w:rPr>
                <w:rFonts w:hint="eastAsia" w:ascii="宋体" w:hAnsi="宋体"/>
                <w:bCs/>
                <w:color w:val="000000"/>
                <w:szCs w:val="21"/>
              </w:rPr>
              <w:t xml:space="preserve">分。                                                </w:t>
            </w:r>
            <w:r>
              <w:rPr>
                <w:rFonts w:hint="eastAsia" w:ascii="宋体" w:hAnsi="宋体"/>
                <w:b/>
                <w:bCs/>
                <w:color w:val="000000"/>
                <w:szCs w:val="21"/>
              </w:rPr>
              <w:t xml:space="preserve">（提供证书扫描件及中国国家认证认可监督管理委员会网站查询清晰页面完整截图）</w:t>
            </w:r>
            <w:r>
              <w:rPr>
                <w:rFonts w:hint="eastAsia" w:ascii="宋体" w:hAnsi="宋体"/>
                <w:bCs/>
                <w:color w:val="000000"/>
                <w:szCs w:val="21"/>
              </w:rPr>
            </w:r>
            <w:r/>
          </w:p>
        </w:tc>
        <w:tc>
          <w:tcPr>
            <w:tcW w:w="709" w:type="dxa"/>
            <w:vAlign w:val="center"/>
            <w:textDirection w:val="lrTb"/>
            <w:noWrap/>
          </w:tcPr>
          <w:p>
            <w:pPr>
              <w:pStyle w:val="967"/>
              <w:jc w:val="center"/>
              <w:rPr>
                <w:rFonts w:ascii="宋体" w:hAnsi="宋体" w:cs="宋体"/>
                <w:bCs/>
                <w:color w:val="000000"/>
                <w:szCs w:val="21"/>
              </w:rPr>
            </w:pPr>
            <w:r>
              <w:rPr>
                <w:rFonts w:hint="eastAsia" w:ascii="宋体" w:hAnsi="宋体" w:cs="宋体"/>
                <w:bCs/>
                <w:color w:val="000000"/>
                <w:szCs w:val="21"/>
              </w:rPr>
              <w:t xml:space="preserve">3分</w:t>
            </w:r>
            <w:r>
              <w:rPr>
                <w:rFonts w:ascii="宋体" w:hAnsi="宋体" w:cs="宋体"/>
                <w:bCs/>
                <w:color w:val="000000"/>
                <w:szCs w:val="21"/>
              </w:rPr>
            </w:r>
            <w:r/>
          </w:p>
        </w:tc>
      </w:tr>
      <w:tr>
        <w:trPr>
          <w:cantSplit/>
          <w:trHeight w:val="1409"/>
        </w:trPr>
        <w:tc>
          <w:tcPr>
            <w:tcW w:w="1277" w:type="dxa"/>
            <w:vAlign w:val="center"/>
            <w:vMerge w:val="continue"/>
            <w:textDirection w:val="lrTb"/>
            <w:noWrap/>
          </w:tcPr>
          <w:p>
            <w:pPr>
              <w:pStyle w:val="967"/>
              <w:jc w:val="center"/>
              <w:rPr>
                <w:rFonts w:ascii="宋体" w:hAnsi="宋体" w:cs="宋体"/>
                <w:bCs/>
                <w:color w:val="000000"/>
                <w:szCs w:val="21"/>
              </w:rPr>
            </w:pPr>
            <w:r>
              <w:rPr>
                <w:rFonts w:ascii="宋体" w:hAnsi="宋体" w:cs="宋体"/>
                <w:bCs/>
                <w:color w:val="000000"/>
                <w:szCs w:val="21"/>
              </w:rPr>
            </w:r>
            <w:r/>
          </w:p>
        </w:tc>
        <w:tc>
          <w:tcPr>
            <w:tcW w:w="1274" w:type="dxa"/>
            <w:vAlign w:val="center"/>
            <w:textDirection w:val="lrTb"/>
            <w:noWrap/>
          </w:tcPr>
          <w:p>
            <w:pPr>
              <w:pStyle w:val="967"/>
              <w:jc w:val="center"/>
              <w:rPr>
                <w:rFonts w:hint="eastAsia" w:ascii="宋体" w:hAnsi="宋体" w:cs="宋体"/>
                <w:bCs/>
                <w:color w:val="000000"/>
                <w:szCs w:val="21"/>
              </w:rPr>
            </w:pPr>
            <w:r>
              <w:rPr>
                <w:rFonts w:hint="eastAsia" w:ascii="宋体" w:hAnsi="宋体" w:cs="宋体"/>
                <w:bCs/>
                <w:color w:val="000000"/>
                <w:szCs w:val="21"/>
              </w:rPr>
              <w:t xml:space="preserve">业绩</w:t>
            </w:r>
            <w:r/>
          </w:p>
        </w:tc>
        <w:tc>
          <w:tcPr>
            <w:tcW w:w="6522" w:type="dxa"/>
            <w:vAlign w:val="center"/>
            <w:textDirection w:val="lrTb"/>
            <w:noWrap/>
          </w:tcPr>
          <w:p>
            <w:pPr>
              <w:pStyle w:val="967"/>
              <w:jc w:val="left"/>
              <w:spacing w:line="360" w:lineRule="auto"/>
              <w:rPr>
                <w:rFonts w:hint="eastAsia" w:ascii="宋体" w:hAnsi="宋体"/>
                <w:bCs/>
                <w:color w:val="000000"/>
                <w:sz w:val="24"/>
                <w:szCs w:val="21"/>
                <w:highlight w:val="yellow"/>
              </w:rPr>
            </w:pPr>
            <w:r>
              <w:rPr>
                <w:rFonts w:hint="eastAsia" w:ascii="宋体" w:hAnsi="宋体"/>
                <w:bCs/>
                <w:color w:val="000000"/>
                <w:szCs w:val="21"/>
              </w:rPr>
              <w:t xml:space="preserve">投标人自</w:t>
            </w:r>
            <w:r>
              <w:rPr>
                <w:rFonts w:ascii="宋体" w:hAnsi="宋体"/>
                <w:bCs/>
                <w:color w:val="000000"/>
                <w:szCs w:val="21"/>
              </w:rPr>
              <w:t xml:space="preserve">202</w:t>
            </w:r>
            <w:r>
              <w:rPr>
                <w:rFonts w:hint="eastAsia" w:ascii="宋体" w:hAnsi="宋体"/>
                <w:bCs/>
                <w:color w:val="000000"/>
                <w:szCs w:val="21"/>
              </w:rPr>
              <w:t xml:space="preserve">2年</w:t>
            </w:r>
            <w:r>
              <w:rPr>
                <w:rFonts w:ascii="宋体" w:hAnsi="宋体"/>
                <w:bCs/>
                <w:color w:val="000000"/>
                <w:szCs w:val="21"/>
              </w:rPr>
              <w:t xml:space="preserve">1</w:t>
            </w:r>
            <w:r>
              <w:rPr>
                <w:rFonts w:hint="eastAsia" w:ascii="宋体" w:hAnsi="宋体"/>
                <w:bCs/>
                <w:color w:val="000000"/>
                <w:szCs w:val="21"/>
              </w:rPr>
              <w:t xml:space="preserve">月</w:t>
            </w:r>
            <w:r>
              <w:rPr>
                <w:rFonts w:ascii="宋体" w:hAnsi="宋体"/>
                <w:bCs/>
                <w:color w:val="000000"/>
                <w:szCs w:val="21"/>
              </w:rPr>
              <w:t xml:space="preserve">1</w:t>
            </w:r>
            <w:r>
              <w:rPr>
                <w:rFonts w:hint="eastAsia" w:ascii="宋体" w:hAnsi="宋体"/>
                <w:bCs/>
                <w:color w:val="000000"/>
                <w:szCs w:val="21"/>
              </w:rPr>
              <w:t xml:space="preserve">日至今（以合同签订日期为准）以来独立完成过的类似项目业绩证明，每提供一份业绩得1分，本项最高得4分。                                                           （提供业绩合同及部分发票扫描件）</w:t>
            </w:r>
            <w:r>
              <w:rPr>
                <w:rFonts w:hint="eastAsia" w:ascii="宋体" w:hAnsi="宋体"/>
                <w:bCs/>
                <w:color w:val="000000"/>
                <w:sz w:val="24"/>
                <w:szCs w:val="21"/>
                <w:highlight w:val="yellow"/>
              </w:rPr>
            </w:r>
            <w:r/>
          </w:p>
        </w:tc>
        <w:tc>
          <w:tcPr>
            <w:tcW w:w="709" w:type="dxa"/>
            <w:vAlign w:val="center"/>
            <w:textDirection w:val="lrTb"/>
            <w:noWrap/>
          </w:tcPr>
          <w:p>
            <w:pPr>
              <w:pStyle w:val="967"/>
              <w:jc w:val="center"/>
              <w:rPr>
                <w:rFonts w:ascii="宋体" w:hAnsi="宋体" w:cs="宋体"/>
                <w:bCs/>
                <w:color w:val="000000"/>
                <w:szCs w:val="21"/>
                <w:highlight w:val="yellow"/>
              </w:rPr>
            </w:pPr>
            <w:r>
              <w:rPr>
                <w:rFonts w:hint="eastAsia" w:ascii="宋体" w:hAnsi="宋体" w:cs="宋体"/>
                <w:bCs/>
                <w:color w:val="000000"/>
                <w:szCs w:val="21"/>
              </w:rPr>
              <w:t xml:space="preserve">4分</w:t>
            </w:r>
            <w:r>
              <w:rPr>
                <w:rFonts w:ascii="宋体" w:hAnsi="宋体" w:cs="宋体"/>
                <w:bCs/>
                <w:color w:val="000000"/>
                <w:szCs w:val="21"/>
                <w:highlight w:val="yellow"/>
              </w:rPr>
            </w:r>
            <w:r/>
          </w:p>
        </w:tc>
      </w:tr>
    </w:tbl>
    <w:p>
      <w:pPr>
        <w:pStyle w:val="967"/>
        <w:rPr>
          <w:rFonts w:hint="eastAsia"/>
          <w:b/>
        </w:rPr>
      </w:pPr>
      <w:r>
        <w:rPr>
          <w:rFonts w:hint="eastAsia"/>
          <w:b/>
        </w:rPr>
      </w:r>
      <w:r/>
    </w:p>
    <w:p>
      <w:pPr>
        <w:pStyle w:val="967"/>
        <w:rPr>
          <w:rFonts w:ascii="Tahoma" w:hAnsi="Tahoma"/>
          <w:sz w:val="24"/>
        </w:rPr>
      </w:pPr>
      <w:r/>
      <w:bookmarkStart w:id="62" w:name="_Toc42161280"/>
      <w:r>
        <w:rPr>
          <w:rFonts w:ascii="Tahoma" w:hAnsi="Tahoma"/>
          <w:sz w:val="24"/>
        </w:rPr>
      </w:r>
      <w:r/>
    </w:p>
    <w:p>
      <w:pPr>
        <w:pStyle w:val="990"/>
        <w:ind w:firstLine="0"/>
        <w:rPr>
          <w:rFonts w:hint="eastAsia" w:ascii="宋体" w:hAnsi="宋体" w:eastAsia="宋体"/>
          <w:b/>
        </w:rPr>
      </w:pPr>
      <w:r>
        <w:rPr>
          <w:rFonts w:hint="eastAsia" w:ascii="宋体" w:hAnsi="宋体" w:eastAsia="宋体"/>
          <w:b/>
        </w:rPr>
        <w:t xml:space="preserve">备注：</w:t>
      </w:r>
      <w:r/>
    </w:p>
    <w:p>
      <w:pPr>
        <w:pStyle w:val="967"/>
        <w:spacing w:line="360" w:lineRule="auto"/>
        <w:rPr>
          <w:rFonts w:hint="eastAsia" w:ascii="宋体" w:hAnsi="宋体" w:cs="宋体"/>
          <w:szCs w:val="21"/>
        </w:rPr>
      </w:pPr>
      <w:r>
        <w:rPr>
          <w:rFonts w:hint="eastAsia" w:ascii="宋体" w:hAnsi="宋体" w:cs="宋体"/>
          <w:szCs w:val="21"/>
        </w:rPr>
        <w:t xml:space="preserve">1、以上评分标准中评分的每一条，各投标单位均应提供相关的资料作出相应的对比供专家评判。</w:t>
      </w:r>
      <w:r/>
    </w:p>
    <w:p>
      <w:pPr>
        <w:pStyle w:val="967"/>
        <w:spacing w:line="360" w:lineRule="auto"/>
        <w:rPr>
          <w:rFonts w:hint="eastAsia" w:ascii="宋体" w:hAnsi="宋体" w:cs="宋体"/>
          <w:szCs w:val="21"/>
        </w:rPr>
      </w:pPr>
      <w:r>
        <w:rPr>
          <w:rFonts w:hint="eastAsia" w:ascii="宋体" w:hAnsi="宋体" w:cs="宋体"/>
          <w:color w:val="000000"/>
          <w:szCs w:val="21"/>
        </w:rPr>
        <w:t xml:space="preserve">2、投标文件内所有有关评审的证书、荣誉、业绩、人员等评分项</w:t>
      </w:r>
      <w:r>
        <w:rPr>
          <w:rFonts w:hint="eastAsia" w:ascii="宋体" w:hAnsi="宋体" w:cs="宋体"/>
          <w:szCs w:val="21"/>
        </w:rPr>
        <w:t xml:space="preserve">须提供加盖投标单位公章的相关资料扫描件，不提供不得分。投标文件内所有资料均须清晰可辨，如因投标文件内的资料模糊造成的评审扣分由投标单位自行承担后果。</w:t>
      </w:r>
      <w:r/>
    </w:p>
    <w:p>
      <w:pPr>
        <w:pStyle w:val="967"/>
        <w:spacing w:line="360" w:lineRule="auto"/>
        <w:rPr>
          <w:rFonts w:hint="eastAsia" w:ascii="宋体" w:hAnsi="宋体" w:cs="宋体"/>
          <w:szCs w:val="21"/>
        </w:rPr>
      </w:pPr>
      <w:r>
        <w:rPr>
          <w:rFonts w:hint="eastAsia" w:ascii="宋体" w:hAnsi="宋体" w:cs="宋体"/>
          <w:szCs w:val="21"/>
        </w:rPr>
        <w:t xml:space="preserve">3、投标文件中如果出现前后不一致的地方，允许投标单位做澄清。如果前后不一致的地方是关系到评分部分，则由专家根据投标单位的澄清做酌情打分。</w:t>
      </w:r>
      <w:r/>
    </w:p>
    <w:p>
      <w:pPr>
        <w:pStyle w:val="967"/>
        <w:spacing w:line="360" w:lineRule="auto"/>
        <w:rPr>
          <w:rFonts w:hint="eastAsia" w:ascii="宋体" w:hAnsi="宋体" w:cs="宋体"/>
          <w:szCs w:val="21"/>
        </w:rPr>
      </w:pPr>
      <w:r>
        <w:rPr>
          <w:rFonts w:hint="eastAsia" w:ascii="宋体" w:hAnsi="宋体" w:cs="宋体"/>
          <w:szCs w:val="21"/>
        </w:rPr>
        <w:t xml:space="preserve">4、投标报价超过最高限价金额的，投标单位不得进入评标程序。</w:t>
      </w:r>
      <w:r/>
    </w:p>
    <w:p>
      <w:pPr>
        <w:pStyle w:val="967"/>
        <w:spacing w:line="360" w:lineRule="auto"/>
        <w:rPr>
          <w:rFonts w:hint="eastAsia" w:ascii="宋体" w:hAnsi="宋体" w:cs="宋体"/>
          <w:szCs w:val="21"/>
        </w:rPr>
      </w:pPr>
      <w:r>
        <w:rPr>
          <w:rFonts w:hint="eastAsia" w:ascii="宋体" w:hAnsi="宋体" w:cs="宋体"/>
          <w:szCs w:val="21"/>
        </w:rPr>
        <w:t xml:space="preserve">5、付款方式(商务条款)不响应招标要求的不得中标。</w:t>
      </w:r>
      <w:r/>
    </w:p>
    <w:p>
      <w:pPr>
        <w:pStyle w:val="967"/>
        <w:spacing w:line="360" w:lineRule="auto"/>
        <w:rPr>
          <w:rFonts w:hint="eastAsia" w:ascii="宋体" w:hAnsi="宋体" w:cs="宋体"/>
          <w:b/>
          <w:szCs w:val="21"/>
        </w:rPr>
      </w:pPr>
      <w:r>
        <w:rPr>
          <w:rFonts w:hint="eastAsia" w:ascii="宋体" w:hAnsi="宋体" w:cs="宋体"/>
          <w:b/>
          <w:szCs w:val="21"/>
        </w:rPr>
        <w:t xml:space="preserve">6、为确保货物、服务质量，投标单位除投标价格得分以外的分值低于75%作无效标处理。</w:t>
      </w:r>
      <w:r/>
    </w:p>
    <w:p>
      <w:pPr>
        <w:pStyle w:val="967"/>
        <w:spacing w:line="360" w:lineRule="auto"/>
        <w:rPr>
          <w:rFonts w:hint="eastAsia" w:ascii="宋体" w:hAnsi="宋体" w:cs="宋体"/>
          <w:szCs w:val="21"/>
        </w:rPr>
      </w:pPr>
      <w:r>
        <w:rPr>
          <w:rFonts w:hint="eastAsia" w:ascii="宋体" w:hAnsi="宋体" w:cs="宋体"/>
          <w:szCs w:val="21"/>
        </w:rPr>
        <w:t xml:space="preserve">7、各投标单位必须通过“苏采云”进行该项目网上电子投标，否则视为无效投标。</w:t>
        <w:br w:type="page" w:clear="all"/>
      </w:r>
      <w:r/>
    </w:p>
    <w:p>
      <w:pPr>
        <w:pStyle w:val="968"/>
        <w:jc w:val="center"/>
        <w:spacing w:line="360" w:lineRule="auto"/>
      </w:pPr>
      <w:r/>
      <w:bookmarkStart w:id="63" w:name="_Toc194916145"/>
      <w:r>
        <w:rPr>
          <w:rFonts w:hint="eastAsia"/>
        </w:rPr>
        <w:t xml:space="preserve">第七章  </w:t>
      </w:r>
      <w:r>
        <w:t xml:space="preserve">昆山市政府采购供应商诚信管理办法</w:t>
      </w:r>
      <w:bookmarkEnd w:id="62"/>
      <w:r/>
      <w:bookmarkEnd w:id="63"/>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第二条 本办法适用于参加昆山市范围内政府采购活动的供应商。</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供应商是指向采购人提供货物、工程或者服务的法人、其他组织或者自然人。</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第三条 政府采购当事人有权对供应商的行为进行监督，发现违法违规行为应当及时向政府采购监管部门反映，并配合做好调查处理工作。</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其他单位和个人对政府采购活动中供应商的违法违规行为，有权控告和检举，政府采购监管部门应当依法调查处理。</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第四条 供应商参加政府采购活动，应当遵循公平竞争、诚实信用原则。</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第五条 供应商参加政府采购活动的合法权益应当依法得到保护，任何人不得以任何手段损害供应商的合法权益。</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第六条 供应商监管工作应当依法进行，坚持公开透明、惩罚得当、信息共享的原则。</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第七条 实行政府采购供应商诚信管理制度。对供应商失信行为、不良行为等诚信信息，由政府采购监管部门予以记录，在昆山市政府采购活动中采用。</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（一）已递交投标（响应）文件而不参加开标的，或者开标时以各种理由不解密投标（响应）文件影响采购活动正常进行的；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（二）不遵守开评标现场纪律，故意扰乱开标评标现场秩序的；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（三）未按《政府采购法》等相关规定签订、履行合同的；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（四）无正当理由放弃中标（成交）的；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（五）履约验收不合格的；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（六）一年内累计三次及以上质疑均查无实据的；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（七）捏造事实、提供虚假材料进行恶意举报的；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（八）不配合或采用不正当手段干扰政府采购质疑、投诉处理工作的；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（九）经查实，利用产品授权等方式控制货源的；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（十）为采购项目提供整体设计、规范编制或者项目管理、监理、检测等服务，同时再参加该采购项目的其他采购活动的；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（十一）政府采购监管部门认定的其他失信行为。</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（一）提供虚假材料谋取中标（成交）的；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（二）采取不正当手段诋毁、排挤其他供应商的；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（三）与采购人、采购代理机构或者其他供应商恶意串通的； </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（四）向采购人或者采购代理机构行贿或者提供其他不正当利益的；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（五）在采购过程中与采购人进行协商谈判、不按照采购文件和中标（成交）供应商的投标（响应）文件订立合同，或者与采购人另行订立背离合同实质性内容的协议的；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（六）拒绝有关部门监督检查或者提供虚假情况的；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（七）中标（成交）后无正当理由不与采购人签订合同的；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（八）将中标（成交）项目转让给他人，或者违反采购文件规定，将中标（成交）项目分包给他人的；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（九）拒绝履行合同义务的；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（十）一年内累计三次及以上投诉均查无实据的；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（十一）捏造事实或者提供虚假投诉材料或者以非法手段取得证明材料进行投诉的。</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供应商违法违规行为已被依法认定为不良行为的，不再重复认定为失信行为。</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ascii="宋体" w:hAnsi="宋体" w:cs="Arial"/>
          <w:color w:val="333333"/>
          <w:szCs w:val="21"/>
        </w:rPr>
      </w:r>
      <w:r/>
    </w:p>
    <w:p>
      <w:pPr>
        <w:pStyle w:val="967"/>
        <w:ind w:firstLine="420"/>
        <w:spacing w:line="440" w:lineRule="exact"/>
        <w:widowControl/>
        <w:rPr>
          <w:rFonts w:ascii="宋体" w:hAnsi="宋体" w:cs="Arial"/>
          <w:color w:val="333333"/>
          <w:szCs w:val="21"/>
        </w:rPr>
      </w:pPr>
      <w:r>
        <w:rPr>
          <w:rFonts w:ascii="宋体" w:hAnsi="宋体" w:cs="Arial"/>
          <w:color w:val="000000"/>
          <w:szCs w:val="21"/>
        </w:rPr>
        <w:t xml:space="preserve">第十二条 供应商在政府采购活动中存在不良行为的，按《江苏省政府采购供应商监督管理暂行办法》的规定执行。</w:t>
      </w:r>
      <w:r>
        <w:rPr>
          <w:rFonts w:ascii="宋体" w:hAnsi="宋体" w:cs="Arial"/>
          <w:color w:val="333333"/>
          <w:szCs w:val="21"/>
        </w:rPr>
      </w:r>
      <w:r/>
    </w:p>
    <w:p>
      <w:pPr>
        <w:pStyle w:val="967"/>
        <w:ind w:right="-252"/>
        <w:spacing w:line="360" w:lineRule="auto"/>
        <w:rPr>
          <w:rFonts w:hint="eastAsia" w:ascii="宋体" w:hAnsi="宋体" w:cs="Arial"/>
          <w:b/>
        </w:rPr>
      </w:pPr>
      <w:r>
        <w:rPr>
          <w:rFonts w:ascii="宋体" w:hAnsi="宋体" w:cs="Arial"/>
          <w:color w:val="000000"/>
          <w:szCs w:val="21"/>
        </w:rPr>
        <w:t xml:space="preserve">第十三条 本办法由昆山市财政局负责解释，自2018年8月21日起执行。昆山市财政局2016年3月1日发布的《昆山市政府采购供应商诚信管理暂行办法》（昆财规字〔2016〕2号）同时废止。</w:t>
      </w:r>
      <w:r>
        <w:rPr>
          <w:rFonts w:hint="eastAsia" w:ascii="宋体" w:hAnsi="宋体" w:cs="Arial"/>
          <w:b/>
        </w:rPr>
      </w:r>
      <w:r/>
    </w:p>
    <w:p>
      <w:pPr>
        <w:pStyle w:val="967"/>
        <w:ind w:right="-252"/>
        <w:spacing w:line="360" w:lineRule="auto"/>
        <w:rPr>
          <w:rFonts w:hint="eastAsia" w:ascii="宋体" w:hAnsi="宋体" w:cs="Arial"/>
          <w:b/>
        </w:rPr>
      </w:pPr>
      <w:r>
        <w:rPr>
          <w:rFonts w:hint="eastAsia" w:ascii="宋体" w:hAnsi="宋体" w:cs="Arial"/>
          <w:b/>
        </w:rPr>
      </w:r>
      <w:r/>
    </w:p>
    <w:p>
      <w:pPr>
        <w:pStyle w:val="967"/>
        <w:ind w:right="-252"/>
        <w:spacing w:line="360" w:lineRule="auto"/>
        <w:rPr>
          <w:rFonts w:hint="eastAsia" w:ascii="宋体" w:hAnsi="宋体" w:cs="Arial"/>
          <w:b/>
        </w:rPr>
      </w:pPr>
      <w:r>
        <w:rPr>
          <w:rFonts w:hint="eastAsia" w:ascii="宋体" w:hAnsi="宋体" w:cs="Arial"/>
          <w:b/>
        </w:rPr>
      </w:r>
      <w:r/>
    </w:p>
    <w:p>
      <w:pPr>
        <w:pStyle w:val="967"/>
        <w:ind w:right="-252"/>
        <w:spacing w:line="360" w:lineRule="auto"/>
        <w:rPr>
          <w:rFonts w:hint="eastAsia" w:ascii="宋体" w:hAnsi="宋体" w:cs="Arial"/>
          <w:b/>
        </w:rPr>
      </w:pPr>
      <w:r>
        <w:rPr>
          <w:rFonts w:hint="eastAsia" w:ascii="宋体" w:hAnsi="宋体" w:cs="Arial"/>
          <w:b/>
        </w:rPr>
        <w:t xml:space="preserve">（</w:t>
      </w:r>
      <w:r>
        <w:rPr>
          <w:rFonts w:ascii="宋体" w:hAnsi="宋体" w:cs="Arial"/>
          <w:b/>
        </w:rPr>
        <w:t xml:space="preserve">全文完</w:t>
      </w:r>
      <w:r>
        <w:rPr>
          <w:rFonts w:hint="eastAsia" w:ascii="宋体" w:hAnsi="宋体" w:cs="Arial"/>
          <w:b/>
        </w:rPr>
        <w:t xml:space="preserve">）</w:t>
      </w:r>
      <w:r/>
    </w:p>
    <w:sectPr>
      <w:headerReference w:type="default" r:id="rId10"/>
      <w:headerReference w:type="first" r:id="rId11"/>
      <w:footerReference w:type="default" r:id="rId14"/>
      <w:footerReference w:type="first" r:id="rId15"/>
      <w:footnotePr/>
      <w:endnotePr/>
      <w:type w:val="nextPage"/>
      <w:pgSz w:w="11906" w:h="16838" w:orient="portrait"/>
      <w:pgMar w:top="947" w:right="1361" w:bottom="760" w:left="1259" w:header="851" w:footer="73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Footlight MT Light">
    <w:panose1 w:val="0204060206030A020304"/>
  </w:font>
  <w:font w:name="PMingLiU">
    <w:panose1 w:val="02020500000000000000"/>
  </w:font>
  <w:font w:name="Calibri">
    <w:panose1 w:val="020F0502020204030204"/>
  </w:font>
  <w:font w:name="Courier New">
    <w:panose1 w:val="02070309020205020404"/>
  </w:font>
  <w:font w:name="Cambria">
    <w:panose1 w:val="02040503050406030204"/>
  </w:font>
  <w:font w:name="方正姚体">
    <w:panose1 w:val="02010601030101010101"/>
  </w:font>
  <w:font w:name="仿宋_GB2312">
    <w:panose1 w:val="02010609060101010101"/>
  </w:font>
  <w:font w:name="Verdana">
    <w:panose1 w:val="020B0604030504040204"/>
  </w:font>
  <w:font w:name="黑体">
    <w:panose1 w:val="02010609060101010101"/>
  </w:font>
  <w:font w:name="楷体_GB2312">
    <w:panose1 w:val="02010609060101010101"/>
  </w:font>
  <w:font w:name="Tahoma">
    <w:panose1 w:val="020B060403050404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rStyle w:val="1038"/>
        <w:rFonts w:hint="eastAsia"/>
        <w:sz w:val="16"/>
        <w:szCs w:val="16"/>
      </w:rPr>
      <w:t xml:space="preserve">                                                                                       第</w:t>
    </w:r>
    <w:r>
      <w:rPr>
        <w:rFonts w:ascii="宋体" w:hAnsi="宋体" w:eastAsia="宋体"/>
        <w:sz w:val="16"/>
        <w:szCs w:val="16"/>
      </w:rPr>
      <w:fldChar w:fldCharType="begin"/>
    </w:r>
    <w:r>
      <w:rPr>
        <w:rStyle w:val="1038"/>
        <w:sz w:val="16"/>
        <w:szCs w:val="16"/>
      </w:rPr>
      <w:instrText xml:space="preserve"> PAGE </w:instrText>
    </w:r>
    <w:r>
      <w:rPr>
        <w:rFonts w:ascii="宋体" w:hAnsi="宋体" w:eastAsia="宋体"/>
        <w:sz w:val="16"/>
        <w:szCs w:val="16"/>
      </w:rPr>
      <w:fldChar w:fldCharType="separate"/>
    </w:r>
    <w:r>
      <w:rPr>
        <w:rStyle w:val="1038"/>
        <w:sz w:val="16"/>
        <w:szCs w:val="16"/>
      </w:rPr>
      <w:t xml:space="preserve">53</w:t>
    </w:r>
    <w:r>
      <w:rPr>
        <w:rFonts w:ascii="宋体" w:hAnsi="宋体" w:eastAsia="宋体"/>
        <w:sz w:val="16"/>
        <w:szCs w:val="16"/>
      </w:rPr>
      <w:fldChar w:fldCharType="end"/>
    </w:r>
    <w:r>
      <w:rPr>
        <w:rStyle w:val="1038"/>
        <w:rFonts w:hint="eastAsia"/>
        <w:sz w:val="16"/>
        <w:szCs w:val="16"/>
      </w:rPr>
      <w:t xml:space="preserve">页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left" w:pos="4050" w:leader="none"/>
        <w:tab w:val="clear" w:pos="4153" w:leader="none"/>
        <w:tab w:val="clear" w:pos="8306" w:leader="none"/>
      </w:tabs>
    </w:pPr>
    <w:r>
      <w:tab/>
    </w:r>
    <w:r>
      <w:rPr>
        <w:rStyle w:val="1038"/>
        <w:rFonts w:hint="eastAsia"/>
        <w:sz w:val="16"/>
        <w:szCs w:val="16"/>
      </w:rPr>
      <w:t xml:space="preserve">                                                  第</w:t>
    </w:r>
    <w:r>
      <w:rPr>
        <w:rFonts w:ascii="宋体" w:hAnsi="宋体" w:eastAsia="宋体"/>
        <w:sz w:val="16"/>
        <w:szCs w:val="16"/>
      </w:rPr>
      <w:fldChar w:fldCharType="begin"/>
    </w:r>
    <w:r>
      <w:rPr>
        <w:rStyle w:val="1038"/>
        <w:sz w:val="16"/>
        <w:szCs w:val="16"/>
      </w:rPr>
      <w:instrText xml:space="preserve"> PAGE </w:instrText>
    </w:r>
    <w:r>
      <w:rPr>
        <w:rFonts w:ascii="宋体" w:hAnsi="宋体" w:eastAsia="宋体"/>
        <w:sz w:val="16"/>
        <w:szCs w:val="16"/>
      </w:rPr>
      <w:fldChar w:fldCharType="separate"/>
    </w:r>
    <w:r>
      <w:rPr>
        <w:rStyle w:val="1038"/>
        <w:sz w:val="16"/>
        <w:szCs w:val="16"/>
      </w:rPr>
      <w:t xml:space="preserve">1</w:t>
    </w:r>
    <w:r>
      <w:rPr>
        <w:rFonts w:ascii="宋体" w:hAnsi="宋体" w:eastAsia="宋体"/>
        <w:sz w:val="16"/>
        <w:szCs w:val="16"/>
      </w:rPr>
      <w:fldChar w:fldCharType="end"/>
    </w:r>
    <w:r>
      <w:rPr>
        <w:rStyle w:val="1038"/>
        <w:rFonts w:hint="eastAsia"/>
        <w:sz w:val="16"/>
        <w:szCs w:val="16"/>
      </w:rPr>
      <w:t xml:space="preserve">页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ind w:left="7380" w:right="357" w:hanging="7380"/>
      <w:spacing w:before="120"/>
      <w:rPr>
        <w:rStyle w:val="1038"/>
        <w:rFonts w:hint="eastAsia"/>
        <w:sz w:val="16"/>
        <w:szCs w:val="16"/>
      </w:rPr>
    </w:pPr>
    <w:r>
      <w:rPr>
        <w:lang w:val="zh-CN"/>
      </w:rPr>
      <w:t xml:space="preserve"> </w:t>
    </w:r>
    <w:r>
      <w:rPr>
        <w:rFonts w:hint="eastAsia"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-86994</wp:posOffset>
              </wp:positionH>
              <wp:positionV relativeFrom="paragraph">
                <wp:posOffset>62230</wp:posOffset>
              </wp:positionV>
              <wp:extent cx="582866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0609663;mso-wrap-distance-left:9.0pt;mso-wrap-distance-top:0.0pt;mso-wrap-distance-right:9.0pt;mso-wrap-distance-bottom:0.0pt;visibility:visible;" from="-6.8pt,4.9pt" to="452.1pt,4.9pt" filled="f" strokecolor="#000000" strokeweight="0.50pt"/>
          </w:pict>
        </mc:Fallback>
      </mc:AlternateContent>
    </w:r>
    <w:r>
      <w:rPr>
        <w:rStyle w:val="1038"/>
        <w:rFonts w:hint="eastAsia"/>
        <w:sz w:val="16"/>
        <w:szCs w:val="16"/>
      </w:rPr>
      <w:t xml:space="preserve">                                                                                                      第</w:t>
    </w:r>
    <w:r>
      <w:rPr>
        <w:rFonts w:ascii="宋体" w:hAnsi="宋体" w:eastAsia="宋体"/>
        <w:sz w:val="16"/>
        <w:szCs w:val="16"/>
      </w:rPr>
      <w:fldChar w:fldCharType="begin"/>
    </w:r>
    <w:r>
      <w:rPr>
        <w:rStyle w:val="1038"/>
        <w:sz w:val="16"/>
        <w:szCs w:val="16"/>
      </w:rPr>
      <w:instrText xml:space="preserve"> PAGE </w:instrText>
    </w:r>
    <w:r>
      <w:rPr>
        <w:rFonts w:ascii="宋体" w:hAnsi="宋体" w:eastAsia="宋体"/>
        <w:sz w:val="16"/>
        <w:szCs w:val="16"/>
      </w:rPr>
      <w:fldChar w:fldCharType="separate"/>
    </w:r>
    <w:r>
      <w:rPr>
        <w:rStyle w:val="1038"/>
        <w:sz w:val="16"/>
        <w:szCs w:val="16"/>
      </w:rPr>
      <w:t xml:space="preserve">77</w:t>
    </w:r>
    <w:r>
      <w:rPr>
        <w:rFonts w:ascii="宋体" w:hAnsi="宋体" w:eastAsia="宋体"/>
        <w:sz w:val="16"/>
        <w:szCs w:val="16"/>
      </w:rPr>
      <w:fldChar w:fldCharType="end"/>
    </w:r>
    <w:r>
      <w:rPr>
        <w:rStyle w:val="1038"/>
        <w:rFonts w:hint="eastAsia"/>
        <w:sz w:val="16"/>
        <w:szCs w:val="16"/>
      </w:rPr>
      <w:t xml:space="preserve">页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ind w:right="357"/>
      <w:spacing w:before="120"/>
      <w:rPr>
        <w:rStyle w:val="1038"/>
        <w:rFonts w:hint="eastAsia"/>
        <w:sz w:val="16"/>
        <w:szCs w:val="16"/>
      </w:rPr>
    </w:pPr>
    <w:r>
      <w:rPr>
        <w:rFonts w:hint="eastAsia"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-86994</wp:posOffset>
              </wp:positionH>
              <wp:positionV relativeFrom="paragraph">
                <wp:posOffset>62230</wp:posOffset>
              </wp:positionV>
              <wp:extent cx="582866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6.8pt,4.9pt" to="452.1pt,4.9pt" filled="f" strokecolor="#000000" strokeweight="0.50pt"/>
          </w:pict>
        </mc:Fallback>
      </mc:AlternateContent>
    </w:r>
    <w:r>
      <w:rPr>
        <w:rStyle w:val="1038"/>
        <w:rFonts w:hint="eastAsia"/>
        <w:sz w:val="16"/>
        <w:szCs w:val="16"/>
      </w:rPr>
      <w:t xml:space="preserve">                                                                                                       第</w:t>
    </w:r>
    <w:r>
      <w:rPr>
        <w:rFonts w:ascii="宋体" w:hAnsi="宋体" w:eastAsia="宋体"/>
        <w:sz w:val="16"/>
        <w:szCs w:val="16"/>
      </w:rPr>
      <w:fldChar w:fldCharType="begin"/>
    </w:r>
    <w:r>
      <w:rPr>
        <w:rStyle w:val="1038"/>
        <w:sz w:val="16"/>
        <w:szCs w:val="16"/>
      </w:rPr>
      <w:instrText xml:space="preserve"> PAGE </w:instrText>
    </w:r>
    <w:r>
      <w:rPr>
        <w:rFonts w:ascii="宋体" w:hAnsi="宋体" w:eastAsia="宋体"/>
        <w:sz w:val="16"/>
        <w:szCs w:val="16"/>
      </w:rPr>
      <w:fldChar w:fldCharType="separate"/>
    </w:r>
    <w:r>
      <w:rPr>
        <w:rStyle w:val="1038"/>
        <w:sz w:val="16"/>
        <w:szCs w:val="16"/>
      </w:rPr>
      <w:t xml:space="preserve">54</w:t>
    </w:r>
    <w:r>
      <w:rPr>
        <w:rFonts w:ascii="宋体" w:hAnsi="宋体" w:eastAsia="宋体"/>
        <w:sz w:val="16"/>
        <w:szCs w:val="16"/>
      </w:rPr>
      <w:fldChar w:fldCharType="end"/>
    </w:r>
    <w:r>
      <w:rPr>
        <w:rStyle w:val="1038"/>
        <w:rFonts w:hint="eastAsia"/>
        <w:sz w:val="16"/>
        <w:szCs w:val="16"/>
      </w:rPr>
      <w:t xml:space="preserve">页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both"/>
    </w:pPr>
    <w:r>
      <w:rPr>
        <w:rFonts w:hint="eastAsia" w:ascii="宋体" w:hAnsi="宋体" w:eastAsia="宋体"/>
      </w:rPr>
      <w:t xml:space="preserve">编号：JSZC-320583-SZZH-G2026-0005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right="-252"/>
      <w:jc w:val="both"/>
      <w:rPr>
        <w:rFonts w:hint="eastAsia" w:ascii="宋体" w:hAnsi="宋体" w:eastAsia="宋体"/>
      </w:rPr>
    </w:pPr>
    <w:r>
      <w:rPr>
        <w:rFonts w:hint="eastAsia" w:ascii="宋体" w:hAnsi="宋体" w:eastAsia="宋体"/>
      </w:rPr>
      <w:t xml:space="preserve">编号：JSZC-320583-SZZH-G2026-0005                                                            公开招标文件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both"/>
      <w:rPr>
        <w:rFonts w:hint="eastAsia" w:ascii="宋体" w:hAnsi="宋体" w:eastAsia="宋体"/>
      </w:rPr>
    </w:pPr>
    <w:r>
      <w:rPr>
        <w:rFonts w:hint="eastAsia" w:ascii="宋体" w:hAnsi="宋体" w:eastAsia="宋体"/>
      </w:rPr>
      <w:t xml:space="preserve">编号：JSZC-320583-SZZH-G2026-0005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一、"/>
      <w:lvlJc w:val="left"/>
      <w:pPr>
        <w:pStyle w:val="967"/>
        <w:ind w:left="1140" w:hanging="570"/>
        <w:tabs>
          <w:tab w:val="num"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6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7"/>
      <w:isLgl w:val="false"/>
      <w:suff w:val="tab"/>
      <w:lvlText w:val="%1、"/>
      <w:lvlJc w:val="left"/>
      <w:pPr>
        <w:pStyle w:val="967"/>
        <w:ind w:left="930" w:hanging="360"/>
        <w:tabs>
          <w:tab w:val="num"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74"/>
      <w:isLgl w:val="false"/>
      <w:suff w:val="tab"/>
      <w:lvlText w:val=""/>
      <w:lvlJc w:val="left"/>
      <w:pPr>
        <w:pStyle w:val="967"/>
        <w:ind w:left="840" w:hanging="420"/>
        <w:tabs>
          <w:tab w:val="num" w:pos="840" w:leader="none"/>
        </w:tabs>
      </w:pPr>
      <w:rPr>
        <w:rFonts w:ascii="Wingdings" w:hAnsi="Wingdings"/>
        <w:color w:val="000000"/>
      </w:rPr>
    </w:lvl>
    <w:lvl w:ilvl="1">
      <w:start w:val="1"/>
      <w:numFmt w:val="decimal"/>
      <w:isLgl w:val="false"/>
      <w:suff w:val="tab"/>
      <w:lvlText w:val="%2."/>
      <w:lvlJc w:val="left"/>
      <w:pPr>
        <w:pStyle w:val="967"/>
        <w:ind w:left="1440" w:hanging="360"/>
        <w:tabs>
          <w:tab w:val="num" w:pos="1440" w:leader="none"/>
        </w:tabs>
      </w:pPr>
    </w:lvl>
    <w:lvl w:ilvl="2">
      <w:start w:val="1"/>
      <w:numFmt w:val="decimal"/>
      <w:isLgl w:val="false"/>
      <w:suff w:val="tab"/>
      <w:lvlText w:val="%3."/>
      <w:lvlJc w:val="left"/>
      <w:pPr>
        <w:pStyle w:val="967"/>
        <w:ind w:left="2160" w:hanging="360"/>
        <w:tabs>
          <w:tab w:val="num" w:pos="2160" w:leader="none"/>
        </w:tabs>
      </w:pPr>
    </w:lvl>
    <w:lvl w:ilvl="3">
      <w:start w:val="1"/>
      <w:numFmt w:val="decimal"/>
      <w:isLgl w:val="false"/>
      <w:suff w:val="tab"/>
      <w:lvlText w:val="%4."/>
      <w:lvlJc w:val="left"/>
      <w:pPr>
        <w:pStyle w:val="967"/>
        <w:ind w:left="2880" w:hanging="360"/>
        <w:tabs>
          <w:tab w:val="num" w:pos="2880" w:leader="none"/>
        </w:tabs>
      </w:pPr>
    </w:lvl>
    <w:lvl w:ilvl="4">
      <w:start w:val="1"/>
      <w:numFmt w:val="decimal"/>
      <w:isLgl w:val="false"/>
      <w:suff w:val="tab"/>
      <w:lvlText w:val="%5."/>
      <w:lvlJc w:val="left"/>
      <w:pPr>
        <w:pStyle w:val="967"/>
        <w:ind w:left="3600" w:hanging="360"/>
        <w:tabs>
          <w:tab w:val="num" w:pos="3600" w:leader="none"/>
        </w:tabs>
      </w:pPr>
    </w:lvl>
    <w:lvl w:ilvl="5">
      <w:start w:val="1"/>
      <w:numFmt w:val="decimal"/>
      <w:isLgl w:val="false"/>
      <w:suff w:val="tab"/>
      <w:lvlText w:val="%6."/>
      <w:lvlJc w:val="left"/>
      <w:pPr>
        <w:pStyle w:val="967"/>
        <w:ind w:left="4320" w:hanging="360"/>
        <w:tabs>
          <w:tab w:val="num" w:pos="4320" w:leader="none"/>
        </w:tabs>
      </w:pPr>
    </w:lvl>
    <w:lvl w:ilvl="6">
      <w:start w:val="1"/>
      <w:numFmt w:val="decimal"/>
      <w:isLgl w:val="false"/>
      <w:suff w:val="tab"/>
      <w:lvlText w:val="%7."/>
      <w:lvlJc w:val="left"/>
      <w:pPr>
        <w:pStyle w:val="967"/>
        <w:ind w:left="5040" w:hanging="360"/>
        <w:tabs>
          <w:tab w:val="num" w:pos="5040" w:leader="none"/>
        </w:tabs>
      </w:pPr>
    </w:lvl>
    <w:lvl w:ilvl="7">
      <w:start w:val="1"/>
      <w:numFmt w:val="decimal"/>
      <w:isLgl w:val="false"/>
      <w:suff w:val="tab"/>
      <w:lvlText w:val="%8."/>
      <w:lvlJc w:val="left"/>
      <w:pPr>
        <w:pStyle w:val="967"/>
        <w:ind w:left="5760" w:hanging="360"/>
        <w:tabs>
          <w:tab w:val="num" w:pos="5760" w:leader="none"/>
        </w:tabs>
      </w:pPr>
    </w:lvl>
    <w:lvl w:ilvl="8">
      <w:start w:val="1"/>
      <w:numFmt w:val="decimal"/>
      <w:isLgl w:val="false"/>
      <w:suff w:val="tab"/>
      <w:lvlText w:val="%9."/>
      <w:lvlJc w:val="left"/>
      <w:pPr>
        <w:pStyle w:val="967"/>
        <w:ind w:left="6480" w:hanging="360"/>
        <w:tabs>
          <w:tab w:val="num" w:pos="6480" w:leader="none"/>
        </w:tabs>
      </w:pPr>
    </w:lvl>
  </w:abstractNum>
  <w:abstractNum w:abstractNumId="3">
    <w:multiLevelType w:val="hybridMultilevel"/>
    <w:lvl w:ilvl="0">
      <w:start w:val="4"/>
      <w:numFmt w:val="decimal"/>
      <w:pStyle w:val="1060"/>
      <w:isLgl w:val="false"/>
      <w:suff w:val="tab"/>
      <w:lvlText w:val="%1"/>
      <w:lvlJc w:val="left"/>
      <w:pPr>
        <w:pStyle w:val="967"/>
        <w:ind w:left="495" w:hanging="495"/>
        <w:tabs>
          <w:tab w:val="num" w:pos="495" w:leader="none"/>
        </w:tabs>
      </w:pPr>
    </w:lvl>
    <w:lvl w:ilvl="1">
      <w:start w:val="1"/>
      <w:numFmt w:val="decimal"/>
      <w:isLgl w:val="false"/>
      <w:suff w:val="tab"/>
      <w:lvlText w:val="%1.%2"/>
      <w:lvlJc w:val="left"/>
      <w:pPr>
        <w:pStyle w:val="967"/>
        <w:ind w:left="915" w:hanging="495"/>
        <w:tabs>
          <w:tab w:val="num" w:pos="915" w:leader="none"/>
        </w:tabs>
      </w:pPr>
    </w:lvl>
    <w:lvl w:ilvl="2">
      <w:start w:val="1"/>
      <w:numFmt w:val="decimal"/>
      <w:isLgl w:val="false"/>
      <w:suff w:val="tab"/>
      <w:lvlText w:val="%1.%2.%3"/>
      <w:lvlJc w:val="left"/>
      <w:pPr>
        <w:pStyle w:val="967"/>
        <w:ind w:left="1335" w:hanging="495"/>
        <w:tabs>
          <w:tab w:val="num" w:pos="1335" w:leader="none"/>
        </w:tabs>
      </w:pPr>
    </w:lvl>
    <w:lvl w:ilvl="3">
      <w:start w:val="1"/>
      <w:numFmt w:val="decimal"/>
      <w:isLgl w:val="false"/>
      <w:suff w:val="tab"/>
      <w:lvlText w:val="%1.%2.%3.%4"/>
      <w:lvlJc w:val="left"/>
      <w:pPr>
        <w:pStyle w:val="967"/>
        <w:ind w:left="1755" w:hanging="495"/>
        <w:tabs>
          <w:tab w:val="num" w:pos="1755" w:leader="none"/>
        </w:tabs>
      </w:pPr>
    </w:lvl>
    <w:lvl w:ilvl="4">
      <w:start w:val="1"/>
      <w:numFmt w:val="decimal"/>
      <w:isLgl w:val="false"/>
      <w:suff w:val="tab"/>
      <w:lvlText w:val="%1.%2.%3.%4.%5"/>
      <w:lvlJc w:val="left"/>
      <w:pPr>
        <w:pStyle w:val="967"/>
        <w:ind w:left="2175" w:hanging="495"/>
        <w:tabs>
          <w:tab w:val="num" w:pos="2175" w:leader="none"/>
        </w:tabs>
      </w:pPr>
    </w:lvl>
    <w:lvl w:ilvl="5">
      <w:start w:val="1"/>
      <w:numFmt w:val="decimal"/>
      <w:isLgl w:val="false"/>
      <w:suff w:val="tab"/>
      <w:lvlText w:val="%1.%2.%3.%4.%5.%6"/>
      <w:lvlJc w:val="left"/>
      <w:pPr>
        <w:pStyle w:val="967"/>
        <w:ind w:left="2595" w:hanging="495"/>
        <w:tabs>
          <w:tab w:val="num" w:pos="2595" w:leader="none"/>
        </w:tabs>
      </w:pPr>
    </w:lvl>
    <w:lvl w:ilvl="6">
      <w:start w:val="1"/>
      <w:numFmt w:val="decimal"/>
      <w:isLgl w:val="false"/>
      <w:suff w:val="tab"/>
      <w:lvlText w:val="%1.%2.%3.%4.%5.%6.%7"/>
      <w:lvlJc w:val="left"/>
      <w:pPr>
        <w:pStyle w:val="967"/>
        <w:ind w:left="3015" w:hanging="495"/>
        <w:tabs>
          <w:tab w:val="num" w:pos="3015" w:leader="none"/>
        </w:tabs>
      </w:pPr>
    </w:lvl>
    <w:lvl w:ilvl="7">
      <w:start w:val="1"/>
      <w:numFmt w:val="decimal"/>
      <w:isLgl w:val="false"/>
      <w:suff w:val="tab"/>
      <w:lvlText w:val="%1.%2.%3.%4.%5.%6.%7.%8"/>
      <w:lvlJc w:val="left"/>
      <w:pPr>
        <w:pStyle w:val="967"/>
        <w:ind w:left="3435" w:hanging="495"/>
        <w:tabs>
          <w:tab w:val="num" w:pos="3435" w:leader="none"/>
        </w:tabs>
      </w:pPr>
    </w:lvl>
    <w:lvl w:ilvl="8">
      <w:start w:val="1"/>
      <w:numFmt w:val="decimal"/>
      <w:isLgl w:val="false"/>
      <w:suff w:val="tab"/>
      <w:lvlText w:val="%1.%2.%3.%4.%5.%6.%7.%8.%9"/>
      <w:lvlJc w:val="left"/>
      <w:pPr>
        <w:pStyle w:val="967"/>
        <w:ind w:left="3855" w:hanging="495"/>
        <w:tabs>
          <w:tab w:val="num" w:pos="3855" w:leader="none"/>
        </w:tabs>
      </w:pPr>
    </w:lvl>
  </w:abstractNum>
  <w:abstractNum w:abstractNumId="4">
    <w:multiLevelType w:val="hybridMultilevel"/>
    <w:lvl w:ilvl="0">
      <w:start w:val="1"/>
      <w:numFmt w:val="decimal"/>
      <w:isLgl w:val="false"/>
      <w:suff w:val="tab"/>
      <w:lvlText w:val="%1"/>
      <w:lvlJc w:val="left"/>
      <w:pPr>
        <w:pStyle w:val="967"/>
        <w:ind w:left="432" w:hanging="632"/>
        <w:tabs>
          <w:tab w:val="num" w:pos="432" w:leader="none"/>
        </w:tabs>
      </w:pPr>
      <w:rPr>
        <w:rFonts w:ascii="Times New Roman" w:hAnsi="Times New Roman" w:eastAsia="宋体"/>
        <w:b/>
        <w:i w:val="0"/>
        <w:spacing w:val="8"/>
        <w:sz w:val="32"/>
        <w:szCs w:val="32"/>
      </w:rPr>
    </w:lvl>
    <w:lvl w:ilvl="1">
      <w:start w:val="1"/>
      <w:numFmt w:val="decimal"/>
      <w:pStyle w:val="1142"/>
      <w:isLgl w:val="false"/>
      <w:suff w:val="tab"/>
      <w:lvlText w:val="%1.%2"/>
      <w:lvlJc w:val="left"/>
      <w:pPr>
        <w:pStyle w:val="967"/>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967"/>
        <w:ind w:left="833" w:hanging="833"/>
        <w:tabs>
          <w:tab w:val="num" w:pos="833" w:leader="none"/>
        </w:tabs>
      </w:pPr>
      <w:rPr>
        <w:rFonts w:ascii="Times New Roman" w:hAnsi="Times New Roman" w:eastAsia="宋体"/>
        <w:b/>
        <w:i w:val="0"/>
        <w:sz w:val="24"/>
        <w:szCs w:val="24"/>
      </w:rPr>
    </w:lvl>
    <w:lvl w:ilvl="3">
      <w:start w:val="1"/>
      <w:numFmt w:val="decimal"/>
      <w:pStyle w:val="1107"/>
      <w:isLgl w:val="false"/>
      <w:suff w:val="tab"/>
      <w:lvlText w:val="%1.%2.%3.%4"/>
      <w:lvlJc w:val="left"/>
      <w:pPr>
        <w:pStyle w:val="967"/>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967"/>
        <w:ind w:left="1008" w:hanging="1008"/>
        <w:tabs>
          <w:tab w:val="num" w:pos="1008" w:leader="none"/>
        </w:tabs>
      </w:pPr>
      <w:rPr>
        <w:rFonts w:hint="eastAsia"/>
      </w:rPr>
    </w:lvl>
    <w:lvl w:ilvl="5">
      <w:start w:val="1"/>
      <w:numFmt w:val="decimal"/>
      <w:isLgl w:val="false"/>
      <w:suff w:val="tab"/>
      <w:lvlText w:val="%1.%2.%3.%4.%5.%6"/>
      <w:lvlJc w:val="left"/>
      <w:pPr>
        <w:pStyle w:val="967"/>
        <w:ind w:left="1152" w:hanging="1152"/>
        <w:tabs>
          <w:tab w:val="num" w:pos="1152" w:leader="none"/>
        </w:tabs>
      </w:pPr>
      <w:rPr>
        <w:rFonts w:hint="eastAsia"/>
      </w:rPr>
    </w:lvl>
    <w:lvl w:ilvl="6">
      <w:start w:val="1"/>
      <w:numFmt w:val="decimal"/>
      <w:isLgl w:val="false"/>
      <w:suff w:val="tab"/>
      <w:lvlText w:val="%1.%2.%3.%4.%5.%6.%7"/>
      <w:lvlJc w:val="left"/>
      <w:pPr>
        <w:pStyle w:val="967"/>
        <w:ind w:left="1296" w:hanging="1296"/>
        <w:tabs>
          <w:tab w:val="num" w:pos="1296" w:leader="none"/>
        </w:tabs>
      </w:pPr>
      <w:rPr>
        <w:rFonts w:hint="eastAsia"/>
      </w:rPr>
    </w:lvl>
    <w:lvl w:ilvl="7">
      <w:start w:val="1"/>
      <w:numFmt w:val="decimal"/>
      <w:isLgl w:val="false"/>
      <w:suff w:val="tab"/>
      <w:lvlText w:val="%1.%2.%3.%4.%5.%6.%7.%8"/>
      <w:lvlJc w:val="left"/>
      <w:pPr>
        <w:pStyle w:val="967"/>
        <w:ind w:left="1440" w:hanging="1440"/>
        <w:tabs>
          <w:tab w:val="num" w:pos="1440" w:leader="none"/>
        </w:tabs>
      </w:pPr>
      <w:rPr>
        <w:rFonts w:hint="eastAsia"/>
      </w:rPr>
    </w:lvl>
    <w:lvl w:ilvl="8">
      <w:start w:val="1"/>
      <w:numFmt w:val="decimal"/>
      <w:isLgl w:val="false"/>
      <w:suff w:val="tab"/>
      <w:lvlText w:val="%1.%2.%3.%4.%5.%6.%7.%8.%9"/>
      <w:lvlJc w:val="left"/>
      <w:pPr>
        <w:pStyle w:val="967"/>
        <w:ind w:left="1584" w:hanging="1584"/>
        <w:tabs>
          <w:tab w:val="num" w:pos="1584" w:leader="none"/>
        </w:tabs>
      </w:pPr>
      <w:rPr>
        <w:rFonts w:hint="eastAsia"/>
      </w:rPr>
    </w:lvl>
  </w:abstractNum>
  <w:abstractNum w:abstractNumId="5">
    <w:multiLevelType w:val="hybridMultilevel"/>
    <w:lvl w:ilvl="0">
      <w:start w:val="1"/>
      <w:numFmt w:val="decimal"/>
      <w:pStyle w:val="1165"/>
      <w:isLgl w:val="false"/>
      <w:suff w:val="tab"/>
      <w:lvlText w:val="%1、"/>
      <w:lvlJc w:val="left"/>
      <w:pPr>
        <w:pStyle w:val="967"/>
        <w:ind w:left="440" w:firstLine="400"/>
        <w:tabs>
          <w:tab w:val="num" w:pos="1240" w:leader="none"/>
        </w:tabs>
      </w:pPr>
      <w:rPr>
        <w:rFonts w:hint="eastAsia"/>
      </w:rPr>
    </w:lvl>
    <w:lvl w:ilvl="1">
      <w:start w:val="1"/>
      <w:numFmt w:val="upperLetter"/>
      <w:isLgl w:val="false"/>
      <w:suff w:val="tab"/>
      <w:lvlText w:val="%2."/>
      <w:lvlJc w:val="left"/>
      <w:pPr>
        <w:pStyle w:val="967"/>
        <w:ind w:left="840" w:hanging="420"/>
        <w:tabs>
          <w:tab w:val="num" w:pos="840" w:leader="none"/>
        </w:tabs>
      </w:pPr>
      <w:rPr>
        <w:rFonts w:hint="eastAsia"/>
      </w:rPr>
    </w:lvl>
    <w:lvl w:ilvl="2">
      <w:start w:val="1"/>
      <w:numFmt w:val="lowerRoman"/>
      <w:isLgl w:val="false"/>
      <w:suff w:val="tab"/>
      <w:lvlText w:val="%3."/>
      <w:lvlJc w:val="right"/>
      <w:pPr>
        <w:pStyle w:val="967"/>
        <w:ind w:left="1260" w:hanging="420"/>
        <w:tabs>
          <w:tab w:val="num" w:pos="1260" w:leader="none"/>
        </w:tabs>
      </w:pPr>
    </w:lvl>
    <w:lvl w:ilvl="3">
      <w:start w:val="1"/>
      <w:numFmt w:val="decimal"/>
      <w:isLgl w:val="false"/>
      <w:suff w:val="tab"/>
      <w:lvlText w:val="%4."/>
      <w:lvlJc w:val="left"/>
      <w:pPr>
        <w:pStyle w:val="967"/>
        <w:ind w:left="1680" w:hanging="420"/>
        <w:tabs>
          <w:tab w:val="num" w:pos="1680" w:leader="none"/>
        </w:tabs>
      </w:pPr>
    </w:lvl>
    <w:lvl w:ilvl="4">
      <w:start w:val="1"/>
      <w:numFmt w:val="lowerLetter"/>
      <w:isLgl w:val="false"/>
      <w:suff w:val="tab"/>
      <w:lvlText w:val="%5)"/>
      <w:lvlJc w:val="left"/>
      <w:pPr>
        <w:pStyle w:val="967"/>
        <w:ind w:left="2100" w:hanging="420"/>
        <w:tabs>
          <w:tab w:val="num" w:pos="2100" w:leader="none"/>
        </w:tabs>
      </w:pPr>
    </w:lvl>
    <w:lvl w:ilvl="5">
      <w:start w:val="1"/>
      <w:numFmt w:val="lowerRoman"/>
      <w:isLgl w:val="false"/>
      <w:suff w:val="tab"/>
      <w:lvlText w:val="%6."/>
      <w:lvlJc w:val="right"/>
      <w:pPr>
        <w:pStyle w:val="967"/>
        <w:ind w:left="2520" w:hanging="420"/>
        <w:tabs>
          <w:tab w:val="num" w:pos="2520" w:leader="none"/>
        </w:tabs>
      </w:pPr>
    </w:lvl>
    <w:lvl w:ilvl="6">
      <w:start w:val="1"/>
      <w:numFmt w:val="decimal"/>
      <w:isLgl w:val="false"/>
      <w:suff w:val="tab"/>
      <w:lvlText w:val="%7."/>
      <w:lvlJc w:val="left"/>
      <w:pPr>
        <w:pStyle w:val="967"/>
        <w:ind w:left="2940" w:hanging="420"/>
        <w:tabs>
          <w:tab w:val="num" w:pos="2940" w:leader="none"/>
        </w:tabs>
      </w:pPr>
    </w:lvl>
    <w:lvl w:ilvl="7">
      <w:start w:val="1"/>
      <w:numFmt w:val="lowerLetter"/>
      <w:isLgl w:val="false"/>
      <w:suff w:val="tab"/>
      <w:lvlText w:val="%8)"/>
      <w:lvlJc w:val="left"/>
      <w:pPr>
        <w:pStyle w:val="967"/>
        <w:ind w:left="3360" w:hanging="420"/>
        <w:tabs>
          <w:tab w:val="num" w:pos="3360" w:leader="none"/>
        </w:tabs>
      </w:pPr>
    </w:lvl>
    <w:lvl w:ilvl="8">
      <w:start w:val="1"/>
      <w:numFmt w:val="lowerRoman"/>
      <w:isLgl w:val="false"/>
      <w:suff w:val="tab"/>
      <w:lvlText w:val="%9."/>
      <w:lvlJc w:val="right"/>
      <w:pPr>
        <w:pStyle w:val="967"/>
        <w:ind w:left="3780" w:hanging="420"/>
        <w:tabs>
          <w:tab w:val="num" w:pos="3780" w:leader="none"/>
        </w:tabs>
      </w:pPr>
    </w:lvl>
  </w:abstractNum>
  <w:abstractNum w:abstractNumId="6">
    <w:multiLevelType w:val="hybridMultilevel"/>
    <w:lvl w:ilvl="0">
      <w:start w:val="1"/>
      <w:numFmt w:val="decimal"/>
      <w:pStyle w:val="1148"/>
      <w:isLgl w:val="false"/>
      <w:suff w:val="nothing"/>
      <w:lvlText w:val="%1"/>
      <w:lvlJc w:val="left"/>
      <w:pPr>
        <w:pStyle w:val="967"/>
        <w:ind w:left="0" w:firstLine="0"/>
      </w:pPr>
      <w:rPr>
        <w:rFonts w:ascii="Times New Roman" w:hAnsi="Times New Roman"/>
        <w:b/>
        <w:i w:val="0"/>
        <w:sz w:val="21"/>
      </w:rPr>
    </w:lvl>
    <w:lvl w:ilvl="1">
      <w:start w:val="1"/>
      <w:numFmt w:val="decimal"/>
      <w:isLgl w:val="false"/>
      <w:suff w:val="nothing"/>
      <w:lvlText w:val="%1%2　"/>
      <w:lvlJc w:val="left"/>
      <w:pPr>
        <w:pStyle w:val="967"/>
        <w:ind w:left="0" w:firstLine="0"/>
      </w:pPr>
      <w:rPr>
        <w:rFonts w:hint="eastAsia" w:ascii="黑体" w:hAnsi="Times New Roman" w:eastAsia="黑体"/>
        <w:b w:val="0"/>
        <w:i w:val="0"/>
        <w:sz w:val="21"/>
      </w:rPr>
    </w:lvl>
    <w:lvl w:ilvl="2">
      <w:start w:val="1"/>
      <w:numFmt w:val="decimal"/>
      <w:pStyle w:val="1072"/>
      <w:isLgl w:val="false"/>
      <w:suff w:val="nothing"/>
      <w:lvlText w:val="%1%2.%3　"/>
      <w:lvlJc w:val="left"/>
      <w:pPr>
        <w:pStyle w:val="967"/>
        <w:ind w:left="420" w:firstLine="0"/>
      </w:pPr>
      <w:rPr>
        <w:rFonts w:hint="eastAsia" w:ascii="黑体" w:hAnsi="Times New Roman" w:eastAsia="黑体"/>
        <w:b w:val="0"/>
        <w:i w:val="0"/>
        <w:sz w:val="21"/>
      </w:rPr>
    </w:lvl>
    <w:lvl w:ilvl="3">
      <w:start w:val="1"/>
      <w:numFmt w:val="decimal"/>
      <w:pStyle w:val="1071"/>
      <w:isLgl w:val="false"/>
      <w:suff w:val="nothing"/>
      <w:lvlText w:val="%1%2.%3.%4　"/>
      <w:lvlJc w:val="left"/>
      <w:pPr>
        <w:pStyle w:val="967"/>
        <w:ind w:left="0" w:firstLine="0"/>
      </w:pPr>
      <w:rPr>
        <w:rFonts w:hint="eastAsia" w:ascii="黑体" w:hAnsi="Times New Roman" w:eastAsia="黑体"/>
        <w:b w:val="0"/>
        <w:i w:val="0"/>
        <w:sz w:val="21"/>
      </w:rPr>
    </w:lvl>
    <w:lvl w:ilvl="4">
      <w:start w:val="1"/>
      <w:numFmt w:val="decimal"/>
      <w:pStyle w:val="1070"/>
      <w:isLgl w:val="false"/>
      <w:suff w:val="nothing"/>
      <w:lvlText w:val="%1%2.%3.%4.%5　"/>
      <w:lvlJc w:val="left"/>
      <w:pPr>
        <w:pStyle w:val="967"/>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96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67"/>
        <w:ind w:left="0" w:firstLine="0"/>
      </w:pPr>
      <w:rPr>
        <w:rFonts w:hint="eastAsia" w:ascii="黑体" w:hAnsi="Times New Roman" w:eastAsia="黑体"/>
        <w:b w:val="0"/>
        <w:i w:val="0"/>
        <w:sz w:val="21"/>
      </w:rPr>
    </w:lvl>
    <w:lvl w:ilvl="7">
      <w:start w:val="1"/>
      <w:numFmt w:val="decimal"/>
      <w:isLgl w:val="false"/>
      <w:suff w:val="tab"/>
      <w:lvlText w:val="%1.%2.%3.%4.%5.%6.%7.%8"/>
      <w:lvlJc w:val="left"/>
      <w:pPr>
        <w:pStyle w:val="967"/>
        <w:ind w:left="3969" w:hanging="1418"/>
        <w:tabs>
          <w:tab w:val="num" w:pos="4351" w:leader="none"/>
        </w:tabs>
      </w:pPr>
      <w:rPr>
        <w:rFonts w:hint="eastAsia"/>
      </w:rPr>
    </w:lvl>
    <w:lvl w:ilvl="8">
      <w:start w:val="1"/>
      <w:numFmt w:val="decimal"/>
      <w:isLgl w:val="false"/>
      <w:suff w:val="tab"/>
      <w:lvlText w:val="%1.%2.%3.%4.%5.%6.%7.%8.%9"/>
      <w:lvlJc w:val="left"/>
      <w:pPr>
        <w:pStyle w:val="967"/>
        <w:ind w:left="4677" w:hanging="1700"/>
        <w:tabs>
          <w:tab w:val="num" w:pos="4777" w:leader="none"/>
        </w:tabs>
      </w:pPr>
      <w:rPr>
        <w:rFonts w:hint="eastAsia"/>
      </w:rPr>
    </w:lvl>
  </w:abstractNum>
  <w:abstractNum w:abstractNumId="7">
    <w:multiLevelType w:val="hybridMultilevel"/>
    <w:lvl w:ilvl="0">
      <w:start w:val="1"/>
      <w:numFmt w:val="decimal"/>
      <w:pStyle w:val="1117"/>
      <w:isLgl w:val="false"/>
      <w:suff w:val="tab"/>
      <w:lvlText w:val="%1"/>
      <w:lvlJc w:val="left"/>
      <w:pPr>
        <w:pStyle w:val="967"/>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67"/>
        <w:ind w:left="360" w:hanging="360"/>
        <w:tabs>
          <w:tab w:val="num" w:pos="360" w:leader="none"/>
        </w:tabs>
      </w:pPr>
      <w:rPr>
        <w:rFonts w:hint="eastAsia"/>
      </w:rPr>
    </w:lvl>
    <w:lvl w:ilvl="1">
      <w:start w:val="1"/>
      <w:numFmt w:val="lowerLetter"/>
      <w:isLgl w:val="false"/>
      <w:suff w:val="tab"/>
      <w:lvlText w:val="%2)"/>
      <w:lvlJc w:val="left"/>
      <w:pPr>
        <w:pStyle w:val="967"/>
        <w:ind w:left="840" w:hanging="420"/>
        <w:tabs>
          <w:tab w:val="num" w:pos="840" w:leader="none"/>
        </w:tabs>
      </w:pPr>
    </w:lvl>
    <w:lvl w:ilvl="2">
      <w:start w:val="1"/>
      <w:numFmt w:val="lowerRoman"/>
      <w:isLgl w:val="false"/>
      <w:suff w:val="tab"/>
      <w:lvlText w:val="%3."/>
      <w:lvlJc w:val="right"/>
      <w:pPr>
        <w:pStyle w:val="967"/>
        <w:ind w:left="1260" w:hanging="420"/>
        <w:tabs>
          <w:tab w:val="num" w:pos="1260" w:leader="none"/>
        </w:tabs>
      </w:pPr>
    </w:lvl>
    <w:lvl w:ilvl="3">
      <w:start w:val="1"/>
      <w:numFmt w:val="decimal"/>
      <w:isLgl w:val="false"/>
      <w:suff w:val="tab"/>
      <w:lvlText w:val="%4."/>
      <w:lvlJc w:val="left"/>
      <w:pPr>
        <w:pStyle w:val="967"/>
        <w:ind w:left="1680" w:hanging="420"/>
        <w:tabs>
          <w:tab w:val="num" w:pos="1680" w:leader="none"/>
        </w:tabs>
      </w:pPr>
    </w:lvl>
    <w:lvl w:ilvl="4">
      <w:start w:val="1"/>
      <w:numFmt w:val="lowerLetter"/>
      <w:isLgl w:val="false"/>
      <w:suff w:val="tab"/>
      <w:lvlText w:val="%5)"/>
      <w:lvlJc w:val="left"/>
      <w:pPr>
        <w:pStyle w:val="967"/>
        <w:ind w:left="2100" w:hanging="420"/>
        <w:tabs>
          <w:tab w:val="num" w:pos="2100" w:leader="none"/>
        </w:tabs>
      </w:pPr>
    </w:lvl>
    <w:lvl w:ilvl="5">
      <w:start w:val="1"/>
      <w:numFmt w:val="lowerRoman"/>
      <w:isLgl w:val="false"/>
      <w:suff w:val="tab"/>
      <w:lvlText w:val="%6."/>
      <w:lvlJc w:val="right"/>
      <w:pPr>
        <w:pStyle w:val="967"/>
        <w:ind w:left="2520" w:hanging="420"/>
        <w:tabs>
          <w:tab w:val="num" w:pos="2520" w:leader="none"/>
        </w:tabs>
      </w:pPr>
    </w:lvl>
    <w:lvl w:ilvl="6">
      <w:start w:val="1"/>
      <w:numFmt w:val="decimal"/>
      <w:pStyle w:val="1096"/>
      <w:isLgl w:val="false"/>
      <w:suff w:val="tab"/>
      <w:lvlText w:val="%7."/>
      <w:lvlJc w:val="left"/>
      <w:pPr>
        <w:pStyle w:val="967"/>
        <w:ind w:left="2940" w:hanging="420"/>
        <w:tabs>
          <w:tab w:val="num" w:pos="2940" w:leader="none"/>
        </w:tabs>
      </w:pPr>
    </w:lvl>
    <w:lvl w:ilvl="7">
      <w:start w:val="1"/>
      <w:numFmt w:val="lowerLetter"/>
      <w:isLgl w:val="false"/>
      <w:suff w:val="tab"/>
      <w:lvlText w:val="%8)"/>
      <w:lvlJc w:val="left"/>
      <w:pPr>
        <w:pStyle w:val="967"/>
        <w:ind w:left="3360" w:hanging="420"/>
        <w:tabs>
          <w:tab w:val="num" w:pos="3360" w:leader="none"/>
        </w:tabs>
      </w:pPr>
    </w:lvl>
    <w:lvl w:ilvl="8">
      <w:start w:val="1"/>
      <w:numFmt w:val="lowerRoman"/>
      <w:isLgl w:val="false"/>
      <w:suff w:val="tab"/>
      <w:lvlText w:val="%9."/>
      <w:lvlJc w:val="right"/>
      <w:pPr>
        <w:pStyle w:val="967"/>
        <w:ind w:left="3780" w:hanging="420"/>
        <w:tabs>
          <w:tab w:val="num" w:pos="3780" w:leader="none"/>
        </w:tabs>
      </w:pPr>
    </w:lvl>
  </w:abstractNum>
  <w:abstractNum w:abstractNumId="9">
    <w:multiLevelType w:val="hybridMultilevel"/>
    <w:lvl w:ilvl="0">
      <w:start w:val="1"/>
      <w:numFmt w:val="decimal"/>
      <w:isLgl w:val="false"/>
      <w:suff w:val="tab"/>
      <w:lvlText w:val="一、"/>
      <w:lvlJc w:val="left"/>
      <w:pPr>
        <w:pStyle w:val="967"/>
        <w:ind w:left="840" w:hanging="420"/>
        <w:tabs>
          <w:tab w:val="num" w:pos="840" w:leader="none"/>
        </w:tabs>
      </w:pPr>
    </w:lvl>
    <w:lvl w:ilvl="1">
      <w:start w:val="1"/>
      <w:numFmt w:val="lowerLetter"/>
      <w:isLgl w:val="false"/>
      <w:suff w:val="tab"/>
      <w:lvlText w:val="%2)"/>
      <w:lvlJc w:val="left"/>
      <w:pPr>
        <w:pStyle w:val="967"/>
        <w:ind w:left="1260" w:hanging="420"/>
        <w:tabs>
          <w:tab w:val="num" w:pos="1260" w:leader="none"/>
        </w:tabs>
      </w:pPr>
    </w:lvl>
    <w:lvl w:ilvl="2">
      <w:start w:val="1"/>
      <w:numFmt w:val="lowerRoman"/>
      <w:isLgl w:val="false"/>
      <w:suff w:val="tab"/>
      <w:lvlText w:val="%3."/>
      <w:lvlJc w:val="right"/>
      <w:pPr>
        <w:pStyle w:val="967"/>
        <w:ind w:left="1680" w:hanging="420"/>
        <w:tabs>
          <w:tab w:val="num" w:pos="1680" w:leader="none"/>
        </w:tabs>
      </w:pPr>
    </w:lvl>
    <w:lvl w:ilvl="3">
      <w:start w:val="1"/>
      <w:numFmt w:val="decimal"/>
      <w:pStyle w:val="1127"/>
      <w:isLgl w:val="false"/>
      <w:suff w:val="tab"/>
      <w:lvlText w:val="%4."/>
      <w:lvlJc w:val="left"/>
      <w:pPr>
        <w:pStyle w:val="967"/>
        <w:ind w:left="2100" w:hanging="420"/>
        <w:tabs>
          <w:tab w:val="num" w:pos="2100" w:leader="none"/>
        </w:tabs>
      </w:pPr>
    </w:lvl>
    <w:lvl w:ilvl="4">
      <w:start w:val="1"/>
      <w:numFmt w:val="lowerLetter"/>
      <w:pStyle w:val="1126"/>
      <w:isLgl w:val="false"/>
      <w:suff w:val="tab"/>
      <w:lvlText w:val="%5)"/>
      <w:lvlJc w:val="left"/>
      <w:pPr>
        <w:pStyle w:val="967"/>
        <w:ind w:left="2520" w:hanging="420"/>
        <w:tabs>
          <w:tab w:val="num" w:pos="2520" w:leader="none"/>
        </w:tabs>
      </w:pPr>
    </w:lvl>
    <w:lvl w:ilvl="5">
      <w:start w:val="1"/>
      <w:numFmt w:val="lowerRoman"/>
      <w:isLgl w:val="false"/>
      <w:suff w:val="tab"/>
      <w:lvlText w:val="%6."/>
      <w:lvlJc w:val="right"/>
      <w:pPr>
        <w:pStyle w:val="967"/>
        <w:ind w:left="2940" w:hanging="420"/>
        <w:tabs>
          <w:tab w:val="num" w:pos="2940" w:leader="none"/>
        </w:tabs>
      </w:pPr>
    </w:lvl>
    <w:lvl w:ilvl="6">
      <w:start w:val="1"/>
      <w:numFmt w:val="decimal"/>
      <w:isLgl w:val="false"/>
      <w:suff w:val="tab"/>
      <w:lvlText w:val="%7."/>
      <w:lvlJc w:val="left"/>
      <w:pPr>
        <w:pStyle w:val="967"/>
        <w:ind w:left="3360" w:hanging="420"/>
        <w:tabs>
          <w:tab w:val="num" w:pos="3360" w:leader="none"/>
        </w:tabs>
      </w:pPr>
    </w:lvl>
    <w:lvl w:ilvl="7">
      <w:start w:val="1"/>
      <w:numFmt w:val="lowerLetter"/>
      <w:isLgl w:val="false"/>
      <w:suff w:val="tab"/>
      <w:lvlText w:val="%8)"/>
      <w:lvlJc w:val="left"/>
      <w:pPr>
        <w:pStyle w:val="967"/>
        <w:ind w:left="3780" w:hanging="420"/>
        <w:tabs>
          <w:tab w:val="num" w:pos="3780" w:leader="none"/>
        </w:tabs>
      </w:pPr>
    </w:lvl>
    <w:lvl w:ilvl="8">
      <w:start w:val="1"/>
      <w:numFmt w:val="lowerRoman"/>
      <w:isLgl w:val="false"/>
      <w:suff w:val="tab"/>
      <w:lvlText w:val="%9."/>
      <w:lvlJc w:val="right"/>
      <w:pPr>
        <w:pStyle w:val="967"/>
        <w:ind w:left="4200" w:hanging="420"/>
        <w:tabs>
          <w:tab w:val="num" w:pos="4200" w:leader="none"/>
        </w:tabs>
      </w:pPr>
    </w:lvl>
  </w:abstractNum>
  <w:abstractNum w:abstractNumId="10">
    <w:multiLevelType w:val="hybridMultilevel"/>
    <w:lvl w:ilvl="0">
      <w:start w:val="1"/>
      <w:numFmt w:val="bullet"/>
      <w:pStyle w:val="1100"/>
      <w:isLgl w:val="false"/>
      <w:suff w:val="tab"/>
      <w:lvlText w:val=""/>
      <w:lvlJc w:val="left"/>
      <w:pPr>
        <w:pStyle w:val="967"/>
        <w:ind w:left="420" w:hanging="420"/>
        <w:tabs>
          <w:tab w:val="num"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91"/>
      <w:isLgl w:val="false"/>
      <w:suff w:val="tab"/>
      <w:lvlText w:val="%1)"/>
      <w:lvlJc w:val="left"/>
      <w:pPr>
        <w:pStyle w:val="967"/>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pStyle w:val="1137"/>
      <w:isLgl w:val="false"/>
      <w:suff w:val="tab"/>
      <w:lvlText w:val="%1"/>
      <w:lvlJc w:val="left"/>
      <w:pPr>
        <w:pStyle w:val="967"/>
        <w:ind w:left="425" w:hanging="425"/>
        <w:tabs>
          <w:tab w:val="num" w:pos="425" w:leader="none"/>
        </w:tabs>
      </w:pPr>
    </w:lvl>
    <w:lvl w:ilvl="1">
      <w:start w:val="1"/>
      <w:numFmt w:val="decimal"/>
      <w:isLgl w:val="false"/>
      <w:suff w:val="tab"/>
      <w:lvlText w:val="%1.%2"/>
      <w:lvlJc w:val="left"/>
      <w:pPr>
        <w:pStyle w:val="967"/>
        <w:ind w:left="992" w:hanging="567"/>
        <w:tabs>
          <w:tab w:val="num" w:pos="992" w:leader="none"/>
        </w:tabs>
      </w:pPr>
    </w:lvl>
    <w:lvl w:ilvl="2">
      <w:start w:val="1"/>
      <w:numFmt w:val="decimal"/>
      <w:isLgl w:val="false"/>
      <w:suff w:val="tab"/>
      <w:lvlText w:val="%1.%2.%3"/>
      <w:lvlJc w:val="left"/>
      <w:pPr>
        <w:pStyle w:val="967"/>
        <w:ind w:left="1418" w:hanging="567"/>
        <w:tabs>
          <w:tab w:val="num" w:pos="1418" w:leader="none"/>
        </w:tabs>
      </w:pPr>
    </w:lvl>
    <w:lvl w:ilvl="3">
      <w:start w:val="5"/>
      <w:numFmt w:val="decimal"/>
      <w:isLgl w:val="false"/>
      <w:suff w:val="tab"/>
      <w:lvlText w:val="%1.%2.%3.%4"/>
      <w:lvlJc w:val="left"/>
      <w:pPr>
        <w:pStyle w:val="967"/>
        <w:ind w:left="1984" w:hanging="708"/>
        <w:tabs>
          <w:tab w:val="num" w:pos="1984" w:leader="none"/>
        </w:tabs>
      </w:pPr>
    </w:lvl>
    <w:lvl w:ilvl="4">
      <w:start w:val="5"/>
      <w:numFmt w:val="decimal"/>
      <w:isLgl w:val="false"/>
      <w:suff w:val="tab"/>
      <w:lvlText w:val="%1.%2.%3.%4.%5"/>
      <w:lvlJc w:val="left"/>
      <w:pPr>
        <w:pStyle w:val="967"/>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67"/>
        <w:ind w:left="3260" w:hanging="1134"/>
        <w:tabs>
          <w:tab w:val="num" w:pos="3260" w:leader="none"/>
        </w:tabs>
      </w:pPr>
    </w:lvl>
    <w:lvl w:ilvl="6">
      <w:start w:val="1"/>
      <w:numFmt w:val="decimal"/>
      <w:isLgl w:val="false"/>
      <w:suff w:val="tab"/>
      <w:lvlText w:val="%1.%2.%3.%4.%5.%6.%7"/>
      <w:lvlJc w:val="left"/>
      <w:pPr>
        <w:pStyle w:val="967"/>
        <w:ind w:left="3827" w:hanging="1276"/>
        <w:tabs>
          <w:tab w:val="num" w:pos="3827" w:leader="none"/>
        </w:tabs>
      </w:pPr>
    </w:lvl>
    <w:lvl w:ilvl="7">
      <w:start w:val="1"/>
      <w:numFmt w:val="decimal"/>
      <w:isLgl w:val="false"/>
      <w:suff w:val="tab"/>
      <w:lvlText w:val="%1.%2.%3.%4.%5.%6.%7.%8"/>
      <w:lvlJc w:val="left"/>
      <w:pPr>
        <w:pStyle w:val="967"/>
        <w:ind w:left="4394" w:hanging="1418"/>
        <w:tabs>
          <w:tab w:val="num" w:pos="4394" w:leader="none"/>
        </w:tabs>
      </w:pPr>
    </w:lvl>
    <w:lvl w:ilvl="8">
      <w:start w:val="1"/>
      <w:numFmt w:val="decimal"/>
      <w:isLgl w:val="false"/>
      <w:suff w:val="tab"/>
      <w:lvlText w:val="%1.%2.%3.%4.%5.%6.%7.%8.%9"/>
      <w:lvlJc w:val="left"/>
      <w:pPr>
        <w:pStyle w:val="967"/>
        <w:ind w:left="5102" w:hanging="1700"/>
        <w:tabs>
          <w:tab w:val="num" w:pos="5102" w:leader="none"/>
        </w:tabs>
      </w:pPr>
    </w:lvl>
  </w:abstractNum>
  <w:abstractNum w:abstractNumId="13">
    <w:multiLevelType w:val="hybridMultilevel"/>
    <w:lvl w:ilvl="0">
      <w:start w:val="1"/>
      <w:numFmt w:val="decimal"/>
      <w:isLgl w:val="false"/>
      <w:suff w:val="tab"/>
      <w:lvlText w:val="%1)"/>
      <w:lvlJc w:val="left"/>
      <w:pPr>
        <w:pStyle w:val="967"/>
        <w:ind w:left="420" w:hanging="420"/>
      </w:pPr>
      <w:rPr>
        <w:rFonts w:ascii="Times New Roman" w:hAnsi="Times New Roman" w:cs="Times New Roman"/>
      </w:rPr>
    </w:lvl>
    <w:lvl w:ilvl="1">
      <w:start w:val="1"/>
      <w:numFmt w:val="lowerLetter"/>
      <w:isLgl w:val="false"/>
      <w:suff w:val="tab"/>
      <w:lvlText w:val="%2)"/>
      <w:lvlJc w:val="left"/>
      <w:pPr>
        <w:pStyle w:val="967"/>
        <w:ind w:left="840" w:hanging="420"/>
      </w:pPr>
      <w:rPr>
        <w:rFonts w:ascii="Times New Roman" w:hAnsi="Times New Roman" w:cs="Times New Roman"/>
      </w:rPr>
    </w:lvl>
    <w:lvl w:ilvl="2">
      <w:start w:val="1"/>
      <w:numFmt w:val="lowerRoman"/>
      <w:isLgl w:val="false"/>
      <w:suff w:val="tab"/>
      <w:lvlText w:val="%3."/>
      <w:lvlJc w:val="right"/>
      <w:pPr>
        <w:pStyle w:val="967"/>
        <w:ind w:left="1260" w:hanging="420"/>
      </w:pPr>
      <w:rPr>
        <w:rFonts w:ascii="Times New Roman" w:hAnsi="Times New Roman" w:cs="Times New Roman"/>
      </w:rPr>
    </w:lvl>
    <w:lvl w:ilvl="3">
      <w:start w:val="1"/>
      <w:numFmt w:val="decimal"/>
      <w:isLgl w:val="false"/>
      <w:suff w:val="tab"/>
      <w:lvlText w:val="%4."/>
      <w:lvlJc w:val="left"/>
      <w:pPr>
        <w:pStyle w:val="967"/>
        <w:ind w:left="1680" w:hanging="420"/>
      </w:pPr>
      <w:rPr>
        <w:rFonts w:ascii="Times New Roman" w:hAnsi="Times New Roman" w:cs="Times New Roman"/>
      </w:rPr>
    </w:lvl>
    <w:lvl w:ilvl="4">
      <w:start w:val="1"/>
      <w:numFmt w:val="lowerLetter"/>
      <w:isLgl w:val="false"/>
      <w:suff w:val="tab"/>
      <w:lvlText w:val="%5)"/>
      <w:lvlJc w:val="left"/>
      <w:pPr>
        <w:pStyle w:val="967"/>
        <w:ind w:left="2100" w:hanging="420"/>
      </w:pPr>
      <w:rPr>
        <w:rFonts w:ascii="Times New Roman" w:hAnsi="Times New Roman" w:cs="Times New Roman"/>
      </w:rPr>
    </w:lvl>
    <w:lvl w:ilvl="5">
      <w:start w:val="1"/>
      <w:numFmt w:val="lowerRoman"/>
      <w:isLgl w:val="false"/>
      <w:suff w:val="tab"/>
      <w:lvlText w:val="%6."/>
      <w:lvlJc w:val="right"/>
      <w:pPr>
        <w:pStyle w:val="967"/>
        <w:ind w:left="2520" w:hanging="420"/>
      </w:pPr>
      <w:rPr>
        <w:rFonts w:ascii="Times New Roman" w:hAnsi="Times New Roman" w:cs="Times New Roman"/>
      </w:rPr>
    </w:lvl>
    <w:lvl w:ilvl="6">
      <w:start w:val="1"/>
      <w:numFmt w:val="decimal"/>
      <w:isLgl w:val="false"/>
      <w:suff w:val="tab"/>
      <w:lvlText w:val="%7."/>
      <w:lvlJc w:val="left"/>
      <w:pPr>
        <w:pStyle w:val="967"/>
        <w:ind w:left="2940" w:hanging="420"/>
      </w:pPr>
      <w:rPr>
        <w:rFonts w:ascii="Times New Roman" w:hAnsi="Times New Roman" w:cs="Times New Roman"/>
      </w:rPr>
    </w:lvl>
    <w:lvl w:ilvl="7">
      <w:start w:val="1"/>
      <w:numFmt w:val="lowerLetter"/>
      <w:isLgl w:val="false"/>
      <w:suff w:val="tab"/>
      <w:lvlText w:val="%8)"/>
      <w:lvlJc w:val="left"/>
      <w:pPr>
        <w:pStyle w:val="967"/>
        <w:ind w:left="3360" w:hanging="420"/>
      </w:pPr>
      <w:rPr>
        <w:rFonts w:ascii="Times New Roman" w:hAnsi="Times New Roman" w:cs="Times New Roman"/>
      </w:rPr>
    </w:lvl>
    <w:lvl w:ilvl="8">
      <w:start w:val="1"/>
      <w:numFmt w:val="lowerRoman"/>
      <w:isLgl w:val="false"/>
      <w:suff w:val="tab"/>
      <w:lvlText w:val="%9."/>
      <w:lvlJc w:val="right"/>
      <w:pPr>
        <w:pStyle w:val="967"/>
        <w:ind w:left="3780" w:hanging="420"/>
      </w:pPr>
      <w:rPr>
        <w:rFonts w:ascii="Times New Roman" w:hAnsi="Times New Roman" w:cs="Times New Roman"/>
      </w:rPr>
    </w:lvl>
  </w:abstractNum>
  <w:abstractNum w:abstractNumId="14">
    <w:multiLevelType w:val="hybridMultilevel"/>
    <w:lvl w:ilvl="0">
      <w:start w:val="1"/>
      <w:numFmt w:val="lowerLetter"/>
      <w:isLgl w:val="false"/>
      <w:suff w:val="tab"/>
      <w:lvlText w:val="%1．"/>
      <w:lvlJc w:val="left"/>
      <w:pPr>
        <w:pStyle w:val="967"/>
        <w:ind w:left="360" w:hanging="360"/>
        <w:tabs>
          <w:tab w:val="num" w:pos="360" w:leader="none"/>
        </w:tabs>
      </w:pPr>
      <w:rPr>
        <w:rFonts w:ascii="Times New Roman" w:hAnsi="Times New Roman" w:cs="Times New Roman"/>
      </w:rPr>
    </w:lvl>
    <w:lvl w:ilvl="1">
      <w:start w:val="1"/>
      <w:numFmt w:val="decimal"/>
      <w:isLgl w:val="false"/>
      <w:suff w:val="tab"/>
      <w:lvlText w:val="%2、"/>
      <w:lvlJc w:val="left"/>
      <w:pPr>
        <w:pStyle w:val="967"/>
        <w:ind w:left="780" w:hanging="360"/>
        <w:tabs>
          <w:tab w:val="num" w:pos="780" w:leader="none"/>
        </w:tabs>
      </w:pPr>
      <w:rPr>
        <w:rFonts w:ascii="Times New Roman" w:hAnsi="Times New Roman" w:cs="Times New Roman"/>
      </w:rPr>
    </w:lvl>
    <w:lvl w:ilvl="2">
      <w:start w:val="1"/>
      <w:numFmt w:val="lowerRoman"/>
      <w:isLgl w:val="false"/>
      <w:suff w:val="tab"/>
      <w:lvlText w:val="%3."/>
      <w:lvlJc w:val="right"/>
      <w:pPr>
        <w:pStyle w:val="967"/>
        <w:ind w:left="1260" w:hanging="420"/>
        <w:tabs>
          <w:tab w:val="num" w:pos="1260" w:leader="none"/>
        </w:tabs>
      </w:pPr>
      <w:rPr>
        <w:rFonts w:ascii="Times New Roman" w:hAnsi="Times New Roman" w:cs="Times New Roman"/>
      </w:rPr>
    </w:lvl>
    <w:lvl w:ilvl="3">
      <w:start w:val="1"/>
      <w:numFmt w:val="decimal"/>
      <w:isLgl w:val="false"/>
      <w:suff w:val="tab"/>
      <w:lvlText w:val="%4."/>
      <w:lvlJc w:val="left"/>
      <w:pPr>
        <w:pStyle w:val="967"/>
        <w:ind w:left="1680" w:hanging="420"/>
        <w:tabs>
          <w:tab w:val="num" w:pos="1680" w:leader="none"/>
        </w:tabs>
      </w:pPr>
      <w:rPr>
        <w:rFonts w:ascii="Times New Roman" w:hAnsi="Times New Roman" w:cs="Times New Roman"/>
      </w:rPr>
    </w:lvl>
    <w:lvl w:ilvl="4">
      <w:start w:val="1"/>
      <w:numFmt w:val="lowerLetter"/>
      <w:isLgl w:val="false"/>
      <w:suff w:val="tab"/>
      <w:lvlText w:val="%5)"/>
      <w:lvlJc w:val="left"/>
      <w:pPr>
        <w:pStyle w:val="967"/>
        <w:ind w:left="2100" w:hanging="420"/>
        <w:tabs>
          <w:tab w:val="num" w:pos="2100" w:leader="none"/>
        </w:tabs>
      </w:pPr>
      <w:rPr>
        <w:rFonts w:ascii="Times New Roman" w:hAnsi="Times New Roman" w:cs="Times New Roman"/>
      </w:rPr>
    </w:lvl>
    <w:lvl w:ilvl="5">
      <w:start w:val="1"/>
      <w:numFmt w:val="lowerRoman"/>
      <w:isLgl w:val="false"/>
      <w:suff w:val="tab"/>
      <w:lvlText w:val="%6."/>
      <w:lvlJc w:val="right"/>
      <w:pPr>
        <w:pStyle w:val="967"/>
        <w:ind w:left="2520" w:hanging="420"/>
        <w:tabs>
          <w:tab w:val="num" w:pos="2520" w:leader="none"/>
        </w:tabs>
      </w:pPr>
      <w:rPr>
        <w:rFonts w:ascii="Times New Roman" w:hAnsi="Times New Roman" w:cs="Times New Roman"/>
      </w:rPr>
    </w:lvl>
    <w:lvl w:ilvl="6">
      <w:start w:val="1"/>
      <w:numFmt w:val="decimal"/>
      <w:isLgl w:val="false"/>
      <w:suff w:val="tab"/>
      <w:lvlText w:val="%7."/>
      <w:lvlJc w:val="left"/>
      <w:pPr>
        <w:pStyle w:val="967"/>
        <w:ind w:left="2940" w:hanging="420"/>
        <w:tabs>
          <w:tab w:val="num" w:pos="2940" w:leader="none"/>
        </w:tabs>
      </w:pPr>
      <w:rPr>
        <w:rFonts w:ascii="Times New Roman" w:hAnsi="Times New Roman" w:cs="Times New Roman"/>
      </w:rPr>
    </w:lvl>
    <w:lvl w:ilvl="7">
      <w:start w:val="1"/>
      <w:numFmt w:val="lowerLetter"/>
      <w:isLgl w:val="false"/>
      <w:suff w:val="tab"/>
      <w:lvlText w:val="%8)"/>
      <w:lvlJc w:val="left"/>
      <w:pPr>
        <w:pStyle w:val="967"/>
        <w:ind w:left="3360" w:hanging="420"/>
        <w:tabs>
          <w:tab w:val="num" w:pos="3360" w:leader="none"/>
        </w:tabs>
      </w:pPr>
      <w:rPr>
        <w:rFonts w:ascii="Times New Roman" w:hAnsi="Times New Roman" w:cs="Times New Roman"/>
      </w:rPr>
    </w:lvl>
    <w:lvl w:ilvl="8">
      <w:start w:val="1"/>
      <w:numFmt w:val="lowerRoman"/>
      <w:isLgl w:val="false"/>
      <w:suff w:val="tab"/>
      <w:lvlText w:val="%9."/>
      <w:lvlJc w:val="right"/>
      <w:pPr>
        <w:pStyle w:val="967"/>
        <w:ind w:left="3780" w:hanging="420"/>
        <w:tabs>
          <w:tab w:val="num" w:pos="3780" w:leader="none"/>
        </w:tabs>
      </w:pPr>
      <w:rPr>
        <w:rFonts w:ascii="Times New Roman" w:hAnsi="Times New Roman" w:cs="Times New Roman"/>
      </w:rPr>
    </w:lvl>
  </w:abstractNum>
  <w:abstractNum w:abstractNumId="15">
    <w:multiLevelType w:val="hybridMultilevel"/>
    <w:lvl w:ilvl="0">
      <w:start w:val="1"/>
      <w:numFmt w:val="decimal"/>
      <w:isLgl w:val="false"/>
      <w:suff w:val="tab"/>
      <w:lvlText w:val="%1、"/>
      <w:lvlJc w:val="left"/>
      <w:pPr>
        <w:pStyle w:val="967"/>
        <w:ind w:left="629" w:hanging="425"/>
      </w:pPr>
      <w:rPr>
        <w:rFonts w:hint="eastAsia"/>
      </w:rPr>
    </w:lvl>
    <w:lvl w:ilvl="1">
      <w:start w:val="0"/>
      <w:numFmt w:val="decimal"/>
      <w:isLgl w:val="false"/>
      <w:suff w:val="tab"/>
      <w:lvlText w:val=""/>
      <w:lvlJc w:val="left"/>
      <w:pPr>
        <w:pStyle w:val="967"/>
        <w:tabs>
          <w:tab w:val="num" w:pos="360" w:leader="none"/>
        </w:tabs>
      </w:pPr>
    </w:lvl>
    <w:lvl w:ilvl="2">
      <w:start w:val="0"/>
      <w:numFmt w:val="decimal"/>
      <w:isLgl w:val="false"/>
      <w:suff w:val="tab"/>
      <w:lvlText w:val=""/>
      <w:lvlJc w:val="left"/>
      <w:pPr>
        <w:pStyle w:val="967"/>
        <w:tabs>
          <w:tab w:val="num" w:pos="360" w:leader="none"/>
        </w:tabs>
      </w:pPr>
    </w:lvl>
    <w:lvl w:ilvl="3">
      <w:start w:val="0"/>
      <w:numFmt w:val="decimal"/>
      <w:isLgl w:val="false"/>
      <w:suff w:val="tab"/>
      <w:lvlText w:val=""/>
      <w:lvlJc w:val="left"/>
      <w:pPr>
        <w:pStyle w:val="967"/>
        <w:tabs>
          <w:tab w:val="num" w:pos="360" w:leader="none"/>
        </w:tabs>
      </w:pPr>
    </w:lvl>
    <w:lvl w:ilvl="4">
      <w:start w:val="0"/>
      <w:numFmt w:val="decimal"/>
      <w:isLgl w:val="false"/>
      <w:suff w:val="tab"/>
      <w:lvlText w:val=""/>
      <w:lvlJc w:val="left"/>
      <w:pPr>
        <w:pStyle w:val="967"/>
        <w:tabs>
          <w:tab w:val="num" w:pos="360" w:leader="none"/>
        </w:tabs>
      </w:pPr>
    </w:lvl>
    <w:lvl w:ilvl="5">
      <w:start w:val="0"/>
      <w:numFmt w:val="decimal"/>
      <w:isLgl w:val="false"/>
      <w:suff w:val="tab"/>
      <w:lvlText w:val=""/>
      <w:lvlJc w:val="left"/>
      <w:pPr>
        <w:pStyle w:val="967"/>
        <w:tabs>
          <w:tab w:val="num" w:pos="360" w:leader="none"/>
        </w:tabs>
      </w:pPr>
    </w:lvl>
    <w:lvl w:ilvl="6">
      <w:start w:val="0"/>
      <w:numFmt w:val="decimal"/>
      <w:isLgl w:val="false"/>
      <w:suff w:val="tab"/>
      <w:lvlText w:val=""/>
      <w:lvlJc w:val="left"/>
      <w:pPr>
        <w:pStyle w:val="967"/>
        <w:tabs>
          <w:tab w:val="num" w:pos="360" w:leader="none"/>
        </w:tabs>
      </w:pPr>
    </w:lvl>
    <w:lvl w:ilvl="7">
      <w:start w:val="0"/>
      <w:numFmt w:val="decimal"/>
      <w:isLgl w:val="false"/>
      <w:suff w:val="tab"/>
      <w:lvlText w:val=""/>
      <w:lvlJc w:val="left"/>
      <w:pPr>
        <w:pStyle w:val="967"/>
        <w:tabs>
          <w:tab w:val="num" w:pos="360" w:leader="none"/>
        </w:tabs>
      </w:pPr>
    </w:lvl>
    <w:lvl w:ilvl="8">
      <w:start w:val="0"/>
      <w:numFmt w:val="decimal"/>
      <w:isLgl w:val="false"/>
      <w:suff w:val="tab"/>
      <w:lvlText w:val=""/>
      <w:lvlJc w:val="left"/>
      <w:pPr>
        <w:pStyle w:val="967"/>
        <w:tabs>
          <w:tab w:val="num" w:pos="360" w:leader="none"/>
        </w:tabs>
      </w:pPr>
    </w:lvl>
  </w:abstractNum>
  <w:abstractNum w:abstractNumId="16">
    <w:multiLevelType w:val="hybridMultilevel"/>
    <w:lvl w:ilvl="0">
      <w:start w:val="1"/>
      <w:numFmt w:val="decimal"/>
      <w:isLgl w:val="false"/>
      <w:suff w:val="tab"/>
      <w:lvlText w:val="%1、"/>
      <w:lvlJc w:val="left"/>
      <w:pPr>
        <w:pStyle w:val="967"/>
        <w:ind w:left="360" w:hanging="360"/>
      </w:pPr>
    </w:lvl>
    <w:lvl w:ilvl="1">
      <w:start w:val="1"/>
      <w:numFmt w:val="lowerLetter"/>
      <w:isLgl w:val="false"/>
      <w:suff w:val="tab"/>
      <w:lvlText w:val="%2)"/>
      <w:lvlJc w:val="left"/>
      <w:pPr>
        <w:pStyle w:val="967"/>
        <w:ind w:left="840" w:hanging="420"/>
      </w:pPr>
    </w:lvl>
    <w:lvl w:ilvl="2">
      <w:start w:val="1"/>
      <w:numFmt w:val="lowerRoman"/>
      <w:isLgl w:val="false"/>
      <w:suff w:val="tab"/>
      <w:lvlText w:val="%3."/>
      <w:lvlJc w:val="right"/>
      <w:pPr>
        <w:pStyle w:val="967"/>
        <w:ind w:left="1260" w:hanging="420"/>
      </w:pPr>
    </w:lvl>
    <w:lvl w:ilvl="3">
      <w:start w:val="1"/>
      <w:numFmt w:val="decimal"/>
      <w:isLgl w:val="false"/>
      <w:suff w:val="tab"/>
      <w:lvlText w:val="%4."/>
      <w:lvlJc w:val="left"/>
      <w:pPr>
        <w:pStyle w:val="967"/>
        <w:ind w:left="1680" w:hanging="420"/>
      </w:pPr>
    </w:lvl>
    <w:lvl w:ilvl="4">
      <w:start w:val="1"/>
      <w:numFmt w:val="lowerLetter"/>
      <w:isLgl w:val="false"/>
      <w:suff w:val="tab"/>
      <w:lvlText w:val="%5)"/>
      <w:lvlJc w:val="left"/>
      <w:pPr>
        <w:pStyle w:val="967"/>
        <w:ind w:left="2100" w:hanging="420"/>
      </w:pPr>
    </w:lvl>
    <w:lvl w:ilvl="5">
      <w:start w:val="1"/>
      <w:numFmt w:val="lowerRoman"/>
      <w:isLgl w:val="false"/>
      <w:suff w:val="tab"/>
      <w:lvlText w:val="%6."/>
      <w:lvlJc w:val="right"/>
      <w:pPr>
        <w:pStyle w:val="967"/>
        <w:ind w:left="2520" w:hanging="420"/>
      </w:pPr>
    </w:lvl>
    <w:lvl w:ilvl="6">
      <w:start w:val="1"/>
      <w:numFmt w:val="decimal"/>
      <w:isLgl w:val="false"/>
      <w:suff w:val="tab"/>
      <w:lvlText w:val="%7."/>
      <w:lvlJc w:val="left"/>
      <w:pPr>
        <w:pStyle w:val="967"/>
        <w:ind w:left="2940" w:hanging="420"/>
      </w:pPr>
    </w:lvl>
    <w:lvl w:ilvl="7">
      <w:start w:val="1"/>
      <w:numFmt w:val="lowerLetter"/>
      <w:isLgl w:val="false"/>
      <w:suff w:val="tab"/>
      <w:lvlText w:val="%8)"/>
      <w:lvlJc w:val="left"/>
      <w:pPr>
        <w:pStyle w:val="967"/>
        <w:ind w:left="3360" w:hanging="420"/>
      </w:pPr>
    </w:lvl>
    <w:lvl w:ilvl="8">
      <w:start w:val="1"/>
      <w:numFmt w:val="lowerRoman"/>
      <w:isLgl w:val="false"/>
      <w:suff w:val="tab"/>
      <w:lvlText w:val="%9."/>
      <w:lvlJc w:val="right"/>
      <w:pPr>
        <w:pStyle w:val="967"/>
        <w:ind w:left="3780" w:hanging="420"/>
      </w:pPr>
    </w:lvl>
  </w:abstractNum>
  <w:abstractNum w:abstractNumId="17">
    <w:multiLevelType w:val="hybridMultilevel"/>
    <w:lvl w:ilvl="0">
      <w:start w:val="4"/>
      <w:numFmt w:val="decimal"/>
      <w:isLgl w:val="false"/>
      <w:suff w:val="tab"/>
      <w:lvlText w:val="%1."/>
      <w:lvlJc w:val="left"/>
      <w:pPr>
        <w:pStyle w:val="96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6"/>
  </w:num>
  <w:num w:numId="4">
    <w:abstractNumId w:val="2"/>
  </w:num>
  <w:num w:numId="5">
    <w:abstractNumId w:val="1"/>
  </w:num>
  <w:num w:numId="6">
    <w:abstractNumId w:val="11"/>
  </w:num>
  <w:num w:numId="7">
    <w:abstractNumId w:val="8"/>
  </w:num>
  <w:num w:numId="8">
    <w:abstractNumId w:val="10"/>
  </w:num>
  <w:num w:numId="9">
    <w:abstractNumId w:val="4"/>
  </w:num>
  <w:num w:numId="10">
    <w:abstractNumId w:val="7"/>
  </w:num>
  <w:num w:numId="11">
    <w:abstractNumId w:val="9"/>
  </w:num>
  <w:num w:numId="12">
    <w:abstractNumId w:val="12"/>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3">
    <w:abstractNumId w:val="5"/>
  </w:num>
  <w:num w:numId="14">
    <w:abstractNumId w:val="15"/>
  </w:num>
  <w:num w:numId="15">
    <w:abstractNumId w:val="1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67"/>
    <w:next w:val="967"/>
    <w:link w:val="791"/>
    <w:uiPriority w:val="9"/>
    <w:qFormat/>
    <w:pPr>
      <w:keepLines/>
      <w:keepNext/>
      <w:spacing w:before="480" w:after="200"/>
      <w:outlineLvl w:val="0"/>
    </w:pPr>
    <w:rPr>
      <w:rFonts w:ascii="Arial" w:hAnsi="Arial" w:eastAsia="Arial" w:cs="Arial"/>
      <w:sz w:val="40"/>
      <w:szCs w:val="40"/>
    </w:rPr>
  </w:style>
  <w:style w:type="character" w:styleId="791">
    <w:name w:val="Heading 1 Char"/>
    <w:link w:val="790"/>
    <w:uiPriority w:val="9"/>
    <w:rPr>
      <w:rFonts w:ascii="Arial" w:hAnsi="Arial" w:eastAsia="Arial" w:cs="Arial"/>
      <w:sz w:val="40"/>
      <w:szCs w:val="40"/>
    </w:rPr>
  </w:style>
  <w:style w:type="paragraph" w:styleId="792">
    <w:name w:val="Heading 2"/>
    <w:basedOn w:val="967"/>
    <w:next w:val="967"/>
    <w:link w:val="793"/>
    <w:uiPriority w:val="9"/>
    <w:unhideWhenUsed/>
    <w:qFormat/>
    <w:pPr>
      <w:keepLines/>
      <w:keepNext/>
      <w:spacing w:before="360" w:after="200"/>
      <w:outlineLvl w:val="1"/>
    </w:pPr>
    <w:rPr>
      <w:rFonts w:ascii="Arial" w:hAnsi="Arial" w:eastAsia="Arial" w:cs="Arial"/>
      <w:sz w:val="34"/>
    </w:rPr>
  </w:style>
  <w:style w:type="character" w:styleId="793">
    <w:name w:val="Heading 2 Char"/>
    <w:link w:val="792"/>
    <w:uiPriority w:val="9"/>
    <w:rPr>
      <w:rFonts w:ascii="Arial" w:hAnsi="Arial" w:eastAsia="Arial" w:cs="Arial"/>
      <w:sz w:val="34"/>
    </w:rPr>
  </w:style>
  <w:style w:type="paragraph" w:styleId="794">
    <w:name w:val="Heading 3"/>
    <w:basedOn w:val="967"/>
    <w:next w:val="967"/>
    <w:link w:val="795"/>
    <w:uiPriority w:val="9"/>
    <w:unhideWhenUsed/>
    <w:qFormat/>
    <w:pPr>
      <w:keepLines/>
      <w:keepNext/>
      <w:spacing w:before="320" w:after="200"/>
      <w:outlineLvl w:val="2"/>
    </w:pPr>
    <w:rPr>
      <w:rFonts w:ascii="Arial" w:hAnsi="Arial" w:eastAsia="Arial" w:cs="Arial"/>
      <w:sz w:val="30"/>
      <w:szCs w:val="30"/>
    </w:rPr>
  </w:style>
  <w:style w:type="character" w:styleId="795">
    <w:name w:val="Heading 3 Char"/>
    <w:link w:val="794"/>
    <w:uiPriority w:val="9"/>
    <w:rPr>
      <w:rFonts w:ascii="Arial" w:hAnsi="Arial" w:eastAsia="Arial" w:cs="Arial"/>
      <w:sz w:val="30"/>
      <w:szCs w:val="30"/>
    </w:rPr>
  </w:style>
  <w:style w:type="paragraph" w:styleId="796">
    <w:name w:val="Heading 4"/>
    <w:basedOn w:val="967"/>
    <w:next w:val="967"/>
    <w:link w:val="797"/>
    <w:uiPriority w:val="9"/>
    <w:unhideWhenUsed/>
    <w:qFormat/>
    <w:pPr>
      <w:keepLines/>
      <w:keepNext/>
      <w:spacing w:before="320" w:after="200"/>
      <w:outlineLvl w:val="3"/>
    </w:pPr>
    <w:rPr>
      <w:rFonts w:ascii="Arial" w:hAnsi="Arial" w:eastAsia="Arial" w:cs="Arial"/>
      <w:b/>
      <w:bCs/>
      <w:sz w:val="26"/>
      <w:szCs w:val="26"/>
    </w:rPr>
  </w:style>
  <w:style w:type="character" w:styleId="797">
    <w:name w:val="Heading 4 Char"/>
    <w:link w:val="796"/>
    <w:uiPriority w:val="9"/>
    <w:rPr>
      <w:rFonts w:ascii="Arial" w:hAnsi="Arial" w:eastAsia="Arial" w:cs="Arial"/>
      <w:b/>
      <w:bCs/>
      <w:sz w:val="26"/>
      <w:szCs w:val="26"/>
    </w:rPr>
  </w:style>
  <w:style w:type="paragraph" w:styleId="798">
    <w:name w:val="Heading 5"/>
    <w:basedOn w:val="967"/>
    <w:next w:val="967"/>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link w:val="798"/>
    <w:uiPriority w:val="9"/>
    <w:rPr>
      <w:rFonts w:ascii="Arial" w:hAnsi="Arial" w:eastAsia="Arial" w:cs="Arial"/>
      <w:b/>
      <w:bCs/>
      <w:sz w:val="24"/>
      <w:szCs w:val="24"/>
    </w:rPr>
  </w:style>
  <w:style w:type="paragraph" w:styleId="800">
    <w:name w:val="Heading 6"/>
    <w:basedOn w:val="967"/>
    <w:next w:val="967"/>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link w:val="800"/>
    <w:uiPriority w:val="9"/>
    <w:rPr>
      <w:rFonts w:ascii="Arial" w:hAnsi="Arial" w:eastAsia="Arial" w:cs="Arial"/>
      <w:b/>
      <w:bCs/>
      <w:sz w:val="22"/>
      <w:szCs w:val="22"/>
    </w:rPr>
  </w:style>
  <w:style w:type="paragraph" w:styleId="802">
    <w:name w:val="Heading 7"/>
    <w:basedOn w:val="967"/>
    <w:next w:val="967"/>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link w:val="802"/>
    <w:uiPriority w:val="9"/>
    <w:rPr>
      <w:rFonts w:ascii="Arial" w:hAnsi="Arial" w:eastAsia="Arial" w:cs="Arial"/>
      <w:b/>
      <w:bCs/>
      <w:i/>
      <w:iCs/>
      <w:sz w:val="22"/>
      <w:szCs w:val="22"/>
    </w:rPr>
  </w:style>
  <w:style w:type="paragraph" w:styleId="804">
    <w:name w:val="Heading 8"/>
    <w:basedOn w:val="967"/>
    <w:next w:val="967"/>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link w:val="804"/>
    <w:uiPriority w:val="9"/>
    <w:rPr>
      <w:rFonts w:ascii="Arial" w:hAnsi="Arial" w:eastAsia="Arial" w:cs="Arial"/>
      <w:i/>
      <w:iCs/>
      <w:sz w:val="22"/>
      <w:szCs w:val="22"/>
    </w:rPr>
  </w:style>
  <w:style w:type="paragraph" w:styleId="806">
    <w:name w:val="Heading 9"/>
    <w:basedOn w:val="967"/>
    <w:next w:val="967"/>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link w:val="806"/>
    <w:uiPriority w:val="9"/>
    <w:rPr>
      <w:rFonts w:ascii="Arial" w:hAnsi="Arial" w:eastAsia="Arial" w:cs="Arial"/>
      <w:i/>
      <w:iCs/>
      <w:sz w:val="21"/>
      <w:szCs w:val="21"/>
    </w:rPr>
  </w:style>
  <w:style w:type="paragraph" w:styleId="808">
    <w:name w:val="No Spacing"/>
    <w:uiPriority w:val="1"/>
    <w:qFormat/>
    <w:pPr>
      <w:spacing w:before="0" w:after="0" w:line="240" w:lineRule="auto"/>
    </w:pPr>
  </w:style>
  <w:style w:type="paragraph" w:styleId="809">
    <w:name w:val="Title"/>
    <w:basedOn w:val="967"/>
    <w:next w:val="967"/>
    <w:link w:val="810"/>
    <w:uiPriority w:val="10"/>
    <w:qFormat/>
    <w:pPr>
      <w:contextualSpacing/>
      <w:spacing w:before="300" w:after="200"/>
    </w:pPr>
    <w:rPr>
      <w:sz w:val="48"/>
      <w:szCs w:val="48"/>
    </w:rPr>
  </w:style>
  <w:style w:type="character" w:styleId="810">
    <w:name w:val="Title Char"/>
    <w:link w:val="809"/>
    <w:uiPriority w:val="10"/>
    <w:rPr>
      <w:sz w:val="48"/>
      <w:szCs w:val="48"/>
    </w:rPr>
  </w:style>
  <w:style w:type="paragraph" w:styleId="811">
    <w:name w:val="Subtitle"/>
    <w:basedOn w:val="967"/>
    <w:next w:val="967"/>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67"/>
    <w:next w:val="967"/>
    <w:link w:val="814"/>
    <w:uiPriority w:val="29"/>
    <w:qFormat/>
    <w:pPr>
      <w:ind w:left="720" w:right="720"/>
    </w:pPr>
    <w:rPr>
      <w:i/>
    </w:rPr>
  </w:style>
  <w:style w:type="character" w:styleId="814">
    <w:name w:val="Quote Char"/>
    <w:link w:val="813"/>
    <w:uiPriority w:val="29"/>
    <w:rPr>
      <w:i/>
    </w:rPr>
  </w:style>
  <w:style w:type="paragraph" w:styleId="815">
    <w:name w:val="Intense Quote"/>
    <w:basedOn w:val="967"/>
    <w:next w:val="967"/>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7"/>
    <w:link w:val="818"/>
    <w:uiPriority w:val="99"/>
    <w:unhideWhenUsed/>
    <w:pPr>
      <w:spacing w:after="0" w:line="240" w:lineRule="auto"/>
      <w:tabs>
        <w:tab w:val="center" w:pos="7143" w:leader="none"/>
        <w:tab w:val="right" w:pos="14287" w:leader="none"/>
      </w:tabs>
    </w:pPr>
  </w:style>
  <w:style w:type="character" w:styleId="818">
    <w:name w:val="Header Char"/>
    <w:link w:val="817"/>
    <w:uiPriority w:val="99"/>
  </w:style>
  <w:style w:type="paragraph" w:styleId="819">
    <w:name w:val="Footer"/>
    <w:basedOn w:val="967"/>
    <w:link w:val="822"/>
    <w:uiPriority w:val="99"/>
    <w:unhideWhenUsed/>
    <w:pPr>
      <w:spacing w:after="0" w:line="240" w:lineRule="auto"/>
      <w:tabs>
        <w:tab w:val="center" w:pos="7143" w:leader="none"/>
        <w:tab w:val="right" w:pos="14287" w:leader="none"/>
      </w:tabs>
    </w:pPr>
  </w:style>
  <w:style w:type="character" w:styleId="820">
    <w:name w:val="Footer Char"/>
    <w:link w:val="819"/>
    <w:uiPriority w:val="99"/>
  </w:style>
  <w:style w:type="paragraph" w:styleId="821">
    <w:name w:val="Caption"/>
    <w:basedOn w:val="967"/>
    <w:next w:val="967"/>
    <w:uiPriority w:val="35"/>
    <w:semiHidden/>
    <w:unhideWhenUsed/>
    <w:qFormat/>
    <w:pPr>
      <w:spacing w:line="276" w:lineRule="auto"/>
    </w:pPr>
    <w:rPr>
      <w:b/>
      <w:bCs/>
      <w:color w:val="4f81bd" w:themeColor="accent1"/>
      <w:sz w:val="18"/>
      <w:szCs w:val="18"/>
    </w:rPr>
  </w:style>
  <w:style w:type="character" w:styleId="822">
    <w:name w:val="Caption Char"/>
    <w:basedOn w:val="821"/>
    <w:link w:val="819"/>
    <w:uiPriority w:val="99"/>
  </w:style>
  <w:style w:type="table" w:styleId="8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67"/>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uiPriority w:val="99"/>
    <w:unhideWhenUsed/>
    <w:rPr>
      <w:vertAlign w:val="superscript"/>
    </w:rPr>
  </w:style>
  <w:style w:type="paragraph" w:styleId="953">
    <w:name w:val="endnote text"/>
    <w:basedOn w:val="967"/>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uiPriority w:val="99"/>
    <w:semiHidden/>
    <w:unhideWhenUsed/>
    <w:rPr>
      <w:vertAlign w:val="superscript"/>
    </w:rPr>
  </w:style>
  <w:style w:type="paragraph" w:styleId="956">
    <w:name w:val="toc 1"/>
    <w:basedOn w:val="967"/>
    <w:next w:val="967"/>
    <w:uiPriority w:val="39"/>
    <w:unhideWhenUsed/>
    <w:pPr>
      <w:ind w:left="0" w:right="0" w:firstLine="0"/>
      <w:spacing w:after="57"/>
    </w:pPr>
  </w:style>
  <w:style w:type="paragraph" w:styleId="957">
    <w:name w:val="toc 2"/>
    <w:basedOn w:val="967"/>
    <w:next w:val="967"/>
    <w:uiPriority w:val="39"/>
    <w:unhideWhenUsed/>
    <w:pPr>
      <w:ind w:left="283" w:right="0" w:firstLine="0"/>
      <w:spacing w:after="57"/>
    </w:pPr>
  </w:style>
  <w:style w:type="paragraph" w:styleId="958">
    <w:name w:val="toc 3"/>
    <w:basedOn w:val="967"/>
    <w:next w:val="967"/>
    <w:uiPriority w:val="39"/>
    <w:unhideWhenUsed/>
    <w:pPr>
      <w:ind w:left="567" w:right="0" w:firstLine="0"/>
      <w:spacing w:after="57"/>
    </w:pPr>
  </w:style>
  <w:style w:type="paragraph" w:styleId="959">
    <w:name w:val="toc 4"/>
    <w:basedOn w:val="967"/>
    <w:next w:val="967"/>
    <w:uiPriority w:val="39"/>
    <w:unhideWhenUsed/>
    <w:pPr>
      <w:ind w:left="850" w:right="0" w:firstLine="0"/>
      <w:spacing w:after="57"/>
    </w:pPr>
  </w:style>
  <w:style w:type="paragraph" w:styleId="960">
    <w:name w:val="toc 5"/>
    <w:basedOn w:val="967"/>
    <w:next w:val="967"/>
    <w:uiPriority w:val="39"/>
    <w:unhideWhenUsed/>
    <w:pPr>
      <w:ind w:left="1134" w:right="0" w:firstLine="0"/>
      <w:spacing w:after="57"/>
    </w:pPr>
  </w:style>
  <w:style w:type="paragraph" w:styleId="961">
    <w:name w:val="toc 6"/>
    <w:basedOn w:val="967"/>
    <w:next w:val="967"/>
    <w:uiPriority w:val="39"/>
    <w:unhideWhenUsed/>
    <w:pPr>
      <w:ind w:left="1417" w:right="0" w:firstLine="0"/>
      <w:spacing w:after="57"/>
    </w:pPr>
  </w:style>
  <w:style w:type="paragraph" w:styleId="962">
    <w:name w:val="toc 7"/>
    <w:basedOn w:val="967"/>
    <w:next w:val="967"/>
    <w:uiPriority w:val="39"/>
    <w:unhideWhenUsed/>
    <w:pPr>
      <w:ind w:left="1701"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67"/>
    <w:link w:val="967"/>
    <w:qFormat/>
    <w:pPr>
      <w:jc w:val="both"/>
      <w:widowControl w:val="off"/>
    </w:pPr>
    <w:rPr>
      <w:sz w:val="21"/>
      <w:szCs w:val="24"/>
      <w:lang w:val="en-US" w:eastAsia="zh-CN" w:bidi="ar-SA"/>
    </w:rPr>
  </w:style>
  <w:style w:type="paragraph" w:styleId="968">
    <w:name w:val="标题 1"/>
    <w:basedOn w:val="967"/>
    <w:next w:val="967"/>
    <w:link w:val="980"/>
    <w:qFormat/>
    <w:pPr>
      <w:keepLines/>
      <w:keepNext/>
      <w:spacing w:before="340" w:after="330" w:line="576" w:lineRule="auto"/>
      <w:outlineLvl w:val="0"/>
    </w:pPr>
    <w:rPr>
      <w:rFonts w:ascii="Tahoma" w:hAnsi="Tahoma" w:eastAsia="楷体_GB2312"/>
      <w:b/>
      <w:sz w:val="44"/>
    </w:rPr>
  </w:style>
  <w:style w:type="paragraph" w:styleId="969">
    <w:name w:val="标题 2"/>
    <w:next w:val="967"/>
    <w:link w:val="981"/>
    <w:qFormat/>
    <w:pPr>
      <w:spacing w:before="624" w:after="312"/>
      <w:outlineLvl w:val="1"/>
    </w:pPr>
    <w:rPr>
      <w:rFonts w:ascii="Arial" w:hAnsi="Arial" w:eastAsia="黑体"/>
      <w:b/>
      <w:bCs/>
      <w:color w:val="000000"/>
      <w:spacing w:val="16"/>
      <w:sz w:val="28"/>
      <w:szCs w:val="32"/>
      <w:lang w:val="en-US" w:eastAsia="zh-CN" w:bidi="ar-SA"/>
    </w:rPr>
  </w:style>
  <w:style w:type="paragraph" w:styleId="970">
    <w:name w:val="标题 3"/>
    <w:next w:val="967"/>
    <w:link w:val="982"/>
    <w:qFormat/>
    <w:pPr>
      <w:ind w:right="238"/>
      <w:spacing w:before="468" w:after="468"/>
      <w:outlineLvl w:val="2"/>
    </w:pPr>
    <w:rPr>
      <w:rFonts w:ascii="宋体" w:hAnsi="宋体"/>
      <w:sz w:val="28"/>
      <w:szCs w:val="24"/>
      <w:lang w:val="en-US" w:eastAsia="zh-CN" w:bidi="ar-SA"/>
    </w:rPr>
  </w:style>
  <w:style w:type="paragraph" w:styleId="971">
    <w:name w:val="标题 4"/>
    <w:next w:val="967"/>
    <w:link w:val="983"/>
    <w:qFormat/>
    <w:pPr>
      <w:spacing w:before="468" w:after="468"/>
      <w:outlineLvl w:val="3"/>
    </w:pPr>
    <w:rPr>
      <w:rFonts w:ascii="宋体" w:hAnsi="宋体"/>
      <w:color w:val="000000"/>
      <w:sz w:val="24"/>
      <w:szCs w:val="28"/>
      <w:u w:val="single"/>
      <w:lang w:val="en-US" w:eastAsia="zh-CN" w:bidi="ar-SA"/>
    </w:rPr>
  </w:style>
  <w:style w:type="paragraph" w:styleId="972">
    <w:name w:val="标题 5"/>
    <w:basedOn w:val="967"/>
    <w:next w:val="967"/>
    <w:link w:val="984"/>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973">
    <w:name w:val="标题 6"/>
    <w:basedOn w:val="967"/>
    <w:next w:val="967"/>
    <w:link w:val="985"/>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974">
    <w:name w:val="标题 7"/>
    <w:basedOn w:val="967"/>
    <w:next w:val="967"/>
    <w:link w:val="986"/>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975">
    <w:name w:val="标题 8"/>
    <w:basedOn w:val="967"/>
    <w:next w:val="967"/>
    <w:link w:val="987"/>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76">
    <w:name w:val="标题 9"/>
    <w:basedOn w:val="967"/>
    <w:next w:val="967"/>
    <w:link w:val="988"/>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77">
    <w:name w:val="默认段落字体"/>
    <w:next w:val="977"/>
    <w:link w:val="967"/>
    <w:rPr>
      <w:rFonts w:ascii="Tahoma" w:hAnsi="Tahoma" w:eastAsia="宋体"/>
      <w:sz w:val="24"/>
      <w:szCs w:val="24"/>
      <w:lang w:val="en-US" w:eastAsia="zh-CN" w:bidi="ar-SA"/>
    </w:rPr>
  </w:style>
  <w:style w:type="table" w:styleId="978">
    <w:name w:val="普通表格"/>
    <w:next w:val="978"/>
    <w:link w:val="967"/>
    <w:uiPriority w:val="99"/>
    <w:unhideWhenUsed/>
    <w:tblPr/>
  </w:style>
  <w:style w:type="numbering" w:styleId="979">
    <w:name w:val="无列表"/>
    <w:next w:val="979"/>
    <w:link w:val="967"/>
    <w:uiPriority w:val="99"/>
    <w:semiHidden/>
    <w:unhideWhenUsed/>
  </w:style>
  <w:style w:type="character" w:styleId="980">
    <w:name w:val="标题 1 Char"/>
    <w:next w:val="980"/>
    <w:link w:val="968"/>
    <w:rPr>
      <w:rFonts w:ascii="Tahoma" w:hAnsi="Tahoma" w:eastAsia="楷体_GB2312"/>
      <w:b/>
      <w:sz w:val="44"/>
      <w:szCs w:val="24"/>
      <w:lang w:val="en-US" w:eastAsia="zh-CN" w:bidi="ar-SA"/>
    </w:rPr>
  </w:style>
  <w:style w:type="character" w:styleId="981">
    <w:name w:val="标题 2 Char"/>
    <w:next w:val="981"/>
    <w:link w:val="969"/>
    <w:rPr>
      <w:rFonts w:ascii="Arial" w:hAnsi="Arial" w:eastAsia="黑体"/>
      <w:b/>
      <w:bCs/>
      <w:color w:val="000000"/>
      <w:spacing w:val="16"/>
      <w:sz w:val="28"/>
      <w:szCs w:val="32"/>
      <w:lang w:val="en-US" w:eastAsia="zh-CN" w:bidi="ar-SA"/>
    </w:rPr>
  </w:style>
  <w:style w:type="character" w:styleId="982">
    <w:name w:val="标题 3 Char"/>
    <w:next w:val="982"/>
    <w:link w:val="970"/>
    <w:rPr>
      <w:rFonts w:ascii="宋体" w:hAnsi="宋体"/>
      <w:sz w:val="28"/>
      <w:szCs w:val="24"/>
      <w:lang w:val="en-US" w:eastAsia="zh-CN" w:bidi="ar-SA"/>
    </w:rPr>
  </w:style>
  <w:style w:type="character" w:styleId="983">
    <w:name w:val="标题 4 Char"/>
    <w:next w:val="983"/>
    <w:link w:val="971"/>
    <w:rPr>
      <w:rFonts w:ascii="宋体" w:hAnsi="宋体"/>
      <w:color w:val="000000"/>
      <w:sz w:val="24"/>
      <w:szCs w:val="28"/>
      <w:u w:val="single"/>
      <w:lang w:val="en-US" w:eastAsia="zh-CN" w:bidi="ar-SA"/>
    </w:rPr>
  </w:style>
  <w:style w:type="character" w:styleId="984">
    <w:name w:val="标题 5 Char"/>
    <w:next w:val="984"/>
    <w:link w:val="972"/>
    <w:rPr>
      <w:rFonts w:ascii="Tahoma" w:hAnsi="Tahoma" w:eastAsia="宋体"/>
      <w:b/>
      <w:bCs/>
      <w:sz w:val="28"/>
      <w:szCs w:val="28"/>
      <w:lang w:val="en-US" w:eastAsia="zh-CN" w:bidi="ar-SA"/>
    </w:rPr>
  </w:style>
  <w:style w:type="character" w:styleId="985">
    <w:name w:val="标题 6 Char"/>
    <w:next w:val="985"/>
    <w:link w:val="973"/>
    <w:rPr>
      <w:rFonts w:ascii="Arial" w:hAnsi="Arial" w:eastAsia="黑体"/>
      <w:b/>
      <w:bCs/>
      <w:sz w:val="24"/>
      <w:szCs w:val="24"/>
      <w:lang w:val="en-US" w:eastAsia="zh-CN" w:bidi="ar-SA"/>
    </w:rPr>
  </w:style>
  <w:style w:type="character" w:styleId="986">
    <w:name w:val="标题 7 Char"/>
    <w:next w:val="986"/>
    <w:link w:val="974"/>
    <w:rPr>
      <w:rFonts w:ascii="Tahoma" w:hAnsi="Tahoma" w:eastAsia="宋体"/>
      <w:b/>
      <w:bCs/>
      <w:sz w:val="24"/>
      <w:szCs w:val="24"/>
      <w:lang w:val="en-US" w:eastAsia="zh-CN" w:bidi="ar-SA"/>
    </w:rPr>
  </w:style>
  <w:style w:type="character" w:styleId="987">
    <w:name w:val="标题 8 Char"/>
    <w:next w:val="987"/>
    <w:link w:val="975"/>
    <w:rPr>
      <w:rFonts w:ascii="Arial" w:hAnsi="Arial" w:eastAsia="黑体"/>
      <w:sz w:val="24"/>
      <w:szCs w:val="24"/>
      <w:lang w:val="en-US" w:eastAsia="zh-CN" w:bidi="ar-SA"/>
    </w:rPr>
  </w:style>
  <w:style w:type="character" w:styleId="988">
    <w:name w:val="标题 9 Char"/>
    <w:next w:val="988"/>
    <w:link w:val="976"/>
    <w:rPr>
      <w:rFonts w:ascii="Arial" w:hAnsi="Arial" w:eastAsia="黑体"/>
      <w:sz w:val="21"/>
      <w:szCs w:val="21"/>
      <w:lang w:val="en-US" w:eastAsia="zh-CN" w:bidi="ar-SA"/>
    </w:rPr>
  </w:style>
  <w:style w:type="paragraph" w:styleId="989">
    <w:name w:val="列表 3"/>
    <w:basedOn w:val="967"/>
    <w:next w:val="989"/>
    <w:link w:val="967"/>
    <w:pPr>
      <w:ind w:left="1260" w:hanging="420"/>
    </w:pPr>
  </w:style>
  <w:style w:type="paragraph" w:styleId="990">
    <w:name w:val="正文缩进"/>
    <w:basedOn w:val="967"/>
    <w:next w:val="967"/>
    <w:link w:val="991"/>
    <w:qFormat/>
    <w:pPr>
      <w:ind w:firstLine="420"/>
      <w:jc w:val="left"/>
    </w:pPr>
    <w:rPr>
      <w:rFonts w:ascii="Tahoma" w:hAnsi="Tahoma" w:eastAsia="楷体_GB2312"/>
      <w:sz w:val="24"/>
    </w:rPr>
  </w:style>
  <w:style w:type="character" w:styleId="991">
    <w:name w:val="正文缩进 Char"/>
    <w:next w:val="991"/>
    <w:link w:val="990"/>
    <w:qFormat/>
    <w:rPr>
      <w:rFonts w:ascii="Tahoma" w:hAnsi="Tahoma" w:eastAsia="楷体_GB2312"/>
      <w:sz w:val="24"/>
      <w:szCs w:val="24"/>
      <w:lang w:val="en-US" w:eastAsia="zh-CN" w:bidi="ar-SA"/>
    </w:rPr>
  </w:style>
  <w:style w:type="paragraph" w:styleId="992">
    <w:name w:val="题注"/>
    <w:basedOn w:val="967"/>
    <w:next w:val="967"/>
    <w:link w:val="967"/>
    <w:qFormat/>
    <w:pPr>
      <w:jc w:val="left"/>
      <w:widowControl/>
    </w:pPr>
    <w:rPr>
      <w:rFonts w:ascii="Cambria" w:hAnsi="Cambria" w:eastAsia="黑体"/>
      <w:sz w:val="20"/>
      <w:szCs w:val="20"/>
    </w:rPr>
  </w:style>
  <w:style w:type="paragraph" w:styleId="993">
    <w:name w:val="文档结构图"/>
    <w:basedOn w:val="967"/>
    <w:next w:val="993"/>
    <w:link w:val="994"/>
    <w:pPr>
      <w:shd w:val="clear" w:color="auto" w:fill="000080"/>
    </w:pPr>
    <w:rPr>
      <w:rFonts w:ascii="Tahoma" w:hAnsi="Tahoma"/>
    </w:rPr>
  </w:style>
  <w:style w:type="character" w:styleId="994">
    <w:name w:val="文档结构图 Char"/>
    <w:next w:val="994"/>
    <w:link w:val="993"/>
    <w:rPr>
      <w:rFonts w:ascii="Tahoma" w:hAnsi="Tahoma" w:eastAsia="宋体"/>
      <w:sz w:val="21"/>
      <w:szCs w:val="24"/>
      <w:shd w:val="clear" w:color="auto" w:fill="000080"/>
      <w:lang w:val="en-US" w:eastAsia="zh-CN" w:bidi="ar-SA"/>
    </w:rPr>
  </w:style>
  <w:style w:type="paragraph" w:styleId="995">
    <w:name w:val="批注文字"/>
    <w:basedOn w:val="967"/>
    <w:next w:val="995"/>
    <w:link w:val="996"/>
    <w:qFormat/>
    <w:pPr>
      <w:jc w:val="left"/>
    </w:pPr>
    <w:rPr>
      <w:rFonts w:ascii="Tahoma" w:hAnsi="Tahoma"/>
    </w:rPr>
  </w:style>
  <w:style w:type="character" w:styleId="996">
    <w:name w:val="批注文字 Char"/>
    <w:next w:val="996"/>
    <w:link w:val="995"/>
    <w:rPr>
      <w:rFonts w:ascii="Tahoma" w:hAnsi="Tahoma" w:eastAsia="宋体"/>
      <w:sz w:val="21"/>
      <w:szCs w:val="24"/>
      <w:lang w:val="en-US" w:eastAsia="zh-CN" w:bidi="ar-SA"/>
    </w:rPr>
  </w:style>
  <w:style w:type="paragraph" w:styleId="997">
    <w:name w:val="正文文本 3"/>
    <w:basedOn w:val="967"/>
    <w:next w:val="997"/>
    <w:link w:val="998"/>
    <w:pPr>
      <w:spacing w:after="120"/>
    </w:pPr>
    <w:rPr>
      <w:rFonts w:ascii="Tahoma" w:hAnsi="Tahoma"/>
      <w:sz w:val="16"/>
      <w:szCs w:val="16"/>
    </w:rPr>
  </w:style>
  <w:style w:type="character" w:styleId="998">
    <w:name w:val="正文文本 3 Char"/>
    <w:next w:val="998"/>
    <w:link w:val="997"/>
    <w:rPr>
      <w:rFonts w:ascii="Tahoma" w:hAnsi="Tahoma" w:eastAsia="宋体"/>
      <w:sz w:val="16"/>
      <w:szCs w:val="16"/>
      <w:lang w:val="en-US" w:eastAsia="zh-CN" w:bidi="ar-SA"/>
    </w:rPr>
  </w:style>
  <w:style w:type="paragraph" w:styleId="999">
    <w:name w:val="正文文本"/>
    <w:basedOn w:val="967"/>
    <w:next w:val="999"/>
    <w:link w:val="1000"/>
    <w:qFormat/>
    <w:pPr>
      <w:spacing w:line="400" w:lineRule="exact"/>
    </w:pPr>
    <w:rPr>
      <w:rFonts w:ascii="楷体_GB2312" w:eastAsia="楷体_GB2312"/>
      <w:sz w:val="28"/>
      <w:szCs w:val="20"/>
    </w:rPr>
  </w:style>
  <w:style w:type="character" w:styleId="1000">
    <w:name w:val="正文文本 Char"/>
    <w:next w:val="1000"/>
    <w:link w:val="999"/>
    <w:qFormat/>
    <w:rPr>
      <w:rFonts w:ascii="楷体_GB2312" w:eastAsia="楷体_GB2312"/>
      <w:sz w:val="28"/>
    </w:rPr>
  </w:style>
  <w:style w:type="paragraph" w:styleId="1001">
    <w:name w:val="正文文本缩进"/>
    <w:basedOn w:val="967"/>
    <w:next w:val="1001"/>
    <w:link w:val="1002"/>
    <w:pPr>
      <w:ind w:firstLine="435"/>
      <w:spacing w:line="260" w:lineRule="exact"/>
    </w:pPr>
    <w:rPr>
      <w:rFonts w:ascii="Tahoma" w:hAnsi="Tahoma"/>
      <w:sz w:val="18"/>
    </w:rPr>
  </w:style>
  <w:style w:type="character" w:styleId="1002">
    <w:name w:val="正文文本缩进 Char"/>
    <w:next w:val="1002"/>
    <w:link w:val="1001"/>
    <w:rPr>
      <w:rFonts w:ascii="Tahoma" w:hAnsi="Tahoma" w:eastAsia="宋体"/>
      <w:sz w:val="18"/>
      <w:szCs w:val="24"/>
      <w:lang w:val="en-US" w:eastAsia="zh-CN" w:bidi="ar-SA"/>
    </w:rPr>
  </w:style>
  <w:style w:type="paragraph" w:styleId="1003">
    <w:name w:val="列表 2"/>
    <w:basedOn w:val="967"/>
    <w:next w:val="1003"/>
    <w:link w:val="967"/>
    <w:pPr>
      <w:ind w:left="840" w:hanging="420"/>
    </w:pPr>
  </w:style>
  <w:style w:type="paragraph" w:styleId="1004">
    <w:name w:val="目录 5"/>
    <w:basedOn w:val="967"/>
    <w:next w:val="967"/>
    <w:link w:val="967"/>
    <w:pPr>
      <w:ind w:left="1680"/>
    </w:pPr>
  </w:style>
  <w:style w:type="paragraph" w:styleId="1005">
    <w:name w:val="目录 3"/>
    <w:basedOn w:val="967"/>
    <w:next w:val="967"/>
    <w:link w:val="967"/>
    <w:pPr>
      <w:ind w:left="840"/>
    </w:pPr>
  </w:style>
  <w:style w:type="paragraph" w:styleId="1006">
    <w:name w:val="纯文本"/>
    <w:basedOn w:val="967"/>
    <w:next w:val="1006"/>
    <w:link w:val="1007"/>
    <w:rPr>
      <w:rFonts w:ascii="宋体" w:hAnsi="Courier New" w:eastAsia="楷体_GB2312"/>
      <w:sz w:val="28"/>
    </w:rPr>
  </w:style>
  <w:style w:type="character" w:styleId="1007">
    <w:name w:val="纯文本 Char"/>
    <w:next w:val="1007"/>
    <w:link w:val="1006"/>
    <w:rPr>
      <w:rFonts w:ascii="宋体" w:hAnsi="Courier New" w:eastAsia="楷体_GB2312"/>
      <w:sz w:val="28"/>
      <w:szCs w:val="24"/>
      <w:lang w:val="en-US" w:eastAsia="zh-CN" w:bidi="ar-SA"/>
    </w:rPr>
  </w:style>
  <w:style w:type="paragraph" w:styleId="1008">
    <w:name w:val="日期"/>
    <w:basedOn w:val="967"/>
    <w:next w:val="967"/>
    <w:link w:val="1009"/>
    <w:rPr>
      <w:rFonts w:ascii="宋体" w:hAnsi="宋体" w:eastAsia="楷体_GB2312"/>
      <w:sz w:val="24"/>
    </w:rPr>
  </w:style>
  <w:style w:type="character" w:styleId="1009">
    <w:name w:val="日期 Char"/>
    <w:next w:val="1009"/>
    <w:link w:val="1008"/>
    <w:rPr>
      <w:rFonts w:ascii="宋体" w:hAnsi="宋体" w:eastAsia="楷体_GB2312"/>
      <w:sz w:val="24"/>
      <w:szCs w:val="24"/>
      <w:lang w:val="en-US" w:eastAsia="zh-CN" w:bidi="ar-SA"/>
    </w:rPr>
  </w:style>
  <w:style w:type="paragraph" w:styleId="1010">
    <w:name w:val="正文文本缩进 2"/>
    <w:basedOn w:val="967"/>
    <w:next w:val="1010"/>
    <w:link w:val="1011"/>
    <w:pPr>
      <w:ind w:left="420"/>
      <w:spacing w:after="120" w:line="480" w:lineRule="auto"/>
    </w:pPr>
    <w:rPr>
      <w:rFonts w:ascii="Tahoma" w:hAnsi="Tahoma"/>
    </w:rPr>
  </w:style>
  <w:style w:type="character" w:styleId="1011">
    <w:name w:val="正文文本缩进 2 Char"/>
    <w:next w:val="1011"/>
    <w:link w:val="1010"/>
    <w:rPr>
      <w:rFonts w:ascii="Tahoma" w:hAnsi="Tahoma" w:eastAsia="宋体"/>
      <w:sz w:val="21"/>
      <w:szCs w:val="24"/>
      <w:lang w:val="en-US" w:eastAsia="zh-CN" w:bidi="ar-SA"/>
    </w:rPr>
  </w:style>
  <w:style w:type="paragraph" w:styleId="1012">
    <w:name w:val="批注框文本"/>
    <w:basedOn w:val="967"/>
    <w:next w:val="1012"/>
    <w:link w:val="1013"/>
    <w:rPr>
      <w:rFonts w:ascii="Tahoma" w:hAnsi="Tahoma"/>
      <w:sz w:val="18"/>
      <w:szCs w:val="18"/>
    </w:rPr>
  </w:style>
  <w:style w:type="character" w:styleId="1013">
    <w:name w:val="批注框文本 Char"/>
    <w:next w:val="1013"/>
    <w:link w:val="1012"/>
    <w:rPr>
      <w:rFonts w:ascii="Tahoma" w:hAnsi="Tahoma" w:eastAsia="宋体"/>
      <w:sz w:val="18"/>
      <w:szCs w:val="18"/>
      <w:lang w:val="en-US" w:eastAsia="zh-CN" w:bidi="ar-SA"/>
    </w:rPr>
  </w:style>
  <w:style w:type="paragraph" w:styleId="1014">
    <w:name w:val="页脚"/>
    <w:basedOn w:val="967"/>
    <w:next w:val="1014"/>
    <w:link w:val="1015"/>
    <w:pPr>
      <w:jc w:val="left"/>
      <w:tabs>
        <w:tab w:val="center" w:pos="4153" w:leader="none"/>
        <w:tab w:val="right" w:pos="8306" w:leader="none"/>
      </w:tabs>
    </w:pPr>
    <w:rPr>
      <w:rFonts w:ascii="Tahoma" w:hAnsi="Tahoma" w:eastAsia="楷体_GB2312"/>
      <w:sz w:val="18"/>
    </w:rPr>
  </w:style>
  <w:style w:type="character" w:styleId="1015">
    <w:name w:val="页脚 Char"/>
    <w:next w:val="1015"/>
    <w:link w:val="1014"/>
    <w:rPr>
      <w:rFonts w:ascii="Tahoma" w:hAnsi="Tahoma" w:eastAsia="楷体_GB2312"/>
      <w:sz w:val="18"/>
      <w:szCs w:val="24"/>
      <w:lang w:val="en-US" w:eastAsia="zh-CN" w:bidi="ar-SA"/>
    </w:rPr>
  </w:style>
  <w:style w:type="paragraph" w:styleId="1016">
    <w:name w:val="页眉"/>
    <w:basedOn w:val="967"/>
    <w:next w:val="1016"/>
    <w:link w:val="1017"/>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17">
    <w:name w:val="页眉 Char"/>
    <w:next w:val="1017"/>
    <w:link w:val="1016"/>
    <w:rPr>
      <w:rFonts w:ascii="Tahoma" w:hAnsi="Tahoma" w:eastAsia="楷体_GB2312"/>
      <w:sz w:val="18"/>
      <w:szCs w:val="24"/>
      <w:lang w:val="en-US" w:eastAsia="zh-CN" w:bidi="ar-SA"/>
    </w:rPr>
  </w:style>
  <w:style w:type="paragraph" w:styleId="1018">
    <w:name w:val="目录 1"/>
    <w:basedOn w:val="967"/>
    <w:next w:val="967"/>
    <w:link w:val="967"/>
    <w:uiPriority w:val="39"/>
    <w:pPr>
      <w:jc w:val="left"/>
    </w:pPr>
    <w:rPr>
      <w:rFonts w:eastAsia="楷体_GB2312"/>
      <w:sz w:val="24"/>
      <w:szCs w:val="20"/>
    </w:rPr>
  </w:style>
  <w:style w:type="paragraph" w:styleId="1019">
    <w:name w:val="列表接续 4"/>
    <w:basedOn w:val="967"/>
    <w:next w:val="1019"/>
    <w:link w:val="967"/>
    <w:pPr>
      <w:ind w:left="1680"/>
      <w:spacing w:after="120"/>
    </w:pPr>
  </w:style>
  <w:style w:type="paragraph" w:styleId="1020">
    <w:name w:val="目录 4"/>
    <w:basedOn w:val="967"/>
    <w:next w:val="967"/>
    <w:link w:val="967"/>
    <w:pPr>
      <w:ind w:left="1260"/>
    </w:pPr>
  </w:style>
  <w:style w:type="paragraph" w:styleId="1021">
    <w:name w:val="索引标题"/>
    <w:basedOn w:val="967"/>
    <w:next w:val="1022"/>
    <w:link w:val="967"/>
    <w:rPr>
      <w:rFonts w:ascii="Arial" w:hAnsi="Arial" w:cs="Arial"/>
      <w:b/>
      <w:bCs/>
    </w:rPr>
  </w:style>
  <w:style w:type="paragraph" w:styleId="1022">
    <w:name w:val="索引 1"/>
    <w:basedOn w:val="967"/>
    <w:next w:val="967"/>
    <w:link w:val="967"/>
  </w:style>
  <w:style w:type="paragraph" w:styleId="1023">
    <w:name w:val="副标题"/>
    <w:basedOn w:val="967"/>
    <w:next w:val="1023"/>
    <w:link w:val="967"/>
    <w:qFormat/>
    <w:pPr>
      <w:jc w:val="left"/>
      <w:spacing w:before="100" w:beforeAutospacing="1" w:after="100" w:afterAutospacing="1"/>
      <w:widowControl/>
    </w:pPr>
    <w:rPr>
      <w:rFonts w:ascii="宋体" w:hAnsi="宋体" w:cs="宋体"/>
      <w:sz w:val="24"/>
    </w:rPr>
  </w:style>
  <w:style w:type="paragraph" w:styleId="1024">
    <w:name w:val="列表"/>
    <w:basedOn w:val="967"/>
    <w:next w:val="1024"/>
    <w:link w:val="967"/>
    <w:uiPriority w:val="99"/>
    <w:unhideWhenUsed/>
    <w:pPr>
      <w:contextualSpacing/>
      <w:ind w:left="200" w:hanging="200"/>
    </w:pPr>
  </w:style>
  <w:style w:type="paragraph" w:styleId="1025">
    <w:name w:val="正文文本缩进 3"/>
    <w:basedOn w:val="967"/>
    <w:next w:val="1025"/>
    <w:link w:val="967"/>
    <w:pPr>
      <w:ind w:left="420"/>
      <w:spacing w:after="120"/>
    </w:pPr>
    <w:rPr>
      <w:sz w:val="16"/>
      <w:szCs w:val="16"/>
    </w:rPr>
  </w:style>
  <w:style w:type="paragraph" w:styleId="1026">
    <w:name w:val="目录 2"/>
    <w:basedOn w:val="967"/>
    <w:next w:val="967"/>
    <w:link w:val="967"/>
    <w:pPr>
      <w:ind w:left="420"/>
    </w:pPr>
  </w:style>
  <w:style w:type="paragraph" w:styleId="1027">
    <w:name w:val="目录 9"/>
    <w:basedOn w:val="967"/>
    <w:next w:val="967"/>
    <w:link w:val="967"/>
    <w:pPr>
      <w:ind w:left="3360"/>
    </w:pPr>
    <w:rPr>
      <w:rFonts w:eastAsia="楷体_GB2312"/>
      <w:sz w:val="28"/>
      <w:szCs w:val="20"/>
    </w:rPr>
  </w:style>
  <w:style w:type="paragraph" w:styleId="1028">
    <w:name w:val="正文文本 2"/>
    <w:basedOn w:val="967"/>
    <w:next w:val="1028"/>
    <w:link w:val="967"/>
    <w:pPr>
      <w:spacing w:after="120" w:line="480" w:lineRule="auto"/>
    </w:pPr>
  </w:style>
  <w:style w:type="paragraph" w:styleId="1029">
    <w:name w:val="列表接续 2"/>
    <w:basedOn w:val="967"/>
    <w:next w:val="1029"/>
    <w:link w:val="967"/>
    <w:pPr>
      <w:ind w:left="840"/>
      <w:spacing w:after="120"/>
    </w:pPr>
  </w:style>
  <w:style w:type="paragraph" w:styleId="1030">
    <w:name w:val="HTML 预设格式"/>
    <w:basedOn w:val="967"/>
    <w:next w:val="1030"/>
    <w:link w:val="9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1">
    <w:name w:val="普通(网站)"/>
    <w:basedOn w:val="967"/>
    <w:next w:val="1031"/>
    <w:link w:val="967"/>
    <w:uiPriority w:val="99"/>
    <w:pPr>
      <w:jc w:val="left"/>
      <w:spacing w:before="100" w:beforeAutospacing="1" w:after="100" w:afterAutospacing="1"/>
      <w:widowControl/>
    </w:pPr>
    <w:rPr>
      <w:rFonts w:ascii="宋体" w:hAnsi="宋体"/>
      <w:sz w:val="24"/>
    </w:rPr>
  </w:style>
  <w:style w:type="paragraph" w:styleId="1032">
    <w:name w:val="批注主题"/>
    <w:basedOn w:val="995"/>
    <w:next w:val="995"/>
    <w:link w:val="1033"/>
    <w:semiHidden/>
    <w:rPr>
      <w:b/>
      <w:bCs/>
    </w:rPr>
  </w:style>
  <w:style w:type="character" w:styleId="1033">
    <w:name w:val="批注主题 Char"/>
    <w:next w:val="1033"/>
    <w:link w:val="1032"/>
    <w:rPr>
      <w:lang w:val="en-US" w:eastAsia="zh-CN" w:bidi="ar-SA"/>
    </w:rPr>
  </w:style>
  <w:style w:type="paragraph" w:styleId="1034">
    <w:name w:val="正文首行缩进"/>
    <w:basedOn w:val="999"/>
    <w:next w:val="1034"/>
    <w:link w:val="967"/>
    <w:pPr>
      <w:ind w:firstLine="420"/>
      <w:spacing w:after="120" w:line="240" w:lineRule="auto"/>
    </w:pPr>
    <w:rPr>
      <w:rFonts w:ascii="Times New Roman" w:eastAsia="宋体"/>
      <w:sz w:val="21"/>
      <w:szCs w:val="24"/>
    </w:rPr>
  </w:style>
  <w:style w:type="paragraph" w:styleId="1035">
    <w:name w:val="正文首行缩进 2"/>
    <w:basedOn w:val="1001"/>
    <w:next w:val="1035"/>
    <w:link w:val="967"/>
    <w:pPr>
      <w:ind w:left="420" w:firstLine="420"/>
      <w:spacing w:after="120" w:line="240" w:lineRule="auto"/>
    </w:pPr>
    <w:rPr>
      <w:sz w:val="21"/>
    </w:rPr>
  </w:style>
  <w:style w:type="table" w:styleId="1036">
    <w:name w:val="网格型"/>
    <w:basedOn w:val="978"/>
    <w:next w:val="1036"/>
    <w:link w:val="967"/>
    <w:uiPriority w:val="39"/>
    <w:pPr>
      <w:jc w:val="both"/>
      <w:widowControl w:val="off"/>
    </w:pPr>
    <w:tblPr/>
  </w:style>
  <w:style w:type="character" w:styleId="1037">
    <w:name w:val="要点"/>
    <w:next w:val="1037"/>
    <w:link w:val="967"/>
    <w:uiPriority w:val="22"/>
    <w:qFormat/>
    <w:rPr>
      <w:rFonts w:ascii="Tahoma" w:hAnsi="Tahoma" w:eastAsia="宋体"/>
      <w:b/>
      <w:bCs/>
      <w:sz w:val="24"/>
      <w:szCs w:val="24"/>
      <w:lang w:val="en-US" w:eastAsia="zh-CN" w:bidi="ar-SA"/>
    </w:rPr>
  </w:style>
  <w:style w:type="character" w:styleId="1038">
    <w:name w:val="页码"/>
    <w:next w:val="1038"/>
    <w:link w:val="967"/>
    <w:rPr>
      <w:lang w:val="en-US" w:eastAsia="zh-CN" w:bidi="ar-SA"/>
    </w:rPr>
  </w:style>
  <w:style w:type="character" w:styleId="1039">
    <w:name w:val="访问过的超链接"/>
    <w:next w:val="1039"/>
    <w:link w:val="967"/>
    <w:uiPriority w:val="99"/>
    <w:rPr>
      <w:rFonts w:ascii="Tahoma" w:hAnsi="Tahoma" w:eastAsia="宋体"/>
      <w:color w:val="800080"/>
      <w:sz w:val="24"/>
      <w:szCs w:val="24"/>
      <w:u w:val="single"/>
      <w:lang w:val="en-US" w:eastAsia="zh-CN" w:bidi="ar-SA"/>
    </w:rPr>
  </w:style>
  <w:style w:type="character" w:styleId="1040">
    <w:name w:val="HTML 打字机"/>
    <w:next w:val="1040"/>
    <w:link w:val="967"/>
    <w:rPr>
      <w:rFonts w:ascii="黑体" w:hAnsi="Courier New" w:eastAsia="黑体" w:cs="Courier New"/>
      <w:sz w:val="14"/>
      <w:szCs w:val="14"/>
      <w:lang w:val="en-US" w:eastAsia="zh-CN" w:bidi="ar-SA"/>
    </w:rPr>
  </w:style>
  <w:style w:type="character" w:styleId="1041">
    <w:name w:val="超链接"/>
    <w:next w:val="1041"/>
    <w:link w:val="967"/>
    <w:uiPriority w:val="99"/>
    <w:rPr>
      <w:rFonts w:ascii="Arial" w:hAnsi="Arial" w:eastAsia="宋体" w:cs="Arial"/>
      <w:color w:val="2200cc"/>
      <w:sz w:val="24"/>
      <w:szCs w:val="24"/>
      <w:u w:val="single"/>
      <w:lang w:val="en-US" w:eastAsia="zh-CN" w:bidi="ar-SA"/>
    </w:rPr>
  </w:style>
  <w:style w:type="character" w:styleId="1042">
    <w:name w:val="批注引用"/>
    <w:next w:val="1042"/>
    <w:link w:val="967"/>
    <w:unhideWhenUsed/>
    <w:rPr>
      <w:rFonts w:ascii="Tahoma" w:hAnsi="Tahoma" w:eastAsia="宋体"/>
      <w:sz w:val="21"/>
      <w:szCs w:val="21"/>
      <w:lang w:val="en-US" w:eastAsia="zh-CN" w:bidi="ar-SA"/>
    </w:rPr>
  </w:style>
  <w:style w:type="character" w:styleId="1043">
    <w:name w:val="Char Char Char Char Char Char Char Char Char"/>
    <w:next w:val="1043"/>
    <w:link w:val="1044"/>
    <w:rPr>
      <w:rFonts w:ascii="Tahoma" w:hAnsi="Tahoma"/>
      <w:sz w:val="24"/>
    </w:rPr>
  </w:style>
  <w:style w:type="paragraph" w:styleId="1044">
    <w:name w:val="Char Char Char Char Char Char Char"/>
    <w:basedOn w:val="967"/>
    <w:next w:val="1044"/>
    <w:link w:val="1043"/>
    <w:pPr>
      <w:ind w:firstLine="480"/>
      <w:spacing w:line="360" w:lineRule="auto"/>
    </w:pPr>
    <w:rPr>
      <w:rFonts w:ascii="Tahoma" w:hAnsi="Tahoma"/>
      <w:sz w:val="24"/>
      <w:szCs w:val="20"/>
    </w:rPr>
  </w:style>
  <w:style w:type="character" w:styleId="1045">
    <w:name w:val="info4"/>
    <w:next w:val="1045"/>
    <w:link w:val="967"/>
    <w:rPr>
      <w:lang w:val="en-US" w:eastAsia="zh-CN" w:bidi="ar-SA"/>
    </w:rPr>
  </w:style>
  <w:style w:type="character" w:styleId="1046">
    <w:name w:val="f141"/>
    <w:next w:val="1046"/>
    <w:link w:val="967"/>
    <w:rPr>
      <w:lang w:val="en-US" w:eastAsia="zh-CN" w:bidi="ar-SA"/>
    </w:rPr>
  </w:style>
  <w:style w:type="character" w:styleId="1047">
    <w:name w:val="3zw1"/>
    <w:next w:val="1047"/>
    <w:link w:val="967"/>
    <w:rPr>
      <w:rFonts w:ascii="Tahoma" w:hAnsi="Tahoma" w:eastAsia="宋体"/>
      <w:color w:val="000000"/>
      <w:sz w:val="21"/>
      <w:szCs w:val="21"/>
      <w:lang w:val="en-US" w:eastAsia="zh-CN" w:bidi="ar-SA"/>
    </w:rPr>
  </w:style>
  <w:style w:type="character" w:styleId="1048">
    <w:name w:val="+正文 Char Char Char Char"/>
    <w:next w:val="1048"/>
    <w:link w:val="967"/>
    <w:rPr>
      <w:rFonts w:ascii="Tahoma" w:hAnsi="Tahoma" w:eastAsia="宋体"/>
      <w:sz w:val="24"/>
      <w:szCs w:val="28"/>
      <w:lang w:val="en-US" w:eastAsia="zh-CN" w:bidi="ar-SA"/>
    </w:rPr>
  </w:style>
  <w:style w:type="character" w:styleId="1049">
    <w:name w:val="+正文 Char Char Char2"/>
    <w:next w:val="1049"/>
    <w:link w:val="967"/>
    <w:rPr>
      <w:rFonts w:ascii="Tahoma" w:hAnsi="Tahoma" w:eastAsia="宋体"/>
      <w:sz w:val="24"/>
      <w:szCs w:val="24"/>
      <w:lang w:val="en-US" w:eastAsia="zh-CN" w:bidi="ar-SA"/>
    </w:rPr>
  </w:style>
  <w:style w:type="character" w:styleId="1050">
    <w:name w:val="font"/>
    <w:next w:val="1050"/>
    <w:link w:val="967"/>
    <w:rPr>
      <w:lang w:val="en-US" w:eastAsia="zh-CN" w:bidi="ar-SA"/>
    </w:rPr>
  </w:style>
  <w:style w:type="character" w:styleId="1051">
    <w:name w:val="e1"/>
    <w:next w:val="1051"/>
    <w:link w:val="967"/>
    <w:rPr>
      <w:rFonts w:ascii="Tahoma" w:hAnsi="Tahoma" w:eastAsia="宋体"/>
      <w:sz w:val="21"/>
      <w:szCs w:val="24"/>
      <w:lang w:val="en-US" w:eastAsia="zh-CN" w:bidi="ar-SA"/>
    </w:rPr>
  </w:style>
  <w:style w:type="character" w:styleId="1052">
    <w:name w:val="body1"/>
    <w:next w:val="1052"/>
    <w:link w:val="967"/>
    <w:rPr>
      <w:rFonts w:eastAsia="宋体"/>
      <w:sz w:val="18"/>
      <w:szCs w:val="18"/>
      <w:lang w:val="en-US" w:eastAsia="zh-CN" w:bidi="ar-SA"/>
    </w:rPr>
  </w:style>
  <w:style w:type="character" w:styleId="1053">
    <w:name w:val="+标题3 Char Char"/>
    <w:next w:val="1053"/>
    <w:link w:val="967"/>
    <w:rPr>
      <w:rFonts w:ascii="Tahoma" w:hAnsi="Tahoma" w:eastAsia="宋体"/>
      <w:b/>
      <w:bCs/>
      <w:sz w:val="24"/>
      <w:szCs w:val="28"/>
      <w:lang w:val="en-US" w:eastAsia="zh-CN" w:bidi="ar-SA"/>
    </w:rPr>
  </w:style>
  <w:style w:type="character" w:styleId="1054">
    <w:name w:val="td21"/>
    <w:next w:val="1054"/>
    <w:link w:val="967"/>
    <w:rPr>
      <w:rFonts w:ascii="Tahoma" w:hAnsi="Tahoma" w:eastAsia="宋体"/>
      <w:sz w:val="21"/>
      <w:szCs w:val="21"/>
      <w:u w:val="none"/>
      <w:lang w:val="en-US" w:eastAsia="zh-CN" w:bidi="ar-SA"/>
    </w:rPr>
  </w:style>
  <w:style w:type="character" w:styleId="1055">
    <w:name w:val="样式 楷体_GB2312 四号 加粗"/>
    <w:next w:val="1055"/>
    <w:link w:val="967"/>
    <w:rPr>
      <w:rFonts w:ascii="楷体_GB2312" w:hAnsi="楷体_GB2312" w:eastAsia="楷体_GB2312"/>
      <w:b/>
      <w:bCs/>
      <w:sz w:val="28"/>
      <w:szCs w:val="24"/>
      <w:lang w:val="en-US" w:eastAsia="zh-CN" w:bidi="ar-SA"/>
    </w:rPr>
  </w:style>
  <w:style w:type="character" w:styleId="1056">
    <w:name w:val="biaoti1"/>
    <w:next w:val="1056"/>
    <w:link w:val="967"/>
    <w:rPr>
      <w:rFonts w:ascii="Tahoma" w:hAnsi="Tahoma" w:eastAsia="宋体"/>
      <w:b/>
      <w:bCs/>
      <w:color w:val="336699"/>
      <w:sz w:val="21"/>
      <w:szCs w:val="21"/>
      <w:u w:val="none"/>
      <w:lang w:val="en-US" w:eastAsia="zh-CN" w:bidi="ar-SA"/>
    </w:rPr>
  </w:style>
  <w:style w:type="character" w:styleId="1057">
    <w:name w:val=" Char Char2"/>
    <w:next w:val="1057"/>
    <w:link w:val="967"/>
    <w:rPr>
      <w:rFonts w:ascii="宋体" w:hAnsi="Courier New" w:eastAsia="宋体"/>
      <w:sz w:val="21"/>
      <w:szCs w:val="21"/>
      <w:lang w:val="en-US" w:eastAsia="zh-CN" w:bidi="ar-SA"/>
    </w:rPr>
  </w:style>
  <w:style w:type="character" w:styleId="1058">
    <w:name w:val="apple-style-span"/>
    <w:next w:val="1058"/>
    <w:link w:val="967"/>
    <w:rPr>
      <w:lang w:val="en-US" w:eastAsia="zh-CN" w:bidi="ar-SA"/>
    </w:rPr>
  </w:style>
  <w:style w:type="character" w:styleId="1059">
    <w:name w:val=" Char Char Char Char Char Char Char"/>
    <w:next w:val="1059"/>
    <w:link w:val="1060"/>
    <w:rPr>
      <w:lang w:val="en-US" w:eastAsia="zh-CN" w:bidi="ar-SA"/>
    </w:rPr>
  </w:style>
  <w:style w:type="paragraph" w:styleId="1060">
    <w:name w:val=" Char"/>
    <w:basedOn w:val="967"/>
    <w:next w:val="1060"/>
    <w:link w:val="1059"/>
    <w:pPr>
      <w:numPr>
        <w:ilvl w:val="0"/>
        <w:numId w:val="1"/>
      </w:numPr>
      <w:tabs>
        <w:tab w:val="left" w:pos="495" w:leader="none"/>
      </w:tabs>
    </w:pPr>
    <w:rPr>
      <w:rFonts w:eastAsia="宋体"/>
      <w:sz w:val="24"/>
      <w:szCs w:val="24"/>
      <w:lang w:val="en-US" w:eastAsia="zh-CN" w:bidi="ar-SA"/>
    </w:rPr>
  </w:style>
  <w:style w:type="character" w:styleId="1061">
    <w:name w:val="apple-converted-space"/>
    <w:next w:val="1061"/>
    <w:link w:val="967"/>
    <w:rPr>
      <w:lang w:val="en-US" w:eastAsia="zh-CN" w:bidi="ar-SA"/>
    </w:rPr>
  </w:style>
  <w:style w:type="character" w:styleId="1062">
    <w:name w:val="+列表编号 Char Char"/>
    <w:next w:val="1062"/>
    <w:link w:val="967"/>
    <w:rPr>
      <w:rFonts w:ascii="Tahoma" w:hAnsi="Tahoma" w:eastAsia="宋体"/>
      <w:b/>
      <w:spacing w:val="8"/>
      <w:sz w:val="24"/>
      <w:szCs w:val="24"/>
      <w:lang w:val="en-US" w:eastAsia="zh-CN" w:bidi="ar-SA"/>
    </w:rPr>
  </w:style>
  <w:style w:type="character" w:styleId="1063">
    <w:name w:val="Plain Text Char Char"/>
    <w:next w:val="1063"/>
    <w:link w:val="967"/>
    <w:rPr>
      <w:rFonts w:ascii="宋体" w:hAnsi="Courier New" w:eastAsia="楷体_GB2312"/>
      <w:sz w:val="28"/>
      <w:szCs w:val="24"/>
      <w:lang w:val="en-US" w:eastAsia="zh-CN" w:bidi="ar-SA"/>
    </w:rPr>
  </w:style>
  <w:style w:type="character" w:styleId="1064">
    <w:name w:val="content021"/>
    <w:next w:val="1064"/>
    <w:link w:val="967"/>
    <w:rPr>
      <w:lang w:val="en-US" w:eastAsia="zh-CN" w:bidi="ar-SA"/>
    </w:rPr>
  </w:style>
  <w:style w:type="character" w:styleId="1065">
    <w:name w:val="标题 2 Char Char"/>
    <w:next w:val="1065"/>
    <w:link w:val="967"/>
    <w:rPr>
      <w:rFonts w:ascii="Arial" w:hAnsi="Arial" w:eastAsia="黑体"/>
      <w:b/>
      <w:spacing w:val="-6"/>
      <w:sz w:val="30"/>
      <w:szCs w:val="32"/>
      <w:lang w:val="en-US" w:eastAsia="zh-CN" w:bidi="ar-SA"/>
    </w:rPr>
  </w:style>
  <w:style w:type="character" w:styleId="1066">
    <w:name w:val="+正文 Char3"/>
    <w:next w:val="1066"/>
    <w:link w:val="1067"/>
    <w:rPr>
      <w:rFonts w:ascii="Tahoma" w:hAnsi="Tahoma" w:eastAsia="宋体"/>
      <w:sz w:val="24"/>
      <w:szCs w:val="28"/>
      <w:lang w:val="en-US" w:eastAsia="zh-CN" w:bidi="ar-SA"/>
    </w:rPr>
  </w:style>
  <w:style w:type="paragraph" w:styleId="1067">
    <w:name w:val="+正文"/>
    <w:basedOn w:val="967"/>
    <w:next w:val="1067"/>
    <w:link w:val="1066"/>
    <w:pPr>
      <w:ind w:firstLine="200"/>
      <w:spacing w:line="360" w:lineRule="auto"/>
    </w:pPr>
    <w:rPr>
      <w:rFonts w:ascii="Tahoma" w:hAnsi="Tahoma"/>
      <w:sz w:val="24"/>
      <w:szCs w:val="28"/>
    </w:rPr>
  </w:style>
  <w:style w:type="paragraph" w:styleId="1068">
    <w:name w:val="+(1)"/>
    <w:basedOn w:val="1069"/>
    <w:next w:val="1068"/>
    <w:link w:val="967"/>
    <w:pPr>
      <w:numPr>
        <w:ilvl w:val="2"/>
        <w:numId w:val="2"/>
      </w:numPr>
      <w:tabs>
        <w:tab w:val="left" w:pos="1140" w:leader="none"/>
      </w:tabs>
    </w:pPr>
  </w:style>
  <w:style w:type="paragraph" w:styleId="1069">
    <w:name w:val="+正文 Char"/>
    <w:basedOn w:val="967"/>
    <w:next w:val="1069"/>
    <w:link w:val="967"/>
    <w:pPr>
      <w:ind w:firstLine="200"/>
      <w:spacing w:line="360" w:lineRule="auto"/>
    </w:pPr>
    <w:rPr>
      <w:sz w:val="24"/>
      <w:szCs w:val="28"/>
    </w:rPr>
  </w:style>
  <w:style w:type="paragraph" w:styleId="1070">
    <w:name w:val="三级条标题"/>
    <w:basedOn w:val="1071"/>
    <w:next w:val="967"/>
    <w:link w:val="967"/>
    <w:pPr>
      <w:numPr>
        <w:ilvl w:val="4"/>
        <w:numId w:val="3"/>
      </w:numPr>
      <w:ind w:hanging="480"/>
      <w:tabs>
        <w:tab w:val="left" w:pos="480" w:leader="none"/>
      </w:tabs>
      <w:outlineLvl w:val="4"/>
    </w:pPr>
  </w:style>
  <w:style w:type="paragraph" w:styleId="1071">
    <w:name w:val="二级条标题"/>
    <w:basedOn w:val="1072"/>
    <w:next w:val="967"/>
    <w:link w:val="967"/>
    <w:pPr>
      <w:numPr>
        <w:ilvl w:val="3"/>
        <w:numId w:val="3"/>
      </w:numPr>
      <w:ind w:left="480" w:hanging="480"/>
      <w:tabs>
        <w:tab w:val="left" w:pos="480" w:leader="none"/>
      </w:tabs>
      <w:outlineLvl w:val="3"/>
    </w:pPr>
  </w:style>
  <w:style w:type="paragraph" w:styleId="1072">
    <w:name w:val="一级条标题"/>
    <w:basedOn w:val="967"/>
    <w:next w:val="967"/>
    <w:link w:val="967"/>
    <w:pPr>
      <w:numPr>
        <w:ilvl w:val="2"/>
        <w:numId w:val="3"/>
      </w:numPr>
      <w:widowControl/>
      <w:tabs>
        <w:tab w:val="left" w:pos="360" w:leader="none"/>
      </w:tabs>
      <w:outlineLvl w:val="2"/>
    </w:pPr>
    <w:rPr>
      <w:rFonts w:ascii="黑体" w:eastAsia="黑体"/>
      <w:szCs w:val="20"/>
    </w:rPr>
  </w:style>
  <w:style w:type="paragraph" w:styleId="1073">
    <w:name w:val="reader-word-layer"/>
    <w:basedOn w:val="967"/>
    <w:next w:val="1073"/>
    <w:link w:val="967"/>
    <w:pPr>
      <w:jc w:val="left"/>
      <w:spacing w:before="100" w:beforeAutospacing="1" w:after="100" w:afterAutospacing="1"/>
      <w:widowControl/>
    </w:pPr>
    <w:rPr>
      <w:rFonts w:ascii="宋体" w:hAnsi="宋体" w:cs="宋体"/>
      <w:sz w:val="24"/>
    </w:rPr>
  </w:style>
  <w:style w:type="paragraph" w:styleId="1074">
    <w:name w:val="列表内容"/>
    <w:basedOn w:val="967"/>
    <w:next w:val="967"/>
    <w:link w:val="967"/>
    <w:pPr>
      <w:numPr>
        <w:ilvl w:val="0"/>
        <w:numId w:val="4"/>
      </w:numPr>
      <w:ind w:left="0" w:firstLine="200"/>
      <w:jc w:val="left"/>
      <w:widowControl/>
      <w:tabs>
        <w:tab w:val="left" w:pos="840" w:leader="none"/>
      </w:tabs>
    </w:pPr>
    <w:rPr>
      <w:sz w:val="18"/>
    </w:rPr>
  </w:style>
  <w:style w:type="paragraph" w:styleId="1075">
    <w:name w:val="+1."/>
    <w:basedOn w:val="1069"/>
    <w:next w:val="1075"/>
    <w:link w:val="967"/>
    <w:pPr>
      <w:ind w:left="198" w:firstLine="0"/>
      <w:tabs>
        <w:tab w:val="left" w:pos="624" w:leader="none"/>
      </w:tabs>
    </w:pPr>
  </w:style>
  <w:style w:type="paragraph" w:styleId="1076">
    <w:name w:val="xl84"/>
    <w:basedOn w:val="967"/>
    <w:next w:val="1076"/>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077">
    <w:name w:val="EHPT"/>
    <w:basedOn w:val="967"/>
    <w:next w:val="999"/>
    <w:link w:val="967"/>
    <w:pPr>
      <w:ind w:right="-694"/>
    </w:pPr>
    <w:rPr>
      <w:sz w:val="24"/>
      <w:szCs w:val="20"/>
    </w:rPr>
  </w:style>
  <w:style w:type="paragraph" w:styleId="1078">
    <w:name w:val="Plain Text"/>
    <w:basedOn w:val="967"/>
    <w:next w:val="1078"/>
    <w:link w:val="967"/>
    <w:rPr>
      <w:rFonts w:ascii="宋体" w:hAnsi="Courier New" w:eastAsia="楷体_GB2312"/>
      <w:sz w:val="28"/>
      <w:szCs w:val="20"/>
    </w:rPr>
  </w:style>
  <w:style w:type="paragraph" w:styleId="1079">
    <w:name w:val="表格文字"/>
    <w:basedOn w:val="967"/>
    <w:next w:val="1079"/>
    <w:link w:val="967"/>
  </w:style>
  <w:style w:type="paragraph" w:styleId="1080">
    <w:name w:val="xl70"/>
    <w:basedOn w:val="967"/>
    <w:next w:val="1080"/>
    <w:link w:val="96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name w:val="xl43"/>
    <w:basedOn w:val="967"/>
    <w:next w:val="1081"/>
    <w:link w:val="967"/>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82">
    <w:name w:val="Char Char1 Char Char Char Char Char Char Char"/>
    <w:basedOn w:val="967"/>
    <w:next w:val="1082"/>
    <w:link w:val="967"/>
    <w:rPr>
      <w:szCs w:val="20"/>
    </w:rPr>
  </w:style>
  <w:style w:type="paragraph" w:styleId="1083">
    <w:name w:val="+正文 Char Char2 Char Char"/>
    <w:basedOn w:val="967"/>
    <w:next w:val="1083"/>
    <w:link w:val="967"/>
    <w:pPr>
      <w:ind w:firstLine="200"/>
      <w:spacing w:line="360" w:lineRule="auto"/>
    </w:pPr>
    <w:rPr>
      <w:sz w:val="24"/>
      <w:szCs w:val="28"/>
    </w:rPr>
  </w:style>
  <w:style w:type="paragraph" w:styleId="1084">
    <w:name w:val="列出段落"/>
    <w:basedOn w:val="967"/>
    <w:next w:val="1084"/>
    <w:link w:val="1085"/>
    <w:uiPriority w:val="34"/>
    <w:qFormat/>
    <w:pPr>
      <w:ind w:firstLine="420"/>
      <w:spacing w:line="360" w:lineRule="auto"/>
    </w:pPr>
    <w:rPr>
      <w:rFonts w:ascii="Calibri" w:hAnsi="Calibri"/>
      <w:szCs w:val="22"/>
    </w:rPr>
  </w:style>
  <w:style w:type="character" w:styleId="1085">
    <w:name w:val="列出段落 Char"/>
    <w:next w:val="1085"/>
    <w:link w:val="1084"/>
    <w:uiPriority w:val="34"/>
    <w:rPr>
      <w:rFonts w:ascii="Calibri" w:hAnsi="Calibri"/>
      <w:sz w:val="21"/>
      <w:szCs w:val="22"/>
    </w:rPr>
  </w:style>
  <w:style w:type="paragraph" w:styleId="1086">
    <w:name w:val="+标题3"/>
    <w:basedOn w:val="970"/>
    <w:next w:val="1086"/>
    <w:link w:val="967"/>
    <w:pPr>
      <w:ind w:right="0"/>
      <w:jc w:val="both"/>
      <w:keepLines/>
      <w:keepNext/>
      <w:spacing w:before="120" w:after="120" w:line="360" w:lineRule="auto"/>
      <w:widowControl w:val="off"/>
    </w:pPr>
    <w:rPr>
      <w:rFonts w:ascii="Times New Roman"/>
      <w:color w:val="000000"/>
      <w:spacing w:val="0"/>
      <w:szCs w:val="28"/>
    </w:rPr>
  </w:style>
  <w:style w:type="paragraph" w:styleId="1087">
    <w:name w:val="+▲"/>
    <w:basedOn w:val="1069"/>
    <w:next w:val="1087"/>
    <w:link w:val="967"/>
    <w:pPr>
      <w:numPr>
        <w:ilvl w:val="0"/>
        <w:numId w:val="5"/>
      </w:numPr>
      <w:tabs>
        <w:tab w:val="left" w:pos="930" w:leader="none"/>
      </w:tabs>
    </w:pPr>
  </w:style>
  <w:style w:type="paragraph" w:styleId="1088">
    <w:name w:val="xl26"/>
    <w:basedOn w:val="967"/>
    <w:next w:val="1088"/>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89">
    <w:name w:val=" Char Char Char Char"/>
    <w:basedOn w:val="967"/>
    <w:next w:val="1089"/>
    <w:link w:val="967"/>
    <w:pPr>
      <w:numPr>
        <w:ilvl w:val="0"/>
        <w:numId w:val="1"/>
      </w:numPr>
      <w:tabs>
        <w:tab w:val="left" w:pos="495" w:leader="none"/>
      </w:tabs>
    </w:pPr>
  </w:style>
  <w:style w:type="paragraph" w:styleId="1090">
    <w:name w:val="xl73"/>
    <w:basedOn w:val="967"/>
    <w:next w:val="1090"/>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91">
    <w:name w:val="符号与编号"/>
    <w:basedOn w:val="967"/>
    <w:next w:val="1091"/>
    <w:link w:val="967"/>
    <w:pPr>
      <w:numPr>
        <w:ilvl w:val="0"/>
        <w:numId w:val="6"/>
      </w:numPr>
      <w:spacing w:line="360" w:lineRule="auto"/>
      <w:tabs>
        <w:tab w:val="left" w:pos="425" w:leader="none"/>
      </w:tabs>
    </w:pPr>
    <w:rPr>
      <w:rFonts w:ascii="宋体" w:hAnsi="宋体"/>
      <w:sz w:val="28"/>
      <w:szCs w:val="28"/>
    </w:rPr>
  </w:style>
  <w:style w:type="paragraph" w:styleId="1092">
    <w:name w:val="xl77"/>
    <w:basedOn w:val="967"/>
    <w:next w:val="1092"/>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3">
    <w:name w:val="+正文 Char Char5"/>
    <w:basedOn w:val="967"/>
    <w:next w:val="1093"/>
    <w:link w:val="967"/>
    <w:pPr>
      <w:ind w:firstLine="200"/>
    </w:pPr>
    <w:rPr>
      <w:sz w:val="24"/>
    </w:rPr>
  </w:style>
  <w:style w:type="paragraph" w:styleId="1094">
    <w:name w:val="xl79"/>
    <w:basedOn w:val="967"/>
    <w:next w:val="1094"/>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5">
    <w:name w:val="xl40"/>
    <w:basedOn w:val="967"/>
    <w:next w:val="1095"/>
    <w:link w:val="967"/>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096">
    <w:name w:val="+●"/>
    <w:basedOn w:val="1069"/>
    <w:next w:val="1096"/>
    <w:link w:val="967"/>
    <w:pPr>
      <w:numPr>
        <w:ilvl w:val="6"/>
        <w:numId w:val="7"/>
      </w:numPr>
      <w:tabs>
        <w:tab w:val="left" w:pos="2940" w:leader="none"/>
      </w:tabs>
    </w:pPr>
  </w:style>
  <w:style w:type="paragraph" w:styleId="1097">
    <w:name w:val="样式 标题 4"/>
    <w:basedOn w:val="971"/>
    <w:next w:val="1097"/>
    <w:link w:val="967"/>
    <w:pPr>
      <w:jc w:val="both"/>
      <w:keepLines/>
      <w:keepNext/>
      <w:spacing w:before="120" w:after="120" w:line="374" w:lineRule="auto"/>
      <w:widowControl w:val="off"/>
    </w:pPr>
    <w:rPr>
      <w:b/>
      <w:bCs/>
      <w:color w:val="000000"/>
      <w:sz w:val="30"/>
      <w:szCs w:val="20"/>
      <w:u w:val="none"/>
    </w:rPr>
  </w:style>
  <w:style w:type="paragraph" w:styleId="1098">
    <w:name w:val="xl41"/>
    <w:basedOn w:val="967"/>
    <w:next w:val="1098"/>
    <w:link w:val="967"/>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099">
    <w:name w:val="样式 样式 样式 小四 左 首行缩进:  2 字符 + 首行缩进:  2 字符 Char + 右  0 字符1"/>
    <w:basedOn w:val="967"/>
    <w:next w:val="1099"/>
    <w:link w:val="967"/>
    <w:pPr>
      <w:ind w:firstLine="200"/>
      <w:jc w:val="left"/>
      <w:spacing w:line="360" w:lineRule="auto"/>
    </w:pPr>
    <w:rPr>
      <w:rFonts w:cs="宋体"/>
      <w:sz w:val="24"/>
      <w:szCs w:val="20"/>
    </w:rPr>
  </w:style>
  <w:style w:type="paragraph" w:styleId="1100">
    <w:name w:val="样式4"/>
    <w:basedOn w:val="967"/>
    <w:next w:val="1100"/>
    <w:link w:val="967"/>
    <w:pPr>
      <w:numPr>
        <w:ilvl w:val="0"/>
        <w:numId w:val="8"/>
      </w:numPr>
      <w:spacing w:line="360" w:lineRule="auto"/>
      <w:tabs>
        <w:tab w:val="left" w:pos="420" w:leader="none"/>
      </w:tabs>
    </w:pPr>
    <w:rPr>
      <w:sz w:val="24"/>
    </w:rPr>
  </w:style>
  <w:style w:type="paragraph" w:styleId="1101">
    <w:name w:val="font6"/>
    <w:basedOn w:val="967"/>
    <w:next w:val="1101"/>
    <w:link w:val="967"/>
    <w:pPr>
      <w:jc w:val="left"/>
      <w:spacing w:before="100" w:beforeAutospacing="1" w:after="100" w:afterAutospacing="1"/>
      <w:widowControl/>
    </w:pPr>
    <w:rPr>
      <w:rFonts w:ascii="宋体" w:hAnsi="宋体" w:cs="宋体"/>
      <w:color w:val="000000"/>
      <w:sz w:val="18"/>
      <w:szCs w:val="18"/>
    </w:rPr>
  </w:style>
  <w:style w:type="paragraph" w:styleId="1102">
    <w:name w:val="xl83"/>
    <w:basedOn w:val="967"/>
    <w:next w:val="1102"/>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103">
    <w:name w:val="xl30"/>
    <w:basedOn w:val="967"/>
    <w:next w:val="1103"/>
    <w:link w:val="96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04">
    <w:name w:val="标书正文格式"/>
    <w:next w:val="1104"/>
    <w:link w:val="967"/>
    <w:pPr>
      <w:ind w:firstLine="200"/>
      <w:spacing w:line="360" w:lineRule="auto"/>
    </w:pPr>
    <w:rPr>
      <w:rFonts w:eastAsia="楷体_GB2312"/>
      <w:sz w:val="24"/>
      <w:szCs w:val="24"/>
      <w:lang w:val="en-US" w:eastAsia="zh-CN" w:bidi="ar-SA"/>
    </w:rPr>
  </w:style>
  <w:style w:type="paragraph" w:styleId="1105">
    <w:name w:val="xl74"/>
    <w:basedOn w:val="967"/>
    <w:next w:val="1105"/>
    <w:link w:val="967"/>
    <w:pPr>
      <w:jc w:val="left"/>
      <w:spacing w:before="100" w:beforeAutospacing="1" w:after="100" w:afterAutospacing="1"/>
      <w:widowControl/>
    </w:pPr>
    <w:rPr>
      <w:rFonts w:ascii="宋体" w:hAnsi="宋体" w:cs="宋体"/>
      <w:color w:val="ff0000"/>
      <w:sz w:val="24"/>
    </w:rPr>
  </w:style>
  <w:style w:type="paragraph" w:styleId="1106">
    <w:name w:val="xl71"/>
    <w:basedOn w:val="967"/>
    <w:next w:val="1106"/>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07">
    <w:name w:val="+标题4"/>
    <w:basedOn w:val="971"/>
    <w:next w:val="1107"/>
    <w:link w:val="967"/>
    <w:pPr>
      <w:numPr>
        <w:ilvl w:val="3"/>
        <w:numId w:val="9"/>
      </w:numPr>
      <w:jc w:val="both"/>
      <w:keepLines/>
      <w:keepNext/>
      <w:spacing w:before="120" w:after="120" w:line="360" w:lineRule="auto"/>
      <w:widowControl w:val="off"/>
      <w:tabs>
        <w:tab w:val="left" w:pos="0" w:leader="none"/>
      </w:tabs>
    </w:pPr>
    <w:rPr>
      <w:rFonts w:ascii="Times New Roman" w:hAnsi="Times New Roman"/>
      <w:b/>
      <w:bCs/>
      <w:color w:val="000000"/>
      <w:u w:val="none"/>
    </w:rPr>
  </w:style>
  <w:style w:type="paragraph" w:styleId="1108">
    <w:name w:val="xl69"/>
    <w:basedOn w:val="967"/>
    <w:next w:val="1108"/>
    <w:link w:val="96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9">
    <w:name w:val="文档正文"/>
    <w:basedOn w:val="967"/>
    <w:next w:val="1109"/>
    <w:link w:val="967"/>
    <w:pPr>
      <w:ind w:firstLine="567"/>
      <w:spacing w:line="480" w:lineRule="atLeast"/>
    </w:pPr>
    <w:rPr>
      <w:rFonts w:ascii="仿宋_GB2312" w:eastAsia="仿宋_GB2312"/>
      <w:sz w:val="28"/>
      <w:szCs w:val="20"/>
    </w:rPr>
  </w:style>
  <w:style w:type="paragraph" w:styleId="1110">
    <w:name w:val="xl24"/>
    <w:basedOn w:val="967"/>
    <w:next w:val="1110"/>
    <w:link w:val="967"/>
    <w:pPr>
      <w:jc w:val="center"/>
      <w:spacing w:before="100" w:beforeAutospacing="1" w:after="100" w:afterAutospacing="1"/>
      <w:widowControl/>
    </w:pPr>
    <w:rPr>
      <w:rFonts w:ascii="宋体" w:hAnsi="宋体"/>
      <w:sz w:val="24"/>
    </w:rPr>
  </w:style>
  <w:style w:type="paragraph" w:styleId="1111">
    <w:name w:val="xl88"/>
    <w:basedOn w:val="967"/>
    <w:next w:val="1111"/>
    <w:link w:val="967"/>
    <w:pPr>
      <w:jc w:val="center"/>
      <w:spacing w:before="100" w:beforeAutospacing="1" w:after="100" w:afterAutospacing="1"/>
      <w:widowControl/>
      <w:pBdr>
        <w:bottom w:val="single" w:color="000000" w:sz="4" w:space="0"/>
      </w:pBdr>
    </w:pPr>
    <w:rPr>
      <w:rFonts w:ascii="宋体" w:hAnsi="宋体" w:cs="宋体"/>
      <w:sz w:val="24"/>
    </w:rPr>
  </w:style>
  <w:style w:type="paragraph" w:styleId="1112">
    <w:name w:val="yyn2"/>
    <w:basedOn w:val="967"/>
    <w:next w:val="1112"/>
    <w:link w:val="967"/>
    <w:pPr>
      <w:jc w:val="left"/>
      <w:keepNext/>
      <w:spacing w:line="360" w:lineRule="auto"/>
      <w:widowControl/>
      <w:tabs>
        <w:tab w:val="left" w:pos="1344" w:leader="none"/>
      </w:tabs>
    </w:pPr>
    <w:rPr>
      <w:rFonts w:ascii="宋体"/>
      <w:color w:val="000000"/>
      <w:sz w:val="28"/>
      <w:szCs w:val="20"/>
    </w:rPr>
  </w:style>
  <w:style w:type="paragraph" w:styleId="1113">
    <w:name w:val="Char Char Char Char Char1 Char Char Char Char Char Char Char"/>
    <w:basedOn w:val="967"/>
    <w:next w:val="1113"/>
    <w:link w:val="967"/>
  </w:style>
  <w:style w:type="paragraph" w:styleId="1114">
    <w:name w:val="xl65"/>
    <w:basedOn w:val="967"/>
    <w:next w:val="1114"/>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5">
    <w:name w:val=" Char Char Char"/>
    <w:basedOn w:val="967"/>
    <w:next w:val="1115"/>
    <w:link w:val="967"/>
    <w:pPr>
      <w:spacing w:line="360" w:lineRule="auto"/>
    </w:pPr>
    <w:rPr>
      <w:sz w:val="24"/>
      <w:szCs w:val="20"/>
    </w:rPr>
  </w:style>
  <w:style w:type="paragraph" w:styleId="1116">
    <w:name w:val="接續本文"/>
    <w:basedOn w:val="999"/>
    <w:next w:val="1116"/>
    <w:link w:val="967"/>
    <w:pPr>
      <w:ind w:left="1080"/>
      <w:keepNext/>
      <w:spacing w:after="240" w:line="240" w:lineRule="atLeast"/>
      <w:widowControl/>
    </w:pPr>
    <w:rPr>
      <w:rFonts w:ascii="Arial" w:hAnsi="Arial" w:eastAsia="PMingLiU"/>
      <w:spacing w:val="-5"/>
      <w:sz w:val="20"/>
      <w:lang w:eastAsia="zh-TW" w:bidi="he-IL"/>
    </w:rPr>
  </w:style>
  <w:style w:type="paragraph" w:styleId="1117">
    <w:name w:val="样式SZA"/>
    <w:basedOn w:val="999"/>
    <w:next w:val="1117"/>
    <w:link w:val="967"/>
    <w:pPr>
      <w:numPr>
        <w:ilvl w:val="0"/>
        <w:numId w:val="10"/>
      </w:numPr>
      <w:jc w:val="left"/>
      <w:spacing w:after="220" w:line="220" w:lineRule="atLeast"/>
      <w:widowControl/>
      <w:tabs>
        <w:tab w:val="left" w:pos="660" w:leader="none"/>
      </w:tabs>
    </w:pPr>
    <w:rPr>
      <w:rFonts w:ascii="Times New Roman" w:eastAsia="宋体"/>
      <w:sz w:val="21"/>
    </w:rPr>
  </w:style>
  <w:style w:type="paragraph" w:styleId="1118">
    <w:name w:val="Body Text Indent"/>
    <w:basedOn w:val="967"/>
    <w:next w:val="1118"/>
    <w:link w:val="967"/>
    <w:pPr>
      <w:ind w:left="-360" w:firstLine="540"/>
      <w:jc w:val="left"/>
      <w:widowControl/>
    </w:pPr>
    <w:rPr>
      <w:rFonts w:ascii="宋体" w:hAnsi="宋体"/>
      <w:sz w:val="24"/>
    </w:rPr>
  </w:style>
  <w:style w:type="paragraph" w:styleId="1119">
    <w:name w:val="+注："/>
    <w:basedOn w:val="967"/>
    <w:next w:val="1119"/>
    <w:link w:val="967"/>
    <w:pPr>
      <w:ind w:firstLine="200"/>
      <w:spacing w:line="360" w:lineRule="auto"/>
    </w:pPr>
    <w:rPr>
      <w:szCs w:val="21"/>
    </w:rPr>
  </w:style>
  <w:style w:type="paragraph" w:styleId="1120">
    <w:name w:val="xl31"/>
    <w:basedOn w:val="967"/>
    <w:next w:val="1120"/>
    <w:link w:val="967"/>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121">
    <w:name w:val="Char Char Char Char"/>
    <w:basedOn w:val="993"/>
    <w:next w:val="1121"/>
    <w:link w:val="967"/>
    <w:pPr>
      <w:spacing w:line="360" w:lineRule="auto"/>
    </w:pPr>
    <w:rPr>
      <w:rFonts w:ascii="Tahoma" w:hAnsi="Tahoma"/>
      <w:sz w:val="24"/>
    </w:rPr>
  </w:style>
  <w:style w:type="paragraph" w:styleId="1122">
    <w:name w:val="xl67"/>
    <w:basedOn w:val="967"/>
    <w:next w:val="1122"/>
    <w:link w:val="96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name w:val="正文缩进1"/>
    <w:basedOn w:val="967"/>
    <w:next w:val="1123"/>
    <w:link w:val="967"/>
    <w:pPr>
      <w:ind w:firstLine="480"/>
      <w:widowControl/>
    </w:pPr>
    <w:rPr>
      <w:rFonts w:ascii="Calibri" w:hAnsi="Calibri"/>
      <w:sz w:val="24"/>
      <w:szCs w:val="20"/>
    </w:rPr>
  </w:style>
  <w:style w:type="paragraph" w:styleId="1124">
    <w:name w:val="xl28"/>
    <w:basedOn w:val="967"/>
    <w:next w:val="1124"/>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5">
    <w:name w:val="样式1"/>
    <w:basedOn w:val="967"/>
    <w:next w:val="1125"/>
    <w:link w:val="967"/>
    <w:pPr>
      <w:numPr>
        <w:ilvl w:val="0"/>
        <w:numId w:val="10"/>
      </w:numPr>
      <w:tabs>
        <w:tab w:val="left" w:pos="660" w:leader="none"/>
        <w:tab w:val="left" w:pos="709" w:leader="none"/>
      </w:tabs>
    </w:pPr>
    <w:rPr>
      <w:rFonts w:ascii="宋体" w:hAnsi="宋体"/>
      <w:szCs w:val="21"/>
    </w:rPr>
  </w:style>
  <w:style w:type="paragraph" w:styleId="1126">
    <w:name w:val="五级条标题"/>
    <w:basedOn w:val="1127"/>
    <w:next w:val="967"/>
    <w:link w:val="967"/>
    <w:pPr>
      <w:numPr>
        <w:ilvl w:val="4"/>
        <w:numId w:val="11"/>
      </w:numPr>
      <w:ind w:left="480" w:hanging="480"/>
      <w:tabs>
        <w:tab w:val="left" w:pos="2520" w:leader="none"/>
      </w:tabs>
      <w:outlineLvl w:val="6"/>
    </w:pPr>
  </w:style>
  <w:style w:type="paragraph" w:styleId="1127">
    <w:name w:val="四级条标题"/>
    <w:basedOn w:val="1070"/>
    <w:next w:val="967"/>
    <w:link w:val="967"/>
    <w:pPr>
      <w:numPr>
        <w:ilvl w:val="3"/>
        <w:numId w:val="11"/>
      </w:numPr>
      <w:ind w:left="480" w:hanging="480"/>
      <w:tabs>
        <w:tab w:val="left" w:pos="2100" w:leader="none"/>
      </w:tabs>
      <w:outlineLvl w:val="5"/>
    </w:pPr>
  </w:style>
  <w:style w:type="paragraph" w:styleId="1128">
    <w:name w:val="纯文本1"/>
    <w:basedOn w:val="967"/>
    <w:next w:val="1128"/>
    <w:link w:val="967"/>
    <w:qFormat/>
    <w:rPr>
      <w:rFonts w:hint="eastAsia" w:ascii="宋体" w:hAnsi="Courier New" w:eastAsia="楷体_GB2312"/>
      <w:sz w:val="28"/>
      <w:szCs w:val="20"/>
    </w:rPr>
  </w:style>
  <w:style w:type="paragraph" w:styleId="1129">
    <w:name w:val="xl86"/>
    <w:basedOn w:val="967"/>
    <w:next w:val="1129"/>
    <w:link w:val="967"/>
    <w:pPr>
      <w:jc w:val="center"/>
      <w:spacing w:before="100" w:beforeAutospacing="1" w:after="100" w:afterAutospacing="1"/>
      <w:widowControl/>
    </w:pPr>
    <w:rPr>
      <w:rFonts w:ascii="宋体" w:hAnsi="宋体" w:cs="宋体"/>
      <w:b/>
      <w:bCs/>
      <w:sz w:val="28"/>
      <w:szCs w:val="28"/>
    </w:rPr>
  </w:style>
  <w:style w:type="paragraph" w:styleId="1130">
    <w:name w:val="+标题1"/>
    <w:basedOn w:val="968"/>
    <w:next w:val="1130"/>
    <w:link w:val="967"/>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131">
    <w:name w:val="xl82"/>
    <w:basedOn w:val="967"/>
    <w:next w:val="1131"/>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2">
    <w:name w:val="xl44"/>
    <w:basedOn w:val="967"/>
    <w:next w:val="1132"/>
    <w:link w:val="967"/>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33">
    <w:name w:val="xl45"/>
    <w:basedOn w:val="967"/>
    <w:next w:val="1133"/>
    <w:link w:val="967"/>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134">
    <w:name w:val="xl29"/>
    <w:basedOn w:val="967"/>
    <w:next w:val="1134"/>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135">
    <w:name w:val="打对勾的标号1"/>
    <w:basedOn w:val="967"/>
    <w:next w:val="1135"/>
    <w:link w:val="967"/>
    <w:pPr>
      <w:tabs>
        <w:tab w:val="left" w:pos="540" w:leader="none"/>
      </w:tabs>
    </w:pPr>
    <w:rPr>
      <w:rFonts w:ascii="宋体"/>
      <w:color w:val="000000"/>
      <w:sz w:val="28"/>
      <w:szCs w:val="20"/>
      <w:lang w:val="en-GB"/>
    </w:rPr>
  </w:style>
  <w:style w:type="paragraph" w:styleId="1136">
    <w:name w:val="+列表2"/>
    <w:basedOn w:val="967"/>
    <w:next w:val="1136"/>
    <w:link w:val="967"/>
    <w:pPr>
      <w:jc w:val="center"/>
    </w:pPr>
    <w:rPr>
      <w:sz w:val="18"/>
      <w:szCs w:val="21"/>
    </w:rPr>
  </w:style>
  <w:style w:type="paragraph" w:styleId="1137">
    <w:name w:val="Char Char"/>
    <w:basedOn w:val="993"/>
    <w:next w:val="1137"/>
    <w:link w:val="967"/>
    <w:pPr>
      <w:numPr>
        <w:ilvl w:val="0"/>
        <w:numId w:val="12"/>
      </w:numPr>
      <w:tabs>
        <w:tab w:val="left" w:pos="425" w:leader="none"/>
      </w:tabs>
    </w:pPr>
    <w:rPr>
      <w:rFonts w:ascii="Tahoma" w:hAnsi="Tahoma"/>
      <w:sz w:val="24"/>
    </w:rPr>
  </w:style>
  <w:style w:type="paragraph" w:styleId="1138">
    <w:name w:val="xl34"/>
    <w:basedOn w:val="967"/>
    <w:next w:val="1138"/>
    <w:link w:val="96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39">
    <w:name w:val="Char Char Char Char Char Char Char Char Char1 Char"/>
    <w:basedOn w:val="993"/>
    <w:next w:val="1139"/>
    <w:link w:val="967"/>
    <w:pPr>
      <w:spacing w:line="360" w:lineRule="auto"/>
    </w:pPr>
  </w:style>
  <w:style w:type="paragraph" w:styleId="1140">
    <w:name w:val="xl35"/>
    <w:basedOn w:val="967"/>
    <w:next w:val="1140"/>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141">
    <w:name w:val="Default"/>
    <w:next w:val="1141"/>
    <w:link w:val="967"/>
    <w:pPr>
      <w:widowControl w:val="off"/>
    </w:pPr>
    <w:rPr>
      <w:color w:val="000000"/>
      <w:sz w:val="24"/>
      <w:szCs w:val="24"/>
      <w:lang w:val="en-US" w:eastAsia="zh-CN" w:bidi="ar-SA"/>
    </w:rPr>
  </w:style>
  <w:style w:type="paragraph" w:styleId="1142">
    <w:name w:val="+标题2"/>
    <w:basedOn w:val="969"/>
    <w:next w:val="1142"/>
    <w:link w:val="967"/>
    <w:pPr>
      <w:numPr>
        <w:ilvl w:val="1"/>
        <w:numId w:val="9"/>
      </w:numPr>
      <w:jc w:val="both"/>
      <w:keepLines/>
      <w:keepNext/>
      <w:spacing w:before="120" w:after="120" w:line="360" w:lineRule="auto"/>
      <w:widowControl w:val="off"/>
      <w:tabs>
        <w:tab w:val="left" w:pos="431" w:leader="none"/>
      </w:tabs>
    </w:pPr>
    <w:rPr>
      <w:rFonts w:ascii="Times New Roman" w:hAnsi="Times New Roman" w:eastAsia="宋体"/>
      <w:color w:val="000000"/>
      <w:spacing w:val="0"/>
      <w:sz w:val="24"/>
      <w:szCs w:val="28"/>
    </w:rPr>
  </w:style>
  <w:style w:type="paragraph" w:styleId="1143">
    <w:name w:val="xl80"/>
    <w:basedOn w:val="967"/>
    <w:next w:val="1143"/>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4">
    <w:name w:val=" Char Char Char Char Char Char Char Char Char Char Char1 Char Char Char Char Char Char Char Char Char Char"/>
    <w:basedOn w:val="967"/>
    <w:next w:val="1144"/>
    <w:link w:val="967"/>
    <w:rPr>
      <w:rFonts w:ascii="Tahoma" w:hAnsi="Tahoma"/>
      <w:sz w:val="24"/>
      <w:szCs w:val="20"/>
    </w:rPr>
  </w:style>
  <w:style w:type="paragraph" w:styleId="1145">
    <w:name w:val="Char"/>
    <w:basedOn w:val="967"/>
    <w:next w:val="1145"/>
    <w:link w:val="967"/>
    <w:pPr>
      <w:tabs>
        <w:tab w:val="left" w:pos="360" w:leader="none"/>
      </w:tabs>
    </w:pPr>
  </w:style>
  <w:style w:type="paragraph" w:styleId="1146">
    <w:name w:val="List Paragraph"/>
    <w:basedOn w:val="967"/>
    <w:next w:val="1146"/>
    <w:link w:val="967"/>
    <w:pPr>
      <w:ind w:firstLine="420"/>
    </w:pPr>
  </w:style>
  <w:style w:type="paragraph" w:styleId="1147">
    <w:name w:val="xl85"/>
    <w:basedOn w:val="967"/>
    <w:next w:val="1147"/>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148">
    <w:name w:val="标准正文"/>
    <w:basedOn w:val="1001"/>
    <w:next w:val="1148"/>
    <w:link w:val="967"/>
    <w:pPr>
      <w:numPr>
        <w:ilvl w:val="0"/>
        <w:numId w:val="3"/>
      </w:numPr>
      <w:ind w:firstLine="482"/>
      <w:spacing w:before="60" w:after="60" w:line="360" w:lineRule="auto"/>
    </w:pPr>
    <w:rPr>
      <w:rFonts w:ascii="Arial" w:hAnsi="Arial"/>
      <w:sz w:val="24"/>
    </w:rPr>
  </w:style>
  <w:style w:type="paragraph" w:styleId="1149">
    <w:name w:val="xl75"/>
    <w:basedOn w:val="967"/>
    <w:next w:val="1149"/>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50">
    <w:name w:val="xl39"/>
    <w:basedOn w:val="967"/>
    <w:next w:val="1150"/>
    <w:link w:val="967"/>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151">
    <w:name w:val="Blockquote"/>
    <w:basedOn w:val="967"/>
    <w:next w:val="1151"/>
    <w:link w:val="967"/>
    <w:pPr>
      <w:ind w:left="360" w:right="360"/>
      <w:jc w:val="left"/>
      <w:spacing w:before="100" w:after="100"/>
    </w:pPr>
    <w:rPr>
      <w:sz w:val="24"/>
      <w:szCs w:val="21"/>
    </w:rPr>
  </w:style>
  <w:style w:type="paragraph" w:styleId="1152">
    <w:name w:val="样式 首行缩进:  2 字符"/>
    <w:basedOn w:val="967"/>
    <w:next w:val="1152"/>
    <w:link w:val="967"/>
    <w:pPr>
      <w:ind w:firstLine="480"/>
      <w:spacing w:line="500" w:lineRule="exact"/>
    </w:pPr>
    <w:rPr>
      <w:rFonts w:ascii="宋体" w:hAnsi="宋体"/>
      <w:sz w:val="24"/>
      <w:szCs w:val="20"/>
    </w:rPr>
  </w:style>
  <w:style w:type="paragraph" w:styleId="1153">
    <w:name w:val=" Char1 Char Char Char Char Char Char"/>
    <w:basedOn w:val="967"/>
    <w:next w:val="1153"/>
    <w:link w:val="967"/>
    <w:rPr>
      <w:rFonts w:ascii="Tahoma" w:hAnsi="Tahoma"/>
      <w:sz w:val="24"/>
      <w:szCs w:val="20"/>
    </w:rPr>
  </w:style>
  <w:style w:type="paragraph" w:styleId="1154">
    <w:name w:val="+列表1"/>
    <w:basedOn w:val="967"/>
    <w:next w:val="1154"/>
    <w:link w:val="967"/>
    <w:pPr>
      <w:jc w:val="center"/>
    </w:pPr>
    <w:rPr>
      <w:sz w:val="24"/>
    </w:rPr>
  </w:style>
  <w:style w:type="paragraph" w:styleId="1155">
    <w:name w:val="xl36"/>
    <w:basedOn w:val="967"/>
    <w:next w:val="1155"/>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56">
    <w:name w:val="xl33"/>
    <w:basedOn w:val="967"/>
    <w:next w:val="1156"/>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57">
    <w:name w:val="纯文本5"/>
    <w:basedOn w:val="967"/>
    <w:next w:val="1157"/>
    <w:link w:val="967"/>
    <w:rPr>
      <w:rFonts w:hint="eastAsia" w:ascii="宋体" w:hAnsi="Courier New" w:eastAsia="楷体_GB2312"/>
      <w:sz w:val="28"/>
      <w:szCs w:val="20"/>
    </w:rPr>
  </w:style>
  <w:style w:type="paragraph" w:styleId="1158">
    <w:name w:val="font0"/>
    <w:basedOn w:val="967"/>
    <w:next w:val="1158"/>
    <w:link w:val="967"/>
    <w:pPr>
      <w:jc w:val="left"/>
      <w:spacing w:before="100" w:beforeAutospacing="1" w:after="100" w:afterAutospacing="1"/>
      <w:widowControl/>
    </w:pPr>
    <w:rPr>
      <w:rFonts w:ascii="宋体" w:hAnsi="宋体" w:cs="宋体"/>
      <w:sz w:val="24"/>
    </w:rPr>
  </w:style>
  <w:style w:type="paragraph" w:styleId="1159">
    <w:name w:val="xl76"/>
    <w:basedOn w:val="967"/>
    <w:next w:val="1159"/>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0">
    <w:name w:val="xl81"/>
    <w:basedOn w:val="967"/>
    <w:next w:val="1160"/>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name w:val="font5"/>
    <w:basedOn w:val="967"/>
    <w:next w:val="1161"/>
    <w:link w:val="967"/>
    <w:pPr>
      <w:jc w:val="left"/>
      <w:spacing w:before="100" w:beforeAutospacing="1" w:after="100" w:afterAutospacing="1"/>
      <w:widowControl/>
    </w:pPr>
    <w:rPr>
      <w:rFonts w:hint="eastAsia" w:ascii="宋体" w:hAnsi="宋体"/>
      <w:sz w:val="18"/>
      <w:szCs w:val="18"/>
    </w:rPr>
  </w:style>
  <w:style w:type="paragraph" w:styleId="1162">
    <w:name w:val="xl78"/>
    <w:basedOn w:val="967"/>
    <w:next w:val="1162"/>
    <w:link w:val="967"/>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63">
    <w:name w:val=" Char Char"/>
    <w:basedOn w:val="967"/>
    <w:next w:val="1163"/>
    <w:link w:val="967"/>
    <w:pPr>
      <w:jc w:val="left"/>
      <w:spacing w:after="160" w:line="240" w:lineRule="exact"/>
      <w:widowControl/>
    </w:pPr>
    <w:rPr>
      <w:rFonts w:ascii="Verdana" w:hAnsi="Verdana"/>
      <w:szCs w:val="20"/>
      <w:lang w:eastAsia="en-US"/>
    </w:rPr>
  </w:style>
  <w:style w:type="paragraph" w:styleId="1164">
    <w:name w:val="xl38"/>
    <w:basedOn w:val="967"/>
    <w:next w:val="1164"/>
    <w:link w:val="967"/>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65">
    <w:name w:val="+正文 Char6"/>
    <w:basedOn w:val="967"/>
    <w:next w:val="1165"/>
    <w:link w:val="967"/>
    <w:pPr>
      <w:numPr>
        <w:ilvl w:val="0"/>
        <w:numId w:val="13"/>
      </w:numPr>
      <w:ind w:left="0" w:firstLine="200"/>
      <w:spacing w:line="360" w:lineRule="auto"/>
      <w:tabs>
        <w:tab w:val="clear" w:pos="1240" w:leader="none"/>
      </w:tabs>
    </w:pPr>
    <w:rPr>
      <w:sz w:val="24"/>
    </w:rPr>
  </w:style>
  <w:style w:type="paragraph" w:styleId="1166">
    <w:name w:val="纯文本2"/>
    <w:basedOn w:val="967"/>
    <w:next w:val="1166"/>
    <w:link w:val="967"/>
    <w:qFormat/>
    <w:rPr>
      <w:rFonts w:ascii="宋体" w:hAnsi="Courier New" w:eastAsia="楷体_GB2312"/>
      <w:sz w:val="28"/>
      <w:szCs w:val="20"/>
    </w:rPr>
  </w:style>
  <w:style w:type="paragraph" w:styleId="1167">
    <w:name w:val="xl25"/>
    <w:basedOn w:val="967"/>
    <w:next w:val="1167"/>
    <w:link w:val="967"/>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168">
    <w:name w:val="xl42"/>
    <w:basedOn w:val="967"/>
    <w:next w:val="1168"/>
    <w:link w:val="967"/>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69">
    <w:name w:val="xl27"/>
    <w:basedOn w:val="967"/>
    <w:next w:val="1169"/>
    <w:link w:val="967"/>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170">
    <w:name w:val="xl66"/>
    <w:basedOn w:val="967"/>
    <w:next w:val="1170"/>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1">
    <w:name w:val="样式 正文文本缩进 2 + Times New Roman 首行缩进:  1.06 厘米 行距: 固定值 30 磅"/>
    <w:basedOn w:val="1010"/>
    <w:next w:val="1171"/>
    <w:link w:val="967"/>
    <w:pPr>
      <w:ind w:left="0" w:firstLine="601"/>
      <w:spacing w:after="0" w:line="540" w:lineRule="exact"/>
    </w:pPr>
    <w:rPr>
      <w:sz w:val="28"/>
      <w:szCs w:val="28"/>
    </w:rPr>
  </w:style>
  <w:style w:type="paragraph" w:styleId="1172">
    <w:name w:val="p0"/>
    <w:basedOn w:val="967"/>
    <w:next w:val="1172"/>
    <w:link w:val="967"/>
    <w:qFormat/>
    <w:pPr>
      <w:jc w:val="left"/>
      <w:spacing w:before="100" w:beforeAutospacing="1" w:after="100" w:afterAutospacing="1"/>
      <w:widowControl/>
    </w:pPr>
    <w:rPr>
      <w:rFonts w:ascii="宋体" w:hAnsi="宋体" w:cs="宋体"/>
      <w:sz w:val="24"/>
    </w:rPr>
  </w:style>
  <w:style w:type="paragraph" w:styleId="1173">
    <w:name w:val="图"/>
    <w:basedOn w:val="967"/>
    <w:next w:val="1173"/>
    <w:link w:val="967"/>
    <w:pPr>
      <w:jc w:val="center"/>
      <w:keepNext/>
      <w:spacing w:before="60" w:after="60" w:line="300" w:lineRule="auto"/>
    </w:pPr>
    <w:rPr>
      <w:spacing w:val="20"/>
      <w:sz w:val="24"/>
      <w:szCs w:val="20"/>
    </w:rPr>
  </w:style>
  <w:style w:type="paragraph" w:styleId="1174">
    <w:name w:val=" Char Char Char1 Char"/>
    <w:basedOn w:val="967"/>
    <w:next w:val="1174"/>
    <w:link w:val="967"/>
    <w:pPr>
      <w:spacing w:line="312" w:lineRule="atLeast"/>
    </w:pPr>
    <w:rPr>
      <w:b/>
      <w:bCs/>
      <w:sz w:val="36"/>
      <w:szCs w:val="32"/>
    </w:rPr>
  </w:style>
  <w:style w:type="paragraph" w:styleId="1175">
    <w:name w:val="标准"/>
    <w:basedOn w:val="967"/>
    <w:next w:val="1175"/>
    <w:link w:val="967"/>
    <w:pPr>
      <w:spacing w:line="300" w:lineRule="exact"/>
    </w:pPr>
    <w:rPr>
      <w:rFonts w:ascii="Footlight MT Light" w:hAnsi="Footlight MT Light"/>
      <w:b/>
      <w:sz w:val="28"/>
      <w:szCs w:val="20"/>
    </w:rPr>
  </w:style>
  <w:style w:type="paragraph" w:styleId="1176">
    <w:name w:val="xl37"/>
    <w:basedOn w:val="967"/>
    <w:next w:val="1176"/>
    <w:link w:val="967"/>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77">
    <w:name w:val="font11"/>
    <w:basedOn w:val="967"/>
    <w:next w:val="1177"/>
    <w:link w:val="967"/>
    <w:pPr>
      <w:jc w:val="left"/>
      <w:spacing w:before="100" w:beforeAutospacing="1" w:after="100" w:afterAutospacing="1"/>
      <w:widowControl/>
    </w:pPr>
    <w:rPr>
      <w:rFonts w:ascii="宋体" w:hAnsi="宋体" w:cs="宋体"/>
      <w:sz w:val="18"/>
      <w:szCs w:val="18"/>
    </w:rPr>
  </w:style>
  <w:style w:type="paragraph" w:styleId="1178">
    <w:name w:val="font9"/>
    <w:basedOn w:val="967"/>
    <w:next w:val="1178"/>
    <w:link w:val="967"/>
    <w:pPr>
      <w:jc w:val="left"/>
      <w:spacing w:before="100" w:beforeAutospacing="1" w:after="100" w:afterAutospacing="1"/>
      <w:widowControl/>
    </w:pPr>
    <w:rPr>
      <w:rFonts w:ascii="宋体" w:hAnsi="宋体" w:cs="宋体"/>
      <w:sz w:val="20"/>
      <w:szCs w:val="20"/>
    </w:rPr>
  </w:style>
  <w:style w:type="paragraph" w:styleId="1179">
    <w:name w:val="font8"/>
    <w:basedOn w:val="967"/>
    <w:next w:val="1179"/>
    <w:link w:val="967"/>
    <w:pPr>
      <w:jc w:val="left"/>
      <w:spacing w:before="100" w:beforeAutospacing="1" w:after="100" w:afterAutospacing="1"/>
      <w:widowControl/>
    </w:pPr>
    <w:rPr>
      <w:rFonts w:ascii="宋体" w:hAnsi="宋体" w:cs="宋体"/>
      <w:color w:val="ff0000"/>
      <w:sz w:val="20"/>
      <w:szCs w:val="20"/>
    </w:rPr>
  </w:style>
  <w:style w:type="paragraph" w:styleId="1180">
    <w:name w:val=" Char Char Char Char Char Char1 Char"/>
    <w:basedOn w:val="967"/>
    <w:next w:val="1180"/>
    <w:link w:val="967"/>
    <w:pPr>
      <w:jc w:val="left"/>
      <w:spacing w:after="160" w:line="240" w:lineRule="exact"/>
      <w:widowControl/>
    </w:pPr>
    <w:rPr>
      <w:rFonts w:ascii="Verdana" w:hAnsi="Verdana"/>
      <w:sz w:val="20"/>
      <w:szCs w:val="20"/>
      <w:lang w:eastAsia="en-US"/>
    </w:rPr>
  </w:style>
  <w:style w:type="paragraph" w:styleId="1181">
    <w:name w:val="font7"/>
    <w:basedOn w:val="967"/>
    <w:next w:val="1181"/>
    <w:link w:val="967"/>
    <w:pPr>
      <w:jc w:val="left"/>
      <w:spacing w:before="100" w:beforeAutospacing="1" w:after="100" w:afterAutospacing="1"/>
      <w:widowControl/>
    </w:pPr>
    <w:rPr>
      <w:rFonts w:ascii="宋体" w:hAnsi="宋体" w:cs="宋体"/>
      <w:b/>
      <w:bCs/>
      <w:color w:val="000000"/>
      <w:sz w:val="18"/>
      <w:szCs w:val="18"/>
    </w:rPr>
  </w:style>
  <w:style w:type="paragraph" w:styleId="1182">
    <w:name w:val=" Char Char Char Char Char Char Char Char Char1 Char"/>
    <w:basedOn w:val="993"/>
    <w:next w:val="1182"/>
    <w:link w:val="967"/>
    <w:pPr>
      <w:spacing w:line="360" w:lineRule="auto"/>
    </w:pPr>
    <w:rPr>
      <w:rFonts w:ascii="Tahoma" w:hAnsi="Tahoma"/>
      <w:sz w:val="24"/>
    </w:rPr>
  </w:style>
  <w:style w:type="paragraph" w:styleId="1183">
    <w:name w:val="xl89"/>
    <w:basedOn w:val="967"/>
    <w:next w:val="1183"/>
    <w:link w:val="967"/>
    <w:pPr>
      <w:jc w:val="left"/>
      <w:spacing w:before="100" w:beforeAutospacing="1" w:after="100" w:afterAutospacing="1"/>
      <w:widowControl/>
      <w:pBdr>
        <w:bottom w:val="single" w:color="000000" w:sz="4" w:space="0"/>
      </w:pBdr>
    </w:pPr>
    <w:rPr>
      <w:rFonts w:ascii="宋体" w:hAnsi="宋体" w:cs="宋体"/>
      <w:sz w:val="24"/>
    </w:rPr>
  </w:style>
  <w:style w:type="paragraph" w:styleId="1184">
    <w:name w:val="xl68"/>
    <w:basedOn w:val="967"/>
    <w:next w:val="1184"/>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5">
    <w:name w:val="font10"/>
    <w:basedOn w:val="967"/>
    <w:next w:val="1185"/>
    <w:link w:val="967"/>
    <w:pPr>
      <w:jc w:val="left"/>
      <w:spacing w:before="100" w:beforeAutospacing="1" w:after="100" w:afterAutospacing="1"/>
      <w:widowControl/>
    </w:pPr>
    <w:rPr>
      <w:rFonts w:ascii="宋体" w:hAnsi="宋体" w:cs="宋体"/>
      <w:color w:val="000000"/>
      <w:sz w:val="20"/>
      <w:szCs w:val="20"/>
    </w:rPr>
  </w:style>
  <w:style w:type="paragraph" w:styleId="1186">
    <w:name w:val="+正文 Char Char5 Char"/>
    <w:basedOn w:val="967"/>
    <w:next w:val="1186"/>
    <w:link w:val="967"/>
    <w:pPr>
      <w:ind w:firstLine="200"/>
      <w:spacing w:line="360" w:lineRule="auto"/>
    </w:pPr>
    <w:rPr>
      <w:sz w:val="24"/>
      <w:szCs w:val="20"/>
    </w:rPr>
  </w:style>
  <w:style w:type="paragraph" w:styleId="1187">
    <w:name w:val="xl32"/>
    <w:basedOn w:val="967"/>
    <w:next w:val="1187"/>
    <w:link w:val="967"/>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188">
    <w:name w:val="默认段落字体 Para Char Char Char Char Char Char Char Char Char1 Char Char Char Char"/>
    <w:basedOn w:val="967"/>
    <w:next w:val="1188"/>
    <w:link w:val="967"/>
    <w:rPr>
      <w:rFonts w:ascii="Tahoma" w:hAnsi="Tahoma"/>
      <w:sz w:val="24"/>
      <w:szCs w:val="20"/>
    </w:rPr>
  </w:style>
  <w:style w:type="paragraph" w:styleId="1189">
    <w:name w:val="xl72"/>
    <w:basedOn w:val="967"/>
    <w:next w:val="1189"/>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90">
    <w:name w:val="xl87"/>
    <w:basedOn w:val="967"/>
    <w:next w:val="1190"/>
    <w:link w:val="967"/>
    <w:pPr>
      <w:jc w:val="center"/>
      <w:spacing w:before="100" w:beforeAutospacing="1" w:after="100" w:afterAutospacing="1"/>
      <w:widowControl/>
    </w:pPr>
    <w:rPr>
      <w:rFonts w:ascii="宋体" w:hAnsi="宋体" w:cs="宋体"/>
      <w:b/>
      <w:bCs/>
      <w:sz w:val="22"/>
      <w:szCs w:val="22"/>
    </w:rPr>
  </w:style>
  <w:style w:type="table" w:styleId="1191">
    <w:name w:val="Table Normal"/>
    <w:next w:val="1191"/>
    <w:link w:val="967"/>
    <w:rPr>
      <w:lang w:val="en-US" w:eastAsia="zh-CN" w:bidi="ar-SA"/>
    </w:rPr>
    <w:tblPr/>
  </w:style>
  <w:style w:type="paragraph" w:styleId="1192">
    <w:name w:val="页眉1"/>
    <w:next w:val="1192"/>
    <w:link w:val="967"/>
    <w:pPr>
      <w:jc w:val="both"/>
      <w:widowControl w:val="off"/>
      <w:tabs>
        <w:tab w:val="center" w:pos="4153" w:leader="none"/>
        <w:tab w:val="right" w:pos="8306" w:leader="none"/>
      </w:tabs>
      <w:framePr w:wrap="around" w:y="1"/>
    </w:pPr>
    <w:rPr>
      <w:rFonts w:hint="eastAsia" w:ascii="Arial Unicode MS" w:hAnsi="Arial Unicode MS" w:eastAsia="Times New Roman" w:cs="Arial Unicode MS"/>
      <w:color w:val="000000"/>
      <w:sz w:val="18"/>
      <w:szCs w:val="18"/>
      <w:lang w:val="en-US" w:eastAsia="zh-CN" w:bidi="ar-SA"/>
    </w:rPr>
  </w:style>
  <w:style w:type="paragraph" w:styleId="1193">
    <w:name w:val="正文 A"/>
    <w:next w:val="1193"/>
    <w:link w:val="967"/>
    <w:pPr>
      <w:jc w:val="both"/>
      <w:widowControl w:val="off"/>
      <w:framePr w:wrap="around" w:y="1"/>
    </w:pPr>
    <w:rPr>
      <w:rFonts w:eastAsia="Times New Roman"/>
      <w:color w:val="000000"/>
      <w:sz w:val="21"/>
      <w:szCs w:val="21"/>
      <w:lang w:val="en-US" w:eastAsia="zh-CN" w:bidi="ar-SA"/>
    </w:rPr>
  </w:style>
  <w:style w:type="paragraph" w:styleId="1194">
    <w:name w:val="页脚1"/>
    <w:next w:val="1194"/>
    <w:link w:val="967"/>
    <w:qFormat/>
    <w:pPr>
      <w:widowControl w:val="off"/>
      <w:tabs>
        <w:tab w:val="center" w:pos="4153" w:leader="none"/>
        <w:tab w:val="right" w:pos="8306" w:leader="none"/>
      </w:tabs>
      <w:framePr w:wrap="around" w:y="1"/>
    </w:pPr>
    <w:rPr>
      <w:rFonts w:eastAsia="Times New Roman"/>
      <w:color w:val="000000"/>
      <w:sz w:val="18"/>
      <w:szCs w:val="18"/>
      <w:lang w:val="en-US" w:eastAsia="zh-CN" w:bidi="ar-SA"/>
    </w:rPr>
  </w:style>
  <w:style w:type="paragraph" w:styleId="1195">
    <w:name w:val="居中标题"/>
    <w:next w:val="1195"/>
    <w:link w:val="967"/>
    <w:pPr>
      <w:jc w:val="center"/>
      <w:widowControl w:val="off"/>
      <w:framePr w:wrap="around" w:y="1"/>
    </w:pPr>
    <w:rPr>
      <w:rFonts w:hint="eastAsia" w:ascii="Arial Unicode MS" w:hAnsi="Arial Unicode MS" w:eastAsia="Arial" w:cs="Arial Unicode MS"/>
      <w:color w:val="000000"/>
      <w:sz w:val="24"/>
      <w:szCs w:val="24"/>
      <w:lang w:val="en-US" w:eastAsia="zh-CN" w:bidi="ar-SA"/>
    </w:rPr>
  </w:style>
  <w:style w:type="paragraph" w:styleId="1196">
    <w:name w:val="AA2"/>
    <w:next w:val="1196"/>
    <w:link w:val="967"/>
    <w:pPr>
      <w:jc w:val="both"/>
      <w:spacing w:line="312" w:lineRule="exact"/>
      <w:widowControl w:val="off"/>
      <w:framePr w:wrap="around" w:y="1"/>
      <w:outlineLvl w:val="0"/>
    </w:pPr>
    <w:rPr>
      <w:rFonts w:eastAsia="Times New Roman"/>
      <w:color w:val="000000"/>
      <w:sz w:val="21"/>
      <w:szCs w:val="21"/>
      <w:lang w:val="en-US" w:eastAsia="zh-CN" w:bidi="ar-SA"/>
    </w:rPr>
  </w:style>
  <w:style w:type="paragraph" w:styleId="1197">
    <w:name w:val="标题 11"/>
    <w:next w:val="1193"/>
    <w:link w:val="967"/>
    <w:pPr>
      <w:jc w:val="both"/>
      <w:keepLines/>
      <w:keepNext/>
      <w:spacing w:before="340" w:after="330" w:line="578" w:lineRule="auto"/>
      <w:widowControl w:val="off"/>
      <w:framePr w:wrap="around" w:y="1"/>
      <w:outlineLvl w:val="1"/>
    </w:pPr>
    <w:rPr>
      <w:rFonts w:eastAsia="Times New Roman"/>
      <w:b/>
      <w:bCs/>
      <w:color w:val="000000"/>
      <w:sz w:val="44"/>
      <w:szCs w:val="44"/>
      <w:lang w:val="en-US" w:eastAsia="zh-CN" w:bidi="ar-SA"/>
    </w:rPr>
  </w:style>
  <w:style w:type="paragraph" w:styleId="1198">
    <w:name w:val="标题 21"/>
    <w:next w:val="1123"/>
    <w:link w:val="967"/>
    <w:pPr>
      <w:jc w:val="both"/>
      <w:keepLines/>
      <w:keepNext/>
      <w:spacing w:before="260" w:after="260" w:line="416" w:lineRule="auto"/>
      <w:widowControl w:val="off"/>
      <w:framePr w:wrap="around" w:y="1"/>
      <w:outlineLvl w:val="2"/>
    </w:pPr>
    <w:rPr>
      <w:rFonts w:ascii="Arial" w:hAnsi="Arial" w:eastAsia="Arial" w:cs="Arial"/>
      <w:b/>
      <w:bCs/>
      <w:color w:val="000000"/>
      <w:sz w:val="32"/>
      <w:szCs w:val="32"/>
      <w:lang w:val="en-US" w:eastAsia="zh-CN" w:bidi="ar-SA"/>
    </w:rPr>
  </w:style>
  <w:style w:type="paragraph" w:styleId="1199">
    <w:name w:val="标题 31"/>
    <w:next w:val="1193"/>
    <w:link w:val="967"/>
    <w:pPr>
      <w:jc w:val="both"/>
      <w:keepLines/>
      <w:keepNext/>
      <w:spacing w:before="260" w:after="260" w:line="416" w:lineRule="auto"/>
      <w:widowControl w:val="off"/>
      <w:tabs>
        <w:tab w:val="left" w:pos="720" w:leader="none"/>
      </w:tabs>
      <w:framePr w:wrap="around" w:y="1"/>
      <w:outlineLvl w:val="3"/>
    </w:pPr>
    <w:rPr>
      <w:rFonts w:eastAsia="Times New Roman"/>
      <w:color w:val="000000"/>
      <w:sz w:val="24"/>
      <w:szCs w:val="24"/>
      <w:lang w:val="en-US" w:eastAsia="zh-CN" w:bidi="ar-SA"/>
    </w:rPr>
  </w:style>
  <w:style w:type="paragraph" w:styleId="1200">
    <w:name w:val="_列表编号1"/>
    <w:next w:val="1200"/>
    <w:link w:val="967"/>
    <w:pPr>
      <w:jc w:val="both"/>
      <w:spacing w:line="276" w:lineRule="auto"/>
      <w:tabs>
        <w:tab w:val="left" w:pos="800" w:leader="none"/>
      </w:tabs>
      <w:framePr w:wrap="around" w:y="1"/>
    </w:pPr>
    <w:rPr>
      <w:rFonts w:hint="eastAsia" w:ascii="Arial Unicode MS" w:hAnsi="Arial Unicode MS" w:eastAsia="Arial" w:cs="Arial Unicode MS"/>
      <w:color w:val="000000"/>
      <w:sz w:val="21"/>
      <w:szCs w:val="21"/>
      <w:lang w:val="en-US" w:eastAsia="zh-CN" w:bidi="ar-SA"/>
    </w:rPr>
  </w:style>
  <w:style w:type="paragraph" w:styleId="1201">
    <w:name w:val="默认"/>
    <w:next w:val="1201"/>
    <w:link w:val="967"/>
    <w:qFormat/>
    <w:pPr>
      <w:framePr w:wrap="around" w:y="1"/>
    </w:pPr>
    <w:rPr>
      <w:rFonts w:ascii="Helvetica" w:hAnsi="Helvetica" w:eastAsia="Helvetica" w:cs="Helvetica"/>
      <w:color w:val="000000"/>
      <w:sz w:val="22"/>
      <w:szCs w:val="22"/>
      <w:lang w:val="en-US" w:eastAsia="zh-CN" w:bidi="ar-SA"/>
    </w:rPr>
  </w:style>
  <w:style w:type="paragraph" w:styleId="1202">
    <w:name w:val="正文 A A"/>
    <w:next w:val="1202"/>
    <w:link w:val="967"/>
    <w:pPr>
      <w:jc w:val="both"/>
      <w:widowControl w:val="off"/>
      <w:framePr w:wrap="around" w:y="1"/>
    </w:pPr>
    <w:rPr>
      <w:rFonts w:hint="eastAsia" w:ascii="Arial Unicode MS" w:hAnsi="Arial Unicode MS" w:eastAsia="Times New Roman" w:cs="Arial Unicode MS"/>
      <w:color w:val="000000"/>
      <w:sz w:val="21"/>
      <w:szCs w:val="21"/>
      <w:lang w:val="en-US" w:eastAsia="zh-CN" w:bidi="ar-SA"/>
    </w:rPr>
  </w:style>
  <w:style w:type="paragraph" w:styleId="1203">
    <w:name w:val="_表格条文"/>
    <w:next w:val="1203"/>
    <w:link w:val="967"/>
    <w:pPr>
      <w:jc w:val="both"/>
      <w:spacing w:line="276" w:lineRule="auto"/>
      <w:widowControl w:val="off"/>
      <w:framePr w:wrap="around" w:y="1"/>
    </w:pPr>
    <w:rPr>
      <w:rFonts w:hint="eastAsia" w:ascii="Arial Unicode MS" w:hAnsi="Arial Unicode MS" w:eastAsia="Arial" w:cs="Arial Unicode MS"/>
      <w:color w:val="000000"/>
      <w:sz w:val="18"/>
      <w:szCs w:val="18"/>
      <w:lang w:val="en-US" w:eastAsia="zh-CN" w:bidi="ar-SA"/>
    </w:rPr>
  </w:style>
  <w:style w:type="paragraph" w:styleId="1204">
    <w:name w:val="列出段落1"/>
    <w:next w:val="1204"/>
    <w:link w:val="967"/>
    <w:uiPriority w:val="34"/>
    <w:qFormat/>
    <w:pPr>
      <w:ind w:firstLine="420"/>
      <w:jc w:val="both"/>
      <w:widowControl w:val="off"/>
      <w:framePr w:wrap="around" w:y="1"/>
    </w:pPr>
    <w:rPr>
      <w:rFonts w:ascii="Calibri" w:hAnsi="Calibri" w:eastAsia="Calibri" w:cs="Calibri"/>
      <w:color w:val="000000"/>
      <w:sz w:val="21"/>
      <w:szCs w:val="21"/>
      <w:lang w:val="en-US" w:eastAsia="zh-CN" w:bidi="ar-SA"/>
    </w:rPr>
  </w:style>
  <w:style w:type="paragraph" w:styleId="1205">
    <w:name w:val="文字样式"/>
    <w:basedOn w:val="967"/>
    <w:next w:val="1205"/>
    <w:link w:val="1206"/>
    <w:pPr>
      <w:ind w:firstLine="480"/>
      <w:spacing w:line="360" w:lineRule="auto"/>
    </w:pPr>
    <w:rPr>
      <w:sz w:val="24"/>
    </w:rPr>
  </w:style>
  <w:style w:type="character" w:styleId="1206">
    <w:name w:val="文字样式 Char"/>
    <w:next w:val="1206"/>
    <w:link w:val="1205"/>
    <w:rPr>
      <w:sz w:val="24"/>
      <w:szCs w:val="24"/>
    </w:rPr>
  </w:style>
  <w:style w:type="paragraph" w:styleId="1207">
    <w:name w:val="内容样式"/>
    <w:basedOn w:val="967"/>
    <w:next w:val="1207"/>
    <w:link w:val="967"/>
    <w:pPr>
      <w:ind w:firstLine="560"/>
      <w:jc w:val="left"/>
      <w:spacing w:line="460" w:lineRule="exact"/>
    </w:pPr>
    <w:rPr>
      <w:rFonts w:ascii="仿宋_GB2312" w:hAnsi="仿宋_GB2312" w:eastAsia="仿宋_GB2312" w:cs="宋体"/>
      <w:sz w:val="28"/>
      <w:szCs w:val="20"/>
    </w:rPr>
  </w:style>
  <w:style w:type="paragraph" w:styleId="1208">
    <w:name w:val="p15"/>
    <w:basedOn w:val="967"/>
    <w:next w:val="1208"/>
    <w:link w:val="967"/>
    <w:qFormat/>
    <w:pPr>
      <w:widowControl/>
    </w:pPr>
    <w:rPr>
      <w:rFonts w:ascii="宋体" w:hAnsi="宋体" w:cs="宋体"/>
      <w:sz w:val="28"/>
      <w:szCs w:val="28"/>
    </w:rPr>
  </w:style>
  <w:style w:type="paragraph" w:styleId="1209">
    <w:name w:val="纯文本12"/>
    <w:basedOn w:val="967"/>
    <w:next w:val="1209"/>
    <w:link w:val="967"/>
    <w:rPr>
      <w:rFonts w:hint="eastAsia" w:ascii="宋体" w:hAnsi="Courier New" w:eastAsia="楷体_GB2312"/>
      <w:sz w:val="28"/>
      <w:szCs w:val="20"/>
    </w:rPr>
  </w:style>
  <w:style w:type="paragraph" w:styleId="1210">
    <w:name w:val="xl90"/>
    <w:basedOn w:val="967"/>
    <w:next w:val="1210"/>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1">
    <w:name w:val="xl91"/>
    <w:basedOn w:val="967"/>
    <w:next w:val="1211"/>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12">
    <w:name w:val="xl92"/>
    <w:basedOn w:val="967"/>
    <w:next w:val="1212"/>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3">
    <w:name w:val="xl93"/>
    <w:basedOn w:val="967"/>
    <w:next w:val="1213"/>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4">
    <w:name w:val="xl94"/>
    <w:basedOn w:val="967"/>
    <w:next w:val="1214"/>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215">
    <w:name w:val="xl95"/>
    <w:basedOn w:val="967"/>
    <w:next w:val="1215"/>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c000"/>
      <w:sz w:val="20"/>
      <w:szCs w:val="20"/>
    </w:rPr>
  </w:style>
  <w:style w:type="paragraph" w:styleId="1216">
    <w:name w:val="xl96"/>
    <w:basedOn w:val="967"/>
    <w:next w:val="1216"/>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7">
    <w:name w:val="xl97"/>
    <w:basedOn w:val="967"/>
    <w:next w:val="1217"/>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8">
    <w:name w:val="xl98"/>
    <w:basedOn w:val="967"/>
    <w:next w:val="1218"/>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9">
    <w:name w:val="xl99"/>
    <w:basedOn w:val="967"/>
    <w:next w:val="1219"/>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0">
    <w:name w:val="xl100"/>
    <w:basedOn w:val="967"/>
    <w:next w:val="1220"/>
    <w:link w:val="96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1">
    <w:name w:val="xl101"/>
    <w:basedOn w:val="967"/>
    <w:next w:val="1221"/>
    <w:link w:val="96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2">
    <w:name w:val="xl102"/>
    <w:basedOn w:val="967"/>
    <w:next w:val="1222"/>
    <w:link w:val="96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3">
    <w:name w:val="xl103"/>
    <w:basedOn w:val="967"/>
    <w:next w:val="1223"/>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24">
    <w:name w:val="xl104"/>
    <w:basedOn w:val="967"/>
    <w:next w:val="1224"/>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25">
    <w:name w:val="xl105"/>
    <w:basedOn w:val="967"/>
    <w:next w:val="1225"/>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6">
    <w:name w:val="xl106"/>
    <w:basedOn w:val="967"/>
    <w:next w:val="1226"/>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7">
    <w:name w:val="xl107"/>
    <w:basedOn w:val="967"/>
    <w:next w:val="1227"/>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8">
    <w:name w:val="xl108"/>
    <w:basedOn w:val="967"/>
    <w:next w:val="1228"/>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9">
    <w:name w:val="xl109"/>
    <w:basedOn w:val="967"/>
    <w:next w:val="1229"/>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0">
    <w:name w:val="xl110"/>
    <w:basedOn w:val="967"/>
    <w:next w:val="1230"/>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1">
    <w:name w:val="xl111"/>
    <w:basedOn w:val="967"/>
    <w:next w:val="1231"/>
    <w:link w:val="96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2">
    <w:name w:val="xl112"/>
    <w:basedOn w:val="967"/>
    <w:next w:val="1232"/>
    <w:link w:val="96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szCs w:val="20"/>
    </w:rPr>
  </w:style>
  <w:style w:type="paragraph" w:styleId="1233">
    <w:name w:val="xl113"/>
    <w:basedOn w:val="967"/>
    <w:next w:val="1233"/>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4">
    <w:name w:val="xl114"/>
    <w:basedOn w:val="967"/>
    <w:next w:val="1234"/>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235">
    <w:name w:val="xl115"/>
    <w:basedOn w:val="967"/>
    <w:next w:val="1235"/>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36">
    <w:name w:val="xl116"/>
    <w:basedOn w:val="967"/>
    <w:next w:val="1236"/>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37">
    <w:name w:val="xl117"/>
    <w:basedOn w:val="967"/>
    <w:next w:val="1237"/>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8">
    <w:name w:val="xl118"/>
    <w:basedOn w:val="967"/>
    <w:next w:val="1238"/>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9">
    <w:name w:val="xl119"/>
    <w:basedOn w:val="967"/>
    <w:next w:val="1239"/>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40">
    <w:name w:val="xl120"/>
    <w:basedOn w:val="967"/>
    <w:next w:val="1240"/>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41">
    <w:name w:val="xl121"/>
    <w:basedOn w:val="967"/>
    <w:next w:val="1241"/>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2">
    <w:name w:val="xl122"/>
    <w:basedOn w:val="967"/>
    <w:next w:val="1242"/>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3">
    <w:name w:val="xl123"/>
    <w:basedOn w:val="967"/>
    <w:next w:val="1243"/>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4">
    <w:name w:val="xl124"/>
    <w:basedOn w:val="967"/>
    <w:next w:val="1244"/>
    <w:link w:val="96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5">
    <w:name w:val="xl125"/>
    <w:basedOn w:val="967"/>
    <w:next w:val="1245"/>
    <w:link w:val="96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6">
    <w:name w:val="xl126"/>
    <w:basedOn w:val="967"/>
    <w:next w:val="1246"/>
    <w:link w:val="96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7">
    <w:name w:val="xl127"/>
    <w:basedOn w:val="967"/>
    <w:next w:val="1247"/>
    <w:link w:val="967"/>
    <w:pPr>
      <w:spacing w:before="100" w:beforeAutospacing="1" w:after="100" w:afterAutospacing="1"/>
      <w:widowControl/>
    </w:pPr>
    <w:rPr>
      <w:rFonts w:ascii="宋体" w:hAnsi="宋体" w:cs="宋体"/>
      <w:color w:val="171717"/>
      <w:szCs w:val="21"/>
    </w:rPr>
  </w:style>
  <w:style w:type="paragraph" w:styleId="1248">
    <w:name w:val="xl128"/>
    <w:basedOn w:val="967"/>
    <w:next w:val="1248"/>
    <w:link w:val="967"/>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9">
    <w:name w:val="xl129"/>
    <w:basedOn w:val="967"/>
    <w:next w:val="1249"/>
    <w:link w:val="96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50">
    <w:name w:val="xl130"/>
    <w:basedOn w:val="967"/>
    <w:next w:val="1250"/>
    <w:link w:val="96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51">
    <w:name w:val="xl131"/>
    <w:basedOn w:val="967"/>
    <w:next w:val="1251"/>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52">
    <w:name w:val="xl132"/>
    <w:basedOn w:val="967"/>
    <w:next w:val="1252"/>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3">
    <w:name w:val="xl133"/>
    <w:basedOn w:val="967"/>
    <w:next w:val="1253"/>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54">
    <w:name w:val="xl134"/>
    <w:basedOn w:val="967"/>
    <w:next w:val="1254"/>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55">
    <w:name w:val="xl135"/>
    <w:basedOn w:val="967"/>
    <w:next w:val="1255"/>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6">
    <w:name w:val="xl136"/>
    <w:basedOn w:val="967"/>
    <w:next w:val="1256"/>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257">
    <w:name w:val="xl137"/>
    <w:basedOn w:val="967"/>
    <w:next w:val="1257"/>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8">
    <w:name w:val="xl138"/>
    <w:basedOn w:val="967"/>
    <w:next w:val="1258"/>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9">
    <w:name w:val="xl139"/>
    <w:basedOn w:val="967"/>
    <w:next w:val="1259"/>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260">
    <w:name w:val="xl140"/>
    <w:basedOn w:val="967"/>
    <w:next w:val="1260"/>
    <w:link w:val="9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61">
    <w:name w:val="xl141"/>
    <w:basedOn w:val="967"/>
    <w:next w:val="1261"/>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62">
    <w:name w:val="xl142"/>
    <w:basedOn w:val="967"/>
    <w:next w:val="1262"/>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63">
    <w:name w:val="xl143"/>
    <w:basedOn w:val="967"/>
    <w:next w:val="1263"/>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2"/>
      <w:szCs w:val="12"/>
    </w:rPr>
  </w:style>
  <w:style w:type="paragraph" w:styleId="1264">
    <w:name w:val="xl144"/>
    <w:basedOn w:val="967"/>
    <w:next w:val="1264"/>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5">
    <w:name w:val="xl145"/>
    <w:basedOn w:val="967"/>
    <w:next w:val="1265"/>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6">
    <w:name w:val="xl146"/>
    <w:basedOn w:val="967"/>
    <w:next w:val="1266"/>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267">
    <w:name w:val="xl147"/>
    <w:basedOn w:val="967"/>
    <w:next w:val="1267"/>
    <w:link w:val="9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2"/>
      <w:szCs w:val="12"/>
    </w:rPr>
  </w:style>
  <w:style w:type="paragraph" w:styleId="1268">
    <w:name w:val="xl148"/>
    <w:basedOn w:val="967"/>
    <w:next w:val="1268"/>
    <w:link w:val="967"/>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1269">
    <w:name w:val="xl149"/>
    <w:basedOn w:val="967"/>
    <w:next w:val="1269"/>
    <w:link w:val="967"/>
    <w:pPr>
      <w:jc w:val="left"/>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1270">
    <w:name w:val="xl150"/>
    <w:basedOn w:val="967"/>
    <w:next w:val="1270"/>
    <w:link w:val="96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71">
    <w:name w:val="xl151"/>
    <w:basedOn w:val="967"/>
    <w:next w:val="1271"/>
    <w:link w:val="967"/>
    <w:pPr>
      <w:jc w:val="center"/>
      <w:spacing w:before="100" w:beforeAutospacing="1" w:after="100" w:afterAutospacing="1"/>
      <w:widowControl/>
      <w:pBdr>
        <w:bottom w:val="single" w:color="000000" w:sz="8" w:space="0"/>
        <w:right w:val="single" w:color="000000" w:sz="8" w:space="0"/>
      </w:pBdr>
    </w:pPr>
    <w:rPr>
      <w:rFonts w:ascii="宋体" w:hAnsi="宋体" w:cs="宋体"/>
      <w:color w:val="ff0000"/>
      <w:sz w:val="20"/>
      <w:szCs w:val="20"/>
    </w:rPr>
  </w:style>
  <w:style w:type="paragraph" w:styleId="1272">
    <w:name w:val="xl152"/>
    <w:basedOn w:val="967"/>
    <w:next w:val="1272"/>
    <w:link w:val="967"/>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73">
    <w:name w:val="xl153"/>
    <w:basedOn w:val="967"/>
    <w:next w:val="1273"/>
    <w:link w:val="967"/>
    <w:pPr>
      <w:jc w:val="center"/>
      <w:spacing w:before="100" w:beforeAutospacing="1" w:after="100" w:afterAutospacing="1"/>
      <w:widowControl/>
      <w:pBdr>
        <w:right w:val="single" w:color="000000" w:sz="8" w:space="0"/>
      </w:pBdr>
    </w:pPr>
    <w:rPr>
      <w:rFonts w:ascii="宋体" w:hAnsi="宋体" w:cs="宋体"/>
      <w:sz w:val="20"/>
      <w:szCs w:val="20"/>
    </w:rPr>
  </w:style>
  <w:style w:type="paragraph" w:styleId="1274">
    <w:name w:val="xl154"/>
    <w:basedOn w:val="967"/>
    <w:next w:val="1274"/>
    <w:link w:val="967"/>
    <w:pPr>
      <w:jc w:val="left"/>
      <w:spacing w:before="100" w:beforeAutospacing="1" w:after="100" w:afterAutospacing="1"/>
      <w:widowControl/>
      <w:pBdr>
        <w:right w:val="single" w:color="000000" w:sz="8" w:space="0"/>
      </w:pBdr>
    </w:pPr>
    <w:rPr>
      <w:rFonts w:ascii="宋体" w:hAnsi="宋体" w:cs="宋体"/>
      <w:sz w:val="20"/>
      <w:szCs w:val="20"/>
    </w:rPr>
  </w:style>
  <w:style w:type="paragraph" w:styleId="1275">
    <w:name w:val="xl155"/>
    <w:basedOn w:val="967"/>
    <w:next w:val="1275"/>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6">
    <w:name w:val="xl156"/>
    <w:basedOn w:val="967"/>
    <w:next w:val="1276"/>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7">
    <w:name w:val="xl157"/>
    <w:basedOn w:val="967"/>
    <w:next w:val="1277"/>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8">
    <w:name w:val="xl158"/>
    <w:basedOn w:val="967"/>
    <w:next w:val="1278"/>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9">
    <w:name w:val="xl159"/>
    <w:basedOn w:val="967"/>
    <w:next w:val="1279"/>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0">
    <w:name w:val="xl160"/>
    <w:basedOn w:val="967"/>
    <w:next w:val="1280"/>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1">
    <w:name w:val="xl161"/>
    <w:basedOn w:val="967"/>
    <w:next w:val="1281"/>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2">
    <w:name w:val="xl162"/>
    <w:basedOn w:val="967"/>
    <w:next w:val="1282"/>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83">
    <w:name w:val="xl163"/>
    <w:basedOn w:val="967"/>
    <w:next w:val="1283"/>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84">
    <w:name w:val="xl164"/>
    <w:basedOn w:val="967"/>
    <w:next w:val="1284"/>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6"/>
      <w:szCs w:val="16"/>
    </w:rPr>
  </w:style>
  <w:style w:type="paragraph" w:styleId="1285">
    <w:name w:val="xl165"/>
    <w:basedOn w:val="967"/>
    <w:next w:val="1285"/>
    <w:link w:val="967"/>
    <w:pPr>
      <w:jc w:val="center"/>
      <w:spacing w:before="100" w:beforeAutospacing="1" w:after="100" w:afterAutospacing="1"/>
      <w:widowControl/>
    </w:pPr>
    <w:rPr>
      <w:rFonts w:ascii="宋体" w:hAnsi="宋体" w:cs="宋体"/>
      <w:b/>
      <w:bCs/>
      <w:color w:val="000000"/>
      <w:sz w:val="40"/>
      <w:szCs w:val="40"/>
    </w:rPr>
  </w:style>
  <w:style w:type="paragraph" w:styleId="1286">
    <w:name w:val="xl166"/>
    <w:basedOn w:val="967"/>
    <w:next w:val="1286"/>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0"/>
      <w:szCs w:val="20"/>
    </w:rPr>
  </w:style>
  <w:style w:type="paragraph" w:styleId="1287">
    <w:name w:val="xl167"/>
    <w:basedOn w:val="967"/>
    <w:next w:val="1287"/>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88">
    <w:name w:val="xl168"/>
    <w:basedOn w:val="967"/>
    <w:next w:val="1288"/>
    <w:link w:val="967"/>
    <w:pPr>
      <w:jc w:val="center"/>
      <w:spacing w:before="100" w:beforeAutospacing="1" w:after="100" w:afterAutospacing="1"/>
      <w:widowControl/>
    </w:pPr>
    <w:rPr>
      <w:rFonts w:ascii="宋体" w:hAnsi="宋体" w:cs="宋体"/>
      <w:b/>
      <w:bCs/>
      <w:sz w:val="32"/>
      <w:szCs w:val="32"/>
    </w:rPr>
  </w:style>
  <w:style w:type="paragraph" w:styleId="1289">
    <w:name w:val="xl169"/>
    <w:basedOn w:val="967"/>
    <w:next w:val="1289"/>
    <w:link w:val="967"/>
    <w:pPr>
      <w:jc w:val="center"/>
      <w:spacing w:before="100" w:beforeAutospacing="1" w:after="100" w:afterAutospacing="1"/>
      <w:widowControl/>
    </w:pPr>
    <w:rPr>
      <w:rFonts w:ascii="宋体" w:hAnsi="宋体" w:cs="宋体"/>
      <w:b/>
      <w:bCs/>
      <w:sz w:val="28"/>
      <w:szCs w:val="28"/>
    </w:rPr>
  </w:style>
  <w:style w:type="paragraph" w:styleId="1290">
    <w:name w:val="xl170"/>
    <w:basedOn w:val="967"/>
    <w:next w:val="1290"/>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91">
    <w:name w:val="xl171"/>
    <w:basedOn w:val="967"/>
    <w:next w:val="1291"/>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2">
    <w:name w:val="xl172"/>
    <w:basedOn w:val="967"/>
    <w:next w:val="1292"/>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293">
    <w:name w:val="xl173"/>
    <w:basedOn w:val="967"/>
    <w:next w:val="1293"/>
    <w:link w:val="967"/>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color w:val="000000"/>
      <w:sz w:val="20"/>
      <w:szCs w:val="20"/>
    </w:rPr>
  </w:style>
  <w:style w:type="paragraph" w:styleId="1294">
    <w:name w:val="xl174"/>
    <w:basedOn w:val="967"/>
    <w:next w:val="1294"/>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95">
    <w:name w:val="xl175"/>
    <w:basedOn w:val="967"/>
    <w:next w:val="1295"/>
    <w:link w:val="967"/>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96">
    <w:name w:val="xl176"/>
    <w:basedOn w:val="967"/>
    <w:next w:val="1296"/>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97">
    <w:name w:val="xl177"/>
    <w:basedOn w:val="967"/>
    <w:next w:val="1297"/>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298">
    <w:name w:val="xl178"/>
    <w:basedOn w:val="967"/>
    <w:next w:val="1298"/>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299">
    <w:name w:val="xl179"/>
    <w:basedOn w:val="967"/>
    <w:next w:val="1299"/>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300">
    <w:name w:val="xl180"/>
    <w:basedOn w:val="967"/>
    <w:next w:val="1300"/>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1">
    <w:name w:val="xl181"/>
    <w:basedOn w:val="967"/>
    <w:next w:val="1301"/>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302">
    <w:name w:val="xl182"/>
    <w:basedOn w:val="967"/>
    <w:next w:val="1302"/>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303">
    <w:name w:val="xl183"/>
    <w:basedOn w:val="967"/>
    <w:next w:val="1303"/>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4">
    <w:name w:val="xl184"/>
    <w:basedOn w:val="967"/>
    <w:next w:val="1304"/>
    <w:link w:val="967"/>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 w:val="20"/>
      <w:szCs w:val="20"/>
    </w:rPr>
  </w:style>
  <w:style w:type="paragraph" w:styleId="1305">
    <w:name w:val="xl185"/>
    <w:basedOn w:val="967"/>
    <w:next w:val="1305"/>
    <w:link w:val="967"/>
    <w:pPr>
      <w:jc w:val="center"/>
      <w:spacing w:before="100" w:beforeAutospacing="1" w:after="100" w:afterAutospacing="1"/>
      <w:widowControl/>
      <w:pBdr>
        <w:left w:val="single" w:color="000000" w:sz="8" w:space="0"/>
        <w:right w:val="single" w:color="000000" w:sz="8" w:space="0"/>
      </w:pBdr>
    </w:pPr>
    <w:rPr>
      <w:rFonts w:ascii="宋体" w:hAnsi="宋体" w:cs="宋体"/>
      <w:sz w:val="20"/>
      <w:szCs w:val="20"/>
    </w:rPr>
  </w:style>
  <w:style w:type="paragraph" w:styleId="1306">
    <w:name w:val="xl186"/>
    <w:basedOn w:val="967"/>
    <w:next w:val="1306"/>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307">
    <w:name w:val="xl187"/>
    <w:basedOn w:val="967"/>
    <w:next w:val="1307"/>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308">
    <w:name w:val="xl188"/>
    <w:basedOn w:val="967"/>
    <w:next w:val="1308"/>
    <w:link w:val="967"/>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color w:val="000000"/>
      <w:sz w:val="20"/>
      <w:szCs w:val="20"/>
    </w:rPr>
  </w:style>
  <w:style w:type="paragraph" w:styleId="1309">
    <w:name w:val="xl189"/>
    <w:basedOn w:val="967"/>
    <w:next w:val="1309"/>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10">
    <w:name w:val="xl190"/>
    <w:basedOn w:val="967"/>
    <w:next w:val="1310"/>
    <w:link w:val="967"/>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11">
    <w:name w:val="xl191"/>
    <w:basedOn w:val="967"/>
    <w:next w:val="1311"/>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12">
    <w:name w:val="xl192"/>
    <w:basedOn w:val="967"/>
    <w:next w:val="1312"/>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313">
    <w:name w:val="xl193"/>
    <w:basedOn w:val="967"/>
    <w:next w:val="1313"/>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314">
    <w:name w:val="xl194"/>
    <w:basedOn w:val="967"/>
    <w:next w:val="1314"/>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315">
    <w:name w:val="xl195"/>
    <w:basedOn w:val="967"/>
    <w:next w:val="1315"/>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316">
    <w:name w:val="xl196"/>
    <w:basedOn w:val="967"/>
    <w:next w:val="1316"/>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7">
    <w:name w:val="xl197"/>
    <w:basedOn w:val="967"/>
    <w:next w:val="1317"/>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318">
    <w:name w:val="xl198"/>
    <w:basedOn w:val="967"/>
    <w:next w:val="1318"/>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9">
    <w:name w:val="xl199"/>
    <w:basedOn w:val="967"/>
    <w:next w:val="1319"/>
    <w:link w:val="967"/>
    <w:pPr>
      <w:jc w:val="center"/>
      <w:spacing w:before="100" w:beforeAutospacing="1" w:after="100" w:afterAutospacing="1"/>
      <w:widowControl/>
      <w:pBdr>
        <w:top w:val="single" w:color="000000" w:sz="4" w:space="0"/>
        <w:right w:val="single" w:color="000000" w:sz="4" w:space="0"/>
      </w:pBdr>
    </w:pPr>
    <w:rPr>
      <w:rFonts w:ascii="宋体" w:hAnsi="宋体" w:cs="宋体"/>
      <w:color w:val="000000"/>
      <w:sz w:val="20"/>
      <w:szCs w:val="20"/>
    </w:rPr>
  </w:style>
  <w:style w:type="paragraph" w:styleId="1320">
    <w:name w:val="xl200"/>
    <w:basedOn w:val="967"/>
    <w:next w:val="1320"/>
    <w:link w:val="967"/>
    <w:pPr>
      <w:jc w:val="center"/>
      <w:spacing w:before="100" w:beforeAutospacing="1" w:after="100" w:afterAutospacing="1"/>
      <w:widowControl/>
      <w:pBdr>
        <w:right w:val="single" w:color="000000" w:sz="4" w:space="0"/>
      </w:pBdr>
    </w:pPr>
    <w:rPr>
      <w:rFonts w:ascii="宋体" w:hAnsi="宋体" w:cs="宋体"/>
      <w:color w:val="000000"/>
      <w:sz w:val="20"/>
      <w:szCs w:val="20"/>
    </w:rPr>
  </w:style>
  <w:style w:type="paragraph" w:styleId="1321">
    <w:name w:val="xl201"/>
    <w:basedOn w:val="967"/>
    <w:next w:val="1321"/>
    <w:link w:val="967"/>
    <w:pPr>
      <w:jc w:val="center"/>
      <w:spacing w:before="100" w:beforeAutospacing="1" w:after="100" w:afterAutospacing="1"/>
      <w:widowControl/>
      <w:pBdr>
        <w:bottom w:val="single" w:color="000000" w:sz="4" w:space="0"/>
        <w:right w:val="single" w:color="000000" w:sz="4" w:space="0"/>
      </w:pBdr>
    </w:pPr>
    <w:rPr>
      <w:rFonts w:ascii="宋体" w:hAnsi="宋体" w:cs="宋体"/>
      <w:color w:val="000000"/>
      <w:sz w:val="20"/>
      <w:szCs w:val="20"/>
    </w:rPr>
  </w:style>
  <w:style w:type="paragraph" w:styleId="1322">
    <w:name w:val="xl202"/>
    <w:basedOn w:val="967"/>
    <w:next w:val="1322"/>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323">
    <w:name w:val="xl203"/>
    <w:basedOn w:val="967"/>
    <w:next w:val="1323"/>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4">
    <w:name w:val="xl204"/>
    <w:basedOn w:val="967"/>
    <w:next w:val="1324"/>
    <w:link w:val="967"/>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 w:val="20"/>
      <w:szCs w:val="20"/>
    </w:rPr>
  </w:style>
  <w:style w:type="paragraph" w:styleId="1325">
    <w:name w:val="xl205"/>
    <w:basedOn w:val="967"/>
    <w:next w:val="1325"/>
    <w:link w:val="967"/>
    <w:pPr>
      <w:jc w:val="center"/>
      <w:spacing w:before="100" w:beforeAutospacing="1" w:after="100" w:afterAutospacing="1"/>
      <w:widowControl/>
      <w:pBdr>
        <w:left w:val="single" w:color="000000" w:sz="8" w:space="0"/>
        <w:right w:val="single" w:color="000000" w:sz="8" w:space="0"/>
      </w:pBdr>
    </w:pPr>
    <w:rPr>
      <w:rFonts w:ascii="宋体" w:hAnsi="宋体" w:cs="宋体"/>
      <w:sz w:val="20"/>
      <w:szCs w:val="20"/>
    </w:rPr>
  </w:style>
  <w:style w:type="paragraph" w:styleId="1326">
    <w:name w:val="xl206"/>
    <w:basedOn w:val="967"/>
    <w:next w:val="1326"/>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327">
    <w:name w:val="xl207"/>
    <w:basedOn w:val="967"/>
    <w:next w:val="1327"/>
    <w:link w:val="967"/>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328">
    <w:name w:val="xl208"/>
    <w:basedOn w:val="967"/>
    <w:next w:val="1328"/>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329">
    <w:name w:val="xl209"/>
    <w:basedOn w:val="967"/>
    <w:next w:val="1329"/>
    <w:link w:val="96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330">
    <w:name w:val="xl210"/>
    <w:basedOn w:val="967"/>
    <w:next w:val="1330"/>
    <w:link w:val="967"/>
    <w:pPr>
      <w:jc w:val="left"/>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331">
    <w:name w:val="xl211"/>
    <w:basedOn w:val="967"/>
    <w:next w:val="1331"/>
    <w:link w:val="96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332">
    <w:name w:val="xl212"/>
    <w:basedOn w:val="967"/>
    <w:next w:val="1332"/>
    <w:link w:val="967"/>
    <w:pPr>
      <w:jc w:val="center"/>
      <w:spacing w:before="100" w:beforeAutospacing="1" w:after="100" w:afterAutospacing="1"/>
      <w:widowControl/>
      <w:pBdr>
        <w:top w:val="single" w:color="000000" w:sz="8" w:space="0"/>
        <w:left w:val="single" w:color="000000" w:sz="8" w:space="0"/>
      </w:pBdr>
    </w:pPr>
    <w:rPr>
      <w:rFonts w:ascii="宋体" w:hAnsi="宋体" w:cs="宋体"/>
      <w:color w:val="ff0000"/>
      <w:sz w:val="20"/>
      <w:szCs w:val="20"/>
    </w:rPr>
  </w:style>
  <w:style w:type="paragraph" w:styleId="1333">
    <w:name w:val="xl213"/>
    <w:basedOn w:val="967"/>
    <w:next w:val="1333"/>
    <w:link w:val="967"/>
    <w:pPr>
      <w:jc w:val="center"/>
      <w:spacing w:before="100" w:beforeAutospacing="1" w:after="100" w:afterAutospacing="1"/>
      <w:widowControl/>
      <w:pBdr>
        <w:left w:val="single" w:color="000000" w:sz="8" w:space="0"/>
      </w:pBdr>
    </w:pPr>
    <w:rPr>
      <w:rFonts w:ascii="宋体" w:hAnsi="宋体" w:cs="宋体"/>
      <w:color w:val="ff0000"/>
      <w:sz w:val="20"/>
      <w:szCs w:val="20"/>
    </w:rPr>
  </w:style>
  <w:style w:type="paragraph" w:styleId="1334">
    <w:name w:val="xl214"/>
    <w:basedOn w:val="967"/>
    <w:next w:val="1334"/>
    <w:link w:val="96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335">
    <w:name w:val="xl215"/>
    <w:basedOn w:val="967"/>
    <w:next w:val="1335"/>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6">
    <w:name w:val="xl216"/>
    <w:basedOn w:val="967"/>
    <w:next w:val="1336"/>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7">
    <w:name w:val="xl217"/>
    <w:basedOn w:val="967"/>
    <w:next w:val="1337"/>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8">
    <w:name w:val="xl218"/>
    <w:basedOn w:val="967"/>
    <w:next w:val="1338"/>
    <w:link w:val="967"/>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39">
    <w:name w:val="xl219"/>
    <w:basedOn w:val="967"/>
    <w:next w:val="1339"/>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40">
    <w:name w:val="xl220"/>
    <w:basedOn w:val="967"/>
    <w:next w:val="1340"/>
    <w:link w:val="9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41">
    <w:name w:val="段"/>
    <w:next w:val="967"/>
    <w:link w:val="967"/>
    <w:qFormat/>
    <w:pPr>
      <w:ind w:firstLine="200"/>
      <w:jc w:val="both"/>
    </w:pPr>
    <w:rPr>
      <w:rFonts w:ascii="宋体"/>
      <w:sz w:val="21"/>
      <w:lang w:val="en-US" w:eastAsia="zh-CN" w:bidi="ar-SA"/>
    </w:rPr>
  </w:style>
  <w:style w:type="paragraph" w:styleId="1342">
    <w:name w:val="Body text|1"/>
    <w:basedOn w:val="967"/>
    <w:next w:val="1342"/>
    <w:link w:val="967"/>
    <w:qFormat/>
    <w:pPr>
      <w:ind w:firstLine="400"/>
      <w:jc w:val="left"/>
      <w:spacing w:line="480" w:lineRule="auto"/>
    </w:pPr>
    <w:rPr>
      <w:rFonts w:ascii="宋体" w:hAnsi="宋体" w:cs="宋体"/>
      <w:sz w:val="20"/>
      <w:szCs w:val="20"/>
      <w:lang w:val="zh-TW" w:eastAsia="zh-TW" w:bidi="zh-TW"/>
    </w:rPr>
  </w:style>
  <w:style w:type="character" w:styleId="1343">
    <w:name w:val="font21"/>
    <w:next w:val="1343"/>
    <w:link w:val="967"/>
    <w:rPr>
      <w:rFonts w:hint="eastAsia" w:ascii="仿宋" w:hAnsi="仿宋" w:eastAsia="仿宋" w:cs="仿宋"/>
      <w:b/>
      <w:bCs/>
      <w:i w:val="0"/>
      <w:iCs w:val="0"/>
      <w:color w:val="000000"/>
      <w:sz w:val="20"/>
      <w:szCs w:val="20"/>
      <w:u w:val="none"/>
      <w:lang w:val="en-US" w:eastAsia="zh-CN" w:bidi="ar-SA"/>
    </w:rPr>
  </w:style>
  <w:style w:type="character" w:styleId="1344">
    <w:name w:val="font31"/>
    <w:next w:val="1344"/>
    <w:link w:val="967"/>
    <w:rPr>
      <w:rFonts w:hint="eastAsia" w:ascii="宋体" w:hAnsi="宋体" w:eastAsia="宋体" w:cs="宋体"/>
      <w:i w:val="0"/>
      <w:iCs w:val="0"/>
      <w:color w:val="000000"/>
      <w:sz w:val="20"/>
      <w:szCs w:val="20"/>
      <w:u w:val="none"/>
      <w:lang w:val="en-US" w:eastAsia="zh-CN" w:bidi="ar-SA"/>
    </w:rPr>
  </w:style>
  <w:style w:type="character" w:styleId="1345">
    <w:name w:val="font41"/>
    <w:next w:val="1345"/>
    <w:link w:val="967"/>
    <w:rPr>
      <w:rFonts w:hint="eastAsia" w:ascii="仿宋" w:hAnsi="仿宋" w:eastAsia="仿宋" w:cs="仿宋"/>
      <w:i w:val="0"/>
      <w:iCs w:val="0"/>
      <w:color w:val="000000"/>
      <w:sz w:val="20"/>
      <w:szCs w:val="20"/>
      <w:u w:val="none"/>
      <w:vertAlign w:val="superscript"/>
      <w:lang w:val="en-US" w:eastAsia="zh-CN" w:bidi="ar-SA"/>
    </w:rPr>
  </w:style>
  <w:style w:type="paragraph" w:styleId="1346">
    <w:name w:val="正文缩进112"/>
    <w:basedOn w:val="967"/>
    <w:next w:val="1346"/>
    <w:link w:val="967"/>
    <w:pPr>
      <w:ind w:firstLine="420"/>
      <w:jc w:val="left"/>
      <w:widowControl/>
    </w:pPr>
    <w:rPr>
      <w:sz w:val="24"/>
    </w:rPr>
  </w:style>
  <w:style w:type="character" w:styleId="1347">
    <w:name w:val="15"/>
    <w:next w:val="1347"/>
    <w:link w:val="967"/>
    <w:rPr>
      <w:rFonts w:ascii="Times New Roman" w:hAnsi="Times New Roman" w:cs="Times New Roman"/>
      <w:lang w:val="en-US" w:eastAsia="zh-CN" w:bidi="ar-SA"/>
    </w:rPr>
  </w:style>
  <w:style w:type="character" w:styleId="1348">
    <w:name w:val="font71"/>
    <w:next w:val="1348"/>
    <w:link w:val="967"/>
    <w:rPr>
      <w:rFonts w:hint="eastAsia" w:ascii="仿宋" w:hAnsi="仿宋" w:eastAsia="仿宋" w:cs="仿宋"/>
      <w:color w:val="000000"/>
      <w:sz w:val="20"/>
      <w:szCs w:val="20"/>
      <w:u w:val="none"/>
      <w:vertAlign w:val="superscript"/>
      <w:lang w:val="en-US" w:eastAsia="zh-CN" w:bidi="ar-SA"/>
    </w:rPr>
  </w:style>
  <w:style w:type="character" w:styleId="1349" w:default="1">
    <w:name w:val="Default Paragraph Font"/>
    <w:uiPriority w:val="1"/>
    <w:semiHidden/>
    <w:unhideWhenUsed/>
  </w:style>
  <w:style w:type="numbering" w:styleId="1350" w:default="1">
    <w:name w:val="No List"/>
    <w:uiPriority w:val="99"/>
    <w:semiHidden/>
    <w:unhideWhenUsed/>
  </w:style>
  <w:style w:type="table" w:styleId="13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皮卡皮卡皮卡丘</dc:creator>
  <cp:lastModifiedBy>王琴</cp:lastModifiedBy>
  <cp:revision>22</cp:revision>
  <dcterms:created xsi:type="dcterms:W3CDTF">2021-03-10T07:06:00Z</dcterms:created>
  <dcterms:modified xsi:type="dcterms:W3CDTF">2026-05-22T07:40:44Z</dcterms:modified>
  <cp:version>983040</cp:version>
</cp:coreProperties>
</file>