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DB9445">
      <w:pPr>
        <w:spacing w:line="1000" w:lineRule="exact"/>
        <w:jc w:val="center"/>
        <w:outlineLvl w:val="0"/>
        <w:rPr>
          <w:rFonts w:ascii="宋体" w:hAnsi="宋体" w:cs="宋体"/>
          <w:bCs/>
          <w:color w:val="auto"/>
          <w:spacing w:val="20"/>
          <w:sz w:val="44"/>
          <w:szCs w:val="44"/>
          <w:highlight w:val="none"/>
        </w:rPr>
      </w:pPr>
      <w:bookmarkStart w:id="183" w:name="_GoBack"/>
      <w:bookmarkEnd w:id="183"/>
      <w:r>
        <w:rPr>
          <w:rFonts w:hint="eastAsia" w:ascii="宋体" w:hAnsi="宋体" w:cs="宋体"/>
          <w:b/>
          <w:color w:val="auto"/>
          <w:spacing w:val="20"/>
          <w:sz w:val="44"/>
          <w:szCs w:val="44"/>
          <w:highlight w:val="none"/>
        </w:rPr>
        <w:t>南通市产品质量监督检验所中压电缆电气性能测试系统采购项目</w:t>
      </w:r>
    </w:p>
    <w:p w14:paraId="5666D43F">
      <w:pPr>
        <w:spacing w:line="1000" w:lineRule="exact"/>
        <w:jc w:val="center"/>
        <w:rPr>
          <w:rFonts w:ascii="宋体" w:hAnsi="宋体" w:cs="宋体"/>
          <w:bCs/>
          <w:color w:val="auto"/>
          <w:sz w:val="100"/>
          <w:szCs w:val="100"/>
          <w:highlight w:val="none"/>
        </w:rPr>
      </w:pPr>
    </w:p>
    <w:p w14:paraId="16F37FFD">
      <w:pPr>
        <w:spacing w:line="1000" w:lineRule="exact"/>
        <w:jc w:val="center"/>
        <w:outlineLvl w:val="0"/>
        <w:rPr>
          <w:rFonts w:ascii="宋体" w:hAnsi="宋体" w:cs="宋体"/>
          <w:bCs/>
          <w:color w:val="auto"/>
          <w:sz w:val="100"/>
          <w:szCs w:val="100"/>
          <w:highlight w:val="none"/>
        </w:rPr>
      </w:pPr>
      <w:bookmarkStart w:id="0" w:name="_Toc24819"/>
      <w:bookmarkStart w:id="1" w:name="_Toc5695"/>
    </w:p>
    <w:p w14:paraId="295AC267">
      <w:pPr>
        <w:spacing w:line="1000" w:lineRule="exact"/>
        <w:jc w:val="center"/>
        <w:outlineLvl w:val="0"/>
        <w:rPr>
          <w:rFonts w:ascii="宋体" w:hAnsi="宋体" w:cs="宋体"/>
          <w:bCs/>
          <w:color w:val="auto"/>
          <w:sz w:val="100"/>
          <w:szCs w:val="100"/>
          <w:highlight w:val="none"/>
        </w:rPr>
      </w:pPr>
    </w:p>
    <w:p w14:paraId="31F042D7">
      <w:pPr>
        <w:spacing w:line="1000" w:lineRule="exact"/>
        <w:jc w:val="center"/>
        <w:outlineLvl w:val="0"/>
        <w:rPr>
          <w:rFonts w:ascii="宋体" w:hAnsi="宋体" w:cs="宋体"/>
          <w:bCs/>
          <w:color w:val="auto"/>
          <w:sz w:val="100"/>
          <w:szCs w:val="100"/>
          <w:highlight w:val="none"/>
        </w:rPr>
      </w:pPr>
      <w:r>
        <w:rPr>
          <w:rFonts w:hint="eastAsia" w:ascii="宋体" w:hAnsi="宋体" w:cs="宋体"/>
          <w:bCs/>
          <w:color w:val="auto"/>
          <w:sz w:val="100"/>
          <w:szCs w:val="100"/>
          <w:highlight w:val="none"/>
        </w:rPr>
        <w:t>政府采购招标文件</w:t>
      </w:r>
      <w:bookmarkEnd w:id="0"/>
      <w:bookmarkEnd w:id="1"/>
    </w:p>
    <w:p w14:paraId="190F846A">
      <w:pPr>
        <w:spacing w:line="1000" w:lineRule="exact"/>
        <w:rPr>
          <w:rFonts w:ascii="宋体" w:hAnsi="宋体" w:cs="宋体"/>
          <w:b/>
          <w:bCs/>
          <w:color w:val="auto"/>
          <w:highlight w:val="none"/>
        </w:rPr>
      </w:pPr>
    </w:p>
    <w:p w14:paraId="69450240">
      <w:pPr>
        <w:spacing w:line="1000" w:lineRule="exact"/>
        <w:jc w:val="center"/>
        <w:rPr>
          <w:rFonts w:ascii="宋体" w:hAnsi="宋体" w:cs="宋体"/>
          <w:b/>
          <w:color w:val="auto"/>
          <w:sz w:val="36"/>
          <w:highlight w:val="none"/>
        </w:rPr>
      </w:pPr>
      <w:r>
        <w:rPr>
          <w:rFonts w:hint="eastAsia" w:ascii="宋体" w:hAnsi="宋体" w:cs="宋体"/>
          <w:bCs/>
          <w:color w:val="auto"/>
          <w:sz w:val="36"/>
          <w:szCs w:val="36"/>
          <w:highlight w:val="none"/>
        </w:rPr>
        <w:t>招标文件编号：JSZC-320600-NTSC-G2026-0001</w:t>
      </w:r>
    </w:p>
    <w:p w14:paraId="771F4020">
      <w:pPr>
        <w:spacing w:line="1000" w:lineRule="exact"/>
        <w:jc w:val="center"/>
        <w:rPr>
          <w:rFonts w:ascii="宋体" w:hAnsi="宋体" w:cs="宋体"/>
          <w:b/>
          <w:color w:val="auto"/>
          <w:sz w:val="36"/>
          <w:highlight w:val="none"/>
        </w:rPr>
      </w:pPr>
    </w:p>
    <w:p w14:paraId="209F75EB">
      <w:pPr>
        <w:spacing w:line="500" w:lineRule="exact"/>
        <w:jc w:val="center"/>
        <w:rPr>
          <w:rFonts w:ascii="宋体" w:hAnsi="宋体" w:cs="宋体"/>
          <w:b/>
          <w:color w:val="auto"/>
          <w:sz w:val="36"/>
          <w:highlight w:val="none"/>
        </w:rPr>
      </w:pPr>
    </w:p>
    <w:p w14:paraId="04A287C5">
      <w:pPr>
        <w:pStyle w:val="74"/>
        <w:rPr>
          <w:rFonts w:ascii="宋体" w:hAnsi="宋体" w:eastAsia="宋体" w:cs="宋体"/>
          <w:color w:val="auto"/>
          <w:sz w:val="32"/>
          <w:highlight w:val="none"/>
        </w:rPr>
      </w:pPr>
    </w:p>
    <w:p w14:paraId="6126FC83">
      <w:pPr>
        <w:pStyle w:val="74"/>
        <w:rPr>
          <w:rFonts w:ascii="宋体" w:hAnsi="宋体" w:eastAsia="宋体" w:cs="宋体"/>
          <w:color w:val="auto"/>
          <w:sz w:val="32"/>
          <w:highlight w:val="none"/>
        </w:rPr>
      </w:pPr>
    </w:p>
    <w:p w14:paraId="57BD8538">
      <w:pPr>
        <w:pStyle w:val="74"/>
        <w:rPr>
          <w:rFonts w:ascii="宋体" w:hAnsi="宋体" w:eastAsia="宋体" w:cs="宋体"/>
          <w:color w:val="auto"/>
          <w:sz w:val="32"/>
          <w:highlight w:val="none"/>
        </w:rPr>
      </w:pPr>
    </w:p>
    <w:p w14:paraId="5C8B6EF9">
      <w:pPr>
        <w:pStyle w:val="74"/>
        <w:rPr>
          <w:rFonts w:ascii="宋体" w:hAnsi="宋体" w:eastAsia="宋体" w:cs="宋体"/>
          <w:color w:val="auto"/>
          <w:sz w:val="32"/>
          <w:highlight w:val="none"/>
        </w:rPr>
      </w:pPr>
    </w:p>
    <w:p w14:paraId="0F177240">
      <w:pPr>
        <w:pStyle w:val="74"/>
        <w:rPr>
          <w:rFonts w:ascii="宋体" w:hAnsi="宋体" w:eastAsia="宋体" w:cs="宋体"/>
          <w:color w:val="auto"/>
          <w:sz w:val="32"/>
          <w:highlight w:val="none"/>
        </w:rPr>
      </w:pPr>
    </w:p>
    <w:p w14:paraId="5F0DBA79">
      <w:pPr>
        <w:pStyle w:val="74"/>
        <w:rPr>
          <w:rFonts w:ascii="宋体" w:hAnsi="宋体" w:eastAsia="宋体" w:cs="宋体"/>
          <w:color w:val="auto"/>
          <w:sz w:val="32"/>
          <w:highlight w:val="none"/>
        </w:rPr>
      </w:pPr>
    </w:p>
    <w:p w14:paraId="486BD547">
      <w:pPr>
        <w:pStyle w:val="74"/>
        <w:rPr>
          <w:rFonts w:ascii="宋体" w:hAnsi="宋体" w:eastAsia="宋体" w:cs="宋体"/>
          <w:color w:val="auto"/>
          <w:sz w:val="32"/>
          <w:highlight w:val="none"/>
        </w:rPr>
      </w:pPr>
    </w:p>
    <w:p w14:paraId="2EA0BFD6">
      <w:pPr>
        <w:adjustRightInd w:val="0"/>
        <w:spacing w:before="120" w:after="120" w:line="460" w:lineRule="exact"/>
        <w:ind w:left="-2" w:right="120"/>
        <w:jc w:val="center"/>
        <w:textAlignment w:val="baseline"/>
        <w:outlineLvl w:val="0"/>
        <w:rPr>
          <w:rFonts w:ascii="宋体" w:hAnsi="宋体" w:cs="宋体"/>
          <w:b/>
          <w:bCs/>
          <w:color w:val="auto"/>
          <w:sz w:val="32"/>
          <w:szCs w:val="32"/>
          <w:highlight w:val="none"/>
        </w:rPr>
      </w:pPr>
      <w:r>
        <w:rPr>
          <w:rFonts w:hint="eastAsia" w:ascii="宋体" w:hAnsi="宋体" w:cs="宋体"/>
          <w:b/>
          <w:bCs/>
          <w:color w:val="auto"/>
          <w:sz w:val="32"/>
          <w:szCs w:val="32"/>
          <w:highlight w:val="none"/>
        </w:rPr>
        <w:t>南通市产品质量监督检验所</w:t>
      </w:r>
    </w:p>
    <w:p w14:paraId="78BC2715">
      <w:pPr>
        <w:adjustRightInd w:val="0"/>
        <w:spacing w:before="120" w:after="120" w:line="460" w:lineRule="exact"/>
        <w:ind w:left="-2" w:right="120"/>
        <w:jc w:val="center"/>
        <w:textAlignment w:val="baseline"/>
        <w:rPr>
          <w:rFonts w:ascii="宋体" w:hAnsi="宋体" w:cs="宋体"/>
          <w:b/>
          <w:bCs/>
          <w:color w:val="auto"/>
          <w:kern w:val="0"/>
          <w:sz w:val="32"/>
          <w:szCs w:val="32"/>
          <w:highlight w:val="none"/>
        </w:rPr>
      </w:pPr>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rPr>
        <w:t>月</w:t>
      </w:r>
    </w:p>
    <w:p w14:paraId="34108E56">
      <w:pPr>
        <w:adjustRightInd w:val="0"/>
        <w:snapToGrid w:val="0"/>
        <w:spacing w:line="1000" w:lineRule="exact"/>
        <w:jc w:val="center"/>
        <w:rPr>
          <w:rFonts w:ascii="宋体" w:hAnsi="宋体" w:cs="宋体"/>
          <w:color w:val="auto"/>
          <w:sz w:val="56"/>
          <w:szCs w:val="56"/>
          <w:highlight w:val="none"/>
        </w:rPr>
      </w:pPr>
      <w:r>
        <w:rPr>
          <w:rFonts w:hint="eastAsia" w:ascii="宋体" w:hAnsi="宋体" w:cs="宋体"/>
          <w:color w:val="auto"/>
          <w:sz w:val="44"/>
          <w:szCs w:val="44"/>
          <w:highlight w:val="none"/>
        </w:rPr>
        <w:br w:type="page"/>
      </w:r>
    </w:p>
    <w:p w14:paraId="4C13678C">
      <w:pPr>
        <w:jc w:val="center"/>
        <w:rPr>
          <w:rFonts w:ascii="宋体" w:hAnsi="宋体" w:cs="宋体"/>
          <w:color w:val="auto"/>
          <w:sz w:val="36"/>
          <w:szCs w:val="44"/>
          <w:highlight w:val="none"/>
        </w:rPr>
      </w:pPr>
      <w:r>
        <w:rPr>
          <w:rFonts w:hint="eastAsia" w:ascii="宋体" w:hAnsi="宋体" w:cs="宋体"/>
          <w:color w:val="auto"/>
          <w:sz w:val="36"/>
          <w:szCs w:val="44"/>
          <w:highlight w:val="none"/>
        </w:rPr>
        <w:t>目录</w:t>
      </w:r>
    </w:p>
    <w:p w14:paraId="498E5B67">
      <w:pPr>
        <w:pStyle w:val="28"/>
        <w:tabs>
          <w:tab w:val="right" w:leader="dot" w:pos="8307"/>
        </w:tabs>
        <w:spacing w:line="720" w:lineRule="auto"/>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p>
    <w:p w14:paraId="24C0329A">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3BDC8230">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0E5435F9">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0BEC4DAF">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45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6563CA6C">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3</w:t>
      </w:r>
    </w:p>
    <w:p w14:paraId="59B40780">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7</w:t>
      </w:r>
    </w:p>
    <w:p w14:paraId="4A31FD8D">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p>
    <w:p w14:paraId="28E12254">
      <w:pPr>
        <w:pStyle w:val="17"/>
        <w:rPr>
          <w:rFonts w:ascii="宋体" w:hAnsi="宋体" w:eastAsia="宋体" w:cs="宋体"/>
          <w:color w:val="auto"/>
          <w:highlight w:val="none"/>
        </w:rPr>
      </w:pPr>
    </w:p>
    <w:p w14:paraId="7EB6267B">
      <w:pPr>
        <w:spacing w:line="500" w:lineRule="exact"/>
        <w:rPr>
          <w:rFonts w:ascii="宋体" w:hAnsi="宋体" w:cs="宋体"/>
          <w:b/>
          <w:color w:val="auto"/>
          <w:sz w:val="32"/>
          <w:szCs w:val="32"/>
          <w:highlight w:val="none"/>
        </w:rPr>
      </w:pPr>
    </w:p>
    <w:p w14:paraId="37510ABC">
      <w:pPr>
        <w:tabs>
          <w:tab w:val="left" w:pos="7740"/>
        </w:tabs>
        <w:spacing w:line="500" w:lineRule="exact"/>
        <w:rPr>
          <w:rFonts w:ascii="宋体" w:hAnsi="宋体" w:cs="宋体"/>
          <w:b/>
          <w:color w:val="auto"/>
          <w:spacing w:val="2"/>
          <w:sz w:val="32"/>
          <w:szCs w:val="32"/>
          <w:highlight w:val="none"/>
        </w:rPr>
      </w:pPr>
    </w:p>
    <w:p w14:paraId="5E3D3203">
      <w:pPr>
        <w:tabs>
          <w:tab w:val="left" w:pos="7740"/>
        </w:tabs>
        <w:spacing w:line="500" w:lineRule="exact"/>
        <w:rPr>
          <w:rFonts w:ascii="宋体" w:hAnsi="宋体" w:cs="宋体"/>
          <w:b/>
          <w:color w:val="auto"/>
          <w:spacing w:val="2"/>
          <w:sz w:val="32"/>
          <w:szCs w:val="32"/>
          <w:highlight w:val="none"/>
        </w:rPr>
      </w:pPr>
    </w:p>
    <w:p w14:paraId="51E24FD4">
      <w:pPr>
        <w:tabs>
          <w:tab w:val="left" w:pos="7740"/>
        </w:tabs>
        <w:spacing w:line="500" w:lineRule="exact"/>
        <w:rPr>
          <w:rFonts w:ascii="宋体" w:hAnsi="宋体" w:cs="宋体"/>
          <w:b/>
          <w:bCs/>
          <w:color w:val="auto"/>
          <w:sz w:val="32"/>
          <w:szCs w:val="32"/>
          <w:highlight w:val="none"/>
        </w:rPr>
      </w:pPr>
    </w:p>
    <w:p w14:paraId="723FB052">
      <w:pPr>
        <w:spacing w:line="500" w:lineRule="exact"/>
        <w:rPr>
          <w:rFonts w:ascii="宋体" w:hAnsi="宋体" w:cs="宋体"/>
          <w:b/>
          <w:color w:val="auto"/>
          <w:sz w:val="44"/>
          <w:szCs w:val="44"/>
          <w:highlight w:val="none"/>
        </w:rPr>
      </w:pPr>
    </w:p>
    <w:p w14:paraId="3BA4EBC7">
      <w:pPr>
        <w:adjustRightInd w:val="0"/>
        <w:snapToGrid w:val="0"/>
        <w:spacing w:line="500" w:lineRule="exact"/>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2" w:name="_Toc29789"/>
      <w:bookmarkStart w:id="3" w:name="_Toc21799"/>
      <w:r>
        <w:rPr>
          <w:rFonts w:hint="eastAsia" w:ascii="宋体" w:hAnsi="宋体" w:cs="宋体"/>
          <w:bCs/>
          <w:color w:val="auto"/>
          <w:sz w:val="36"/>
          <w:szCs w:val="36"/>
          <w:highlight w:val="none"/>
        </w:rPr>
        <w:t xml:space="preserve">第一部分  </w:t>
      </w:r>
      <w:bookmarkStart w:id="4" w:name="OLE_LINK7"/>
      <w:bookmarkStart w:id="5" w:name="OLE_LINK5"/>
      <w:r>
        <w:rPr>
          <w:rFonts w:hint="eastAsia" w:ascii="宋体" w:hAnsi="宋体" w:cs="宋体"/>
          <w:bCs/>
          <w:color w:val="auto"/>
          <w:sz w:val="36"/>
          <w:szCs w:val="36"/>
          <w:highlight w:val="none"/>
        </w:rPr>
        <w:t>投标邀请</w:t>
      </w:r>
      <w:bookmarkEnd w:id="2"/>
      <w:bookmarkEnd w:id="3"/>
    </w:p>
    <w:p w14:paraId="54CE9EE4">
      <w:pPr>
        <w:wordWrap w:val="0"/>
        <w:adjustRightInd w:val="0"/>
        <w:snapToGrid w:val="0"/>
        <w:spacing w:line="440" w:lineRule="exact"/>
        <w:ind w:firstLine="560" w:firstLineChars="200"/>
        <w:rPr>
          <w:rFonts w:ascii="宋体" w:hAnsi="宋体" w:cs="宋体"/>
          <w:color w:val="auto"/>
          <w:sz w:val="28"/>
          <w:szCs w:val="28"/>
          <w:highlight w:val="none"/>
        </w:rPr>
      </w:pPr>
      <w:bookmarkStart w:id="6" w:name="OLE_LINK6"/>
      <w:r>
        <w:rPr>
          <w:rFonts w:hint="eastAsia" w:ascii="宋体" w:hAnsi="宋体" w:cs="宋体"/>
          <w:color w:val="auto"/>
          <w:sz w:val="28"/>
          <w:szCs w:val="28"/>
          <w:highlight w:val="none"/>
        </w:rPr>
        <w:t>受[南通市产品质量监督检验所]的委托，南通苏采招投标咨询服务有限公司就[南通市产品质量监督检验所</w:t>
      </w:r>
      <w:r>
        <w:rPr>
          <w:rFonts w:hint="eastAsia" w:ascii="宋体" w:hAnsi="宋体" w:cs="宋体"/>
          <w:color w:val="auto"/>
          <w:sz w:val="28"/>
          <w:szCs w:val="28"/>
          <w:highlight w:val="none"/>
          <w:lang w:eastAsia="zh-CN"/>
        </w:rPr>
        <w:t>中压电缆电气性能测试系统采购项目</w:t>
      </w:r>
      <w:r>
        <w:rPr>
          <w:rFonts w:hint="eastAsia" w:ascii="宋体" w:hAnsi="宋体" w:cs="宋体"/>
          <w:color w:val="auto"/>
          <w:sz w:val="28"/>
          <w:szCs w:val="28"/>
          <w:highlight w:val="none"/>
        </w:rPr>
        <w:t>](项目编号:JSZC-320600-NTSC-G2026-0001 )进行公开招标采购，欢迎符合条件的投标人投标。</w:t>
      </w:r>
    </w:p>
    <w:p w14:paraId="55B7076F">
      <w:pPr>
        <w:pBdr>
          <w:top w:val="single" w:color="auto" w:sz="4" w:space="1"/>
          <w:left w:val="single" w:color="auto" w:sz="4" w:space="4"/>
          <w:bottom w:val="single" w:color="auto" w:sz="4" w:space="1"/>
          <w:right w:val="single" w:color="auto" w:sz="4" w:space="4"/>
        </w:pBd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0D4ECEA">
      <w:pPr>
        <w:pBdr>
          <w:top w:val="single" w:color="auto" w:sz="4" w:space="1"/>
          <w:left w:val="single" w:color="auto" w:sz="4" w:space="4"/>
          <w:bottom w:val="single" w:color="auto" w:sz="4" w:space="1"/>
          <w:right w:val="single" w:color="auto" w:sz="4" w:space="4"/>
        </w:pBd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 (南通市产品质量监督检验所</w:t>
      </w:r>
      <w:r>
        <w:rPr>
          <w:rFonts w:hint="eastAsia" w:ascii="宋体" w:hAnsi="宋体" w:cs="宋体"/>
          <w:color w:val="auto"/>
          <w:sz w:val="28"/>
          <w:szCs w:val="28"/>
          <w:highlight w:val="none"/>
          <w:lang w:eastAsia="zh-CN"/>
        </w:rPr>
        <w:t>中压电缆电气性能测试系统</w:t>
      </w:r>
      <w:r>
        <w:rPr>
          <w:rFonts w:hint="eastAsia" w:ascii="宋体" w:hAnsi="宋体" w:cs="宋体"/>
          <w:color w:val="auto"/>
          <w:sz w:val="28"/>
          <w:szCs w:val="28"/>
          <w:highlight w:val="none"/>
        </w:rPr>
        <w:t>）招标项目的潜在投标人应在（苏采云系统内免费）获取招标文件，并于202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30</w:t>
      </w:r>
      <w:r>
        <w:rPr>
          <w:rFonts w:hint="eastAsia" w:ascii="宋体" w:hAnsi="宋体" w:cs="宋体"/>
          <w:color w:val="auto"/>
          <w:sz w:val="28"/>
          <w:szCs w:val="28"/>
          <w:highlight w:val="none"/>
        </w:rPr>
        <w:t>分（北京时间）前递交投标文件。</w:t>
      </w:r>
    </w:p>
    <w:p w14:paraId="2DE7E67F">
      <w:pPr>
        <w:adjustRightInd w:val="0"/>
        <w:snapToGrid w:val="0"/>
        <w:spacing w:line="440" w:lineRule="exact"/>
        <w:ind w:firstLine="562" w:firstLineChars="200"/>
        <w:outlineLvl w:val="1"/>
        <w:rPr>
          <w:rFonts w:ascii="宋体" w:hAnsi="宋体" w:cs="宋体"/>
          <w:b/>
          <w:color w:val="auto"/>
          <w:sz w:val="28"/>
          <w:szCs w:val="28"/>
          <w:highlight w:val="none"/>
        </w:rPr>
      </w:pPr>
      <w:bookmarkStart w:id="7" w:name="_Toc20404"/>
      <w:r>
        <w:rPr>
          <w:rFonts w:hint="eastAsia" w:ascii="宋体" w:hAnsi="宋体" w:cs="宋体"/>
          <w:b/>
          <w:color w:val="auto"/>
          <w:sz w:val="28"/>
          <w:szCs w:val="28"/>
          <w:highlight w:val="none"/>
        </w:rPr>
        <w:t>一、项目基本情况</w:t>
      </w:r>
      <w:bookmarkEnd w:id="7"/>
    </w:p>
    <w:p w14:paraId="191D9C93">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1.项目编号：JSZC-320600-NTSC-G2026-0001</w:t>
      </w:r>
    </w:p>
    <w:p w14:paraId="64E309FA">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2.项目名称：南通市产品质量监督检验所</w:t>
      </w:r>
      <w:r>
        <w:rPr>
          <w:rFonts w:hint="eastAsia" w:ascii="宋体" w:hAnsi="宋体" w:cs="宋体"/>
          <w:color w:val="auto"/>
          <w:sz w:val="28"/>
          <w:szCs w:val="28"/>
          <w:highlight w:val="none"/>
          <w:lang w:eastAsia="zh-CN"/>
        </w:rPr>
        <w:t>中压电缆电气性能测试系统采购项目</w:t>
      </w:r>
      <w:r>
        <w:rPr>
          <w:rFonts w:hint="eastAsia" w:ascii="宋体" w:hAnsi="宋体" w:cs="宋体"/>
          <w:color w:val="auto"/>
          <w:sz w:val="28"/>
          <w:szCs w:val="28"/>
          <w:highlight w:val="none"/>
        </w:rPr>
        <w:t>。</w:t>
      </w:r>
    </w:p>
    <w:p w14:paraId="2F942991">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3.预算金额：</w:t>
      </w:r>
      <w:r>
        <w:rPr>
          <w:rFonts w:hint="eastAsia" w:ascii="宋体" w:hAnsi="宋体" w:cs="宋体"/>
          <w:color w:val="auto"/>
          <w:sz w:val="28"/>
          <w:szCs w:val="28"/>
          <w:highlight w:val="none"/>
          <w:lang w:val="en-US" w:eastAsia="zh-CN"/>
        </w:rPr>
        <w:t>105</w:t>
      </w:r>
      <w:r>
        <w:rPr>
          <w:rFonts w:hint="eastAsia" w:ascii="宋体" w:hAnsi="宋体" w:cs="宋体"/>
          <w:color w:val="auto"/>
          <w:sz w:val="28"/>
          <w:szCs w:val="28"/>
          <w:highlight w:val="none"/>
        </w:rPr>
        <w:t>万元。</w:t>
      </w:r>
    </w:p>
    <w:p w14:paraId="1C1EFE1B">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4.最高限价：</w:t>
      </w:r>
      <w:r>
        <w:rPr>
          <w:rFonts w:hint="eastAsia" w:ascii="宋体" w:hAnsi="宋体" w:cs="宋体"/>
          <w:color w:val="auto"/>
          <w:sz w:val="28"/>
          <w:szCs w:val="28"/>
          <w:highlight w:val="none"/>
          <w:lang w:val="en-US" w:eastAsia="zh-CN"/>
        </w:rPr>
        <w:t>105</w:t>
      </w:r>
      <w:r>
        <w:rPr>
          <w:rFonts w:hint="eastAsia" w:ascii="宋体" w:hAnsi="宋体" w:cs="宋体"/>
          <w:color w:val="auto"/>
          <w:sz w:val="28"/>
          <w:szCs w:val="28"/>
          <w:highlight w:val="none"/>
        </w:rPr>
        <w:t>万元，投标报价高于最高限价的作无效标处理。</w:t>
      </w:r>
    </w:p>
    <w:p w14:paraId="6823C6A6">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5.采购需求：详见招标文件，请仔细研究。</w:t>
      </w:r>
    </w:p>
    <w:p w14:paraId="47E7E900">
      <w:pPr>
        <w:tabs>
          <w:tab w:val="left" w:pos="42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6.合同履行期限：自合同</w:t>
      </w:r>
      <w:r>
        <w:rPr>
          <w:rFonts w:hint="eastAsia" w:ascii="宋体" w:hAnsi="宋体" w:cs="宋体"/>
          <w:color w:val="auto"/>
          <w:sz w:val="28"/>
          <w:szCs w:val="28"/>
          <w:highlight w:val="none"/>
          <w:lang w:eastAsia="zh-CN"/>
        </w:rPr>
        <w:t>签订</w:t>
      </w:r>
      <w:r>
        <w:rPr>
          <w:rFonts w:hint="eastAsia" w:ascii="宋体" w:hAnsi="宋体" w:cs="宋体"/>
          <w:color w:val="auto"/>
          <w:sz w:val="28"/>
          <w:szCs w:val="28"/>
          <w:highlight w:val="none"/>
        </w:rPr>
        <w:t>之日起60工作日内完成供货安装及调试。</w:t>
      </w:r>
    </w:p>
    <w:p w14:paraId="3D2745AF">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7.本项目是否接受联合体投标：否。</w:t>
      </w:r>
    </w:p>
    <w:p w14:paraId="717F7EC5">
      <w:pPr>
        <w:adjustRightInd w:val="0"/>
        <w:snapToGrid w:val="0"/>
        <w:spacing w:line="440" w:lineRule="exact"/>
        <w:ind w:firstLine="562" w:firstLineChars="200"/>
        <w:outlineLvl w:val="1"/>
        <w:rPr>
          <w:rFonts w:ascii="宋体" w:hAnsi="宋体" w:cs="宋体"/>
          <w:b/>
          <w:color w:val="auto"/>
          <w:sz w:val="28"/>
          <w:szCs w:val="28"/>
          <w:highlight w:val="none"/>
        </w:rPr>
      </w:pPr>
      <w:bookmarkStart w:id="8" w:name="_Toc7742"/>
      <w:r>
        <w:rPr>
          <w:rFonts w:hint="eastAsia" w:ascii="宋体" w:hAnsi="宋体" w:cs="宋体"/>
          <w:b/>
          <w:color w:val="auto"/>
          <w:sz w:val="28"/>
          <w:szCs w:val="28"/>
          <w:highlight w:val="none"/>
        </w:rPr>
        <w:t>二、申请人的资格要求：</w:t>
      </w:r>
      <w:bookmarkEnd w:id="8"/>
    </w:p>
    <w:p w14:paraId="47CC4A3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1.满足《中华人民共和国政府采购法》第二十二条规定；</w:t>
      </w:r>
    </w:p>
    <w:p w14:paraId="6F92A21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2.本项目的特定资格要求：无；</w:t>
      </w:r>
    </w:p>
    <w:p w14:paraId="60185C7D">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3.落实政府采购政策需满足的资格要求：</w:t>
      </w:r>
      <w:r>
        <w:rPr>
          <w:rFonts w:hint="eastAsia" w:ascii="宋体" w:hAnsi="宋体" w:cs="宋体"/>
          <w:color w:val="auto"/>
          <w:sz w:val="28"/>
          <w:szCs w:val="28"/>
          <w:highlight w:val="none"/>
          <w:u w:val="single"/>
        </w:rPr>
        <w:t>本项目属于专门面向中小企业采购的项目,供应商应为中小微企业、监狱企业或残疾人福利性单位，并按照采购文件要求提供《中小企业声明函》或《残疾人福利性单位声明函》或监狱和戒毒企业证明材料。</w:t>
      </w:r>
    </w:p>
    <w:p w14:paraId="65D0715F">
      <w:pPr>
        <w:adjustRightInd w:val="0"/>
        <w:snapToGrid w:val="0"/>
        <w:spacing w:line="440" w:lineRule="exact"/>
        <w:ind w:firstLine="560" w:firstLineChars="200"/>
        <w:outlineLvl w:val="1"/>
        <w:rPr>
          <w:rFonts w:ascii="宋体" w:hAnsi="宋体" w:cs="宋体"/>
          <w:color w:val="auto"/>
          <w:sz w:val="28"/>
          <w:szCs w:val="28"/>
          <w:highlight w:val="none"/>
        </w:rPr>
      </w:pPr>
      <w:bookmarkStart w:id="9" w:name="_Toc13052"/>
      <w:r>
        <w:rPr>
          <w:rFonts w:hint="eastAsia" w:ascii="宋体" w:hAnsi="宋体" w:cs="宋体"/>
          <w:color w:val="auto"/>
          <w:sz w:val="28"/>
          <w:szCs w:val="28"/>
          <w:highlight w:val="none"/>
        </w:rPr>
        <w:t>三、获取招标文件</w:t>
      </w:r>
      <w:bookmarkEnd w:id="9"/>
    </w:p>
    <w:p w14:paraId="463D9B8C">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1.时间：自招标文件公告发布之日起5个工作日。</w:t>
      </w:r>
    </w:p>
    <w:p w14:paraId="010F7FA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2.地点：网上注册登记成功后系统内免费下载。</w:t>
      </w:r>
    </w:p>
    <w:p w14:paraId="1550928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3.获取方式：本项目采用网上注册登记方式。</w:t>
      </w:r>
    </w:p>
    <w:p w14:paraId="16E35C56">
      <w:pPr>
        <w:adjustRightInd w:val="0"/>
        <w:snapToGrid w:val="0"/>
        <w:spacing w:line="460" w:lineRule="exact"/>
        <w:ind w:firstLine="560" w:firstLineChars="200"/>
        <w:outlineLvl w:val="2"/>
        <w:rPr>
          <w:rFonts w:ascii="宋体" w:hAnsi="宋体" w:cs="宋体"/>
          <w:color w:val="auto"/>
          <w:sz w:val="28"/>
          <w:szCs w:val="28"/>
          <w:highlight w:val="none"/>
        </w:rPr>
      </w:pPr>
      <w:bookmarkStart w:id="10" w:name="_Toc740"/>
      <w:r>
        <w:rPr>
          <w:rFonts w:hint="eastAsia" w:ascii="宋体" w:hAnsi="宋体" w:cs="宋体"/>
          <w:color w:val="auto"/>
          <w:sz w:val="28"/>
          <w:szCs w:val="28"/>
          <w:highlight w:val="none"/>
        </w:rPr>
        <w:t>3.1潜在投标人访问电子招标响应交易平台的网络地址和方法：</w:t>
      </w:r>
      <w:bookmarkEnd w:id="10"/>
    </w:p>
    <w:p w14:paraId="5D51821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413B9D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3.2潜在投标人访问“苏采云”系统的网络地址和方法：“苏采云”系统的网址：http://jszfcg.jsczt.cn/。</w:t>
      </w:r>
    </w:p>
    <w:p w14:paraId="155EA91D">
      <w:pPr>
        <w:adjustRightInd w:val="0"/>
        <w:snapToGrid w:val="0"/>
        <w:spacing w:line="460" w:lineRule="exact"/>
        <w:ind w:firstLine="560" w:firstLineChars="200"/>
        <w:outlineLvl w:val="2"/>
        <w:rPr>
          <w:rFonts w:ascii="宋体" w:hAnsi="宋体" w:cs="宋体"/>
          <w:color w:val="auto"/>
          <w:sz w:val="28"/>
          <w:szCs w:val="28"/>
          <w:highlight w:val="none"/>
        </w:rPr>
      </w:pPr>
      <w:bookmarkStart w:id="11" w:name="_Toc31543"/>
      <w:r>
        <w:rPr>
          <w:rFonts w:hint="eastAsia" w:ascii="宋体" w:hAnsi="宋体" w:cs="宋体"/>
          <w:color w:val="auto"/>
          <w:sz w:val="28"/>
          <w:szCs w:val="28"/>
          <w:highlight w:val="none"/>
        </w:rPr>
        <w:t>3.3“CA数字证书”的获取：</w:t>
      </w:r>
      <w:bookmarkEnd w:id="11"/>
    </w:p>
    <w:p w14:paraId="2792FDF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响应投标人需办理“CA 数字证书”，CA办理指南及“苏采云”操作手册可至江苏省政府采购网―办事指南-资料下载中心下载。</w:t>
      </w:r>
    </w:p>
    <w:p w14:paraId="3F40D48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通过苏采云系统首页（http://jszfcg.jscz.gov.cn/）的“苏采云控件驱动下载”，选择“政务CA、方正签章控件驱动安装包及安装说明”下载安装，具体安装方法详见下载文件内的《安装说明》。</w:t>
      </w:r>
    </w:p>
    <w:p w14:paraId="1B1C270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3.4招标文件（后缀名为“.kedt”）、供应商操作手册及政府采购客户端工具可通过“苏采云”系统--已报名项目--报名详情页面内相应链接进行下载。</w:t>
      </w:r>
    </w:p>
    <w:p w14:paraId="0D3C12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3.5招标人或采购代理机构将数据电文形式的招标文件加载至“苏采云”系统，供潜在投标人下载或者查阅。</w:t>
      </w:r>
    </w:p>
    <w:p w14:paraId="08AA524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3.6请潜在投标人提前安装相应的控件（详见《江苏省政府采购管理交易系统（苏采云）供应商操作手册》）并使用谷歌浏览器登录“苏采云”系统参与不见面开评标。</w:t>
      </w:r>
    </w:p>
    <w:p w14:paraId="3B68653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03ECF51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注：如潜在投标人未按上述要求操作，将自行承担所产生的风险。</w:t>
      </w:r>
    </w:p>
    <w:p w14:paraId="2DC50441">
      <w:pPr>
        <w:adjustRightInd w:val="0"/>
        <w:snapToGrid w:val="0"/>
        <w:spacing w:line="440" w:lineRule="exact"/>
        <w:ind w:firstLine="562" w:firstLineChars="200"/>
        <w:outlineLvl w:val="1"/>
        <w:rPr>
          <w:rFonts w:ascii="宋体" w:hAnsi="宋体" w:cs="宋体"/>
          <w:b/>
          <w:color w:val="auto"/>
          <w:sz w:val="28"/>
          <w:szCs w:val="28"/>
          <w:highlight w:val="none"/>
        </w:rPr>
      </w:pPr>
      <w:bookmarkStart w:id="12" w:name="_Toc25294"/>
      <w:r>
        <w:rPr>
          <w:rFonts w:hint="eastAsia" w:ascii="宋体" w:hAnsi="宋体" w:cs="宋体"/>
          <w:b/>
          <w:color w:val="auto"/>
          <w:sz w:val="28"/>
          <w:szCs w:val="28"/>
          <w:highlight w:val="none"/>
        </w:rPr>
        <w:t>四、提交投标文件截止时间、开标时间和地点</w:t>
      </w:r>
      <w:bookmarkEnd w:id="12"/>
    </w:p>
    <w:p w14:paraId="00926DE5">
      <w:pPr>
        <w:spacing w:line="460" w:lineRule="exact"/>
        <w:ind w:firstLine="420"/>
        <w:rPr>
          <w:rStyle w:val="134"/>
          <w:rFonts w:ascii="宋体" w:hAnsi="宋体" w:cs="宋体"/>
          <w:color w:val="auto"/>
          <w:sz w:val="28"/>
          <w:szCs w:val="28"/>
          <w:highlight w:val="none"/>
        </w:rPr>
      </w:pPr>
      <w:r>
        <w:rPr>
          <w:rStyle w:val="134"/>
          <w:rFonts w:hint="eastAsia" w:ascii="宋体" w:hAnsi="宋体" w:cs="宋体"/>
          <w:color w:val="auto"/>
          <w:sz w:val="28"/>
          <w:szCs w:val="28"/>
          <w:highlight w:val="none"/>
        </w:rPr>
        <w:t>1.投标文件接收截止及开标时间：</w:t>
      </w:r>
      <w:r>
        <w:rPr>
          <w:rStyle w:val="134"/>
          <w:rFonts w:hint="eastAsia" w:ascii="宋体" w:hAnsi="宋体" w:cs="宋体"/>
          <w:b/>
          <w:bCs/>
          <w:color w:val="auto"/>
          <w:sz w:val="28"/>
          <w:szCs w:val="28"/>
          <w:highlight w:val="none"/>
        </w:rPr>
        <w:t>202</w:t>
      </w:r>
      <w:r>
        <w:rPr>
          <w:rStyle w:val="134"/>
          <w:rFonts w:hint="eastAsia" w:ascii="宋体" w:hAnsi="宋体" w:cs="宋体"/>
          <w:b/>
          <w:bCs/>
          <w:color w:val="auto"/>
          <w:sz w:val="28"/>
          <w:szCs w:val="28"/>
          <w:highlight w:val="none"/>
          <w:lang w:val="en-US" w:eastAsia="zh-CN"/>
        </w:rPr>
        <w:t>6</w:t>
      </w:r>
      <w:r>
        <w:rPr>
          <w:rStyle w:val="134"/>
          <w:rFonts w:hint="eastAsia" w:ascii="宋体" w:hAnsi="宋体" w:cs="宋体"/>
          <w:b/>
          <w:bCs/>
          <w:color w:val="auto"/>
          <w:sz w:val="28"/>
          <w:szCs w:val="28"/>
          <w:highlight w:val="none"/>
        </w:rPr>
        <w:t>年</w:t>
      </w:r>
      <w:r>
        <w:rPr>
          <w:rStyle w:val="134"/>
          <w:rFonts w:hint="eastAsia" w:ascii="宋体" w:hAnsi="宋体" w:cs="宋体"/>
          <w:b/>
          <w:bCs/>
          <w:color w:val="auto"/>
          <w:sz w:val="28"/>
          <w:szCs w:val="28"/>
          <w:highlight w:val="none"/>
          <w:lang w:val="en-US" w:eastAsia="zh-CN"/>
        </w:rPr>
        <w:t>5</w:t>
      </w:r>
      <w:r>
        <w:rPr>
          <w:rStyle w:val="134"/>
          <w:rFonts w:hint="eastAsia" w:ascii="宋体" w:hAnsi="宋体" w:cs="宋体"/>
          <w:b/>
          <w:bCs/>
          <w:color w:val="auto"/>
          <w:sz w:val="28"/>
          <w:szCs w:val="28"/>
          <w:highlight w:val="none"/>
        </w:rPr>
        <w:t>月</w:t>
      </w:r>
      <w:r>
        <w:rPr>
          <w:rStyle w:val="134"/>
          <w:rFonts w:hint="eastAsia" w:ascii="宋体" w:hAnsi="宋体" w:cs="宋体"/>
          <w:b/>
          <w:bCs/>
          <w:color w:val="auto"/>
          <w:sz w:val="28"/>
          <w:szCs w:val="28"/>
          <w:highlight w:val="none"/>
          <w:lang w:val="en-US" w:eastAsia="zh-CN"/>
        </w:rPr>
        <w:t>7</w:t>
      </w:r>
      <w:r>
        <w:rPr>
          <w:rStyle w:val="134"/>
          <w:rFonts w:hint="eastAsia" w:ascii="宋体" w:hAnsi="宋体" w:cs="宋体"/>
          <w:b/>
          <w:bCs/>
          <w:color w:val="auto"/>
          <w:sz w:val="28"/>
          <w:szCs w:val="28"/>
          <w:highlight w:val="none"/>
        </w:rPr>
        <w:t>日</w:t>
      </w:r>
      <w:r>
        <w:rPr>
          <w:rStyle w:val="134"/>
          <w:rFonts w:hint="eastAsia" w:ascii="宋体" w:hAnsi="宋体" w:cs="宋体"/>
          <w:b/>
          <w:bCs/>
          <w:color w:val="auto"/>
          <w:sz w:val="28"/>
          <w:szCs w:val="28"/>
          <w:highlight w:val="none"/>
          <w:lang w:val="en-US" w:eastAsia="zh-CN"/>
        </w:rPr>
        <w:t>09</w:t>
      </w:r>
      <w:r>
        <w:rPr>
          <w:rStyle w:val="134"/>
          <w:rFonts w:hint="eastAsia" w:ascii="宋体" w:hAnsi="宋体" w:cs="宋体"/>
          <w:b/>
          <w:bCs/>
          <w:color w:val="auto"/>
          <w:sz w:val="28"/>
          <w:szCs w:val="28"/>
          <w:highlight w:val="none"/>
        </w:rPr>
        <w:t>点</w:t>
      </w:r>
      <w:r>
        <w:rPr>
          <w:rStyle w:val="134"/>
          <w:rFonts w:hint="eastAsia" w:ascii="宋体" w:hAnsi="宋体" w:cs="宋体"/>
          <w:b/>
          <w:bCs/>
          <w:color w:val="auto"/>
          <w:sz w:val="28"/>
          <w:szCs w:val="28"/>
          <w:highlight w:val="none"/>
          <w:lang w:val="en-US" w:eastAsia="zh-CN"/>
        </w:rPr>
        <w:t>30</w:t>
      </w:r>
      <w:r>
        <w:rPr>
          <w:rStyle w:val="134"/>
          <w:rFonts w:hint="eastAsia" w:ascii="宋体" w:hAnsi="宋体" w:cs="宋体"/>
          <w:b/>
          <w:bCs/>
          <w:color w:val="auto"/>
          <w:sz w:val="28"/>
          <w:szCs w:val="28"/>
          <w:highlight w:val="none"/>
        </w:rPr>
        <w:t>分（北京时间）</w:t>
      </w:r>
      <w:r>
        <w:rPr>
          <w:rStyle w:val="134"/>
          <w:rFonts w:hint="eastAsia" w:ascii="宋体" w:hAnsi="宋体" w:cs="宋体"/>
          <w:color w:val="auto"/>
          <w:sz w:val="28"/>
          <w:szCs w:val="28"/>
          <w:highlight w:val="none"/>
        </w:rPr>
        <w:t>，逾时“苏采云”系统将拒绝接受上传投标文件电子文档。</w:t>
      </w:r>
    </w:p>
    <w:p w14:paraId="1779C094">
      <w:pPr>
        <w:spacing w:line="460" w:lineRule="exact"/>
        <w:ind w:firstLine="420"/>
        <w:outlineLvl w:val="2"/>
        <w:rPr>
          <w:rStyle w:val="134"/>
          <w:rFonts w:ascii="宋体" w:hAnsi="宋体" w:cs="宋体"/>
          <w:color w:val="auto"/>
          <w:sz w:val="28"/>
          <w:szCs w:val="28"/>
          <w:highlight w:val="none"/>
          <w:lang w:eastAsia="en-US"/>
        </w:rPr>
      </w:pPr>
      <w:bookmarkStart w:id="13" w:name="_Toc24646"/>
      <w:r>
        <w:rPr>
          <w:rStyle w:val="134"/>
          <w:rFonts w:hint="eastAsia" w:ascii="宋体" w:hAnsi="宋体" w:cs="宋体"/>
          <w:color w:val="auto"/>
          <w:sz w:val="28"/>
          <w:szCs w:val="28"/>
          <w:highlight w:val="none"/>
          <w:lang w:eastAsia="en-US"/>
        </w:rPr>
        <w:t>2.地点：“苏采云”系统（网址：http://jszfcg.jsczt.cn/）</w:t>
      </w:r>
      <w:bookmarkEnd w:id="13"/>
      <w:r>
        <w:rPr>
          <w:rStyle w:val="134"/>
          <w:rFonts w:hint="eastAsia" w:ascii="宋体" w:hAnsi="宋体" w:cs="宋体"/>
          <w:color w:val="auto"/>
          <w:sz w:val="28"/>
          <w:szCs w:val="28"/>
          <w:highlight w:val="none"/>
        </w:rPr>
        <w:t>。</w:t>
      </w:r>
    </w:p>
    <w:p w14:paraId="4764DEEC">
      <w:pPr>
        <w:spacing w:line="460" w:lineRule="exact"/>
        <w:ind w:firstLine="420"/>
        <w:rPr>
          <w:rStyle w:val="134"/>
          <w:rFonts w:ascii="宋体" w:hAnsi="宋体" w:cs="宋体"/>
          <w:color w:val="auto"/>
          <w:sz w:val="28"/>
          <w:szCs w:val="28"/>
          <w:highlight w:val="none"/>
          <w:u w:val="single"/>
        </w:rPr>
      </w:pPr>
      <w:r>
        <w:rPr>
          <w:rStyle w:val="134"/>
          <w:rFonts w:hint="eastAsia" w:ascii="宋体" w:hAnsi="宋体" w:cs="宋体"/>
          <w:color w:val="auto"/>
          <w:sz w:val="28"/>
          <w:szCs w:val="28"/>
          <w:highlight w:val="none"/>
        </w:rPr>
        <w:t>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34"/>
          <w:rFonts w:hint="eastAsia" w:ascii="宋体" w:hAnsi="宋体" w:cs="宋体"/>
          <w:b/>
          <w:bCs/>
          <w:color w:val="auto"/>
          <w:sz w:val="28"/>
          <w:szCs w:val="28"/>
          <w:highlight w:val="none"/>
        </w:rPr>
        <w:t>投标人解密限定在开标后30分钟之内完成</w:t>
      </w:r>
      <w:r>
        <w:rPr>
          <w:rStyle w:val="134"/>
          <w:rFonts w:hint="eastAsia" w:ascii="宋体" w:hAnsi="宋体" w:cs="宋体"/>
          <w:color w:val="auto"/>
          <w:sz w:val="28"/>
          <w:szCs w:val="28"/>
          <w:highlight w:val="none"/>
        </w:rPr>
        <w:t>。</w:t>
      </w:r>
      <w:r>
        <w:rPr>
          <w:rStyle w:val="134"/>
          <w:rFonts w:hint="eastAsia" w:ascii="宋体" w:hAnsi="宋体" w:cs="宋体"/>
          <w:color w:val="auto"/>
          <w:sz w:val="28"/>
          <w:szCs w:val="28"/>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127E0EB9">
      <w:pPr>
        <w:adjustRightInd w:val="0"/>
        <w:snapToGrid w:val="0"/>
        <w:spacing w:line="440" w:lineRule="exact"/>
        <w:ind w:firstLine="562" w:firstLineChars="200"/>
        <w:outlineLvl w:val="1"/>
        <w:rPr>
          <w:rFonts w:ascii="宋体" w:hAnsi="宋体" w:cs="宋体"/>
          <w:b/>
          <w:color w:val="auto"/>
          <w:sz w:val="28"/>
          <w:szCs w:val="28"/>
          <w:highlight w:val="none"/>
        </w:rPr>
      </w:pPr>
      <w:bookmarkStart w:id="14" w:name="_Toc6486"/>
      <w:r>
        <w:rPr>
          <w:rFonts w:hint="eastAsia" w:ascii="宋体" w:hAnsi="宋体" w:cs="宋体"/>
          <w:b/>
          <w:color w:val="auto"/>
          <w:sz w:val="28"/>
          <w:szCs w:val="28"/>
          <w:highlight w:val="none"/>
        </w:rPr>
        <w:t>五、公告期限</w:t>
      </w:r>
      <w:bookmarkEnd w:id="14"/>
    </w:p>
    <w:p w14:paraId="41267CE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6F9794EA">
      <w:pPr>
        <w:adjustRightInd w:val="0"/>
        <w:snapToGrid w:val="0"/>
        <w:spacing w:line="440" w:lineRule="exact"/>
        <w:ind w:firstLine="562" w:firstLineChars="200"/>
        <w:outlineLvl w:val="1"/>
        <w:rPr>
          <w:rFonts w:ascii="宋体" w:hAnsi="宋体" w:cs="宋体"/>
          <w:b/>
          <w:color w:val="auto"/>
          <w:sz w:val="28"/>
          <w:szCs w:val="28"/>
          <w:highlight w:val="none"/>
        </w:rPr>
      </w:pPr>
      <w:bookmarkStart w:id="15" w:name="_Toc12080"/>
      <w:r>
        <w:rPr>
          <w:rFonts w:hint="eastAsia" w:ascii="宋体" w:hAnsi="宋体" w:cs="宋体"/>
          <w:b/>
          <w:color w:val="auto"/>
          <w:sz w:val="28"/>
          <w:szCs w:val="28"/>
          <w:highlight w:val="none"/>
        </w:rPr>
        <w:t>六、其他补充事宜</w:t>
      </w:r>
      <w:bookmarkEnd w:id="15"/>
    </w:p>
    <w:p w14:paraId="7A12727B">
      <w:pPr>
        <w:adjustRightInd w:val="0"/>
        <w:snapToGrid w:val="0"/>
        <w:spacing w:line="460" w:lineRule="exact"/>
        <w:ind w:firstLine="567"/>
        <w:outlineLvl w:val="2"/>
        <w:rPr>
          <w:rFonts w:ascii="宋体" w:hAnsi="宋体" w:cs="宋体"/>
          <w:color w:val="auto"/>
          <w:sz w:val="28"/>
          <w:szCs w:val="28"/>
          <w:highlight w:val="none"/>
        </w:rPr>
      </w:pPr>
      <w:bookmarkStart w:id="16" w:name="_Toc27181"/>
      <w:r>
        <w:rPr>
          <w:rFonts w:hint="eastAsia" w:ascii="宋体" w:hAnsi="宋体" w:cs="宋体"/>
          <w:color w:val="auto"/>
          <w:sz w:val="28"/>
          <w:szCs w:val="28"/>
          <w:highlight w:val="none"/>
        </w:rPr>
        <w:t>1.投标保证金：免收</w:t>
      </w:r>
      <w:bookmarkEnd w:id="16"/>
      <w:r>
        <w:rPr>
          <w:rStyle w:val="134"/>
          <w:rFonts w:hint="eastAsia" w:ascii="宋体" w:hAnsi="宋体" w:cs="宋体"/>
          <w:color w:val="auto"/>
          <w:sz w:val="28"/>
          <w:szCs w:val="28"/>
          <w:highlight w:val="none"/>
        </w:rPr>
        <w:t>。</w:t>
      </w:r>
    </w:p>
    <w:p w14:paraId="0FD9E7A9">
      <w:pPr>
        <w:adjustRightInd w:val="0"/>
        <w:snapToGrid w:val="0"/>
        <w:spacing w:line="460" w:lineRule="exact"/>
        <w:ind w:firstLine="567"/>
        <w:rPr>
          <w:rFonts w:ascii="宋体" w:hAnsi="宋体" w:cs="宋体"/>
          <w:color w:val="auto"/>
          <w:sz w:val="28"/>
          <w:szCs w:val="28"/>
          <w:highlight w:val="none"/>
        </w:rPr>
      </w:pPr>
      <w:r>
        <w:rPr>
          <w:rFonts w:hint="eastAsia" w:ascii="宋体" w:hAnsi="宋体" w:cs="宋体"/>
          <w:color w:val="auto"/>
          <w:sz w:val="28"/>
          <w:szCs w:val="28"/>
          <w:highlight w:val="none"/>
        </w:rPr>
        <w:t>2.项目开标活动模式：不见面远程开标模式，投标人在各自地点通过不见面交易系统参加开标会。</w:t>
      </w:r>
    </w:p>
    <w:p w14:paraId="77661DF0">
      <w:pPr>
        <w:spacing w:line="5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3.项目演示：无。</w:t>
      </w:r>
    </w:p>
    <w:p w14:paraId="2563642E">
      <w:pPr>
        <w:adjustRightInd w:val="0"/>
        <w:snapToGrid w:val="0"/>
        <w:spacing w:line="460" w:lineRule="exact"/>
        <w:ind w:firstLine="567"/>
        <w:rPr>
          <w:rFonts w:ascii="宋体" w:hAnsi="宋体" w:cs="宋体"/>
          <w:color w:val="auto"/>
          <w:sz w:val="28"/>
          <w:szCs w:val="28"/>
          <w:highlight w:val="none"/>
        </w:rPr>
      </w:pPr>
      <w:r>
        <w:rPr>
          <w:rFonts w:hint="eastAsia" w:ascii="宋体" w:hAnsi="宋体" w:cs="宋体"/>
          <w:color w:val="auto"/>
          <w:sz w:val="28"/>
          <w:szCs w:val="28"/>
          <w:highlight w:val="none"/>
        </w:rPr>
        <w:t>4.对</w:t>
      </w:r>
      <w:r>
        <w:rPr>
          <w:rFonts w:hint="eastAsia" w:ascii="宋体" w:hAnsi="宋体" w:cs="宋体"/>
          <w:color w:val="auto"/>
          <w:sz w:val="28"/>
          <w:szCs w:val="28"/>
          <w:highlight w:val="none"/>
          <w:lang w:eastAsia="zh-CN"/>
        </w:rPr>
        <w:t>招标方式</w:t>
      </w:r>
      <w:r>
        <w:rPr>
          <w:rFonts w:hint="eastAsia" w:ascii="宋体" w:hAnsi="宋体" w:cs="宋体"/>
          <w:color w:val="auto"/>
          <w:sz w:val="28"/>
          <w:szCs w:val="28"/>
          <w:highlight w:val="none"/>
        </w:rPr>
        <w:t>、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355031AC">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4F387289">
      <w:pPr>
        <w:adjustRightInd w:val="0"/>
        <w:snapToGrid w:val="0"/>
        <w:spacing w:line="440" w:lineRule="exact"/>
        <w:ind w:firstLine="562" w:firstLineChars="200"/>
        <w:outlineLvl w:val="1"/>
        <w:rPr>
          <w:rFonts w:ascii="宋体" w:hAnsi="宋体" w:cs="宋体"/>
          <w:b/>
          <w:color w:val="auto"/>
          <w:sz w:val="28"/>
          <w:szCs w:val="28"/>
          <w:highlight w:val="none"/>
        </w:rPr>
      </w:pPr>
      <w:bookmarkStart w:id="17" w:name="_Toc17541"/>
      <w:r>
        <w:rPr>
          <w:rFonts w:hint="eastAsia" w:ascii="宋体" w:hAnsi="宋体" w:cs="宋体"/>
          <w:b/>
          <w:color w:val="auto"/>
          <w:sz w:val="28"/>
          <w:szCs w:val="28"/>
          <w:highlight w:val="none"/>
        </w:rPr>
        <w:t>七、对本次招标提出询问，请按以下方式联系</w:t>
      </w:r>
      <w:bookmarkEnd w:id="17"/>
    </w:p>
    <w:p w14:paraId="71A1CCC5">
      <w:pPr>
        <w:adjustRightInd w:val="0"/>
        <w:snapToGrid w:val="0"/>
        <w:spacing w:line="440" w:lineRule="exact"/>
        <w:ind w:firstLine="560" w:firstLineChars="200"/>
        <w:rPr>
          <w:rFonts w:ascii="宋体" w:hAnsi="宋体" w:cs="宋体"/>
          <w:color w:val="auto"/>
          <w:sz w:val="28"/>
          <w:szCs w:val="28"/>
          <w:highlight w:val="none"/>
        </w:rPr>
      </w:pPr>
      <w:bookmarkStart w:id="18" w:name="_Toc20676"/>
      <w:r>
        <w:rPr>
          <w:rFonts w:hint="eastAsia" w:ascii="宋体" w:hAnsi="宋体" w:cs="宋体"/>
          <w:color w:val="auto"/>
          <w:sz w:val="28"/>
          <w:szCs w:val="28"/>
          <w:highlight w:val="none"/>
        </w:rPr>
        <w:t>1.招标人信息</w:t>
      </w:r>
      <w:bookmarkEnd w:id="18"/>
    </w:p>
    <w:p w14:paraId="117CF3F6">
      <w:pPr>
        <w:adjustRightInd w:val="0"/>
        <w:snapToGrid w:val="0"/>
        <w:spacing w:line="440" w:lineRule="exact"/>
        <w:ind w:firstLine="560" w:firstLineChars="200"/>
        <w:rPr>
          <w:rFonts w:ascii="宋体" w:hAnsi="宋体" w:cs="宋体"/>
          <w:color w:val="auto"/>
          <w:sz w:val="28"/>
          <w:szCs w:val="28"/>
          <w:highlight w:val="none"/>
        </w:rPr>
      </w:pPr>
      <w:bookmarkStart w:id="19" w:name="_Toc28359097"/>
      <w:bookmarkStart w:id="20" w:name="_Toc35393638"/>
      <w:bookmarkStart w:id="21" w:name="_Toc35393807"/>
      <w:bookmarkStart w:id="22" w:name="_Toc28359020"/>
      <w:r>
        <w:rPr>
          <w:rFonts w:hint="eastAsia" w:ascii="宋体" w:hAnsi="宋体" w:cs="宋体"/>
          <w:color w:val="auto"/>
          <w:sz w:val="28"/>
          <w:szCs w:val="28"/>
          <w:highlight w:val="none"/>
        </w:rPr>
        <w:t>名称：南通市产品质量监督检验所　　　　　　　　　　　　</w:t>
      </w:r>
    </w:p>
    <w:bookmarkEnd w:id="19"/>
    <w:bookmarkEnd w:id="20"/>
    <w:bookmarkEnd w:id="21"/>
    <w:bookmarkEnd w:id="22"/>
    <w:p w14:paraId="7B538EA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地址：南通市崇川区国强路119号</w:t>
      </w:r>
    </w:p>
    <w:p w14:paraId="36E673A7">
      <w:pPr>
        <w:adjustRightInd w:val="0"/>
        <w:snapToGrid w:val="0"/>
        <w:spacing w:line="44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联系人：李</w:t>
      </w:r>
      <w:r>
        <w:rPr>
          <w:rFonts w:hint="eastAsia" w:ascii="宋体" w:hAnsi="宋体" w:cs="宋体"/>
          <w:color w:val="auto"/>
          <w:sz w:val="28"/>
          <w:szCs w:val="28"/>
          <w:highlight w:val="none"/>
          <w:lang w:eastAsia="zh-CN"/>
        </w:rPr>
        <w:t>工</w:t>
      </w:r>
      <w:r>
        <w:rPr>
          <w:rFonts w:hint="eastAsia" w:ascii="宋体" w:hAnsi="宋体" w:cs="宋体"/>
          <w:color w:val="auto"/>
          <w:sz w:val="28"/>
          <w:szCs w:val="28"/>
          <w:highlight w:val="none"/>
          <w:lang w:val="en-US" w:eastAsia="zh-CN"/>
        </w:rPr>
        <w:t xml:space="preserve"> </w:t>
      </w:r>
    </w:p>
    <w:p w14:paraId="08DDA1C8">
      <w:pPr>
        <w:adjustRightInd w:val="0"/>
        <w:snapToGrid w:val="0"/>
        <w:spacing w:line="44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联系方式：13962812666</w:t>
      </w:r>
      <w:r>
        <w:rPr>
          <w:rFonts w:hint="eastAsia" w:ascii="宋体" w:hAnsi="宋体" w:cs="宋体"/>
          <w:color w:val="auto"/>
          <w:sz w:val="28"/>
          <w:szCs w:val="28"/>
          <w:highlight w:val="none"/>
          <w:lang w:val="en-US" w:eastAsia="zh-CN"/>
        </w:rPr>
        <w:t xml:space="preserve"> </w:t>
      </w:r>
    </w:p>
    <w:p w14:paraId="0A96235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2.代理机构信息</w:t>
      </w:r>
    </w:p>
    <w:p w14:paraId="089FFAF4">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名称：南通苏采招投标咨询服务有限公司</w:t>
      </w:r>
    </w:p>
    <w:p w14:paraId="3313D9EB">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地址：南通市海外联谊大厦</w:t>
      </w:r>
    </w:p>
    <w:p w14:paraId="4A1B198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联系方式：汤  工 18251369818</w:t>
      </w:r>
    </w:p>
    <w:p w14:paraId="154B2609">
      <w:pPr>
        <w:adjustRightInd w:val="0"/>
        <w:snapToGrid w:val="0"/>
        <w:spacing w:line="440" w:lineRule="exact"/>
        <w:ind w:firstLine="560" w:firstLineChars="200"/>
        <w:rPr>
          <w:rFonts w:ascii="宋体" w:hAnsi="宋体" w:cs="宋体"/>
          <w:color w:val="auto"/>
          <w:sz w:val="28"/>
          <w:szCs w:val="28"/>
          <w:highlight w:val="none"/>
        </w:rPr>
      </w:pPr>
    </w:p>
    <w:p w14:paraId="2CB00E39">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附件:</w:t>
      </w:r>
    </w:p>
    <w:p w14:paraId="530D3DE9">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1.公开招标文件</w:t>
      </w:r>
    </w:p>
    <w:p w14:paraId="0570886C">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2.招标人信用承诺书</w:t>
      </w:r>
    </w:p>
    <w:p w14:paraId="1912FDBB">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3.公平竞争审查二维码</w:t>
      </w:r>
    </w:p>
    <w:p w14:paraId="045D7CD4">
      <w:pPr>
        <w:ind w:firstLine="720" w:firstLineChars="200"/>
        <w:jc w:val="center"/>
        <w:rPr>
          <w:rFonts w:ascii="宋体" w:hAnsi="宋体" w:cs="宋体"/>
          <w:bCs/>
          <w:color w:val="auto"/>
          <w:sz w:val="36"/>
          <w:szCs w:val="36"/>
          <w:highlight w:val="none"/>
        </w:rPr>
      </w:pPr>
    </w:p>
    <w:p w14:paraId="36CD9147">
      <w:pPr>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23" w:name="_Toc28364"/>
      <w:bookmarkStart w:id="24" w:name="_Toc12269"/>
      <w:r>
        <w:rPr>
          <w:rFonts w:hint="eastAsia" w:ascii="宋体" w:hAnsi="宋体" w:cs="宋体"/>
          <w:bCs/>
          <w:color w:val="auto"/>
          <w:sz w:val="36"/>
          <w:szCs w:val="36"/>
          <w:highlight w:val="none"/>
        </w:rPr>
        <w:t>第二部分  投标须知</w:t>
      </w:r>
      <w:bookmarkEnd w:id="23"/>
      <w:bookmarkEnd w:id="24"/>
    </w:p>
    <w:p w14:paraId="46EB92DB">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25" w:name="_Toc20823275"/>
      <w:bookmarkStart w:id="26" w:name="_Toc2896"/>
      <w:bookmarkStart w:id="27" w:name="_Toc120614214"/>
      <w:bookmarkStart w:id="28" w:name="_Toc513029203"/>
      <w:bookmarkStart w:id="29" w:name="_Toc16938519"/>
      <w:r>
        <w:rPr>
          <w:rFonts w:hint="eastAsia" w:ascii="宋体" w:hAnsi="宋体" w:eastAsia="宋体" w:cs="宋体"/>
          <w:color w:val="auto"/>
          <w:sz w:val="28"/>
          <w:szCs w:val="28"/>
          <w:highlight w:val="none"/>
        </w:rPr>
        <w:t>一、总则</w:t>
      </w:r>
      <w:bookmarkEnd w:id="25"/>
      <w:bookmarkEnd w:id="26"/>
      <w:bookmarkEnd w:id="27"/>
      <w:bookmarkEnd w:id="28"/>
      <w:bookmarkEnd w:id="29"/>
    </w:p>
    <w:p w14:paraId="783E346D">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30" w:name="_Hlt16619475"/>
      <w:bookmarkEnd w:id="30"/>
      <w:bookmarkStart w:id="31" w:name="_Toc458694821"/>
      <w:bookmarkStart w:id="32" w:name="_Toc20823276"/>
      <w:bookmarkStart w:id="33" w:name="_Toc513029204"/>
      <w:bookmarkStart w:id="34" w:name="_Toc16938520"/>
      <w:bookmarkStart w:id="35" w:name="_Toc2940"/>
      <w:r>
        <w:rPr>
          <w:rFonts w:hint="eastAsia" w:ascii="宋体" w:hAnsi="宋体" w:cs="宋体"/>
          <w:color w:val="auto"/>
          <w:sz w:val="28"/>
          <w:szCs w:val="28"/>
          <w:highlight w:val="none"/>
        </w:rPr>
        <w:t>1</w:t>
      </w:r>
      <w:bookmarkEnd w:id="31"/>
      <w:r>
        <w:rPr>
          <w:rFonts w:hint="eastAsia" w:ascii="宋体" w:hAnsi="宋体" w:cs="宋体"/>
          <w:color w:val="auto"/>
          <w:sz w:val="28"/>
          <w:szCs w:val="28"/>
          <w:highlight w:val="none"/>
        </w:rPr>
        <w:t>.招标方式</w:t>
      </w:r>
      <w:bookmarkEnd w:id="32"/>
      <w:bookmarkEnd w:id="33"/>
      <w:bookmarkEnd w:id="34"/>
      <w:bookmarkEnd w:id="35"/>
    </w:p>
    <w:p w14:paraId="59C605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1.1本次招标采取公开招标方式，本招标文件仅适用于招标公告中所述项目。</w:t>
      </w:r>
    </w:p>
    <w:p w14:paraId="6F04E03D">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36" w:name="_Toc32621"/>
      <w:bookmarkStart w:id="37" w:name="_Toc20823277"/>
      <w:bookmarkStart w:id="38" w:name="_Toc513029205"/>
      <w:bookmarkStart w:id="39" w:name="_Toc16938521"/>
      <w:r>
        <w:rPr>
          <w:rFonts w:hint="eastAsia" w:ascii="宋体" w:hAnsi="宋体" w:cs="宋体"/>
          <w:color w:val="auto"/>
          <w:sz w:val="28"/>
          <w:szCs w:val="28"/>
          <w:highlight w:val="none"/>
        </w:rPr>
        <w:t>2.合格的投标人</w:t>
      </w:r>
      <w:bookmarkEnd w:id="36"/>
      <w:bookmarkEnd w:id="37"/>
      <w:bookmarkEnd w:id="38"/>
      <w:bookmarkEnd w:id="39"/>
    </w:p>
    <w:p w14:paraId="010EEC4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4101512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1F5E2D5">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40" w:name="_Toc16938522"/>
      <w:bookmarkStart w:id="41" w:name="_Toc1005"/>
      <w:bookmarkStart w:id="42" w:name="_Toc20823278"/>
      <w:bookmarkStart w:id="43" w:name="_Toc513029206"/>
      <w:r>
        <w:rPr>
          <w:rFonts w:hint="eastAsia" w:ascii="宋体" w:hAnsi="宋体" w:cs="宋体"/>
          <w:color w:val="auto"/>
          <w:sz w:val="28"/>
          <w:szCs w:val="28"/>
          <w:highlight w:val="none"/>
        </w:rPr>
        <w:t>3.适用法律</w:t>
      </w:r>
      <w:bookmarkEnd w:id="40"/>
      <w:bookmarkEnd w:id="41"/>
      <w:bookmarkEnd w:id="42"/>
      <w:bookmarkEnd w:id="43"/>
    </w:p>
    <w:p w14:paraId="3BDC9AF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0AFF6444">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44" w:name="_Toc513029207"/>
      <w:bookmarkStart w:id="45" w:name="_Toc462564067"/>
      <w:bookmarkStart w:id="46" w:name="_Toc16938523"/>
      <w:bookmarkStart w:id="47" w:name="_Toc23647"/>
      <w:bookmarkStart w:id="48" w:name="_Toc20823279"/>
      <w:r>
        <w:rPr>
          <w:rFonts w:hint="eastAsia" w:ascii="宋体" w:hAnsi="宋体" w:cs="宋体"/>
          <w:color w:val="auto"/>
          <w:sz w:val="28"/>
          <w:szCs w:val="28"/>
          <w:highlight w:val="none"/>
        </w:rPr>
        <w:t>4.投标费用</w:t>
      </w:r>
      <w:bookmarkEnd w:id="44"/>
      <w:bookmarkEnd w:id="45"/>
      <w:bookmarkEnd w:id="46"/>
      <w:bookmarkEnd w:id="47"/>
      <w:bookmarkEnd w:id="48"/>
    </w:p>
    <w:p w14:paraId="6F2277B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4.1</w:t>
      </w:r>
      <w:r>
        <w:rPr>
          <w:rFonts w:hint="eastAsia" w:ascii="宋体" w:hAnsi="宋体" w:cs="宋体"/>
          <w:color w:val="auto"/>
          <w:sz w:val="28"/>
          <w:szCs w:val="28"/>
          <w:highlight w:val="none"/>
        </w:rPr>
        <w:t>投标人应自行承担所有与参加投标有关的费用，无论投标过程中的做法和结果如何，南通苏采招投标咨询服务有限公司（以下简称招标代理机构）在任何情况下均无义务和责任承担这些费用。</w:t>
      </w:r>
    </w:p>
    <w:p w14:paraId="735981A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4.2本项目招标代理费按江苏省招标投标协会苏招协【2022】002号文件标准的50%计收，由中标人承担。投标人报价时应综合考虑（不单列）</w:t>
      </w:r>
    </w:p>
    <w:p w14:paraId="6DA36C9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w:t>
      </w:r>
      <w:r>
        <w:rPr>
          <w:rFonts w:hint="eastAsia" w:ascii="宋体" w:hAnsi="宋体" w:cs="宋体"/>
          <w:color w:val="auto"/>
          <w:sz w:val="28"/>
          <w:szCs w:val="28"/>
          <w:highlight w:val="none"/>
          <w:lang w:val="zh-CN"/>
        </w:rPr>
        <w:t>代理费定标后由</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候选人支付给代理机构。因</w:t>
      </w:r>
      <w:r>
        <w:rPr>
          <w:rFonts w:hint="eastAsia" w:ascii="宋体" w:hAnsi="宋体" w:cs="宋体"/>
          <w:color w:val="auto"/>
          <w:sz w:val="28"/>
          <w:szCs w:val="28"/>
          <w:highlight w:val="none"/>
        </w:rPr>
        <w:t>中标人</w:t>
      </w:r>
      <w:r>
        <w:rPr>
          <w:rFonts w:hint="eastAsia" w:ascii="宋体" w:hAnsi="宋体" w:cs="宋体"/>
          <w:color w:val="auto"/>
          <w:sz w:val="28"/>
          <w:szCs w:val="28"/>
          <w:highlight w:val="none"/>
          <w:lang w:val="zh-CN"/>
        </w:rPr>
        <w:t>原因导致</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结果变更或取消</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资格等，代理费不予退还。</w:t>
      </w:r>
    </w:p>
    <w:p w14:paraId="53783C5F">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49" w:name="_Toc19559"/>
      <w:r>
        <w:rPr>
          <w:rFonts w:hint="eastAsia" w:ascii="宋体" w:hAnsi="宋体" w:cs="宋体"/>
          <w:color w:val="auto"/>
          <w:sz w:val="28"/>
          <w:szCs w:val="28"/>
          <w:highlight w:val="none"/>
        </w:rPr>
        <w:t>5.招标文件的约束力</w:t>
      </w:r>
      <w:bookmarkEnd w:id="49"/>
    </w:p>
    <w:p w14:paraId="7504774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03295FFF">
      <w:pPr>
        <w:adjustRightInd w:val="0"/>
        <w:snapToGrid w:val="0"/>
        <w:spacing w:line="460" w:lineRule="exact"/>
        <w:ind w:firstLine="560" w:firstLineChars="200"/>
        <w:outlineLvl w:val="2"/>
        <w:rPr>
          <w:rFonts w:ascii="宋体" w:hAnsi="宋体" w:cs="宋体"/>
          <w:color w:val="auto"/>
          <w:sz w:val="28"/>
          <w:szCs w:val="28"/>
          <w:highlight w:val="none"/>
        </w:rPr>
      </w:pPr>
      <w:bookmarkStart w:id="50" w:name="_Toc20136"/>
      <w:r>
        <w:rPr>
          <w:rFonts w:hint="eastAsia" w:ascii="宋体" w:hAnsi="宋体" w:cs="宋体"/>
          <w:color w:val="auto"/>
          <w:sz w:val="28"/>
          <w:szCs w:val="28"/>
          <w:highlight w:val="none"/>
        </w:rPr>
        <w:t>6.招标文件的解释</w:t>
      </w:r>
      <w:bookmarkEnd w:id="50"/>
    </w:p>
    <w:p w14:paraId="2859E6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招标文件需求部分（投标人资格要求、项目需求、商务技术评分标准）由招标人解释，其他部分由代理机构解释。</w:t>
      </w:r>
    </w:p>
    <w:p w14:paraId="155A4D29">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51" w:name="_Toc21896"/>
      <w:bookmarkStart w:id="52" w:name="_Toc20823281"/>
      <w:bookmarkStart w:id="53" w:name="_Toc16938525"/>
      <w:bookmarkStart w:id="54" w:name="_Toc513029209"/>
      <w:bookmarkStart w:id="55" w:name="_Toc120614215"/>
      <w:r>
        <w:rPr>
          <w:rFonts w:hint="eastAsia" w:ascii="宋体" w:hAnsi="宋体" w:eastAsia="宋体" w:cs="宋体"/>
          <w:color w:val="auto"/>
          <w:sz w:val="28"/>
          <w:szCs w:val="28"/>
          <w:highlight w:val="none"/>
        </w:rPr>
        <w:t>二、招标文件</w:t>
      </w:r>
      <w:bookmarkEnd w:id="51"/>
      <w:bookmarkEnd w:id="52"/>
      <w:bookmarkEnd w:id="53"/>
      <w:bookmarkEnd w:id="54"/>
      <w:bookmarkEnd w:id="55"/>
    </w:p>
    <w:p w14:paraId="33CAAEFE">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56" w:name="_Toc20823282"/>
      <w:bookmarkStart w:id="57" w:name="_Toc513029210"/>
      <w:bookmarkStart w:id="58" w:name="_Toc18925"/>
      <w:bookmarkStart w:id="59" w:name="_Toc16938526"/>
      <w:r>
        <w:rPr>
          <w:rFonts w:hint="eastAsia" w:ascii="宋体" w:hAnsi="宋体" w:cs="宋体"/>
          <w:color w:val="auto"/>
          <w:sz w:val="28"/>
          <w:szCs w:val="28"/>
          <w:highlight w:val="none"/>
        </w:rPr>
        <w:t>1.招标文件构成</w:t>
      </w:r>
      <w:bookmarkEnd w:id="56"/>
      <w:bookmarkEnd w:id="57"/>
      <w:bookmarkEnd w:id="58"/>
      <w:bookmarkEnd w:id="59"/>
    </w:p>
    <w:p w14:paraId="630F9BD3">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招标文件由以下部分组成：</w:t>
      </w:r>
    </w:p>
    <w:p w14:paraId="4755177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（1）招标邀请</w:t>
      </w:r>
    </w:p>
    <w:p w14:paraId="0D15ABF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（2）投标须知</w:t>
      </w:r>
    </w:p>
    <w:p w14:paraId="74A6A9D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75C615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（4）开标和评标</w:t>
      </w:r>
    </w:p>
    <w:p w14:paraId="2564E91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24F8D75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（6）附件（如有）</w:t>
      </w:r>
    </w:p>
    <w:p w14:paraId="717C258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7BE901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FB4545">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60" w:name="_Toc462564070"/>
      <w:bookmarkStart w:id="61" w:name="_Toc513029211"/>
      <w:bookmarkStart w:id="62" w:name="_Toc20823283"/>
      <w:bookmarkStart w:id="63" w:name="_Toc16938527"/>
      <w:bookmarkStart w:id="64" w:name="_Toc31712"/>
      <w:r>
        <w:rPr>
          <w:rFonts w:hint="eastAsia" w:ascii="宋体" w:hAnsi="宋体" w:cs="宋体"/>
          <w:color w:val="auto"/>
          <w:sz w:val="28"/>
          <w:szCs w:val="28"/>
          <w:highlight w:val="none"/>
        </w:rPr>
        <w:t>2.招标文件的澄清</w:t>
      </w:r>
      <w:bookmarkEnd w:id="60"/>
      <w:bookmarkEnd w:id="61"/>
      <w:bookmarkEnd w:id="62"/>
      <w:bookmarkEnd w:id="63"/>
      <w:bookmarkEnd w:id="64"/>
    </w:p>
    <w:p w14:paraId="4869CA4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任何要求对招标文件进行澄清的投标人，应在投标截止期十日前按招标公告中的通讯地址，以书面形式通知招标人。招标人有权对发出的招标文件进行必要的澄清或修改</w:t>
      </w:r>
    </w:p>
    <w:p w14:paraId="40299F7A">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01202982">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65" w:name="_Toc31249"/>
      <w:bookmarkStart w:id="66" w:name="_Toc20823284"/>
      <w:bookmarkStart w:id="67" w:name="_Toc16938528"/>
      <w:bookmarkStart w:id="68" w:name="_Toc462564071"/>
      <w:bookmarkStart w:id="69" w:name="_Toc513029212"/>
      <w:r>
        <w:rPr>
          <w:rFonts w:hint="eastAsia" w:ascii="宋体" w:hAnsi="宋体" w:cs="宋体"/>
          <w:color w:val="auto"/>
          <w:sz w:val="28"/>
          <w:szCs w:val="28"/>
          <w:highlight w:val="none"/>
        </w:rPr>
        <w:t>3.招标文件的修改</w:t>
      </w:r>
      <w:bookmarkEnd w:id="65"/>
      <w:bookmarkEnd w:id="66"/>
      <w:bookmarkEnd w:id="67"/>
      <w:bookmarkEnd w:id="68"/>
      <w:bookmarkEnd w:id="69"/>
    </w:p>
    <w:p w14:paraId="0C0E47B8">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在投标截止时间前，代理机构可以对招标文件进行修改。</w:t>
      </w:r>
    </w:p>
    <w:p w14:paraId="0D37CC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代理机构有权按照法定的要求推迟投标截止日期和开标日期。</w:t>
      </w:r>
    </w:p>
    <w:p w14:paraId="6301218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招标文件的修改将在江苏省政府采购网公布，补充文件将作为招标文件的组成部分，并对投标人具有约束力。</w:t>
      </w:r>
    </w:p>
    <w:p w14:paraId="759284A2">
      <w:pPr>
        <w:spacing w:line="460" w:lineRule="exact"/>
        <w:ind w:firstLine="482"/>
        <w:rPr>
          <w:rFonts w:ascii="宋体" w:hAnsi="宋体" w:cs="宋体"/>
          <w:b/>
          <w:bCs/>
          <w:color w:val="auto"/>
          <w:sz w:val="28"/>
          <w:szCs w:val="28"/>
          <w:highlight w:val="none"/>
          <w:u w:val="single"/>
        </w:rPr>
      </w:pPr>
      <w:bookmarkStart w:id="70" w:name="_Toc513029213"/>
      <w:bookmarkStart w:id="71" w:name="_Toc20823285"/>
      <w:bookmarkStart w:id="72" w:name="_Toc120614216"/>
      <w:bookmarkStart w:id="73" w:name="_Toc462564072"/>
      <w:bookmarkStart w:id="74" w:name="_Toc16938529"/>
      <w:r>
        <w:rPr>
          <w:rFonts w:hint="eastAsia" w:ascii="宋体" w:hAnsi="宋体" w:cs="宋体"/>
          <w:b/>
          <w:bCs/>
          <w:color w:val="auto"/>
          <w:sz w:val="28"/>
          <w:szCs w:val="28"/>
          <w:highlight w:val="none"/>
          <w:u w:val="single"/>
        </w:rPr>
        <w:t>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0E30D848">
      <w:pPr>
        <w:spacing w:line="460" w:lineRule="exact"/>
        <w:ind w:firstLine="482"/>
        <w:rPr>
          <w:rFonts w:ascii="宋体" w:hAnsi="宋体" w:cs="宋体"/>
          <w:color w:val="auto"/>
          <w:sz w:val="24"/>
          <w:highlight w:val="none"/>
        </w:rPr>
      </w:pPr>
      <w:r>
        <w:rPr>
          <w:rFonts w:hint="eastAsia" w:ascii="宋体" w:hAnsi="宋体" w:cs="宋体"/>
          <w:color w:val="auto"/>
          <w:sz w:val="28"/>
          <w:szCs w:val="28"/>
          <w:highlight w:val="none"/>
        </w:rPr>
        <w:t>5.投标人对招标人提供的招标文件所做出的推论、解释和结论，招标人概不负责。投标人由于对招标文件的任何推论和误解以及招标人对有关问题的口头解释所造成的后果，均由各潜在投标人自负。</w:t>
      </w:r>
    </w:p>
    <w:p w14:paraId="1DA117C2">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75" w:name="_Toc16140"/>
      <w:r>
        <w:rPr>
          <w:rFonts w:hint="eastAsia" w:ascii="宋体" w:hAnsi="宋体" w:eastAsia="宋体" w:cs="宋体"/>
          <w:color w:val="auto"/>
          <w:sz w:val="28"/>
          <w:szCs w:val="28"/>
          <w:highlight w:val="none"/>
        </w:rPr>
        <w:t>三、投标文件的编制</w:t>
      </w:r>
      <w:bookmarkEnd w:id="70"/>
      <w:bookmarkEnd w:id="71"/>
      <w:bookmarkEnd w:id="72"/>
      <w:bookmarkEnd w:id="73"/>
      <w:bookmarkEnd w:id="74"/>
      <w:bookmarkEnd w:id="75"/>
    </w:p>
    <w:p w14:paraId="31E6E1C2">
      <w:pPr>
        <w:adjustRightInd w:val="0"/>
        <w:snapToGrid w:val="0"/>
        <w:spacing w:line="460" w:lineRule="exact"/>
        <w:ind w:firstLine="560" w:firstLineChars="200"/>
        <w:outlineLvl w:val="2"/>
        <w:rPr>
          <w:rFonts w:ascii="宋体" w:hAnsi="宋体" w:cs="宋体"/>
          <w:bCs/>
          <w:color w:val="auto"/>
          <w:sz w:val="28"/>
          <w:szCs w:val="28"/>
          <w:highlight w:val="none"/>
        </w:rPr>
      </w:pPr>
      <w:bookmarkStart w:id="76" w:name="_Toc513029214"/>
      <w:bookmarkStart w:id="77" w:name="_Toc32352"/>
      <w:bookmarkStart w:id="78" w:name="_Toc462564073"/>
      <w:bookmarkStart w:id="79" w:name="_Toc20823286"/>
      <w:bookmarkStart w:id="80" w:name="_Toc16938530"/>
      <w:r>
        <w:rPr>
          <w:rFonts w:hint="eastAsia" w:ascii="宋体" w:hAnsi="宋体" w:cs="宋体"/>
          <w:color w:val="auto"/>
          <w:sz w:val="28"/>
          <w:szCs w:val="28"/>
          <w:highlight w:val="none"/>
        </w:rPr>
        <w:t>1.投标文件的语言及度量衡单位</w:t>
      </w:r>
      <w:bookmarkEnd w:id="76"/>
      <w:bookmarkEnd w:id="77"/>
      <w:bookmarkEnd w:id="78"/>
      <w:bookmarkEnd w:id="79"/>
      <w:bookmarkEnd w:id="80"/>
    </w:p>
    <w:p w14:paraId="5976EE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63F537B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除技术性能另有规定外，投标文件所使用的度量衡单位，均须采用国家法定计量单位。</w:t>
      </w:r>
    </w:p>
    <w:p w14:paraId="7C1BDEDF">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81" w:name="_Toc513029215"/>
      <w:bookmarkStart w:id="82" w:name="_Toc20823287"/>
      <w:bookmarkStart w:id="83" w:name="_Toc462564074"/>
      <w:bookmarkStart w:id="84" w:name="_Toc28358"/>
      <w:bookmarkStart w:id="85" w:name="_Toc16938531"/>
      <w:r>
        <w:rPr>
          <w:rFonts w:hint="eastAsia" w:ascii="宋体" w:hAnsi="宋体" w:cs="宋体"/>
          <w:color w:val="auto"/>
          <w:sz w:val="28"/>
          <w:szCs w:val="28"/>
          <w:highlight w:val="none"/>
        </w:rPr>
        <w:t>2.投标文件构成</w:t>
      </w:r>
      <w:bookmarkEnd w:id="81"/>
      <w:bookmarkEnd w:id="82"/>
      <w:bookmarkEnd w:id="83"/>
      <w:bookmarkEnd w:id="84"/>
      <w:bookmarkEnd w:id="85"/>
    </w:p>
    <w:p w14:paraId="7CF5840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投标人编写的投标文件应包括资格审查证明材料文件、商务技术标文件、价格标文件。投标人按“第五部分 投标文件组成”要求编写投标文件</w:t>
      </w:r>
    </w:p>
    <w:p w14:paraId="1F41E4FC">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86" w:name="_Hlt26668975"/>
      <w:bookmarkEnd w:id="86"/>
      <w:bookmarkStart w:id="87" w:name="_Hlt26670360"/>
      <w:bookmarkEnd w:id="87"/>
      <w:bookmarkStart w:id="88" w:name="_Hlt26954838"/>
      <w:bookmarkEnd w:id="88"/>
      <w:bookmarkStart w:id="89" w:name="_Toc49090511"/>
      <w:bookmarkStart w:id="90" w:name="_Toc14577360"/>
      <w:bookmarkStart w:id="91" w:name="_Toc18141"/>
      <w:r>
        <w:rPr>
          <w:rFonts w:hint="eastAsia" w:ascii="宋体" w:hAnsi="宋体" w:cs="宋体"/>
          <w:color w:val="auto"/>
          <w:sz w:val="28"/>
          <w:szCs w:val="28"/>
          <w:highlight w:val="none"/>
        </w:rPr>
        <w:t>3.投标有效期</w:t>
      </w:r>
      <w:bookmarkEnd w:id="89"/>
      <w:bookmarkEnd w:id="90"/>
      <w:bookmarkEnd w:id="91"/>
    </w:p>
    <w:p w14:paraId="5EA953F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45412A6F">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92" w:name="_Toc25966"/>
      <w:r>
        <w:rPr>
          <w:rFonts w:hint="eastAsia" w:ascii="宋体" w:hAnsi="宋体" w:cs="宋体"/>
          <w:color w:val="auto"/>
          <w:sz w:val="28"/>
          <w:szCs w:val="28"/>
          <w:highlight w:val="none"/>
        </w:rPr>
        <w:t>4.投标有效期的延长</w:t>
      </w:r>
      <w:bookmarkEnd w:id="92"/>
    </w:p>
    <w:p w14:paraId="0E0633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1F65830B">
      <w:pPr>
        <w:adjustRightInd w:val="0"/>
        <w:snapToGrid w:val="0"/>
        <w:spacing w:line="460" w:lineRule="exact"/>
        <w:ind w:firstLine="560" w:firstLineChars="200"/>
        <w:outlineLvl w:val="2"/>
        <w:rPr>
          <w:rFonts w:ascii="宋体" w:hAnsi="宋体" w:cs="宋体"/>
          <w:bCs/>
          <w:color w:val="auto"/>
          <w:sz w:val="28"/>
          <w:szCs w:val="28"/>
          <w:highlight w:val="none"/>
        </w:rPr>
      </w:pPr>
      <w:bookmarkStart w:id="93" w:name="_Hlt26954852"/>
      <w:bookmarkEnd w:id="93"/>
      <w:bookmarkStart w:id="94" w:name="_Hlt26954739"/>
      <w:bookmarkEnd w:id="94"/>
      <w:bookmarkStart w:id="95" w:name="_Toc27948"/>
      <w:bookmarkStart w:id="96" w:name="_Toc513029224"/>
      <w:bookmarkStart w:id="97" w:name="_Toc16938540"/>
      <w:bookmarkStart w:id="98" w:name="_Toc20823296"/>
      <w:bookmarkStart w:id="99" w:name="_Toc120614217"/>
      <w:r>
        <w:rPr>
          <w:rFonts w:hint="eastAsia" w:ascii="宋体" w:hAnsi="宋体" w:cs="宋体"/>
          <w:bCs/>
          <w:color w:val="auto"/>
          <w:sz w:val="28"/>
          <w:szCs w:val="28"/>
          <w:highlight w:val="none"/>
        </w:rPr>
        <w:t>5.电子投标文件其他要求</w:t>
      </w:r>
      <w:bookmarkEnd w:id="95"/>
    </w:p>
    <w:p w14:paraId="78ADD7C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5.1电子招标投标交易平台（即“苏采云”系统）相关要求是本招标文件的组成部分。</w:t>
      </w:r>
    </w:p>
    <w:p w14:paraId="53F4FC1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5.2投标人应对CA证书妥善保管，如被他人盗用投标，因此带来的结果均由投标人自行承担。</w:t>
      </w:r>
    </w:p>
    <w:p w14:paraId="6205AD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5.3投标人应当对招标文件提出的实质性要求和条件作出实质性响应，并在电子投标系统逐条应答。</w:t>
      </w:r>
    </w:p>
    <w:p w14:paraId="0B10435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p>
    <w:p w14:paraId="311D010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6.投标人应当在招标文件要求提交投标文件的截止时间前，将投标文件提交至“苏采云”系统，逾期提交的投标文件，“苏采云”系统将自动拒收。各投标人应在规定时间内凭CA证书进行网上解密。</w:t>
      </w:r>
    </w:p>
    <w:p w14:paraId="72092D4C">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00" w:name="_Toc25552"/>
      <w:r>
        <w:rPr>
          <w:rFonts w:hint="eastAsia" w:ascii="宋体" w:hAnsi="宋体" w:eastAsia="宋体" w:cs="宋体"/>
          <w:color w:val="auto"/>
          <w:sz w:val="28"/>
          <w:szCs w:val="28"/>
          <w:highlight w:val="none"/>
        </w:rPr>
        <w:t>四、投标文件的递交</w:t>
      </w:r>
      <w:bookmarkEnd w:id="96"/>
      <w:bookmarkEnd w:id="97"/>
      <w:bookmarkEnd w:id="98"/>
      <w:bookmarkEnd w:id="99"/>
      <w:bookmarkEnd w:id="100"/>
    </w:p>
    <w:p w14:paraId="51CCA71C">
      <w:pPr>
        <w:adjustRightInd w:val="0"/>
        <w:snapToGrid w:val="0"/>
        <w:spacing w:line="460" w:lineRule="exact"/>
        <w:ind w:firstLine="560" w:firstLineChars="200"/>
        <w:outlineLvl w:val="2"/>
        <w:rPr>
          <w:rFonts w:ascii="宋体" w:hAnsi="宋体" w:cs="宋体"/>
          <w:bCs/>
          <w:color w:val="auto"/>
          <w:sz w:val="28"/>
          <w:szCs w:val="28"/>
          <w:highlight w:val="none"/>
        </w:rPr>
      </w:pPr>
      <w:bookmarkStart w:id="101" w:name="_Toc16938541"/>
      <w:bookmarkStart w:id="102" w:name="_Toc513029225"/>
      <w:bookmarkStart w:id="103" w:name="_Toc20823297"/>
      <w:bookmarkStart w:id="104" w:name="_Toc462564084"/>
      <w:bookmarkStart w:id="105" w:name="_Toc28087"/>
      <w:bookmarkStart w:id="106" w:name="_Toc513029229"/>
      <w:bookmarkStart w:id="107" w:name="_Toc16938545"/>
      <w:bookmarkStart w:id="108" w:name="_Toc20823301"/>
      <w:bookmarkStart w:id="109" w:name="_Toc120614218"/>
      <w:r>
        <w:rPr>
          <w:rFonts w:hint="eastAsia" w:ascii="宋体" w:hAnsi="宋体" w:cs="宋体"/>
          <w:bCs/>
          <w:color w:val="auto"/>
          <w:sz w:val="28"/>
          <w:szCs w:val="28"/>
          <w:highlight w:val="none"/>
        </w:rPr>
        <w:t>1.</w:t>
      </w:r>
      <w:bookmarkEnd w:id="101"/>
      <w:bookmarkEnd w:id="102"/>
      <w:bookmarkEnd w:id="103"/>
      <w:bookmarkEnd w:id="104"/>
      <w:r>
        <w:rPr>
          <w:rFonts w:hint="eastAsia" w:ascii="宋体" w:hAnsi="宋体" w:cs="宋体"/>
          <w:bCs/>
          <w:color w:val="auto"/>
          <w:sz w:val="28"/>
          <w:szCs w:val="28"/>
          <w:highlight w:val="none"/>
        </w:rPr>
        <w:t>投标文件的提交</w:t>
      </w:r>
      <w:bookmarkEnd w:id="105"/>
    </w:p>
    <w:p w14:paraId="751B4E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1.1线上提交与接收地点：投标人应当通过“苏采云”系统提交数据电文形式的投标文件（即电子投标），“苏采云”系统自动接收。</w:t>
      </w:r>
    </w:p>
    <w:p w14:paraId="79BE4E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4A5256CE">
      <w:pPr>
        <w:adjustRightInd w:val="0"/>
        <w:snapToGrid w:val="0"/>
        <w:spacing w:line="460" w:lineRule="exact"/>
        <w:ind w:firstLine="560" w:firstLineChars="200"/>
        <w:outlineLvl w:val="2"/>
        <w:rPr>
          <w:rFonts w:ascii="宋体" w:hAnsi="宋体" w:cs="宋体"/>
          <w:bCs/>
          <w:color w:val="auto"/>
          <w:sz w:val="28"/>
          <w:szCs w:val="28"/>
          <w:highlight w:val="none"/>
        </w:rPr>
      </w:pPr>
      <w:bookmarkStart w:id="110" w:name="_Toc60"/>
      <w:r>
        <w:rPr>
          <w:rFonts w:hint="eastAsia" w:ascii="宋体" w:hAnsi="宋体" w:cs="宋体"/>
          <w:bCs/>
          <w:color w:val="auto"/>
          <w:sz w:val="28"/>
          <w:szCs w:val="28"/>
          <w:highlight w:val="none"/>
        </w:rPr>
        <w:t>2.提交投标文件截止日期</w:t>
      </w:r>
      <w:bookmarkEnd w:id="110"/>
    </w:p>
    <w:p w14:paraId="69F8F9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2.1投标人上传电子投标文件的时间不得迟于公开招标公告中规定的投标文件提交截止时间。</w:t>
      </w:r>
    </w:p>
    <w:p w14:paraId="35BDC02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投标人应充分考虑到网络环境、网络带宽等风险因素，如因投标人自身原因造成的电子投标文件上传不成功由投标人自行承担全部责任。</w:t>
      </w:r>
    </w:p>
    <w:p w14:paraId="71617C3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2.2招标人或招标代理机构可以按照规定，通过修改投标文件酌情延长投标文件提交截止日期，在此情况下，投标人的所有权利和义务以及投标人受制的截止日期均应以延长后新的截止日期为准。</w:t>
      </w:r>
    </w:p>
    <w:p w14:paraId="5F1A87D1">
      <w:pPr>
        <w:adjustRightInd w:val="0"/>
        <w:snapToGrid w:val="0"/>
        <w:spacing w:line="460" w:lineRule="exact"/>
        <w:ind w:firstLine="560" w:firstLineChars="200"/>
        <w:outlineLvl w:val="2"/>
        <w:rPr>
          <w:rFonts w:ascii="宋体" w:hAnsi="宋体" w:cs="宋体"/>
          <w:bCs/>
          <w:color w:val="auto"/>
          <w:sz w:val="28"/>
          <w:szCs w:val="28"/>
          <w:highlight w:val="none"/>
        </w:rPr>
      </w:pPr>
      <w:bookmarkStart w:id="111" w:name="_Toc2805"/>
      <w:r>
        <w:rPr>
          <w:rFonts w:hint="eastAsia" w:ascii="宋体" w:hAnsi="宋体" w:cs="宋体"/>
          <w:bCs/>
          <w:color w:val="auto"/>
          <w:sz w:val="28"/>
          <w:szCs w:val="28"/>
          <w:highlight w:val="none"/>
        </w:rPr>
        <w:t>3.投标文件的密封（加密）要求：</w:t>
      </w:r>
      <w:bookmarkEnd w:id="111"/>
    </w:p>
    <w:p w14:paraId="09E28BB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4323AA5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3.2投标人须通过“苏采云”系统提供的政府采购客户端工具（使用“CA数字证书”）加盖电子签章。</w:t>
      </w:r>
    </w:p>
    <w:p w14:paraId="309303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说明：投标人应在用CA数字证书以及自备的能够登录“苏采云”系统的电脑，在达到开标时间后，使用CA数字证书解密各自投标文件。</w:t>
      </w:r>
    </w:p>
    <w:p w14:paraId="16C681C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3.3投标人未按规定加密的投标文件，“苏采云”系统将拒收并提示。</w:t>
      </w:r>
    </w:p>
    <w:p w14:paraId="412C48D8">
      <w:pPr>
        <w:adjustRightInd w:val="0"/>
        <w:snapToGrid w:val="0"/>
        <w:spacing w:line="460" w:lineRule="exact"/>
        <w:ind w:firstLine="560" w:firstLineChars="200"/>
        <w:outlineLvl w:val="2"/>
        <w:rPr>
          <w:rFonts w:ascii="宋体" w:hAnsi="宋体" w:cs="宋体"/>
          <w:bCs/>
          <w:color w:val="auto"/>
          <w:sz w:val="28"/>
          <w:szCs w:val="28"/>
          <w:highlight w:val="none"/>
        </w:rPr>
      </w:pPr>
      <w:bookmarkStart w:id="112" w:name="_Toc27425"/>
      <w:r>
        <w:rPr>
          <w:rFonts w:hint="eastAsia" w:ascii="宋体" w:hAnsi="宋体" w:cs="宋体"/>
          <w:bCs/>
          <w:color w:val="auto"/>
          <w:sz w:val="28"/>
          <w:szCs w:val="28"/>
          <w:highlight w:val="none"/>
        </w:rPr>
        <w:t>4.投标文件的拒收</w:t>
      </w:r>
      <w:bookmarkEnd w:id="112"/>
    </w:p>
    <w:p w14:paraId="05D2F95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4.1招标代理机构拒绝接收在其规定的投标文件提交截止时间后上传的任何投标文件。</w:t>
      </w:r>
    </w:p>
    <w:p w14:paraId="2A37190E">
      <w:pPr>
        <w:adjustRightInd w:val="0"/>
        <w:snapToGrid w:val="0"/>
        <w:spacing w:line="460" w:lineRule="exact"/>
        <w:ind w:firstLine="560" w:firstLineChars="200"/>
        <w:outlineLvl w:val="2"/>
        <w:rPr>
          <w:rFonts w:ascii="宋体" w:hAnsi="宋体" w:cs="宋体"/>
          <w:bCs/>
          <w:color w:val="auto"/>
          <w:sz w:val="28"/>
          <w:szCs w:val="28"/>
          <w:highlight w:val="none"/>
        </w:rPr>
      </w:pPr>
      <w:bookmarkStart w:id="113" w:name="_Toc13316"/>
      <w:r>
        <w:rPr>
          <w:rFonts w:hint="eastAsia" w:ascii="宋体" w:hAnsi="宋体" w:cs="宋体"/>
          <w:bCs/>
          <w:color w:val="auto"/>
          <w:sz w:val="28"/>
          <w:szCs w:val="28"/>
          <w:highlight w:val="none"/>
        </w:rPr>
        <w:t>5.投标文件的撤回和修改</w:t>
      </w:r>
      <w:bookmarkEnd w:id="113"/>
    </w:p>
    <w:p w14:paraId="1A4FF9DF">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5.1投标文件的撤回</w:t>
      </w:r>
    </w:p>
    <w:p w14:paraId="1E270767">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5.1.1电子投标文件的撤回</w:t>
      </w:r>
    </w:p>
    <w:p w14:paraId="75BD36D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投标人可在投标文件提交截止时间前，撤回其电子投标文件，具体操作方法见“苏采云”系统供应商操作手册。</w:t>
      </w:r>
    </w:p>
    <w:p w14:paraId="5B544A3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5.1.2投标人撤回电子投标文件，则认为其不再参与本项目投标活动。</w:t>
      </w:r>
    </w:p>
    <w:p w14:paraId="78641BC5">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5.2投标文件的修改</w:t>
      </w:r>
    </w:p>
    <w:p w14:paraId="5A9249D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投标人可在投标文件提交截止时间前，对其电子投标文件进行修改。具体操作方法见“苏采云”系统供应商操作手册。</w:t>
      </w:r>
    </w:p>
    <w:p w14:paraId="1AE4C59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5.3在投标文件提交截止时间之后，投标人不得对其电子投标文件作任何修改。</w:t>
      </w:r>
    </w:p>
    <w:p w14:paraId="6038D32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5.4在投标文件提交截止时间至招标文件中规定的投标有效期满之间的这段时间内，投标人不得撤回其投标文件。</w:t>
      </w:r>
    </w:p>
    <w:p w14:paraId="4C027C7C">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14" w:name="_Toc7634"/>
      <w:r>
        <w:rPr>
          <w:rFonts w:hint="eastAsia" w:ascii="宋体" w:hAnsi="宋体" w:eastAsia="宋体" w:cs="宋体"/>
          <w:color w:val="auto"/>
          <w:sz w:val="28"/>
          <w:szCs w:val="28"/>
          <w:highlight w:val="none"/>
        </w:rPr>
        <w:t>五、开标与评标</w:t>
      </w:r>
      <w:bookmarkEnd w:id="106"/>
      <w:bookmarkEnd w:id="107"/>
      <w:bookmarkEnd w:id="108"/>
      <w:bookmarkEnd w:id="109"/>
      <w:bookmarkEnd w:id="114"/>
    </w:p>
    <w:p w14:paraId="317B482A">
      <w:pPr>
        <w:spacing w:line="460" w:lineRule="exact"/>
        <w:ind w:firstLine="360"/>
        <w:outlineLvl w:val="2"/>
        <w:rPr>
          <w:rFonts w:ascii="宋体" w:hAnsi="宋体" w:cs="宋体"/>
          <w:bCs/>
          <w:color w:val="auto"/>
          <w:sz w:val="28"/>
          <w:szCs w:val="28"/>
          <w:highlight w:val="none"/>
        </w:rPr>
      </w:pPr>
      <w:bookmarkStart w:id="115" w:name="_Toc20724"/>
      <w:bookmarkStart w:id="116" w:name="_Toc513029231"/>
      <w:bookmarkStart w:id="117" w:name="_Toc16938547"/>
      <w:bookmarkStart w:id="118" w:name="_Toc20823303"/>
      <w:r>
        <w:rPr>
          <w:rFonts w:hint="eastAsia" w:ascii="宋体" w:hAnsi="宋体" w:cs="宋体"/>
          <w:bCs/>
          <w:color w:val="auto"/>
          <w:sz w:val="28"/>
          <w:szCs w:val="28"/>
          <w:highlight w:val="none"/>
        </w:rPr>
        <w:t>1.开标</w:t>
      </w:r>
      <w:bookmarkEnd w:id="115"/>
    </w:p>
    <w:p w14:paraId="7264F704">
      <w:pPr>
        <w:spacing w:line="460" w:lineRule="exact"/>
        <w:ind w:firstLine="482"/>
        <w:rPr>
          <w:rFonts w:ascii="宋体" w:hAnsi="宋体" w:cs="宋体"/>
          <w:b/>
          <w:color w:val="auto"/>
          <w:sz w:val="28"/>
          <w:szCs w:val="28"/>
          <w:highlight w:val="none"/>
        </w:rPr>
      </w:pPr>
      <w:r>
        <w:rPr>
          <w:rFonts w:hint="eastAsia" w:ascii="宋体" w:hAnsi="宋体" w:cs="宋体"/>
          <w:b/>
          <w:color w:val="auto"/>
          <w:sz w:val="28"/>
          <w:szCs w:val="28"/>
          <w:highlight w:val="none"/>
        </w:rPr>
        <w:t>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30分钟之内</w:t>
      </w:r>
      <w:r>
        <w:rPr>
          <w:rFonts w:hint="eastAsia" w:ascii="宋体" w:hAnsi="宋体" w:cs="宋体"/>
          <w:b/>
          <w:color w:val="auto"/>
          <w:sz w:val="28"/>
          <w:szCs w:val="28"/>
          <w:highlight w:val="none"/>
        </w:rPr>
        <w:t>完成。</w:t>
      </w:r>
    </w:p>
    <w:p w14:paraId="5380519B">
      <w:pPr>
        <w:spacing w:line="460" w:lineRule="exact"/>
        <w:ind w:firstLine="482"/>
        <w:rPr>
          <w:rFonts w:ascii="宋体" w:hAnsi="宋体" w:cs="宋体"/>
          <w:b/>
          <w:color w:val="auto"/>
          <w:sz w:val="28"/>
          <w:szCs w:val="28"/>
          <w:highlight w:val="none"/>
        </w:rPr>
      </w:pPr>
      <w:r>
        <w:rPr>
          <w:rFonts w:hint="eastAsia" w:ascii="宋体" w:hAnsi="宋体" w:cs="宋体"/>
          <w:b/>
          <w:color w:val="auto"/>
          <w:sz w:val="28"/>
          <w:szCs w:val="28"/>
          <w:highlight w:val="none"/>
          <w:u w:val="single"/>
        </w:rPr>
        <w:t>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因招标人（或招标代理机构）原因或网上招投标平台发生故障，导致无法按时完成投标文件解密或开、评标工作无法进行的，可根据实际情况相应延迟解密时间或调整开、评标时间。</w:t>
      </w:r>
    </w:p>
    <w:p w14:paraId="74CBAAFC">
      <w:pPr>
        <w:spacing w:line="460" w:lineRule="exact"/>
        <w:ind w:firstLine="480"/>
        <w:rPr>
          <w:rFonts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开标仪式由</w:t>
      </w:r>
      <w:r>
        <w:rPr>
          <w:rFonts w:hint="eastAsia" w:ascii="宋体" w:hAnsi="宋体" w:cs="宋体"/>
          <w:bCs/>
          <w:color w:val="auto"/>
          <w:sz w:val="28"/>
          <w:szCs w:val="28"/>
          <w:highlight w:val="none"/>
        </w:rPr>
        <w:t>招标代理机构</w:t>
      </w:r>
      <w:r>
        <w:rPr>
          <w:rFonts w:hint="eastAsia" w:ascii="宋体" w:hAnsi="宋体" w:cs="宋体"/>
          <w:color w:val="auto"/>
          <w:sz w:val="28"/>
          <w:szCs w:val="28"/>
          <w:highlight w:val="none"/>
        </w:rPr>
        <w:t>组织。苏采云系统将自动对项目进行开标，并宣布各投标人名称和投标价格。</w:t>
      </w:r>
    </w:p>
    <w:p w14:paraId="4CFEA05F">
      <w:pPr>
        <w:spacing w:line="460" w:lineRule="exact"/>
        <w:ind w:firstLine="480"/>
        <w:rPr>
          <w:rFonts w:ascii="宋体" w:hAnsi="宋体" w:cs="宋体"/>
          <w:color w:val="auto"/>
          <w:sz w:val="28"/>
          <w:szCs w:val="28"/>
          <w:highlight w:val="none"/>
        </w:rPr>
      </w:pPr>
      <w:r>
        <w:rPr>
          <w:rFonts w:hint="eastAsia" w:ascii="宋体" w:hAnsi="宋体" w:cs="宋体"/>
          <w:bCs/>
          <w:color w:val="auto"/>
          <w:sz w:val="28"/>
          <w:szCs w:val="28"/>
          <w:highlight w:val="none"/>
        </w:rPr>
        <w:t>1.4投标人在开标过程中涉及到的投标文件解密、开标结果确认等工作，应按照“苏采云”系统供应商操作手册规定执行。</w:t>
      </w:r>
    </w:p>
    <w:p w14:paraId="1487E7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1.5投标人如果对开标过程和开标记录有疑义，应当根据</w:t>
      </w:r>
      <w:r>
        <w:rPr>
          <w:rFonts w:hint="eastAsia" w:ascii="宋体" w:hAnsi="宋体" w:cs="宋体"/>
          <w:bCs/>
          <w:color w:val="auto"/>
          <w:sz w:val="28"/>
          <w:szCs w:val="28"/>
          <w:highlight w:val="none"/>
        </w:rPr>
        <w:t>“苏采云”系统供应商操作手册</w:t>
      </w:r>
      <w:r>
        <w:rPr>
          <w:rFonts w:hint="eastAsia" w:ascii="宋体" w:hAnsi="宋体" w:cs="宋体"/>
          <w:color w:val="auto"/>
          <w:sz w:val="28"/>
          <w:szCs w:val="28"/>
          <w:highlight w:val="none"/>
        </w:rPr>
        <w:t>规定提出，如苏采云系统中《开标记录表》宣布后5分钟内未提出的，视同认可开标结果。</w:t>
      </w:r>
    </w:p>
    <w:bookmarkEnd w:id="116"/>
    <w:bookmarkEnd w:id="117"/>
    <w:bookmarkEnd w:id="118"/>
    <w:p w14:paraId="6A6FFA7D">
      <w:pPr>
        <w:spacing w:line="460" w:lineRule="exact"/>
        <w:ind w:firstLine="480"/>
        <w:outlineLvl w:val="2"/>
        <w:rPr>
          <w:rFonts w:ascii="宋体" w:hAnsi="宋体" w:cs="宋体"/>
          <w:bCs/>
          <w:color w:val="auto"/>
          <w:sz w:val="28"/>
          <w:szCs w:val="28"/>
          <w:highlight w:val="none"/>
        </w:rPr>
      </w:pPr>
      <w:bookmarkStart w:id="119" w:name="_Toc27677"/>
      <w:r>
        <w:rPr>
          <w:rFonts w:hint="eastAsia" w:ascii="宋体" w:hAnsi="宋体" w:cs="宋体"/>
          <w:bCs/>
          <w:color w:val="auto"/>
          <w:sz w:val="28"/>
          <w:szCs w:val="28"/>
          <w:highlight w:val="none"/>
        </w:rPr>
        <w:t>2.评标委员会</w:t>
      </w:r>
      <w:bookmarkEnd w:id="119"/>
    </w:p>
    <w:p w14:paraId="61A61C59">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2.1开标后，招标代理机构将立即组织评标委员会（以下简称评委会）进行评审。</w:t>
      </w:r>
    </w:p>
    <w:p w14:paraId="4EC6F3B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2.2评委会由招标人代表和有关技术、经济等方面的专家组成，且人员构成符合政府采购有关规定。</w:t>
      </w:r>
    </w:p>
    <w:p w14:paraId="71F60C1D">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2.3评标委员会独立工作，负责评审所有投标文件并确定中标候选人。</w:t>
      </w:r>
    </w:p>
    <w:p w14:paraId="2F14F1E4">
      <w:pPr>
        <w:spacing w:line="460" w:lineRule="exact"/>
        <w:ind w:firstLine="480"/>
        <w:outlineLvl w:val="2"/>
        <w:rPr>
          <w:rFonts w:ascii="宋体" w:hAnsi="宋体" w:cs="宋体"/>
          <w:bCs/>
          <w:color w:val="auto"/>
          <w:sz w:val="28"/>
          <w:szCs w:val="28"/>
          <w:highlight w:val="none"/>
        </w:rPr>
      </w:pPr>
      <w:bookmarkStart w:id="120" w:name="_Toc10859"/>
      <w:r>
        <w:rPr>
          <w:rFonts w:hint="eastAsia" w:ascii="宋体" w:hAnsi="宋体" w:cs="宋体"/>
          <w:bCs/>
          <w:color w:val="auto"/>
          <w:sz w:val="28"/>
          <w:szCs w:val="28"/>
          <w:highlight w:val="none"/>
        </w:rPr>
        <w:t>3.评审过程的保密与公正</w:t>
      </w:r>
      <w:bookmarkEnd w:id="120"/>
    </w:p>
    <w:p w14:paraId="5A1D797C">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3.1评标委员会、招标人或招标代理机构、相关监督人员等与评审工作有关的人员，对评审情况以及在评审过程中获悉的国家秘密、商业秘密负有保密责任。</w:t>
      </w:r>
    </w:p>
    <w:p w14:paraId="00BCC30E">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3.2在评审过程中，投标人不得以任何行为影响评审过程，否则其投标文件将被作为无效投标文件。</w:t>
      </w:r>
    </w:p>
    <w:p w14:paraId="399A462B">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40E0E8A5">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3.4凡是与审查、澄清、评价和比较投标的有关资料以及授标建议等，招标人、评标委员会、招标代理机构均不得向投标人或与评标无关的其他人员透露。</w:t>
      </w:r>
    </w:p>
    <w:p w14:paraId="13CA1C20">
      <w:pPr>
        <w:spacing w:line="460" w:lineRule="exact"/>
        <w:ind w:firstLine="48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3.5在评审期间，招标代理机构将设专门人员与投标人联系。</w:t>
      </w:r>
    </w:p>
    <w:p w14:paraId="78E85861">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3.6招标人、招标代理机构和评标委员会不向未中标的投标人解释未中标原因，也不公布评审过程中的相关细节。</w:t>
      </w:r>
    </w:p>
    <w:p w14:paraId="26486CB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3.7 采用综合评分法的项目，未中标的投标人可于中标结果公告期限届满之日起通过苏采云系统查看自己的评审得分及排序情况。</w:t>
      </w:r>
    </w:p>
    <w:p w14:paraId="6BE0DE57">
      <w:pPr>
        <w:spacing w:line="460" w:lineRule="exact"/>
        <w:ind w:firstLine="480"/>
        <w:outlineLvl w:val="2"/>
        <w:rPr>
          <w:rFonts w:ascii="宋体" w:hAnsi="宋体" w:cs="宋体"/>
          <w:bCs/>
          <w:color w:val="auto"/>
          <w:sz w:val="28"/>
          <w:szCs w:val="28"/>
          <w:highlight w:val="none"/>
        </w:rPr>
      </w:pPr>
      <w:bookmarkStart w:id="121" w:name="_Toc30673"/>
      <w:r>
        <w:rPr>
          <w:rFonts w:hint="eastAsia" w:ascii="宋体" w:hAnsi="宋体" w:cs="宋体"/>
          <w:bCs/>
          <w:color w:val="auto"/>
          <w:sz w:val="28"/>
          <w:szCs w:val="28"/>
          <w:highlight w:val="none"/>
        </w:rPr>
        <w:t>4.投标文件的澄清</w:t>
      </w:r>
      <w:bookmarkEnd w:id="121"/>
    </w:p>
    <w:p w14:paraId="64BB650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074B0B95">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0B3676D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4.3 接到评标委员会澄清、说明和更正要求的投标人如未按规定做出澄清、说明和更正，其风险由投标人自行承担。</w:t>
      </w:r>
    </w:p>
    <w:p w14:paraId="299860F7">
      <w:pPr>
        <w:spacing w:line="460" w:lineRule="exact"/>
        <w:ind w:firstLine="480"/>
        <w:outlineLvl w:val="2"/>
        <w:rPr>
          <w:rFonts w:ascii="宋体" w:hAnsi="宋体" w:cs="宋体"/>
          <w:bCs/>
          <w:color w:val="auto"/>
          <w:sz w:val="28"/>
          <w:szCs w:val="28"/>
          <w:highlight w:val="none"/>
        </w:rPr>
      </w:pPr>
      <w:bookmarkStart w:id="122" w:name="_Toc3995"/>
      <w:r>
        <w:rPr>
          <w:rFonts w:hint="eastAsia" w:ascii="宋体" w:hAnsi="宋体" w:cs="宋体"/>
          <w:bCs/>
          <w:color w:val="auto"/>
          <w:sz w:val="28"/>
          <w:szCs w:val="28"/>
          <w:highlight w:val="none"/>
        </w:rPr>
        <w:t>5.对投标文件的审查</w:t>
      </w:r>
      <w:bookmarkEnd w:id="122"/>
    </w:p>
    <w:p w14:paraId="490B3A67">
      <w:pPr>
        <w:spacing w:line="460" w:lineRule="exact"/>
        <w:ind w:firstLine="48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5.1投标文件初审分为资格性审查和符合性审查。</w:t>
      </w:r>
    </w:p>
    <w:p w14:paraId="16FE9BC2">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5.1.1资格性检查：依据法律法规和招标文件的规定，由招标人对投标文件中的资格证明文件进行审查。资格审查的结论，招标人以书面形式向评委会进行反馈。</w:t>
      </w:r>
    </w:p>
    <w:p w14:paraId="4F95F56F">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5.1.2招标人在进行资格性审查的同时，将在“信用中国”网站（www.creditchina.gov.cn）查询投标人的信用记录，以确定投标人是否具备投标资格,查询结果留存并归档。</w:t>
      </w:r>
    </w:p>
    <w:p w14:paraId="2C4717E5">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5.1.3接受联合体的项目，两个以上的自然人、法人或者其他组织组成一个联合体，以一个投标人的身份共同参加政府采购活动的,联合体成员中任何一方存在不良信用记录的，视同联合体存在不良应用记录。</w:t>
      </w:r>
    </w:p>
    <w:p w14:paraId="2260849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5.1.4符合性审查：依据招标文件的规定，由评标委员会从投标文件的有效性、完整性和对招标文件的响应程度进行审查，以确定是否对招标文件的实质性要求作出响应。</w:t>
      </w:r>
    </w:p>
    <w:p w14:paraId="228E960C">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5.1.5未通过资格审查或符合性审查的投标人，招标代理机构将在苏采云系统中告知未通过资格审查或符合性审查的原因，评审结束后，招标代理机构将不再告知未通过资格审查或符合性审查的原因。</w:t>
      </w:r>
    </w:p>
    <w:p w14:paraId="64587DCA">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23D8A0E8">
      <w:pPr>
        <w:spacing w:line="460" w:lineRule="exact"/>
        <w:ind w:firstLine="560"/>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w:t>
      </w:r>
      <w:r>
        <w:rPr>
          <w:rFonts w:hint="eastAsia" w:ascii="宋体" w:hAnsi="宋体" w:cs="宋体"/>
          <w:bCs/>
          <w:color w:val="auto"/>
          <w:sz w:val="28"/>
          <w:szCs w:val="28"/>
        </w:rPr>
        <w:t>根据财库〔2026〕2号文件,政府采购评审中出现下列情形之一的，评审委员会应当启动异常低价投标（响应）审查程序：</w:t>
      </w:r>
    </w:p>
    <w:p w14:paraId="23D8A0E9">
      <w:pPr>
        <w:spacing w:line="460" w:lineRule="exact"/>
        <w:ind w:firstLine="560"/>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2.1.1</w:t>
      </w:r>
      <w:r>
        <w:rPr>
          <w:rFonts w:hint="eastAsia" w:ascii="宋体" w:hAnsi="宋体" w:cs="宋体"/>
          <w:bCs/>
          <w:color w:val="auto"/>
          <w:sz w:val="28"/>
          <w:szCs w:val="28"/>
        </w:rPr>
        <w:t xml:space="preserve">投标（响应）报价低于全部通过符合性审查供应商投标（响应）报价平均值50%的，即投标（响应）报价&lt;全部通过符合性审查供应商投标（响应）报价平均值×50%； </w:t>
      </w:r>
    </w:p>
    <w:p w14:paraId="23D8A0EA">
      <w:pPr>
        <w:spacing w:line="460" w:lineRule="exact"/>
        <w:ind w:firstLine="560"/>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2.1.2</w:t>
      </w:r>
      <w:r>
        <w:rPr>
          <w:rFonts w:hint="eastAsia" w:ascii="宋体" w:hAnsi="宋体" w:cs="宋体"/>
          <w:bCs/>
          <w:color w:val="auto"/>
          <w:sz w:val="28"/>
          <w:szCs w:val="28"/>
        </w:rPr>
        <w:t xml:space="preserve">投标（响应）报价低于通过符合性审查的次低报价供应商投标（响应）报价50%的，即投标（响应）报价&lt;通过符合性审查的次低报价供应商投标（响应）报价×50%； </w:t>
      </w:r>
    </w:p>
    <w:p w14:paraId="23D8A0EB">
      <w:pPr>
        <w:spacing w:line="460" w:lineRule="exact"/>
        <w:ind w:firstLine="560"/>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2.1.3</w:t>
      </w:r>
      <w:r>
        <w:rPr>
          <w:rFonts w:hint="eastAsia" w:ascii="宋体" w:hAnsi="宋体" w:cs="宋体"/>
          <w:bCs/>
          <w:color w:val="auto"/>
          <w:sz w:val="28"/>
          <w:szCs w:val="28"/>
        </w:rPr>
        <w:t xml:space="preserve">投标（响应）报价低于采购项目最高限价45%的，即投标（响应）报价&lt;采购项目最高限价×45%； </w:t>
      </w:r>
    </w:p>
    <w:p w14:paraId="23D8A0EC">
      <w:pPr>
        <w:spacing w:line="460" w:lineRule="exact"/>
        <w:ind w:firstLine="560"/>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2.1.4</w:t>
      </w:r>
      <w:r>
        <w:rPr>
          <w:rFonts w:hint="eastAsia" w:ascii="宋体" w:hAnsi="宋体" w:cs="宋体"/>
          <w:bCs/>
          <w:color w:val="auto"/>
          <w:sz w:val="28"/>
          <w:szCs w:val="28"/>
        </w:rPr>
        <w:t xml:space="preserve">评审委员会基于专业判断，认为供应商报价过低，有可能影响产品质量或者不能诚信履约的其他情形。 </w:t>
      </w:r>
    </w:p>
    <w:p w14:paraId="23D8A0ED">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1）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lang w:val="en-US" w:eastAsia="zh-CN"/>
        </w:rPr>
        <w:t>5</w:t>
      </w:r>
      <w:r>
        <w:rPr>
          <w:rFonts w:hint="eastAsia" w:ascii="宋体" w:hAnsi="宋体" w:cs="宋体"/>
          <w:bCs/>
          <w:color w:val="auto"/>
          <w:sz w:val="28"/>
          <w:szCs w:val="28"/>
        </w:rPr>
        <w:t>.</w:t>
      </w:r>
      <w:r>
        <w:rPr>
          <w:rFonts w:hint="eastAsia" w:ascii="宋体" w:hAnsi="宋体" w:cs="宋体"/>
          <w:bCs/>
          <w:color w:val="auto"/>
          <w:sz w:val="28"/>
          <w:szCs w:val="28"/>
          <w:lang w:val="en-US" w:eastAsia="zh-CN"/>
        </w:rPr>
        <w:t>2.1.3</w:t>
      </w:r>
      <w:r>
        <w:rPr>
          <w:rFonts w:hint="eastAsia" w:ascii="宋体" w:hAnsi="宋体" w:cs="宋体"/>
          <w:bCs/>
          <w:color w:val="auto"/>
          <w:sz w:val="28"/>
          <w:szCs w:val="28"/>
        </w:rPr>
        <w:t>项情形，投标人已随投标（响应）文件一并提交相关书面说明及必要的证明材料的，在评审现场可不再重复提交。</w:t>
      </w:r>
    </w:p>
    <w:p w14:paraId="23D8A0EE">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D8A0EF">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3）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23D8A0F0">
      <w:pPr>
        <w:spacing w:line="460" w:lineRule="exact"/>
        <w:ind w:firstLine="560"/>
        <w:rPr>
          <w:rFonts w:ascii="宋体" w:hAnsi="宋体" w:cs="宋体"/>
          <w:color w:val="auto"/>
          <w:sz w:val="28"/>
          <w:szCs w:val="28"/>
        </w:rPr>
      </w:pPr>
      <w:r>
        <w:rPr>
          <w:rFonts w:hint="eastAsia" w:ascii="宋体" w:hAnsi="宋体" w:cs="宋体"/>
          <w:bCs/>
          <w:color w:val="auto"/>
          <w:sz w:val="28"/>
          <w:szCs w:val="28"/>
        </w:rPr>
        <w:t>（4）异常低价投标审查的启动原因、审查意见和审查结果应当在评审报告中记录，并随供应商提供的相关书面说明及证明材料，以及评审小组有关互联网浏览、查询历史一并归档。</w:t>
      </w:r>
    </w:p>
    <w:p w14:paraId="7428A1C0">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5.3在详细评审之前，评标委员会将首先审查每份投标文件是否实质性响应了招标文件的要求。实质性响应的投标文件应该是与招标文件要求的全部条款、条件和规格相符，没有重大负偏离或保留。</w:t>
      </w:r>
    </w:p>
    <w:p w14:paraId="5A2F0752">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7DBFB27F">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5.4如果投标文件实质上没有响应招标文件的要求，评标委员会将予以拒绝，投标人不得通过修改或撤销不合要求的偏离或保留而使其投标文件成为实质性响应的文件。</w:t>
      </w:r>
    </w:p>
    <w:p w14:paraId="1632F01D">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5.5评标委员会将对确定为实质性响应的文件进行进一步审核，看其是否有计算上或累加上的算术错误，修正错误的原则如下：</w:t>
      </w:r>
    </w:p>
    <w:p w14:paraId="2BF5EE99">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5FA92929">
      <w:pPr>
        <w:spacing w:line="460" w:lineRule="exact"/>
        <w:ind w:firstLine="48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73A6BAEE">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1E593570">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705BA79">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60BE96D">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5.6评标委员会将按上述修正错误的方法调整投标文件中的报价，通过“苏采云系统”告知投标人，调整后的价格应对投标人具有约束力。如果投标人不接受修正后的价格，则其投标文件将被拒绝。</w:t>
      </w:r>
    </w:p>
    <w:p w14:paraId="6B0EA6AF">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5.7评标委员会将允许修正投标文件中不构成重大偏离的、微小的、非正规的、不一致的或不规则的地方，但这些修改不能影响任何投标人相应的名次排列。</w:t>
      </w:r>
    </w:p>
    <w:p w14:paraId="195E9B47">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32CDC6B">
      <w:pPr>
        <w:spacing w:line="460" w:lineRule="exact"/>
        <w:ind w:firstLine="480"/>
        <w:rPr>
          <w:rFonts w:ascii="宋体" w:hAnsi="宋体" w:cs="宋体"/>
          <w:b/>
          <w:color w:val="auto"/>
          <w:sz w:val="28"/>
          <w:szCs w:val="28"/>
          <w:highlight w:val="none"/>
        </w:rPr>
      </w:pPr>
      <w:r>
        <w:rPr>
          <w:rFonts w:hint="eastAsia" w:ascii="宋体" w:hAnsi="宋体" w:cs="宋体"/>
          <w:b/>
          <w:color w:val="auto"/>
          <w:sz w:val="28"/>
          <w:szCs w:val="28"/>
          <w:highlight w:val="none"/>
        </w:rPr>
        <w:t>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13B77BB">
      <w:pPr>
        <w:spacing w:line="460" w:lineRule="exact"/>
        <w:ind w:firstLine="480"/>
        <w:rPr>
          <w:rFonts w:ascii="宋体" w:hAnsi="宋体" w:cs="宋体"/>
          <w:b/>
          <w:color w:val="auto"/>
          <w:sz w:val="28"/>
          <w:szCs w:val="28"/>
          <w:highlight w:val="none"/>
        </w:rPr>
      </w:pPr>
      <w:r>
        <w:rPr>
          <w:rFonts w:hint="eastAsia" w:ascii="宋体" w:hAnsi="宋体" w:cs="宋体"/>
          <w:b/>
          <w:color w:val="auto"/>
          <w:sz w:val="28"/>
          <w:szCs w:val="28"/>
          <w:highlight w:val="none"/>
        </w:rPr>
        <w:t>5.10非单一产品采购项目，招标文件中将载明其中的核心产品。多家投标人提供的核心产品品牌相同的，按前两款规定处理。</w:t>
      </w:r>
    </w:p>
    <w:p w14:paraId="37FA7609">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5.11 投标人在开、评标全过程中应保持通讯畅通，及时登录苏采云系统查阅、答复相关信息，并安排专人与招标人或招标代理机构及评标委员会联系。</w:t>
      </w:r>
    </w:p>
    <w:p w14:paraId="49ADAEC6">
      <w:pPr>
        <w:spacing w:line="460" w:lineRule="exact"/>
        <w:ind w:firstLine="480"/>
        <w:outlineLvl w:val="2"/>
        <w:rPr>
          <w:rFonts w:ascii="宋体" w:hAnsi="宋体" w:cs="宋体"/>
          <w:bCs/>
          <w:color w:val="auto"/>
          <w:sz w:val="28"/>
          <w:szCs w:val="28"/>
          <w:highlight w:val="none"/>
        </w:rPr>
      </w:pPr>
      <w:bookmarkStart w:id="123" w:name="_Toc15738"/>
      <w:r>
        <w:rPr>
          <w:rFonts w:hint="eastAsia" w:ascii="宋体" w:hAnsi="宋体" w:cs="宋体"/>
          <w:bCs/>
          <w:color w:val="auto"/>
          <w:sz w:val="28"/>
          <w:szCs w:val="28"/>
          <w:highlight w:val="none"/>
        </w:rPr>
        <w:t>6.投标文件线上格式要求</w:t>
      </w:r>
      <w:bookmarkEnd w:id="123"/>
    </w:p>
    <w:p w14:paraId="13FBE057">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6.1投标人应当通过“苏采云”系统提交数据电文形式的投标文件（即电子投标）。</w:t>
      </w:r>
    </w:p>
    <w:p w14:paraId="437CB0D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6.2 通过“苏采云”系统提交政府采购客户端工具导出加密的投标文件（后缀名为zip）。投标文件不得超过150M！</w:t>
      </w:r>
    </w:p>
    <w:p w14:paraId="24CDF46B">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6.3本项目采用线上投标，即投标人投标文件从政府采购客户端工具制作通过“苏采云”系统提交，未提供线上投标文件的，投标无效。</w:t>
      </w:r>
    </w:p>
    <w:p w14:paraId="3B2D5D35">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124" w:name="_Toc13461"/>
      <w:r>
        <w:rPr>
          <w:rFonts w:hint="eastAsia" w:ascii="宋体" w:hAnsi="宋体" w:cs="宋体"/>
          <w:color w:val="auto"/>
          <w:sz w:val="28"/>
          <w:szCs w:val="28"/>
          <w:highlight w:val="none"/>
        </w:rPr>
        <w:t>7.无效投标条款和废标条款</w:t>
      </w:r>
      <w:bookmarkEnd w:id="124"/>
    </w:p>
    <w:p w14:paraId="78B100B7">
      <w:pPr>
        <w:spacing w:line="460" w:lineRule="exact"/>
        <w:ind w:firstLine="560" w:firstLineChars="200"/>
        <w:rPr>
          <w:rFonts w:ascii="宋体" w:hAnsi="宋体" w:cs="宋体"/>
          <w:bCs/>
          <w:color w:val="auto"/>
          <w:sz w:val="28"/>
          <w:szCs w:val="28"/>
          <w:highlight w:val="none"/>
        </w:rPr>
      </w:pPr>
      <w:bookmarkStart w:id="125" w:name="_Toc16938551"/>
      <w:bookmarkStart w:id="126" w:name="_Toc20823307"/>
      <w:bookmarkStart w:id="127" w:name="_Toc513029235"/>
      <w:r>
        <w:rPr>
          <w:rFonts w:hint="eastAsia" w:ascii="宋体" w:hAnsi="宋体" w:cs="宋体"/>
          <w:bCs/>
          <w:color w:val="auto"/>
          <w:sz w:val="28"/>
          <w:szCs w:val="28"/>
          <w:highlight w:val="none"/>
        </w:rPr>
        <w:t>7.1.1 同一投标人提交两个（含两个）以上不同的投标报价的。</w:t>
      </w:r>
    </w:p>
    <w:p w14:paraId="44134E0D">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7.1.2投标人不具备招标文件中规定资格要求的。</w:t>
      </w:r>
    </w:p>
    <w:p w14:paraId="5E5BF1B5">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7.1.3投标人的报价超过了采购预算或最高限价的。</w:t>
      </w:r>
    </w:p>
    <w:p w14:paraId="1476CF49">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7.1.4未通过符合性检查的。</w:t>
      </w:r>
    </w:p>
    <w:p w14:paraId="5A115D58">
      <w:pPr>
        <w:spacing w:line="460" w:lineRule="exact"/>
        <w:ind w:firstLine="560" w:firstLineChars="200"/>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7.1.5不符合招标文件中规定的其他实质性要求和条件的。</w:t>
      </w:r>
    </w:p>
    <w:p w14:paraId="7ED2115A">
      <w:pPr>
        <w:spacing w:line="460" w:lineRule="exact"/>
        <w:ind w:firstLine="560" w:firstLineChars="200"/>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8FC4776">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7.1.7投标文件含有招标人不能接受的附加条件的 。</w:t>
      </w:r>
    </w:p>
    <w:p w14:paraId="42F5F1EF">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7.1.8 启动异常低价响应审查后，供应商不提供书面说明、证明材料，或者提供的书面说明、证明材料不能证明其报价合理性的。</w:t>
      </w:r>
    </w:p>
    <w:p w14:paraId="6AD2D5F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64A9AADA">
      <w:pPr>
        <w:adjustRightInd w:val="0"/>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7.1.10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2E235223">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7.1.11投标文件未按照招标文件要求加盖CA电子公章的。</w:t>
      </w:r>
    </w:p>
    <w:p w14:paraId="0FB03C3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7.1.12投标人的商务技术部分得分相差悬殊，评标委员会认为得分畸低者没有实质性响应的。</w:t>
      </w:r>
    </w:p>
    <w:p w14:paraId="68570EB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7.1.13其他法律、法规及本招标文件规定的属无效投标的情形。</w:t>
      </w:r>
    </w:p>
    <w:p w14:paraId="2AAB7603">
      <w:pPr>
        <w:pStyle w:val="158"/>
        <w:ind w:left="0" w:firstLine="560" w:firstLineChars="200"/>
        <w:rPr>
          <w:rFonts w:ascii="宋体" w:hAnsi="宋体" w:eastAsia="宋体" w:cs="宋体"/>
          <w:bCs/>
          <w:color w:val="auto"/>
          <w:kern w:val="2"/>
          <w:szCs w:val="28"/>
          <w:highlight w:val="none"/>
        </w:rPr>
      </w:pPr>
      <w:r>
        <w:rPr>
          <w:rFonts w:hint="eastAsia" w:ascii="宋体" w:hAnsi="宋体" w:eastAsia="宋体" w:cs="宋体"/>
          <w:bCs/>
          <w:color w:val="auto"/>
          <w:kern w:val="2"/>
          <w:szCs w:val="28"/>
          <w:highlight w:val="none"/>
        </w:rPr>
        <w:t>7.1.14不同的投标人响应文件MAC地址、标书制作工具客户端识别码一致的。</w:t>
      </w:r>
    </w:p>
    <w:p w14:paraId="211B87BF">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7.1.15其他法律、法规及本招标文件规定的属无效投标的情形。</w:t>
      </w:r>
    </w:p>
    <w:p w14:paraId="36E4DAA2">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7.2废标条款：</w:t>
      </w:r>
    </w:p>
    <w:p w14:paraId="5EEA98B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7.2.1符合专业条件的投标人或者对招标文件作实质响应的投标人不足三家的。</w:t>
      </w:r>
    </w:p>
    <w:p w14:paraId="2221384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7.2.2出现影响采购公正的违法、违规行为的。</w:t>
      </w:r>
    </w:p>
    <w:p w14:paraId="3B1A01A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7.2.3因重大变故，采购任务取消的。</w:t>
      </w:r>
    </w:p>
    <w:p w14:paraId="329A4FE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7.2.4评标委员会认定招标文件存在歧义、重大缺陷导致评审工作无法进行。</w:t>
      </w:r>
    </w:p>
    <w:p w14:paraId="1E7EFF42">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7.2.5 因苏采云系统故障原因造成开标不成功的。</w:t>
      </w:r>
    </w:p>
    <w:p w14:paraId="6B748F3B">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7.3 投标截止时间结束后参加投标的投标人不足三家的处理：</w:t>
      </w:r>
    </w:p>
    <w:p w14:paraId="6B56566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7.3.1如出现投标截止时间结束后参加投标的投标人或者在评标期间对招标文件做出实质响应的投标人不足三家情况，按政府采购相关规定执行。</w:t>
      </w:r>
    </w:p>
    <w:bookmarkEnd w:id="125"/>
    <w:bookmarkEnd w:id="126"/>
    <w:bookmarkEnd w:id="127"/>
    <w:p w14:paraId="06A434E2">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28" w:name="_Toc120614219"/>
      <w:bookmarkStart w:id="129" w:name="_Toc27597"/>
      <w:r>
        <w:rPr>
          <w:rFonts w:hint="eastAsia" w:ascii="宋体" w:hAnsi="宋体" w:eastAsia="宋体" w:cs="宋体"/>
          <w:color w:val="auto"/>
          <w:sz w:val="28"/>
          <w:szCs w:val="28"/>
          <w:highlight w:val="none"/>
        </w:rPr>
        <w:t>六、定标</w:t>
      </w:r>
      <w:bookmarkEnd w:id="128"/>
      <w:bookmarkEnd w:id="129"/>
    </w:p>
    <w:p w14:paraId="2F16858E">
      <w:pPr>
        <w:adjustRightInd w:val="0"/>
        <w:snapToGrid w:val="0"/>
        <w:spacing w:line="460" w:lineRule="exact"/>
        <w:ind w:firstLine="560" w:firstLineChars="200"/>
        <w:outlineLvl w:val="2"/>
        <w:rPr>
          <w:rFonts w:ascii="宋体" w:hAnsi="宋体" w:cs="宋体"/>
          <w:b/>
          <w:color w:val="auto"/>
          <w:sz w:val="28"/>
          <w:szCs w:val="28"/>
          <w:highlight w:val="none"/>
        </w:rPr>
      </w:pPr>
      <w:bookmarkStart w:id="130" w:name="_Toc20823310"/>
      <w:bookmarkStart w:id="131" w:name="_Toc16938554"/>
      <w:bookmarkStart w:id="132" w:name="_Toc21628"/>
      <w:r>
        <w:rPr>
          <w:rFonts w:hint="eastAsia" w:ascii="宋体" w:hAnsi="宋体" w:cs="宋体"/>
          <w:color w:val="auto"/>
          <w:sz w:val="28"/>
          <w:szCs w:val="28"/>
          <w:highlight w:val="none"/>
        </w:rPr>
        <w:t>1.确定</w:t>
      </w:r>
      <w:bookmarkEnd w:id="130"/>
      <w:bookmarkEnd w:id="131"/>
      <w:r>
        <w:rPr>
          <w:rFonts w:hint="eastAsia" w:ascii="宋体" w:hAnsi="宋体" w:cs="宋体"/>
          <w:color w:val="auto"/>
          <w:sz w:val="28"/>
          <w:szCs w:val="28"/>
          <w:highlight w:val="none"/>
        </w:rPr>
        <w:t>中标单位</w:t>
      </w:r>
      <w:bookmarkEnd w:id="132"/>
    </w:p>
    <w:p w14:paraId="45755B5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5E4756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196DB6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代理机构将在“江苏政府采购网”发布中标公告，公告期限为1个工作日。</w:t>
      </w:r>
    </w:p>
    <w:p w14:paraId="5BB3883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696DCE4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771F01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1.4.2向招标人、代理机构行贿或者提供其他不正当利益的。</w:t>
      </w:r>
    </w:p>
    <w:p w14:paraId="741B613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02C8B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443274E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1.4.5与招标人或者其他投标人恶意串通的。</w:t>
      </w:r>
    </w:p>
    <w:p w14:paraId="5A71696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1.4.6采取不正当手段诋毁、排挤其他投标人的。</w:t>
      </w:r>
    </w:p>
    <w:p w14:paraId="73C98CD1">
      <w:pPr>
        <w:adjustRightInd w:val="0"/>
        <w:snapToGrid w:val="0"/>
        <w:spacing w:line="460" w:lineRule="exact"/>
        <w:ind w:firstLine="560" w:firstLineChars="200"/>
        <w:outlineLvl w:val="3"/>
        <w:rPr>
          <w:rFonts w:ascii="宋体" w:hAnsi="宋体" w:cs="宋体"/>
          <w:color w:val="auto"/>
          <w:sz w:val="28"/>
          <w:szCs w:val="28"/>
          <w:highlight w:val="none"/>
        </w:rPr>
      </w:pPr>
      <w:bookmarkStart w:id="133"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7781A3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5B96801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480D710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6E2B0F5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20D9399C">
      <w:pPr>
        <w:adjustRightInd w:val="0"/>
        <w:snapToGrid w:val="0"/>
        <w:spacing w:line="460" w:lineRule="exact"/>
        <w:ind w:firstLine="560" w:firstLineChars="200"/>
        <w:outlineLvl w:val="2"/>
        <w:rPr>
          <w:rFonts w:ascii="宋体" w:hAnsi="宋体" w:cs="宋体"/>
          <w:b/>
          <w:color w:val="auto"/>
          <w:sz w:val="28"/>
          <w:szCs w:val="28"/>
          <w:highlight w:val="none"/>
        </w:rPr>
      </w:pPr>
      <w:bookmarkStart w:id="134" w:name="_Toc922"/>
      <w:r>
        <w:rPr>
          <w:rFonts w:hint="eastAsia" w:ascii="宋体" w:hAnsi="宋体" w:cs="宋体"/>
          <w:color w:val="auto"/>
          <w:sz w:val="28"/>
          <w:szCs w:val="28"/>
          <w:highlight w:val="none"/>
        </w:rPr>
        <w:t>2.质疑处理</w:t>
      </w:r>
      <w:bookmarkEnd w:id="133"/>
      <w:bookmarkEnd w:id="134"/>
    </w:p>
    <w:p w14:paraId="7FD02F5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 提出质疑的投标人应当是参与所质疑项目采购活动的投标人。潜在投标人依法获取其可质疑的招标文件的，可以对招标文件提出质疑。</w:t>
      </w:r>
    </w:p>
    <w:p w14:paraId="4BD462A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2.2投标人认为招标文件、采购过程和采购结果使自己的权益受到损害的，可以在知道或应知其权益受到损害之日起七个工作日内，以书面形式向代理机构或招标人提出质疑。上述应知其权益受到损害之日，是指：</w:t>
      </w:r>
    </w:p>
    <w:p w14:paraId="02F52952">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2.2.1对可以质疑的招标文件提出质疑的，为收到招标文件之日或者招标文件公告期限届满之日；</w:t>
      </w:r>
    </w:p>
    <w:p w14:paraId="74AB3704">
      <w:pPr>
        <w:adjustRightInd w:val="0"/>
        <w:snapToGrid w:val="0"/>
        <w:spacing w:line="460" w:lineRule="exact"/>
        <w:ind w:firstLine="562" w:firstLineChars="200"/>
        <w:outlineLvl w:val="3"/>
        <w:rPr>
          <w:rFonts w:ascii="宋体" w:hAnsi="宋体" w:cs="宋体"/>
          <w:b/>
          <w:bCs/>
          <w:color w:val="auto"/>
          <w:sz w:val="28"/>
          <w:szCs w:val="28"/>
          <w:highlight w:val="none"/>
        </w:rPr>
      </w:pPr>
      <w:r>
        <w:rPr>
          <w:rFonts w:hint="eastAsia" w:ascii="宋体" w:hAnsi="宋体" w:cs="宋体"/>
          <w:b/>
          <w:bCs/>
          <w:color w:val="auto"/>
          <w:sz w:val="28"/>
          <w:szCs w:val="28"/>
          <w:highlight w:val="none"/>
        </w:rPr>
        <w:t>2.2.2对采购过程提出质疑的，为各采购程序环节结束之日；</w:t>
      </w:r>
    </w:p>
    <w:p w14:paraId="076178A8">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对中标或者成交结果提出质疑的，为中标或者成交结果公告期限届满之日。</w:t>
      </w:r>
    </w:p>
    <w:p w14:paraId="4D1242D6">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投标人应当在法定质疑期内一次性提出针对同一采购程序环节的质疑。</w:t>
      </w:r>
    </w:p>
    <w:p w14:paraId="29B739A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2.3质疑函必须按照本招标文件中《质疑函范本》要求的格式和内容进行填写。</w:t>
      </w:r>
    </w:p>
    <w:p w14:paraId="22BB35D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2.4对</w:t>
      </w:r>
      <w:r>
        <w:rPr>
          <w:rFonts w:hint="eastAsia" w:ascii="宋体" w:hAnsi="宋体" w:cs="宋体"/>
          <w:color w:val="auto"/>
          <w:sz w:val="28"/>
          <w:szCs w:val="28"/>
          <w:highlight w:val="none"/>
          <w:lang w:eastAsia="zh-CN"/>
        </w:rPr>
        <w:t>招标方式</w:t>
      </w:r>
      <w:r>
        <w:rPr>
          <w:rFonts w:hint="eastAsia" w:ascii="宋体" w:hAnsi="宋体" w:cs="宋体"/>
          <w:color w:val="auto"/>
          <w:sz w:val="28"/>
          <w:szCs w:val="28"/>
          <w:highlight w:val="none"/>
        </w:rPr>
        <w:t>、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2D1A756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0A482FA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招标人及代理机构质疑接收人及联系方式，见招标文件第一部分。</w:t>
      </w:r>
    </w:p>
    <w:p w14:paraId="7DEC573F">
      <w:pPr>
        <w:adjustRightInd w:val="0"/>
        <w:snapToGrid w:val="0"/>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rPr>
        <w:t>2.5 以下情形的质疑不予受理</w:t>
      </w:r>
    </w:p>
    <w:p w14:paraId="21E9C23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2.5.1内容不符合《政府采购质疑和投诉办法》第十二条规定的质疑。</w:t>
      </w:r>
    </w:p>
    <w:p w14:paraId="540723BC">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2.5.2 超出政府采购法定期限的质疑。</w:t>
      </w:r>
    </w:p>
    <w:p w14:paraId="7476868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2.5.3未参加投标活动的投标人或在投标活动中自身权益未受到损害的投标人所提出的质疑。</w:t>
      </w:r>
    </w:p>
    <w:p w14:paraId="0434C47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0D6C09F5">
      <w:pPr>
        <w:adjustRightInd w:val="0"/>
        <w:snapToGrid w:val="0"/>
        <w:spacing w:line="460" w:lineRule="exact"/>
        <w:ind w:firstLine="560" w:firstLineChars="200"/>
        <w:outlineLvl w:val="2"/>
        <w:rPr>
          <w:rFonts w:ascii="宋体" w:hAnsi="宋体" w:cs="宋体"/>
          <w:b/>
          <w:color w:val="auto"/>
          <w:sz w:val="28"/>
          <w:szCs w:val="28"/>
          <w:highlight w:val="none"/>
        </w:rPr>
      </w:pPr>
      <w:bookmarkStart w:id="135" w:name="_Toc15921"/>
      <w:r>
        <w:rPr>
          <w:rFonts w:hint="eastAsia" w:ascii="宋体" w:hAnsi="宋体" w:cs="宋体"/>
          <w:color w:val="auto"/>
          <w:sz w:val="28"/>
          <w:szCs w:val="28"/>
          <w:highlight w:val="none"/>
        </w:rPr>
        <w:t>3.中标通知书</w:t>
      </w:r>
      <w:bookmarkEnd w:id="135"/>
    </w:p>
    <w:p w14:paraId="2D29925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6ACCDF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2298F18B">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36" w:name="_Toc120614220"/>
      <w:bookmarkStart w:id="137" w:name="_Toc20823308"/>
      <w:bookmarkStart w:id="138" w:name="_Toc513029236"/>
      <w:bookmarkStart w:id="139" w:name="_Toc16938552"/>
      <w:r>
        <w:rPr>
          <w:rFonts w:hint="eastAsia" w:ascii="宋体" w:hAnsi="宋体" w:eastAsia="宋体" w:cs="宋体"/>
          <w:color w:val="auto"/>
          <w:sz w:val="28"/>
          <w:szCs w:val="28"/>
          <w:highlight w:val="none"/>
        </w:rPr>
        <w:t>特别说明：中标人在下载中标通知书后须提供</w:t>
      </w:r>
      <w:r>
        <w:rPr>
          <w:rFonts w:hint="eastAsia" w:ascii="宋体" w:hAnsi="宋体" w:eastAsia="宋体" w:cs="宋体"/>
          <w:color w:val="auto"/>
          <w:sz w:val="28"/>
          <w:szCs w:val="28"/>
          <w:highlight w:val="none"/>
          <w:u w:val="single"/>
        </w:rPr>
        <w:t>4套</w:t>
      </w:r>
      <w:r>
        <w:rPr>
          <w:rFonts w:hint="eastAsia" w:ascii="宋体" w:hAnsi="宋体" w:eastAsia="宋体" w:cs="宋体"/>
          <w:color w:val="auto"/>
          <w:sz w:val="28"/>
          <w:szCs w:val="28"/>
          <w:highlight w:val="none"/>
        </w:rPr>
        <w:t>加盖红章的系统内打印的纸质响应文件给招标代理机构。</w:t>
      </w:r>
    </w:p>
    <w:p w14:paraId="7BE833EF">
      <w:pPr>
        <w:pStyle w:val="3"/>
        <w:adjustRightInd w:val="0"/>
        <w:snapToGrid w:val="0"/>
        <w:spacing w:before="0" w:after="0" w:line="420" w:lineRule="exact"/>
        <w:ind w:firstLine="562" w:firstLineChars="200"/>
        <w:rPr>
          <w:rFonts w:ascii="宋体" w:hAnsi="宋体" w:eastAsia="宋体" w:cs="宋体"/>
          <w:color w:val="auto"/>
          <w:sz w:val="28"/>
          <w:szCs w:val="28"/>
          <w:highlight w:val="none"/>
        </w:rPr>
      </w:pPr>
      <w:bookmarkStart w:id="140" w:name="_Toc27718"/>
      <w:r>
        <w:rPr>
          <w:rFonts w:hint="eastAsia" w:ascii="宋体" w:hAnsi="宋体" w:eastAsia="宋体" w:cs="宋体"/>
          <w:color w:val="auto"/>
          <w:sz w:val="28"/>
          <w:szCs w:val="28"/>
          <w:highlight w:val="none"/>
        </w:rPr>
        <w:t>七、授予合同</w:t>
      </w:r>
      <w:bookmarkEnd w:id="136"/>
      <w:bookmarkEnd w:id="140"/>
    </w:p>
    <w:bookmarkEnd w:id="137"/>
    <w:bookmarkEnd w:id="138"/>
    <w:bookmarkEnd w:id="139"/>
    <w:p w14:paraId="776F022A">
      <w:pPr>
        <w:keepNext/>
        <w:adjustRightInd w:val="0"/>
        <w:snapToGrid w:val="0"/>
        <w:spacing w:line="420" w:lineRule="exact"/>
        <w:ind w:firstLine="560" w:firstLineChars="200"/>
        <w:outlineLvl w:val="2"/>
        <w:rPr>
          <w:rFonts w:ascii="宋体" w:hAnsi="宋体" w:cs="宋体"/>
          <w:b/>
          <w:color w:val="auto"/>
          <w:kern w:val="0"/>
          <w:sz w:val="28"/>
          <w:szCs w:val="28"/>
          <w:highlight w:val="none"/>
        </w:rPr>
      </w:pPr>
      <w:bookmarkStart w:id="141" w:name="_Toc26471"/>
      <w:r>
        <w:rPr>
          <w:rFonts w:hint="eastAsia" w:ascii="宋体" w:hAnsi="宋体" w:cs="宋体"/>
          <w:color w:val="auto"/>
          <w:kern w:val="0"/>
          <w:sz w:val="28"/>
          <w:szCs w:val="28"/>
          <w:highlight w:val="none"/>
        </w:rPr>
        <w:t>1.签订合同</w:t>
      </w:r>
      <w:bookmarkEnd w:id="141"/>
    </w:p>
    <w:p w14:paraId="33539D52">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w:t>
      </w:r>
      <w:r>
        <w:rPr>
          <w:rFonts w:hint="eastAsia" w:ascii="宋体" w:hAnsi="宋体" w:cs="宋体"/>
          <w:color w:val="auto"/>
          <w:sz w:val="28"/>
          <w:szCs w:val="28"/>
          <w:highlight w:val="none"/>
          <w:lang w:val="en-US" w:eastAsia="zh-CN"/>
        </w:rPr>
        <w:t>三十</w:t>
      </w:r>
      <w:r>
        <w:rPr>
          <w:rFonts w:hint="eastAsia" w:ascii="宋体" w:hAnsi="宋体" w:cs="宋体"/>
          <w:color w:val="auto"/>
          <w:sz w:val="28"/>
          <w:szCs w:val="28"/>
          <w:highlight w:val="none"/>
        </w:rPr>
        <w:t>日内，按照招标文件确定的事项与招标人签订政府采购合同。</w:t>
      </w:r>
    </w:p>
    <w:p w14:paraId="37630CBD">
      <w:pPr>
        <w:adjustRightInd w:val="0"/>
        <w:snapToGrid w:val="0"/>
        <w:spacing w:line="420" w:lineRule="exact"/>
        <w:ind w:firstLine="422" w:firstLineChars="150"/>
        <w:rPr>
          <w:rFonts w:ascii="宋体" w:hAnsi="宋体" w:cs="宋体"/>
          <w:b/>
          <w:bCs/>
          <w:color w:val="auto"/>
          <w:sz w:val="28"/>
          <w:szCs w:val="28"/>
          <w:highlight w:val="none"/>
        </w:rPr>
      </w:pPr>
      <w:r>
        <w:rPr>
          <w:rFonts w:hint="eastAsia" w:ascii="宋体" w:hAnsi="宋体" w:cs="宋体"/>
          <w:b/>
          <w:bCs/>
          <w:color w:val="auto"/>
          <w:sz w:val="28"/>
          <w:szCs w:val="28"/>
          <w:highlight w:val="none"/>
        </w:rPr>
        <w:t>签订合同时需做好提交各类声明函、承诺函、业绩证明、资质、职称证书等相应原件的核查准备；核查后发现虚假或违背承诺的，依照相关法律法规规定处理。</w:t>
      </w:r>
    </w:p>
    <w:p w14:paraId="4074D5A9">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1.2招标文件、中标人的响应文件及开标过程中有关澄清、承诺文件均应作为合同附件。</w:t>
      </w:r>
    </w:p>
    <w:p w14:paraId="3DEA8F39">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p>
    <w:p w14:paraId="43B3F621">
      <w:pPr>
        <w:keepNext/>
        <w:adjustRightInd w:val="0"/>
        <w:snapToGrid w:val="0"/>
        <w:spacing w:line="420" w:lineRule="exact"/>
        <w:ind w:firstLine="560" w:firstLineChars="200"/>
        <w:outlineLvl w:val="2"/>
        <w:rPr>
          <w:rFonts w:ascii="宋体" w:hAnsi="宋体" w:cs="宋体"/>
          <w:b/>
          <w:color w:val="auto"/>
          <w:kern w:val="0"/>
          <w:sz w:val="28"/>
          <w:szCs w:val="28"/>
          <w:highlight w:val="none"/>
        </w:rPr>
      </w:pPr>
      <w:bookmarkStart w:id="142" w:name="_Toc18712"/>
      <w:r>
        <w:rPr>
          <w:rFonts w:hint="eastAsia" w:ascii="宋体" w:hAnsi="宋体" w:cs="宋体"/>
          <w:color w:val="auto"/>
          <w:kern w:val="0"/>
          <w:sz w:val="28"/>
          <w:szCs w:val="28"/>
          <w:highlight w:val="none"/>
        </w:rPr>
        <w:t>2.货物和服务的追加、减少和添购。</w:t>
      </w:r>
      <w:bookmarkEnd w:id="142"/>
    </w:p>
    <w:p w14:paraId="792CD5AB">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2.1政府采购合同履行中，招标人需追加与合同标的相同的货物和服务的，在不改变合同其他条款的前提下，可以与中标人协商签订补充合同，但所有补充合同的采购金额不超过原合同金额10%。</w:t>
      </w:r>
    </w:p>
    <w:p w14:paraId="4BA32DB1">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2.2采购结束后，招标人若由于各种客观原因，必须对采购项目所牵涉的货物和服务进行适当的减少时，在双方协商一致的前提下，可以按照采购时的价格水平做相应的调减，并据此签订补充合同。</w:t>
      </w:r>
    </w:p>
    <w:p w14:paraId="11E28BA1">
      <w:pPr>
        <w:adjustRightInd w:val="0"/>
        <w:snapToGrid w:val="0"/>
        <w:spacing w:line="420" w:lineRule="exact"/>
        <w:ind w:firstLine="560" w:firstLineChars="200"/>
        <w:outlineLvl w:val="2"/>
        <w:rPr>
          <w:rFonts w:ascii="宋体" w:hAnsi="宋体" w:cs="宋体"/>
          <w:color w:val="auto"/>
          <w:sz w:val="28"/>
          <w:szCs w:val="28"/>
          <w:highlight w:val="none"/>
        </w:rPr>
      </w:pPr>
      <w:bookmarkStart w:id="143" w:name="_Toc16700"/>
      <w:r>
        <w:rPr>
          <w:rFonts w:hint="eastAsia" w:ascii="宋体" w:hAnsi="宋体" w:cs="宋体"/>
          <w:color w:val="auto"/>
          <w:sz w:val="28"/>
          <w:szCs w:val="28"/>
          <w:highlight w:val="none"/>
        </w:rPr>
        <w:t>3.政府采购履约保证资金、合同信用融资扶持政策</w:t>
      </w:r>
      <w:bookmarkEnd w:id="143"/>
    </w:p>
    <w:p w14:paraId="4B9644B7">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24B6425F">
      <w:pPr>
        <w:keepNext/>
        <w:keepLines/>
        <w:adjustRightInd w:val="0"/>
        <w:snapToGrid w:val="0"/>
        <w:spacing w:line="420" w:lineRule="exact"/>
        <w:ind w:firstLine="562" w:firstLineChars="200"/>
        <w:outlineLvl w:val="1"/>
        <w:rPr>
          <w:rFonts w:ascii="宋体" w:hAnsi="宋体" w:cs="宋体"/>
          <w:b/>
          <w:bCs/>
          <w:color w:val="auto"/>
          <w:kern w:val="0"/>
          <w:sz w:val="28"/>
          <w:szCs w:val="28"/>
          <w:highlight w:val="none"/>
        </w:rPr>
      </w:pPr>
      <w:bookmarkStart w:id="144" w:name="_Toc32218"/>
      <w:r>
        <w:rPr>
          <w:rFonts w:hint="eastAsia" w:ascii="宋体" w:hAnsi="宋体" w:cs="宋体"/>
          <w:b/>
          <w:bCs/>
          <w:color w:val="auto"/>
          <w:kern w:val="0"/>
          <w:sz w:val="28"/>
          <w:szCs w:val="28"/>
          <w:highlight w:val="none"/>
        </w:rPr>
        <w:t>八、电子招标投标交易平台</w:t>
      </w:r>
      <w:bookmarkEnd w:id="144"/>
    </w:p>
    <w:p w14:paraId="06F53DD6">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电子招标投标交易平台（即“苏采云”系统，网址：http://jszfcg.jsczt.cn/）相关要求是本招标文件的组成部分。</w:t>
      </w:r>
    </w:p>
    <w:p w14:paraId="5B9E1262">
      <w:pPr>
        <w:adjustRightInd w:val="0"/>
        <w:snapToGrid w:val="0"/>
        <w:spacing w:line="460" w:lineRule="exact"/>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145" w:name="_Toc8914"/>
      <w:bookmarkStart w:id="146" w:name="_Toc21690"/>
      <w:r>
        <w:rPr>
          <w:rFonts w:hint="eastAsia" w:ascii="宋体" w:hAnsi="宋体" w:cs="宋体"/>
          <w:bCs/>
          <w:color w:val="auto"/>
          <w:sz w:val="36"/>
          <w:szCs w:val="36"/>
          <w:highlight w:val="none"/>
        </w:rPr>
        <w:t>第三部分  项目需求</w:t>
      </w:r>
      <w:bookmarkEnd w:id="145"/>
      <w:bookmarkEnd w:id="146"/>
    </w:p>
    <w:p w14:paraId="08DFBD5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p>
    <w:bookmarkEnd w:id="4"/>
    <w:bookmarkEnd w:id="5"/>
    <w:bookmarkEnd w:id="6"/>
    <w:p w14:paraId="51DA8C2D">
      <w:pPr>
        <w:spacing w:line="460" w:lineRule="exact"/>
        <w:ind w:firstLine="562" w:firstLineChars="200"/>
        <w:rPr>
          <w:b/>
          <w:bCs/>
          <w:color w:val="auto"/>
          <w:highlight w:val="none"/>
        </w:rPr>
      </w:pPr>
      <w:r>
        <w:rPr>
          <w:rFonts w:hint="eastAsia" w:ascii="宋体" w:hAnsi="宋体" w:cs="宋体"/>
          <w:b/>
          <w:bCs/>
          <w:color w:val="auto"/>
          <w:sz w:val="28"/>
          <w:szCs w:val="28"/>
          <w:highlight w:val="none"/>
        </w:rPr>
        <w:t>一、项目属性：货物类项目。</w:t>
      </w:r>
    </w:p>
    <w:p w14:paraId="78255276">
      <w:pPr>
        <w:pStyle w:val="70"/>
        <w:spacing w:beforeLines="50" w:afterLines="50" w:line="46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37"/>
        <w:tblW w:w="565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 w:type="dxa"/>
          <w:bottom w:w="0" w:type="dxa"/>
          <w:right w:w="10" w:type="dxa"/>
        </w:tblCellMar>
      </w:tblPr>
      <w:tblGrid>
        <w:gridCol w:w="762"/>
        <w:gridCol w:w="2033"/>
        <w:gridCol w:w="1957"/>
        <w:gridCol w:w="803"/>
        <w:gridCol w:w="710"/>
        <w:gridCol w:w="996"/>
        <w:gridCol w:w="1086"/>
        <w:gridCol w:w="1092"/>
      </w:tblGrid>
      <w:tr w14:paraId="13CB04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1189" w:hRule="atLeast"/>
          <w:jc w:val="center"/>
        </w:trPr>
        <w:tc>
          <w:tcPr>
            <w:tcW w:w="404" w:type="pct"/>
            <w:tcBorders>
              <w:tl2br w:val="nil"/>
              <w:tr2bl w:val="nil"/>
            </w:tcBorders>
            <w:tcMar>
              <w:top w:w="20" w:type="dxa"/>
              <w:left w:w="20" w:type="dxa"/>
              <w:bottom w:w="20" w:type="dxa"/>
              <w:right w:w="20" w:type="dxa"/>
            </w:tcMar>
            <w:vAlign w:val="center"/>
          </w:tcPr>
          <w:p w14:paraId="1C3982FF">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序号</w:t>
            </w:r>
          </w:p>
        </w:tc>
        <w:tc>
          <w:tcPr>
            <w:tcW w:w="1076" w:type="pct"/>
            <w:tcBorders>
              <w:tl2br w:val="nil"/>
              <w:tr2bl w:val="nil"/>
            </w:tcBorders>
            <w:tcMar>
              <w:top w:w="20" w:type="dxa"/>
              <w:left w:w="20" w:type="dxa"/>
              <w:bottom w:w="20" w:type="dxa"/>
              <w:right w:w="20" w:type="dxa"/>
            </w:tcMar>
            <w:vAlign w:val="center"/>
          </w:tcPr>
          <w:p w14:paraId="0F71AD09">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采购标的</w:t>
            </w:r>
          </w:p>
        </w:tc>
        <w:tc>
          <w:tcPr>
            <w:tcW w:w="1036" w:type="pct"/>
            <w:tcBorders>
              <w:tl2br w:val="nil"/>
              <w:tr2bl w:val="nil"/>
            </w:tcBorders>
            <w:tcMar>
              <w:top w:w="20" w:type="dxa"/>
              <w:left w:w="20" w:type="dxa"/>
              <w:bottom w:w="20" w:type="dxa"/>
              <w:right w:w="20" w:type="dxa"/>
            </w:tcMar>
            <w:vAlign w:val="center"/>
          </w:tcPr>
          <w:p w14:paraId="286B6A08">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对应中小企业划分标准所属行业</w:t>
            </w:r>
          </w:p>
        </w:tc>
        <w:tc>
          <w:tcPr>
            <w:tcW w:w="425" w:type="pct"/>
            <w:tcBorders>
              <w:tl2br w:val="nil"/>
              <w:tr2bl w:val="nil"/>
            </w:tcBorders>
            <w:tcMar>
              <w:top w:w="20" w:type="dxa"/>
              <w:left w:w="20" w:type="dxa"/>
              <w:bottom w:w="20" w:type="dxa"/>
              <w:right w:w="20" w:type="dxa"/>
            </w:tcMar>
            <w:vAlign w:val="center"/>
          </w:tcPr>
          <w:p w14:paraId="3182538B">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数量</w:t>
            </w:r>
          </w:p>
        </w:tc>
        <w:tc>
          <w:tcPr>
            <w:tcW w:w="376" w:type="pct"/>
            <w:tcBorders>
              <w:tl2br w:val="nil"/>
              <w:tr2bl w:val="nil"/>
            </w:tcBorders>
            <w:tcMar>
              <w:top w:w="20" w:type="dxa"/>
              <w:left w:w="20" w:type="dxa"/>
              <w:bottom w:w="20" w:type="dxa"/>
              <w:right w:w="20" w:type="dxa"/>
            </w:tcMar>
            <w:vAlign w:val="center"/>
          </w:tcPr>
          <w:p w14:paraId="286D91E1">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单位</w:t>
            </w:r>
          </w:p>
        </w:tc>
        <w:tc>
          <w:tcPr>
            <w:tcW w:w="527" w:type="pct"/>
            <w:tcBorders>
              <w:tl2br w:val="nil"/>
              <w:tr2bl w:val="nil"/>
            </w:tcBorders>
            <w:tcMar>
              <w:top w:w="20" w:type="dxa"/>
              <w:left w:w="20" w:type="dxa"/>
              <w:bottom w:w="20" w:type="dxa"/>
              <w:right w:w="20" w:type="dxa"/>
            </w:tcMar>
            <w:vAlign w:val="center"/>
          </w:tcPr>
          <w:p w14:paraId="7707C7E4">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是否主要标的</w:t>
            </w:r>
          </w:p>
        </w:tc>
        <w:tc>
          <w:tcPr>
            <w:tcW w:w="575" w:type="pct"/>
            <w:tcBorders>
              <w:tl2br w:val="nil"/>
              <w:tr2bl w:val="nil"/>
            </w:tcBorders>
            <w:tcMar>
              <w:top w:w="20" w:type="dxa"/>
              <w:left w:w="20" w:type="dxa"/>
              <w:bottom w:w="20" w:type="dxa"/>
              <w:right w:w="20" w:type="dxa"/>
            </w:tcMar>
            <w:vAlign w:val="center"/>
          </w:tcPr>
          <w:p w14:paraId="7E6F8700">
            <w:pPr>
              <w:wordWrap w:val="0"/>
              <w:spacing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是否核心产品</w:t>
            </w:r>
          </w:p>
        </w:tc>
        <w:tc>
          <w:tcPr>
            <w:tcW w:w="578" w:type="pct"/>
            <w:tcBorders>
              <w:tl2br w:val="nil"/>
              <w:tr2bl w:val="nil"/>
            </w:tcBorders>
            <w:tcMar>
              <w:top w:w="20" w:type="dxa"/>
              <w:left w:w="20" w:type="dxa"/>
              <w:bottom w:w="20" w:type="dxa"/>
              <w:right w:w="20" w:type="dxa"/>
            </w:tcMar>
            <w:vAlign w:val="center"/>
          </w:tcPr>
          <w:p w14:paraId="09CD4045">
            <w:pPr>
              <w:wordWrap w:val="0"/>
              <w:spacing w:line="4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是否强制节能</w:t>
            </w:r>
          </w:p>
        </w:tc>
      </w:tr>
      <w:tr w14:paraId="0DE9DF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3F3CFCD5">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1076" w:type="pct"/>
            <w:tcBorders>
              <w:tl2br w:val="nil"/>
              <w:tr2bl w:val="nil"/>
            </w:tcBorders>
            <w:tcMar>
              <w:top w:w="20" w:type="dxa"/>
              <w:left w:w="20" w:type="dxa"/>
              <w:bottom w:w="20" w:type="dxa"/>
              <w:right w:w="20" w:type="dxa"/>
            </w:tcMar>
            <w:vAlign w:val="center"/>
          </w:tcPr>
          <w:p w14:paraId="2ABD47A3">
            <w:pPr>
              <w:jc w:val="center"/>
              <w:rPr>
                <w:rFonts w:ascii="宋体" w:hAnsi="宋体" w:cs="宋体"/>
                <w:color w:val="auto"/>
                <w:sz w:val="28"/>
                <w:szCs w:val="28"/>
                <w:highlight w:val="none"/>
              </w:rPr>
            </w:pPr>
            <w:r>
              <w:rPr>
                <w:rFonts w:hint="eastAsia" w:ascii="宋体" w:hAnsi="宋体" w:eastAsia="宋体" w:cs="宋体"/>
                <w:color w:val="auto"/>
                <w:sz w:val="28"/>
                <w:szCs w:val="28"/>
                <w:lang w:val="en-US" w:eastAsia="zh-CN"/>
              </w:rPr>
              <w:t>工频局放测试系统</w:t>
            </w:r>
          </w:p>
        </w:tc>
        <w:tc>
          <w:tcPr>
            <w:tcW w:w="1036" w:type="pct"/>
            <w:tcBorders>
              <w:tl2br w:val="nil"/>
              <w:tr2bl w:val="nil"/>
            </w:tcBorders>
            <w:tcMar>
              <w:top w:w="20" w:type="dxa"/>
              <w:left w:w="20" w:type="dxa"/>
              <w:bottom w:w="20" w:type="dxa"/>
              <w:right w:w="20" w:type="dxa"/>
            </w:tcMar>
            <w:vAlign w:val="center"/>
          </w:tcPr>
          <w:p w14:paraId="666C7048">
            <w:pPr>
              <w:spacing w:line="36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工业</w:t>
            </w:r>
          </w:p>
        </w:tc>
        <w:tc>
          <w:tcPr>
            <w:tcW w:w="425" w:type="pct"/>
            <w:tcBorders>
              <w:tl2br w:val="nil"/>
              <w:tr2bl w:val="nil"/>
            </w:tcBorders>
            <w:tcMar>
              <w:top w:w="20" w:type="dxa"/>
              <w:left w:w="20" w:type="dxa"/>
              <w:bottom w:w="20" w:type="dxa"/>
              <w:right w:w="20" w:type="dxa"/>
            </w:tcMar>
            <w:vAlign w:val="center"/>
          </w:tcPr>
          <w:p w14:paraId="26F30774">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rPr>
              <w:t>1</w:t>
            </w:r>
          </w:p>
        </w:tc>
        <w:tc>
          <w:tcPr>
            <w:tcW w:w="376" w:type="pct"/>
            <w:tcBorders>
              <w:tl2br w:val="nil"/>
              <w:tr2bl w:val="nil"/>
            </w:tcBorders>
            <w:tcMar>
              <w:top w:w="20" w:type="dxa"/>
              <w:left w:w="20" w:type="dxa"/>
              <w:bottom w:w="20" w:type="dxa"/>
              <w:right w:w="20" w:type="dxa"/>
            </w:tcMar>
            <w:vAlign w:val="center"/>
          </w:tcPr>
          <w:p w14:paraId="31204E58">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27" w:type="pct"/>
            <w:tcBorders>
              <w:tl2br w:val="nil"/>
              <w:tr2bl w:val="nil"/>
            </w:tcBorders>
            <w:tcMar>
              <w:top w:w="20" w:type="dxa"/>
              <w:left w:w="20" w:type="dxa"/>
              <w:bottom w:w="20" w:type="dxa"/>
              <w:right w:w="20" w:type="dxa"/>
            </w:tcMar>
            <w:vAlign w:val="center"/>
          </w:tcPr>
          <w:p w14:paraId="17C40758">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是</w:t>
            </w:r>
          </w:p>
        </w:tc>
        <w:tc>
          <w:tcPr>
            <w:tcW w:w="575" w:type="pct"/>
            <w:tcBorders>
              <w:tl2br w:val="nil"/>
              <w:tr2bl w:val="nil"/>
            </w:tcBorders>
            <w:tcMar>
              <w:top w:w="20" w:type="dxa"/>
              <w:left w:w="20" w:type="dxa"/>
              <w:bottom w:w="20" w:type="dxa"/>
              <w:right w:w="20" w:type="dxa"/>
            </w:tcMar>
            <w:vAlign w:val="center"/>
          </w:tcPr>
          <w:p w14:paraId="0B92373C">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是</w:t>
            </w:r>
          </w:p>
        </w:tc>
        <w:tc>
          <w:tcPr>
            <w:tcW w:w="578" w:type="pct"/>
            <w:tcBorders>
              <w:tl2br w:val="nil"/>
              <w:tr2bl w:val="nil"/>
            </w:tcBorders>
            <w:tcMar>
              <w:top w:w="20" w:type="dxa"/>
              <w:left w:w="20" w:type="dxa"/>
              <w:bottom w:w="20" w:type="dxa"/>
              <w:right w:w="20" w:type="dxa"/>
            </w:tcMar>
            <w:vAlign w:val="center"/>
          </w:tcPr>
          <w:p w14:paraId="7EB230FD">
            <w:pPr>
              <w:wordWrap w:val="0"/>
              <w:spacing w:line="460" w:lineRule="exact"/>
              <w:jc w:val="center"/>
              <w:rPr>
                <w:rFonts w:hint="eastAsia" w:ascii="宋体" w:hAnsi="宋体" w:cs="宋体"/>
                <w:b/>
                <w:color w:val="auto"/>
                <w:sz w:val="28"/>
                <w:szCs w:val="28"/>
                <w:highlight w:val="none"/>
              </w:rPr>
            </w:pPr>
            <w:r>
              <w:rPr>
                <w:rFonts w:hint="eastAsia" w:ascii="宋体" w:hAnsi="宋体" w:cs="宋体"/>
                <w:b w:val="0"/>
                <w:bCs/>
                <w:color w:val="auto"/>
                <w:sz w:val="28"/>
                <w:szCs w:val="28"/>
                <w:highlight w:val="none"/>
              </w:rPr>
              <w:t>否</w:t>
            </w:r>
          </w:p>
        </w:tc>
      </w:tr>
      <w:tr w14:paraId="6DF66C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0F2CF925">
            <w:pPr>
              <w:spacing w:line="36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1076" w:type="pct"/>
            <w:tcBorders>
              <w:tl2br w:val="nil"/>
              <w:tr2bl w:val="nil"/>
            </w:tcBorders>
            <w:tcMar>
              <w:top w:w="20" w:type="dxa"/>
              <w:left w:w="20" w:type="dxa"/>
              <w:bottom w:w="20" w:type="dxa"/>
              <w:right w:w="20" w:type="dxa"/>
            </w:tcMar>
            <w:vAlign w:val="center"/>
          </w:tcPr>
          <w:p w14:paraId="09718713">
            <w:pPr>
              <w:jc w:val="center"/>
              <w:rPr>
                <w:rFonts w:hint="eastAsia" w:ascii="宋体" w:hAnsi="宋体" w:cs="宋体"/>
                <w:color w:val="auto"/>
                <w:sz w:val="28"/>
                <w:szCs w:val="28"/>
                <w:highlight w:val="none"/>
              </w:rPr>
            </w:pPr>
            <w:r>
              <w:rPr>
                <w:rFonts w:hint="eastAsia" w:ascii="宋体" w:hAnsi="宋体" w:eastAsia="宋体" w:cs="宋体"/>
                <w:color w:val="auto"/>
                <w:sz w:val="28"/>
                <w:szCs w:val="28"/>
                <w:lang w:val="en-US" w:eastAsia="zh-CN"/>
              </w:rPr>
              <w:t>35kV及以下电缆局放屏蔽试验室</w:t>
            </w:r>
          </w:p>
        </w:tc>
        <w:tc>
          <w:tcPr>
            <w:tcW w:w="1036" w:type="pct"/>
            <w:tcBorders>
              <w:tl2br w:val="nil"/>
              <w:tr2bl w:val="nil"/>
            </w:tcBorders>
            <w:tcMar>
              <w:top w:w="20" w:type="dxa"/>
              <w:left w:w="20" w:type="dxa"/>
              <w:bottom w:w="20" w:type="dxa"/>
              <w:right w:w="20" w:type="dxa"/>
            </w:tcMar>
            <w:vAlign w:val="center"/>
          </w:tcPr>
          <w:p w14:paraId="1295E647">
            <w:pPr>
              <w:spacing w:line="360" w:lineRule="exact"/>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工业</w:t>
            </w:r>
          </w:p>
        </w:tc>
        <w:tc>
          <w:tcPr>
            <w:tcW w:w="425" w:type="pct"/>
            <w:tcBorders>
              <w:tl2br w:val="nil"/>
              <w:tr2bl w:val="nil"/>
            </w:tcBorders>
            <w:tcMar>
              <w:top w:w="20" w:type="dxa"/>
              <w:left w:w="20" w:type="dxa"/>
              <w:bottom w:w="20" w:type="dxa"/>
              <w:right w:w="20" w:type="dxa"/>
            </w:tcMar>
            <w:vAlign w:val="center"/>
          </w:tcPr>
          <w:p w14:paraId="465FC893">
            <w:pPr>
              <w:widowControl/>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376" w:type="pct"/>
            <w:tcBorders>
              <w:tl2br w:val="nil"/>
              <w:tr2bl w:val="nil"/>
            </w:tcBorders>
            <w:tcMar>
              <w:top w:w="20" w:type="dxa"/>
              <w:left w:w="20" w:type="dxa"/>
              <w:bottom w:w="20" w:type="dxa"/>
              <w:right w:w="20" w:type="dxa"/>
            </w:tcMar>
            <w:vAlign w:val="center"/>
          </w:tcPr>
          <w:p w14:paraId="4E4301C5">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套</w:t>
            </w:r>
          </w:p>
        </w:tc>
        <w:tc>
          <w:tcPr>
            <w:tcW w:w="527" w:type="pct"/>
            <w:tcBorders>
              <w:tl2br w:val="nil"/>
              <w:tr2bl w:val="nil"/>
            </w:tcBorders>
            <w:tcMar>
              <w:top w:w="20" w:type="dxa"/>
              <w:left w:w="20" w:type="dxa"/>
              <w:bottom w:w="20" w:type="dxa"/>
              <w:right w:w="20" w:type="dxa"/>
            </w:tcMar>
            <w:vAlign w:val="center"/>
          </w:tcPr>
          <w:p w14:paraId="54FF9F45">
            <w:pPr>
              <w:wordWrap w:val="0"/>
              <w:spacing w:line="460" w:lineRule="exact"/>
              <w:jc w:val="center"/>
              <w:rPr>
                <w:rFonts w:hint="eastAsia" w:ascii="宋体" w:hAnsi="宋体" w:cs="宋体"/>
                <w:color w:val="auto"/>
                <w:sz w:val="28"/>
                <w:szCs w:val="28"/>
                <w:highlight w:val="none"/>
              </w:rPr>
            </w:pPr>
          </w:p>
        </w:tc>
        <w:tc>
          <w:tcPr>
            <w:tcW w:w="575" w:type="pct"/>
            <w:tcBorders>
              <w:tl2br w:val="nil"/>
              <w:tr2bl w:val="nil"/>
            </w:tcBorders>
            <w:tcMar>
              <w:top w:w="20" w:type="dxa"/>
              <w:left w:w="20" w:type="dxa"/>
              <w:bottom w:w="20" w:type="dxa"/>
              <w:right w:w="20" w:type="dxa"/>
            </w:tcMar>
            <w:vAlign w:val="center"/>
          </w:tcPr>
          <w:p w14:paraId="24EC8CD5">
            <w:pPr>
              <w:wordWrap w:val="0"/>
              <w:spacing w:line="460" w:lineRule="exact"/>
              <w:jc w:val="center"/>
              <w:rPr>
                <w:rFonts w:hint="eastAsia" w:ascii="宋体" w:hAnsi="宋体" w:cs="宋体"/>
                <w:color w:val="auto"/>
                <w:sz w:val="28"/>
                <w:szCs w:val="28"/>
                <w:highlight w:val="none"/>
              </w:rPr>
            </w:pPr>
          </w:p>
        </w:tc>
        <w:tc>
          <w:tcPr>
            <w:tcW w:w="578" w:type="pct"/>
            <w:tcBorders>
              <w:tl2br w:val="nil"/>
              <w:tr2bl w:val="nil"/>
            </w:tcBorders>
            <w:tcMar>
              <w:top w:w="20" w:type="dxa"/>
              <w:left w:w="20" w:type="dxa"/>
              <w:bottom w:w="20" w:type="dxa"/>
              <w:right w:w="20" w:type="dxa"/>
            </w:tcMar>
            <w:vAlign w:val="center"/>
          </w:tcPr>
          <w:p w14:paraId="3E247EC6">
            <w:pPr>
              <w:wordWrap w:val="0"/>
              <w:spacing w:line="460" w:lineRule="exact"/>
              <w:jc w:val="cente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否</w:t>
            </w:r>
          </w:p>
        </w:tc>
      </w:tr>
      <w:tr w14:paraId="6CC0DF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2EFC87B6">
            <w:pPr>
              <w:spacing w:line="36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1076" w:type="pct"/>
            <w:tcBorders>
              <w:tl2br w:val="nil"/>
              <w:tr2bl w:val="nil"/>
            </w:tcBorders>
            <w:tcMar>
              <w:top w:w="20" w:type="dxa"/>
              <w:left w:w="20" w:type="dxa"/>
              <w:bottom w:w="20" w:type="dxa"/>
              <w:right w:w="20" w:type="dxa"/>
            </w:tcMar>
            <w:vAlign w:val="center"/>
          </w:tcPr>
          <w:p w14:paraId="3BB97968">
            <w:pPr>
              <w:jc w:val="center"/>
              <w:rPr>
                <w:rFonts w:hint="eastAsia" w:ascii="宋体" w:hAnsi="宋体" w:cs="宋体"/>
                <w:color w:val="auto"/>
                <w:sz w:val="28"/>
                <w:szCs w:val="28"/>
                <w:highlight w:val="none"/>
              </w:rPr>
            </w:pPr>
            <w:r>
              <w:rPr>
                <w:rFonts w:hint="eastAsia" w:ascii="宋体" w:hAnsi="宋体" w:eastAsia="宋体" w:cs="宋体"/>
                <w:color w:val="auto"/>
                <w:sz w:val="28"/>
                <w:szCs w:val="28"/>
                <w:lang w:val="en-US" w:eastAsia="zh-CN"/>
              </w:rPr>
              <w:t>（双路）电缆循环加热试验系统</w:t>
            </w:r>
          </w:p>
        </w:tc>
        <w:tc>
          <w:tcPr>
            <w:tcW w:w="1036" w:type="pct"/>
            <w:tcBorders>
              <w:tl2br w:val="nil"/>
              <w:tr2bl w:val="nil"/>
            </w:tcBorders>
            <w:tcMar>
              <w:top w:w="20" w:type="dxa"/>
              <w:left w:w="20" w:type="dxa"/>
              <w:bottom w:w="20" w:type="dxa"/>
              <w:right w:w="20" w:type="dxa"/>
            </w:tcMar>
            <w:vAlign w:val="center"/>
          </w:tcPr>
          <w:p w14:paraId="04E39FC9">
            <w:pPr>
              <w:spacing w:line="360" w:lineRule="exact"/>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工业</w:t>
            </w:r>
          </w:p>
        </w:tc>
        <w:tc>
          <w:tcPr>
            <w:tcW w:w="425" w:type="pct"/>
            <w:tcBorders>
              <w:tl2br w:val="nil"/>
              <w:tr2bl w:val="nil"/>
            </w:tcBorders>
            <w:tcMar>
              <w:top w:w="20" w:type="dxa"/>
              <w:left w:w="20" w:type="dxa"/>
              <w:bottom w:w="20" w:type="dxa"/>
              <w:right w:w="20" w:type="dxa"/>
            </w:tcMar>
            <w:vAlign w:val="center"/>
          </w:tcPr>
          <w:p w14:paraId="330F938D">
            <w:pPr>
              <w:widowControl/>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376" w:type="pct"/>
            <w:tcBorders>
              <w:tl2br w:val="nil"/>
              <w:tr2bl w:val="nil"/>
            </w:tcBorders>
            <w:tcMar>
              <w:top w:w="20" w:type="dxa"/>
              <w:left w:w="20" w:type="dxa"/>
              <w:bottom w:w="20" w:type="dxa"/>
              <w:right w:w="20" w:type="dxa"/>
            </w:tcMar>
            <w:vAlign w:val="center"/>
          </w:tcPr>
          <w:p w14:paraId="562834B4">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套</w:t>
            </w:r>
          </w:p>
        </w:tc>
        <w:tc>
          <w:tcPr>
            <w:tcW w:w="527" w:type="pct"/>
            <w:tcBorders>
              <w:tl2br w:val="nil"/>
              <w:tr2bl w:val="nil"/>
            </w:tcBorders>
            <w:tcMar>
              <w:top w:w="20" w:type="dxa"/>
              <w:left w:w="20" w:type="dxa"/>
              <w:bottom w:w="20" w:type="dxa"/>
              <w:right w:w="20" w:type="dxa"/>
            </w:tcMar>
            <w:vAlign w:val="center"/>
          </w:tcPr>
          <w:p w14:paraId="0978762E">
            <w:pPr>
              <w:wordWrap w:val="0"/>
              <w:spacing w:line="460" w:lineRule="exact"/>
              <w:jc w:val="center"/>
              <w:rPr>
                <w:rFonts w:hint="eastAsia" w:ascii="宋体" w:hAnsi="宋体" w:cs="宋体"/>
                <w:color w:val="auto"/>
                <w:sz w:val="28"/>
                <w:szCs w:val="28"/>
                <w:highlight w:val="none"/>
              </w:rPr>
            </w:pPr>
          </w:p>
        </w:tc>
        <w:tc>
          <w:tcPr>
            <w:tcW w:w="575" w:type="pct"/>
            <w:tcBorders>
              <w:tl2br w:val="nil"/>
              <w:tr2bl w:val="nil"/>
            </w:tcBorders>
            <w:tcMar>
              <w:top w:w="20" w:type="dxa"/>
              <w:left w:w="20" w:type="dxa"/>
              <w:bottom w:w="20" w:type="dxa"/>
              <w:right w:w="20" w:type="dxa"/>
            </w:tcMar>
            <w:vAlign w:val="center"/>
          </w:tcPr>
          <w:p w14:paraId="15479E5F">
            <w:pPr>
              <w:wordWrap w:val="0"/>
              <w:spacing w:line="460" w:lineRule="exact"/>
              <w:jc w:val="center"/>
              <w:rPr>
                <w:rFonts w:hint="eastAsia" w:ascii="宋体" w:hAnsi="宋体" w:cs="宋体"/>
                <w:color w:val="auto"/>
                <w:sz w:val="28"/>
                <w:szCs w:val="28"/>
                <w:highlight w:val="none"/>
              </w:rPr>
            </w:pPr>
          </w:p>
        </w:tc>
        <w:tc>
          <w:tcPr>
            <w:tcW w:w="578" w:type="pct"/>
            <w:tcBorders>
              <w:tl2br w:val="nil"/>
              <w:tr2bl w:val="nil"/>
            </w:tcBorders>
            <w:tcMar>
              <w:top w:w="20" w:type="dxa"/>
              <w:left w:w="20" w:type="dxa"/>
              <w:bottom w:w="20" w:type="dxa"/>
              <w:right w:w="20" w:type="dxa"/>
            </w:tcMar>
            <w:vAlign w:val="center"/>
          </w:tcPr>
          <w:p w14:paraId="274AE062">
            <w:pPr>
              <w:wordWrap w:val="0"/>
              <w:spacing w:line="460" w:lineRule="exact"/>
              <w:jc w:val="cente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否</w:t>
            </w:r>
          </w:p>
        </w:tc>
      </w:tr>
      <w:tr w14:paraId="4ED37C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58577621">
            <w:pPr>
              <w:spacing w:line="36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1076" w:type="pct"/>
            <w:tcBorders>
              <w:tl2br w:val="nil"/>
              <w:tr2bl w:val="nil"/>
            </w:tcBorders>
            <w:tcMar>
              <w:top w:w="20" w:type="dxa"/>
              <w:left w:w="20" w:type="dxa"/>
              <w:bottom w:w="20" w:type="dxa"/>
              <w:right w:w="20" w:type="dxa"/>
            </w:tcMar>
            <w:vAlign w:val="center"/>
          </w:tcPr>
          <w:p w14:paraId="23C912E8">
            <w:pPr>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冲击电压试验系统</w:t>
            </w:r>
          </w:p>
        </w:tc>
        <w:tc>
          <w:tcPr>
            <w:tcW w:w="1036" w:type="pct"/>
            <w:tcBorders>
              <w:tl2br w:val="nil"/>
              <w:tr2bl w:val="nil"/>
            </w:tcBorders>
            <w:tcMar>
              <w:top w:w="20" w:type="dxa"/>
              <w:left w:w="20" w:type="dxa"/>
              <w:bottom w:w="20" w:type="dxa"/>
              <w:right w:w="20" w:type="dxa"/>
            </w:tcMar>
            <w:vAlign w:val="center"/>
          </w:tcPr>
          <w:p w14:paraId="65E82E00">
            <w:pPr>
              <w:spacing w:line="360" w:lineRule="exact"/>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工业</w:t>
            </w:r>
          </w:p>
        </w:tc>
        <w:tc>
          <w:tcPr>
            <w:tcW w:w="425" w:type="pct"/>
            <w:tcBorders>
              <w:tl2br w:val="nil"/>
              <w:tr2bl w:val="nil"/>
            </w:tcBorders>
            <w:tcMar>
              <w:top w:w="20" w:type="dxa"/>
              <w:left w:w="20" w:type="dxa"/>
              <w:bottom w:w="20" w:type="dxa"/>
              <w:right w:w="20" w:type="dxa"/>
            </w:tcMar>
            <w:vAlign w:val="center"/>
          </w:tcPr>
          <w:p w14:paraId="42E116F7">
            <w:pPr>
              <w:widowControl/>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376" w:type="pct"/>
            <w:tcBorders>
              <w:tl2br w:val="nil"/>
              <w:tr2bl w:val="nil"/>
            </w:tcBorders>
            <w:tcMar>
              <w:top w:w="20" w:type="dxa"/>
              <w:left w:w="20" w:type="dxa"/>
              <w:bottom w:w="20" w:type="dxa"/>
              <w:right w:w="20" w:type="dxa"/>
            </w:tcMar>
            <w:vAlign w:val="center"/>
          </w:tcPr>
          <w:p w14:paraId="42FC65F4">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套</w:t>
            </w:r>
          </w:p>
        </w:tc>
        <w:tc>
          <w:tcPr>
            <w:tcW w:w="527" w:type="pct"/>
            <w:tcBorders>
              <w:tl2br w:val="nil"/>
              <w:tr2bl w:val="nil"/>
            </w:tcBorders>
            <w:tcMar>
              <w:top w:w="20" w:type="dxa"/>
              <w:left w:w="20" w:type="dxa"/>
              <w:bottom w:w="20" w:type="dxa"/>
              <w:right w:w="20" w:type="dxa"/>
            </w:tcMar>
            <w:vAlign w:val="center"/>
          </w:tcPr>
          <w:p w14:paraId="3082F9B4">
            <w:pPr>
              <w:wordWrap w:val="0"/>
              <w:spacing w:line="460" w:lineRule="exact"/>
              <w:jc w:val="center"/>
              <w:rPr>
                <w:rFonts w:hint="eastAsia" w:ascii="宋体" w:hAnsi="宋体" w:cs="宋体"/>
                <w:color w:val="auto"/>
                <w:sz w:val="28"/>
                <w:szCs w:val="28"/>
                <w:highlight w:val="none"/>
              </w:rPr>
            </w:pPr>
          </w:p>
        </w:tc>
        <w:tc>
          <w:tcPr>
            <w:tcW w:w="575" w:type="pct"/>
            <w:tcBorders>
              <w:tl2br w:val="nil"/>
              <w:tr2bl w:val="nil"/>
            </w:tcBorders>
            <w:tcMar>
              <w:top w:w="20" w:type="dxa"/>
              <w:left w:w="20" w:type="dxa"/>
              <w:bottom w:w="20" w:type="dxa"/>
              <w:right w:w="20" w:type="dxa"/>
            </w:tcMar>
            <w:vAlign w:val="center"/>
          </w:tcPr>
          <w:p w14:paraId="1A467E22">
            <w:pPr>
              <w:wordWrap w:val="0"/>
              <w:spacing w:line="460" w:lineRule="exact"/>
              <w:jc w:val="center"/>
              <w:rPr>
                <w:rFonts w:hint="eastAsia" w:ascii="宋体" w:hAnsi="宋体" w:cs="宋体"/>
                <w:color w:val="auto"/>
                <w:sz w:val="28"/>
                <w:szCs w:val="28"/>
                <w:highlight w:val="none"/>
              </w:rPr>
            </w:pPr>
          </w:p>
        </w:tc>
        <w:tc>
          <w:tcPr>
            <w:tcW w:w="578" w:type="pct"/>
            <w:tcBorders>
              <w:tl2br w:val="nil"/>
              <w:tr2bl w:val="nil"/>
            </w:tcBorders>
            <w:tcMar>
              <w:top w:w="20" w:type="dxa"/>
              <w:left w:w="20" w:type="dxa"/>
              <w:bottom w:w="20" w:type="dxa"/>
              <w:right w:w="20" w:type="dxa"/>
            </w:tcMar>
            <w:vAlign w:val="center"/>
          </w:tcPr>
          <w:p w14:paraId="7B467787">
            <w:pPr>
              <w:wordWrap w:val="0"/>
              <w:spacing w:line="460" w:lineRule="exact"/>
              <w:jc w:val="cente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否</w:t>
            </w:r>
          </w:p>
        </w:tc>
      </w:tr>
      <w:tr w14:paraId="06C282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0F072F2E">
            <w:pPr>
              <w:spacing w:line="36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1076" w:type="pct"/>
            <w:tcBorders>
              <w:tl2br w:val="nil"/>
              <w:tr2bl w:val="nil"/>
            </w:tcBorders>
            <w:tcMar>
              <w:top w:w="20" w:type="dxa"/>
              <w:left w:w="20" w:type="dxa"/>
              <w:bottom w:w="20" w:type="dxa"/>
              <w:right w:w="20" w:type="dxa"/>
            </w:tcMar>
            <w:vAlign w:val="center"/>
          </w:tcPr>
          <w:p w14:paraId="5E61136A">
            <w:pPr>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介质损耗测试系统</w:t>
            </w:r>
          </w:p>
        </w:tc>
        <w:tc>
          <w:tcPr>
            <w:tcW w:w="1036" w:type="pct"/>
            <w:tcBorders>
              <w:tl2br w:val="nil"/>
              <w:tr2bl w:val="nil"/>
            </w:tcBorders>
            <w:tcMar>
              <w:top w:w="20" w:type="dxa"/>
              <w:left w:w="20" w:type="dxa"/>
              <w:bottom w:w="20" w:type="dxa"/>
              <w:right w:w="20" w:type="dxa"/>
            </w:tcMar>
            <w:vAlign w:val="center"/>
          </w:tcPr>
          <w:p w14:paraId="4D6BD434">
            <w:pPr>
              <w:spacing w:line="360" w:lineRule="exact"/>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工业</w:t>
            </w:r>
          </w:p>
        </w:tc>
        <w:tc>
          <w:tcPr>
            <w:tcW w:w="425" w:type="pct"/>
            <w:tcBorders>
              <w:tl2br w:val="nil"/>
              <w:tr2bl w:val="nil"/>
            </w:tcBorders>
            <w:tcMar>
              <w:top w:w="20" w:type="dxa"/>
              <w:left w:w="20" w:type="dxa"/>
              <w:bottom w:w="20" w:type="dxa"/>
              <w:right w:w="20" w:type="dxa"/>
            </w:tcMar>
            <w:vAlign w:val="center"/>
          </w:tcPr>
          <w:p w14:paraId="18D47741">
            <w:pPr>
              <w:widowControl/>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376" w:type="pct"/>
            <w:tcBorders>
              <w:tl2br w:val="nil"/>
              <w:tr2bl w:val="nil"/>
            </w:tcBorders>
            <w:tcMar>
              <w:top w:w="20" w:type="dxa"/>
              <w:left w:w="20" w:type="dxa"/>
              <w:bottom w:w="20" w:type="dxa"/>
              <w:right w:w="20" w:type="dxa"/>
            </w:tcMar>
            <w:vAlign w:val="center"/>
          </w:tcPr>
          <w:p w14:paraId="3196E5F3">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套</w:t>
            </w:r>
          </w:p>
        </w:tc>
        <w:tc>
          <w:tcPr>
            <w:tcW w:w="527" w:type="pct"/>
            <w:tcBorders>
              <w:tl2br w:val="nil"/>
              <w:tr2bl w:val="nil"/>
            </w:tcBorders>
            <w:tcMar>
              <w:top w:w="20" w:type="dxa"/>
              <w:left w:w="20" w:type="dxa"/>
              <w:bottom w:w="20" w:type="dxa"/>
              <w:right w:w="20" w:type="dxa"/>
            </w:tcMar>
            <w:vAlign w:val="center"/>
          </w:tcPr>
          <w:p w14:paraId="521A0FF7">
            <w:pPr>
              <w:wordWrap w:val="0"/>
              <w:spacing w:line="460" w:lineRule="exact"/>
              <w:jc w:val="center"/>
              <w:rPr>
                <w:rFonts w:hint="eastAsia" w:ascii="宋体" w:hAnsi="宋体" w:cs="宋体"/>
                <w:color w:val="auto"/>
                <w:sz w:val="28"/>
                <w:szCs w:val="28"/>
                <w:highlight w:val="none"/>
              </w:rPr>
            </w:pPr>
          </w:p>
        </w:tc>
        <w:tc>
          <w:tcPr>
            <w:tcW w:w="575" w:type="pct"/>
            <w:tcBorders>
              <w:tl2br w:val="nil"/>
              <w:tr2bl w:val="nil"/>
            </w:tcBorders>
            <w:tcMar>
              <w:top w:w="20" w:type="dxa"/>
              <w:left w:w="20" w:type="dxa"/>
              <w:bottom w:w="20" w:type="dxa"/>
              <w:right w:w="20" w:type="dxa"/>
            </w:tcMar>
            <w:vAlign w:val="center"/>
          </w:tcPr>
          <w:p w14:paraId="0130FB25">
            <w:pPr>
              <w:wordWrap w:val="0"/>
              <w:spacing w:line="460" w:lineRule="exact"/>
              <w:jc w:val="center"/>
              <w:rPr>
                <w:rFonts w:hint="eastAsia" w:ascii="宋体" w:hAnsi="宋体" w:cs="宋体"/>
                <w:color w:val="auto"/>
                <w:sz w:val="28"/>
                <w:szCs w:val="28"/>
                <w:highlight w:val="none"/>
              </w:rPr>
            </w:pPr>
          </w:p>
        </w:tc>
        <w:tc>
          <w:tcPr>
            <w:tcW w:w="578" w:type="pct"/>
            <w:tcBorders>
              <w:tl2br w:val="nil"/>
              <w:tr2bl w:val="nil"/>
            </w:tcBorders>
            <w:tcMar>
              <w:top w:w="20" w:type="dxa"/>
              <w:left w:w="20" w:type="dxa"/>
              <w:bottom w:w="20" w:type="dxa"/>
              <w:right w:w="20" w:type="dxa"/>
            </w:tcMar>
            <w:vAlign w:val="center"/>
          </w:tcPr>
          <w:p w14:paraId="38896E88">
            <w:pPr>
              <w:wordWrap w:val="0"/>
              <w:spacing w:line="460" w:lineRule="exact"/>
              <w:jc w:val="cente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否</w:t>
            </w:r>
          </w:p>
        </w:tc>
      </w:tr>
      <w:tr w14:paraId="4DB437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4" w:type="pct"/>
            <w:tcBorders>
              <w:tl2br w:val="nil"/>
              <w:tr2bl w:val="nil"/>
            </w:tcBorders>
            <w:tcMar>
              <w:top w:w="20" w:type="dxa"/>
              <w:left w:w="20" w:type="dxa"/>
              <w:bottom w:w="20" w:type="dxa"/>
              <w:right w:w="20" w:type="dxa"/>
            </w:tcMar>
            <w:vAlign w:val="center"/>
          </w:tcPr>
          <w:p w14:paraId="04E4A783">
            <w:pPr>
              <w:spacing w:line="36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1076" w:type="pct"/>
            <w:tcBorders>
              <w:tl2br w:val="nil"/>
              <w:tr2bl w:val="nil"/>
            </w:tcBorders>
            <w:tcMar>
              <w:top w:w="20" w:type="dxa"/>
              <w:left w:w="20" w:type="dxa"/>
              <w:bottom w:w="20" w:type="dxa"/>
              <w:right w:w="20" w:type="dxa"/>
            </w:tcMar>
            <w:vAlign w:val="center"/>
          </w:tcPr>
          <w:p w14:paraId="46D9EAD0">
            <w:pPr>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介质强度测试系统</w:t>
            </w:r>
          </w:p>
        </w:tc>
        <w:tc>
          <w:tcPr>
            <w:tcW w:w="1036" w:type="pct"/>
            <w:tcBorders>
              <w:tl2br w:val="nil"/>
              <w:tr2bl w:val="nil"/>
            </w:tcBorders>
            <w:shd w:val="clear" w:color="auto" w:fill="auto"/>
            <w:tcMar>
              <w:top w:w="20" w:type="dxa"/>
              <w:left w:w="20" w:type="dxa"/>
              <w:bottom w:w="20" w:type="dxa"/>
              <w:right w:w="20" w:type="dxa"/>
            </w:tcMar>
            <w:vAlign w:val="center"/>
          </w:tcPr>
          <w:p w14:paraId="115144A6">
            <w:pPr>
              <w:spacing w:line="36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工业</w:t>
            </w:r>
          </w:p>
        </w:tc>
        <w:tc>
          <w:tcPr>
            <w:tcW w:w="425" w:type="pct"/>
            <w:tcBorders>
              <w:tl2br w:val="nil"/>
              <w:tr2bl w:val="nil"/>
            </w:tcBorders>
            <w:shd w:val="clear" w:color="auto" w:fill="auto"/>
            <w:tcMar>
              <w:top w:w="20" w:type="dxa"/>
              <w:left w:w="20" w:type="dxa"/>
              <w:bottom w:w="20" w:type="dxa"/>
              <w:right w:w="20" w:type="dxa"/>
            </w:tcMar>
            <w:vAlign w:val="center"/>
          </w:tcPr>
          <w:p w14:paraId="3353A0D8">
            <w:pPr>
              <w:widowControl/>
              <w:jc w:val="center"/>
              <w:textAlignment w:val="center"/>
              <w:rPr>
                <w:rFonts w:hint="eastAsia" w:ascii="宋体" w:hAnsi="宋体" w:eastAsia="宋体" w:cs="宋体"/>
                <w:color w:val="auto"/>
                <w:kern w:val="0"/>
                <w:sz w:val="28"/>
                <w:szCs w:val="28"/>
                <w:highlight w:val="none"/>
                <w:lang w:val="en-US" w:eastAsia="zh-CN" w:bidi="ar-SA"/>
              </w:rPr>
            </w:pPr>
            <w:r>
              <w:rPr>
                <w:rFonts w:hint="eastAsia" w:ascii="宋体" w:hAnsi="宋体" w:cs="宋体"/>
                <w:color w:val="auto"/>
                <w:kern w:val="0"/>
                <w:sz w:val="28"/>
                <w:szCs w:val="28"/>
                <w:highlight w:val="none"/>
              </w:rPr>
              <w:t>1</w:t>
            </w:r>
          </w:p>
        </w:tc>
        <w:tc>
          <w:tcPr>
            <w:tcW w:w="376" w:type="pct"/>
            <w:tcBorders>
              <w:tl2br w:val="nil"/>
              <w:tr2bl w:val="nil"/>
            </w:tcBorders>
            <w:shd w:val="clear" w:color="auto" w:fill="auto"/>
            <w:tcMar>
              <w:top w:w="20" w:type="dxa"/>
              <w:left w:w="20" w:type="dxa"/>
              <w:bottom w:w="20" w:type="dxa"/>
              <w:right w:w="20" w:type="dxa"/>
            </w:tcMar>
            <w:vAlign w:val="center"/>
          </w:tcPr>
          <w:p w14:paraId="23A85A44">
            <w:pPr>
              <w:spacing w:line="36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t>套</w:t>
            </w:r>
          </w:p>
        </w:tc>
        <w:tc>
          <w:tcPr>
            <w:tcW w:w="527" w:type="pct"/>
            <w:tcBorders>
              <w:tl2br w:val="nil"/>
              <w:tr2bl w:val="nil"/>
            </w:tcBorders>
            <w:shd w:val="clear" w:color="auto" w:fill="auto"/>
            <w:tcMar>
              <w:top w:w="20" w:type="dxa"/>
              <w:left w:w="20" w:type="dxa"/>
              <w:bottom w:w="20" w:type="dxa"/>
              <w:right w:w="20" w:type="dxa"/>
            </w:tcMar>
            <w:vAlign w:val="center"/>
          </w:tcPr>
          <w:p w14:paraId="0C5D00D1">
            <w:pPr>
              <w:wordWrap w:val="0"/>
              <w:spacing w:line="460" w:lineRule="exact"/>
              <w:jc w:val="center"/>
              <w:rPr>
                <w:rFonts w:hint="eastAsia" w:ascii="宋体" w:hAnsi="宋体" w:eastAsia="宋体" w:cs="宋体"/>
                <w:color w:val="auto"/>
                <w:kern w:val="2"/>
                <w:sz w:val="28"/>
                <w:szCs w:val="28"/>
                <w:highlight w:val="none"/>
                <w:lang w:val="en-US" w:eastAsia="zh-CN" w:bidi="ar-SA"/>
              </w:rPr>
            </w:pPr>
          </w:p>
        </w:tc>
        <w:tc>
          <w:tcPr>
            <w:tcW w:w="575" w:type="pct"/>
            <w:tcBorders>
              <w:tl2br w:val="nil"/>
              <w:tr2bl w:val="nil"/>
            </w:tcBorders>
            <w:shd w:val="clear" w:color="auto" w:fill="auto"/>
            <w:tcMar>
              <w:top w:w="20" w:type="dxa"/>
              <w:left w:w="20" w:type="dxa"/>
              <w:bottom w:w="20" w:type="dxa"/>
              <w:right w:w="20" w:type="dxa"/>
            </w:tcMar>
            <w:vAlign w:val="center"/>
          </w:tcPr>
          <w:p w14:paraId="7646B14C">
            <w:pPr>
              <w:wordWrap w:val="0"/>
              <w:spacing w:line="460" w:lineRule="exact"/>
              <w:jc w:val="center"/>
              <w:rPr>
                <w:rFonts w:hint="eastAsia" w:ascii="宋体" w:hAnsi="宋体" w:eastAsia="宋体" w:cs="宋体"/>
                <w:color w:val="auto"/>
                <w:kern w:val="2"/>
                <w:sz w:val="28"/>
                <w:szCs w:val="28"/>
                <w:highlight w:val="none"/>
                <w:lang w:val="en-US" w:eastAsia="zh-CN" w:bidi="ar-SA"/>
              </w:rPr>
            </w:pPr>
          </w:p>
        </w:tc>
        <w:tc>
          <w:tcPr>
            <w:tcW w:w="578" w:type="pct"/>
            <w:tcBorders>
              <w:tl2br w:val="nil"/>
              <w:tr2bl w:val="nil"/>
            </w:tcBorders>
            <w:shd w:val="clear" w:color="auto" w:fill="auto"/>
            <w:tcMar>
              <w:top w:w="20" w:type="dxa"/>
              <w:left w:w="20" w:type="dxa"/>
              <w:bottom w:w="20" w:type="dxa"/>
              <w:right w:w="20" w:type="dxa"/>
            </w:tcMar>
            <w:vAlign w:val="center"/>
          </w:tcPr>
          <w:p w14:paraId="4A5C4AD6">
            <w:pPr>
              <w:wordWrap w:val="0"/>
              <w:spacing w:line="460" w:lineRule="exact"/>
              <w:jc w:val="center"/>
              <w:rPr>
                <w:rFonts w:hint="eastAsia" w:ascii="宋体" w:hAnsi="宋体" w:eastAsia="宋体" w:cs="宋体"/>
                <w:b w:val="0"/>
                <w:bCs/>
                <w:color w:val="auto"/>
                <w:kern w:val="2"/>
                <w:sz w:val="28"/>
                <w:szCs w:val="28"/>
                <w:highlight w:val="none"/>
                <w:lang w:val="en-US" w:eastAsia="zh-CN" w:bidi="ar-SA"/>
              </w:rPr>
            </w:pPr>
            <w:r>
              <w:rPr>
                <w:rFonts w:hint="eastAsia" w:ascii="宋体" w:hAnsi="宋体" w:cs="宋体"/>
                <w:b w:val="0"/>
                <w:bCs/>
                <w:color w:val="auto"/>
                <w:sz w:val="28"/>
                <w:szCs w:val="28"/>
                <w:highlight w:val="none"/>
              </w:rPr>
              <w:t>否</w:t>
            </w:r>
          </w:p>
        </w:tc>
      </w:tr>
    </w:tbl>
    <w:p w14:paraId="0BAC8B6F">
      <w:pPr>
        <w:tabs>
          <w:tab w:val="left" w:pos="420"/>
        </w:tabs>
        <w:spacing w:beforeLines="50" w:afterLines="50" w:line="460" w:lineRule="exact"/>
        <w:ind w:firstLine="281" w:firstLineChars="100"/>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rPr>
        <w:t>三、</w:t>
      </w:r>
      <w:r>
        <w:rPr>
          <w:rFonts w:hint="eastAsia" w:ascii="宋体" w:hAnsi="宋体" w:cs="宋体"/>
          <w:b/>
          <w:bCs/>
          <w:color w:val="auto"/>
          <w:kern w:val="0"/>
          <w:sz w:val="28"/>
          <w:szCs w:val="28"/>
          <w:highlight w:val="none"/>
          <w:lang w:val="en-US" w:eastAsia="zh-CN"/>
        </w:rPr>
        <w:t>项目说明及要求</w:t>
      </w:r>
    </w:p>
    <w:p w14:paraId="779473A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Cs/>
          <w:color w:val="auto"/>
          <w:sz w:val="28"/>
          <w:szCs w:val="28"/>
          <w:vertAlign w:val="baseline"/>
        </w:rPr>
      </w:pPr>
      <w:r>
        <w:rPr>
          <w:rFonts w:hint="eastAsia" w:ascii="宋体" w:hAnsi="宋体" w:eastAsia="宋体" w:cs="宋体"/>
          <w:bCs/>
          <w:color w:val="auto"/>
          <w:sz w:val="28"/>
          <w:szCs w:val="28"/>
          <w:vertAlign w:val="baseline"/>
        </w:rPr>
        <w:t>1</w:t>
      </w:r>
      <w:r>
        <w:rPr>
          <w:rFonts w:hint="eastAsia" w:ascii="宋体" w:hAnsi="宋体" w:eastAsia="宋体" w:cs="宋体"/>
          <w:bCs/>
          <w:color w:val="auto"/>
          <w:sz w:val="28"/>
          <w:szCs w:val="28"/>
          <w:vertAlign w:val="baseline"/>
          <w:lang w:val="en-US" w:eastAsia="zh-CN"/>
        </w:rPr>
        <w:t>.</w:t>
      </w:r>
      <w:r>
        <w:rPr>
          <w:rFonts w:hint="eastAsia" w:ascii="宋体" w:hAnsi="宋体" w:eastAsia="宋体" w:cs="宋体"/>
          <w:bCs/>
          <w:color w:val="auto"/>
          <w:sz w:val="28"/>
          <w:szCs w:val="28"/>
          <w:vertAlign w:val="baseline"/>
        </w:rPr>
        <w:t>本项目为</w:t>
      </w:r>
      <w:r>
        <w:rPr>
          <w:rFonts w:hint="eastAsia" w:ascii="宋体" w:hAnsi="宋体" w:eastAsia="宋体" w:cs="宋体"/>
          <w:bCs/>
          <w:color w:val="auto"/>
          <w:sz w:val="28"/>
          <w:szCs w:val="28"/>
          <w:vertAlign w:val="baseline"/>
          <w:lang w:val="en-US" w:eastAsia="zh-CN"/>
        </w:rPr>
        <w:t>中压</w:t>
      </w:r>
      <w:r>
        <w:rPr>
          <w:rFonts w:hint="eastAsia" w:ascii="宋体" w:hAnsi="宋体" w:eastAsia="宋体" w:cs="宋体"/>
          <w:bCs/>
          <w:color w:val="auto"/>
          <w:sz w:val="28"/>
          <w:szCs w:val="28"/>
          <w:vertAlign w:val="baseline"/>
        </w:rPr>
        <w:t>电缆局部放电试验、冲击电压试验及随后热循环试验、tanδ测量的测试设备及系统，能够满足额定电压35</w:t>
      </w:r>
      <w:r>
        <w:rPr>
          <w:rFonts w:hint="eastAsia" w:ascii="宋体" w:hAnsi="宋体" w:eastAsia="宋体" w:cs="宋体"/>
          <w:bCs/>
          <w:color w:val="auto"/>
          <w:sz w:val="28"/>
          <w:szCs w:val="28"/>
          <w:vertAlign w:val="baseline"/>
          <w:lang w:val="en-US" w:eastAsia="zh-CN"/>
        </w:rPr>
        <w:t>k</w:t>
      </w:r>
      <w:r>
        <w:rPr>
          <w:rFonts w:hint="eastAsia" w:ascii="宋体" w:hAnsi="宋体" w:eastAsia="宋体" w:cs="宋体"/>
          <w:bCs/>
          <w:color w:val="auto"/>
          <w:sz w:val="28"/>
          <w:szCs w:val="28"/>
          <w:vertAlign w:val="baseline"/>
        </w:rPr>
        <w:t>V及以下电缆的短样电气型式试验要求。</w:t>
      </w:r>
    </w:p>
    <w:p w14:paraId="6F7C5E18">
      <w:pPr>
        <w:keepNext w:val="0"/>
        <w:keepLines w:val="0"/>
        <w:pageBreakBefore w:val="0"/>
        <w:widowControl w:val="0"/>
        <w:kinsoku w:val="0"/>
        <w:wordWrap w:val="0"/>
        <w:overflowPunct w:val="0"/>
        <w:topLinePunct w:val="0"/>
        <w:autoSpaceDE w:val="0"/>
        <w:autoSpaceDN w:val="0"/>
        <w:bidi w:val="0"/>
        <w:adjustRightInd/>
        <w:snapToGrid/>
        <w:spacing w:line="460" w:lineRule="exact"/>
        <w:ind w:firstLine="560" w:firstLineChars="200"/>
        <w:textAlignment w:val="auto"/>
        <w:rPr>
          <w:rFonts w:hint="eastAsia" w:ascii="宋体" w:hAnsi="宋体" w:eastAsia="宋体" w:cs="宋体"/>
          <w:bCs/>
          <w:color w:val="auto"/>
          <w:sz w:val="28"/>
          <w:szCs w:val="28"/>
          <w:vertAlign w:val="baseline"/>
        </w:rPr>
      </w:pPr>
      <w:r>
        <w:rPr>
          <w:rFonts w:hint="eastAsia" w:ascii="宋体" w:hAnsi="宋体" w:cs="宋体"/>
          <w:color w:val="auto"/>
          <w:sz w:val="28"/>
          <w:szCs w:val="28"/>
          <w:vertAlign w:val="baseline"/>
          <w:lang w:val="en-US" w:eastAsia="zh-CN"/>
        </w:rPr>
        <w:t>2</w:t>
      </w:r>
      <w:r>
        <w:rPr>
          <w:rFonts w:hint="eastAsia" w:ascii="宋体" w:hAnsi="宋体" w:eastAsia="宋体" w:cs="宋体"/>
          <w:bCs/>
          <w:color w:val="auto"/>
          <w:sz w:val="28"/>
          <w:szCs w:val="28"/>
          <w:vertAlign w:val="baseline"/>
          <w:lang w:val="en-US" w:eastAsia="zh-CN"/>
        </w:rPr>
        <w:t>.</w:t>
      </w:r>
      <w:r>
        <w:rPr>
          <w:rFonts w:hint="eastAsia" w:ascii="宋体" w:hAnsi="宋体" w:eastAsia="宋体" w:cs="宋体"/>
          <w:bCs/>
          <w:color w:val="auto"/>
          <w:sz w:val="28"/>
          <w:szCs w:val="28"/>
          <w:vertAlign w:val="baseline"/>
        </w:rPr>
        <w:t>本项目性能及技术要求应符合以下标准的最新版本：GB/T12706.1～12706.3（IEC60502）,GB/T7354(IEC60270),GB/T3048.12(IEC60885-3),</w:t>
      </w:r>
      <w:r>
        <w:rPr>
          <w:rFonts w:hint="eastAsia" w:ascii="宋体" w:hAnsi="宋体" w:eastAsia="宋体" w:cs="宋体"/>
          <w:bCs/>
          <w:color w:val="auto"/>
          <w:sz w:val="28"/>
          <w:szCs w:val="28"/>
          <w:vertAlign w:val="baseline"/>
          <w:lang w:val="en-US" w:eastAsia="zh-CN"/>
        </w:rPr>
        <w:t xml:space="preserve"> </w:t>
      </w:r>
      <w:r>
        <w:rPr>
          <w:rFonts w:hint="eastAsia" w:ascii="宋体" w:hAnsi="宋体" w:eastAsia="宋体" w:cs="宋体"/>
          <w:bCs/>
          <w:color w:val="auto"/>
          <w:sz w:val="28"/>
          <w:szCs w:val="28"/>
          <w:vertAlign w:val="baseline"/>
        </w:rPr>
        <w:t>GB/T3048.13(IEC60230), GB/T16927.</w:t>
      </w:r>
      <w:r>
        <w:rPr>
          <w:rFonts w:hint="eastAsia" w:ascii="宋体" w:hAnsi="宋体" w:eastAsia="宋体" w:cs="宋体"/>
          <w:bCs/>
          <w:color w:val="auto"/>
          <w:sz w:val="28"/>
          <w:szCs w:val="28"/>
          <w:vertAlign w:val="baseline"/>
          <w:lang w:val="en-US" w:eastAsia="zh-CN"/>
        </w:rPr>
        <w:t>1</w:t>
      </w:r>
      <w:r>
        <w:rPr>
          <w:rFonts w:hint="eastAsia" w:ascii="宋体" w:hAnsi="宋体" w:eastAsia="宋体" w:cs="宋体"/>
          <w:bCs/>
          <w:color w:val="auto"/>
          <w:sz w:val="28"/>
          <w:szCs w:val="28"/>
          <w:vertAlign w:val="baseline"/>
        </w:rPr>
        <w:t>～16927.2(IEC60060),JB/T10435，GB/T14049等。其中，局部放电试验系统在额定负载工况条件下的背景噪声应＜2PC。冲击电压试验和tanδ测量应在</w:t>
      </w:r>
      <w:r>
        <w:rPr>
          <w:rFonts w:hint="eastAsia" w:ascii="宋体" w:hAnsi="宋体" w:eastAsia="宋体" w:cs="宋体"/>
          <w:bCs/>
          <w:color w:val="auto"/>
          <w:sz w:val="28"/>
          <w:szCs w:val="28"/>
          <w:vertAlign w:val="baseline"/>
          <w:lang w:val="en-US" w:eastAsia="zh-CN"/>
        </w:rPr>
        <w:t>高于</w:t>
      </w:r>
      <w:r>
        <w:rPr>
          <w:rFonts w:hint="eastAsia" w:ascii="宋体" w:hAnsi="宋体" w:eastAsia="宋体" w:cs="宋体"/>
          <w:bCs/>
          <w:color w:val="auto"/>
          <w:sz w:val="28"/>
          <w:szCs w:val="28"/>
          <w:vertAlign w:val="baseline"/>
        </w:rPr>
        <w:t>电缆正常运行时导体最高温度5℃～10℃实时工况下进行。热循环试验设备容量应满足35kV以下单芯630mm²以下、多芯3×400mm2以下电缆的循环加热试验，加热温度最高可达到99℃。满足额定电压35</w:t>
      </w:r>
      <w:r>
        <w:rPr>
          <w:rFonts w:hint="eastAsia" w:ascii="宋体" w:hAnsi="宋体" w:eastAsia="宋体" w:cs="宋体"/>
          <w:bCs/>
          <w:color w:val="auto"/>
          <w:sz w:val="28"/>
          <w:szCs w:val="28"/>
          <w:vertAlign w:val="baseline"/>
          <w:lang w:val="en-US" w:eastAsia="zh-CN"/>
        </w:rPr>
        <w:t>k</w:t>
      </w:r>
      <w:r>
        <w:rPr>
          <w:rFonts w:hint="eastAsia" w:ascii="宋体" w:hAnsi="宋体" w:eastAsia="宋体" w:cs="宋体"/>
          <w:bCs/>
          <w:color w:val="auto"/>
          <w:sz w:val="28"/>
          <w:szCs w:val="28"/>
          <w:vertAlign w:val="baseline"/>
        </w:rPr>
        <w:t>V及以下电缆的短样电气型式试验要求。货物设备清单中的全部变压器和调压器绕组须为铜线绕组。</w:t>
      </w:r>
    </w:p>
    <w:p w14:paraId="54C4AEE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Cs/>
          <w:color w:val="auto"/>
          <w:sz w:val="28"/>
          <w:szCs w:val="28"/>
          <w:vertAlign w:val="baseline"/>
        </w:rPr>
      </w:pPr>
      <w:r>
        <w:rPr>
          <w:rFonts w:hint="eastAsia" w:ascii="宋体" w:hAnsi="宋体" w:cs="宋体"/>
          <w:color w:val="auto"/>
          <w:sz w:val="28"/>
          <w:szCs w:val="28"/>
          <w:vertAlign w:val="baseline"/>
          <w:lang w:val="en-US" w:eastAsia="zh-CN"/>
        </w:rPr>
        <w:t>3</w:t>
      </w:r>
      <w:r>
        <w:rPr>
          <w:rFonts w:hint="eastAsia" w:ascii="宋体" w:hAnsi="宋体" w:eastAsia="宋体" w:cs="宋体"/>
          <w:bCs/>
          <w:color w:val="auto"/>
          <w:sz w:val="28"/>
          <w:szCs w:val="28"/>
          <w:vertAlign w:val="baseline"/>
          <w:lang w:val="en-US" w:eastAsia="zh-CN"/>
        </w:rPr>
        <w:t>.</w:t>
      </w:r>
      <w:r>
        <w:rPr>
          <w:rFonts w:hint="eastAsia" w:ascii="宋体" w:hAnsi="宋体" w:eastAsia="宋体" w:cs="宋体"/>
          <w:bCs/>
          <w:color w:val="auto"/>
          <w:sz w:val="28"/>
          <w:szCs w:val="28"/>
          <w:vertAlign w:val="baseline"/>
        </w:rPr>
        <w:t>本项目全部设备安装于招标方的指定实验场所，一切基于现有场地条件进行，投标方应充分考虑到招标方基础设施条件以及对系统技术指标带来的影响因素，招标方项目安装场所现有的配电、接地及基础设施不再进行任何调整。</w:t>
      </w:r>
    </w:p>
    <w:p w14:paraId="33B1BD30">
      <w:pPr>
        <w:tabs>
          <w:tab w:val="left" w:pos="420"/>
        </w:tabs>
        <w:spacing w:beforeLines="50" w:afterLines="50" w:line="460" w:lineRule="exact"/>
        <w:ind w:firstLine="281" w:firstLineChars="100"/>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四、设备清单</w:t>
      </w:r>
    </w:p>
    <w:tbl>
      <w:tblPr>
        <w:tblStyle w:val="37"/>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433"/>
        <w:gridCol w:w="836"/>
        <w:gridCol w:w="5325"/>
      </w:tblGrid>
      <w:tr w14:paraId="08A8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3CFC1A0F">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433" w:type="dxa"/>
            <w:tcBorders>
              <w:top w:val="single" w:color="auto" w:sz="4" w:space="0"/>
              <w:left w:val="nil"/>
              <w:bottom w:val="single" w:color="auto" w:sz="4" w:space="0"/>
              <w:right w:val="single" w:color="auto" w:sz="4" w:space="0"/>
            </w:tcBorders>
            <w:noWrap w:val="0"/>
            <w:vAlign w:val="center"/>
          </w:tcPr>
          <w:p w14:paraId="1FD7A345">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仪器</w:t>
            </w:r>
            <w:r>
              <w:rPr>
                <w:rFonts w:hint="eastAsia" w:ascii="宋体" w:hAnsi="宋体" w:eastAsia="宋体" w:cs="宋体"/>
                <w:color w:val="auto"/>
                <w:sz w:val="28"/>
                <w:szCs w:val="28"/>
                <w:lang w:val="en-US" w:eastAsia="zh-CN"/>
              </w:rPr>
              <w:t>/设备</w:t>
            </w:r>
            <w:r>
              <w:rPr>
                <w:rFonts w:hint="eastAsia" w:ascii="宋体" w:hAnsi="宋体" w:eastAsia="宋体" w:cs="宋体"/>
                <w:color w:val="auto"/>
                <w:sz w:val="28"/>
                <w:szCs w:val="28"/>
              </w:rPr>
              <w:t>名称</w:t>
            </w:r>
          </w:p>
        </w:tc>
        <w:tc>
          <w:tcPr>
            <w:tcW w:w="836" w:type="dxa"/>
            <w:tcBorders>
              <w:top w:val="single" w:color="auto" w:sz="4" w:space="0"/>
              <w:left w:val="nil"/>
              <w:bottom w:val="single" w:color="auto" w:sz="4" w:space="0"/>
              <w:right w:val="single" w:color="auto" w:sz="4" w:space="0"/>
            </w:tcBorders>
            <w:noWrap w:val="0"/>
            <w:vAlign w:val="center"/>
          </w:tcPr>
          <w:p w14:paraId="71976563">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数量</w:t>
            </w:r>
          </w:p>
        </w:tc>
        <w:tc>
          <w:tcPr>
            <w:tcW w:w="5325" w:type="dxa"/>
            <w:tcBorders>
              <w:top w:val="single" w:color="auto" w:sz="4" w:space="0"/>
              <w:left w:val="nil"/>
              <w:bottom w:val="single" w:color="auto" w:sz="4" w:space="0"/>
              <w:right w:val="single" w:color="auto" w:sz="4" w:space="0"/>
            </w:tcBorders>
            <w:noWrap w:val="0"/>
            <w:vAlign w:val="center"/>
          </w:tcPr>
          <w:p w14:paraId="36D0FFA0">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配置要求清单</w:t>
            </w:r>
          </w:p>
        </w:tc>
      </w:tr>
      <w:tr w14:paraId="295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408EACE4">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1433" w:type="dxa"/>
            <w:tcBorders>
              <w:top w:val="single" w:color="auto" w:sz="4" w:space="0"/>
              <w:left w:val="nil"/>
              <w:bottom w:val="single" w:color="auto" w:sz="4" w:space="0"/>
              <w:right w:val="single" w:color="auto" w:sz="4" w:space="0"/>
            </w:tcBorders>
            <w:noWrap w:val="0"/>
            <w:vAlign w:val="center"/>
          </w:tcPr>
          <w:p w14:paraId="1D3D73D8">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工频局放测试系统</w:t>
            </w:r>
          </w:p>
        </w:tc>
        <w:tc>
          <w:tcPr>
            <w:tcW w:w="836" w:type="dxa"/>
            <w:tcBorders>
              <w:top w:val="single" w:color="auto" w:sz="4" w:space="0"/>
              <w:left w:val="nil"/>
              <w:bottom w:val="single" w:color="auto" w:sz="4" w:space="0"/>
              <w:right w:val="single" w:color="auto" w:sz="4" w:space="0"/>
            </w:tcBorders>
            <w:noWrap w:val="0"/>
            <w:vAlign w:val="center"/>
          </w:tcPr>
          <w:p w14:paraId="4B9AB421">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5325" w:type="dxa"/>
            <w:tcBorders>
              <w:top w:val="single" w:color="auto" w:sz="4" w:space="0"/>
              <w:left w:val="nil"/>
              <w:bottom w:val="single" w:color="auto" w:sz="4" w:space="0"/>
              <w:right w:val="single" w:color="auto" w:sz="4" w:space="0"/>
            </w:tcBorders>
            <w:noWrap w:val="0"/>
          </w:tcPr>
          <w:p w14:paraId="4992D2D6">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数字局部放电测试仪（数量：1台）</w:t>
            </w:r>
          </w:p>
          <w:p w14:paraId="0B310EAE">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双屏蔽静电隔离变压器（数量：1台）</w:t>
            </w:r>
          </w:p>
          <w:p w14:paraId="4FCB1E82">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低压滤波器（数量：1台）</w:t>
            </w:r>
          </w:p>
          <w:p w14:paraId="7D29EB7B">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耦合电容分压器（数量：1台）</w:t>
            </w:r>
          </w:p>
          <w:p w14:paraId="0969CA2C">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局放设备计量检定（数量：1次）</w:t>
            </w:r>
          </w:p>
          <w:p w14:paraId="3843DDB9">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备注：招标人已有无局放工频耐压试验系统，采购局放仪、双屏蔽隔离变压器、低压滤波器、耦合电容分压器后，需进行硬软件匹配，满足电线电缆局部放电试验的要求。</w:t>
            </w:r>
          </w:p>
        </w:tc>
      </w:tr>
      <w:tr w14:paraId="6143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3AD2F314">
            <w:pPr>
              <w:keepNext w:val="0"/>
              <w:keepLines w:val="0"/>
              <w:pageBreakBefore w:val="0"/>
              <w:widowControl w:val="0"/>
              <w:kinsoku w:val="0"/>
              <w:wordWrap w:val="0"/>
              <w:overflowPunct w:val="0"/>
              <w:topLinePunct w:val="0"/>
              <w:autoSpaceDE w:val="0"/>
              <w:autoSpaceDN w:val="0"/>
              <w:bidi w:val="0"/>
              <w:adjustRightInd/>
              <w:snapToGrid/>
              <w:spacing w:line="3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1433" w:type="dxa"/>
            <w:tcBorders>
              <w:top w:val="single" w:color="auto" w:sz="4" w:space="0"/>
              <w:left w:val="nil"/>
              <w:bottom w:val="single" w:color="auto" w:sz="4" w:space="0"/>
              <w:right w:val="single" w:color="auto" w:sz="4" w:space="0"/>
            </w:tcBorders>
            <w:noWrap w:val="0"/>
            <w:vAlign w:val="center"/>
          </w:tcPr>
          <w:p w14:paraId="4600A247">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35kV及以下电缆局放屏蔽试验室</w:t>
            </w:r>
          </w:p>
        </w:tc>
        <w:tc>
          <w:tcPr>
            <w:tcW w:w="836" w:type="dxa"/>
            <w:tcBorders>
              <w:top w:val="single" w:color="auto" w:sz="4" w:space="0"/>
              <w:left w:val="nil"/>
              <w:bottom w:val="single" w:color="auto" w:sz="4" w:space="0"/>
              <w:right w:val="single" w:color="auto" w:sz="4" w:space="0"/>
            </w:tcBorders>
            <w:noWrap w:val="0"/>
            <w:vAlign w:val="center"/>
          </w:tcPr>
          <w:p w14:paraId="1BC176B0">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5325" w:type="dxa"/>
            <w:tcBorders>
              <w:top w:val="single" w:color="auto" w:sz="4" w:space="0"/>
              <w:left w:val="nil"/>
              <w:bottom w:val="single" w:color="auto" w:sz="4" w:space="0"/>
              <w:right w:val="single" w:color="auto" w:sz="4" w:space="0"/>
            </w:tcBorders>
            <w:noWrap w:val="0"/>
          </w:tcPr>
          <w:p w14:paraId="47596BAD">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1.屏蔽室</w:t>
            </w:r>
          </w:p>
          <w:p w14:paraId="035C179B">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2.控制室（配置空调）</w:t>
            </w:r>
          </w:p>
          <w:p w14:paraId="4166D7CF">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3.绝缘地坪</w:t>
            </w:r>
          </w:p>
          <w:p w14:paraId="6871A697">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4.屏蔽效果第三方验收（数量：1次）</w:t>
            </w:r>
          </w:p>
          <w:p w14:paraId="14D97C87">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b/>
                <w:bCs/>
                <w:color w:val="auto"/>
                <w:sz w:val="28"/>
                <w:szCs w:val="28"/>
                <w:lang w:val="en-US" w:eastAsia="zh-CN"/>
              </w:rPr>
              <w:t>备注：招标人已完成局放接地，接地电阻＜1Ω。</w:t>
            </w:r>
          </w:p>
        </w:tc>
      </w:tr>
      <w:tr w14:paraId="1D693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8"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3C0ECEAA">
            <w:pPr>
              <w:keepNext w:val="0"/>
              <w:keepLines w:val="0"/>
              <w:pageBreakBefore w:val="0"/>
              <w:widowControl w:val="0"/>
              <w:kinsoku w:val="0"/>
              <w:wordWrap w:val="0"/>
              <w:overflowPunct w:val="0"/>
              <w:topLinePunct w:val="0"/>
              <w:autoSpaceDE w:val="0"/>
              <w:autoSpaceDN w:val="0"/>
              <w:bidi w:val="0"/>
              <w:adjustRightInd/>
              <w:snapToGrid/>
              <w:spacing w:line="3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1433" w:type="dxa"/>
            <w:tcBorders>
              <w:top w:val="single" w:color="auto" w:sz="4" w:space="0"/>
              <w:left w:val="nil"/>
              <w:bottom w:val="single" w:color="auto" w:sz="4" w:space="0"/>
              <w:right w:val="single" w:color="auto" w:sz="4" w:space="0"/>
            </w:tcBorders>
            <w:noWrap w:val="0"/>
            <w:vAlign w:val="center"/>
          </w:tcPr>
          <w:p w14:paraId="4991A766">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（双路）电缆循环加热试验系统</w:t>
            </w:r>
          </w:p>
        </w:tc>
        <w:tc>
          <w:tcPr>
            <w:tcW w:w="836" w:type="dxa"/>
            <w:tcBorders>
              <w:top w:val="single" w:color="auto" w:sz="4" w:space="0"/>
              <w:left w:val="nil"/>
              <w:bottom w:val="single" w:color="auto" w:sz="4" w:space="0"/>
              <w:right w:val="single" w:color="auto" w:sz="4" w:space="0"/>
            </w:tcBorders>
            <w:noWrap w:val="0"/>
            <w:vAlign w:val="center"/>
          </w:tcPr>
          <w:p w14:paraId="14171BB1">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5325" w:type="dxa"/>
            <w:tcBorders>
              <w:top w:val="single" w:color="auto" w:sz="4" w:space="0"/>
              <w:left w:val="nil"/>
              <w:bottom w:val="single" w:color="auto" w:sz="4" w:space="0"/>
              <w:right w:val="single" w:color="auto" w:sz="4" w:space="0"/>
            </w:tcBorders>
            <w:noWrap w:val="0"/>
          </w:tcPr>
          <w:p w14:paraId="2B5BC6BE">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1.微机控制台（数量：1台）</w:t>
            </w:r>
          </w:p>
          <w:p w14:paraId="27CDAC2B">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2.电气控制箱（数量：1台）</w:t>
            </w:r>
          </w:p>
          <w:p w14:paraId="723BBE30">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3.感应式调压器（数量：100kVA和50kVA各1台）</w:t>
            </w:r>
          </w:p>
          <w:p w14:paraId="2CD8DC62">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4.穿心式加热变压器（数量：50kVA3台）</w:t>
            </w:r>
          </w:p>
          <w:p w14:paraId="2B694CA7">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5.40kVA补偿电容器（数量：3台）</w:t>
            </w:r>
          </w:p>
          <w:p w14:paraId="001BCEC3">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ind w:left="0" w:leftChars="0" w:firstLine="0" w:firstLineChars="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大电流互感器含热电偶（数量：2套）</w:t>
            </w:r>
          </w:p>
          <w:p w14:paraId="66972BAB">
            <w:pPr>
              <w:keepNext w:val="0"/>
              <w:keepLines w:val="0"/>
              <w:pageBreakBefore w:val="0"/>
              <w:widowControl w:val="0"/>
              <w:numPr>
                <w:ilvl w:val="0"/>
                <w:numId w:val="2"/>
              </w:numPr>
              <w:kinsoku w:val="0"/>
              <w:wordWrap w:val="0"/>
              <w:overflowPunct w:val="0"/>
              <w:topLinePunct w:val="0"/>
              <w:autoSpaceDE w:val="0"/>
              <w:autoSpaceDN w:val="0"/>
              <w:bidi w:val="0"/>
              <w:adjustRightInd/>
              <w:snapToGrid/>
              <w:spacing w:line="360" w:lineRule="exact"/>
              <w:ind w:left="0" w:leftChars="0" w:firstLine="0" w:firstLineChars="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设备计量检定（数量：1次）</w:t>
            </w:r>
          </w:p>
          <w:p w14:paraId="115254E0">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ind w:leftChars="0"/>
              <w:textAlignment w:val="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备注：招标人已完成局放接地，接地电阻＜1Ω。</w:t>
            </w:r>
          </w:p>
        </w:tc>
      </w:tr>
      <w:tr w14:paraId="7A8C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41833F11">
            <w:pPr>
              <w:keepNext w:val="0"/>
              <w:keepLines w:val="0"/>
              <w:pageBreakBefore w:val="0"/>
              <w:widowControl w:val="0"/>
              <w:kinsoku w:val="0"/>
              <w:wordWrap w:val="0"/>
              <w:overflowPunct w:val="0"/>
              <w:topLinePunct w:val="0"/>
              <w:autoSpaceDE w:val="0"/>
              <w:autoSpaceDN w:val="0"/>
              <w:bidi w:val="0"/>
              <w:adjustRightInd/>
              <w:snapToGrid/>
              <w:spacing w:line="3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1433" w:type="dxa"/>
            <w:tcBorders>
              <w:top w:val="single" w:color="auto" w:sz="4" w:space="0"/>
              <w:left w:val="nil"/>
              <w:bottom w:val="single" w:color="auto" w:sz="4" w:space="0"/>
              <w:right w:val="single" w:color="auto" w:sz="4" w:space="0"/>
            </w:tcBorders>
            <w:noWrap w:val="0"/>
            <w:vAlign w:val="center"/>
          </w:tcPr>
          <w:p w14:paraId="32F82CC7">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冲击电压试验系统</w:t>
            </w:r>
          </w:p>
        </w:tc>
        <w:tc>
          <w:tcPr>
            <w:tcW w:w="836" w:type="dxa"/>
            <w:tcBorders>
              <w:top w:val="single" w:color="auto" w:sz="4" w:space="0"/>
              <w:left w:val="nil"/>
              <w:bottom w:val="single" w:color="auto" w:sz="4" w:space="0"/>
              <w:right w:val="single" w:color="auto" w:sz="4" w:space="0"/>
            </w:tcBorders>
            <w:noWrap w:val="0"/>
            <w:vAlign w:val="center"/>
          </w:tcPr>
          <w:p w14:paraId="6852AD5B">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5325" w:type="dxa"/>
            <w:tcBorders>
              <w:top w:val="single" w:color="auto" w:sz="4" w:space="0"/>
              <w:left w:val="nil"/>
              <w:bottom w:val="single" w:color="auto" w:sz="4" w:space="0"/>
              <w:right w:val="single" w:color="auto" w:sz="4" w:space="0"/>
            </w:tcBorders>
            <w:noWrap w:val="0"/>
          </w:tcPr>
          <w:p w14:paraId="68434179">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1.400kV 20kJ冲击电压发生器本体（数量：1套）</w:t>
            </w:r>
          </w:p>
          <w:p w14:paraId="2EC0A286">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2.100kV直流充电装置（数量：1套）</w:t>
            </w:r>
          </w:p>
          <w:p w14:paraId="1817BE8F">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3.400kV弱阻尼电容分压器（数量：1台）</w:t>
            </w:r>
          </w:p>
          <w:p w14:paraId="4E721FE6">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4.计算机自动化测控系统（数量：1套）</w:t>
            </w:r>
          </w:p>
          <w:p w14:paraId="5C3F1F96">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5.二次回路测量线、控制线（数量：1套）</w:t>
            </w:r>
          </w:p>
          <w:p w14:paraId="1BC03C24">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6.手动接地棒（数量：1根）</w:t>
            </w:r>
          </w:p>
          <w:p w14:paraId="72818F2E">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7.接地系统（接地电阻＜0.5Ω）</w:t>
            </w:r>
          </w:p>
          <w:p w14:paraId="6F89B6C7">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8.设备计量检定（数量：1次）</w:t>
            </w:r>
          </w:p>
        </w:tc>
      </w:tr>
      <w:tr w14:paraId="30CE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0435B5BB">
            <w:pPr>
              <w:keepNext w:val="0"/>
              <w:keepLines w:val="0"/>
              <w:pageBreakBefore w:val="0"/>
              <w:widowControl w:val="0"/>
              <w:kinsoku w:val="0"/>
              <w:wordWrap w:val="0"/>
              <w:overflowPunct w:val="0"/>
              <w:topLinePunct w:val="0"/>
              <w:autoSpaceDE w:val="0"/>
              <w:autoSpaceDN w:val="0"/>
              <w:bidi w:val="0"/>
              <w:adjustRightInd/>
              <w:snapToGrid/>
              <w:spacing w:line="360" w:lineRule="exact"/>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1433" w:type="dxa"/>
            <w:tcBorders>
              <w:top w:val="single" w:color="auto" w:sz="4" w:space="0"/>
              <w:left w:val="nil"/>
              <w:bottom w:val="single" w:color="auto" w:sz="4" w:space="0"/>
              <w:right w:val="single" w:color="auto" w:sz="4" w:space="0"/>
            </w:tcBorders>
            <w:noWrap w:val="0"/>
            <w:vAlign w:val="center"/>
          </w:tcPr>
          <w:p w14:paraId="24234C46">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介质损耗测试系统</w:t>
            </w:r>
          </w:p>
        </w:tc>
        <w:tc>
          <w:tcPr>
            <w:tcW w:w="836" w:type="dxa"/>
            <w:tcBorders>
              <w:top w:val="single" w:color="auto" w:sz="4" w:space="0"/>
              <w:left w:val="nil"/>
              <w:bottom w:val="single" w:color="auto" w:sz="4" w:space="0"/>
              <w:right w:val="single" w:color="auto" w:sz="4" w:space="0"/>
            </w:tcBorders>
            <w:noWrap w:val="0"/>
            <w:vAlign w:val="center"/>
          </w:tcPr>
          <w:p w14:paraId="3336A274">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1套</w:t>
            </w:r>
          </w:p>
        </w:tc>
        <w:tc>
          <w:tcPr>
            <w:tcW w:w="5325" w:type="dxa"/>
            <w:tcBorders>
              <w:top w:val="single" w:color="auto" w:sz="4" w:space="0"/>
              <w:left w:val="nil"/>
              <w:bottom w:val="single" w:color="auto" w:sz="4" w:space="0"/>
              <w:right w:val="single" w:color="auto" w:sz="4" w:space="0"/>
            </w:tcBorders>
            <w:noWrap w:val="0"/>
          </w:tcPr>
          <w:p w14:paraId="735152D7">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1.高精密高压电容电桥（数量：1台）</w:t>
            </w:r>
          </w:p>
          <w:p w14:paraId="6E0BA184">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2.50kV/100pF高压标准电容器（数量：1台）</w:t>
            </w:r>
          </w:p>
          <w:p w14:paraId="64EF5D74">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3.设备计量检定（数量：1次）</w:t>
            </w:r>
          </w:p>
        </w:tc>
      </w:tr>
      <w:tr w14:paraId="56E8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824" w:type="dxa"/>
            <w:tcBorders>
              <w:top w:val="single" w:color="auto" w:sz="4" w:space="0"/>
              <w:left w:val="single" w:color="auto" w:sz="4" w:space="0"/>
              <w:bottom w:val="single" w:color="auto" w:sz="4" w:space="0"/>
              <w:right w:val="single" w:color="auto" w:sz="4" w:space="0"/>
            </w:tcBorders>
            <w:noWrap w:val="0"/>
            <w:vAlign w:val="center"/>
          </w:tcPr>
          <w:p w14:paraId="5873AFFA">
            <w:pPr>
              <w:keepNext w:val="0"/>
              <w:keepLines w:val="0"/>
              <w:pageBreakBefore w:val="0"/>
              <w:widowControl w:val="0"/>
              <w:kinsoku w:val="0"/>
              <w:wordWrap w:val="0"/>
              <w:overflowPunct w:val="0"/>
              <w:topLinePunct w:val="0"/>
              <w:autoSpaceDE w:val="0"/>
              <w:autoSpaceDN w:val="0"/>
              <w:bidi w:val="0"/>
              <w:adjustRightInd/>
              <w:snapToGrid/>
              <w:spacing w:line="360" w:lineRule="exact"/>
              <w:jc w:val="center"/>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p>
        </w:tc>
        <w:tc>
          <w:tcPr>
            <w:tcW w:w="1433" w:type="dxa"/>
            <w:tcBorders>
              <w:top w:val="single" w:color="auto" w:sz="4" w:space="0"/>
              <w:left w:val="nil"/>
              <w:bottom w:val="single" w:color="auto" w:sz="4" w:space="0"/>
              <w:right w:val="single" w:color="auto" w:sz="4" w:space="0"/>
            </w:tcBorders>
            <w:noWrap w:val="0"/>
            <w:vAlign w:val="center"/>
          </w:tcPr>
          <w:p w14:paraId="4217EACD">
            <w:pPr>
              <w:keepNext w:val="0"/>
              <w:keepLines w:val="0"/>
              <w:pageBreakBefore w:val="0"/>
              <w:widowControl w:val="0"/>
              <w:kinsoku w:val="0"/>
              <w:wordWrap w:val="0"/>
              <w:overflowPunct w:val="0"/>
              <w:topLinePunct w:val="0"/>
              <w:autoSpaceDE w:val="0"/>
              <w:autoSpaceDN w:val="0"/>
              <w:bidi w:val="0"/>
              <w:adjustRightInd/>
              <w:snapToGrid/>
              <w:spacing w:line="360" w:lineRule="exact"/>
              <w:contextualSpacing/>
              <w:jc w:val="center"/>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介质强度测试系统</w:t>
            </w:r>
          </w:p>
        </w:tc>
        <w:tc>
          <w:tcPr>
            <w:tcW w:w="836" w:type="dxa"/>
            <w:tcBorders>
              <w:top w:val="single" w:color="auto" w:sz="4" w:space="0"/>
              <w:left w:val="nil"/>
              <w:bottom w:val="single" w:color="auto" w:sz="4" w:space="0"/>
              <w:right w:val="single" w:color="auto" w:sz="4" w:space="0"/>
            </w:tcBorders>
            <w:noWrap w:val="0"/>
            <w:vAlign w:val="center"/>
          </w:tcPr>
          <w:p w14:paraId="3A2E2E1A">
            <w:pPr>
              <w:keepNext w:val="0"/>
              <w:keepLines w:val="0"/>
              <w:pageBreakBefore w:val="0"/>
              <w:widowControl w:val="0"/>
              <w:kinsoku w:val="0"/>
              <w:wordWrap w:val="0"/>
              <w:overflowPunct w:val="0"/>
              <w:topLinePunct w:val="0"/>
              <w:autoSpaceDE w:val="0"/>
              <w:autoSpaceDN w:val="0"/>
              <w:bidi w:val="0"/>
              <w:adjustRightInd/>
              <w:snapToGrid/>
              <w:spacing w:line="360" w:lineRule="exact"/>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1套</w:t>
            </w:r>
          </w:p>
        </w:tc>
        <w:tc>
          <w:tcPr>
            <w:tcW w:w="5325" w:type="dxa"/>
            <w:tcBorders>
              <w:top w:val="single" w:color="auto" w:sz="4" w:space="0"/>
              <w:left w:val="nil"/>
              <w:bottom w:val="single" w:color="auto" w:sz="4" w:space="0"/>
              <w:right w:val="single" w:color="auto" w:sz="4" w:space="0"/>
            </w:tcBorders>
            <w:noWrap w:val="0"/>
          </w:tcPr>
          <w:p w14:paraId="446D56A5">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控制箱（数量：1台）</w:t>
            </w:r>
          </w:p>
          <w:p w14:paraId="09DF3923">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5kVA/</w:t>
            </w:r>
            <w:r>
              <w:rPr>
                <w:rFonts w:hint="eastAsia" w:ascii="宋体" w:hAnsi="宋体" w:eastAsia="宋体" w:cs="宋体"/>
                <w:color w:val="auto"/>
                <w:sz w:val="28"/>
                <w:szCs w:val="28"/>
                <w:lang w:val="en-US" w:eastAsia="zh-CN"/>
              </w:rPr>
              <w:t>220</w:t>
            </w:r>
            <w:r>
              <w:rPr>
                <w:rFonts w:hint="eastAsia" w:ascii="宋体" w:hAnsi="宋体" w:eastAsia="宋体" w:cs="宋体"/>
                <w:color w:val="auto"/>
                <w:sz w:val="28"/>
                <w:szCs w:val="28"/>
              </w:rPr>
              <w:t>V/50kV试验变压器（数量：1台）</w:t>
            </w:r>
          </w:p>
          <w:p w14:paraId="651A97F7">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5kVA/220V/0-250V接触式调压器（数量：1台）</w:t>
            </w:r>
          </w:p>
          <w:p w14:paraId="330E5891">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 </w:t>
            </w:r>
            <w:r>
              <w:rPr>
                <w:rFonts w:hint="eastAsia" w:ascii="宋体" w:hAnsi="宋体" w:eastAsia="宋体" w:cs="宋体"/>
                <w:color w:val="auto"/>
                <w:sz w:val="28"/>
                <w:szCs w:val="28"/>
              </w:rPr>
              <w:t>5kΩ保护电阻（数量：1根）</w:t>
            </w:r>
          </w:p>
          <w:p w14:paraId="10A324BC">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 </w:t>
            </w:r>
            <w:r>
              <w:rPr>
                <w:rFonts w:hint="eastAsia" w:ascii="宋体" w:hAnsi="宋体" w:eastAsia="宋体" w:cs="宋体"/>
                <w:color w:val="auto"/>
                <w:sz w:val="28"/>
                <w:szCs w:val="28"/>
              </w:rPr>
              <w:t>电极箱（数量：1套）</w:t>
            </w:r>
          </w:p>
          <w:p w14:paraId="5095D57F">
            <w:pPr>
              <w:numPr>
                <w:ilvl w:val="0"/>
                <w:numId w:val="0"/>
              </w:numPr>
              <w:kinsoku w:val="0"/>
              <w:wordWrap w:val="0"/>
              <w:overflowPunct w:val="0"/>
              <w:autoSpaceDE w:val="0"/>
              <w:autoSpaceDN w:val="0"/>
              <w:spacing w:line="360" w:lineRule="exact"/>
              <w:ind w:left="0" w:firstLine="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6.设备计量检定（数量：1次）</w:t>
            </w:r>
          </w:p>
          <w:p w14:paraId="19A23F3D">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exact"/>
              <w:textAlignment w:val="auto"/>
              <w:rPr>
                <w:rFonts w:hint="eastAsia" w:ascii="宋体" w:hAnsi="宋体" w:eastAsia="宋体" w:cs="宋体"/>
                <w:color w:val="auto"/>
                <w:sz w:val="28"/>
                <w:szCs w:val="28"/>
                <w:lang w:val="en-US" w:eastAsia="zh-CN"/>
              </w:rPr>
            </w:pPr>
          </w:p>
        </w:tc>
      </w:tr>
    </w:tbl>
    <w:p w14:paraId="4BBFC326">
      <w:pPr>
        <w:pBdr>
          <w:top w:val="none" w:color="000000" w:sz="0" w:space="0"/>
          <w:left w:val="none" w:color="000000" w:sz="0" w:space="0"/>
          <w:bottom w:val="none" w:color="000000" w:sz="0" w:space="0"/>
          <w:right w:val="none" w:color="000000" w:sz="0" w:space="0"/>
        </w:pBdr>
        <w:spacing w:line="460" w:lineRule="exact"/>
        <w:ind w:firstLine="562" w:firstLineChars="200"/>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五</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技术要求</w:t>
      </w:r>
    </w:p>
    <w:p w14:paraId="5D962D6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（1）工频局放测试系统</w:t>
      </w:r>
    </w:p>
    <w:p w14:paraId="57F6C45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招标人已有无局放工频耐压试验系统，采购局放仪、双屏蔽隔离变压器、低压滤波器、耦合电容分压器后，需进行硬软件匹配，满足电线电缆局部放电试验的要求。</w:t>
      </w:r>
    </w:p>
    <w:p w14:paraId="532030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1.1 总体技术参数</w:t>
      </w:r>
    </w:p>
    <w:p w14:paraId="0E3C688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1.1.1局放水平：80%的额定电压下＜2pC；</w:t>
      </w:r>
    </w:p>
    <w:p w14:paraId="5F613D3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1.1.2 系统负载背景噪声：＜2pC；</w:t>
      </w:r>
    </w:p>
    <w:p w14:paraId="7349930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1.1.3 符合GB/T12706.1～12706.3（IEC60502）,GB/T7354(IEC60270), GB/T3048.12(IEC60885-3),JB/T10435标准要求；</w:t>
      </w:r>
    </w:p>
    <w:p w14:paraId="479880B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1.1.4 具有电缆局部放电位置定位功能</w:t>
      </w:r>
      <w:r>
        <w:rPr>
          <w:rFonts w:hint="eastAsia" w:ascii="宋体" w:hAnsi="宋体" w:cs="宋体"/>
          <w:color w:val="auto"/>
          <w:sz w:val="28"/>
          <w:szCs w:val="28"/>
          <w:lang w:val="en-US" w:eastAsia="zh-CN"/>
        </w:rPr>
        <w:t>。</w:t>
      </w:r>
    </w:p>
    <w:p w14:paraId="5459BFE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1.2数字局部放电测试仪</w:t>
      </w:r>
    </w:p>
    <w:p w14:paraId="35C4432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1.2.1可测试品的电容量范围：6pF～250μF；</w:t>
      </w:r>
    </w:p>
    <w:p w14:paraId="72CEC04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1.2.2检测灵敏度：＜0.02pC（电容50pF时）；</w:t>
      </w:r>
    </w:p>
    <w:p w14:paraId="7E32D53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1.2.3放大器频带：低端频率10、20、30、50、80kHz任选，高端频率100、200、300、400、500kHz任选；</w:t>
      </w:r>
    </w:p>
    <w:p w14:paraId="77965C7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1.2.4放大器增益调节范围：＞120dB,档间增益差20±1dB。正、负脉冲响应不对称性＜1dB；</w:t>
      </w:r>
    </w:p>
    <w:p w14:paraId="100063A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1.2.5时间窗：窗宽1</w:t>
      </w:r>
      <w:r>
        <w:rPr>
          <w:rFonts w:hint="eastAsia" w:ascii="宋体" w:hAnsi="宋体" w:eastAsia="宋体" w:cs="宋体"/>
          <w:color w:val="auto"/>
          <w:sz w:val="28"/>
          <w:szCs w:val="28"/>
          <w:vertAlign w:val="superscript"/>
          <w:lang w:val="en-US" w:eastAsia="zh-CN"/>
        </w:rPr>
        <w:t>о</w:t>
      </w:r>
      <w:r>
        <w:rPr>
          <w:rFonts w:hint="eastAsia" w:ascii="宋体" w:hAnsi="宋体" w:eastAsia="宋体" w:cs="宋体"/>
          <w:color w:val="auto"/>
          <w:sz w:val="28"/>
          <w:szCs w:val="28"/>
          <w:lang w:val="en-US" w:eastAsia="zh-CN"/>
        </w:rPr>
        <w:t>～360</w:t>
      </w:r>
      <w:r>
        <w:rPr>
          <w:rFonts w:hint="eastAsia" w:ascii="宋体" w:hAnsi="宋体" w:eastAsia="宋体" w:cs="宋体"/>
          <w:color w:val="auto"/>
          <w:sz w:val="28"/>
          <w:szCs w:val="28"/>
          <w:vertAlign w:val="superscript"/>
          <w:lang w:val="en-US" w:eastAsia="zh-CN"/>
        </w:rPr>
        <w:t>о</w:t>
      </w:r>
      <w:r>
        <w:rPr>
          <w:rFonts w:hint="eastAsia" w:ascii="宋体" w:hAnsi="宋体" w:eastAsia="宋体" w:cs="宋体"/>
          <w:color w:val="auto"/>
          <w:sz w:val="28"/>
          <w:szCs w:val="28"/>
          <w:lang w:val="en-US" w:eastAsia="zh-CN"/>
        </w:rPr>
        <w:t>,窗位置可任意旋转；</w:t>
      </w:r>
    </w:p>
    <w:p w14:paraId="6AA7966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1.2.6试验电压表：0～200kV,数字表显示时误差＜3%F.S.</w:t>
      </w:r>
    </w:p>
    <w:p w14:paraId="0015D6D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软件功能：自由选择椭圆、直线、正弦显示方式，能同时显示局部放电波形、局放量和测试电压，支持测量单元任意开窗，支持局放事件图谱显示，支持脉冲序列分析，支持报告生成与导出功能。</w:t>
      </w:r>
    </w:p>
    <w:p w14:paraId="3CA9F4A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1.3双屏蔽静电隔离变压器</w:t>
      </w:r>
    </w:p>
    <w:p w14:paraId="0B19914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1.3.1额定电压：380V/380V，额定电流:263A/263A，额定容量：100kVA；</w:t>
      </w:r>
    </w:p>
    <w:p w14:paraId="3084D20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1.3.2衰减效果：15kHz～1MHz频带内,≥10dB。</w:t>
      </w:r>
    </w:p>
    <w:p w14:paraId="4E02614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1.4低压滤波器</w:t>
      </w:r>
    </w:p>
    <w:p w14:paraId="43F648C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1.4.1额定电压：380V，50Hz；额定电流：300A；</w:t>
      </w:r>
    </w:p>
    <w:p w14:paraId="469EA49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1.4.2衰减特性：频率范15kHz～1MHz，每相的典型插入损耗≥40dB。</w:t>
      </w:r>
    </w:p>
    <w:p w14:paraId="181087C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1.5耦合电容分压器</w:t>
      </w:r>
    </w:p>
    <w:p w14:paraId="00B6CA4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1.5.1额定电压：150kV，电容量：1000pF；</w:t>
      </w:r>
    </w:p>
    <w:p w14:paraId="43B110C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1.5.2局部放电量：100%额定电压下PD≤2pC；</w:t>
      </w:r>
    </w:p>
    <w:p w14:paraId="69AA50A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1.5.3电压测量误差：≤±3％（10%～100%额定电压范围内）。</w:t>
      </w:r>
    </w:p>
    <w:p w14:paraId="24B7782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（2）35kV及以下电缆局放屏蔽试验室</w:t>
      </w:r>
    </w:p>
    <w:p w14:paraId="5CFFC6F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2.1.屏蔽室</w:t>
      </w:r>
    </w:p>
    <w:p w14:paraId="49FDF43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2.1.1屏蔽室尺寸</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10米×6米×4.5米（高），采用不小于1.2mm厚的优质冷轧镀锌钢板经折边加工成型板组装焊接成墙板，然后现场螺栓拼接，拼接处用铜网屏蔽,组成六面墙体，墙体加方钢龙骨用于支撑。屏蔽室内5个墙表面最后作防腐处理--喷漆处理，喷漆要平亮，无挂漆现象，屏蔽室外墙采用50mm厚彩钢岩棉夹芯板作墙装饰</w:t>
      </w:r>
      <w:r>
        <w:rPr>
          <w:rFonts w:hint="eastAsia" w:ascii="宋体" w:hAnsi="宋体" w:cs="宋体"/>
          <w:color w:val="auto"/>
          <w:sz w:val="28"/>
          <w:szCs w:val="28"/>
          <w:lang w:val="en-US" w:eastAsia="zh-CN"/>
        </w:rPr>
        <w:t>（提供屏蔽室效果图、材料检测报告、合格证等证明材料）</w:t>
      </w:r>
      <w:r>
        <w:rPr>
          <w:rFonts w:hint="eastAsia" w:ascii="宋体" w:hAnsi="宋体" w:eastAsia="宋体" w:cs="宋体"/>
          <w:color w:val="auto"/>
          <w:sz w:val="28"/>
          <w:szCs w:val="28"/>
          <w:lang w:val="en-US" w:eastAsia="zh-CN"/>
        </w:rPr>
        <w:t>。</w:t>
      </w:r>
    </w:p>
    <w:p w14:paraId="476F141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2.1.2屏蔽大门尺寸4m×4m，采用电动移动插片式结构，为了在关门时保证电磁屏蔽效果，门框经过特别处理，门框与门片的门缝，应控制在8mm以内使之保持良好的电接触性能。门槛既要保证电缆盘的出入，门槛的高度又要和屏蔽室内外的地面保持一致；屏蔽小门尺寸0.85m×1.9m，采用专业厂家生产的铍青铜弹簧片</w:t>
      </w:r>
      <w:r>
        <w:rPr>
          <w:rFonts w:hint="eastAsia" w:ascii="宋体" w:hAnsi="宋体" w:cs="宋体"/>
          <w:color w:val="auto"/>
          <w:sz w:val="28"/>
          <w:szCs w:val="28"/>
          <w:lang w:val="en-US" w:eastAsia="zh-CN"/>
        </w:rPr>
        <w:t>插拔式</w:t>
      </w:r>
      <w:r>
        <w:rPr>
          <w:rFonts w:hint="eastAsia" w:ascii="宋体" w:hAnsi="宋体" w:eastAsia="宋体" w:cs="宋体"/>
          <w:color w:val="auto"/>
          <w:sz w:val="28"/>
          <w:szCs w:val="28"/>
          <w:lang w:val="en-US" w:eastAsia="zh-CN"/>
        </w:rPr>
        <w:t>结构的产品（衰减水平达到80dB以上）。</w:t>
      </w:r>
    </w:p>
    <w:p w14:paraId="40EC5DB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2.1.3屏蔽室内设有200W的照明灯4个，灯泡均采用无电磁干扰的LED灯，电源全部通过电源滤波器（AV220/50Hz2×50A）进入，由开关箱控制；</w:t>
      </w:r>
    </w:p>
    <w:p w14:paraId="21E60B8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2.1.4屏蔽室衰减效果:15kHz-1MHz频带内，≥60dB；由第三方权威机构出具检测报告，检测测量应在焊缝、大门附近、波导窗、电源进线处，安放位置多点检测</w:t>
      </w:r>
      <w:r>
        <w:rPr>
          <w:rFonts w:hint="eastAsia" w:ascii="宋体" w:hAnsi="宋体" w:cs="宋体"/>
          <w:color w:val="auto"/>
          <w:sz w:val="28"/>
          <w:szCs w:val="28"/>
          <w:lang w:val="en-US" w:eastAsia="zh-CN"/>
        </w:rPr>
        <w:t>（提供供应商承建过的屏蔽房的检测或校准报告等证明材料）。</w:t>
      </w:r>
    </w:p>
    <w:p w14:paraId="26A2F8E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2.2控制室</w:t>
      </w:r>
    </w:p>
    <w:p w14:paraId="2BA0EC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2.2.1在屏蔽房内隔一部分做控制室，尺寸2.8m×2.8m×2.8m（高），控制小门尺寸0.85m×1.9m，采用50mm厚彩钢岩棉夹芯板作墙，地面采用高强度耐磨地板，控制室开大视窗两个（采用夹丝屏蔽玻璃），视窗尺寸不小于1800*1000mm和1000*1000mm，设置300mm×300mm波导</w:t>
      </w:r>
      <w:r>
        <w:rPr>
          <w:rFonts w:hint="eastAsia" w:ascii="宋体" w:hAnsi="宋体" w:cs="宋体"/>
          <w:color w:val="auto"/>
          <w:sz w:val="28"/>
          <w:szCs w:val="28"/>
          <w:lang w:val="en-US" w:eastAsia="zh-CN"/>
        </w:rPr>
        <w:t>截止通风窗（提供材料检测报告或合格证等证明材料）</w:t>
      </w:r>
      <w:r>
        <w:rPr>
          <w:rFonts w:hint="eastAsia" w:ascii="宋体" w:hAnsi="宋体" w:eastAsia="宋体" w:cs="宋体"/>
          <w:color w:val="auto"/>
          <w:sz w:val="28"/>
          <w:szCs w:val="28"/>
          <w:lang w:val="en-US" w:eastAsia="zh-CN"/>
        </w:rPr>
        <w:t>；</w:t>
      </w:r>
    </w:p>
    <w:p w14:paraId="43B2043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2.2.2控制室设有100W的照明灯2个，安装10A单相插座2个和16A空调插座1个，在控制室内安装一台1.5P的空调，空调的电源从屏蔽房外的电源区直接引入，不与屏蔽房内的电源混用，并带滤波器。</w:t>
      </w:r>
    </w:p>
    <w:p w14:paraId="2893822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2.3绝缘地坪</w:t>
      </w:r>
    </w:p>
    <w:p w14:paraId="2603F00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2.3.1绝缘地坪底板采用不小于6mm厚的PP板拼接成尺寸大约为11m×7m整体，将屏蔽大室与周围大地隔离，绝缘地坪侧板边缘齐直</w:t>
      </w:r>
      <w:r>
        <w:rPr>
          <w:rFonts w:hint="eastAsia" w:ascii="宋体" w:hAnsi="宋体" w:cs="宋体"/>
          <w:color w:val="auto"/>
          <w:sz w:val="28"/>
          <w:szCs w:val="28"/>
          <w:lang w:val="en-US" w:eastAsia="zh-CN"/>
        </w:rPr>
        <w:t>（提供材料检测报告或合格证等证明材料）</w:t>
      </w:r>
      <w:r>
        <w:rPr>
          <w:rFonts w:hint="eastAsia" w:ascii="宋体" w:hAnsi="宋体" w:eastAsia="宋体" w:cs="宋体"/>
          <w:color w:val="auto"/>
          <w:sz w:val="28"/>
          <w:szCs w:val="28"/>
          <w:lang w:val="en-US" w:eastAsia="zh-CN"/>
        </w:rPr>
        <w:t>；</w:t>
      </w:r>
    </w:p>
    <w:p w14:paraId="78BFC45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2.3.2屏蔽试验室制作完成后的绝缘电阻应为≥10kΩ（500V兆欧表或直流电压电流表测）；</w:t>
      </w:r>
    </w:p>
    <w:p w14:paraId="38F416C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2.3.3预留管道，以便放置从试验室到控制室的测量及控制电缆。</w:t>
      </w:r>
    </w:p>
    <w:p w14:paraId="6B92AD1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2.4其他要求</w:t>
      </w:r>
    </w:p>
    <w:p w14:paraId="1B5D10C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2.4.1配备不低于5kVA电源双屏蔽静电隔离变压器及低压滤波器，用于屏蔽房内电源接入</w:t>
      </w:r>
      <w:r>
        <w:rPr>
          <w:rFonts w:hint="eastAsia" w:ascii="宋体" w:hAnsi="宋体" w:cs="宋体"/>
          <w:color w:val="auto"/>
          <w:sz w:val="28"/>
          <w:szCs w:val="28"/>
          <w:lang w:val="en-US" w:eastAsia="zh-CN"/>
        </w:rPr>
        <w:t>（提供配备的设备彩页、技术资料等证明材料）</w:t>
      </w:r>
      <w:r>
        <w:rPr>
          <w:rFonts w:hint="eastAsia" w:ascii="宋体" w:hAnsi="宋体" w:eastAsia="宋体" w:cs="宋体"/>
          <w:color w:val="auto"/>
          <w:sz w:val="28"/>
          <w:szCs w:val="28"/>
          <w:lang w:val="en-US" w:eastAsia="zh-CN"/>
        </w:rPr>
        <w:t>；</w:t>
      </w:r>
    </w:p>
    <w:p w14:paraId="2D65058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2.4.2试验室的大门等所有到高压试验室的门都应安装限位开关作为安全监控系统（安全回路），安全回路连接所有门开关和所有试验回路的监视系统，在试验系统或试验程序故障的情况下，自动切断所加的高压；</w:t>
      </w:r>
    </w:p>
    <w:p w14:paraId="75E8E77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2.4.3除门和控制室内部外，在屏蔽室外部安装有1对警灯（绿灯和红灯），并和开关柜（220V）相连，红灯表示高压已加上，绿灯表示可以进入试验室。</w:t>
      </w:r>
    </w:p>
    <w:p w14:paraId="16273BC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2.4.</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 xml:space="preserve"> 屏蔽房所在位置招标人原有的无局放工频耐压试验系统设备，需要拆除迁移，在屏蔽房建设好后，再迁移到屏蔽实验室内，进行安装调试，此项工作由中标人完成，确保原有设备与新购设备的匹配，确保满足电线电缆局部放电试验的要求</w:t>
      </w:r>
      <w:r>
        <w:rPr>
          <w:rFonts w:hint="eastAsia" w:ascii="宋体" w:hAnsi="宋体" w:cs="宋体"/>
          <w:color w:val="auto"/>
          <w:sz w:val="28"/>
          <w:szCs w:val="28"/>
          <w:lang w:val="en-US" w:eastAsia="zh-CN"/>
        </w:rPr>
        <w:t>（提供承诺书加盖公章（格式自拟）</w:t>
      </w:r>
      <w:r>
        <w:rPr>
          <w:rFonts w:hint="eastAsia" w:ascii="宋体" w:hAnsi="宋体" w:eastAsia="宋体" w:cs="宋体"/>
          <w:color w:val="auto"/>
          <w:sz w:val="28"/>
          <w:szCs w:val="28"/>
          <w:lang w:val="en-US" w:eastAsia="zh-CN"/>
        </w:rPr>
        <w:t>。</w:t>
      </w:r>
    </w:p>
    <w:p w14:paraId="025292D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（3）（双路）电缆循环加热试验系统</w:t>
      </w:r>
    </w:p>
    <w:p w14:paraId="24DB2AB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3.1测试系统总体技术参数</w:t>
      </w:r>
    </w:p>
    <w:p w14:paraId="33E798E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3.1.1额定容量150kVA，单相，额定输入电压380V±10%，单相50Hz，额定输入电流395A，额定输出电压7.8×2=15.6V，额定输出电流0～3000A；</w:t>
      </w:r>
    </w:p>
    <w:p w14:paraId="001CD8F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3.1.2电流测量精度：±3%，温度测量精度：±2℃；</w:t>
      </w:r>
    </w:p>
    <w:p w14:paraId="7C6A302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3.1.3 系统采用模拟回路和试验回路双回路模式，满足35kV以下单芯630mm²以下、多芯3×400mm</w:t>
      </w:r>
      <w:r>
        <w:rPr>
          <w:rFonts w:hint="eastAsia" w:ascii="宋体" w:hAnsi="宋体" w:eastAsia="宋体" w:cs="宋体"/>
          <w:color w:val="auto"/>
          <w:sz w:val="28"/>
          <w:szCs w:val="28"/>
          <w:vertAlign w:val="superscript"/>
          <w:lang w:val="en-US" w:eastAsia="zh-CN"/>
        </w:rPr>
        <w:t>2</w:t>
      </w:r>
      <w:r>
        <w:rPr>
          <w:rFonts w:hint="eastAsia" w:ascii="宋体" w:hAnsi="宋体" w:eastAsia="宋体" w:cs="宋体"/>
          <w:color w:val="auto"/>
          <w:sz w:val="28"/>
          <w:szCs w:val="28"/>
          <w:lang w:val="en-US" w:eastAsia="zh-CN"/>
        </w:rPr>
        <w:t>以下电缆的循环加热试验。</w:t>
      </w:r>
    </w:p>
    <w:p w14:paraId="77BE5E2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3.2微机控制台</w:t>
      </w:r>
    </w:p>
    <w:p w14:paraId="50F3933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3.2.1由工控机和PLC控制，实现对整套试验系统的控制测量；工业级嵌入式计算机</w:t>
      </w:r>
      <w:r>
        <w:rPr>
          <w:rFonts w:hint="eastAsia" w:ascii="宋体" w:hAnsi="宋体" w:cs="宋体"/>
          <w:color w:val="auto"/>
          <w:sz w:val="28"/>
          <w:szCs w:val="28"/>
          <w:lang w:val="en-US" w:eastAsia="zh-CN"/>
        </w:rPr>
        <w:t>，显示器尺寸不小于17英寸</w:t>
      </w:r>
      <w:r>
        <w:rPr>
          <w:rFonts w:hint="eastAsia" w:ascii="宋体" w:hAnsi="宋体" w:eastAsia="宋体" w:cs="宋体"/>
          <w:color w:val="auto"/>
          <w:sz w:val="28"/>
          <w:szCs w:val="28"/>
          <w:lang w:val="en-US" w:eastAsia="zh-CN"/>
        </w:rPr>
        <w:t>，分辨率</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1024*768；</w:t>
      </w:r>
      <w:r>
        <w:rPr>
          <w:rFonts w:hint="eastAsia" w:ascii="宋体" w:hAnsi="宋体" w:cs="宋体"/>
          <w:color w:val="auto"/>
          <w:sz w:val="28"/>
          <w:szCs w:val="28"/>
          <w:lang w:val="en-US" w:eastAsia="zh-CN"/>
        </w:rPr>
        <w:t>CPU频率不低于</w:t>
      </w:r>
      <w:r>
        <w:rPr>
          <w:rFonts w:hint="eastAsia" w:ascii="宋体" w:hAnsi="宋体" w:eastAsia="宋体" w:cs="宋体"/>
          <w:color w:val="auto"/>
          <w:sz w:val="28"/>
          <w:szCs w:val="28"/>
          <w:lang w:val="en-US" w:eastAsia="zh-CN"/>
        </w:rPr>
        <w:t>2.8GHz；硬盘</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512G；内存</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8G</w:t>
      </w:r>
      <w:r>
        <w:rPr>
          <w:rFonts w:hint="eastAsia" w:ascii="宋体" w:hAnsi="宋体" w:cs="宋体"/>
          <w:color w:val="auto"/>
          <w:sz w:val="28"/>
          <w:szCs w:val="28"/>
          <w:lang w:val="en-US" w:eastAsia="zh-CN"/>
        </w:rPr>
        <w:t>，软件运行流畅（提供拟配置的设备清单、彩页、技术资料书等证明材料）</w:t>
      </w:r>
      <w:r>
        <w:rPr>
          <w:rFonts w:hint="eastAsia" w:ascii="宋体" w:hAnsi="宋体" w:eastAsia="宋体" w:cs="宋体"/>
          <w:color w:val="auto"/>
          <w:sz w:val="28"/>
          <w:szCs w:val="28"/>
          <w:lang w:val="en-US" w:eastAsia="zh-CN"/>
        </w:rPr>
        <w:t>；</w:t>
      </w:r>
    </w:p>
    <w:p w14:paraId="4EB8F0E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3.2.2计算机全自动PLC控制，具有试验电缆电流、调压器输出电流显示，以及试验电缆电流/温度设定/显示、记录，具有手动、自动工作模式及试验电流微调功能，可以选择温度控制或电流控制模式；</w:t>
      </w:r>
    </w:p>
    <w:p w14:paraId="6BE77AE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3.2.3加热时间、冷却时间可在10-999分钟内设定，循环次数：1-999次内设定，具有过压、过流保护；</w:t>
      </w:r>
    </w:p>
    <w:p w14:paraId="0FF4CB1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3.2.4自动工作模式下，在设定好试验温度、循环时间和循环次数之后，系统将自动进行加热试验和数据记录，所有数据存储在硬盘内，可方便的读出，进行数据分析、处理、打印。</w:t>
      </w:r>
    </w:p>
    <w:p w14:paraId="682A972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3.3感应式调压器</w:t>
      </w:r>
    </w:p>
    <w:p w14:paraId="4DA218A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3.3.1 50kVA感应式调压器：额定容量50kVA，额定输入/输出电压380V/20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420V，额定输入/输出电流132A/0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119A；</w:t>
      </w:r>
    </w:p>
    <w:p w14:paraId="472518C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3.3.2 100kVA感应式调压器：额定容量100kVA，额定输入/输出电压380V/20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420V，额定输入/输出电流263A/0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238A；</w:t>
      </w:r>
    </w:p>
    <w:p w14:paraId="116F6DA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3.3.3传动方式：电机，冷却方式：油冷。</w:t>
      </w:r>
    </w:p>
    <w:p w14:paraId="34CDF1E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3.4穿心式加热变压器</w:t>
      </w:r>
    </w:p>
    <w:p w14:paraId="4B3864A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3.4.1额定容量：50kVA，数量：3台；</w:t>
      </w:r>
    </w:p>
    <w:p w14:paraId="0D47C09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3.4.2额定输入/输出电压：380V/7.8V，额定输入/输出电流：132A/3000A；</w:t>
      </w:r>
    </w:p>
    <w:p w14:paraId="17A561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3.4.3负荷能力：以8小时加热/16小时冷却为一个循环，可连续运行12个月；</w:t>
      </w:r>
    </w:p>
    <w:p w14:paraId="7600B8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变压器形式：侧面开启式，方便电缆的安装，穿心开孔尺寸约160mm×200mm；移动式，其中两只为固定轮，两只为万向轮，以方便各方位移动。</w:t>
      </w:r>
    </w:p>
    <w:p w14:paraId="3AEB123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3.4.</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每台变压器配备一台40kVA补偿电容器（共3台）。</w:t>
      </w:r>
    </w:p>
    <w:p w14:paraId="126EE9D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3.5大电流互感器含热电偶</w:t>
      </w:r>
    </w:p>
    <w:p w14:paraId="73D3463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3.5.1额定电流：3000A/0.1A；</w:t>
      </w:r>
    </w:p>
    <w:p w14:paraId="696A30D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3.5.2电流精度：0.5级；</w:t>
      </w:r>
    </w:p>
    <w:p w14:paraId="0D7666D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3.5.3温度精度：±2℃。</w:t>
      </w:r>
    </w:p>
    <w:p w14:paraId="7991D49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kern w:val="2"/>
          <w:sz w:val="28"/>
          <w:szCs w:val="28"/>
          <w:lang w:val="en-US" w:eastAsia="zh-CN" w:bidi="ar-SA"/>
        </w:rPr>
        <w:t>（4）</w:t>
      </w:r>
      <w:r>
        <w:rPr>
          <w:rFonts w:hint="eastAsia" w:ascii="宋体" w:hAnsi="宋体" w:eastAsia="宋体" w:cs="宋体"/>
          <w:b/>
          <w:bCs/>
          <w:color w:val="auto"/>
          <w:sz w:val="28"/>
          <w:szCs w:val="28"/>
          <w:lang w:val="en-US" w:eastAsia="zh-CN"/>
        </w:rPr>
        <w:t>冲击电压试验系统</w:t>
      </w:r>
    </w:p>
    <w:p w14:paraId="3FB81CD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4.1测试系统总体技术参数</w:t>
      </w:r>
    </w:p>
    <w:p w14:paraId="47CFCC7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4.1.1额定电压±400kV，额定级电压±100kV，级数4级，额定能量</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20kJ；</w:t>
      </w:r>
    </w:p>
    <w:p w14:paraId="482EDF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4.1.2冲击电容量</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0.25µF，额定级电容量0.5μF，额定级能量</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5kJ；</w:t>
      </w:r>
    </w:p>
    <w:p w14:paraId="086358A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4.1.3同步范围≥20%，同步误动率或拒动率＜5%，最低输出电压≥15%Un，点火范围:10%～100%Un；</w:t>
      </w:r>
    </w:p>
    <w:p w14:paraId="5AADF51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4.1.4使用持续时间在2/3额定电压以上，每120秒充放电一次可连续运行，在2/3额定电压以下，每60秒充放电一次可连续运行；</w:t>
      </w:r>
    </w:p>
    <w:p w14:paraId="7A385F9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4.1.5接地电阻：＜0.5Ω；</w:t>
      </w:r>
    </w:p>
    <w:p w14:paraId="01843C9F">
      <w:pPr>
        <w:keepNext w:val="0"/>
        <w:keepLines w:val="0"/>
        <w:pageBreakBefore w:val="0"/>
        <w:widowControl w:val="0"/>
        <w:numPr>
          <w:ilvl w:val="0"/>
          <w:numId w:val="0"/>
        </w:numPr>
        <w:kinsoku/>
        <w:wordWrap w:val="0"/>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4.1.6 符合GB/T12706.1～12706.3，（IEC60502）,GB/T3048.13(IEC60230), GB/T16927.1～16927.2(IEC60060)标准要求。</w:t>
      </w:r>
    </w:p>
    <w:p w14:paraId="5751EF9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4.2 400kV 20kJ冲击电压发生器本体</w:t>
      </w:r>
    </w:p>
    <w:p w14:paraId="647A584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4.2.1本体采用不对称充电方式，额定级电压100kV，</w:t>
      </w:r>
    </w:p>
    <w:p w14:paraId="7635D70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4.2.2本体高约2米，由4级组成，每级包括一台干式脉冲电容器、1套充电电阻、2套雷电冲击波头电阻、1套波尾电阻和点火球隙等，主电容器托架和法兰采及镀铬处理，本体装有活动轮架，可方便移动；</w:t>
      </w:r>
    </w:p>
    <w:p w14:paraId="09235E1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4.2.3电容器剩余电感≤0.2μH，直流工作电压±100kV电容器出线套管能够承受垂直拉力15kg，同时保证不损坏和渗漏油；</w:t>
      </w:r>
    </w:p>
    <w:p w14:paraId="2248FE8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cs="宋体"/>
          <w:color w:val="auto"/>
          <w:sz w:val="28"/>
          <w:szCs w:val="28"/>
          <w:lang w:val="en-US" w:eastAsia="zh-CN"/>
        </w:rPr>
      </w:pPr>
      <w:r>
        <w:rPr>
          <w:rFonts w:hint="eastAsia" w:ascii="宋体" w:hAnsi="宋体" w:eastAsia="宋体" w:cs="宋体"/>
          <w:color w:val="auto"/>
          <w:sz w:val="28"/>
          <w:szCs w:val="28"/>
          <w:lang w:val="en-US" w:eastAsia="zh-CN"/>
        </w:rPr>
        <w:t>4.2.4波头电阻、波尾电阻均采用板形结构，无感绕制，其剩余电感≤2.5μH，接头均为弹簧压接力式，方便调波时的插拔且接触可靠</w:t>
      </w:r>
      <w:r>
        <w:rPr>
          <w:rFonts w:hint="eastAsia" w:ascii="宋体" w:hAnsi="宋体" w:cs="宋体"/>
          <w:color w:val="auto"/>
          <w:sz w:val="28"/>
          <w:szCs w:val="28"/>
          <w:lang w:val="en-US" w:eastAsia="zh-CN"/>
        </w:rPr>
        <w:t>。</w:t>
      </w:r>
    </w:p>
    <w:p w14:paraId="2D2C45F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4.3 100kV直流充电装置</w:t>
      </w:r>
    </w:p>
    <w:p w14:paraId="2B98941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4.3.1采用恒流充电装置，额定输出直流电压±100kV,恒流充电装置在15%～100%额定充电电压范围内，实际充电电压与整定电压偏差不大于±1%，充电电压的不稳定性不大于±1%，充电电压的可调精度为1%;</w:t>
      </w:r>
    </w:p>
    <w:p w14:paraId="360FF53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4.3.2采用绝缘外壳充电变压器初级电压220V，次级电压60kV，额定容量5kVA，密封性能良好，无渗漏油,采用2DL-200kV/150mA的高压整流硅堆,高压整流硅堆安装在充电变压器前侧，自动改换极性；</w:t>
      </w:r>
    </w:p>
    <w:p w14:paraId="158A603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4.3.3直流电阻分压器壹只，采用100kV、200MΩ油浸式金属膜电阻,低压臂电阻装在分压器底法兰内，低压臂上的电压信号用屏蔽电缆引入控制系统；</w:t>
      </w:r>
    </w:p>
    <w:p w14:paraId="2664DE2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4.3.4自动接地开关采用电磁阀分合接地机构，试验停止时可自动将主电容器经放电保护电阻接地，充电变压器、高压硅整流器、电阻分压器、充电电阻等安装在同一个移动式底盘上。</w:t>
      </w:r>
    </w:p>
    <w:p w14:paraId="6C608D7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4.4 400kV弱阻尼电容分压器</w:t>
      </w:r>
    </w:p>
    <w:p w14:paraId="34DCF56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4.4.1分压器为手推可移动式，标称电压±400kV，高压臂电容量400pF，刻度因数（分压比）1000:1；</w:t>
      </w:r>
    </w:p>
    <w:p w14:paraId="09B76DD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4.4.2部分响应时间Tα≤100ns，过冲β≤20%，测量不确定度≤1%；</w:t>
      </w:r>
    </w:p>
    <w:p w14:paraId="3771FF1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4.5自动化测控系统</w:t>
      </w:r>
    </w:p>
    <w:p w14:paraId="1AC5B30B">
      <w:pPr>
        <w:keepNext w:val="0"/>
        <w:keepLines w:val="0"/>
        <w:pageBreakBefore w:val="0"/>
        <w:widowControl w:val="0"/>
        <w:kinsoku/>
        <w:wordWrap/>
        <w:overflowPunct/>
        <w:topLinePunct w:val="0"/>
        <w:autoSpaceDE/>
        <w:autoSpaceDN/>
        <w:bidi w:val="0"/>
        <w:adjustRightInd/>
        <w:snapToGrid/>
        <w:spacing w:before="78" w:line="460" w:lineRule="exact"/>
        <w:ind w:right="126"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 xml:space="preserve">4.5.1 </w:t>
      </w:r>
      <w:r>
        <w:rPr>
          <w:rFonts w:hint="eastAsia" w:ascii="宋体" w:hAnsi="宋体" w:cs="宋体"/>
          <w:color w:val="auto"/>
          <w:sz w:val="28"/>
          <w:szCs w:val="28"/>
        </w:rPr>
        <w:t>计算机测量与控制（光纤）系统，主要由工业控制计算机、可编程控制器（PLC）、以及数字示波器、等构成。通过光纤传输与PLC 进行通讯，运用工控专业软件编程设计成便于操作的控制工作接口，系统的运行参数及测量结果以数字量形式在计算机接口上进行实时显示</w:t>
      </w:r>
      <w:r>
        <w:rPr>
          <w:rFonts w:hint="eastAsia" w:ascii="宋体" w:hAnsi="宋体" w:cs="宋体"/>
          <w:color w:val="auto"/>
          <w:sz w:val="28"/>
          <w:szCs w:val="28"/>
          <w:lang w:val="en-US" w:eastAsia="zh-CN"/>
        </w:rPr>
        <w:t>（提供拟配置的设备清单、彩页、技术资料书等证明材料）</w:t>
      </w:r>
      <w:r>
        <w:rPr>
          <w:rFonts w:hint="eastAsia" w:ascii="宋体" w:hAnsi="宋体" w:cs="宋体"/>
          <w:color w:val="auto"/>
          <w:sz w:val="28"/>
          <w:szCs w:val="28"/>
        </w:rPr>
        <w:t>。</w:t>
      </w:r>
    </w:p>
    <w:p w14:paraId="4FE59EC1">
      <w:pPr>
        <w:keepNext w:val="0"/>
        <w:keepLines w:val="0"/>
        <w:pageBreakBefore w:val="0"/>
        <w:widowControl w:val="0"/>
        <w:kinsoku/>
        <w:wordWrap/>
        <w:overflowPunct/>
        <w:topLinePunct w:val="0"/>
        <w:autoSpaceDE/>
        <w:autoSpaceDN/>
        <w:bidi w:val="0"/>
        <w:adjustRightInd/>
        <w:snapToGrid/>
        <w:spacing w:before="78" w:line="460" w:lineRule="exact"/>
        <w:ind w:right="126" w:firstLine="552"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pacing w:val="-2"/>
          <w:sz w:val="28"/>
          <w:szCs w:val="28"/>
          <w:lang w:val="en-US" w:eastAsia="zh-CN"/>
        </w:rPr>
        <w:t>4.5</w:t>
      </w:r>
      <w:r>
        <w:rPr>
          <w:rFonts w:hint="eastAsia" w:ascii="宋体" w:hAnsi="宋体" w:eastAsia="宋体" w:cs="宋体"/>
          <w:color w:val="auto"/>
          <w:sz w:val="28"/>
          <w:szCs w:val="28"/>
          <w:lang w:val="en-US" w:eastAsia="zh-CN"/>
        </w:rPr>
        <w:t>.2 可测量雷电全波、雷电截波、陡波、操作波、变压器类操作波、防雷器件残压波、冲击电流方波、冲击电流指数波以及变压器示伤波形等各种波形中的主要参数，如峰值电压/电流、波头时间、波尾时间、截断时间、上升/下降时间、10％(或90％)脉冲宽度、反峰系数等等，符合和满足IEC1083-2、GB/T16896.1标准；</w:t>
      </w:r>
    </w:p>
    <w:p w14:paraId="07FE5122">
      <w:pPr>
        <w:keepNext w:val="0"/>
        <w:keepLines w:val="0"/>
        <w:pageBreakBefore w:val="0"/>
        <w:widowControl w:val="0"/>
        <w:kinsoku/>
        <w:wordWrap/>
        <w:overflowPunct/>
        <w:topLinePunct w:val="0"/>
        <w:autoSpaceDE/>
        <w:autoSpaceDN/>
        <w:bidi w:val="0"/>
        <w:adjustRightInd/>
        <w:snapToGrid/>
        <w:spacing w:before="78" w:line="460" w:lineRule="exact"/>
        <w:ind w:right="126"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4.5.3 可获取并保存高压冲击试验（以及其他类似试验）中的各种瞬态波形，并可在波形显示窗口中随意压缩、展开、移动波形，具备波形成图、注释、打印功能，可自动生成试验记录。</w:t>
      </w:r>
    </w:p>
    <w:p w14:paraId="63060848">
      <w:pPr>
        <w:keepNext w:val="0"/>
        <w:keepLines w:val="0"/>
        <w:pageBreakBefore w:val="0"/>
        <w:widowControl w:val="0"/>
        <w:kinsoku/>
        <w:wordWrap/>
        <w:overflowPunct/>
        <w:topLinePunct w:val="0"/>
        <w:autoSpaceDE/>
        <w:autoSpaceDN/>
        <w:bidi w:val="0"/>
        <w:adjustRightInd/>
        <w:snapToGrid/>
        <w:spacing w:before="78" w:line="460" w:lineRule="exact"/>
        <w:ind w:right="126"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4.5.</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 xml:space="preserve"> 控制功能具有手动、自动和程序控制功能，各层次功能相对独立。采用可控硅调压方式，具有充电电压反馈测量系统，采用函数控制恒流充电方式，充电电压的稳定度0.5%；液晶面板可指示冲击发生器的充电电压及充电过程，精度为1%，可由液晶面板直接输入充电电压和充电时间；</w:t>
      </w:r>
    </w:p>
    <w:p w14:paraId="6F96625F">
      <w:pPr>
        <w:keepNext w:val="0"/>
        <w:keepLines w:val="0"/>
        <w:pageBreakBefore w:val="0"/>
        <w:widowControl w:val="0"/>
        <w:kinsoku/>
        <w:wordWrap/>
        <w:overflowPunct/>
        <w:topLinePunct w:val="0"/>
        <w:autoSpaceDE/>
        <w:autoSpaceDN/>
        <w:bidi w:val="0"/>
        <w:adjustRightInd/>
        <w:snapToGrid/>
        <w:spacing w:before="78" w:line="460" w:lineRule="exact"/>
        <w:ind w:right="126"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4.6.接地系统</w:t>
      </w:r>
    </w:p>
    <w:p w14:paraId="182886A6">
      <w:pPr>
        <w:keepNext w:val="0"/>
        <w:keepLines w:val="0"/>
        <w:pageBreakBefore w:val="0"/>
        <w:widowControl w:val="0"/>
        <w:kinsoku/>
        <w:wordWrap/>
        <w:overflowPunct/>
        <w:topLinePunct w:val="0"/>
        <w:autoSpaceDE/>
        <w:autoSpaceDN/>
        <w:bidi w:val="0"/>
        <w:adjustRightInd/>
        <w:snapToGrid/>
        <w:spacing w:before="78" w:line="460" w:lineRule="exact"/>
        <w:ind w:right="126"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4.6.1 设有一个可靠的接地点，接地结构设计合理，采用镀锌钢管或铜棒，至少6根以上</w:t>
      </w:r>
      <w:r>
        <w:rPr>
          <w:rFonts w:hint="eastAsia" w:ascii="宋体" w:hAnsi="宋体" w:cs="宋体"/>
          <w:color w:val="auto"/>
          <w:sz w:val="28"/>
          <w:szCs w:val="28"/>
          <w:lang w:val="en-US" w:eastAsia="zh-CN"/>
        </w:rPr>
        <w:t>（</w:t>
      </w:r>
      <w:r>
        <w:rPr>
          <w:rFonts w:hint="eastAsia" w:ascii="宋体" w:hAnsi="宋体" w:eastAsia="宋体" w:cs="宋体"/>
          <w:b/>
          <w:bCs/>
          <w:color w:val="auto"/>
          <w:sz w:val="28"/>
          <w:szCs w:val="28"/>
          <w:lang w:val="en-US" w:eastAsia="zh-CN"/>
        </w:rPr>
        <w:t>投标时需要提供完整的结构设计图等证明材料</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w:t>
      </w:r>
    </w:p>
    <w:p w14:paraId="702B41D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（5）介质损耗测试系统</w:t>
      </w:r>
    </w:p>
    <w:p w14:paraId="1615E8B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5.1 总体技术要求：</w:t>
      </w:r>
    </w:p>
    <w:p w14:paraId="364693A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5.1.1 系统应满足GB/T 3048.11 试验方法要求以及  GB/T12706.2、GB/T12706.3、GB/T 14049中介质损耗试验技术要求；</w:t>
      </w:r>
    </w:p>
    <w:p w14:paraId="2D03EC8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5.1.2  系统基本配置主要由高精密高压电容电桥、高压标准电容器构成。</w:t>
      </w:r>
    </w:p>
    <w:p w14:paraId="1DCFD94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lang w:val="en-US" w:eastAsia="zh-CN"/>
        </w:rPr>
        <w:t xml:space="preserve"> 高精密高压电容电桥</w:t>
      </w:r>
    </w:p>
    <w:p w14:paraId="1942769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.1 采用电流比较仪测量原理，电容测量范围0.1Cn～1000Cn（7位有效数字），电容的测量准确度</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vertAlign w:val="baseline"/>
          <w:lang w:val="en-US" w:eastAsia="zh-CN"/>
        </w:rPr>
        <w:t>，</w:t>
      </w:r>
      <w:r>
        <w:rPr>
          <w:rFonts w:hint="eastAsia" w:ascii="宋体" w:hAnsi="宋体" w:eastAsia="宋体" w:cs="宋体"/>
          <w:color w:val="auto"/>
          <w:sz w:val="28"/>
          <w:szCs w:val="28"/>
          <w:lang w:val="en-US" w:eastAsia="zh-CN"/>
        </w:rPr>
        <w:t xml:space="preserve">电桥tgδ范围 </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-110%到+110%，tgδ测量准确度不大于0.2%rdg±1×10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vertAlign w:val="baseline"/>
          <w:lang w:val="en-US" w:eastAsia="zh-CN"/>
        </w:rPr>
        <w:t>，</w:t>
      </w:r>
      <w:r>
        <w:rPr>
          <w:rFonts w:hint="eastAsia" w:ascii="宋体" w:hAnsi="宋体" w:eastAsia="宋体" w:cs="宋体"/>
          <w:color w:val="auto"/>
          <w:sz w:val="28"/>
          <w:szCs w:val="28"/>
          <w:lang w:val="en-US" w:eastAsia="zh-CN"/>
        </w:rPr>
        <w:t>tgδ测量最小分辨率1×10</w:t>
      </w:r>
      <w:r>
        <w:rPr>
          <w:rFonts w:hint="eastAsia" w:ascii="宋体" w:hAnsi="宋体" w:eastAsia="宋体" w:cs="宋体"/>
          <w:color w:val="auto"/>
          <w:sz w:val="28"/>
          <w:szCs w:val="28"/>
          <w:vertAlign w:val="superscript"/>
          <w:lang w:val="en-US" w:eastAsia="zh-CN"/>
        </w:rPr>
        <w:t>-7</w:t>
      </w:r>
      <w:r>
        <w:rPr>
          <w:rFonts w:hint="eastAsia" w:ascii="宋体" w:hAnsi="宋体" w:eastAsia="宋体" w:cs="宋体"/>
          <w:color w:val="auto"/>
          <w:sz w:val="28"/>
          <w:szCs w:val="28"/>
          <w:vertAlign w:val="baseline"/>
          <w:lang w:val="en-US" w:eastAsia="zh-CN"/>
        </w:rPr>
        <w:t>；</w:t>
      </w:r>
    </w:p>
    <w:p w14:paraId="461AB2A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.2 试验电压：0～1000kV，精度1%（4位有效数字），测量频率：35～65Hz，精度1Hz（4位有效数字）；</w:t>
      </w:r>
    </w:p>
    <w:p w14:paraId="2E7F96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.3 触摸屏显示，电容值Cx、介损值tgδ、试验电压Upk/√2、电感量Lx、品质因数Q、测试电流Ix、材料的介电常数ε、测试电源频率fx、视在功率S、有效功率P、无功功率Q等均为直读；</w:t>
      </w:r>
    </w:p>
    <w:p w14:paraId="0D3B7CA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.4 电桥内有过电压保护措施。</w:t>
      </w:r>
    </w:p>
    <w:p w14:paraId="55DC0AE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lang w:val="en-US" w:eastAsia="zh-CN"/>
        </w:rPr>
        <w:t xml:space="preserve"> 50kV/100pF高压标准电容器</w:t>
      </w:r>
    </w:p>
    <w:p w14:paraId="57D1EF4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.1 额定电压50kV，额定电容量100pF，测量误差±0.05%，实际电容量偏差 ＜±2%；</w:t>
      </w:r>
    </w:p>
    <w:p w14:paraId="217C649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.2 介质损耗tgδ＜1×10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lang w:val="en-US" w:eastAsia="zh-CN"/>
        </w:rPr>
        <w:t>，温度系数α＜5×10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lang w:val="en-US" w:eastAsia="zh-CN"/>
        </w:rPr>
        <w:t>/℃，压力系数＜2.2×10</w:t>
      </w:r>
      <w:r>
        <w:rPr>
          <w:rFonts w:hint="eastAsia" w:ascii="宋体" w:hAnsi="宋体" w:eastAsia="宋体" w:cs="宋体"/>
          <w:color w:val="auto"/>
          <w:sz w:val="28"/>
          <w:szCs w:val="28"/>
          <w:vertAlign w:val="superscript"/>
          <w:lang w:val="en-US" w:eastAsia="zh-CN"/>
        </w:rPr>
        <w:t>-3</w:t>
      </w:r>
      <w:r>
        <w:rPr>
          <w:rFonts w:hint="eastAsia" w:ascii="宋体" w:hAnsi="宋体" w:eastAsia="宋体" w:cs="宋体"/>
          <w:color w:val="auto"/>
          <w:sz w:val="28"/>
          <w:szCs w:val="28"/>
          <w:lang w:val="en-US" w:eastAsia="zh-CN"/>
        </w:rPr>
        <w:t>/ Mpa</w:t>
      </w:r>
      <w:r>
        <w:rPr>
          <w:rFonts w:hint="eastAsia" w:ascii="宋体" w:hAnsi="宋体" w:eastAsia="宋体" w:cs="宋体"/>
          <w:color w:val="auto"/>
          <w:sz w:val="28"/>
          <w:szCs w:val="28"/>
          <w:vertAlign w:val="superscript"/>
          <w:lang w:val="en-US" w:eastAsia="zh-CN"/>
        </w:rPr>
        <w:t>-1</w:t>
      </w:r>
      <w:r>
        <w:rPr>
          <w:rFonts w:hint="eastAsia" w:ascii="宋体" w:hAnsi="宋体" w:eastAsia="宋体" w:cs="宋体"/>
          <w:color w:val="auto"/>
          <w:sz w:val="28"/>
          <w:szCs w:val="28"/>
          <w:vertAlign w:val="baseline"/>
          <w:lang w:val="en-US" w:eastAsia="zh-CN"/>
        </w:rPr>
        <w:t>；</w:t>
      </w:r>
    </w:p>
    <w:p w14:paraId="3CC99D8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.3 内充SF6气体，在20℃时，压力为0.35±0.05Mpa。</w:t>
      </w:r>
    </w:p>
    <w:p w14:paraId="34B997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（6）介质强度测试系统</w:t>
      </w:r>
    </w:p>
    <w:p w14:paraId="6FF1810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6.1 总体技术要求：</w:t>
      </w:r>
    </w:p>
    <w:p w14:paraId="3008B1B0">
      <w:pPr>
        <w:numPr>
          <w:ilvl w:val="0"/>
          <w:numId w:val="0"/>
        </w:numPr>
        <w:spacing w:line="460" w:lineRule="exact"/>
        <w:ind w:left="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6.1.1 </w:t>
      </w:r>
      <w:r>
        <w:rPr>
          <w:rFonts w:hint="eastAsia" w:ascii="宋体" w:hAnsi="宋体" w:eastAsia="宋体" w:cs="宋体"/>
          <w:color w:val="auto"/>
          <w:sz w:val="28"/>
          <w:szCs w:val="28"/>
        </w:rPr>
        <w:t>额定容量：5kVA，单相。</w:t>
      </w:r>
    </w:p>
    <w:p w14:paraId="70F40117">
      <w:pPr>
        <w:numPr>
          <w:ilvl w:val="0"/>
          <w:numId w:val="0"/>
        </w:numPr>
        <w:spacing w:line="460" w:lineRule="exact"/>
        <w:ind w:left="0"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6.1.2</w:t>
      </w:r>
      <w:r>
        <w:rPr>
          <w:rFonts w:hint="eastAsia" w:ascii="宋体" w:hAnsi="宋体" w:eastAsia="宋体" w:cs="宋体"/>
          <w:color w:val="auto"/>
          <w:sz w:val="28"/>
          <w:szCs w:val="28"/>
        </w:rPr>
        <w:t>额定输入电压：220V±10%，单相50Hz</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额定输出电压：50kV</w:t>
      </w:r>
      <w:r>
        <w:rPr>
          <w:rFonts w:hint="eastAsia" w:ascii="宋体" w:hAnsi="宋体" w:eastAsia="宋体" w:cs="宋体"/>
          <w:color w:val="auto"/>
          <w:sz w:val="28"/>
          <w:szCs w:val="28"/>
          <w:lang w:eastAsia="zh-CN"/>
        </w:rPr>
        <w:t>；</w:t>
      </w:r>
    </w:p>
    <w:p w14:paraId="2DC2C3EC">
      <w:pPr>
        <w:numPr>
          <w:ilvl w:val="0"/>
          <w:numId w:val="0"/>
        </w:numPr>
        <w:spacing w:line="460" w:lineRule="exact"/>
        <w:ind w:left="0"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6.1.3</w:t>
      </w:r>
      <w:r>
        <w:rPr>
          <w:rFonts w:hint="eastAsia" w:ascii="宋体" w:hAnsi="宋体" w:eastAsia="宋体" w:cs="宋体"/>
          <w:color w:val="auto"/>
          <w:sz w:val="28"/>
          <w:szCs w:val="28"/>
        </w:rPr>
        <w:t>额定输入电流：22.7A</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额定输出电流：0.1A</w:t>
      </w:r>
      <w:r>
        <w:rPr>
          <w:rFonts w:hint="eastAsia" w:ascii="宋体" w:hAnsi="宋体" w:eastAsia="宋体" w:cs="宋体"/>
          <w:color w:val="auto"/>
          <w:sz w:val="28"/>
          <w:szCs w:val="28"/>
          <w:lang w:eastAsia="zh-CN"/>
        </w:rPr>
        <w:t>；</w:t>
      </w:r>
    </w:p>
    <w:p w14:paraId="18A877F1">
      <w:pPr>
        <w:numPr>
          <w:ilvl w:val="0"/>
          <w:numId w:val="0"/>
        </w:numPr>
        <w:spacing w:line="460" w:lineRule="exact"/>
        <w:ind w:left="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6.1.4 </w:t>
      </w:r>
      <w:r>
        <w:rPr>
          <w:rFonts w:hint="eastAsia" w:ascii="宋体" w:hAnsi="宋体" w:eastAsia="宋体" w:cs="宋体"/>
          <w:color w:val="auto"/>
          <w:sz w:val="28"/>
          <w:szCs w:val="28"/>
        </w:rPr>
        <w:t>输出电压范围：0～50kV，连续可调设置</w:t>
      </w:r>
      <w:r>
        <w:rPr>
          <w:rFonts w:hint="eastAsia" w:ascii="宋体" w:hAnsi="宋体" w:eastAsia="宋体" w:cs="宋体"/>
          <w:color w:val="auto"/>
          <w:sz w:val="28"/>
          <w:szCs w:val="28"/>
          <w:lang w:eastAsia="zh-CN"/>
        </w:rPr>
        <w:t>；</w:t>
      </w:r>
    </w:p>
    <w:p w14:paraId="08B50D22">
      <w:pPr>
        <w:keepNext w:val="0"/>
        <w:keepLines w:val="0"/>
        <w:pageBreakBefore w:val="0"/>
        <w:widowControl/>
        <w:numPr>
          <w:ilvl w:val="-1"/>
          <w:numId w:val="0"/>
        </w:numPr>
        <w:tabs>
          <w:tab w:val="left" w:pos="1260"/>
        </w:tabs>
        <w:kinsoku/>
        <w:wordWrap/>
        <w:overflowPunct/>
        <w:topLinePunct w:val="0"/>
        <w:autoSpaceDE/>
        <w:autoSpaceDN/>
        <w:bidi w:val="0"/>
        <w:adjustRightInd/>
        <w:snapToGrid/>
        <w:spacing w:line="42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 xml:space="preserve">6.1.5 </w:t>
      </w:r>
      <w:r>
        <w:rPr>
          <w:rFonts w:hint="eastAsia" w:ascii="宋体" w:hAnsi="宋体" w:eastAsia="宋体" w:cs="宋体"/>
          <w:color w:val="auto"/>
          <w:sz w:val="28"/>
          <w:szCs w:val="28"/>
        </w:rPr>
        <w:t>电压测量精度：±3%</w:t>
      </w:r>
      <w:r>
        <w:rPr>
          <w:rFonts w:hint="eastAsia" w:ascii="宋体" w:hAnsi="宋体" w:eastAsia="宋体" w:cs="宋体"/>
          <w:color w:val="auto"/>
          <w:sz w:val="28"/>
          <w:szCs w:val="28"/>
          <w:lang w:eastAsia="zh-CN"/>
        </w:rPr>
        <w:t>。</w:t>
      </w:r>
    </w:p>
    <w:p w14:paraId="532612A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w:t>
      </w: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lang w:val="en-US" w:eastAsia="zh-CN"/>
        </w:rPr>
        <w:t>）其他要求</w:t>
      </w:r>
    </w:p>
    <w:p w14:paraId="59968EE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cs="宋体"/>
          <w:color w:val="auto"/>
          <w:sz w:val="28"/>
          <w:szCs w:val="28"/>
          <w:lang w:val="en-US" w:eastAsia="zh-CN"/>
        </w:rPr>
        <w:t>7.1 供应商需提供本次采购设备的设计规划图，包含屏蔽房和控制室布局、加热循环测试系统及冲击电压测试系统设备位置和控制室布局，试验区域需要装配高度不低于1.8m的带联锁功能的隔离围栏。</w:t>
      </w:r>
    </w:p>
    <w:p w14:paraId="595DE5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vertAlign w:val="baseline"/>
        </w:rPr>
      </w:pPr>
      <w:r>
        <w:rPr>
          <w:rFonts w:hint="eastAsia" w:ascii="宋体" w:hAnsi="宋体" w:eastAsia="宋体" w:cs="宋体"/>
          <w:color w:val="auto"/>
          <w:sz w:val="28"/>
          <w:szCs w:val="28"/>
          <w:vertAlign w:val="baseline"/>
        </w:rPr>
        <w:t>注：以上带“★”条款为实质性条款，投标人必须按照招标文件的要求做出实质性响应，</w:t>
      </w:r>
      <w:r>
        <w:rPr>
          <w:rFonts w:hint="eastAsia" w:ascii="宋体" w:hAnsi="宋体" w:cs="宋体"/>
          <w:color w:val="auto"/>
          <w:sz w:val="28"/>
          <w:szCs w:val="28"/>
          <w:vertAlign w:val="baseline"/>
          <w:lang w:val="en-US" w:eastAsia="zh-CN"/>
        </w:rPr>
        <w:t>并按照条款要求提供有效证明材料，未按照要求提供技术支持材料或者提供的技术支持材料不能佐证偏离表内容的，视为不满足，</w:t>
      </w:r>
      <w:r>
        <w:rPr>
          <w:rFonts w:hint="eastAsia" w:ascii="宋体" w:hAnsi="宋体" w:eastAsia="宋体" w:cs="宋体"/>
          <w:color w:val="auto"/>
          <w:sz w:val="28"/>
          <w:szCs w:val="28"/>
          <w:vertAlign w:val="baseline"/>
        </w:rPr>
        <w:t>有一项不满足的即为无效投标</w:t>
      </w:r>
      <w:r>
        <w:rPr>
          <w:rFonts w:hint="eastAsia" w:ascii="宋体" w:hAnsi="宋体" w:cs="宋体"/>
          <w:color w:val="auto"/>
          <w:sz w:val="28"/>
          <w:szCs w:val="28"/>
          <w:vertAlign w:val="baseline"/>
          <w:lang w:eastAsia="zh-CN"/>
        </w:rPr>
        <w:t>。</w:t>
      </w:r>
    </w:p>
    <w:p w14:paraId="63718315">
      <w:pPr>
        <w:pBdr>
          <w:top w:val="none" w:color="000000" w:sz="0" w:space="0"/>
          <w:left w:val="none" w:color="000000" w:sz="0" w:space="0"/>
          <w:bottom w:val="none" w:color="000000" w:sz="0" w:space="0"/>
          <w:right w:val="none" w:color="000000" w:sz="0" w:space="0"/>
        </w:pBdr>
        <w:spacing w:line="460" w:lineRule="exact"/>
        <w:ind w:firstLine="562" w:firstLineChars="200"/>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六、商务部分</w:t>
      </w:r>
    </w:p>
    <w:p w14:paraId="30A9FD59">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1.参数偏离表承诺函：</w:t>
      </w:r>
    </w:p>
    <w:p w14:paraId="2D456369">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投标人需出具参数偏离表的盖章承诺函</w:t>
      </w:r>
      <w:r>
        <w:rPr>
          <w:rFonts w:hint="eastAsia" w:ascii="宋体" w:hAnsi="宋体" w:eastAsia="宋体" w:cs="宋体"/>
          <w:color w:val="auto"/>
          <w:sz w:val="28"/>
          <w:szCs w:val="28"/>
          <w:lang w:eastAsia="zh-CN"/>
        </w:rPr>
        <w:t>（格式自拟）</w:t>
      </w:r>
      <w:r>
        <w:rPr>
          <w:rFonts w:hint="eastAsia" w:ascii="宋体" w:hAnsi="宋体" w:eastAsia="宋体" w:cs="宋体"/>
          <w:color w:val="auto"/>
          <w:sz w:val="28"/>
          <w:szCs w:val="28"/>
        </w:rPr>
        <w:t>。</w:t>
      </w:r>
    </w:p>
    <w:p w14:paraId="53638776">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1.1承诺其提交的相关材料真实有效，承诺每项参数都可作为验收的依据，参数验收时如果不能符合标书要求，应按投标价的30%作为对</w:t>
      </w:r>
      <w:r>
        <w:rPr>
          <w:rFonts w:hint="eastAsia" w:ascii="宋体" w:hAnsi="宋体" w:eastAsia="宋体" w:cs="宋体"/>
          <w:color w:val="auto"/>
          <w:sz w:val="28"/>
          <w:szCs w:val="28"/>
          <w:lang w:val="en-US" w:eastAsia="zh-CN"/>
        </w:rPr>
        <w:t>招标人</w:t>
      </w:r>
      <w:r>
        <w:rPr>
          <w:rFonts w:hint="eastAsia" w:ascii="宋体" w:hAnsi="宋体" w:eastAsia="宋体" w:cs="宋体"/>
          <w:color w:val="auto"/>
          <w:sz w:val="28"/>
          <w:szCs w:val="28"/>
        </w:rPr>
        <w:t>的赔偿，仪器退回，合同作废。并承担虚假应标的相关责任。</w:t>
      </w:r>
    </w:p>
    <w:p w14:paraId="3CDB41DB">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1.2承诺其投标产品为原厂家生产的全新产品，非代工产品或翻新产品，所有部件皆由同一生产商制造，负责保修，保证仪器使用的稳定性。</w:t>
      </w:r>
    </w:p>
    <w:p w14:paraId="135AE1F5">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2.交货期：</w:t>
      </w:r>
    </w:p>
    <w:p w14:paraId="7EF3264E">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自合同</w:t>
      </w:r>
      <w:r>
        <w:rPr>
          <w:rFonts w:hint="eastAsia" w:ascii="宋体" w:hAnsi="宋体" w:cs="宋体"/>
          <w:color w:val="auto"/>
          <w:sz w:val="28"/>
          <w:szCs w:val="28"/>
          <w:lang w:eastAsia="zh-CN"/>
        </w:rPr>
        <w:t>签订</w:t>
      </w:r>
      <w:r>
        <w:rPr>
          <w:rFonts w:hint="eastAsia" w:ascii="宋体" w:hAnsi="宋体" w:eastAsia="宋体" w:cs="宋体"/>
          <w:color w:val="auto"/>
          <w:sz w:val="28"/>
          <w:szCs w:val="28"/>
        </w:rPr>
        <w:t>之日起</w:t>
      </w:r>
      <w:r>
        <w:rPr>
          <w:rFonts w:hint="eastAsia" w:ascii="宋体" w:hAnsi="宋体" w:eastAsia="宋体" w:cs="宋体"/>
          <w:color w:val="auto"/>
          <w:sz w:val="28"/>
          <w:szCs w:val="28"/>
          <w:lang w:val="en-US" w:eastAsia="zh-CN"/>
        </w:rPr>
        <w:t>60工作日</w:t>
      </w:r>
      <w:r>
        <w:rPr>
          <w:rFonts w:hint="eastAsia" w:ascii="宋体" w:hAnsi="宋体" w:eastAsia="宋体" w:cs="宋体"/>
          <w:color w:val="auto"/>
          <w:sz w:val="28"/>
          <w:szCs w:val="28"/>
        </w:rPr>
        <w:t>内完成供货安装及调试。</w:t>
      </w:r>
    </w:p>
    <w:p w14:paraId="5F96FB3A">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3.交货条件：</w:t>
      </w:r>
    </w:p>
    <w:p w14:paraId="3C128FA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3.1产品交货时，包装须完整无破损，</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还需提供装箱单、产品质检合格证明、进口商品检验检疫证明。</w:t>
      </w:r>
    </w:p>
    <w:p w14:paraId="20FC00BD">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3.2运输及到货：由</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负责办理运输及装卸，直接送至</w:t>
      </w:r>
      <w:r>
        <w:rPr>
          <w:rFonts w:hint="eastAsia" w:ascii="宋体" w:hAnsi="宋体" w:eastAsia="宋体" w:cs="宋体"/>
          <w:color w:val="auto"/>
          <w:sz w:val="28"/>
          <w:szCs w:val="28"/>
          <w:lang w:val="en-US" w:eastAsia="zh-CN"/>
        </w:rPr>
        <w:t>招标人</w:t>
      </w:r>
      <w:r>
        <w:rPr>
          <w:rFonts w:hint="eastAsia" w:ascii="宋体" w:hAnsi="宋体" w:eastAsia="宋体" w:cs="宋体"/>
          <w:color w:val="auto"/>
          <w:sz w:val="28"/>
          <w:szCs w:val="28"/>
        </w:rPr>
        <w:t>安装指定地点，所有费用由</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 xml:space="preserve">承担。 </w:t>
      </w:r>
    </w:p>
    <w:p w14:paraId="7F32EA3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3.3货物到达</w:t>
      </w:r>
      <w:r>
        <w:rPr>
          <w:rFonts w:hint="eastAsia" w:ascii="宋体" w:hAnsi="宋体" w:eastAsia="宋体" w:cs="宋体"/>
          <w:color w:val="auto"/>
          <w:sz w:val="28"/>
          <w:szCs w:val="28"/>
          <w:lang w:val="en-US" w:eastAsia="zh-CN"/>
        </w:rPr>
        <w:t>招标人</w:t>
      </w:r>
      <w:r>
        <w:rPr>
          <w:rFonts w:hint="eastAsia" w:ascii="宋体" w:hAnsi="宋体" w:eastAsia="宋体" w:cs="宋体"/>
          <w:color w:val="auto"/>
          <w:sz w:val="28"/>
          <w:szCs w:val="28"/>
        </w:rPr>
        <w:t>地址至验收合格期间，由</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负责保管，若因保管不当造成的质量问题</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应负责修理，同时有关费用由</w:t>
      </w:r>
      <w:r>
        <w:rPr>
          <w:rFonts w:hint="eastAsia" w:ascii="宋体" w:hAnsi="宋体" w:eastAsia="宋体" w:cs="宋体"/>
          <w:color w:val="auto"/>
          <w:sz w:val="28"/>
          <w:szCs w:val="28"/>
          <w:lang w:val="en-US" w:eastAsia="zh-CN"/>
        </w:rPr>
        <w:t>中标人</w:t>
      </w:r>
      <w:r>
        <w:rPr>
          <w:rFonts w:hint="eastAsia" w:ascii="宋体" w:hAnsi="宋体" w:eastAsia="宋体" w:cs="宋体"/>
          <w:color w:val="auto"/>
          <w:sz w:val="28"/>
          <w:szCs w:val="28"/>
        </w:rPr>
        <w:t>承担。</w:t>
      </w:r>
    </w:p>
    <w:p w14:paraId="1BE9703B">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4.验收标准：</w:t>
      </w:r>
    </w:p>
    <w:p w14:paraId="391E896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4.1</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提供的商品必须满足招标书中所列全部规格、型号、具体配置、技术条件及功能要求和</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承诺的其它指标。</w:t>
      </w:r>
    </w:p>
    <w:p w14:paraId="105F164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4.2设备随机耗材（试剂）要求：</w:t>
      </w:r>
      <w:r>
        <w:rPr>
          <w:rFonts w:hint="eastAsia" w:ascii="宋体" w:hAnsi="宋体" w:cs="宋体"/>
          <w:color w:val="auto"/>
          <w:sz w:val="28"/>
          <w:szCs w:val="28"/>
          <w:lang w:eastAsia="zh-CN"/>
        </w:rPr>
        <w:t>验收时中标人</w:t>
      </w:r>
      <w:r>
        <w:rPr>
          <w:rFonts w:hint="eastAsia" w:ascii="宋体" w:hAnsi="宋体" w:eastAsia="宋体" w:cs="宋体"/>
          <w:color w:val="auto"/>
          <w:sz w:val="28"/>
          <w:szCs w:val="28"/>
        </w:rPr>
        <w:t>应列明能确保设备正常使用的，所需耗材（试剂）及维修配件的清单及价格（格式可自拟）；未列其中的，视为免费维保范围之材料。</w:t>
      </w:r>
    </w:p>
    <w:p w14:paraId="70A4B26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4.3本项目竣工后，项目涉及的局放测试系统、热循环加热系统、冲击电压测试系统、介质损耗测试系统以及屏蔽房屏蔽效果由第三方机构进行计量检定及校准，所有的检测和检定计量费用由中标人承担，检测、计量检定及校准合格后方可进行最终交付使用</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功能验收报告和检定校准证书一同作为货物验收依据。</w:t>
      </w:r>
    </w:p>
    <w:p w14:paraId="474EA9D4">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color w:val="auto"/>
          <w:sz w:val="28"/>
          <w:szCs w:val="28"/>
        </w:rPr>
      </w:pPr>
      <w:r>
        <w:rPr>
          <w:rFonts w:hint="eastAsia" w:ascii="宋体" w:hAnsi="宋体" w:eastAsia="宋体" w:cs="宋体"/>
          <w:b/>
          <w:bCs/>
          <w:color w:val="auto"/>
          <w:sz w:val="28"/>
          <w:szCs w:val="28"/>
        </w:rPr>
        <w:t>5.安装与调试</w:t>
      </w:r>
      <w:r>
        <w:rPr>
          <w:rFonts w:hint="eastAsia" w:ascii="宋体" w:hAnsi="宋体" w:eastAsia="宋体" w:cs="宋体"/>
          <w:color w:val="auto"/>
          <w:sz w:val="28"/>
          <w:szCs w:val="28"/>
        </w:rPr>
        <w:t>：</w:t>
      </w:r>
    </w:p>
    <w:p w14:paraId="150C54E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5.1</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需安排工程技术人员到</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现场安装、调试仪器,按验收指标逐项测试,直至达到验收要求。</w:t>
      </w:r>
    </w:p>
    <w:p w14:paraId="42715E04">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5.2</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负责本次采购设备的免费安装、调试(安装、调试过程所需耗品应由</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免费提供)，保证培训人员能正常操作该设备的各种功能。</w:t>
      </w:r>
      <w:r>
        <w:rPr>
          <w:rFonts w:hint="eastAsia" w:ascii="宋体" w:hAnsi="宋体" w:eastAsia="宋体" w:cs="宋体"/>
          <w:color w:val="auto"/>
          <w:sz w:val="28"/>
          <w:szCs w:val="28"/>
          <w:lang w:eastAsia="zh-CN"/>
        </w:rPr>
        <w:t>中标人</w:t>
      </w:r>
      <w:r>
        <w:rPr>
          <w:rFonts w:hint="eastAsia" w:ascii="宋体" w:hAnsi="宋体" w:eastAsia="宋体" w:cs="宋体"/>
          <w:color w:val="auto"/>
          <w:sz w:val="28"/>
          <w:szCs w:val="28"/>
        </w:rPr>
        <w:t>提供设备操作规范张贴设备上，提供设备操作规范电子档交于</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w:t>
      </w:r>
    </w:p>
    <w:p w14:paraId="2BD8BCBD">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5.3设备安装调试须在合同</w:t>
      </w:r>
      <w:r>
        <w:rPr>
          <w:rFonts w:hint="eastAsia" w:ascii="宋体" w:hAnsi="宋体" w:cs="宋体"/>
          <w:color w:val="auto"/>
          <w:sz w:val="28"/>
          <w:szCs w:val="28"/>
          <w:lang w:eastAsia="zh-CN"/>
        </w:rPr>
        <w:t>签订</w:t>
      </w:r>
      <w:r>
        <w:rPr>
          <w:rFonts w:hint="eastAsia" w:ascii="宋体" w:hAnsi="宋体" w:eastAsia="宋体" w:cs="宋体"/>
          <w:color w:val="auto"/>
          <w:sz w:val="28"/>
          <w:szCs w:val="28"/>
        </w:rPr>
        <w:t>之日起</w:t>
      </w:r>
      <w:r>
        <w:rPr>
          <w:rFonts w:hint="eastAsia" w:ascii="宋体" w:hAnsi="宋体" w:eastAsia="宋体" w:cs="宋体"/>
          <w:color w:val="auto"/>
          <w:sz w:val="28"/>
          <w:szCs w:val="28"/>
          <w:lang w:val="en-US" w:eastAsia="zh-CN"/>
        </w:rPr>
        <w:t>60工作日</w:t>
      </w:r>
      <w:r>
        <w:rPr>
          <w:rFonts w:hint="eastAsia" w:ascii="宋体" w:hAnsi="宋体" w:eastAsia="宋体" w:cs="宋体"/>
          <w:color w:val="auto"/>
          <w:sz w:val="28"/>
          <w:szCs w:val="28"/>
        </w:rPr>
        <w:t>内完成。</w:t>
      </w:r>
    </w:p>
    <w:p w14:paraId="2F20C75F">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6.培训与方法支持：</w:t>
      </w:r>
    </w:p>
    <w:p w14:paraId="2F3EB4AD">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bookmarkStart w:id="147" w:name="_Hlk46925359"/>
      <w:r>
        <w:rPr>
          <w:rFonts w:hint="eastAsia" w:ascii="宋体" w:hAnsi="宋体" w:eastAsia="宋体" w:cs="宋体"/>
          <w:color w:val="auto"/>
          <w:sz w:val="28"/>
          <w:szCs w:val="28"/>
        </w:rPr>
        <w:t>6.1免费提供软件操作现场培训和应用培训。免费提供不少于2人次/套（台）操作人员前往生产商在中国测试实验室进行相关软硬件的操作培训，内容包括仪器的基本原理、操作应用及仪器的维护保养知识，直到用户能正常使用和维护仪器。</w:t>
      </w:r>
    </w:p>
    <w:p w14:paraId="18BA5E99">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6.2 仪器设备安装后，需长期提供技术支持和维修服务，包括软件的免费升级、为</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提供需要的方法开发及应用资料。保修期内应用工程师每年免费上门进行方法开发及合作课题研究1次。</w:t>
      </w:r>
      <w:bookmarkEnd w:id="147"/>
    </w:p>
    <w:p w14:paraId="0CE3CA76">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7.维修保证：</w:t>
      </w:r>
    </w:p>
    <w:p w14:paraId="4B90A781">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7.1 设备生产厂家免费保修期≥1年，</w:t>
      </w:r>
      <w:r>
        <w:rPr>
          <w:rFonts w:hint="eastAsia" w:ascii="宋体" w:hAnsi="宋体" w:eastAsia="宋体" w:cs="宋体"/>
          <w:color w:val="auto"/>
          <w:sz w:val="28"/>
          <w:szCs w:val="28"/>
          <w:lang w:eastAsia="zh-CN"/>
        </w:rPr>
        <w:t>供应商中标后签订合同前提供</w:t>
      </w:r>
      <w:r>
        <w:rPr>
          <w:rFonts w:hint="eastAsia" w:ascii="宋体" w:hAnsi="宋体" w:eastAsia="宋体" w:cs="宋体"/>
          <w:color w:val="auto"/>
          <w:sz w:val="28"/>
          <w:szCs w:val="28"/>
        </w:rPr>
        <w:t>生产厂家出具免费维保证明原件</w:t>
      </w:r>
      <w:r>
        <w:rPr>
          <w:rFonts w:hint="eastAsia" w:ascii="宋体" w:hAnsi="宋体" w:eastAsia="宋体" w:cs="宋体"/>
          <w:color w:val="auto"/>
          <w:sz w:val="28"/>
          <w:szCs w:val="28"/>
          <w:lang w:eastAsia="zh-CN"/>
        </w:rPr>
        <w:t>，不能提供或未按要求提供的采购人有权拒签合同。</w:t>
      </w:r>
    </w:p>
    <w:p w14:paraId="48320B24">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7.2 质保期内每年提供一次原厂技术维护。</w:t>
      </w:r>
    </w:p>
    <w:p w14:paraId="09236526">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7.3 仪器出现故障后，一般问题维修响应时间不超过24小时，重大问题不超过48小时。</w:t>
      </w:r>
    </w:p>
    <w:p w14:paraId="1C2271E4">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7.4设备使用年限内（本次所投产品的年限为10年），</w:t>
      </w:r>
      <w:r>
        <w:rPr>
          <w:rFonts w:hint="eastAsia" w:ascii="宋体" w:hAnsi="宋体" w:eastAsia="宋体" w:cs="宋体"/>
          <w:color w:val="auto"/>
          <w:sz w:val="28"/>
          <w:szCs w:val="28"/>
          <w:lang w:eastAsia="zh-CN"/>
        </w:rPr>
        <w:t>供应商中标后签订合同前提供</w:t>
      </w:r>
      <w:r>
        <w:rPr>
          <w:rFonts w:hint="eastAsia" w:ascii="宋体" w:hAnsi="宋体" w:eastAsia="宋体" w:cs="宋体"/>
          <w:color w:val="auto"/>
          <w:sz w:val="28"/>
          <w:szCs w:val="28"/>
        </w:rPr>
        <w:t>生产厂家承诺保证配件、耗材供应</w:t>
      </w:r>
      <w:r>
        <w:rPr>
          <w:rFonts w:hint="eastAsia" w:ascii="宋体" w:hAnsi="宋体" w:eastAsia="宋体" w:cs="宋体"/>
          <w:color w:val="auto"/>
          <w:sz w:val="28"/>
          <w:szCs w:val="28"/>
          <w:lang w:eastAsia="zh-CN"/>
        </w:rPr>
        <w:t>的承诺函原件</w:t>
      </w:r>
      <w:r>
        <w:rPr>
          <w:rFonts w:hint="eastAsia" w:ascii="宋体" w:hAnsi="宋体" w:cs="宋体"/>
          <w:strike w:val="0"/>
          <w:dstrike w:val="0"/>
          <w:color w:val="auto"/>
          <w:sz w:val="28"/>
          <w:szCs w:val="28"/>
          <w:lang w:eastAsia="zh-CN"/>
        </w:rPr>
        <w:t>，</w:t>
      </w:r>
      <w:r>
        <w:rPr>
          <w:rFonts w:hint="eastAsia" w:ascii="宋体" w:hAnsi="宋体" w:eastAsia="宋体" w:cs="宋体"/>
          <w:color w:val="auto"/>
          <w:sz w:val="28"/>
          <w:szCs w:val="28"/>
          <w:lang w:eastAsia="zh-CN"/>
        </w:rPr>
        <w:t>不能提供或未按要求提供的招标人有权拒签合同。</w:t>
      </w:r>
    </w:p>
    <w:p w14:paraId="33DCEFF3">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7.5提供中文操作、培训教材、保养、维修手册。</w:t>
      </w:r>
    </w:p>
    <w:p w14:paraId="514CAC09">
      <w:pPr>
        <w:keepNext w:val="0"/>
        <w:keepLines w:val="0"/>
        <w:pageBreakBefore w:val="0"/>
        <w:widowControl w:val="0"/>
        <w:kinsoku/>
        <w:wordWrap/>
        <w:overflowPunct/>
        <w:topLinePunct w:val="0"/>
        <w:autoSpaceDE/>
        <w:autoSpaceDN/>
        <w:bidi w:val="0"/>
        <w:adjustRightInd/>
        <w:snapToGrid/>
        <w:spacing w:line="460" w:lineRule="exact"/>
        <w:ind w:firstLine="568"/>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8.付款方式：</w:t>
      </w:r>
    </w:p>
    <w:p w14:paraId="5503EB20">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合同签订</w:t>
      </w:r>
      <w:r>
        <w:rPr>
          <w:rFonts w:hint="eastAsia" w:ascii="宋体" w:hAnsi="宋体" w:cs="宋体"/>
          <w:color w:val="auto"/>
          <w:sz w:val="28"/>
          <w:szCs w:val="28"/>
          <w:lang w:val="zh-CN"/>
        </w:rPr>
        <w:t>后</w:t>
      </w:r>
      <w:r>
        <w:rPr>
          <w:rFonts w:hint="eastAsia" w:ascii="宋体" w:hAnsi="宋体" w:eastAsia="宋体" w:cs="宋体"/>
          <w:color w:val="auto"/>
          <w:sz w:val="28"/>
          <w:szCs w:val="28"/>
          <w:lang w:val="zh-CN"/>
        </w:rPr>
        <w:t>支付</w:t>
      </w:r>
      <w:r>
        <w:rPr>
          <w:rFonts w:hint="eastAsia" w:ascii="宋体" w:hAnsi="宋体" w:cs="宋体"/>
          <w:color w:val="auto"/>
          <w:sz w:val="28"/>
          <w:szCs w:val="28"/>
          <w:lang w:val="zh-CN"/>
        </w:rPr>
        <w:t>合同价</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val="zh-CN"/>
        </w:rPr>
        <w:t>0%</w:t>
      </w:r>
      <w:r>
        <w:rPr>
          <w:rFonts w:hint="eastAsia" w:ascii="宋体" w:hAnsi="宋体" w:cs="宋体"/>
          <w:color w:val="auto"/>
          <w:sz w:val="28"/>
          <w:szCs w:val="28"/>
          <w:lang w:val="zh-CN"/>
        </w:rPr>
        <w:t>的</w:t>
      </w:r>
      <w:r>
        <w:rPr>
          <w:rFonts w:hint="eastAsia" w:ascii="宋体" w:hAnsi="宋体" w:eastAsia="宋体" w:cs="宋体"/>
          <w:color w:val="auto"/>
          <w:sz w:val="28"/>
          <w:szCs w:val="28"/>
          <w:lang w:val="zh-CN"/>
        </w:rPr>
        <w:t>预付款，</w:t>
      </w:r>
      <w:r>
        <w:rPr>
          <w:rFonts w:hint="eastAsia" w:ascii="宋体" w:hAnsi="宋体" w:eastAsia="宋体" w:cs="宋体"/>
          <w:color w:val="auto"/>
          <w:sz w:val="28"/>
          <w:szCs w:val="28"/>
          <w:lang w:val="en-US" w:eastAsia="zh-CN"/>
        </w:rPr>
        <w:t>全部</w:t>
      </w:r>
      <w:r>
        <w:rPr>
          <w:rFonts w:hint="eastAsia" w:ascii="宋体" w:hAnsi="宋体" w:eastAsia="宋体" w:cs="宋体"/>
          <w:color w:val="auto"/>
          <w:sz w:val="28"/>
          <w:szCs w:val="28"/>
          <w:lang w:val="zh-CN"/>
        </w:rPr>
        <w:t>货到并安装、调试、验收合格之后一周内支付</w:t>
      </w:r>
      <w:r>
        <w:rPr>
          <w:rFonts w:hint="eastAsia" w:ascii="宋体" w:hAnsi="宋体" w:cs="宋体"/>
          <w:color w:val="auto"/>
          <w:sz w:val="28"/>
          <w:szCs w:val="28"/>
          <w:lang w:val="zh-CN"/>
        </w:rPr>
        <w:t>合同价的</w:t>
      </w:r>
      <w:r>
        <w:rPr>
          <w:rFonts w:hint="eastAsia" w:ascii="宋体" w:hAnsi="宋体" w:eastAsia="宋体" w:cs="宋体"/>
          <w:color w:val="auto"/>
          <w:sz w:val="28"/>
          <w:szCs w:val="28"/>
          <w:lang w:val="en-US" w:eastAsia="zh-CN"/>
        </w:rPr>
        <w:t>30</w:t>
      </w:r>
      <w:r>
        <w:rPr>
          <w:rFonts w:hint="eastAsia" w:ascii="宋体" w:hAnsi="宋体" w:eastAsia="宋体" w:cs="宋体"/>
          <w:color w:val="auto"/>
          <w:sz w:val="28"/>
          <w:szCs w:val="28"/>
          <w:lang w:val="zh-CN"/>
        </w:rPr>
        <w:t>%，剩余</w:t>
      </w:r>
      <w:r>
        <w:rPr>
          <w:rFonts w:hint="eastAsia" w:ascii="宋体" w:hAnsi="宋体" w:cs="宋体"/>
          <w:color w:val="auto"/>
          <w:sz w:val="28"/>
          <w:szCs w:val="28"/>
          <w:lang w:val="zh-CN"/>
        </w:rPr>
        <w:t>合同价</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val="zh-CN"/>
        </w:rPr>
        <w:t>0%验收合格满</w:t>
      </w:r>
      <w:r>
        <w:rPr>
          <w:rFonts w:hint="eastAsia" w:ascii="宋体" w:hAnsi="宋体" w:eastAsia="宋体" w:cs="宋体"/>
          <w:color w:val="auto"/>
          <w:sz w:val="28"/>
          <w:szCs w:val="28"/>
          <w:lang w:val="en-US" w:eastAsia="zh-CN"/>
        </w:rPr>
        <w:t>1年</w:t>
      </w:r>
      <w:r>
        <w:rPr>
          <w:rFonts w:hint="eastAsia" w:ascii="宋体" w:hAnsi="宋体" w:eastAsia="宋体" w:cs="宋体"/>
          <w:color w:val="auto"/>
          <w:sz w:val="28"/>
          <w:szCs w:val="28"/>
          <w:lang w:val="zh-CN"/>
        </w:rPr>
        <w:t>后一周内支付。</w:t>
      </w:r>
    </w:p>
    <w:p w14:paraId="7126DDD1">
      <w:pPr>
        <w:keepNext w:val="0"/>
        <w:keepLines w:val="0"/>
        <w:pageBreakBefore w:val="0"/>
        <w:widowControl w:val="0"/>
        <w:numPr>
          <w:ilvl w:val="-1"/>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9.其他要求：</w:t>
      </w:r>
    </w:p>
    <w:p w14:paraId="57231324">
      <w:pPr>
        <w:spacing w:line="460" w:lineRule="exact"/>
        <w:ind w:firstLine="560" w:firstLineChars="200"/>
        <w:rPr>
          <w:rFonts w:hint="eastAsia" w:ascii="宋体" w:hAnsi="宋体" w:cs="宋体"/>
          <w:color w:val="auto"/>
          <w:sz w:val="28"/>
          <w:szCs w:val="28"/>
          <w:highlight w:val="none"/>
          <w:lang w:val="en-US" w:eastAsia="zh-CN"/>
        </w:rPr>
      </w:pPr>
      <w:r>
        <w:rPr>
          <w:rFonts w:hint="eastAsia" w:ascii="宋体" w:hAnsi="宋体" w:eastAsia="宋体" w:cs="宋体"/>
          <w:bCs/>
          <w:color w:val="auto"/>
          <w:sz w:val="28"/>
          <w:szCs w:val="28"/>
          <w:vertAlign w:val="baseline"/>
        </w:rPr>
        <w:t>本项目为交钥匙工程，</w:t>
      </w:r>
      <w:r>
        <w:rPr>
          <w:rFonts w:hint="eastAsia" w:ascii="宋体" w:hAnsi="宋体" w:cs="宋体"/>
          <w:bCs/>
          <w:color w:val="auto"/>
          <w:sz w:val="28"/>
          <w:szCs w:val="28"/>
          <w:vertAlign w:val="baseline"/>
          <w:lang w:eastAsia="zh-CN"/>
        </w:rPr>
        <w:t>投标报价</w:t>
      </w:r>
      <w:r>
        <w:rPr>
          <w:rFonts w:hint="eastAsia" w:ascii="宋体" w:hAnsi="宋体" w:eastAsia="宋体" w:cs="宋体"/>
          <w:bCs/>
          <w:color w:val="auto"/>
          <w:sz w:val="28"/>
          <w:szCs w:val="28"/>
          <w:vertAlign w:val="baseline"/>
        </w:rPr>
        <w:t>包括所需设备的制造、包装、保险、运输、装卸、安装、调试、验收、检定校准、保修、培训等全部内容。投标报价为完成项目的含税总包价格，投标人应充分考虑本项目合同实施期间可能发生的一切费用，并承担由此而带来的风险。凡投标人在报价中未列的项目或遗漏项目，招标人将一律视为已包括在其报价中，不</w:t>
      </w:r>
      <w:r>
        <w:rPr>
          <w:rFonts w:hint="eastAsia" w:ascii="宋体" w:hAnsi="宋体" w:cs="宋体"/>
          <w:bCs/>
          <w:color w:val="auto"/>
          <w:sz w:val="28"/>
          <w:szCs w:val="28"/>
          <w:vertAlign w:val="baseline"/>
          <w:lang w:val="en-US" w:eastAsia="zh-CN"/>
        </w:rPr>
        <w:t>再</w:t>
      </w:r>
      <w:r>
        <w:rPr>
          <w:rFonts w:hint="eastAsia" w:ascii="宋体" w:hAnsi="宋体" w:eastAsia="宋体" w:cs="宋体"/>
          <w:bCs/>
          <w:color w:val="auto"/>
          <w:sz w:val="28"/>
          <w:szCs w:val="28"/>
          <w:vertAlign w:val="baseline"/>
        </w:rPr>
        <w:t>增加额外费用。</w:t>
      </w:r>
    </w:p>
    <w:p w14:paraId="00D6F55F">
      <w:pPr>
        <w:spacing w:line="460" w:lineRule="exact"/>
        <w:ind w:firstLine="562"/>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．本次采购需切实履行绿色采购。</w:t>
      </w:r>
    </w:p>
    <w:p w14:paraId="21E1F17F">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.1商品包装环保要求：应当按《关于印发〈商品包装政府采购需求标准（试行）〉、〈快递包装政府采购需求标准（试行）〉的通知》（财办库〔2020〕123号）文件执行。</w:t>
      </w:r>
    </w:p>
    <w:p w14:paraId="506E994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70AA024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（2）商品包装尽可能使用单一材质的包装材料，如因功能需求必需使用不同材质，不同材质间应便于分离；</w:t>
      </w:r>
    </w:p>
    <w:p w14:paraId="779085B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6368B58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1F60F4DA">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31326124">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311C4059">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202F34BB">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.2快递包装环保要求：</w:t>
      </w:r>
    </w:p>
    <w:p w14:paraId="2B2D1534">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557B011B">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19344E7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1F783398">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174D39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62F905D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50892784">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75918F8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087B819A">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7E75715A">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405261F2">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7BC0D932">
      <w:pPr>
        <w:spacing w:line="460" w:lineRule="exact"/>
        <w:ind w:firstLine="560"/>
        <w:rPr>
          <w:rFonts w:ascii="宋体" w:hAnsi="宋体" w:cs="宋体"/>
          <w:b/>
          <w:bCs/>
          <w:color w:val="auto"/>
          <w:kern w:val="0"/>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07500BB2">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lang w:val="en-US" w:eastAsia="zh-CN"/>
        </w:rPr>
        <w:t>11.</w:t>
      </w:r>
      <w:r>
        <w:rPr>
          <w:rFonts w:hint="eastAsia" w:ascii="宋体" w:hAnsi="宋体" w:cs="宋体"/>
          <w:b/>
          <w:bCs/>
          <w:color w:val="auto"/>
          <w:kern w:val="0"/>
          <w:sz w:val="28"/>
          <w:szCs w:val="28"/>
          <w:highlight w:val="none"/>
        </w:rPr>
        <w:t>履约保证金</w:t>
      </w:r>
    </w:p>
    <w:p w14:paraId="1D605BE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11.1</w:t>
      </w:r>
      <w:r>
        <w:rPr>
          <w:rFonts w:hint="eastAsia" w:ascii="宋体" w:hAnsi="宋体" w:cs="宋体"/>
          <w:color w:val="auto"/>
          <w:sz w:val="28"/>
          <w:szCs w:val="28"/>
          <w:highlight w:val="none"/>
        </w:rPr>
        <w:t>本项目中标后的履约保证金为项目中标价的</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3F68901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11.2</w:t>
      </w:r>
      <w:r>
        <w:rPr>
          <w:rFonts w:hint="eastAsia" w:ascii="宋体" w:hAnsi="宋体" w:cs="宋体"/>
          <w:color w:val="auto"/>
          <w:sz w:val="28"/>
          <w:szCs w:val="28"/>
          <w:highlight w:val="none"/>
        </w:rPr>
        <w:t>中标人全部履约合同义务，经招标人验收合格无质量、进度等问题的，招标人在本项目验收合格并正常运行后30日内一次性退还履约保证金，招标人若逾期退还履约保证金的，按照逾期部分的每日0.05%支付违约金；</w:t>
      </w:r>
    </w:p>
    <w:p w14:paraId="20CE2216">
      <w:pPr>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11.3</w:t>
      </w:r>
      <w:r>
        <w:rPr>
          <w:rFonts w:hint="eastAsia" w:ascii="宋体" w:hAnsi="宋体" w:cs="宋体"/>
          <w:color w:val="auto"/>
          <w:sz w:val="28"/>
          <w:szCs w:val="28"/>
          <w:highlight w:val="none"/>
        </w:rPr>
        <w:t>发生以下情况的，履约保证金不予退还或部分退还：</w:t>
      </w:r>
    </w:p>
    <w:p w14:paraId="5C7622C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a.签订合同后，中标人不履行合同义务的，招标人有权全额扣除履约保证金，全额不予退还，同时招标人亦有权终止合同，中标人还须承担相应的法律赔偿责任。</w:t>
      </w:r>
    </w:p>
    <w:p w14:paraId="6A1357C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b.中标人在履约过程中发生违约行为，给招标人造成损失的，招标人有权在中标人缴纳的履约保证金中予以扣款，以弥补招标人经济损失，不足的部分中标人另外补齐。</w:t>
      </w:r>
    </w:p>
    <w:p w14:paraId="2F1CF2F0">
      <w:pPr>
        <w:spacing w:line="460" w:lineRule="exact"/>
        <w:ind w:firstLine="560" w:firstLineChars="200"/>
        <w:rPr>
          <w:color w:val="auto"/>
          <w:highlight w:val="none"/>
        </w:rPr>
      </w:pPr>
      <w:r>
        <w:rPr>
          <w:rFonts w:hint="eastAsia" w:ascii="宋体" w:hAnsi="宋体" w:cs="宋体"/>
          <w:color w:val="auto"/>
          <w:sz w:val="28"/>
          <w:szCs w:val="28"/>
          <w:highlight w:val="none"/>
          <w:lang w:val="en-US" w:eastAsia="zh-CN"/>
        </w:rPr>
        <w:t>11.4</w:t>
      </w:r>
      <w:r>
        <w:rPr>
          <w:rFonts w:hint="eastAsia" w:ascii="宋体" w:hAnsi="宋体" w:cs="宋体"/>
          <w:color w:val="auto"/>
          <w:sz w:val="28"/>
          <w:szCs w:val="28"/>
          <w:highlight w:val="none"/>
        </w:rPr>
        <w:t>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jisngsu/zlxz/)。</w:t>
      </w:r>
    </w:p>
    <w:p w14:paraId="1FE1EB4C">
      <w:pPr>
        <w:tabs>
          <w:tab w:val="left" w:pos="420"/>
        </w:tabs>
        <w:spacing w:line="460" w:lineRule="exact"/>
        <w:ind w:firstLine="562" w:firstLineChars="200"/>
        <w:rPr>
          <w:rFonts w:ascii="宋体" w:hAnsi="宋体" w:cs="宋体"/>
          <w:b/>
          <w:bCs/>
          <w:i/>
          <w:iCs/>
          <w:color w:val="auto"/>
          <w:kern w:val="0"/>
          <w:sz w:val="28"/>
          <w:szCs w:val="28"/>
          <w:highlight w:val="none"/>
          <w:u w:val="single"/>
        </w:rPr>
      </w:pPr>
      <w:r>
        <w:rPr>
          <w:rFonts w:hint="eastAsia" w:ascii="宋体" w:hAnsi="宋体" w:cs="宋体"/>
          <w:b/>
          <w:bCs/>
          <w:i/>
          <w:iCs/>
          <w:color w:val="auto"/>
          <w:kern w:val="0"/>
          <w:sz w:val="28"/>
          <w:szCs w:val="28"/>
          <w:highlight w:val="none"/>
          <w:u w:val="single"/>
          <w:lang w:val="en-US" w:eastAsia="zh-CN"/>
        </w:rPr>
        <w:t>七</w:t>
      </w:r>
      <w:r>
        <w:rPr>
          <w:rFonts w:hint="eastAsia" w:ascii="宋体" w:hAnsi="宋体" w:cs="宋体"/>
          <w:b/>
          <w:bCs/>
          <w:i/>
          <w:iCs/>
          <w:color w:val="auto"/>
          <w:kern w:val="0"/>
          <w:sz w:val="28"/>
          <w:szCs w:val="28"/>
          <w:highlight w:val="none"/>
          <w:u w:val="single"/>
        </w:rPr>
        <w:t>、采购需求中必须满足的实质性要求</w:t>
      </w:r>
    </w:p>
    <w:p w14:paraId="476FDC7F">
      <w:pPr>
        <w:pStyle w:val="162"/>
        <w:ind w:firstLineChars="200"/>
        <w:rPr>
          <w:rFonts w:hint="eastAsia" w:ascii="宋体" w:hAnsi="宋体" w:eastAsia="宋体" w:cs="宋体"/>
          <w:i/>
          <w:iCs/>
          <w:color w:val="auto"/>
          <w:kern w:val="0"/>
          <w:sz w:val="28"/>
          <w:szCs w:val="28"/>
          <w:highlight w:val="none"/>
          <w:u w:val="single"/>
          <w:lang w:val="en-US" w:eastAsia="zh-CN" w:bidi="ar-SA"/>
        </w:rPr>
      </w:pPr>
      <w:r>
        <w:rPr>
          <w:rFonts w:hint="eastAsia" w:ascii="宋体" w:hAnsi="宋体" w:eastAsia="宋体" w:cs="宋体"/>
          <w:i/>
          <w:iCs/>
          <w:color w:val="auto"/>
          <w:kern w:val="0"/>
          <w:sz w:val="28"/>
          <w:szCs w:val="28"/>
          <w:highlight w:val="none"/>
          <w:u w:val="single"/>
        </w:rPr>
        <w:t>1.本项目为交钥匙工程，包括所需设备的制造、包装、保险、运输、装卸、安装、调试、验收、检定校准、保修、培训等全部内容。投标报价为完成项目的含税总包价格，投标人应充分考虑本项目合同实施期间可能发生的一切费用，并承担由此而带来的风险。凡投标人在报价中未列的项目或遗漏项目，招标人将一律视为已包括在其报价中，不</w:t>
      </w:r>
      <w:r>
        <w:rPr>
          <w:rFonts w:hint="eastAsia" w:ascii="宋体" w:hAnsi="宋体" w:eastAsia="宋体" w:cs="宋体"/>
          <w:i/>
          <w:iCs/>
          <w:color w:val="auto"/>
          <w:kern w:val="0"/>
          <w:sz w:val="28"/>
          <w:szCs w:val="28"/>
          <w:highlight w:val="none"/>
          <w:u w:val="single"/>
          <w:lang w:val="en-US" w:eastAsia="zh-CN"/>
        </w:rPr>
        <w:t>再</w:t>
      </w:r>
      <w:r>
        <w:rPr>
          <w:rFonts w:hint="eastAsia" w:ascii="宋体" w:hAnsi="宋体" w:eastAsia="宋体" w:cs="宋体"/>
          <w:i/>
          <w:iCs/>
          <w:color w:val="auto"/>
          <w:kern w:val="0"/>
          <w:sz w:val="28"/>
          <w:szCs w:val="28"/>
          <w:highlight w:val="none"/>
          <w:u w:val="single"/>
        </w:rPr>
        <w:t>增加额外费用。本项目设定最高限价，最高限价为</w:t>
      </w:r>
      <w:r>
        <w:rPr>
          <w:rFonts w:hint="eastAsia" w:ascii="宋体" w:hAnsi="宋体" w:eastAsia="宋体" w:cs="宋体"/>
          <w:i/>
          <w:iCs/>
          <w:color w:val="auto"/>
          <w:kern w:val="0"/>
          <w:sz w:val="28"/>
          <w:szCs w:val="28"/>
          <w:highlight w:val="none"/>
          <w:u w:val="single"/>
          <w:lang w:val="en-US" w:eastAsia="zh-CN"/>
        </w:rPr>
        <w:t>105</w:t>
      </w:r>
      <w:r>
        <w:rPr>
          <w:rFonts w:hint="eastAsia" w:ascii="宋体" w:hAnsi="宋体" w:eastAsia="宋体" w:cs="宋体"/>
          <w:i/>
          <w:iCs/>
          <w:color w:val="auto"/>
          <w:kern w:val="0"/>
          <w:sz w:val="28"/>
          <w:szCs w:val="28"/>
          <w:highlight w:val="none"/>
          <w:u w:val="single"/>
        </w:rPr>
        <w:t>万元，报价超过最高限价为无效报价。</w:t>
      </w:r>
    </w:p>
    <w:p w14:paraId="4C193C72">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投标人需出具参数偏离表的盖章承诺函</w:t>
      </w:r>
      <w:r>
        <w:rPr>
          <w:rFonts w:hint="eastAsia" w:ascii="宋体" w:hAnsi="宋体" w:eastAsia="宋体" w:cs="宋体"/>
          <w:color w:val="auto"/>
          <w:sz w:val="28"/>
          <w:szCs w:val="28"/>
          <w:lang w:eastAsia="zh-CN"/>
        </w:rPr>
        <w:t>：</w:t>
      </w:r>
    </w:p>
    <w:p w14:paraId="0BA6F80A">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①</w:t>
      </w:r>
      <w:r>
        <w:rPr>
          <w:rFonts w:hint="eastAsia" w:ascii="宋体" w:hAnsi="宋体" w:eastAsia="宋体" w:cs="宋体"/>
          <w:color w:val="auto"/>
          <w:sz w:val="28"/>
          <w:szCs w:val="28"/>
        </w:rPr>
        <w:t>承诺其提交的相关材料真实有效，承诺每项参数都可作为验收的依据，参数验收时如果不能符合标书要求，应按投标价的30%作为对</w:t>
      </w:r>
      <w:r>
        <w:rPr>
          <w:rFonts w:hint="eastAsia" w:ascii="宋体" w:hAnsi="宋体" w:eastAsia="宋体" w:cs="宋体"/>
          <w:color w:val="auto"/>
          <w:sz w:val="28"/>
          <w:szCs w:val="28"/>
          <w:lang w:val="en-US" w:eastAsia="zh-CN"/>
        </w:rPr>
        <w:t>招标人</w:t>
      </w:r>
      <w:r>
        <w:rPr>
          <w:rFonts w:hint="eastAsia" w:ascii="宋体" w:hAnsi="宋体" w:eastAsia="宋体" w:cs="宋体"/>
          <w:color w:val="auto"/>
          <w:sz w:val="28"/>
          <w:szCs w:val="28"/>
        </w:rPr>
        <w:t>的赔偿，仪器退回，合同作废。并承担虚假应标的相关责任。</w:t>
      </w:r>
    </w:p>
    <w:p w14:paraId="07452D02">
      <w:pPr>
        <w:keepNext w:val="0"/>
        <w:keepLines w:val="0"/>
        <w:pageBreakBefore w:val="0"/>
        <w:widowControl w:val="0"/>
        <w:kinsoku/>
        <w:wordWrap/>
        <w:overflowPunct/>
        <w:topLinePunct w:val="0"/>
        <w:autoSpaceDE/>
        <w:autoSpaceDN/>
        <w:bidi w:val="0"/>
        <w:adjustRightInd/>
        <w:snapToGrid/>
        <w:spacing w:line="460" w:lineRule="exact"/>
        <w:ind w:firstLine="565"/>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②</w:t>
      </w:r>
      <w:r>
        <w:rPr>
          <w:rFonts w:hint="eastAsia" w:ascii="宋体" w:hAnsi="宋体" w:eastAsia="宋体" w:cs="宋体"/>
          <w:color w:val="auto"/>
          <w:sz w:val="28"/>
          <w:szCs w:val="28"/>
        </w:rPr>
        <w:t>承诺其投标产品为原厂家生产的全新产品，非代工产品或翻新产品，所有部件皆由同一生产商制造，负责保修，保证仪器使用的稳定性。</w:t>
      </w:r>
    </w:p>
    <w:p w14:paraId="089FBC7F">
      <w:pPr>
        <w:keepNext w:val="0"/>
        <w:keepLines w:val="0"/>
        <w:pageBreakBefore w:val="0"/>
        <w:widowControl w:val="0"/>
        <w:numPr>
          <w:ilvl w:val="-1"/>
          <w:numId w:val="0"/>
        </w:numPr>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3.本项目招标文件第三部分项目需求“五、商务部分”条款为实质性条款，不接受负偏离，投标人有负偏离的，作无效标处理。</w:t>
      </w:r>
    </w:p>
    <w:p w14:paraId="66A48BCD">
      <w:pPr>
        <w:spacing w:line="520" w:lineRule="exact"/>
        <w:ind w:firstLine="560" w:firstLineChars="200"/>
        <w:rPr>
          <w:rFonts w:hint="eastAsia" w:ascii="宋体" w:hAnsi="宋体" w:eastAsia="宋体" w:cs="宋体"/>
          <w:b/>
          <w:bCs/>
          <w:i/>
          <w:iCs/>
          <w:color w:val="auto"/>
          <w:sz w:val="28"/>
          <w:szCs w:val="28"/>
          <w:highlight w:val="none"/>
          <w:u w:val="single"/>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b/>
          <w:bCs/>
          <w:i/>
          <w:iCs/>
          <w:color w:val="auto"/>
          <w:sz w:val="28"/>
          <w:szCs w:val="28"/>
          <w:highlight w:val="none"/>
          <w:u w:val="single"/>
          <w:lang w:val="en-US" w:eastAsia="zh-CN"/>
        </w:rPr>
        <w:t>本项目“★”技术参数为实质性响应条款，不接受负偏离，投标时提供《实质性要求响应及偏离表》（格式详见附件），</w:t>
      </w:r>
      <w:r>
        <w:rPr>
          <w:rFonts w:hint="eastAsia" w:ascii="宋体" w:hAnsi="宋体" w:cs="宋体"/>
          <w:b/>
          <w:bCs/>
          <w:i/>
          <w:iCs/>
          <w:color w:val="auto"/>
          <w:sz w:val="28"/>
          <w:szCs w:val="28"/>
          <w:highlight w:val="none"/>
          <w:u w:val="single"/>
          <w:lang w:val="en-US" w:eastAsia="zh-CN"/>
        </w:rPr>
        <w:t>并按要求提供相应的有效证明文件材料</w:t>
      </w:r>
      <w:r>
        <w:rPr>
          <w:rFonts w:hint="eastAsia" w:ascii="宋体" w:hAnsi="宋体" w:eastAsia="宋体" w:cs="宋体"/>
          <w:b/>
          <w:bCs/>
          <w:i/>
          <w:iCs/>
          <w:color w:val="auto"/>
          <w:sz w:val="28"/>
          <w:szCs w:val="28"/>
          <w:highlight w:val="none"/>
          <w:u w:val="single"/>
          <w:lang w:val="en-US" w:eastAsia="zh-CN"/>
        </w:rPr>
        <w:t>。</w:t>
      </w:r>
    </w:p>
    <w:p w14:paraId="3199C68F">
      <w:pPr>
        <w:spacing w:line="520" w:lineRule="exact"/>
        <w:ind w:firstLine="562" w:firstLineChars="200"/>
        <w:jc w:val="left"/>
        <w:rPr>
          <w:rFonts w:hint="eastAsia" w:ascii="宋体" w:hAnsi="宋体" w:cs="宋体"/>
          <w:b/>
          <w:bCs/>
          <w:i w:val="0"/>
          <w:iCs w:val="0"/>
          <w:color w:val="auto"/>
          <w:sz w:val="32"/>
          <w:szCs w:val="32"/>
          <w:highlight w:val="none"/>
          <w:u w:val="none"/>
          <w:lang w:val="en-US" w:eastAsia="zh-CN"/>
        </w:rPr>
      </w:pPr>
      <w:r>
        <w:rPr>
          <w:rFonts w:hint="eastAsia" w:ascii="宋体" w:hAnsi="宋体" w:eastAsia="宋体" w:cs="宋体"/>
          <w:b/>
          <w:bCs/>
          <w:i/>
          <w:iCs/>
          <w:color w:val="auto"/>
          <w:sz w:val="28"/>
          <w:szCs w:val="28"/>
          <w:highlight w:val="none"/>
          <w:u w:val="single"/>
          <w:lang w:val="en-US" w:eastAsia="zh-CN"/>
        </w:rPr>
        <w:t>以上1~3项需提供承诺函，不提供的或提供不满足要求的按无效标处理，承诺书格式如下：</w:t>
      </w:r>
    </w:p>
    <w:p w14:paraId="54DCDBD2">
      <w:pPr>
        <w:spacing w:line="520" w:lineRule="exact"/>
        <w:jc w:val="center"/>
        <w:rPr>
          <w:rFonts w:hint="eastAsia"/>
          <w:color w:val="auto"/>
          <w:sz w:val="28"/>
          <w:szCs w:val="28"/>
          <w:highlight w:val="none"/>
          <w:lang w:eastAsia="zh-CN"/>
        </w:rPr>
      </w:pPr>
      <w:r>
        <w:rPr>
          <w:rFonts w:hint="eastAsia" w:ascii="宋体" w:hAnsi="宋体" w:cs="宋体"/>
          <w:b/>
          <w:bCs/>
          <w:i w:val="0"/>
          <w:iCs w:val="0"/>
          <w:color w:val="auto"/>
          <w:sz w:val="32"/>
          <w:szCs w:val="32"/>
          <w:highlight w:val="none"/>
          <w:u w:val="none"/>
          <w:lang w:val="en-US" w:eastAsia="zh-CN"/>
        </w:rPr>
        <w:t>承诺书</w:t>
      </w:r>
    </w:p>
    <w:p w14:paraId="4E777819">
      <w:pPr>
        <w:tabs>
          <w:tab w:val="left" w:pos="420"/>
        </w:tabs>
        <w:spacing w:line="460" w:lineRule="exact"/>
        <w:ind w:firstLine="0" w:firstLineChars="0"/>
        <w:rPr>
          <w:bCs/>
          <w:color w:val="auto"/>
          <w:sz w:val="28"/>
          <w:szCs w:val="28"/>
          <w:highlight w:val="none"/>
        </w:rPr>
      </w:pPr>
      <w:r>
        <w:rPr>
          <w:rFonts w:hint="eastAsia"/>
          <w:color w:val="auto"/>
          <w:sz w:val="28"/>
          <w:szCs w:val="28"/>
          <w:highlight w:val="none"/>
          <w:lang w:eastAsia="zh-CN"/>
        </w:rPr>
        <w:t>南通市产品质量监督检验所</w:t>
      </w:r>
      <w:r>
        <w:rPr>
          <w:bCs/>
          <w:color w:val="auto"/>
          <w:sz w:val="28"/>
          <w:szCs w:val="28"/>
          <w:highlight w:val="none"/>
        </w:rPr>
        <w:t>：</w:t>
      </w:r>
    </w:p>
    <w:p w14:paraId="485C5C5D">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lang w:val="en-US" w:eastAsia="zh-CN"/>
        </w:rPr>
        <w:t>我</w:t>
      </w:r>
      <w:r>
        <w:rPr>
          <w:bCs/>
          <w:color w:val="auto"/>
          <w:sz w:val="28"/>
          <w:szCs w:val="28"/>
          <w:highlight w:val="none"/>
        </w:rPr>
        <w:t>公司愿就由贵单位组织实施的</w:t>
      </w:r>
      <w:r>
        <w:rPr>
          <w:bCs/>
          <w:color w:val="auto"/>
          <w:sz w:val="28"/>
          <w:szCs w:val="28"/>
          <w:highlight w:val="none"/>
          <w:u w:val="single"/>
        </w:rPr>
        <w:t>（</w:t>
      </w:r>
      <w:r>
        <w:rPr>
          <w:rFonts w:hint="eastAsia"/>
          <w:bCs/>
          <w:color w:val="auto"/>
          <w:sz w:val="28"/>
          <w:szCs w:val="28"/>
          <w:highlight w:val="none"/>
          <w:u w:val="single"/>
          <w:lang w:eastAsia="zh-CN"/>
        </w:rPr>
        <w:t>南通市产品质量监督检验所中压电缆电气性能测试系统采购项目</w:t>
      </w:r>
      <w:r>
        <w:rPr>
          <w:bCs/>
          <w:color w:val="auto"/>
          <w:sz w:val="28"/>
          <w:szCs w:val="28"/>
          <w:highlight w:val="none"/>
          <w:u w:val="single"/>
        </w:rPr>
        <w:t>)</w:t>
      </w:r>
      <w:r>
        <w:rPr>
          <w:bCs/>
          <w:color w:val="auto"/>
          <w:sz w:val="28"/>
          <w:szCs w:val="28"/>
          <w:highlight w:val="none"/>
        </w:rPr>
        <w:t>招标活动进行响应</w:t>
      </w:r>
      <w:r>
        <w:rPr>
          <w:rFonts w:hint="eastAsia"/>
          <w:bCs/>
          <w:color w:val="auto"/>
          <w:sz w:val="28"/>
          <w:szCs w:val="28"/>
          <w:highlight w:val="none"/>
          <w:lang w:eastAsia="zh-CN"/>
        </w:rPr>
        <w:t>，</w:t>
      </w:r>
      <w:r>
        <w:rPr>
          <w:rFonts w:hint="eastAsia"/>
          <w:bCs/>
          <w:color w:val="auto"/>
          <w:sz w:val="28"/>
          <w:szCs w:val="28"/>
          <w:highlight w:val="none"/>
          <w:lang w:val="en-US" w:eastAsia="zh-CN"/>
        </w:rPr>
        <w:t>我</w:t>
      </w:r>
      <w:r>
        <w:rPr>
          <w:rFonts w:hint="eastAsia"/>
          <w:bCs/>
          <w:color w:val="auto"/>
          <w:sz w:val="28"/>
          <w:szCs w:val="28"/>
          <w:highlight w:val="none"/>
        </w:rPr>
        <w:t>公司</w:t>
      </w:r>
      <w:r>
        <w:rPr>
          <w:rFonts w:hint="eastAsia"/>
          <w:bCs/>
          <w:color w:val="auto"/>
          <w:sz w:val="28"/>
          <w:szCs w:val="28"/>
          <w:highlight w:val="none"/>
          <w:lang w:val="en-US" w:eastAsia="zh-CN"/>
        </w:rPr>
        <w:t>作如下</w:t>
      </w:r>
      <w:r>
        <w:rPr>
          <w:rFonts w:hint="eastAsia"/>
          <w:bCs/>
          <w:color w:val="auto"/>
          <w:sz w:val="28"/>
          <w:szCs w:val="28"/>
          <w:highlight w:val="none"/>
        </w:rPr>
        <w:t>承诺：</w:t>
      </w:r>
    </w:p>
    <w:p w14:paraId="0AD49A78">
      <w:pPr>
        <w:tabs>
          <w:tab w:val="left" w:pos="420"/>
        </w:tabs>
        <w:spacing w:line="460" w:lineRule="exact"/>
        <w:ind w:firstLine="560" w:firstLineChars="200"/>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1.本项目为交钥匙工程，包括所需设备的制造、包装、保险、运输、装卸、安装、调试、验收、检定校准、保修、培训等全部内容。我公司投标报价不高于最高限价且为完成项目的含税总包价格，我公司已充分考虑本项目合同实施期间可能发生的一切费用，并承担由此而带来的风险。凡我公司在报价中未列的项目或遗漏项目，一律视为已包括在其报价中，招标人无需再增加额外费用。</w:t>
      </w:r>
    </w:p>
    <w:p w14:paraId="7E593111">
      <w:pPr>
        <w:tabs>
          <w:tab w:val="left" w:pos="420"/>
        </w:tabs>
        <w:spacing w:line="460" w:lineRule="exact"/>
        <w:ind w:firstLine="560" w:firstLineChars="200"/>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2.如我公司中标，我公司承诺：①提交的相关材料真实有效，承诺每项参数都可作为验收的依据，参数验收时如果不能符合标书要求，我公司按投标价的30%对招标人进行赔偿，仪器退回，合同作废，并承担虚假应标的相关责任。②我公司供货产品为原厂家生产的全新产品，非代工产品或翻新产品，所有部件皆由同一生产商制造，负责保修，并保证仪器使用的稳定性。</w:t>
      </w:r>
    </w:p>
    <w:p w14:paraId="2AFCA0DB">
      <w:pPr>
        <w:keepNext w:val="0"/>
        <w:keepLines w:val="0"/>
        <w:pageBreakBefore w:val="0"/>
        <w:widowControl w:val="0"/>
        <w:numPr>
          <w:ilvl w:val="-1"/>
          <w:numId w:val="0"/>
        </w:numPr>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Times New Roman" w:hAnsi="Times New Roman" w:eastAsia="宋体" w:cs="Times New Roman"/>
          <w:bCs/>
          <w:color w:val="auto"/>
          <w:sz w:val="28"/>
          <w:szCs w:val="28"/>
          <w:highlight w:val="none"/>
          <w:lang w:val="en-US" w:eastAsia="zh-CN"/>
        </w:rPr>
        <w:t>3.我公司完全响应</w:t>
      </w:r>
      <w:r>
        <w:rPr>
          <w:rFonts w:hint="eastAsia" w:ascii="宋体" w:hAnsi="宋体" w:eastAsia="宋体" w:cs="宋体"/>
          <w:color w:val="auto"/>
          <w:sz w:val="28"/>
          <w:szCs w:val="28"/>
          <w:lang w:val="en-US" w:eastAsia="zh-CN"/>
        </w:rPr>
        <w:t>本项目招标文件第三部分项目需求“五、商务部分”</w:t>
      </w:r>
      <w:r>
        <w:rPr>
          <w:rFonts w:hint="eastAsia" w:ascii="宋体" w:hAnsi="宋体" w:cs="宋体"/>
          <w:color w:val="auto"/>
          <w:sz w:val="28"/>
          <w:szCs w:val="28"/>
          <w:lang w:val="en-US" w:eastAsia="zh-CN"/>
        </w:rPr>
        <w:t>全部</w:t>
      </w:r>
      <w:r>
        <w:rPr>
          <w:rFonts w:hint="eastAsia" w:ascii="宋体" w:hAnsi="宋体" w:eastAsia="宋体" w:cs="宋体"/>
          <w:color w:val="auto"/>
          <w:sz w:val="28"/>
          <w:szCs w:val="28"/>
          <w:lang w:val="en-US" w:eastAsia="zh-CN"/>
        </w:rPr>
        <w:t>条款，无负偏离</w:t>
      </w:r>
      <w:r>
        <w:rPr>
          <w:rFonts w:hint="eastAsia" w:ascii="宋体" w:hAnsi="宋体" w:cs="宋体"/>
          <w:color w:val="auto"/>
          <w:sz w:val="28"/>
          <w:szCs w:val="28"/>
          <w:lang w:val="en-US" w:eastAsia="zh-CN"/>
        </w:rPr>
        <w:t>，并中标后严格执行</w:t>
      </w:r>
      <w:r>
        <w:rPr>
          <w:rFonts w:hint="eastAsia" w:ascii="宋体" w:hAnsi="宋体" w:eastAsia="宋体" w:cs="宋体"/>
          <w:color w:val="auto"/>
          <w:sz w:val="28"/>
          <w:szCs w:val="28"/>
          <w:lang w:val="en-US" w:eastAsia="zh-CN"/>
        </w:rPr>
        <w:t>。</w:t>
      </w:r>
    </w:p>
    <w:p w14:paraId="3C86AB44">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我</w:t>
      </w:r>
      <w:r>
        <w:rPr>
          <w:bCs/>
          <w:color w:val="auto"/>
          <w:sz w:val="28"/>
          <w:szCs w:val="28"/>
          <w:highlight w:val="none"/>
        </w:rPr>
        <w:t>公司所提交的</w:t>
      </w:r>
      <w:r>
        <w:rPr>
          <w:rFonts w:hint="eastAsia"/>
          <w:bCs/>
          <w:color w:val="auto"/>
          <w:sz w:val="28"/>
          <w:szCs w:val="28"/>
          <w:highlight w:val="none"/>
        </w:rPr>
        <w:t>投标</w:t>
      </w:r>
      <w:r>
        <w:rPr>
          <w:bCs/>
          <w:color w:val="auto"/>
          <w:sz w:val="28"/>
          <w:szCs w:val="28"/>
          <w:highlight w:val="none"/>
        </w:rPr>
        <w:t>文件中所有关于</w:t>
      </w:r>
      <w:r>
        <w:rPr>
          <w:rFonts w:hint="eastAsia"/>
          <w:bCs/>
          <w:color w:val="auto"/>
          <w:sz w:val="28"/>
          <w:szCs w:val="28"/>
          <w:highlight w:val="none"/>
        </w:rPr>
        <w:t>以上条款</w:t>
      </w:r>
      <w:r>
        <w:rPr>
          <w:bCs/>
          <w:color w:val="auto"/>
          <w:sz w:val="28"/>
          <w:szCs w:val="28"/>
          <w:highlight w:val="none"/>
        </w:rPr>
        <w:t>响应的文件、证明和陈述均是真实的、准确的。若与真实情况不符，</w:t>
      </w:r>
      <w:r>
        <w:rPr>
          <w:rFonts w:hint="eastAsia"/>
          <w:bCs/>
          <w:color w:val="auto"/>
          <w:sz w:val="28"/>
          <w:szCs w:val="28"/>
          <w:highlight w:val="none"/>
          <w:lang w:val="en-US" w:eastAsia="zh-CN"/>
        </w:rPr>
        <w:t>我</w:t>
      </w:r>
      <w:r>
        <w:rPr>
          <w:bCs/>
          <w:color w:val="auto"/>
          <w:sz w:val="28"/>
          <w:szCs w:val="28"/>
          <w:highlight w:val="none"/>
        </w:rPr>
        <w:t>公司愿意承担由此而产生的一切后果。</w:t>
      </w:r>
    </w:p>
    <w:p w14:paraId="57FA2EF2">
      <w:pPr>
        <w:spacing w:line="420" w:lineRule="exact"/>
        <w:ind w:firstLine="0"/>
        <w:rPr>
          <w:bCs/>
          <w:color w:val="auto"/>
          <w:sz w:val="28"/>
          <w:szCs w:val="28"/>
          <w:highlight w:val="none"/>
        </w:rPr>
      </w:pPr>
    </w:p>
    <w:p w14:paraId="32E7279F">
      <w:pPr>
        <w:tabs>
          <w:tab w:val="left" w:pos="420"/>
        </w:tabs>
        <w:spacing w:line="460" w:lineRule="exact"/>
        <w:ind w:left="0" w:firstLine="560" w:firstLineChars="200"/>
        <w:rPr>
          <w:bCs/>
          <w:color w:val="auto"/>
          <w:sz w:val="28"/>
          <w:szCs w:val="28"/>
          <w:highlight w:val="none"/>
        </w:rPr>
      </w:pPr>
      <w:r>
        <w:rPr>
          <w:bCs/>
          <w:color w:val="auto"/>
          <w:sz w:val="28"/>
          <w:szCs w:val="28"/>
          <w:highlight w:val="none"/>
        </w:rPr>
        <w:t xml:space="preserve">            </w:t>
      </w:r>
      <w:r>
        <w:rPr>
          <w:rFonts w:hint="eastAsia"/>
          <w:bCs/>
          <w:color w:val="auto"/>
          <w:sz w:val="28"/>
          <w:szCs w:val="28"/>
          <w:highlight w:val="none"/>
          <w:lang w:val="en-US" w:eastAsia="zh-CN"/>
        </w:rPr>
        <w:t xml:space="preserve"> </w:t>
      </w:r>
      <w:r>
        <w:rPr>
          <w:rFonts w:hint="default"/>
          <w:bCs/>
          <w:color w:val="auto"/>
          <w:sz w:val="28"/>
          <w:szCs w:val="28"/>
          <w:highlight w:val="none"/>
          <w:lang w:eastAsia="zh-CN"/>
        </w:rPr>
        <w:t>投标人（盖</w:t>
      </w:r>
      <w:r>
        <w:rPr>
          <w:bCs/>
          <w:color w:val="auto"/>
          <w:sz w:val="28"/>
          <w:szCs w:val="28"/>
          <w:highlight w:val="none"/>
        </w:rPr>
        <w:t>公章</w:t>
      </w:r>
      <w:r>
        <w:rPr>
          <w:rFonts w:hint="default"/>
          <w:bCs/>
          <w:color w:val="auto"/>
          <w:sz w:val="28"/>
          <w:szCs w:val="28"/>
          <w:highlight w:val="none"/>
          <w:lang w:eastAsia="zh-CN"/>
        </w:rPr>
        <w:t>）</w:t>
      </w:r>
      <w:r>
        <w:rPr>
          <w:bCs/>
          <w:color w:val="auto"/>
          <w:sz w:val="28"/>
          <w:szCs w:val="28"/>
          <w:highlight w:val="none"/>
        </w:rPr>
        <w:t>：</w:t>
      </w:r>
    </w:p>
    <w:p w14:paraId="73F3AFB9">
      <w:pPr>
        <w:tabs>
          <w:tab w:val="left" w:pos="420"/>
        </w:tabs>
        <w:spacing w:line="460" w:lineRule="exact"/>
        <w:ind w:firstLine="2240" w:firstLineChars="800"/>
        <w:rPr>
          <w:rFonts w:hint="default" w:ascii="Times New Roman" w:hAnsi="Times New Roman" w:cs="Times New Roman"/>
          <w:bCs/>
          <w:i w:val="0"/>
          <w:iCs w:val="0"/>
          <w:color w:val="auto"/>
          <w:kern w:val="2"/>
          <w:sz w:val="28"/>
          <w:szCs w:val="28"/>
          <w:highlight w:val="none"/>
          <w:u w:val="none"/>
          <w:lang w:val="en-US" w:eastAsia="zh-CN" w:bidi="ar-SA"/>
        </w:rPr>
      </w:pPr>
      <w:r>
        <w:rPr>
          <w:bCs/>
          <w:color w:val="auto"/>
          <w:sz w:val="28"/>
          <w:szCs w:val="28"/>
          <w:highlight w:val="none"/>
        </w:rPr>
        <w:t xml:space="preserve"> 法定代表人（签字或盖章）：</w:t>
      </w:r>
    </w:p>
    <w:p w14:paraId="70CDD650">
      <w:pPr>
        <w:tabs>
          <w:tab w:val="left" w:pos="420"/>
        </w:tabs>
        <w:spacing w:line="460" w:lineRule="exact"/>
        <w:ind w:firstLine="2520" w:firstLineChars="900"/>
        <w:rPr>
          <w:rFonts w:hint="default" w:ascii="Times New Roman" w:hAnsi="Times New Roman" w:cs="Times New Roman"/>
          <w:bCs/>
          <w:i w:val="0"/>
          <w:iCs w:val="0"/>
          <w:color w:val="auto"/>
          <w:kern w:val="2"/>
          <w:sz w:val="28"/>
          <w:szCs w:val="28"/>
          <w:highlight w:val="none"/>
          <w:u w:val="none"/>
          <w:lang w:val="en-US" w:eastAsia="zh-CN" w:bidi="ar-SA"/>
        </w:rPr>
      </w:pPr>
      <w:r>
        <w:rPr>
          <w:rFonts w:hint="default" w:ascii="Times New Roman" w:hAnsi="Times New Roman" w:cs="Times New Roman"/>
          <w:bCs/>
          <w:i w:val="0"/>
          <w:iCs w:val="0"/>
          <w:color w:val="auto"/>
          <w:kern w:val="2"/>
          <w:sz w:val="28"/>
          <w:szCs w:val="28"/>
          <w:highlight w:val="none"/>
          <w:u w:val="none"/>
          <w:lang w:val="en-US" w:eastAsia="zh-CN" w:bidi="ar-SA"/>
        </w:rPr>
        <w:t xml:space="preserve">日期：    </w:t>
      </w:r>
    </w:p>
    <w:p w14:paraId="416362B8">
      <w:pPr>
        <w:tabs>
          <w:tab w:val="left" w:pos="420"/>
        </w:tabs>
        <w:spacing w:line="460" w:lineRule="exact"/>
        <w:ind w:firstLine="560" w:firstLineChars="200"/>
        <w:rPr>
          <w:rFonts w:hint="default" w:ascii="Times New Roman" w:hAnsi="Times New Roman" w:cs="Times New Roman"/>
          <w:b w:val="0"/>
          <w:bCs/>
          <w:color w:val="auto"/>
          <w:kern w:val="2"/>
          <w:sz w:val="28"/>
          <w:szCs w:val="28"/>
          <w:highlight w:val="none"/>
        </w:rPr>
      </w:pPr>
      <w:r>
        <w:rPr>
          <w:rFonts w:hint="default" w:ascii="Times New Roman" w:hAnsi="Times New Roman" w:cs="Times New Roman"/>
          <w:b w:val="0"/>
          <w:bCs/>
          <w:color w:val="auto"/>
          <w:kern w:val="2"/>
          <w:sz w:val="28"/>
          <w:szCs w:val="28"/>
          <w:highlight w:val="none"/>
        </w:rPr>
        <w:br w:type="page"/>
      </w:r>
    </w:p>
    <w:p w14:paraId="093745E7">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lang w:val="en-US" w:eastAsia="zh-CN"/>
        </w:rPr>
        <w:t>八</w:t>
      </w:r>
      <w:r>
        <w:rPr>
          <w:rFonts w:hint="eastAsia" w:ascii="宋体" w:hAnsi="宋体" w:cs="宋体"/>
          <w:b/>
          <w:bCs/>
          <w:color w:val="auto"/>
          <w:kern w:val="0"/>
          <w:sz w:val="28"/>
          <w:szCs w:val="28"/>
          <w:highlight w:val="none"/>
        </w:rPr>
        <w:t>、合同文本（仅供参考）：</w:t>
      </w:r>
    </w:p>
    <w:p w14:paraId="2E12753F">
      <w:pPr>
        <w:pBdr>
          <w:top w:val="none" w:color="000000" w:sz="0" w:space="0"/>
          <w:left w:val="none" w:color="000000" w:sz="0" w:space="0"/>
          <w:bottom w:val="none" w:color="000000" w:sz="0" w:space="0"/>
          <w:right w:val="none" w:color="000000" w:sz="0" w:space="0"/>
        </w:pBdr>
        <w:spacing w:before="145" w:after="145"/>
        <w:jc w:val="center"/>
        <w:rPr>
          <w:rFonts w:ascii="宋体" w:hAnsi="宋体" w:cs="宋体"/>
          <w:color w:val="auto"/>
          <w:sz w:val="22"/>
          <w:szCs w:val="28"/>
          <w:highlight w:val="none"/>
        </w:rPr>
      </w:pPr>
      <w:r>
        <w:rPr>
          <w:rFonts w:hint="eastAsia" w:ascii="宋体" w:hAnsi="宋体" w:cs="宋体"/>
          <w:b/>
          <w:color w:val="auto"/>
          <w:sz w:val="32"/>
          <w:szCs w:val="28"/>
          <w:highlight w:val="none"/>
        </w:rPr>
        <w:t>南通市政府采购合同（货物）（合同编号）</w:t>
      </w:r>
    </w:p>
    <w:p w14:paraId="3F2A5EB8">
      <w:pPr>
        <w:pBdr>
          <w:top w:val="none" w:color="000000" w:sz="0" w:space="0"/>
          <w:left w:val="none" w:color="000000" w:sz="0" w:space="0"/>
          <w:bottom w:val="none" w:color="000000" w:sz="0" w:space="0"/>
          <w:right w:val="none" w:color="000000" w:sz="0" w:space="0"/>
        </w:pBdr>
        <w:spacing w:line="499" w:lineRule="atLeast"/>
        <w:ind w:firstLine="42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项目名称：南通市产品质量监督检验所</w:t>
      </w:r>
      <w:r>
        <w:rPr>
          <w:rFonts w:hint="eastAsia" w:ascii="宋体" w:hAnsi="宋体" w:cs="宋体"/>
          <w:color w:val="auto"/>
          <w:sz w:val="28"/>
          <w:szCs w:val="28"/>
          <w:highlight w:val="none"/>
          <w:lang w:eastAsia="zh-CN"/>
        </w:rPr>
        <w:t>中压电缆电气性能测试系统采购项目</w:t>
      </w:r>
    </w:p>
    <w:p w14:paraId="7708306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项目编号：</w:t>
      </w:r>
    </w:p>
    <w:p w14:paraId="503BF569">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甲方</w:t>
      </w:r>
      <w:r>
        <w:rPr>
          <w:rFonts w:hint="eastAsia" w:ascii="宋体" w:hAnsi="宋体" w:cs="宋体"/>
          <w:color w:val="auto"/>
          <w:sz w:val="28"/>
          <w:szCs w:val="28"/>
          <w:highlight w:val="none"/>
        </w:rPr>
        <w:t>（买方）：_________</w:t>
      </w:r>
    </w:p>
    <w:p w14:paraId="7DE5D062">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乙方</w:t>
      </w:r>
      <w:r>
        <w:rPr>
          <w:rFonts w:hint="eastAsia" w:ascii="宋体" w:hAnsi="宋体" w:cs="宋体"/>
          <w:color w:val="auto"/>
          <w:sz w:val="28"/>
          <w:szCs w:val="28"/>
          <w:highlight w:val="none"/>
        </w:rPr>
        <w:t>（卖方）：_________</w:t>
      </w:r>
    </w:p>
    <w:p w14:paraId="6E34260C">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color w:val="auto"/>
          <w:sz w:val="28"/>
          <w:szCs w:val="28"/>
          <w:highlight w:val="none"/>
        </w:rPr>
        <w:t>甲、乙双方根据</w:t>
      </w:r>
      <w:r>
        <w:rPr>
          <w:rFonts w:hint="eastAsia" w:ascii="宋体" w:hAnsi="宋体" w:cs="宋体"/>
          <w:color w:val="auto"/>
          <w:sz w:val="28"/>
          <w:szCs w:val="28"/>
          <w:highlight w:val="none"/>
          <w:u w:val="single"/>
        </w:rPr>
        <w:t>南通市产品质量监督检验所</w:t>
      </w:r>
      <w:r>
        <w:rPr>
          <w:rFonts w:hint="eastAsia" w:ascii="宋体" w:hAnsi="宋体" w:cs="宋体"/>
          <w:color w:val="auto"/>
          <w:sz w:val="28"/>
          <w:szCs w:val="28"/>
          <w:highlight w:val="none"/>
          <w:u w:val="single"/>
          <w:lang w:eastAsia="zh-CN"/>
        </w:rPr>
        <w:t>中压电缆电气性能测试系统采购项目</w:t>
      </w:r>
      <w:r>
        <w:rPr>
          <w:rFonts w:hint="eastAsia" w:ascii="宋体" w:hAnsi="宋体" w:cs="宋体"/>
          <w:color w:val="auto"/>
          <w:sz w:val="28"/>
          <w:szCs w:val="28"/>
          <w:highlight w:val="none"/>
        </w:rPr>
        <w:t>公开招标的结果，签署本合同。</w:t>
      </w:r>
    </w:p>
    <w:p w14:paraId="7FA02C47">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一、合同内容</w:t>
      </w:r>
    </w:p>
    <w:p w14:paraId="06C7B1B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 标的名称：中压电缆电气性能测试系统</w:t>
      </w:r>
    </w:p>
    <w:p w14:paraId="6EB314F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1.2标的质量：满足招标文件需求。</w:t>
      </w:r>
    </w:p>
    <w:p w14:paraId="66A92C3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 标的数量（规模）：详见招标文件及乙方投标文件。</w:t>
      </w:r>
    </w:p>
    <w:p w14:paraId="6D37611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 履行时间（期限）：</w:t>
      </w:r>
    </w:p>
    <w:p w14:paraId="3C34ED4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1.5 履行地点：甲方指定地点。</w:t>
      </w:r>
    </w:p>
    <w:p w14:paraId="4BF3E344">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二、合同价款</w:t>
      </w:r>
    </w:p>
    <w:p w14:paraId="64514AA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2.1 本合同价款为人民币（大写）：</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元整（¥</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w:t>
      </w:r>
    </w:p>
    <w:p w14:paraId="2399B5B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三、技术资料</w:t>
      </w:r>
    </w:p>
    <w:p w14:paraId="76DF7E6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3.1乙方应按招标文件规定的时间向甲方提供使用货物(包含与货物相关的服务)的有关技术资料。</w:t>
      </w:r>
    </w:p>
    <w:p w14:paraId="1F91D10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3.2 没有甲方事先书面同意，乙方不得将由甲方提供的有关合同或任何合同条文、规格、计划、图纸、样品或资料提供给与履行本合同无关的任何其他人。即使向履行本合同有关人员提供，也应注意保密并限于履行合同的必需范围。</w:t>
      </w:r>
    </w:p>
    <w:p w14:paraId="52C1CD43">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四、知识产权</w:t>
      </w:r>
    </w:p>
    <w:p w14:paraId="4B5D95A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4B3709D1">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五、产权担保</w:t>
      </w:r>
    </w:p>
    <w:p w14:paraId="195C790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5.1 乙方保证所交付货物（包含与货物相关的服务）的所有权完全属于乙方且无任何抵押、查封等产权瑕疵。</w:t>
      </w:r>
    </w:p>
    <w:p w14:paraId="58D14CE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b/>
          <w:bCs/>
          <w:color w:val="auto"/>
          <w:sz w:val="22"/>
          <w:szCs w:val="28"/>
          <w:highlight w:val="none"/>
        </w:rPr>
      </w:pPr>
      <w:r>
        <w:rPr>
          <w:rFonts w:hint="eastAsia" w:ascii="宋体" w:hAnsi="宋体" w:cs="宋体"/>
          <w:b/>
          <w:bCs/>
          <w:color w:val="auto"/>
          <w:sz w:val="28"/>
          <w:szCs w:val="28"/>
          <w:highlight w:val="none"/>
        </w:rPr>
        <w:t>六、合同转包或分包</w:t>
      </w:r>
    </w:p>
    <w:p w14:paraId="70C725D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6.1乙方不得将合同标的转包给他人履行。</w:t>
      </w:r>
    </w:p>
    <w:p w14:paraId="7F6A95C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6.2乙方不得将合同标的分包给他人履行。</w:t>
      </w:r>
    </w:p>
    <w:p w14:paraId="7D1B321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6.3乙方如有转包或未经甲方书面同意的分包行为，甲方有权终止本合同。</w:t>
      </w:r>
    </w:p>
    <w:p w14:paraId="38C82E9E">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七、合同款项支付</w:t>
      </w:r>
    </w:p>
    <w:p w14:paraId="75E9541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7.1合同款项的支付方式及进度安排</w:t>
      </w:r>
    </w:p>
    <w:p w14:paraId="1496C852">
      <w:pPr>
        <w:pBdr>
          <w:top w:val="none" w:color="000000" w:sz="0" w:space="0"/>
          <w:left w:val="none" w:color="000000" w:sz="0" w:space="0"/>
          <w:bottom w:val="none" w:color="000000" w:sz="0" w:space="0"/>
          <w:right w:val="none" w:color="000000" w:sz="0" w:space="0"/>
        </w:pBdr>
        <w:spacing w:line="499" w:lineRule="atLeast"/>
        <w:ind w:firstLine="42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合同签订后支付合同价</w:t>
      </w:r>
      <w:r>
        <w:rPr>
          <w:rFonts w:hint="eastAsia" w:ascii="宋体" w:hAnsi="宋体" w:cs="宋体"/>
          <w:color w:val="auto"/>
          <w:sz w:val="28"/>
          <w:szCs w:val="28"/>
          <w:highlight w:val="none"/>
          <w:lang w:val="zh-CN" w:eastAsia="zh-CN"/>
        </w:rPr>
        <w:t>4</w:t>
      </w:r>
      <w:r>
        <w:rPr>
          <w:rFonts w:hint="eastAsia" w:ascii="宋体" w:hAnsi="宋体" w:cs="宋体"/>
          <w:color w:val="auto"/>
          <w:sz w:val="28"/>
          <w:szCs w:val="28"/>
          <w:highlight w:val="none"/>
          <w:lang w:val="zh-CN"/>
        </w:rPr>
        <w:t>0%的预付款，</w:t>
      </w:r>
      <w:r>
        <w:rPr>
          <w:rFonts w:hint="eastAsia" w:ascii="宋体" w:hAnsi="宋体" w:cs="宋体"/>
          <w:color w:val="auto"/>
          <w:sz w:val="28"/>
          <w:szCs w:val="28"/>
          <w:highlight w:val="none"/>
          <w:lang w:val="zh-CN" w:eastAsia="zh-CN"/>
        </w:rPr>
        <w:t>全部</w:t>
      </w:r>
      <w:r>
        <w:rPr>
          <w:rFonts w:hint="eastAsia" w:ascii="宋体" w:hAnsi="宋体" w:cs="宋体"/>
          <w:color w:val="auto"/>
          <w:sz w:val="28"/>
          <w:szCs w:val="28"/>
          <w:highlight w:val="none"/>
          <w:lang w:val="zh-CN"/>
        </w:rPr>
        <w:t>货到并安装、调试、验收合格之后一周内支付合同价的</w:t>
      </w:r>
      <w:r>
        <w:rPr>
          <w:rFonts w:hint="eastAsia" w:ascii="宋体" w:hAnsi="宋体" w:cs="宋体"/>
          <w:color w:val="auto"/>
          <w:sz w:val="28"/>
          <w:szCs w:val="28"/>
          <w:highlight w:val="none"/>
          <w:lang w:val="zh-CN" w:eastAsia="zh-CN"/>
        </w:rPr>
        <w:t>30</w:t>
      </w:r>
      <w:r>
        <w:rPr>
          <w:rFonts w:hint="eastAsia" w:ascii="宋体" w:hAnsi="宋体" w:cs="宋体"/>
          <w:color w:val="auto"/>
          <w:sz w:val="28"/>
          <w:szCs w:val="28"/>
          <w:highlight w:val="none"/>
          <w:lang w:val="zh-CN"/>
        </w:rPr>
        <w:t>%，剩余合同价</w:t>
      </w:r>
      <w:r>
        <w:rPr>
          <w:rFonts w:hint="eastAsia" w:ascii="宋体" w:hAnsi="宋体" w:cs="宋体"/>
          <w:color w:val="auto"/>
          <w:sz w:val="28"/>
          <w:szCs w:val="28"/>
          <w:highlight w:val="none"/>
          <w:lang w:val="zh-CN" w:eastAsia="zh-CN"/>
        </w:rPr>
        <w:t>3</w:t>
      </w:r>
      <w:r>
        <w:rPr>
          <w:rFonts w:hint="eastAsia" w:ascii="宋体" w:hAnsi="宋体" w:cs="宋体"/>
          <w:color w:val="auto"/>
          <w:sz w:val="28"/>
          <w:szCs w:val="28"/>
          <w:highlight w:val="none"/>
          <w:lang w:val="zh-CN"/>
        </w:rPr>
        <w:t>0%验收合格满</w:t>
      </w:r>
      <w:r>
        <w:rPr>
          <w:rFonts w:hint="eastAsia" w:ascii="宋体" w:hAnsi="宋体" w:cs="宋体"/>
          <w:color w:val="auto"/>
          <w:sz w:val="28"/>
          <w:szCs w:val="28"/>
          <w:highlight w:val="none"/>
          <w:lang w:val="zh-CN" w:eastAsia="zh-CN"/>
        </w:rPr>
        <w:t>1年</w:t>
      </w:r>
      <w:r>
        <w:rPr>
          <w:rFonts w:hint="eastAsia" w:ascii="宋体" w:hAnsi="宋体" w:cs="宋体"/>
          <w:color w:val="auto"/>
          <w:sz w:val="28"/>
          <w:szCs w:val="28"/>
          <w:highlight w:val="none"/>
          <w:lang w:val="zh-CN"/>
        </w:rPr>
        <w:t>后一周内支付。</w:t>
      </w:r>
    </w:p>
    <w:p w14:paraId="4A90BD83">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八、税费</w:t>
      </w:r>
    </w:p>
    <w:p w14:paraId="6D924495">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8.1本合同所涉及的一切税费均由乙方负担。</w:t>
      </w:r>
    </w:p>
    <w:p w14:paraId="419BDD35">
      <w:pPr>
        <w:spacing w:line="52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九、履约保证金</w:t>
      </w:r>
    </w:p>
    <w:p w14:paraId="3FFBCF7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9.1本项目中标后的履约保证金为项目中标价的</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3CB2684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9.2乙方全部履约合同义务，经甲方验收合格无质量、进度等问题的，甲方在本项目验收合格并正常运行后30日内一次性退还履约保证金，甲方若逾期退还履约保证金的，按照逾期部分的每日0.05%支付违约金；</w:t>
      </w:r>
    </w:p>
    <w:p w14:paraId="510D84E1">
      <w:pPr>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rPr>
        <w:t>9.3发生以下情况的，履约保证金不予退还或部分退还：</w:t>
      </w:r>
    </w:p>
    <w:p w14:paraId="0E64BEB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37666C5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2957A3C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9.4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网址：www.ccgp-jiangsu.gov.cn/jisngsu/zlxz/)。 </w:t>
      </w:r>
    </w:p>
    <w:p w14:paraId="740B53EF">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十、质量保修范围和保修期及售后服务</w:t>
      </w:r>
    </w:p>
    <w:p w14:paraId="2363EE8D">
      <w:pPr>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1 设备生产厂家免费保修期</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乙方</w:t>
      </w:r>
      <w:r>
        <w:rPr>
          <w:rFonts w:hint="eastAsia" w:ascii="宋体" w:hAnsi="宋体" w:cs="宋体"/>
          <w:color w:val="auto"/>
          <w:sz w:val="28"/>
          <w:szCs w:val="28"/>
          <w:highlight w:val="none"/>
          <w:lang w:eastAsia="zh-CN"/>
        </w:rPr>
        <w:t>中标后签订合同前提供</w:t>
      </w:r>
      <w:r>
        <w:rPr>
          <w:rFonts w:hint="eastAsia" w:ascii="宋体" w:hAnsi="宋体" w:cs="宋体"/>
          <w:color w:val="auto"/>
          <w:sz w:val="28"/>
          <w:szCs w:val="28"/>
          <w:highlight w:val="none"/>
        </w:rPr>
        <w:t>生产厂家出具免费维保证明原件</w:t>
      </w:r>
      <w:r>
        <w:rPr>
          <w:rFonts w:hint="eastAsia" w:ascii="宋体" w:hAnsi="宋体" w:cs="宋体"/>
          <w:color w:val="auto"/>
          <w:sz w:val="28"/>
          <w:szCs w:val="28"/>
          <w:highlight w:val="none"/>
          <w:lang w:eastAsia="zh-CN"/>
        </w:rPr>
        <w:t>，不能提供或未按要求提供的</w:t>
      </w:r>
      <w:r>
        <w:rPr>
          <w:rFonts w:hint="eastAsia" w:ascii="宋体" w:hAnsi="宋体" w:cs="宋体"/>
          <w:color w:val="auto"/>
          <w:sz w:val="28"/>
          <w:szCs w:val="28"/>
          <w:highlight w:val="none"/>
          <w:lang w:val="en-US" w:eastAsia="zh-CN"/>
        </w:rPr>
        <w:t>甲方</w:t>
      </w:r>
      <w:r>
        <w:rPr>
          <w:rFonts w:hint="eastAsia" w:ascii="宋体" w:hAnsi="宋体" w:cs="宋体"/>
          <w:color w:val="auto"/>
          <w:sz w:val="28"/>
          <w:szCs w:val="28"/>
          <w:highlight w:val="none"/>
          <w:lang w:eastAsia="zh-CN"/>
        </w:rPr>
        <w:t>有权拒签合同。</w:t>
      </w:r>
    </w:p>
    <w:p w14:paraId="6F53B65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.2 质保期内每年提供一次原厂技术维护。</w:t>
      </w:r>
    </w:p>
    <w:p w14:paraId="4EF34AE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.3 仪器出现故障后，一般问题维修响应时间不超过24小时，重大问题不超过48小时。</w:t>
      </w:r>
    </w:p>
    <w:p w14:paraId="53526A7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.4设备使用年限内（本次所投产品的年限为10年），</w:t>
      </w:r>
      <w:r>
        <w:rPr>
          <w:rFonts w:hint="eastAsia" w:ascii="宋体" w:hAnsi="宋体" w:cs="宋体"/>
          <w:color w:val="auto"/>
          <w:sz w:val="28"/>
          <w:szCs w:val="28"/>
          <w:highlight w:val="none"/>
          <w:lang w:val="en-US" w:eastAsia="zh-CN"/>
        </w:rPr>
        <w:t>乙方</w:t>
      </w:r>
      <w:r>
        <w:rPr>
          <w:rFonts w:hint="eastAsia" w:ascii="宋体" w:hAnsi="宋体" w:cs="宋体"/>
          <w:color w:val="auto"/>
          <w:sz w:val="28"/>
          <w:szCs w:val="28"/>
          <w:highlight w:val="none"/>
          <w:lang w:eastAsia="zh-CN"/>
        </w:rPr>
        <w:t>中标后签订合同前提供</w:t>
      </w:r>
      <w:r>
        <w:rPr>
          <w:rFonts w:hint="eastAsia" w:ascii="宋体" w:hAnsi="宋体" w:cs="宋体"/>
          <w:color w:val="auto"/>
          <w:sz w:val="28"/>
          <w:szCs w:val="28"/>
          <w:highlight w:val="none"/>
        </w:rPr>
        <w:t>生产厂家承诺保证配件、耗材供应</w:t>
      </w:r>
      <w:r>
        <w:rPr>
          <w:rFonts w:hint="eastAsia" w:ascii="宋体" w:hAnsi="宋体" w:cs="宋体"/>
          <w:color w:val="auto"/>
          <w:sz w:val="28"/>
          <w:szCs w:val="28"/>
          <w:highlight w:val="none"/>
          <w:lang w:eastAsia="zh-CN"/>
        </w:rPr>
        <w:t>的承诺函原件，不能提供或未按要求提供的</w:t>
      </w:r>
      <w:r>
        <w:rPr>
          <w:rFonts w:hint="eastAsia" w:ascii="宋体" w:hAnsi="宋体" w:cs="宋体"/>
          <w:color w:val="auto"/>
          <w:sz w:val="28"/>
          <w:szCs w:val="28"/>
          <w:highlight w:val="none"/>
          <w:lang w:val="en-US" w:eastAsia="zh-CN"/>
        </w:rPr>
        <w:t>甲方</w:t>
      </w:r>
      <w:r>
        <w:rPr>
          <w:rFonts w:hint="eastAsia" w:ascii="宋体" w:hAnsi="宋体" w:cs="宋体"/>
          <w:color w:val="auto"/>
          <w:sz w:val="28"/>
          <w:szCs w:val="28"/>
          <w:highlight w:val="none"/>
          <w:lang w:eastAsia="zh-CN"/>
        </w:rPr>
        <w:t>有权拒签合同。</w:t>
      </w:r>
    </w:p>
    <w:p w14:paraId="6329D6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.5提供中文操作、培训教材、保养、维修手册。</w:t>
      </w:r>
    </w:p>
    <w:p w14:paraId="3E143BCC">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十一、项目验收</w:t>
      </w:r>
    </w:p>
    <w:p w14:paraId="608DAE2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11.1 甲方依法组织履约验收工作。</w:t>
      </w:r>
    </w:p>
    <w:p w14:paraId="780ECC6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BB5752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11.3 对于实际使用人和甲方分离的项目，甲方邀请实际使用人参与验收。</w:t>
      </w:r>
    </w:p>
    <w:p w14:paraId="14D82CF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11.4 如有必要，甲方邀请参加本项目的其他供应商或第三方专业机构及专家参与验收，相关意见将作为验收书的参考资料。</w:t>
      </w:r>
    </w:p>
    <w:p w14:paraId="2F12512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w:t>
      </w:r>
    </w:p>
    <w:p w14:paraId="5EBAE83C">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88A5756">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十二、货物的包装、发运及运输</w:t>
      </w:r>
    </w:p>
    <w:p w14:paraId="1C7BEF60">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C3678B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12.2 使用说明书、质量检验证明书、随配附件和工具以及清单一并附于货物内。</w:t>
      </w:r>
    </w:p>
    <w:p w14:paraId="46BB71E5">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12.3 乙方在货物发运手续办理完毕后24小时内或货到甲方48小时前书面通知甲方，以准备接货。</w:t>
      </w:r>
    </w:p>
    <w:p w14:paraId="7F9B7B5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12.4 货物在交付甲方前发生的风险均由乙方承担。</w:t>
      </w:r>
    </w:p>
    <w:p w14:paraId="394C185A">
      <w:pPr>
        <w:pBdr>
          <w:top w:val="none" w:color="000000" w:sz="0" w:space="0"/>
          <w:left w:val="none" w:color="000000" w:sz="0" w:space="0"/>
          <w:bottom w:val="none" w:color="000000" w:sz="0" w:space="0"/>
          <w:right w:val="none" w:color="000000" w:sz="0" w:space="0"/>
        </w:pBdr>
        <w:spacing w:line="499" w:lineRule="atLeast"/>
        <w:ind w:right="26" w:firstLine="420"/>
        <w:rPr>
          <w:rFonts w:ascii="宋体" w:hAnsi="宋体" w:cs="宋体"/>
          <w:color w:val="auto"/>
          <w:sz w:val="22"/>
          <w:szCs w:val="28"/>
          <w:highlight w:val="none"/>
        </w:rPr>
      </w:pPr>
      <w:r>
        <w:rPr>
          <w:rFonts w:hint="eastAsia" w:ascii="宋体" w:hAnsi="宋体" w:cs="宋体"/>
          <w:color w:val="auto"/>
          <w:sz w:val="28"/>
          <w:szCs w:val="28"/>
          <w:highlight w:val="none"/>
        </w:rPr>
        <w:t>12.5 货物在规定的交付期限内由乙方送达甲方指定地点视为交付，乙方同时需书面通知甲方货物已送达。</w:t>
      </w:r>
    </w:p>
    <w:p w14:paraId="39F358BD">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十三、违约责任</w:t>
      </w:r>
    </w:p>
    <w:p w14:paraId="63922DD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13.1 甲方无正当理由拒收货物的，甲方向乙方偿付拒收货款总值</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的违约金。</w:t>
      </w:r>
    </w:p>
    <w:p w14:paraId="667D018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13.2 甲方无故逾期验收和办理货款支付手续的,甲方应按逾期付款总额每日</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向乙方支付违约金。</w:t>
      </w:r>
    </w:p>
    <w:p w14:paraId="68DF68E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13.3 乙方逾期交付货物的</w:t>
      </w:r>
      <w:r>
        <w:rPr>
          <w:rFonts w:hint="eastAsia" w:ascii="宋体" w:hAnsi="宋体" w:cs="宋体"/>
          <w:color w:val="auto"/>
          <w:sz w:val="28"/>
          <w:szCs w:val="28"/>
          <w:highlight w:val="none"/>
          <w:lang w:eastAsia="zh-CN"/>
        </w:rPr>
        <w:t>扣除全部履约保证金</w:t>
      </w:r>
      <w:r>
        <w:rPr>
          <w:rFonts w:hint="eastAsia" w:ascii="宋体" w:hAnsi="宋体" w:cs="宋体"/>
          <w:color w:val="auto"/>
          <w:sz w:val="28"/>
          <w:szCs w:val="28"/>
          <w:highlight w:val="none"/>
        </w:rPr>
        <w:t>，乙方</w:t>
      </w:r>
      <w:r>
        <w:rPr>
          <w:rFonts w:hint="eastAsia" w:ascii="宋体" w:hAnsi="宋体" w:cs="宋体"/>
          <w:color w:val="auto"/>
          <w:sz w:val="28"/>
          <w:szCs w:val="28"/>
          <w:highlight w:val="none"/>
          <w:lang w:eastAsia="zh-CN"/>
        </w:rPr>
        <w:t>另</w:t>
      </w:r>
      <w:r>
        <w:rPr>
          <w:rFonts w:hint="eastAsia" w:ascii="宋体" w:hAnsi="宋体" w:cs="宋体"/>
          <w:color w:val="auto"/>
          <w:sz w:val="28"/>
          <w:szCs w:val="28"/>
          <w:highlight w:val="none"/>
        </w:rPr>
        <w:t>应按逾期交货总额每日千分之六向甲方支付违约金，由甲方从待付货款中扣除。</w:t>
      </w:r>
      <w:r>
        <w:rPr>
          <w:rFonts w:hint="eastAsia" w:ascii="宋体" w:hAnsi="宋体" w:cs="宋体"/>
          <w:color w:val="auto"/>
          <w:sz w:val="28"/>
          <w:szCs w:val="28"/>
          <w:highlight w:val="none"/>
          <w:lang w:eastAsia="zh-CN"/>
        </w:rPr>
        <w:t>乙方</w:t>
      </w:r>
      <w:r>
        <w:rPr>
          <w:rFonts w:hint="eastAsia" w:ascii="宋体" w:hAnsi="宋体" w:cs="宋体"/>
          <w:color w:val="auto"/>
          <w:sz w:val="28"/>
          <w:szCs w:val="28"/>
          <w:highlight w:val="none"/>
        </w:rPr>
        <w:t>未能在</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日前交货的，</w:t>
      </w:r>
      <w:r>
        <w:rPr>
          <w:rFonts w:hint="eastAsia" w:ascii="宋体" w:hAnsi="宋体" w:cs="宋体"/>
          <w:color w:val="auto"/>
          <w:sz w:val="28"/>
          <w:szCs w:val="28"/>
          <w:highlight w:val="none"/>
          <w:lang w:eastAsia="zh-CN"/>
        </w:rPr>
        <w:t>甲方</w:t>
      </w:r>
      <w:r>
        <w:rPr>
          <w:rFonts w:hint="eastAsia" w:ascii="宋体" w:hAnsi="宋体" w:cs="宋体"/>
          <w:color w:val="auto"/>
          <w:sz w:val="28"/>
          <w:szCs w:val="28"/>
          <w:highlight w:val="none"/>
        </w:rPr>
        <w:t>拒收货物</w:t>
      </w:r>
      <w:r>
        <w:rPr>
          <w:rFonts w:hint="eastAsia" w:ascii="宋体" w:hAnsi="宋体" w:cs="宋体"/>
          <w:color w:val="auto"/>
          <w:sz w:val="28"/>
          <w:szCs w:val="28"/>
          <w:highlight w:val="none"/>
          <w:lang w:eastAsia="zh-CN"/>
        </w:rPr>
        <w:t>并终止合同，乙方</w:t>
      </w:r>
      <w:r>
        <w:rPr>
          <w:rFonts w:hint="eastAsia" w:ascii="宋体" w:hAnsi="宋体" w:cs="宋体"/>
          <w:color w:val="auto"/>
          <w:sz w:val="28"/>
          <w:szCs w:val="28"/>
          <w:highlight w:val="none"/>
        </w:rPr>
        <w:t>并按</w:t>
      </w:r>
      <w:r>
        <w:rPr>
          <w:rFonts w:hint="eastAsia" w:ascii="宋体" w:hAnsi="宋体" w:cs="宋体"/>
          <w:color w:val="auto"/>
          <w:sz w:val="28"/>
          <w:szCs w:val="28"/>
          <w:highlight w:val="none"/>
          <w:lang w:eastAsia="zh-CN"/>
        </w:rPr>
        <w:t>合同价</w:t>
      </w:r>
      <w:r>
        <w:rPr>
          <w:rFonts w:hint="eastAsia" w:ascii="宋体" w:hAnsi="宋体" w:cs="宋体"/>
          <w:color w:val="auto"/>
          <w:sz w:val="28"/>
          <w:szCs w:val="28"/>
          <w:highlight w:val="none"/>
        </w:rPr>
        <w:t>的50%赔偿</w:t>
      </w:r>
      <w:r>
        <w:rPr>
          <w:rFonts w:hint="eastAsia" w:ascii="宋体" w:hAnsi="宋体" w:cs="宋体"/>
          <w:color w:val="auto"/>
          <w:sz w:val="28"/>
          <w:szCs w:val="28"/>
          <w:highlight w:val="none"/>
          <w:lang w:eastAsia="zh-CN"/>
        </w:rPr>
        <w:t>给甲方</w:t>
      </w:r>
      <w:r>
        <w:rPr>
          <w:rFonts w:hint="eastAsia" w:ascii="宋体" w:hAnsi="宋体" w:cs="宋体"/>
          <w:color w:val="auto"/>
          <w:sz w:val="28"/>
          <w:szCs w:val="28"/>
          <w:highlight w:val="none"/>
        </w:rPr>
        <w:t xml:space="preserve">。 </w:t>
      </w:r>
    </w:p>
    <w:p w14:paraId="1A5A3F5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且无需支付乙方任何费用。</w:t>
      </w:r>
    </w:p>
    <w:p w14:paraId="043A2CBF">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十四、不可抗力事件处理</w:t>
      </w:r>
    </w:p>
    <w:p w14:paraId="02AE39A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14.1 在合同有效期内，任何一方因不可抗力事件导致不能履行合同，则合同履行期可延长，其延长期与不可抗力影响期相同。</w:t>
      </w:r>
    </w:p>
    <w:p w14:paraId="0DAB769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14.2 不可抗力事件发生后，应立即通知对方，并寄送有关权威机构出具的证明。</w:t>
      </w:r>
    </w:p>
    <w:p w14:paraId="1C4D2A4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14.3 不可抗力事件延续120天以上，甲乙双方应通过友好协商，确定是否继续履行合同。</w:t>
      </w:r>
    </w:p>
    <w:p w14:paraId="23437D92">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十五、解决争议的方法</w:t>
      </w:r>
    </w:p>
    <w:p w14:paraId="65CBE80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15.1甲乙双方因合同签订、履行而发生的一切争议，应通过友好协商解决。如协商不成的，由甲方所在地人民法院管辖。</w:t>
      </w:r>
    </w:p>
    <w:p w14:paraId="0CCB670C">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十六、合同生效及其它</w:t>
      </w:r>
    </w:p>
    <w:p w14:paraId="42B5B66C">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16.1 合同经甲乙双方法定代表人或授权委托代表人签字并加盖单位公章后生效。</w:t>
      </w:r>
    </w:p>
    <w:p w14:paraId="00F6628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16.2本合同未尽事宜，遵照《中华人民共和国民法典》《中华人民共和国政府采购法》有关条文执行。</w:t>
      </w:r>
    </w:p>
    <w:p w14:paraId="73A0B41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16.3 本合同正本一式两份，具有同等法律效力，甲方、乙方各执一份。</w:t>
      </w:r>
    </w:p>
    <w:p w14:paraId="44F5978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（以下无正文）</w:t>
      </w:r>
    </w:p>
    <w:p w14:paraId="23134E0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w:t>
      </w:r>
    </w:p>
    <w:p w14:paraId="2C0F3A3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xml:space="preserve">甲方（盖章）：              乙方（盖章）： </w:t>
      </w:r>
    </w:p>
    <w:p w14:paraId="06FEA34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xml:space="preserve">地址：                     地址： </w:t>
      </w:r>
    </w:p>
    <w:p w14:paraId="4636D8C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highlight w:val="none"/>
        </w:rPr>
      </w:pPr>
      <w:r>
        <w:rPr>
          <w:rFonts w:hint="eastAsia" w:ascii="宋体" w:hAnsi="宋体" w:cs="宋体"/>
          <w:color w:val="auto"/>
          <w:sz w:val="28"/>
          <w:szCs w:val="28"/>
          <w:highlight w:val="none"/>
        </w:rPr>
        <w:t>法定代表人或授权代表：      法定代表人或授权代表：</w:t>
      </w:r>
    </w:p>
    <w:p w14:paraId="655FEB3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联系电话：               联系电话：</w:t>
      </w:r>
    </w:p>
    <w:p w14:paraId="01BFD730">
      <w:pPr>
        <w:pBdr>
          <w:top w:val="none" w:color="000000" w:sz="0" w:space="0"/>
          <w:left w:val="none" w:color="000000" w:sz="0" w:space="0"/>
          <w:bottom w:val="none" w:color="000000" w:sz="0" w:space="0"/>
          <w:right w:val="none" w:color="000000" w:sz="0" w:space="0"/>
        </w:pBdr>
        <w:spacing w:line="499" w:lineRule="atLeast"/>
        <w:ind w:firstLine="367"/>
        <w:jc w:val="center"/>
        <w:rPr>
          <w:rFonts w:ascii="宋体" w:hAnsi="宋体" w:cs="宋体"/>
          <w:color w:val="auto"/>
          <w:sz w:val="22"/>
          <w:szCs w:val="28"/>
          <w:highlight w:val="none"/>
        </w:rPr>
      </w:pPr>
      <w:r>
        <w:rPr>
          <w:rFonts w:hint="eastAsia" w:ascii="宋体" w:hAnsi="宋体" w:cs="宋体"/>
          <w:color w:val="auto"/>
          <w:sz w:val="22"/>
          <w:szCs w:val="28"/>
          <w:highlight w:val="none"/>
        </w:rPr>
        <w:t>                 </w:t>
      </w:r>
      <w:r>
        <w:rPr>
          <w:rFonts w:hint="eastAsia" w:ascii="宋体" w:hAnsi="宋体" w:cs="宋体"/>
          <w:color w:val="auto"/>
          <w:sz w:val="28"/>
          <w:szCs w:val="28"/>
          <w:highlight w:val="none"/>
        </w:rPr>
        <w:t>   </w:t>
      </w:r>
    </w:p>
    <w:p w14:paraId="775F1DE1">
      <w:pPr>
        <w:pBdr>
          <w:top w:val="none" w:color="000000" w:sz="0" w:space="0"/>
          <w:left w:val="none" w:color="000000" w:sz="0" w:space="0"/>
          <w:bottom w:val="none" w:color="000000" w:sz="0" w:space="0"/>
          <w:right w:val="none" w:color="000000" w:sz="0" w:space="0"/>
        </w:pBdr>
        <w:spacing w:line="460" w:lineRule="exact"/>
        <w:ind w:firstLine="560" w:firstLineChars="200"/>
        <w:jc w:val="left"/>
        <w:rPr>
          <w:rFonts w:ascii="宋体" w:hAnsi="宋体" w:cs="宋体"/>
          <w:b/>
          <w:color w:val="auto"/>
          <w:sz w:val="32"/>
          <w:szCs w:val="32"/>
          <w:highlight w:val="none"/>
        </w:rPr>
      </w:pPr>
      <w:r>
        <w:rPr>
          <w:rFonts w:hint="eastAsia" w:ascii="宋体" w:hAnsi="宋体" w:cs="宋体"/>
          <w:color w:val="auto"/>
          <w:sz w:val="28"/>
          <w:szCs w:val="28"/>
          <w:highlight w:val="none"/>
        </w:rPr>
        <w:t>              签订日期：年  月 日</w:t>
      </w:r>
    </w:p>
    <w:p w14:paraId="14EF23F4">
      <w:pPr>
        <w:spacing w:line="460" w:lineRule="exact"/>
        <w:jc w:val="center"/>
        <w:outlineLvl w:val="0"/>
        <w:rPr>
          <w:rFonts w:ascii="宋体" w:hAnsi="宋体" w:cs="宋体"/>
          <w:bCs/>
          <w:color w:val="auto"/>
          <w:sz w:val="36"/>
          <w:szCs w:val="36"/>
          <w:highlight w:val="none"/>
        </w:rPr>
      </w:pPr>
      <w:r>
        <w:rPr>
          <w:rFonts w:hint="eastAsia" w:ascii="宋体" w:hAnsi="宋体" w:cs="宋体"/>
          <w:bCs/>
          <w:color w:val="auto"/>
          <w:sz w:val="24"/>
          <w:highlight w:val="none"/>
        </w:rPr>
        <w:br w:type="page"/>
      </w:r>
      <w:bookmarkStart w:id="148" w:name="_Toc30320"/>
      <w:bookmarkStart w:id="149" w:name="_Toc26259"/>
      <w:r>
        <w:rPr>
          <w:rFonts w:hint="eastAsia" w:ascii="宋体" w:hAnsi="宋体" w:cs="宋体"/>
          <w:bCs/>
          <w:color w:val="auto"/>
          <w:sz w:val="36"/>
          <w:szCs w:val="36"/>
          <w:highlight w:val="none"/>
        </w:rPr>
        <w:t>第四部分  开标和评标</w:t>
      </w:r>
      <w:bookmarkEnd w:id="148"/>
      <w:bookmarkEnd w:id="149"/>
    </w:p>
    <w:p w14:paraId="43717156">
      <w:pPr>
        <w:pStyle w:val="79"/>
        <w:snapToGrid w:val="0"/>
        <w:spacing w:before="0" w:after="0" w:line="460" w:lineRule="exact"/>
        <w:ind w:left="0" w:right="0" w:firstLine="562" w:firstLineChars="200"/>
        <w:jc w:val="left"/>
        <w:outlineLvl w:val="1"/>
        <w:rPr>
          <w:rFonts w:ascii="宋体" w:hAnsi="宋体" w:cs="宋体"/>
          <w:b/>
          <w:color w:val="auto"/>
          <w:kern w:val="2"/>
          <w:sz w:val="28"/>
          <w:szCs w:val="28"/>
          <w:highlight w:val="none"/>
        </w:rPr>
      </w:pPr>
      <w:bookmarkStart w:id="150" w:name="_Toc29131"/>
      <w:r>
        <w:rPr>
          <w:rFonts w:hint="eastAsia" w:ascii="宋体" w:hAnsi="宋体" w:cs="宋体"/>
          <w:b/>
          <w:color w:val="auto"/>
          <w:kern w:val="2"/>
          <w:sz w:val="28"/>
          <w:szCs w:val="28"/>
          <w:highlight w:val="none"/>
        </w:rPr>
        <w:t>一、开标</w:t>
      </w:r>
      <w:bookmarkEnd w:id="150"/>
    </w:p>
    <w:p w14:paraId="4C05D9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不见面远程开标模式：开标当天各投标人在各自地点通过苏采云系统及时登录不见面开标大厅，参加投标活动。</w:t>
      </w:r>
    </w:p>
    <w:p w14:paraId="3E8EA9E8">
      <w:pPr>
        <w:pStyle w:val="79"/>
        <w:snapToGrid w:val="0"/>
        <w:spacing w:before="0" w:after="0" w:line="460" w:lineRule="exact"/>
        <w:ind w:left="0" w:right="0" w:firstLine="562" w:firstLineChars="200"/>
        <w:jc w:val="left"/>
        <w:outlineLvl w:val="1"/>
        <w:rPr>
          <w:rFonts w:ascii="宋体" w:hAnsi="宋体" w:cs="宋体"/>
          <w:b/>
          <w:color w:val="auto"/>
          <w:kern w:val="2"/>
          <w:sz w:val="28"/>
          <w:szCs w:val="28"/>
          <w:highlight w:val="none"/>
        </w:rPr>
      </w:pPr>
      <w:bookmarkStart w:id="151" w:name="_Toc28154"/>
      <w:r>
        <w:rPr>
          <w:rFonts w:hint="eastAsia" w:ascii="宋体" w:hAnsi="宋体" w:cs="宋体"/>
          <w:b/>
          <w:color w:val="auto"/>
          <w:kern w:val="2"/>
          <w:sz w:val="28"/>
          <w:szCs w:val="28"/>
          <w:highlight w:val="none"/>
        </w:rPr>
        <w:t>二、评标流程和评标标准</w:t>
      </w:r>
      <w:bookmarkEnd w:id="151"/>
    </w:p>
    <w:p w14:paraId="06F2C23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采用综合评分法。分资格审查、商务技术标、价格标、三部分评审，总分值为100分，加分和减分因素除外。</w:t>
      </w:r>
    </w:p>
    <w:p w14:paraId="55BDBC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68EFBBA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38F101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066258E8">
      <w:pPr>
        <w:adjustRightInd w:val="0"/>
        <w:snapToGrid w:val="0"/>
        <w:spacing w:line="460" w:lineRule="exact"/>
        <w:ind w:firstLine="562" w:firstLineChars="200"/>
        <w:outlineLvl w:val="2"/>
        <w:rPr>
          <w:rFonts w:ascii="宋体" w:hAnsi="宋体" w:cs="宋体"/>
          <w:b/>
          <w:color w:val="auto"/>
          <w:sz w:val="28"/>
          <w:szCs w:val="28"/>
          <w:highlight w:val="none"/>
        </w:rPr>
      </w:pPr>
      <w:bookmarkStart w:id="152" w:name="_Toc13980"/>
      <w:r>
        <w:rPr>
          <w:rFonts w:hint="eastAsia" w:ascii="宋体" w:hAnsi="宋体" w:cs="宋体"/>
          <w:b/>
          <w:color w:val="auto"/>
          <w:sz w:val="28"/>
          <w:szCs w:val="28"/>
          <w:highlight w:val="none"/>
        </w:rPr>
        <w:t>（一）招标人（代表）对投标人资格进行审查。</w:t>
      </w:r>
      <w:bookmarkEnd w:id="152"/>
    </w:p>
    <w:p w14:paraId="3D8AF432">
      <w:pPr>
        <w:pStyle w:val="83"/>
        <w:adjustRightInd w:val="0"/>
        <w:snapToGrid w:val="0"/>
        <w:spacing w:line="460" w:lineRule="exact"/>
        <w:ind w:firstLine="560" w:firstLineChars="200"/>
        <w:rPr>
          <w:rFonts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73DE491E">
      <w:pPr>
        <w:adjustRightInd w:val="0"/>
        <w:snapToGrid w:val="0"/>
        <w:spacing w:line="460" w:lineRule="exact"/>
        <w:ind w:firstLine="562" w:firstLineChars="200"/>
        <w:jc w:val="left"/>
        <w:outlineLvl w:val="2"/>
        <w:rPr>
          <w:rFonts w:ascii="宋体" w:hAnsi="宋体" w:cs="宋体"/>
          <w:b/>
          <w:color w:val="auto"/>
          <w:sz w:val="28"/>
          <w:szCs w:val="28"/>
          <w:highlight w:val="none"/>
        </w:rPr>
      </w:pPr>
      <w:bookmarkStart w:id="153" w:name="_Toc8474"/>
      <w:r>
        <w:rPr>
          <w:rFonts w:hint="eastAsia" w:ascii="宋体" w:hAnsi="宋体" w:cs="宋体"/>
          <w:b/>
          <w:color w:val="auto"/>
          <w:sz w:val="28"/>
          <w:szCs w:val="28"/>
          <w:highlight w:val="none"/>
        </w:rPr>
        <w:t>（二）评标委员会对符合资格投标人的投标文件进行符合性审查。</w:t>
      </w:r>
      <w:bookmarkEnd w:id="153"/>
    </w:p>
    <w:p w14:paraId="75649D3C">
      <w:pPr>
        <w:pStyle w:val="83"/>
        <w:adjustRightInd w:val="0"/>
        <w:snapToGrid w:val="0"/>
        <w:spacing w:line="460" w:lineRule="exact"/>
        <w:ind w:firstLine="560" w:firstLineChars="200"/>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p>
    <w:p w14:paraId="761F22FA">
      <w:pPr>
        <w:adjustRightInd w:val="0"/>
        <w:snapToGrid w:val="0"/>
        <w:spacing w:line="460" w:lineRule="exact"/>
        <w:ind w:firstLine="562" w:firstLineChars="200"/>
        <w:jc w:val="left"/>
        <w:outlineLvl w:val="2"/>
        <w:rPr>
          <w:rFonts w:ascii="宋体" w:hAnsi="宋体" w:cs="宋体"/>
          <w:color w:val="auto"/>
          <w:sz w:val="28"/>
          <w:szCs w:val="28"/>
          <w:highlight w:val="none"/>
          <w:lang w:val="zh-CN"/>
        </w:rPr>
      </w:pPr>
      <w:bookmarkStart w:id="154" w:name="_Toc24736"/>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70</w:t>
      </w:r>
      <w:r>
        <w:rPr>
          <w:rFonts w:hint="eastAsia" w:ascii="宋体" w:hAnsi="宋体" w:cs="宋体"/>
          <w:color w:val="auto"/>
          <w:sz w:val="28"/>
          <w:szCs w:val="28"/>
          <w:highlight w:val="none"/>
          <w:lang w:val="zh-CN"/>
        </w:rPr>
        <w:t>分</w:t>
      </w:r>
      <w:bookmarkEnd w:id="154"/>
    </w:p>
    <w:p w14:paraId="7D514CFC">
      <w:pPr>
        <w:autoSpaceDE w:val="0"/>
        <w:autoSpaceDN w:val="0"/>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7"/>
        <w:tblpPr w:leftFromText="180" w:rightFromText="180" w:vertAnchor="text" w:tblpXSpec="center" w:tblpY="1"/>
        <w:tblOverlap w:val="never"/>
        <w:tblW w:w="5191" w:type="pct"/>
        <w:tblInd w:w="0" w:type="dxa"/>
        <w:tblLayout w:type="autofit"/>
        <w:tblCellMar>
          <w:top w:w="0" w:type="dxa"/>
          <w:left w:w="108" w:type="dxa"/>
          <w:bottom w:w="0" w:type="dxa"/>
          <w:right w:w="108" w:type="dxa"/>
        </w:tblCellMar>
      </w:tblPr>
      <w:tblGrid>
        <w:gridCol w:w="663"/>
        <w:gridCol w:w="1064"/>
        <w:gridCol w:w="4740"/>
        <w:gridCol w:w="767"/>
        <w:gridCol w:w="726"/>
        <w:gridCol w:w="889"/>
      </w:tblGrid>
      <w:tr w14:paraId="14D6D6D4">
        <w:tblPrEx>
          <w:tblCellMar>
            <w:top w:w="0" w:type="dxa"/>
            <w:left w:w="108" w:type="dxa"/>
            <w:bottom w:w="0" w:type="dxa"/>
            <w:right w:w="108" w:type="dxa"/>
          </w:tblCellMar>
        </w:tblPrEx>
        <w:trPr>
          <w:trHeight w:val="780" w:hRule="atLeast"/>
        </w:trPr>
        <w:tc>
          <w:tcPr>
            <w:tcW w:w="375" w:type="pct"/>
            <w:tcBorders>
              <w:top w:val="single" w:color="000000" w:sz="4" w:space="0"/>
              <w:left w:val="single" w:color="000000" w:sz="4" w:space="0"/>
              <w:bottom w:val="single" w:color="000000" w:sz="4" w:space="0"/>
              <w:right w:val="single" w:color="auto" w:sz="4" w:space="0"/>
            </w:tcBorders>
            <w:vAlign w:val="center"/>
          </w:tcPr>
          <w:p w14:paraId="1A655F5E">
            <w:pPr>
              <w:widowControl/>
              <w:spacing w:line="460" w:lineRule="exact"/>
              <w:jc w:val="center"/>
              <w:textAlignment w:val="center"/>
              <w:rPr>
                <w:rFonts w:ascii="宋体" w:hAnsi="宋体" w:cs="宋体"/>
                <w:b/>
                <w:bCs/>
                <w:color w:val="auto"/>
                <w:sz w:val="24"/>
                <w:highlight w:val="none"/>
              </w:rPr>
            </w:pPr>
            <w:bookmarkStart w:id="155" w:name="_Toc126"/>
            <w:r>
              <w:rPr>
                <w:rFonts w:hint="eastAsia" w:ascii="宋体" w:hAnsi="宋体" w:cs="宋体"/>
                <w:b/>
                <w:bCs/>
                <w:color w:val="auto"/>
                <w:sz w:val="24"/>
                <w:highlight w:val="none"/>
              </w:rPr>
              <w:t>序号</w:t>
            </w:r>
          </w:p>
        </w:tc>
        <w:tc>
          <w:tcPr>
            <w:tcW w:w="601" w:type="pct"/>
            <w:tcBorders>
              <w:top w:val="single" w:color="000000" w:sz="4" w:space="0"/>
              <w:left w:val="single" w:color="auto" w:sz="4" w:space="0"/>
              <w:bottom w:val="single" w:color="000000" w:sz="4" w:space="0"/>
              <w:right w:val="single" w:color="000000" w:sz="4" w:space="0"/>
            </w:tcBorders>
            <w:vAlign w:val="center"/>
          </w:tcPr>
          <w:p w14:paraId="6074ADD5">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评分因素</w:t>
            </w:r>
          </w:p>
        </w:tc>
        <w:tc>
          <w:tcPr>
            <w:tcW w:w="2677" w:type="pct"/>
            <w:tcBorders>
              <w:top w:val="single" w:color="000000" w:sz="4" w:space="0"/>
              <w:left w:val="single" w:color="000000" w:sz="4" w:space="0"/>
              <w:bottom w:val="single" w:color="000000" w:sz="4" w:space="0"/>
              <w:right w:val="single" w:color="000000" w:sz="4" w:space="0"/>
            </w:tcBorders>
            <w:vAlign w:val="center"/>
          </w:tcPr>
          <w:p w14:paraId="55A08738">
            <w:pPr>
              <w:widowControl/>
              <w:spacing w:line="460" w:lineRule="exact"/>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评分标准</w:t>
            </w:r>
          </w:p>
        </w:tc>
        <w:tc>
          <w:tcPr>
            <w:tcW w:w="433" w:type="pct"/>
            <w:tcBorders>
              <w:top w:val="single" w:color="000000" w:sz="4" w:space="0"/>
              <w:left w:val="single" w:color="000000" w:sz="4" w:space="0"/>
              <w:bottom w:val="single" w:color="000000" w:sz="4" w:space="0"/>
              <w:right w:val="single" w:color="000000" w:sz="4" w:space="0"/>
            </w:tcBorders>
            <w:vAlign w:val="center"/>
          </w:tcPr>
          <w:p w14:paraId="5471EC04">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最高分</w:t>
            </w:r>
          </w:p>
        </w:tc>
        <w:tc>
          <w:tcPr>
            <w:tcW w:w="410" w:type="pct"/>
            <w:tcBorders>
              <w:top w:val="single" w:color="000000" w:sz="4" w:space="0"/>
              <w:left w:val="single" w:color="000000" w:sz="4" w:space="0"/>
              <w:bottom w:val="single" w:color="000000" w:sz="4" w:space="0"/>
              <w:right w:val="single" w:color="000000" w:sz="4" w:space="0"/>
            </w:tcBorders>
            <w:vAlign w:val="center"/>
          </w:tcPr>
          <w:p w14:paraId="35D4021E">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最低分</w:t>
            </w:r>
          </w:p>
        </w:tc>
        <w:tc>
          <w:tcPr>
            <w:tcW w:w="502" w:type="pct"/>
            <w:tcBorders>
              <w:top w:val="single" w:color="000000" w:sz="4" w:space="0"/>
              <w:left w:val="single" w:color="000000" w:sz="4" w:space="0"/>
              <w:bottom w:val="single" w:color="000000" w:sz="4" w:space="0"/>
              <w:right w:val="single" w:color="000000" w:sz="4" w:space="0"/>
            </w:tcBorders>
            <w:vAlign w:val="center"/>
          </w:tcPr>
          <w:p w14:paraId="221CD552">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主/客观分</w:t>
            </w:r>
          </w:p>
        </w:tc>
      </w:tr>
      <w:tr w14:paraId="15B3148B">
        <w:tblPrEx>
          <w:tblCellMar>
            <w:top w:w="0" w:type="dxa"/>
            <w:left w:w="108" w:type="dxa"/>
            <w:bottom w:w="0" w:type="dxa"/>
            <w:right w:w="108" w:type="dxa"/>
          </w:tblCellMar>
        </w:tblPrEx>
        <w:trPr>
          <w:trHeight w:val="934" w:hRule="atLeast"/>
        </w:trPr>
        <w:tc>
          <w:tcPr>
            <w:tcW w:w="375" w:type="pct"/>
            <w:tcBorders>
              <w:top w:val="single" w:color="000000" w:sz="4" w:space="0"/>
              <w:left w:val="single" w:color="000000" w:sz="4" w:space="0"/>
              <w:bottom w:val="single" w:color="000000" w:sz="4" w:space="0"/>
              <w:right w:val="single" w:color="auto" w:sz="4" w:space="0"/>
            </w:tcBorders>
            <w:vAlign w:val="center"/>
          </w:tcPr>
          <w:p w14:paraId="5B92DC10">
            <w:pPr>
              <w:jc w:val="left"/>
              <w:rPr>
                <w:rFonts w:ascii="宋体" w:hAnsi="宋体" w:cs="宋体"/>
                <w:color w:val="auto"/>
                <w:sz w:val="24"/>
                <w:highlight w:val="none"/>
              </w:rPr>
            </w:pPr>
            <w:r>
              <w:rPr>
                <w:rFonts w:hint="eastAsia" w:ascii="宋体" w:hAnsi="宋体" w:cs="宋体"/>
                <w:color w:val="auto"/>
                <w:sz w:val="24"/>
                <w:highlight w:val="none"/>
              </w:rPr>
              <w:t>1</w:t>
            </w:r>
          </w:p>
        </w:tc>
        <w:tc>
          <w:tcPr>
            <w:tcW w:w="601" w:type="pct"/>
            <w:tcBorders>
              <w:top w:val="single" w:color="000000" w:sz="4" w:space="0"/>
              <w:left w:val="single" w:color="auto" w:sz="4" w:space="0"/>
              <w:bottom w:val="single" w:color="000000" w:sz="4" w:space="0"/>
              <w:right w:val="single" w:color="000000" w:sz="4" w:space="0"/>
            </w:tcBorders>
            <w:vAlign w:val="center"/>
          </w:tcPr>
          <w:p w14:paraId="07A6B3F8">
            <w:pPr>
              <w:jc w:val="left"/>
              <w:rPr>
                <w:rFonts w:ascii="宋体" w:hAnsi="宋体" w:cs="宋体"/>
                <w:color w:val="auto"/>
                <w:sz w:val="24"/>
                <w:highlight w:val="none"/>
              </w:rPr>
            </w:pPr>
            <w:r>
              <w:rPr>
                <w:rFonts w:hint="eastAsia" w:ascii="宋体" w:hAnsi="宋体" w:cs="宋体"/>
                <w:color w:val="auto"/>
                <w:sz w:val="24"/>
                <w:highlight w:val="none"/>
              </w:rPr>
              <w:t>设备性能及技术参数响应情况</w:t>
            </w:r>
          </w:p>
        </w:tc>
        <w:tc>
          <w:tcPr>
            <w:tcW w:w="2677" w:type="pct"/>
            <w:tcBorders>
              <w:top w:val="single" w:color="000000" w:sz="4" w:space="0"/>
              <w:left w:val="single" w:color="000000" w:sz="4" w:space="0"/>
              <w:bottom w:val="single" w:color="000000" w:sz="4" w:space="0"/>
              <w:right w:val="single" w:color="000000" w:sz="4" w:space="0"/>
            </w:tcBorders>
            <w:vAlign w:val="center"/>
          </w:tcPr>
          <w:p w14:paraId="5A7B3193">
            <w:pPr>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根据投标人对本项目第三部分项目需求中“五</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技术要求”中“非标</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项”响应情况进行评审，</w:t>
            </w:r>
            <w:r>
              <w:rPr>
                <w:rFonts w:hint="eastAsia" w:ascii="宋体" w:hAnsi="宋体" w:cs="宋体"/>
                <w:color w:val="auto"/>
                <w:sz w:val="24"/>
                <w:highlight w:val="none"/>
              </w:rPr>
              <w:t>所投设备的技术指标全部满足招标文件要求的得基准分</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分。带“▲”项目正偏离，每项加</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color w:val="auto"/>
                <w:sz w:val="24"/>
                <w:highlight w:val="none"/>
                <w:lang w:val="en-US" w:eastAsia="zh-CN"/>
              </w:rPr>
              <w:t>其他项目正偏离，则每项加1分，</w:t>
            </w:r>
            <w:r>
              <w:rPr>
                <w:rFonts w:hint="eastAsia" w:ascii="宋体" w:hAnsi="宋体" w:cs="宋体"/>
                <w:color w:val="auto"/>
                <w:sz w:val="24"/>
                <w:highlight w:val="none"/>
              </w:rPr>
              <w:t>最多加</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auto"/>
                <w:sz w:val="24"/>
                <w:highlight w:val="none"/>
              </w:rPr>
              <w:t>带“▲”项目</w:t>
            </w:r>
            <w:r>
              <w:rPr>
                <w:rFonts w:hint="eastAsia" w:ascii="宋体" w:hAnsi="宋体" w:cs="宋体"/>
                <w:color w:val="auto"/>
                <w:sz w:val="24"/>
                <w:highlight w:val="none"/>
                <w:lang w:val="en-US" w:eastAsia="zh-CN"/>
              </w:rPr>
              <w:t>负偏离每项扣2分，</w:t>
            </w:r>
            <w:r>
              <w:rPr>
                <w:rFonts w:hint="eastAsia" w:ascii="宋体" w:hAnsi="宋体" w:cs="宋体"/>
                <w:color w:val="auto"/>
                <w:sz w:val="24"/>
                <w:highlight w:val="none"/>
              </w:rPr>
              <w:t>其他</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负偏离的每项扣</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分，扣完为止</w:t>
            </w:r>
            <w:r>
              <w:rPr>
                <w:rFonts w:hint="eastAsia" w:ascii="宋体" w:hAnsi="宋体" w:cs="宋体"/>
                <w:color w:val="auto"/>
                <w:sz w:val="24"/>
                <w:highlight w:val="none"/>
                <w:lang w:eastAsia="zh-CN"/>
              </w:rPr>
              <w:t>。</w:t>
            </w:r>
          </w:p>
          <w:p w14:paraId="57C86CD8">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注：投标人提供《技术部分参数响应偏离表》</w:t>
            </w:r>
            <w:r>
              <w:rPr>
                <w:rFonts w:hint="eastAsia" w:ascii="宋体" w:hAnsi="宋体" w:cs="宋体"/>
                <w:color w:val="auto"/>
                <w:sz w:val="24"/>
                <w:highlight w:val="none"/>
                <w:lang w:eastAsia="zh-CN"/>
              </w:rPr>
              <w:t>（详见附件</w:t>
            </w:r>
            <w:r>
              <w:rPr>
                <w:rFonts w:hint="eastAsia" w:ascii="宋体" w:hAnsi="宋体" w:cs="宋体"/>
                <w:color w:val="auto"/>
                <w:sz w:val="24"/>
                <w:highlight w:val="none"/>
                <w:lang w:val="en-US" w:eastAsia="zh-CN"/>
              </w:rPr>
              <w:t>4）及按要求提供佐证材料，未提供佐证材料的视为负偏离</w:t>
            </w:r>
            <w:r>
              <w:rPr>
                <w:rFonts w:hint="eastAsia" w:ascii="宋体" w:hAnsi="宋体" w:cs="宋体"/>
                <w:color w:val="auto"/>
                <w:sz w:val="24"/>
                <w:highlight w:val="none"/>
              </w:rPr>
              <w:t>。</w:t>
            </w:r>
          </w:p>
        </w:tc>
        <w:tc>
          <w:tcPr>
            <w:tcW w:w="433" w:type="pct"/>
            <w:tcBorders>
              <w:top w:val="single" w:color="000000" w:sz="4" w:space="0"/>
              <w:left w:val="single" w:color="000000" w:sz="4" w:space="0"/>
              <w:bottom w:val="single" w:color="000000" w:sz="4" w:space="0"/>
              <w:right w:val="single" w:color="000000" w:sz="4" w:space="0"/>
            </w:tcBorders>
            <w:vAlign w:val="center"/>
          </w:tcPr>
          <w:p w14:paraId="503590F0">
            <w:pPr>
              <w:jc w:val="left"/>
              <w:rPr>
                <w:rFonts w:ascii="宋体" w:hAnsi="宋体" w:cs="宋体"/>
                <w:color w:val="auto"/>
                <w:sz w:val="24"/>
                <w:highlight w:val="none"/>
              </w:rPr>
            </w:pPr>
            <w:r>
              <w:rPr>
                <w:rFonts w:hint="eastAsia" w:ascii="宋体" w:hAnsi="宋体" w:cs="宋体"/>
                <w:color w:val="auto"/>
                <w:sz w:val="24"/>
                <w:highlight w:val="none"/>
                <w:lang w:val="en-US" w:eastAsia="zh-CN"/>
              </w:rPr>
              <w:t>45</w:t>
            </w:r>
            <w:r>
              <w:rPr>
                <w:rFonts w:hint="eastAsia" w:ascii="宋体" w:hAnsi="宋体" w:cs="宋体"/>
                <w:color w:val="auto"/>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3262F05C">
            <w:pPr>
              <w:jc w:val="left"/>
              <w:rPr>
                <w:rFonts w:ascii="宋体" w:hAnsi="宋体" w:cs="宋体"/>
                <w:color w:val="auto"/>
                <w:sz w:val="24"/>
                <w:highlight w:val="none"/>
              </w:rPr>
            </w:pPr>
            <w:r>
              <w:rPr>
                <w:rFonts w:hint="eastAsia" w:ascii="宋体" w:hAnsi="宋体" w:cs="宋体"/>
                <w:color w:val="auto"/>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1F85DB31">
            <w:pPr>
              <w:jc w:val="left"/>
              <w:rPr>
                <w:rFonts w:ascii="宋体" w:hAnsi="宋体" w:cs="宋体"/>
                <w:color w:val="auto"/>
                <w:sz w:val="24"/>
                <w:highlight w:val="none"/>
              </w:rPr>
            </w:pPr>
            <w:r>
              <w:rPr>
                <w:rFonts w:hint="eastAsia" w:ascii="宋体" w:hAnsi="宋体" w:cs="宋体"/>
                <w:color w:val="auto"/>
                <w:sz w:val="24"/>
                <w:highlight w:val="none"/>
              </w:rPr>
              <w:t>客观分</w:t>
            </w:r>
          </w:p>
        </w:tc>
      </w:tr>
      <w:tr w14:paraId="0C43A4E0">
        <w:tblPrEx>
          <w:tblCellMar>
            <w:top w:w="0" w:type="dxa"/>
            <w:left w:w="108" w:type="dxa"/>
            <w:bottom w:w="0" w:type="dxa"/>
            <w:right w:w="108" w:type="dxa"/>
          </w:tblCellMar>
        </w:tblPrEx>
        <w:trPr>
          <w:trHeight w:val="396" w:hRule="atLeast"/>
        </w:trPr>
        <w:tc>
          <w:tcPr>
            <w:tcW w:w="375" w:type="pct"/>
            <w:tcBorders>
              <w:top w:val="single" w:color="000000" w:sz="4" w:space="0"/>
              <w:left w:val="single" w:color="000000" w:sz="4" w:space="0"/>
              <w:bottom w:val="single" w:color="000000" w:sz="4" w:space="0"/>
              <w:right w:val="single" w:color="000000" w:sz="4" w:space="0"/>
            </w:tcBorders>
            <w:vAlign w:val="center"/>
          </w:tcPr>
          <w:p w14:paraId="38A357EF">
            <w:pPr>
              <w:jc w:val="left"/>
              <w:rPr>
                <w:rFonts w:ascii="宋体" w:hAnsi="宋体" w:cs="宋体"/>
                <w:color w:val="auto"/>
                <w:sz w:val="24"/>
                <w:highlight w:val="none"/>
              </w:rPr>
            </w:pPr>
            <w:r>
              <w:rPr>
                <w:rFonts w:hint="eastAsia" w:ascii="宋体" w:hAnsi="宋体" w:cs="宋体"/>
                <w:color w:val="auto"/>
                <w:sz w:val="24"/>
                <w:highlight w:val="none"/>
              </w:rPr>
              <w:t>2</w:t>
            </w:r>
          </w:p>
        </w:tc>
        <w:tc>
          <w:tcPr>
            <w:tcW w:w="601" w:type="pct"/>
            <w:tcBorders>
              <w:top w:val="single" w:color="000000" w:sz="4" w:space="0"/>
              <w:left w:val="single" w:color="000000" w:sz="4" w:space="0"/>
              <w:bottom w:val="single" w:color="000000" w:sz="4" w:space="0"/>
              <w:right w:val="single" w:color="000000" w:sz="4" w:space="0"/>
            </w:tcBorders>
            <w:vAlign w:val="center"/>
          </w:tcPr>
          <w:p w14:paraId="215FD418">
            <w:pPr>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综合实力</w:t>
            </w:r>
          </w:p>
        </w:tc>
        <w:tc>
          <w:tcPr>
            <w:tcW w:w="2677" w:type="pct"/>
            <w:tcBorders>
              <w:top w:val="single" w:color="000000" w:sz="4" w:space="0"/>
              <w:left w:val="single" w:color="000000" w:sz="4" w:space="0"/>
              <w:bottom w:val="single" w:color="000000" w:sz="4" w:space="0"/>
              <w:right w:val="single" w:color="000000" w:sz="4" w:space="0"/>
            </w:tcBorders>
            <w:vAlign w:val="center"/>
          </w:tcPr>
          <w:p w14:paraId="0DF2DF58">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投标人具有</w:t>
            </w:r>
            <w:r>
              <w:rPr>
                <w:rFonts w:hint="eastAsia" w:ascii="宋体" w:hAnsi="宋体" w:cs="宋体"/>
                <w:color w:val="auto"/>
                <w:sz w:val="24"/>
                <w:highlight w:val="none"/>
                <w:lang w:eastAsia="zh-CN"/>
              </w:rPr>
              <w:t>有效的</w:t>
            </w:r>
            <w:r>
              <w:rPr>
                <w:rFonts w:hint="eastAsia" w:ascii="宋体" w:hAnsi="宋体" w:cs="宋体"/>
                <w:color w:val="auto"/>
                <w:sz w:val="24"/>
                <w:highlight w:val="none"/>
              </w:rPr>
              <w:t>质量管理体系认证证书、环境管理体系认证证书、职业健康安全管理体系认证证书，每个得1分，最高得3分。（注：</w:t>
            </w:r>
            <w:r>
              <w:rPr>
                <w:rFonts w:hint="eastAsia" w:ascii="宋体" w:hAnsi="宋体" w:cs="宋体"/>
                <w:color w:val="auto"/>
                <w:sz w:val="24"/>
                <w:highlight w:val="none"/>
                <w:lang w:val="en-US" w:eastAsia="zh-CN"/>
              </w:rPr>
              <w:t>投标人需</w:t>
            </w:r>
            <w:r>
              <w:rPr>
                <w:rFonts w:hint="eastAsia" w:ascii="宋体" w:hAnsi="宋体" w:cs="宋体"/>
                <w:color w:val="auto"/>
                <w:sz w:val="24"/>
                <w:highlight w:val="none"/>
              </w:rPr>
              <w:t>在投标文件中附上证书</w:t>
            </w:r>
            <w:r>
              <w:rPr>
                <w:rFonts w:hint="eastAsia" w:ascii="宋体" w:hAnsi="宋体" w:cs="宋体"/>
                <w:color w:val="auto"/>
                <w:sz w:val="24"/>
                <w:highlight w:val="none"/>
                <w:lang w:eastAsia="zh-CN"/>
              </w:rPr>
              <w:t>扫描件</w:t>
            </w:r>
            <w:r>
              <w:rPr>
                <w:rFonts w:hint="eastAsia" w:ascii="宋体" w:hAnsi="宋体" w:cs="宋体"/>
                <w:color w:val="auto"/>
                <w:sz w:val="24"/>
                <w:highlight w:val="none"/>
              </w:rPr>
              <w:t>。否则不予计分。）</w:t>
            </w:r>
          </w:p>
        </w:tc>
        <w:tc>
          <w:tcPr>
            <w:tcW w:w="433" w:type="pct"/>
            <w:tcBorders>
              <w:top w:val="single" w:color="000000" w:sz="4" w:space="0"/>
              <w:left w:val="single" w:color="000000" w:sz="4" w:space="0"/>
              <w:bottom w:val="single" w:color="000000" w:sz="4" w:space="0"/>
              <w:right w:val="single" w:color="000000" w:sz="4" w:space="0"/>
            </w:tcBorders>
            <w:vAlign w:val="center"/>
          </w:tcPr>
          <w:p w14:paraId="665686A6">
            <w:pPr>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3C006453">
            <w:pPr>
              <w:jc w:val="left"/>
              <w:rPr>
                <w:rFonts w:ascii="宋体" w:hAnsi="宋体" w:cs="宋体"/>
                <w:color w:val="auto"/>
                <w:sz w:val="24"/>
                <w:highlight w:val="none"/>
              </w:rPr>
            </w:pPr>
            <w:r>
              <w:rPr>
                <w:rFonts w:hint="eastAsia" w:ascii="宋体" w:hAnsi="宋体" w:cs="宋体"/>
                <w:color w:val="auto"/>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2AC84743">
            <w:pPr>
              <w:jc w:val="left"/>
              <w:rPr>
                <w:rFonts w:ascii="宋体" w:hAnsi="宋体" w:cs="宋体"/>
                <w:color w:val="auto"/>
                <w:sz w:val="24"/>
                <w:highlight w:val="none"/>
              </w:rPr>
            </w:pPr>
            <w:r>
              <w:rPr>
                <w:rFonts w:hint="eastAsia" w:ascii="宋体" w:hAnsi="宋体" w:cs="宋体"/>
                <w:color w:val="auto"/>
                <w:sz w:val="24"/>
                <w:highlight w:val="none"/>
              </w:rPr>
              <w:t>客观分</w:t>
            </w:r>
          </w:p>
        </w:tc>
      </w:tr>
      <w:tr w14:paraId="544EE9AC">
        <w:tblPrEx>
          <w:tblCellMar>
            <w:top w:w="0" w:type="dxa"/>
            <w:left w:w="108" w:type="dxa"/>
            <w:bottom w:w="0" w:type="dxa"/>
            <w:right w:w="108" w:type="dxa"/>
          </w:tblCellMar>
        </w:tblPrEx>
        <w:trPr>
          <w:trHeight w:val="1532" w:hRule="atLeast"/>
        </w:trPr>
        <w:tc>
          <w:tcPr>
            <w:tcW w:w="375" w:type="pct"/>
            <w:tcBorders>
              <w:top w:val="single" w:color="000000" w:sz="4" w:space="0"/>
              <w:left w:val="single" w:color="000000" w:sz="4" w:space="0"/>
              <w:bottom w:val="single" w:color="000000" w:sz="4" w:space="0"/>
              <w:right w:val="single" w:color="000000" w:sz="4" w:space="0"/>
            </w:tcBorders>
            <w:vAlign w:val="center"/>
          </w:tcPr>
          <w:p w14:paraId="6242C21D">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601" w:type="pct"/>
            <w:tcBorders>
              <w:top w:val="single" w:color="000000" w:sz="4" w:space="0"/>
              <w:left w:val="single" w:color="000000" w:sz="4" w:space="0"/>
              <w:bottom w:val="single" w:color="000000" w:sz="4" w:space="0"/>
              <w:right w:val="single" w:color="000000" w:sz="4" w:space="0"/>
            </w:tcBorders>
            <w:vAlign w:val="center"/>
          </w:tcPr>
          <w:p w14:paraId="58032016">
            <w:pPr>
              <w:widowControl/>
              <w:spacing w:line="460" w:lineRule="exact"/>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类似业绩</w:t>
            </w:r>
          </w:p>
        </w:tc>
        <w:tc>
          <w:tcPr>
            <w:tcW w:w="2677" w:type="pct"/>
            <w:tcBorders>
              <w:top w:val="single" w:color="000000" w:sz="4" w:space="0"/>
              <w:left w:val="single" w:color="000000" w:sz="4" w:space="0"/>
              <w:bottom w:val="single" w:color="000000" w:sz="4" w:space="0"/>
              <w:right w:val="single" w:color="000000" w:sz="4" w:space="0"/>
            </w:tcBorders>
            <w:vAlign w:val="center"/>
          </w:tcPr>
          <w:p w14:paraId="7F655872">
            <w:pPr>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投标人2023年1月1日以来签订的</w:t>
            </w:r>
            <w:r>
              <w:rPr>
                <w:rFonts w:hint="eastAsia" w:ascii="宋体" w:hAnsi="宋体" w:cs="宋体"/>
                <w:color w:val="auto"/>
                <w:sz w:val="24"/>
                <w:highlight w:val="none"/>
                <w:lang w:eastAsia="zh-CN"/>
              </w:rPr>
              <w:t>类似业绩</w:t>
            </w:r>
            <w:r>
              <w:rPr>
                <w:rFonts w:hint="eastAsia" w:ascii="宋体" w:hAnsi="宋体" w:eastAsia="宋体" w:cs="宋体"/>
                <w:color w:val="auto"/>
                <w:sz w:val="24"/>
                <w:highlight w:val="none"/>
                <w:lang w:eastAsia="zh-CN"/>
              </w:rPr>
              <w:t>，项目产品与本次投标产品</w:t>
            </w:r>
            <w:r>
              <w:rPr>
                <w:rFonts w:hint="eastAsia" w:ascii="宋体" w:hAnsi="宋体" w:cs="宋体"/>
                <w:color w:val="auto"/>
                <w:sz w:val="24"/>
                <w:highlight w:val="none"/>
                <w:lang w:eastAsia="zh-CN"/>
              </w:rPr>
              <w:t>（至少一种）</w:t>
            </w:r>
            <w:r>
              <w:rPr>
                <w:rFonts w:hint="eastAsia" w:ascii="宋体" w:hAnsi="宋体" w:eastAsia="宋体" w:cs="宋体"/>
                <w:color w:val="auto"/>
                <w:sz w:val="24"/>
                <w:highlight w:val="none"/>
                <w:lang w:eastAsia="zh-CN"/>
              </w:rPr>
              <w:t>为同类产品</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每有一个得2分，最多得8分。提供销售合同</w:t>
            </w:r>
            <w:r>
              <w:rPr>
                <w:rFonts w:hint="eastAsia" w:ascii="宋体" w:hAnsi="宋体" w:cs="宋体"/>
                <w:color w:val="auto"/>
                <w:sz w:val="24"/>
                <w:highlight w:val="none"/>
                <w:lang w:eastAsia="zh-CN"/>
              </w:rPr>
              <w:t>及对应业绩结算发票（至少一张）原件扫描件</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资料不提供或提供不全均不得分。</w:t>
            </w:r>
          </w:p>
        </w:tc>
        <w:tc>
          <w:tcPr>
            <w:tcW w:w="433" w:type="pct"/>
            <w:tcBorders>
              <w:top w:val="single" w:color="000000" w:sz="4" w:space="0"/>
              <w:left w:val="single" w:color="000000" w:sz="4" w:space="0"/>
              <w:bottom w:val="single" w:color="000000" w:sz="4" w:space="0"/>
              <w:right w:val="single" w:color="000000" w:sz="4" w:space="0"/>
            </w:tcBorders>
            <w:vAlign w:val="center"/>
          </w:tcPr>
          <w:p w14:paraId="546EFD80">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4CA65AF5">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353A9553">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客观分</w:t>
            </w:r>
          </w:p>
        </w:tc>
      </w:tr>
      <w:tr w14:paraId="2E98548F">
        <w:tblPrEx>
          <w:tblCellMar>
            <w:top w:w="0" w:type="dxa"/>
            <w:left w:w="108" w:type="dxa"/>
            <w:bottom w:w="0" w:type="dxa"/>
            <w:right w:w="108" w:type="dxa"/>
          </w:tblCellMar>
        </w:tblPrEx>
        <w:trPr>
          <w:trHeight w:val="396" w:hRule="atLeast"/>
        </w:trPr>
        <w:tc>
          <w:tcPr>
            <w:tcW w:w="375" w:type="pct"/>
            <w:tcBorders>
              <w:top w:val="single" w:color="000000" w:sz="4" w:space="0"/>
              <w:left w:val="single" w:color="000000" w:sz="4" w:space="0"/>
              <w:bottom w:val="single" w:color="000000" w:sz="4" w:space="0"/>
              <w:right w:val="single" w:color="000000" w:sz="4" w:space="0"/>
            </w:tcBorders>
            <w:vAlign w:val="center"/>
          </w:tcPr>
          <w:p w14:paraId="1117C8C5">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601" w:type="pct"/>
            <w:tcBorders>
              <w:top w:val="single" w:color="000000" w:sz="4" w:space="0"/>
              <w:left w:val="single" w:color="000000" w:sz="4" w:space="0"/>
              <w:bottom w:val="single" w:color="000000" w:sz="4" w:space="0"/>
              <w:right w:val="single" w:color="000000" w:sz="4" w:space="0"/>
            </w:tcBorders>
            <w:vAlign w:val="center"/>
          </w:tcPr>
          <w:p w14:paraId="405A5A54">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质保期</w:t>
            </w:r>
          </w:p>
        </w:tc>
        <w:tc>
          <w:tcPr>
            <w:tcW w:w="2677" w:type="pct"/>
            <w:tcBorders>
              <w:top w:val="single" w:color="000000" w:sz="4" w:space="0"/>
              <w:left w:val="single" w:color="000000" w:sz="4" w:space="0"/>
              <w:bottom w:val="single" w:color="000000" w:sz="4" w:space="0"/>
              <w:right w:val="single" w:color="000000" w:sz="4" w:space="0"/>
            </w:tcBorders>
            <w:vAlign w:val="center"/>
          </w:tcPr>
          <w:p w14:paraId="57D0D112">
            <w:pPr>
              <w:rPr>
                <w:rFonts w:ascii="宋体" w:hAnsi="宋体" w:cs="宋体"/>
                <w:color w:val="auto"/>
                <w:sz w:val="24"/>
                <w:highlight w:val="none"/>
              </w:rPr>
            </w:pPr>
            <w:r>
              <w:rPr>
                <w:rFonts w:hint="eastAsia" w:ascii="宋体" w:hAnsi="宋体" w:cs="宋体"/>
                <w:color w:val="auto"/>
                <w:sz w:val="24"/>
                <w:highlight w:val="none"/>
              </w:rPr>
              <w:t>满足招标文件规定的最低质保期1年的基础上，每延长一年</w:t>
            </w:r>
            <w:r>
              <w:rPr>
                <w:rFonts w:hint="eastAsia" w:ascii="宋体" w:hAnsi="宋体" w:cs="宋体"/>
                <w:color w:val="auto"/>
                <w:sz w:val="24"/>
                <w:highlight w:val="none"/>
                <w:lang w:eastAsia="zh-CN"/>
              </w:rPr>
              <w:t>得</w:t>
            </w:r>
            <w:r>
              <w:rPr>
                <w:rFonts w:hint="eastAsia" w:ascii="宋体" w:hAnsi="宋体" w:cs="宋体"/>
                <w:color w:val="auto"/>
                <w:sz w:val="24"/>
                <w:highlight w:val="none"/>
              </w:rPr>
              <w:t>1分，最多</w:t>
            </w:r>
            <w:r>
              <w:rPr>
                <w:rFonts w:hint="eastAsia" w:ascii="宋体" w:hAnsi="宋体" w:cs="宋体"/>
                <w:color w:val="auto"/>
                <w:sz w:val="24"/>
                <w:highlight w:val="none"/>
                <w:lang w:eastAsia="zh-CN"/>
              </w:rPr>
              <w:t>得</w:t>
            </w:r>
            <w:r>
              <w:rPr>
                <w:rFonts w:hint="eastAsia" w:ascii="宋体" w:hAnsi="宋体" w:cs="宋体"/>
                <w:color w:val="auto"/>
                <w:sz w:val="24"/>
                <w:highlight w:val="none"/>
              </w:rPr>
              <w:t>2分。（提供承诺函，格式自拟）</w:t>
            </w:r>
          </w:p>
        </w:tc>
        <w:tc>
          <w:tcPr>
            <w:tcW w:w="433" w:type="pct"/>
            <w:tcBorders>
              <w:top w:val="single" w:color="000000" w:sz="4" w:space="0"/>
              <w:left w:val="single" w:color="000000" w:sz="4" w:space="0"/>
              <w:bottom w:val="single" w:color="000000" w:sz="4" w:space="0"/>
              <w:right w:val="single" w:color="000000" w:sz="4" w:space="0"/>
            </w:tcBorders>
            <w:vAlign w:val="center"/>
          </w:tcPr>
          <w:p w14:paraId="76DCF449">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13766A9F">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3D8E2C6E">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客观分</w:t>
            </w:r>
          </w:p>
        </w:tc>
      </w:tr>
      <w:tr w14:paraId="5B19FB53">
        <w:tblPrEx>
          <w:tblCellMar>
            <w:top w:w="0" w:type="dxa"/>
            <w:left w:w="108" w:type="dxa"/>
            <w:bottom w:w="0" w:type="dxa"/>
            <w:right w:w="108" w:type="dxa"/>
          </w:tblCellMar>
        </w:tblPrEx>
        <w:trPr>
          <w:trHeight w:val="3439" w:hRule="atLeast"/>
        </w:trPr>
        <w:tc>
          <w:tcPr>
            <w:tcW w:w="375" w:type="pct"/>
            <w:tcBorders>
              <w:top w:val="single" w:color="000000" w:sz="4" w:space="0"/>
              <w:left w:val="single" w:color="000000" w:sz="4" w:space="0"/>
              <w:bottom w:val="single" w:color="000000" w:sz="4" w:space="0"/>
              <w:right w:val="single" w:color="000000" w:sz="4" w:space="0"/>
            </w:tcBorders>
            <w:vAlign w:val="center"/>
          </w:tcPr>
          <w:p w14:paraId="1D66090C">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5</w:t>
            </w:r>
          </w:p>
        </w:tc>
        <w:tc>
          <w:tcPr>
            <w:tcW w:w="601" w:type="pct"/>
            <w:tcBorders>
              <w:top w:val="single" w:color="000000" w:sz="4" w:space="0"/>
              <w:left w:val="single" w:color="000000" w:sz="4" w:space="0"/>
              <w:bottom w:val="single" w:color="000000" w:sz="4" w:space="0"/>
              <w:right w:val="single" w:color="000000" w:sz="4" w:space="0"/>
            </w:tcBorders>
            <w:vAlign w:val="center"/>
          </w:tcPr>
          <w:p w14:paraId="002CB3E5">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供货组织和技术培训方案</w:t>
            </w:r>
          </w:p>
        </w:tc>
        <w:tc>
          <w:tcPr>
            <w:tcW w:w="2677" w:type="pct"/>
            <w:tcBorders>
              <w:top w:val="single" w:color="000000" w:sz="4" w:space="0"/>
              <w:left w:val="single" w:color="000000" w:sz="4" w:space="0"/>
              <w:bottom w:val="single" w:color="000000" w:sz="4" w:space="0"/>
              <w:right w:val="single" w:color="000000" w:sz="4" w:space="0"/>
            </w:tcBorders>
            <w:vAlign w:val="center"/>
          </w:tcPr>
          <w:p w14:paraId="4293CAA7">
            <w:pPr>
              <w:rPr>
                <w:rFonts w:hint="eastAsia" w:ascii="宋体" w:hAnsi="宋体" w:cs="宋体"/>
                <w:color w:val="auto"/>
                <w:sz w:val="24"/>
                <w:highlight w:val="none"/>
              </w:rPr>
            </w:pPr>
            <w:r>
              <w:rPr>
                <w:rFonts w:hint="eastAsia" w:ascii="宋体" w:hAnsi="宋体" w:cs="宋体"/>
                <w:color w:val="auto"/>
                <w:sz w:val="24"/>
                <w:highlight w:val="none"/>
              </w:rPr>
              <w:t>根据本项目采购需求，提供完整的供货组织和技术培训方案，内容包括：</w:t>
            </w:r>
          </w:p>
          <w:p w14:paraId="0A83028F">
            <w:pPr>
              <w:rPr>
                <w:rFonts w:hint="eastAsia" w:ascii="宋体" w:hAnsi="宋体" w:cs="宋体"/>
                <w:color w:val="auto"/>
                <w:sz w:val="24"/>
                <w:highlight w:val="none"/>
              </w:rPr>
            </w:pPr>
            <w:r>
              <w:rPr>
                <w:rFonts w:hint="eastAsia" w:ascii="宋体" w:hAnsi="宋体" w:cs="宋体"/>
                <w:color w:val="auto"/>
                <w:sz w:val="24"/>
                <w:highlight w:val="none"/>
              </w:rPr>
              <w:t>①施工方案的确定和进度计划</w:t>
            </w:r>
          </w:p>
          <w:p w14:paraId="26A9ADF9">
            <w:pPr>
              <w:rPr>
                <w:rFonts w:hint="eastAsia" w:ascii="宋体" w:hAnsi="宋体" w:cs="宋体"/>
                <w:color w:val="auto"/>
                <w:sz w:val="24"/>
                <w:highlight w:val="none"/>
              </w:rPr>
            </w:pPr>
            <w:r>
              <w:rPr>
                <w:rFonts w:hint="eastAsia" w:ascii="宋体" w:hAnsi="宋体" w:cs="宋体"/>
                <w:color w:val="auto"/>
                <w:sz w:val="24"/>
                <w:highlight w:val="none"/>
              </w:rPr>
              <w:t>②设备生产计划和安装调试方案</w:t>
            </w:r>
          </w:p>
          <w:p w14:paraId="1F06D48D">
            <w:pPr>
              <w:rPr>
                <w:rFonts w:hint="eastAsia" w:ascii="宋体" w:hAnsi="宋体" w:cs="宋体"/>
                <w:color w:val="auto"/>
                <w:sz w:val="24"/>
                <w:highlight w:val="none"/>
              </w:rPr>
            </w:pPr>
            <w:r>
              <w:rPr>
                <w:rFonts w:hint="eastAsia" w:ascii="宋体" w:hAnsi="宋体" w:cs="宋体"/>
                <w:color w:val="auto"/>
                <w:sz w:val="24"/>
                <w:highlight w:val="none"/>
              </w:rPr>
              <w:t>③技术培训周期计划安排；</w:t>
            </w:r>
          </w:p>
          <w:p w14:paraId="2B8955E1">
            <w:pPr>
              <w:rPr>
                <w:rFonts w:hint="eastAsia" w:ascii="宋体" w:hAnsi="宋体" w:cs="宋体"/>
                <w:color w:val="auto"/>
                <w:sz w:val="24"/>
                <w:highlight w:val="none"/>
              </w:rPr>
            </w:pPr>
            <w:r>
              <w:rPr>
                <w:rFonts w:hint="eastAsia" w:ascii="宋体" w:hAnsi="宋体" w:cs="宋体"/>
                <w:color w:val="auto"/>
                <w:sz w:val="24"/>
                <w:highlight w:val="none"/>
              </w:rPr>
              <w:t>④培训工程师的情况介绍；</w:t>
            </w:r>
          </w:p>
          <w:p w14:paraId="39C2FEB7">
            <w:pPr>
              <w:rPr>
                <w:rFonts w:hint="eastAsia" w:ascii="宋体" w:hAnsi="宋体" w:cs="宋体"/>
                <w:color w:val="auto"/>
                <w:sz w:val="24"/>
                <w:highlight w:val="none"/>
              </w:rPr>
            </w:pPr>
            <w:r>
              <w:rPr>
                <w:rFonts w:hint="eastAsia" w:ascii="宋体" w:hAnsi="宋体" w:cs="宋体"/>
                <w:color w:val="auto"/>
                <w:sz w:val="24"/>
                <w:highlight w:val="none"/>
              </w:rPr>
              <w:t>⑤技术培训涉及的内容；</w:t>
            </w:r>
          </w:p>
          <w:p w14:paraId="3F66BB19">
            <w:pPr>
              <w:rPr>
                <w:rFonts w:hint="eastAsia" w:ascii="宋体" w:hAnsi="宋体" w:cs="宋体"/>
                <w:color w:val="auto"/>
                <w:sz w:val="24"/>
                <w:highlight w:val="none"/>
              </w:rPr>
            </w:pPr>
            <w:r>
              <w:rPr>
                <w:rFonts w:hint="eastAsia" w:ascii="宋体" w:hAnsi="宋体" w:cs="宋体"/>
                <w:color w:val="auto"/>
                <w:sz w:val="24"/>
                <w:highlight w:val="none"/>
              </w:rPr>
              <w:t>⑥技术培训后预期达到的培训效果等内容。</w:t>
            </w:r>
          </w:p>
          <w:p w14:paraId="6FD19892">
            <w:pPr>
              <w:rPr>
                <w:rFonts w:ascii="宋体" w:hAnsi="宋体" w:cs="宋体"/>
                <w:color w:val="auto"/>
                <w:sz w:val="24"/>
                <w:highlight w:val="none"/>
              </w:rPr>
            </w:pPr>
            <w:r>
              <w:rPr>
                <w:rFonts w:hint="eastAsia" w:ascii="宋体" w:hAnsi="宋体" w:cs="宋体"/>
                <w:color w:val="auto"/>
                <w:sz w:val="24"/>
                <w:highlight w:val="none"/>
              </w:rPr>
              <w:t>上述四项内容完整全面的每项计1分，内容不够完整全面的计0.5分，未提供的不计分，本项分值满分为6分。</w:t>
            </w:r>
          </w:p>
        </w:tc>
        <w:tc>
          <w:tcPr>
            <w:tcW w:w="433" w:type="pct"/>
            <w:tcBorders>
              <w:top w:val="single" w:color="000000" w:sz="4" w:space="0"/>
              <w:left w:val="single" w:color="000000" w:sz="4" w:space="0"/>
              <w:bottom w:val="single" w:color="000000" w:sz="4" w:space="0"/>
              <w:right w:val="single" w:color="000000" w:sz="4" w:space="0"/>
            </w:tcBorders>
            <w:vAlign w:val="center"/>
          </w:tcPr>
          <w:p w14:paraId="15FB88CC">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65E90C74">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35637FC">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主观分</w:t>
            </w:r>
          </w:p>
        </w:tc>
      </w:tr>
      <w:tr w14:paraId="24DC2294">
        <w:tblPrEx>
          <w:tblCellMar>
            <w:top w:w="0" w:type="dxa"/>
            <w:left w:w="108" w:type="dxa"/>
            <w:bottom w:w="0" w:type="dxa"/>
            <w:right w:w="108" w:type="dxa"/>
          </w:tblCellMar>
        </w:tblPrEx>
        <w:trPr>
          <w:trHeight w:val="575" w:hRule="atLeast"/>
        </w:trPr>
        <w:tc>
          <w:tcPr>
            <w:tcW w:w="375" w:type="pct"/>
            <w:tcBorders>
              <w:top w:val="single" w:color="000000" w:sz="4" w:space="0"/>
              <w:left w:val="single" w:color="000000" w:sz="4" w:space="0"/>
              <w:bottom w:val="single" w:color="000000" w:sz="4" w:space="0"/>
              <w:right w:val="single" w:color="000000" w:sz="4" w:space="0"/>
            </w:tcBorders>
            <w:vAlign w:val="center"/>
          </w:tcPr>
          <w:p w14:paraId="68926BE1">
            <w:pPr>
              <w:widowControl/>
              <w:spacing w:line="460" w:lineRule="exact"/>
              <w:jc w:val="center"/>
              <w:textAlignment w:val="center"/>
              <w:rPr>
                <w:rFonts w:ascii="宋体" w:hAnsi="宋体" w:cs="宋体"/>
                <w:b/>
                <w:bCs/>
                <w:color w:val="auto"/>
                <w:sz w:val="24"/>
                <w:highlight w:val="none"/>
              </w:rPr>
            </w:pPr>
            <w:r>
              <w:rPr>
                <w:rFonts w:hint="eastAsia" w:ascii="宋体" w:hAnsi="宋体" w:cs="宋体"/>
                <w:color w:val="auto"/>
                <w:kern w:val="0"/>
                <w:sz w:val="24"/>
                <w:highlight w:val="none"/>
              </w:rPr>
              <w:t>6</w:t>
            </w:r>
          </w:p>
        </w:tc>
        <w:tc>
          <w:tcPr>
            <w:tcW w:w="601" w:type="pct"/>
            <w:tcBorders>
              <w:top w:val="single" w:color="000000" w:sz="4" w:space="0"/>
              <w:left w:val="single" w:color="000000" w:sz="4" w:space="0"/>
              <w:bottom w:val="single" w:color="000000" w:sz="4" w:space="0"/>
              <w:right w:val="single" w:color="000000" w:sz="4" w:space="0"/>
            </w:tcBorders>
            <w:vAlign w:val="center"/>
          </w:tcPr>
          <w:p w14:paraId="3E0F62E2">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售后服务</w:t>
            </w:r>
          </w:p>
        </w:tc>
        <w:tc>
          <w:tcPr>
            <w:tcW w:w="2677" w:type="pct"/>
            <w:tcBorders>
              <w:top w:val="single" w:color="000000" w:sz="4" w:space="0"/>
              <w:left w:val="single" w:color="000000" w:sz="4" w:space="0"/>
              <w:bottom w:val="single" w:color="000000" w:sz="4" w:space="0"/>
              <w:right w:val="single" w:color="000000" w:sz="4" w:space="0"/>
            </w:tcBorders>
            <w:vAlign w:val="center"/>
          </w:tcPr>
          <w:p w14:paraId="482B5D3B">
            <w:pPr>
              <w:rPr>
                <w:rFonts w:hint="eastAsia" w:ascii="宋体" w:hAnsi="宋体" w:cs="宋体"/>
                <w:color w:val="auto"/>
                <w:sz w:val="24"/>
                <w:highlight w:val="none"/>
              </w:rPr>
            </w:pPr>
            <w:r>
              <w:rPr>
                <w:rFonts w:hint="eastAsia" w:ascii="宋体" w:hAnsi="宋体" w:cs="宋体"/>
                <w:color w:val="auto"/>
                <w:sz w:val="24"/>
                <w:highlight w:val="none"/>
              </w:rPr>
              <w:t>根据本项目采购需求，提供项目售后服务方案，从</w:t>
            </w:r>
          </w:p>
          <w:p w14:paraId="38348E64">
            <w:pPr>
              <w:rPr>
                <w:rFonts w:hint="eastAsia" w:ascii="宋体" w:hAnsi="宋体" w:cs="宋体"/>
                <w:color w:val="auto"/>
                <w:sz w:val="24"/>
                <w:highlight w:val="none"/>
              </w:rPr>
            </w:pPr>
            <w:r>
              <w:rPr>
                <w:rFonts w:hint="eastAsia" w:ascii="宋体" w:hAnsi="宋体" w:cs="宋体"/>
                <w:color w:val="auto"/>
                <w:sz w:val="24"/>
                <w:highlight w:val="none"/>
              </w:rPr>
              <w:t>①服务内容；</w:t>
            </w:r>
          </w:p>
          <w:p w14:paraId="4CADA3DC">
            <w:pPr>
              <w:rPr>
                <w:rFonts w:hint="eastAsia" w:ascii="宋体" w:hAnsi="宋体" w:cs="宋体"/>
                <w:color w:val="auto"/>
                <w:sz w:val="24"/>
                <w:highlight w:val="none"/>
              </w:rPr>
            </w:pPr>
            <w:r>
              <w:rPr>
                <w:rFonts w:hint="eastAsia" w:ascii="宋体" w:hAnsi="宋体" w:cs="宋体"/>
                <w:color w:val="auto"/>
                <w:sz w:val="24"/>
                <w:highlight w:val="none"/>
              </w:rPr>
              <w:t>②技术人员配置；</w:t>
            </w:r>
          </w:p>
          <w:p w14:paraId="36EE3854">
            <w:pPr>
              <w:rPr>
                <w:rFonts w:hint="eastAsia" w:ascii="宋体" w:hAnsi="宋体" w:cs="宋体"/>
                <w:color w:val="auto"/>
                <w:sz w:val="24"/>
                <w:highlight w:val="none"/>
              </w:rPr>
            </w:pPr>
            <w:r>
              <w:rPr>
                <w:rFonts w:hint="eastAsia" w:ascii="宋体" w:hAnsi="宋体" w:cs="宋体"/>
                <w:color w:val="auto"/>
                <w:sz w:val="24"/>
                <w:highlight w:val="none"/>
              </w:rPr>
              <w:t>③服务响应时间；</w:t>
            </w:r>
          </w:p>
          <w:p w14:paraId="38B1ED40">
            <w:pPr>
              <w:rPr>
                <w:rFonts w:hint="eastAsia" w:ascii="宋体" w:hAnsi="宋体" w:cs="宋体"/>
                <w:color w:val="auto"/>
                <w:sz w:val="24"/>
                <w:highlight w:val="none"/>
              </w:rPr>
            </w:pPr>
            <w:r>
              <w:rPr>
                <w:rFonts w:hint="eastAsia" w:ascii="宋体" w:hAnsi="宋体" w:cs="宋体"/>
                <w:color w:val="auto"/>
                <w:sz w:val="24"/>
                <w:highlight w:val="none"/>
              </w:rPr>
              <w:t>④服务承诺及保障措施；</w:t>
            </w:r>
          </w:p>
          <w:p w14:paraId="236A1356">
            <w:pPr>
              <w:rPr>
                <w:rFonts w:hint="eastAsia" w:ascii="宋体" w:hAnsi="宋体" w:cs="宋体"/>
                <w:color w:val="auto"/>
                <w:sz w:val="24"/>
                <w:highlight w:val="none"/>
              </w:rPr>
            </w:pPr>
            <w:r>
              <w:rPr>
                <w:rFonts w:hint="eastAsia" w:ascii="宋体" w:hAnsi="宋体" w:cs="宋体"/>
                <w:color w:val="auto"/>
                <w:sz w:val="24"/>
                <w:highlight w:val="none"/>
              </w:rPr>
              <w:t>⑤备件供应及质量保证；</w:t>
            </w:r>
          </w:p>
          <w:p w14:paraId="313D1147">
            <w:pPr>
              <w:rPr>
                <w:rFonts w:hint="eastAsia" w:ascii="宋体" w:hAnsi="宋体" w:cs="宋体"/>
                <w:color w:val="auto"/>
                <w:sz w:val="24"/>
                <w:highlight w:val="none"/>
              </w:rPr>
            </w:pPr>
            <w:r>
              <w:rPr>
                <w:rFonts w:hint="eastAsia" w:ascii="宋体" w:hAnsi="宋体" w:cs="宋体"/>
                <w:color w:val="auto"/>
                <w:sz w:val="24"/>
                <w:highlight w:val="none"/>
              </w:rPr>
              <w:t>⑥质保期满后的维修方案等方面；</w:t>
            </w:r>
          </w:p>
          <w:p w14:paraId="3DD8A26B">
            <w:pPr>
              <w:rPr>
                <w:rFonts w:ascii="宋体" w:hAnsi="宋体" w:cs="宋体"/>
                <w:color w:val="auto"/>
                <w:sz w:val="24"/>
                <w:highlight w:val="none"/>
              </w:rPr>
            </w:pPr>
            <w:r>
              <w:rPr>
                <w:rFonts w:hint="eastAsia" w:ascii="宋体" w:hAnsi="宋体" w:cs="宋体"/>
                <w:color w:val="auto"/>
                <w:sz w:val="24"/>
                <w:highlight w:val="none"/>
              </w:rPr>
              <w:t>对投标人提供的售后服务方案进行评价，方案完整、合理的每项计1分，不够完善的每项计0.5分，未提供的不计分，最高得6分。</w:t>
            </w:r>
          </w:p>
        </w:tc>
        <w:tc>
          <w:tcPr>
            <w:tcW w:w="433" w:type="pct"/>
            <w:tcBorders>
              <w:top w:val="single" w:color="000000" w:sz="4" w:space="0"/>
              <w:left w:val="single" w:color="000000" w:sz="4" w:space="0"/>
              <w:bottom w:val="single" w:color="000000" w:sz="4" w:space="0"/>
              <w:right w:val="single" w:color="000000" w:sz="4" w:space="0"/>
            </w:tcBorders>
            <w:vAlign w:val="center"/>
          </w:tcPr>
          <w:p w14:paraId="3BDFE94E">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412AA2D1">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7D09FFD">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主观分</w:t>
            </w:r>
          </w:p>
        </w:tc>
      </w:tr>
    </w:tbl>
    <w:p w14:paraId="2C3E8070">
      <w:pPr>
        <w:autoSpaceDE w:val="0"/>
        <w:autoSpaceDN w:val="0"/>
        <w:adjustRightInd w:val="0"/>
        <w:snapToGrid w:val="0"/>
        <w:spacing w:line="460" w:lineRule="exact"/>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rPr>
        <w:t>30</w:t>
      </w:r>
      <w:r>
        <w:rPr>
          <w:rFonts w:hint="eastAsia" w:ascii="宋体" w:hAnsi="宋体" w:cs="宋体"/>
          <w:color w:val="auto"/>
          <w:sz w:val="28"/>
          <w:szCs w:val="28"/>
          <w:highlight w:val="none"/>
          <w:lang w:val="zh-CN"/>
        </w:rPr>
        <w:t>分</w:t>
      </w:r>
      <w:bookmarkEnd w:id="155"/>
    </w:p>
    <w:p w14:paraId="5C4323F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3710A0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投标报价得分=（评标基准价/投标报价）×30</w:t>
      </w:r>
    </w:p>
    <w:p w14:paraId="00839ECF">
      <w:pPr>
        <w:autoSpaceDE w:val="0"/>
        <w:autoSpaceDN w:val="0"/>
        <w:adjustRightInd w:val="0"/>
        <w:snapToGrid w:val="0"/>
        <w:spacing w:line="50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0FA7B35D">
      <w:pPr>
        <w:adjustRightInd w:val="0"/>
        <w:snapToGrid w:val="0"/>
        <w:spacing w:line="460" w:lineRule="exact"/>
        <w:outlineLvl w:val="2"/>
        <w:rPr>
          <w:rFonts w:hint="eastAsia" w:hAnsi="宋体" w:cs="宋体"/>
          <w:b w:val="0"/>
          <w:bCs/>
          <w:color w:val="auto"/>
        </w:rPr>
      </w:pPr>
      <w:bookmarkStart w:id="156" w:name="_Toc13123"/>
      <w:r>
        <w:rPr>
          <w:rFonts w:hint="eastAsia" w:ascii="宋体" w:hAnsi="宋体" w:cs="宋体"/>
          <w:b/>
          <w:color w:val="auto"/>
          <w:sz w:val="28"/>
          <w:szCs w:val="28"/>
          <w:highlight w:val="none"/>
        </w:rPr>
        <w:t>（五）</w:t>
      </w:r>
      <w:r>
        <w:rPr>
          <w:rFonts w:hint="eastAsia" w:ascii="宋体" w:hAnsi="宋体" w:cs="宋体"/>
          <w:b/>
          <w:bCs/>
          <w:color w:val="auto"/>
          <w:sz w:val="28"/>
          <w:szCs w:val="28"/>
          <w:highlight w:val="none"/>
        </w:rPr>
        <w:t>政府采购政策功能落实</w:t>
      </w:r>
    </w:p>
    <w:p w14:paraId="6AC2BA1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lang w:val="en-US" w:eastAsia="zh-CN"/>
        </w:rPr>
        <w:t>采购本国产品的支持政策</w:t>
      </w:r>
    </w:p>
    <w:p w14:paraId="5679A50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403F4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399D3D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3.本项目政府采购活动中既有本国产品又有非本国产品参与竞争的，依法对本国产品给予价格评审优惠，对本国产品的报价给予20%的价格扣除，用扣除后的价格参与评审。</w:t>
      </w:r>
    </w:p>
    <w:p w14:paraId="4BA2677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B6846B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5.投标人需按照招标文件的要求提供《关于符合本国产品标准的声明函》（以下简称《声明函》）（格式见附件2），如不提供将不享受本国产品价格评审优惠。</w:t>
      </w:r>
    </w:p>
    <w:p w14:paraId="78A25A1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4FB8E5A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3E3417C">
      <w:pPr>
        <w:adjustRightInd w:val="0"/>
        <w:snapToGrid w:val="0"/>
        <w:spacing w:line="460" w:lineRule="exact"/>
        <w:ind w:firstLine="562" w:firstLineChars="20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六</w:t>
      </w:r>
      <w:r>
        <w:rPr>
          <w:rFonts w:hint="eastAsia" w:ascii="宋体" w:hAnsi="宋体" w:cs="宋体"/>
          <w:b/>
          <w:color w:val="auto"/>
          <w:sz w:val="28"/>
          <w:szCs w:val="28"/>
          <w:highlight w:val="none"/>
        </w:rPr>
        <w:t>）中标人的确定</w:t>
      </w:r>
      <w:bookmarkEnd w:id="156"/>
    </w:p>
    <w:p w14:paraId="414318A3">
      <w:pPr>
        <w:adjustRightInd w:val="0"/>
        <w:snapToGrid w:val="0"/>
        <w:spacing w:line="460" w:lineRule="exact"/>
        <w:ind w:firstLine="570"/>
        <w:rPr>
          <w:rFonts w:ascii="宋体" w:hAnsi="宋体" w:cs="宋体"/>
          <w:bCs/>
          <w:color w:val="auto"/>
          <w:sz w:val="28"/>
          <w:szCs w:val="28"/>
          <w:highlight w:val="none"/>
        </w:rPr>
      </w:pPr>
      <w:r>
        <w:rPr>
          <w:rFonts w:hint="eastAsia" w:ascii="宋体" w:hAnsi="宋体" w:cs="宋体"/>
          <w:bCs/>
          <w:color w:val="auto"/>
          <w:sz w:val="28"/>
          <w:szCs w:val="28"/>
          <w:highlight w:val="none"/>
        </w:rPr>
        <w:t>采用综合评分法的，评审结果按评审后得分由高到低顺序排列。得分相同的，按投标报价由低到高顺序排列。得分且投标报价相同的并列。采取随机抽取的方式确定。</w:t>
      </w:r>
    </w:p>
    <w:p w14:paraId="6C6E08A5">
      <w:pPr>
        <w:adjustRightInd w:val="0"/>
        <w:snapToGrid w:val="0"/>
        <w:spacing w:line="460" w:lineRule="exact"/>
        <w:ind w:firstLine="562" w:firstLineChars="200"/>
        <w:outlineLvl w:val="2"/>
        <w:rPr>
          <w:rFonts w:ascii="宋体" w:hAnsi="宋体" w:cs="宋体"/>
          <w:b/>
          <w:color w:val="auto"/>
          <w:sz w:val="28"/>
          <w:szCs w:val="28"/>
          <w:highlight w:val="none"/>
        </w:rPr>
      </w:pPr>
      <w:bookmarkStart w:id="157" w:name="_Toc13"/>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七</w:t>
      </w:r>
      <w:r>
        <w:rPr>
          <w:rFonts w:hint="eastAsia" w:ascii="宋体" w:hAnsi="宋体" w:cs="宋体"/>
          <w:b/>
          <w:color w:val="auto"/>
          <w:sz w:val="28"/>
          <w:szCs w:val="28"/>
          <w:highlight w:val="none"/>
        </w:rPr>
        <w:t>）公告中标结果</w:t>
      </w:r>
      <w:bookmarkEnd w:id="157"/>
    </w:p>
    <w:p w14:paraId="1DAA91F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自确定中标人之日起2个工作日内，在江苏政府采购网公告中标结果，公告期限为1个工作日。</w:t>
      </w:r>
    </w:p>
    <w:p w14:paraId="79881266">
      <w:pPr>
        <w:adjustRightInd w:val="0"/>
        <w:snapToGrid w:val="0"/>
        <w:spacing w:line="420" w:lineRule="exact"/>
        <w:ind w:firstLine="562" w:firstLineChars="200"/>
        <w:outlineLvl w:val="2"/>
        <w:rPr>
          <w:rFonts w:ascii="宋体" w:hAnsi="宋体" w:cs="宋体"/>
          <w:b/>
          <w:bCs/>
          <w:color w:val="auto"/>
          <w:sz w:val="28"/>
          <w:szCs w:val="28"/>
          <w:highlight w:val="none"/>
        </w:rPr>
      </w:pPr>
      <w:bookmarkStart w:id="158" w:name="_Toc27458"/>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bookmarkEnd w:id="158"/>
    </w:p>
    <w:p w14:paraId="5F2EA759">
      <w:pPr>
        <w:adjustRightInd w:val="0"/>
        <w:snapToGrid w:val="0"/>
        <w:spacing w:line="42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7387FA87">
      <w:pPr>
        <w:adjustRightInd w:val="0"/>
        <w:snapToGrid w:val="0"/>
        <w:spacing w:line="42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6466A87A">
      <w:pPr>
        <w:adjustRightInd w:val="0"/>
        <w:snapToGrid w:val="0"/>
        <w:spacing w:line="420" w:lineRule="exact"/>
        <w:ind w:firstLine="562" w:firstLineChars="200"/>
        <w:outlineLvl w:val="2"/>
        <w:rPr>
          <w:rFonts w:ascii="宋体" w:hAnsi="宋体" w:cs="宋体"/>
          <w:b/>
          <w:color w:val="auto"/>
          <w:sz w:val="28"/>
          <w:szCs w:val="28"/>
          <w:highlight w:val="none"/>
        </w:rPr>
      </w:pPr>
      <w:bookmarkStart w:id="159" w:name="_Toc19733"/>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九</w:t>
      </w:r>
      <w:r>
        <w:rPr>
          <w:rFonts w:hint="eastAsia" w:ascii="宋体" w:hAnsi="宋体" w:cs="宋体"/>
          <w:b/>
          <w:color w:val="auto"/>
          <w:sz w:val="28"/>
          <w:szCs w:val="28"/>
          <w:highlight w:val="none"/>
        </w:rPr>
        <w:t>）其他</w:t>
      </w:r>
      <w:bookmarkEnd w:id="159"/>
    </w:p>
    <w:p w14:paraId="23E7EAEF">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当中标人无正当理由放弃中标，被查实存在影响中标结果的违法行为等情形，招标人有权按照政府采购相关法律法规的规定对其采取惩戒措施，包含但不限于列入采购失信人黑名单等措施。</w:t>
      </w:r>
    </w:p>
    <w:p w14:paraId="7FA42968">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当中标人放弃中标、因不可抗力不能履行合同，或者被查实存在影响中标结果的违法行为等情形，不符合中标条件的（存在招标文件规定的被招标人拒签合同的情形等），招标人可以按照评标委员会提出的中标候选人名单排序依次确定其他中标候选人为中标人，也可以重新招标。</w:t>
      </w:r>
    </w:p>
    <w:p w14:paraId="3A006638">
      <w:pPr>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160" w:name="_Toc23874"/>
      <w:bookmarkStart w:id="161" w:name="_Toc7997"/>
      <w:r>
        <w:rPr>
          <w:rFonts w:hint="eastAsia" w:ascii="宋体" w:hAnsi="宋体" w:cs="宋体"/>
          <w:bCs/>
          <w:color w:val="auto"/>
          <w:sz w:val="36"/>
          <w:szCs w:val="36"/>
          <w:highlight w:val="none"/>
        </w:rPr>
        <w:t>第五部分 质疑与投诉</w:t>
      </w:r>
      <w:bookmarkEnd w:id="160"/>
      <w:bookmarkEnd w:id="161"/>
    </w:p>
    <w:p w14:paraId="2788DE77">
      <w:pPr>
        <w:adjustRightInd w:val="0"/>
        <w:snapToGrid w:val="0"/>
        <w:spacing w:line="460" w:lineRule="exact"/>
        <w:ind w:firstLine="560" w:firstLineChars="200"/>
        <w:outlineLvl w:val="1"/>
        <w:rPr>
          <w:rFonts w:ascii="宋体" w:hAnsi="宋体" w:cs="宋体"/>
          <w:color w:val="auto"/>
          <w:sz w:val="28"/>
          <w:szCs w:val="28"/>
          <w:highlight w:val="none"/>
        </w:rPr>
      </w:pPr>
      <w:bookmarkStart w:id="162" w:name="_Toc23571"/>
      <w:r>
        <w:rPr>
          <w:rFonts w:hint="eastAsia" w:ascii="宋体" w:hAnsi="宋体" w:cs="宋体"/>
          <w:color w:val="auto"/>
          <w:sz w:val="28"/>
          <w:szCs w:val="28"/>
          <w:highlight w:val="none"/>
        </w:rPr>
        <w:t>一、质疑事项</w:t>
      </w:r>
      <w:bookmarkEnd w:id="162"/>
    </w:p>
    <w:p w14:paraId="6314439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1.提出质疑的投标人应当是参与所质疑项目采购活动的投标人。潜在投标人依法获取其可质疑的招标文件的，可以对招标文件提出质疑。</w:t>
      </w:r>
    </w:p>
    <w:p w14:paraId="331911A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2.投标人认为招标文件、采购过程和采购结果使自己的权益受到损害的，可以在知道或应知其权益受到损害之日起七个工作日内，以书面形式向代理机构或招标人提出质疑。上述应知其权益受到损害之日，是指：</w:t>
      </w:r>
    </w:p>
    <w:p w14:paraId="60A65276">
      <w:pPr>
        <w:pStyle w:val="5"/>
        <w:adjustRightInd w:val="0"/>
        <w:snapToGrid w:val="0"/>
        <w:spacing w:line="46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2.1对可以质疑的招标文件提出质疑的，为收到招标文件之日或者招标文件公告期限届满之日；采购项目开标后，不再接受投标人对采购文件（含更正公告等）内容的异议或质询（质疑）。</w:t>
      </w:r>
    </w:p>
    <w:p w14:paraId="54DB3C39">
      <w:pPr>
        <w:adjustRightInd w:val="0"/>
        <w:snapToGrid w:val="0"/>
        <w:spacing w:line="460" w:lineRule="exact"/>
        <w:ind w:firstLine="562" w:firstLineChars="200"/>
        <w:outlineLvl w:val="2"/>
        <w:rPr>
          <w:rFonts w:ascii="宋体" w:hAnsi="宋体" w:cs="宋体"/>
          <w:b/>
          <w:bCs/>
          <w:color w:val="auto"/>
          <w:kern w:val="0"/>
          <w:sz w:val="28"/>
          <w:szCs w:val="28"/>
          <w:highlight w:val="none"/>
        </w:rPr>
      </w:pPr>
      <w:bookmarkStart w:id="163" w:name="_Toc32024"/>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bookmarkEnd w:id="163"/>
    </w:p>
    <w:p w14:paraId="24A36F48">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其中：对评审过程中涉及的密封检查、身份核对、澄清等程序性事项，投标人如有异议的，必须当场提出。否则，均视为投标人无异议。无论是否中标，投标人事后不得再就前述事项提出任何异议或质疑投诉。</w:t>
      </w:r>
    </w:p>
    <w:p w14:paraId="5148C727">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2EF7D2F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投标人应当在法定质疑期内一次性提出针对同一采购程序环节的质疑。</w:t>
      </w:r>
    </w:p>
    <w:p w14:paraId="35BB39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2C488EF6">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4.对</w:t>
      </w:r>
      <w:r>
        <w:rPr>
          <w:rFonts w:hint="eastAsia" w:ascii="宋体" w:hAnsi="宋体" w:cs="宋体"/>
          <w:color w:val="auto"/>
          <w:sz w:val="28"/>
          <w:szCs w:val="28"/>
          <w:highlight w:val="none"/>
          <w:lang w:eastAsia="zh-CN"/>
        </w:rPr>
        <w:t>招标方式</w:t>
      </w:r>
      <w:r>
        <w:rPr>
          <w:rFonts w:hint="eastAsia" w:ascii="宋体" w:hAnsi="宋体" w:cs="宋体"/>
          <w:color w:val="auto"/>
          <w:sz w:val="28"/>
          <w:szCs w:val="28"/>
          <w:highlight w:val="none"/>
        </w:rPr>
        <w:t>、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p>
    <w:p w14:paraId="7DD235F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1BF87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招标人及招标代理机构质疑接收人及联系方式，见招标文件第一部分。</w:t>
      </w:r>
    </w:p>
    <w:p w14:paraId="3A3E0DBF">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5.投标人提出质疑应当提交质疑函和必要的证明材料，否则不予受理。质疑函应当包括下列内容：</w:t>
      </w:r>
    </w:p>
    <w:p w14:paraId="3F11455E">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投标人的姓名或者名称、地址、邮编、联系人及联系电话；</w:t>
      </w:r>
    </w:p>
    <w:p w14:paraId="25693077">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589E16B3">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650A7E91">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2AF9ECEF">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46D15765">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4AA61DA5">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投标人为自然人的，应当由本人签字；投标人为法人或者其他组织的，应当由法定代表人、主要负责人，或者其授权代表签字或者盖章，并加盖公章。</w:t>
      </w:r>
    </w:p>
    <w:p w14:paraId="2DA2CCAA">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1D147FA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2A470E4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3D34DD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6.3未参加招标活动的投标人或在招标活动中自身权益未受到损害的投标人所提出的质疑。</w:t>
      </w:r>
    </w:p>
    <w:p w14:paraId="5DCF225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p>
    <w:p w14:paraId="065B2F3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21BEFE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179C85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E4218C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6A4E655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6294FF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2FD3F971">
      <w:pPr>
        <w:adjustRightInd w:val="0"/>
        <w:snapToGrid w:val="0"/>
        <w:spacing w:line="460" w:lineRule="exact"/>
        <w:ind w:firstLine="560" w:firstLineChars="200"/>
        <w:outlineLvl w:val="1"/>
        <w:rPr>
          <w:rFonts w:ascii="宋体" w:hAnsi="宋体" w:cs="宋体"/>
          <w:color w:val="auto"/>
          <w:sz w:val="28"/>
          <w:szCs w:val="28"/>
          <w:highlight w:val="none"/>
        </w:rPr>
      </w:pPr>
      <w:bookmarkStart w:id="164" w:name="_Toc32547"/>
      <w:r>
        <w:rPr>
          <w:rFonts w:hint="eastAsia" w:ascii="宋体" w:hAnsi="宋体" w:cs="宋体"/>
          <w:color w:val="auto"/>
          <w:sz w:val="28"/>
          <w:szCs w:val="28"/>
          <w:highlight w:val="none"/>
        </w:rPr>
        <w:t>二、《质疑函》的受理和回复</w:t>
      </w:r>
      <w:bookmarkEnd w:id="164"/>
    </w:p>
    <w:p w14:paraId="2560832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2BBC58C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377C78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5BEF836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3E9D570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164EE5A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5.因质疑情况复杂，组织论证或审查时间较长的，招标人、代理机构以书面形式通知质疑人，可适当延长质疑回复处理时间。</w:t>
      </w:r>
    </w:p>
    <w:p w14:paraId="78099DDC">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①质疑成立的处理。招标人或代理机构终止招标，并建议有关部门给相关当事人予以处理。</w:t>
      </w:r>
    </w:p>
    <w:p w14:paraId="79C5B59B">
      <w:pPr>
        <w:adjustRightInd w:val="0"/>
        <w:snapToGrid w:val="0"/>
        <w:spacing w:line="460" w:lineRule="exact"/>
        <w:ind w:firstLine="560" w:firstLineChars="200"/>
        <w:contextualSpacing/>
        <w:outlineLvl w:val="2"/>
        <w:rPr>
          <w:rFonts w:ascii="宋体" w:hAnsi="宋体" w:cs="宋体"/>
          <w:color w:val="auto"/>
          <w:sz w:val="28"/>
          <w:szCs w:val="28"/>
          <w:highlight w:val="none"/>
        </w:rPr>
      </w:pPr>
      <w:bookmarkStart w:id="165" w:name="_Toc18082"/>
      <w:r>
        <w:rPr>
          <w:rFonts w:hint="eastAsia" w:ascii="宋体" w:hAnsi="宋体" w:cs="宋体"/>
          <w:color w:val="auto"/>
          <w:sz w:val="28"/>
          <w:szCs w:val="28"/>
          <w:highlight w:val="none"/>
        </w:rPr>
        <w:t>②质疑不成立的处理。</w:t>
      </w:r>
      <w:bookmarkEnd w:id="165"/>
    </w:p>
    <w:p w14:paraId="53BAEE90">
      <w:pPr>
        <w:adjustRightInd w:val="0"/>
        <w:snapToGrid w:val="0"/>
        <w:spacing w:line="460" w:lineRule="exact"/>
        <w:ind w:firstLine="560" w:firstLineChars="200"/>
        <w:contextualSpacing/>
        <w:outlineLvl w:val="3"/>
        <w:rPr>
          <w:rFonts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261C4FE8">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6B41C37">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2C3FE1EE">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4）质疑人虽提供了相关佐证材料，但不能证明其质疑成立的，招标人或代理机构请质疑人补充相关佐证材料，仍不能证明其质疑成立的，作违约处理。</w:t>
      </w:r>
    </w:p>
    <w:p w14:paraId="69BD2482">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5）质疑人不能提供相关佐证材料的，招标人、代理机构已指出，质疑人仍然坚持提出质疑的，作违约处理。</w:t>
      </w:r>
    </w:p>
    <w:p w14:paraId="17B19835">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6）对明显有违事实的、经相关专家或评标小组认定无依据的、经其他投标人举证无依据的质疑，作违约处理，视情在招标人官网媒体予以披露。</w:t>
      </w:r>
    </w:p>
    <w:p w14:paraId="067FEC6F">
      <w:pPr>
        <w:adjustRightInd w:val="0"/>
        <w:snapToGrid w:val="0"/>
        <w:spacing w:line="460" w:lineRule="exact"/>
        <w:ind w:firstLine="560" w:firstLineChars="200"/>
        <w:contextualSpacing/>
        <w:outlineLvl w:val="4"/>
        <w:rPr>
          <w:rFonts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7879E222">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4E4A0FE0">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5868D07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21F7D0BD">
      <w:pPr>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六、质疑人对招标人或代理机构的答复不满意或者招标人、代理机构未在规定的时间内作出答复的，可以在答复期满后15个工作日内向相关监督管理部门投诉。</w:t>
      </w:r>
    </w:p>
    <w:p w14:paraId="28528048">
      <w:pPr>
        <w:jc w:val="center"/>
        <w:rPr>
          <w:rFonts w:ascii="宋体" w:hAnsi="宋体" w:cs="宋体"/>
          <w:bCs/>
          <w:color w:val="auto"/>
          <w:sz w:val="36"/>
          <w:szCs w:val="36"/>
          <w:highlight w:val="none"/>
        </w:rPr>
      </w:pPr>
    </w:p>
    <w:p w14:paraId="519BE481">
      <w:pPr>
        <w:jc w:val="center"/>
        <w:rPr>
          <w:rFonts w:ascii="宋体" w:hAnsi="宋体" w:cs="宋体"/>
          <w:bCs/>
          <w:color w:val="auto"/>
          <w:sz w:val="36"/>
          <w:szCs w:val="36"/>
          <w:highlight w:val="none"/>
        </w:rPr>
      </w:pPr>
    </w:p>
    <w:p w14:paraId="778B081D">
      <w:pPr>
        <w:jc w:val="center"/>
        <w:rPr>
          <w:rFonts w:ascii="宋体" w:hAnsi="宋体" w:cs="宋体"/>
          <w:bCs/>
          <w:color w:val="auto"/>
          <w:sz w:val="36"/>
          <w:szCs w:val="36"/>
          <w:highlight w:val="none"/>
        </w:rPr>
      </w:pPr>
    </w:p>
    <w:p w14:paraId="7B02D2BA">
      <w:pPr>
        <w:jc w:val="center"/>
        <w:rPr>
          <w:rFonts w:ascii="宋体" w:hAnsi="宋体" w:cs="宋体"/>
          <w:bCs/>
          <w:color w:val="auto"/>
          <w:sz w:val="36"/>
          <w:szCs w:val="36"/>
          <w:highlight w:val="none"/>
        </w:rPr>
      </w:pPr>
    </w:p>
    <w:p w14:paraId="6F6776EC">
      <w:pPr>
        <w:jc w:val="center"/>
        <w:outlineLvl w:val="0"/>
        <w:rPr>
          <w:rFonts w:ascii="宋体" w:hAnsi="宋体" w:cs="宋体"/>
          <w:bCs/>
          <w:color w:val="auto"/>
          <w:sz w:val="36"/>
          <w:szCs w:val="36"/>
          <w:highlight w:val="none"/>
        </w:rPr>
      </w:pPr>
      <w:bookmarkStart w:id="166" w:name="_Toc12704"/>
      <w:bookmarkStart w:id="167" w:name="_Toc20594"/>
      <w:r>
        <w:rPr>
          <w:rFonts w:hint="eastAsia" w:ascii="宋体" w:hAnsi="宋体" w:cs="宋体"/>
          <w:bCs/>
          <w:color w:val="auto"/>
          <w:sz w:val="36"/>
          <w:szCs w:val="36"/>
          <w:highlight w:val="none"/>
        </w:rPr>
        <w:t>第六部分  投标文件组成</w:t>
      </w:r>
      <w:bookmarkEnd w:id="166"/>
      <w:bookmarkEnd w:id="167"/>
    </w:p>
    <w:p w14:paraId="47F76659">
      <w:pPr>
        <w:spacing w:line="460" w:lineRule="exact"/>
        <w:ind w:left="480"/>
        <w:outlineLvl w:val="1"/>
        <w:rPr>
          <w:rFonts w:ascii="宋体" w:hAnsi="宋体" w:cs="宋体"/>
          <w:b/>
          <w:color w:val="auto"/>
          <w:sz w:val="28"/>
          <w:szCs w:val="28"/>
          <w:highlight w:val="none"/>
        </w:rPr>
      </w:pPr>
      <w:bookmarkStart w:id="168" w:name="_Toc30344"/>
      <w:r>
        <w:rPr>
          <w:rFonts w:hint="eastAsia" w:ascii="宋体" w:hAnsi="宋体" w:cs="宋体"/>
          <w:b/>
          <w:color w:val="auto"/>
          <w:sz w:val="28"/>
          <w:szCs w:val="28"/>
          <w:highlight w:val="none"/>
        </w:rPr>
        <w:t>一、基本目录</w:t>
      </w:r>
      <w:bookmarkEnd w:id="168"/>
    </w:p>
    <w:p w14:paraId="7EE63079">
      <w:pPr>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1</w:t>
      </w:r>
      <w:r>
        <w:rPr>
          <w:rFonts w:hint="eastAsia" w:ascii="宋体" w:hAnsi="宋体" w:cs="宋体"/>
          <w:color w:val="auto"/>
          <w:kern w:val="0"/>
          <w:sz w:val="28"/>
          <w:szCs w:val="28"/>
          <w:highlight w:val="none"/>
          <w:lang w:val="zh-CN"/>
        </w:rPr>
        <w:t>.开标一览表（</w:t>
      </w:r>
      <w:r>
        <w:rPr>
          <w:rFonts w:hint="eastAsia" w:ascii="宋体" w:hAnsi="宋体" w:cs="宋体"/>
          <w:bCs/>
          <w:color w:val="auto"/>
          <w:sz w:val="28"/>
          <w:szCs w:val="28"/>
          <w:highlight w:val="none"/>
        </w:rPr>
        <w:t>苏</w:t>
      </w:r>
      <w:r>
        <w:rPr>
          <w:rFonts w:hint="eastAsia" w:ascii="宋体" w:hAnsi="宋体" w:cs="宋体"/>
          <w:bCs/>
          <w:color w:val="auto"/>
          <w:sz w:val="28"/>
          <w:szCs w:val="28"/>
          <w:highlight w:val="none"/>
          <w:lang w:val="en-US" w:eastAsia="zh-CN"/>
        </w:rPr>
        <w:t>采</w:t>
      </w:r>
      <w:r>
        <w:rPr>
          <w:rFonts w:hint="eastAsia" w:ascii="宋体" w:hAnsi="宋体" w:cs="宋体"/>
          <w:bCs/>
          <w:color w:val="auto"/>
          <w:sz w:val="28"/>
          <w:szCs w:val="28"/>
          <w:highlight w:val="none"/>
        </w:rPr>
        <w:t>云系统固定格式</w:t>
      </w:r>
      <w:r>
        <w:rPr>
          <w:rFonts w:hint="eastAsia" w:ascii="宋体" w:hAnsi="宋体" w:cs="宋体"/>
          <w:color w:val="auto"/>
          <w:kern w:val="0"/>
          <w:sz w:val="28"/>
          <w:szCs w:val="28"/>
          <w:highlight w:val="none"/>
          <w:lang w:val="zh-CN"/>
        </w:rPr>
        <w:t>）；</w:t>
      </w:r>
    </w:p>
    <w:p w14:paraId="610F245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2.分项报价表（</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w:t>
      </w:r>
    </w:p>
    <w:p w14:paraId="189FAD3A">
      <w:pPr>
        <w:adjustRightInd w:val="0"/>
        <w:snapToGrid w:val="0"/>
        <w:spacing w:line="460" w:lineRule="exact"/>
        <w:ind w:firstLine="560" w:firstLineChars="200"/>
        <w:rPr>
          <w:rFonts w:hint="default" w:ascii="宋体" w:hAnsi="宋体" w:eastAsia="宋体" w:cs="宋体"/>
          <w:bCs/>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3.关于符合本国产品标准的声明函</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w:t>
      </w:r>
    </w:p>
    <w:p w14:paraId="014E6BB7">
      <w:pPr>
        <w:adjustRightInd w:val="0"/>
        <w:snapToGrid w:val="0"/>
        <w:spacing w:line="46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4</w:t>
      </w:r>
      <w:r>
        <w:rPr>
          <w:rFonts w:hint="eastAsia" w:ascii="宋体" w:hAnsi="宋体" w:cs="宋体"/>
          <w:bCs/>
          <w:color w:val="auto"/>
          <w:kern w:val="0"/>
          <w:sz w:val="28"/>
          <w:szCs w:val="28"/>
          <w:highlight w:val="none"/>
          <w:lang w:val="zh-CN"/>
        </w:rPr>
        <w:t>.投标人情况一览表（格式见附件</w:t>
      </w:r>
      <w:r>
        <w:rPr>
          <w:rFonts w:hint="eastAsia" w:ascii="宋体" w:hAnsi="宋体" w:cs="宋体"/>
          <w:bCs/>
          <w:color w:val="auto"/>
          <w:kern w:val="0"/>
          <w:sz w:val="28"/>
          <w:szCs w:val="28"/>
          <w:highlight w:val="none"/>
          <w:lang w:val="en-US" w:eastAsia="zh-CN"/>
        </w:rPr>
        <w:t>3</w:t>
      </w:r>
      <w:r>
        <w:rPr>
          <w:rFonts w:hint="eastAsia" w:ascii="宋体" w:hAnsi="宋体" w:cs="宋体"/>
          <w:bCs/>
          <w:color w:val="auto"/>
          <w:kern w:val="0"/>
          <w:sz w:val="28"/>
          <w:szCs w:val="28"/>
          <w:highlight w:val="none"/>
          <w:lang w:val="zh-CN"/>
        </w:rPr>
        <w:t>）；</w:t>
      </w:r>
    </w:p>
    <w:p w14:paraId="7233C86D">
      <w:pPr>
        <w:adjustRightInd w:val="0"/>
        <w:snapToGrid w:val="0"/>
        <w:spacing w:line="46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6</w:t>
      </w:r>
      <w:r>
        <w:rPr>
          <w:rFonts w:hint="eastAsia" w:ascii="宋体" w:hAnsi="宋体" w:cs="宋体"/>
          <w:bCs/>
          <w:color w:val="auto"/>
          <w:kern w:val="0"/>
          <w:sz w:val="28"/>
          <w:szCs w:val="28"/>
          <w:highlight w:val="none"/>
          <w:lang w:val="zh-CN"/>
        </w:rPr>
        <w:t>.技术要求响应及偏离表</w:t>
      </w:r>
      <w:r>
        <w:rPr>
          <w:rFonts w:hint="eastAsia" w:ascii="宋体" w:hAnsi="宋体" w:cs="宋体"/>
          <w:bCs/>
          <w:color w:val="auto"/>
          <w:kern w:val="0"/>
          <w:sz w:val="28"/>
          <w:szCs w:val="28"/>
          <w:highlight w:val="none"/>
        </w:rPr>
        <w:t>（</w:t>
      </w:r>
      <w:r>
        <w:rPr>
          <w:rFonts w:hint="eastAsia" w:ascii="宋体" w:hAnsi="宋体" w:cs="宋体"/>
          <w:bCs/>
          <w:color w:val="auto"/>
          <w:kern w:val="0"/>
          <w:sz w:val="28"/>
          <w:szCs w:val="28"/>
          <w:highlight w:val="none"/>
          <w:lang w:val="en-US" w:eastAsia="zh-CN"/>
        </w:rPr>
        <w:t>未</w:t>
      </w:r>
      <w:r>
        <w:rPr>
          <w:rFonts w:hint="eastAsia" w:ascii="宋体" w:hAnsi="宋体" w:cs="宋体"/>
          <w:bCs/>
          <w:color w:val="auto"/>
          <w:kern w:val="0"/>
          <w:sz w:val="28"/>
          <w:szCs w:val="28"/>
          <w:highlight w:val="none"/>
        </w:rPr>
        <w:t>标★项）</w:t>
      </w:r>
      <w:r>
        <w:rPr>
          <w:rFonts w:hint="eastAsia" w:ascii="宋体" w:hAnsi="宋体" w:cs="宋体"/>
          <w:bCs/>
          <w:color w:val="auto"/>
          <w:kern w:val="0"/>
          <w:sz w:val="28"/>
          <w:szCs w:val="28"/>
          <w:highlight w:val="none"/>
          <w:lang w:val="zh-CN"/>
        </w:rPr>
        <w:t>（格式见附件</w:t>
      </w:r>
      <w:r>
        <w:rPr>
          <w:rFonts w:hint="eastAsia" w:ascii="宋体" w:hAnsi="宋体" w:cs="宋体"/>
          <w:bCs/>
          <w:color w:val="auto"/>
          <w:kern w:val="0"/>
          <w:sz w:val="28"/>
          <w:szCs w:val="28"/>
          <w:highlight w:val="none"/>
          <w:lang w:val="en-US" w:eastAsia="zh-CN"/>
        </w:rPr>
        <w:t>4</w:t>
      </w:r>
      <w:r>
        <w:rPr>
          <w:rFonts w:hint="eastAsia" w:ascii="宋体" w:hAnsi="宋体" w:cs="宋体"/>
          <w:bCs/>
          <w:color w:val="auto"/>
          <w:kern w:val="0"/>
          <w:sz w:val="28"/>
          <w:szCs w:val="28"/>
          <w:highlight w:val="none"/>
          <w:lang w:val="zh-CN"/>
        </w:rPr>
        <w:t>）；</w:t>
      </w:r>
    </w:p>
    <w:p w14:paraId="77F5D42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kern w:val="0"/>
          <w:sz w:val="28"/>
          <w:szCs w:val="28"/>
          <w:highlight w:val="none"/>
          <w:lang w:val="en-US" w:eastAsia="zh-CN"/>
        </w:rPr>
        <w:t>7</w:t>
      </w:r>
      <w:r>
        <w:rPr>
          <w:rFonts w:hint="eastAsia" w:ascii="宋体" w:hAnsi="宋体" w:cs="宋体"/>
          <w:bCs/>
          <w:color w:val="auto"/>
          <w:kern w:val="0"/>
          <w:sz w:val="28"/>
          <w:szCs w:val="28"/>
          <w:highlight w:val="none"/>
        </w:rPr>
        <w:t>.</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5</w:t>
      </w:r>
      <w:r>
        <w:rPr>
          <w:rFonts w:hint="eastAsia" w:ascii="宋体" w:hAnsi="宋体" w:cs="宋体"/>
          <w:bCs/>
          <w:color w:val="auto"/>
          <w:kern w:val="0"/>
          <w:sz w:val="28"/>
          <w:szCs w:val="28"/>
          <w:highlight w:val="none"/>
          <w:lang w:val="zh-CN"/>
        </w:rPr>
        <w:t>）；</w:t>
      </w:r>
    </w:p>
    <w:p w14:paraId="7C249B7E">
      <w:pPr>
        <w:spacing w:line="440" w:lineRule="exact"/>
        <w:ind w:firstLine="560" w:firstLineChars="200"/>
        <w:rPr>
          <w:rFonts w:ascii="宋体" w:hAnsi="宋体" w:cs="宋体"/>
          <w:color w:val="auto"/>
          <w:highlight w:val="none"/>
        </w:rPr>
      </w:pP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投标人信用承诺书</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w:t>
      </w:r>
    </w:p>
    <w:p w14:paraId="1E507DE9">
      <w:pPr>
        <w:spacing w:line="460" w:lineRule="exact"/>
        <w:ind w:left="480"/>
        <w:outlineLvl w:val="1"/>
        <w:rPr>
          <w:rFonts w:ascii="宋体" w:hAnsi="宋体" w:cs="宋体"/>
          <w:b/>
          <w:color w:val="auto"/>
          <w:sz w:val="28"/>
          <w:szCs w:val="28"/>
          <w:highlight w:val="none"/>
        </w:rPr>
      </w:pPr>
      <w:bookmarkStart w:id="169" w:name="_Toc19557"/>
      <w:r>
        <w:rPr>
          <w:rFonts w:hint="eastAsia" w:ascii="宋体" w:hAnsi="宋体" w:cs="宋体"/>
          <w:b/>
          <w:color w:val="auto"/>
          <w:sz w:val="28"/>
          <w:szCs w:val="28"/>
          <w:highlight w:val="none"/>
        </w:rPr>
        <w:t>二、资格审查内容</w:t>
      </w:r>
      <w:bookmarkEnd w:id="169"/>
    </w:p>
    <w:p w14:paraId="209EDD9F">
      <w:pPr>
        <w:adjustRightInd w:val="0"/>
        <w:snapToGrid w:val="0"/>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投标人符合《</w:t>
      </w:r>
      <w:r>
        <w:rPr>
          <w:rFonts w:hint="eastAsia" w:ascii="宋体" w:hAnsi="宋体" w:cs="宋体"/>
          <w:color w:val="auto"/>
          <w:sz w:val="28"/>
          <w:szCs w:val="28"/>
          <w:highlight w:val="none"/>
        </w:rPr>
        <w:t>中华人民共和国政府采购法</w:t>
      </w:r>
      <w:r>
        <w:rPr>
          <w:rFonts w:hint="eastAsia" w:ascii="宋体" w:hAnsi="宋体" w:cs="宋体"/>
          <w:color w:val="auto"/>
          <w:kern w:val="0"/>
          <w:sz w:val="28"/>
          <w:szCs w:val="28"/>
          <w:highlight w:val="none"/>
        </w:rPr>
        <w:t>》第二十二条规定条件的承诺函</w:t>
      </w:r>
      <w:r>
        <w:rPr>
          <w:rFonts w:hint="eastAsia" w:ascii="宋体" w:hAnsi="宋体" w:cs="宋体"/>
          <w:color w:val="auto"/>
          <w:kern w:val="0"/>
          <w:sz w:val="28"/>
          <w:szCs w:val="28"/>
          <w:highlight w:val="none"/>
          <w:lang w:val="zh-CN"/>
        </w:rPr>
        <w:t>（格式见附件</w:t>
      </w:r>
      <w:r>
        <w:rPr>
          <w:rFonts w:hint="eastAsia" w:ascii="宋体" w:hAnsi="宋体" w:cs="宋体"/>
          <w:color w:val="auto"/>
          <w:kern w:val="0"/>
          <w:sz w:val="28"/>
          <w:szCs w:val="28"/>
          <w:highlight w:val="none"/>
          <w:lang w:val="en-US" w:eastAsia="zh-CN"/>
        </w:rPr>
        <w:t>7</w:t>
      </w:r>
      <w:r>
        <w:rPr>
          <w:rFonts w:hint="eastAsia" w:ascii="宋体" w:hAnsi="宋体" w:cs="宋体"/>
          <w:color w:val="auto"/>
          <w:kern w:val="0"/>
          <w:sz w:val="28"/>
          <w:szCs w:val="28"/>
          <w:highlight w:val="none"/>
          <w:lang w:val="zh-CN"/>
        </w:rPr>
        <w:t>）；</w:t>
      </w:r>
    </w:p>
    <w:p w14:paraId="00816972">
      <w:pPr>
        <w:adjustRightInd w:val="0"/>
        <w:snapToGrid w:val="0"/>
        <w:spacing w:line="440" w:lineRule="exact"/>
        <w:ind w:firstLine="560" w:firstLineChars="200"/>
        <w:outlineLvl w:val="2"/>
        <w:rPr>
          <w:rFonts w:ascii="宋体" w:hAnsi="宋体" w:cs="宋体"/>
          <w:color w:val="auto"/>
          <w:kern w:val="0"/>
          <w:sz w:val="28"/>
          <w:szCs w:val="28"/>
          <w:highlight w:val="none"/>
          <w:lang w:val="zh-CN"/>
        </w:rPr>
      </w:pPr>
      <w:bookmarkStart w:id="170" w:name="_Toc31323"/>
      <w:r>
        <w:rPr>
          <w:rFonts w:hint="eastAsia" w:ascii="宋体" w:hAnsi="宋体" w:cs="宋体"/>
          <w:color w:val="auto"/>
          <w:kern w:val="0"/>
          <w:sz w:val="28"/>
          <w:szCs w:val="28"/>
          <w:highlight w:val="none"/>
          <w:lang w:val="zh-CN"/>
        </w:rPr>
        <w:t>2.法定代表人身份证明书（格式见附件</w:t>
      </w:r>
      <w:r>
        <w:rPr>
          <w:rFonts w:hint="eastAsia" w:ascii="宋体" w:hAnsi="宋体" w:cs="宋体"/>
          <w:color w:val="auto"/>
          <w:kern w:val="0"/>
          <w:sz w:val="28"/>
          <w:szCs w:val="28"/>
          <w:highlight w:val="none"/>
          <w:lang w:val="en-US" w:eastAsia="zh-CN"/>
        </w:rPr>
        <w:t>8</w:t>
      </w:r>
      <w:r>
        <w:rPr>
          <w:rFonts w:hint="eastAsia" w:ascii="宋体" w:hAnsi="宋体" w:cs="宋体"/>
          <w:color w:val="auto"/>
          <w:kern w:val="0"/>
          <w:sz w:val="28"/>
          <w:szCs w:val="28"/>
          <w:highlight w:val="none"/>
          <w:lang w:val="zh-CN"/>
        </w:rPr>
        <w:t>）；</w:t>
      </w:r>
      <w:bookmarkEnd w:id="170"/>
    </w:p>
    <w:p w14:paraId="21DB8113">
      <w:pPr>
        <w:adjustRightInd w:val="0"/>
        <w:snapToGrid w:val="0"/>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w:t>
      </w:r>
      <w:r>
        <w:rPr>
          <w:rFonts w:hint="eastAsia" w:ascii="宋体" w:hAnsi="宋体" w:cs="宋体"/>
          <w:color w:val="auto"/>
          <w:kern w:val="0"/>
          <w:sz w:val="28"/>
          <w:szCs w:val="28"/>
          <w:highlight w:val="none"/>
        </w:rPr>
        <w:t>投标</w:t>
      </w:r>
      <w:r>
        <w:rPr>
          <w:rFonts w:hint="eastAsia" w:ascii="宋体" w:hAnsi="宋体" w:cs="宋体"/>
          <w:color w:val="auto"/>
          <w:kern w:val="0"/>
          <w:sz w:val="28"/>
          <w:szCs w:val="28"/>
          <w:highlight w:val="none"/>
          <w:lang w:val="zh-CN"/>
        </w:rPr>
        <w:t>代表本人身份证复印件（格式见附件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lang w:val="zh-CN"/>
        </w:rPr>
        <w:t>）；</w:t>
      </w:r>
    </w:p>
    <w:p w14:paraId="0AE3E9B3">
      <w:pPr>
        <w:spacing w:line="460" w:lineRule="exact"/>
        <w:ind w:firstLine="562"/>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zh-CN"/>
        </w:rPr>
        <w:t>其它需要提交的资格审查文件（以下满足其一即可）：</w:t>
      </w:r>
    </w:p>
    <w:p w14:paraId="4023F349">
      <w:pPr>
        <w:snapToGrid w:val="0"/>
        <w:spacing w:line="400" w:lineRule="exact"/>
        <w:ind w:firstLine="560" w:firstLineChars="200"/>
        <w:contextualSpacing/>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4.1小微企业声明函（如是，格式见附件10）；</w:t>
      </w:r>
    </w:p>
    <w:p w14:paraId="28F68C18">
      <w:pPr>
        <w:snapToGrid w:val="0"/>
        <w:spacing w:line="400" w:lineRule="exact"/>
        <w:ind w:firstLine="560" w:firstLineChars="200"/>
        <w:contextualSpacing/>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4.2残疾人福利性单位声明函（如是，格式见附件11）；</w:t>
      </w:r>
    </w:p>
    <w:p w14:paraId="0A5B535D">
      <w:pPr>
        <w:snapToGrid w:val="0"/>
        <w:spacing w:line="400" w:lineRule="exact"/>
        <w:ind w:firstLine="560" w:firstLineChars="200"/>
        <w:contextualSpacing/>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4.3监狱和戒毒企业证明材料（如是，格式见附件12）。</w:t>
      </w:r>
    </w:p>
    <w:p w14:paraId="0A4D28BE">
      <w:pPr>
        <w:spacing w:line="46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rPr>
        <w:t>注：上述“资格审查内容”中1-</w:t>
      </w:r>
      <w:r>
        <w:rPr>
          <w:rFonts w:hint="eastAsia" w:ascii="宋体" w:hAnsi="宋体" w:cs="宋体"/>
          <w:b/>
          <w:color w:val="auto"/>
          <w:sz w:val="28"/>
          <w:szCs w:val="28"/>
          <w:highlight w:val="none"/>
          <w:lang w:val="en-US" w:eastAsia="zh-CN"/>
        </w:rPr>
        <w:t>4</w:t>
      </w:r>
      <w:r>
        <w:rPr>
          <w:rFonts w:hint="eastAsia" w:ascii="宋体" w:hAnsi="宋体" w:cs="宋体"/>
          <w:b/>
          <w:color w:val="auto"/>
          <w:sz w:val="28"/>
          <w:szCs w:val="28"/>
          <w:highlight w:val="none"/>
        </w:rPr>
        <w:t>条投标人必须逐条响应，否则作无效响应处理。</w:t>
      </w:r>
    </w:p>
    <w:p w14:paraId="780A1219">
      <w:pPr>
        <w:spacing w:line="460" w:lineRule="exact"/>
        <w:ind w:left="480"/>
        <w:outlineLvl w:val="1"/>
        <w:rPr>
          <w:rFonts w:ascii="宋体" w:hAnsi="宋体" w:cs="宋体"/>
          <w:b/>
          <w:color w:val="auto"/>
          <w:sz w:val="28"/>
          <w:szCs w:val="28"/>
          <w:highlight w:val="none"/>
        </w:rPr>
      </w:pPr>
      <w:bookmarkStart w:id="171" w:name="_Toc2566"/>
      <w:r>
        <w:rPr>
          <w:rFonts w:hint="eastAsia" w:ascii="宋体" w:hAnsi="宋体" w:cs="宋体"/>
          <w:b/>
          <w:color w:val="auto"/>
          <w:sz w:val="28"/>
          <w:szCs w:val="28"/>
          <w:highlight w:val="none"/>
        </w:rPr>
        <w:t>三、符合性审查内容</w:t>
      </w:r>
      <w:bookmarkEnd w:id="171"/>
    </w:p>
    <w:p w14:paraId="0E100F3D">
      <w:pPr>
        <w:spacing w:line="440" w:lineRule="exact"/>
        <w:ind w:firstLine="562"/>
        <w:jc w:val="left"/>
        <w:outlineLvl w:val="1"/>
        <w:rPr>
          <w:rFonts w:hint="eastAsia" w:ascii="宋体" w:hAnsi="宋体" w:cs="宋体"/>
          <w:bCs/>
          <w:color w:val="auto"/>
          <w:sz w:val="28"/>
          <w:szCs w:val="28"/>
          <w:highlight w:val="none"/>
        </w:rPr>
      </w:pPr>
      <w:bookmarkStart w:id="172" w:name="_Toc21971"/>
      <w:r>
        <w:rPr>
          <w:rFonts w:hint="eastAsia" w:ascii="宋体" w:hAnsi="宋体" w:cs="宋体"/>
          <w:bCs/>
          <w:color w:val="auto"/>
          <w:sz w:val="28"/>
          <w:szCs w:val="28"/>
          <w:highlight w:val="none"/>
        </w:rPr>
        <w:t>按招标文件第三部分 项目需求“</w:t>
      </w:r>
      <w:r>
        <w:rPr>
          <w:rFonts w:hint="eastAsia" w:ascii="宋体" w:hAnsi="宋体" w:cs="宋体"/>
          <w:bCs/>
          <w:color w:val="auto"/>
          <w:sz w:val="28"/>
          <w:szCs w:val="28"/>
          <w:highlight w:val="none"/>
          <w:lang w:val="en-US" w:eastAsia="zh-CN"/>
        </w:rPr>
        <w:t>七、</w:t>
      </w:r>
      <w:r>
        <w:rPr>
          <w:rFonts w:hint="eastAsia" w:ascii="宋体" w:hAnsi="宋体" w:cs="宋体"/>
          <w:bCs/>
          <w:color w:val="auto"/>
          <w:sz w:val="28"/>
          <w:szCs w:val="28"/>
          <w:highlight w:val="none"/>
        </w:rPr>
        <w:t>采购需求中必须满足的实质性要求”提供</w:t>
      </w:r>
      <w:r>
        <w:rPr>
          <w:rFonts w:hint="eastAsia" w:ascii="宋体" w:hAnsi="宋体" w:cs="宋体"/>
          <w:bCs/>
          <w:color w:val="auto"/>
          <w:sz w:val="28"/>
          <w:szCs w:val="28"/>
          <w:highlight w:val="none"/>
          <w:lang w:eastAsia="zh-CN"/>
        </w:rPr>
        <w:t>，承诺书及《实质性要求响应及偏离表》（格式见附</w:t>
      </w:r>
      <w:r>
        <w:rPr>
          <w:rFonts w:hint="eastAsia" w:ascii="宋体" w:hAnsi="宋体" w:cs="宋体"/>
          <w:bCs/>
          <w:color w:val="auto"/>
          <w:sz w:val="28"/>
          <w:szCs w:val="28"/>
          <w:highlight w:val="none"/>
          <w:lang w:val="zh-CN" w:eastAsia="zh-CN"/>
        </w:rPr>
        <w:t>件</w:t>
      </w:r>
      <w:r>
        <w:rPr>
          <w:rFonts w:hint="eastAsia" w:ascii="宋体" w:hAnsi="宋体" w:cs="宋体"/>
          <w:bCs/>
          <w:color w:val="auto"/>
          <w:sz w:val="28"/>
          <w:szCs w:val="28"/>
          <w:highlight w:val="none"/>
          <w:lang w:val="en-US" w:eastAsia="zh-CN"/>
        </w:rPr>
        <w:t>13</w:t>
      </w:r>
      <w:r>
        <w:rPr>
          <w:rFonts w:hint="eastAsia" w:ascii="宋体" w:hAnsi="宋体" w:cs="宋体"/>
          <w:bCs/>
          <w:color w:val="auto"/>
          <w:sz w:val="28"/>
          <w:szCs w:val="28"/>
          <w:highlight w:val="none"/>
          <w:lang w:val="zh-CN" w:eastAsia="zh-CN"/>
        </w:rPr>
        <w:t>）</w:t>
      </w:r>
      <w:r>
        <w:rPr>
          <w:rFonts w:hint="eastAsia" w:ascii="宋体" w:hAnsi="宋体" w:cs="宋体"/>
          <w:bCs/>
          <w:color w:val="auto"/>
          <w:sz w:val="28"/>
          <w:szCs w:val="28"/>
          <w:highlight w:val="none"/>
          <w:lang w:eastAsia="zh-CN"/>
        </w:rPr>
        <w:t>等</w:t>
      </w:r>
      <w:r>
        <w:rPr>
          <w:rFonts w:hint="eastAsia" w:ascii="宋体" w:hAnsi="宋体" w:cs="宋体"/>
          <w:bCs/>
          <w:color w:val="auto"/>
          <w:sz w:val="28"/>
          <w:szCs w:val="28"/>
          <w:highlight w:val="none"/>
        </w:rPr>
        <w:t>。</w:t>
      </w:r>
    </w:p>
    <w:p w14:paraId="24532D6D">
      <w:pPr>
        <w:spacing w:line="440" w:lineRule="exact"/>
        <w:ind w:firstLine="562"/>
        <w:jc w:val="left"/>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四、商务技术文件</w:t>
      </w:r>
      <w:bookmarkEnd w:id="172"/>
    </w:p>
    <w:p w14:paraId="3C5619C1">
      <w:pPr>
        <w:spacing w:line="460" w:lineRule="exact"/>
        <w:ind w:firstLine="560"/>
        <w:rPr>
          <w:rFonts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商务技术评分标准中须提供的相关得分佐证材料；</w:t>
      </w:r>
    </w:p>
    <w:p w14:paraId="60EF6609">
      <w:pPr>
        <w:snapToGrid w:val="0"/>
        <w:spacing w:line="400" w:lineRule="exact"/>
        <w:ind w:firstLine="560" w:firstLineChars="200"/>
        <w:contextualSpacing/>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投标人认为需要提交的其他商务技术材料。</w:t>
      </w:r>
    </w:p>
    <w:p w14:paraId="4F1E54B6">
      <w:pPr>
        <w:snapToGrid w:val="0"/>
        <w:spacing w:line="400" w:lineRule="exact"/>
        <w:ind w:firstLine="562" w:firstLineChars="200"/>
        <w:contextualSpacing/>
        <w:rPr>
          <w:rFonts w:ascii="宋体" w:hAnsi="宋体" w:cs="宋体"/>
          <w:b/>
          <w:color w:val="auto"/>
          <w:sz w:val="28"/>
          <w:szCs w:val="28"/>
          <w:highlight w:val="none"/>
        </w:rPr>
      </w:pPr>
    </w:p>
    <w:p w14:paraId="4197EF98">
      <w:pPr>
        <w:spacing w:line="480" w:lineRule="exact"/>
        <w:rPr>
          <w:rFonts w:ascii="宋体" w:hAnsi="宋体" w:cs="宋体"/>
          <w:color w:val="auto"/>
          <w:sz w:val="28"/>
          <w:szCs w:val="28"/>
          <w:highlight w:val="none"/>
        </w:rPr>
      </w:pPr>
      <w:r>
        <w:rPr>
          <w:rFonts w:hint="eastAsia" w:ascii="宋体" w:hAnsi="宋体" w:cs="宋体"/>
          <w:color w:val="auto"/>
          <w:kern w:val="0"/>
          <w:sz w:val="32"/>
          <w:szCs w:val="32"/>
          <w:highlight w:val="none"/>
          <w:lang w:val="zh-CN"/>
        </w:rPr>
        <w:br w:type="page"/>
      </w:r>
    </w:p>
    <w:p w14:paraId="3AD8601F">
      <w:pPr>
        <w:snapToGrid w:val="0"/>
        <w:spacing w:line="460" w:lineRule="exact"/>
        <w:contextualSpacing/>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附件</w:t>
      </w:r>
      <w:r>
        <w:rPr>
          <w:rFonts w:hint="eastAsia" w:ascii="宋体" w:hAnsi="宋体" w:cs="宋体"/>
          <w:color w:val="auto"/>
          <w:kern w:val="0"/>
          <w:sz w:val="28"/>
          <w:szCs w:val="28"/>
          <w:highlight w:val="none"/>
          <w:lang w:val="en-US" w:eastAsia="zh-CN"/>
        </w:rPr>
        <w:t>1</w:t>
      </w:r>
    </w:p>
    <w:p w14:paraId="1C812B1B">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投标分项报价表</w:t>
      </w:r>
    </w:p>
    <w:tbl>
      <w:tblPr>
        <w:tblStyle w:val="37"/>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694"/>
        <w:gridCol w:w="987"/>
        <w:gridCol w:w="987"/>
        <w:gridCol w:w="987"/>
        <w:gridCol w:w="987"/>
        <w:gridCol w:w="987"/>
        <w:gridCol w:w="987"/>
        <w:gridCol w:w="987"/>
      </w:tblGrid>
      <w:tr w14:paraId="438F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1CF511EC">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694" w:type="dxa"/>
            <w:tcBorders>
              <w:top w:val="single" w:color="auto" w:sz="4" w:space="0"/>
              <w:left w:val="nil"/>
              <w:bottom w:val="single" w:color="auto" w:sz="4" w:space="0"/>
              <w:right w:val="single" w:color="auto" w:sz="4" w:space="0"/>
            </w:tcBorders>
            <w:noWrap w:val="0"/>
            <w:vAlign w:val="center"/>
          </w:tcPr>
          <w:p w14:paraId="74360528">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rPr>
              <w:t>仪器</w:t>
            </w:r>
            <w:r>
              <w:rPr>
                <w:rFonts w:hint="eastAsia" w:ascii="宋体" w:hAnsi="宋体" w:eastAsia="宋体" w:cs="宋体"/>
                <w:color w:val="auto"/>
                <w:sz w:val="28"/>
                <w:szCs w:val="28"/>
                <w:lang w:val="en-US" w:eastAsia="zh-CN"/>
              </w:rPr>
              <w:t>/设备</w:t>
            </w:r>
            <w:r>
              <w:rPr>
                <w:rFonts w:hint="eastAsia" w:ascii="宋体" w:hAnsi="宋体" w:eastAsia="宋体" w:cs="宋体"/>
                <w:color w:val="auto"/>
                <w:sz w:val="28"/>
                <w:szCs w:val="28"/>
              </w:rPr>
              <w:t>名称</w:t>
            </w:r>
          </w:p>
        </w:tc>
        <w:tc>
          <w:tcPr>
            <w:tcW w:w="987" w:type="dxa"/>
            <w:tcBorders>
              <w:top w:val="single" w:color="auto" w:sz="4" w:space="0"/>
              <w:left w:val="nil"/>
              <w:bottom w:val="single" w:color="auto" w:sz="4" w:space="0"/>
              <w:right w:val="single" w:color="auto" w:sz="4" w:space="0"/>
            </w:tcBorders>
            <w:noWrap w:val="0"/>
            <w:vAlign w:val="center"/>
          </w:tcPr>
          <w:p w14:paraId="1545422E">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rPr>
              <w:t>数量</w:t>
            </w:r>
          </w:p>
        </w:tc>
        <w:tc>
          <w:tcPr>
            <w:tcW w:w="987" w:type="dxa"/>
            <w:tcBorders>
              <w:top w:val="single" w:color="auto" w:sz="4" w:space="0"/>
              <w:left w:val="nil"/>
              <w:bottom w:val="single" w:color="auto" w:sz="4" w:space="0"/>
              <w:right w:val="single" w:color="auto" w:sz="4" w:space="0"/>
            </w:tcBorders>
            <w:noWrap w:val="0"/>
            <w:vAlign w:val="center"/>
          </w:tcPr>
          <w:p w14:paraId="02F7E30F">
            <w:pPr>
              <w:spacing w:line="360" w:lineRule="auto"/>
              <w:contextualSpacing/>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品牌（如有）</w:t>
            </w:r>
          </w:p>
        </w:tc>
        <w:tc>
          <w:tcPr>
            <w:tcW w:w="987" w:type="dxa"/>
            <w:tcBorders>
              <w:top w:val="single" w:color="auto" w:sz="4" w:space="0"/>
              <w:left w:val="nil"/>
              <w:bottom w:val="single" w:color="auto" w:sz="4" w:space="0"/>
              <w:right w:val="single" w:color="auto" w:sz="4" w:space="0"/>
            </w:tcBorders>
            <w:noWrap w:val="0"/>
            <w:vAlign w:val="center"/>
          </w:tcPr>
          <w:p w14:paraId="64A05F2F">
            <w:pPr>
              <w:spacing w:line="360" w:lineRule="auto"/>
              <w:contextualSpacing/>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规格型号</w:t>
            </w:r>
          </w:p>
        </w:tc>
        <w:tc>
          <w:tcPr>
            <w:tcW w:w="987" w:type="dxa"/>
            <w:tcBorders>
              <w:top w:val="single" w:color="auto" w:sz="4" w:space="0"/>
              <w:left w:val="nil"/>
              <w:bottom w:val="single" w:color="auto" w:sz="4" w:space="0"/>
              <w:right w:val="single" w:color="auto" w:sz="4" w:space="0"/>
            </w:tcBorders>
            <w:noWrap w:val="0"/>
            <w:vAlign w:val="center"/>
          </w:tcPr>
          <w:p w14:paraId="364D18B5">
            <w:pPr>
              <w:spacing w:line="360" w:lineRule="auto"/>
              <w:contextualSpacing/>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制造商名称</w:t>
            </w:r>
          </w:p>
        </w:tc>
        <w:tc>
          <w:tcPr>
            <w:tcW w:w="987" w:type="dxa"/>
            <w:tcBorders>
              <w:top w:val="single" w:color="auto" w:sz="4" w:space="0"/>
              <w:left w:val="nil"/>
              <w:bottom w:val="single" w:color="auto" w:sz="4" w:space="0"/>
              <w:right w:val="single" w:color="auto" w:sz="4" w:space="0"/>
            </w:tcBorders>
            <w:noWrap w:val="0"/>
            <w:vAlign w:val="center"/>
          </w:tcPr>
          <w:p w14:paraId="0E4ED8CE">
            <w:pPr>
              <w:spacing w:line="360" w:lineRule="auto"/>
              <w:contextualSpacing/>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产地</w:t>
            </w:r>
          </w:p>
        </w:tc>
        <w:tc>
          <w:tcPr>
            <w:tcW w:w="987" w:type="dxa"/>
            <w:tcBorders>
              <w:top w:val="single" w:color="auto" w:sz="4" w:space="0"/>
              <w:left w:val="nil"/>
              <w:bottom w:val="single" w:color="auto" w:sz="4" w:space="0"/>
              <w:right w:val="single" w:color="auto" w:sz="4" w:space="0"/>
            </w:tcBorders>
            <w:noWrap w:val="0"/>
            <w:vAlign w:val="center"/>
          </w:tcPr>
          <w:p w14:paraId="6ACBCBA5">
            <w:pPr>
              <w:spacing w:line="360" w:lineRule="auto"/>
              <w:contextualSpacing/>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投标单价（元）</w:t>
            </w:r>
          </w:p>
        </w:tc>
        <w:tc>
          <w:tcPr>
            <w:tcW w:w="987" w:type="dxa"/>
            <w:tcBorders>
              <w:top w:val="single" w:color="auto" w:sz="4" w:space="0"/>
              <w:left w:val="nil"/>
              <w:bottom w:val="single" w:color="auto" w:sz="4" w:space="0"/>
              <w:right w:val="single" w:color="auto" w:sz="4" w:space="0"/>
            </w:tcBorders>
            <w:noWrap w:val="0"/>
            <w:vAlign w:val="center"/>
          </w:tcPr>
          <w:p w14:paraId="003FF7EC">
            <w:pPr>
              <w:spacing w:line="360" w:lineRule="auto"/>
              <w:contextualSpacing/>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投标合价（元）</w:t>
            </w:r>
          </w:p>
        </w:tc>
      </w:tr>
      <w:tr w14:paraId="4C17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23B470D5">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1694" w:type="dxa"/>
            <w:tcBorders>
              <w:top w:val="single" w:color="auto" w:sz="4" w:space="0"/>
              <w:left w:val="nil"/>
              <w:bottom w:val="single" w:color="auto" w:sz="4" w:space="0"/>
              <w:right w:val="single" w:color="auto" w:sz="4" w:space="0"/>
            </w:tcBorders>
            <w:noWrap w:val="0"/>
            <w:vAlign w:val="center"/>
          </w:tcPr>
          <w:p w14:paraId="30279088">
            <w:pPr>
              <w:spacing w:line="360" w:lineRule="auto"/>
              <w:contextualSpacing/>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工频局放测试系统</w:t>
            </w:r>
          </w:p>
        </w:tc>
        <w:tc>
          <w:tcPr>
            <w:tcW w:w="987" w:type="dxa"/>
            <w:tcBorders>
              <w:top w:val="single" w:color="auto" w:sz="4" w:space="0"/>
              <w:left w:val="nil"/>
              <w:bottom w:val="single" w:color="auto" w:sz="4" w:space="0"/>
              <w:right w:val="single" w:color="auto" w:sz="4" w:space="0"/>
            </w:tcBorders>
            <w:noWrap w:val="0"/>
            <w:vAlign w:val="center"/>
          </w:tcPr>
          <w:p w14:paraId="281EB619">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0"/>
            <w:vAlign w:val="center"/>
          </w:tcPr>
          <w:p w14:paraId="5D597135">
            <w:pPr>
              <w:spacing w:line="360" w:lineRule="auto"/>
              <w:contextualSpacing/>
              <w:jc w:val="center"/>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54F46D22">
            <w:pPr>
              <w:spacing w:line="360" w:lineRule="auto"/>
              <w:contextualSpacing/>
              <w:jc w:val="center"/>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23C288F8">
            <w:pPr>
              <w:spacing w:line="360" w:lineRule="auto"/>
              <w:contextualSpacing/>
              <w:jc w:val="center"/>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0F9DFF40">
            <w:pPr>
              <w:spacing w:line="360" w:lineRule="auto"/>
              <w:contextualSpacing/>
              <w:jc w:val="center"/>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4399A2A5">
            <w:pPr>
              <w:spacing w:line="360" w:lineRule="auto"/>
              <w:contextualSpacing/>
              <w:jc w:val="center"/>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6527F39D">
            <w:pPr>
              <w:spacing w:line="360" w:lineRule="auto"/>
              <w:contextualSpacing/>
              <w:jc w:val="center"/>
              <w:rPr>
                <w:rFonts w:hint="eastAsia" w:ascii="宋体" w:hAnsi="宋体" w:eastAsia="宋体" w:cs="宋体"/>
                <w:color w:val="auto"/>
                <w:sz w:val="28"/>
                <w:szCs w:val="28"/>
              </w:rPr>
            </w:pPr>
          </w:p>
        </w:tc>
      </w:tr>
      <w:tr w14:paraId="4BEF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097CF85D">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1694" w:type="dxa"/>
            <w:tcBorders>
              <w:top w:val="single" w:color="auto" w:sz="4" w:space="0"/>
              <w:left w:val="nil"/>
              <w:bottom w:val="single" w:color="auto" w:sz="4" w:space="0"/>
              <w:right w:val="single" w:color="auto" w:sz="4" w:space="0"/>
            </w:tcBorders>
            <w:noWrap w:val="0"/>
            <w:vAlign w:val="center"/>
          </w:tcPr>
          <w:p w14:paraId="38901367">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35kV及以下电缆局放屏蔽试验室</w:t>
            </w:r>
          </w:p>
        </w:tc>
        <w:tc>
          <w:tcPr>
            <w:tcW w:w="987" w:type="dxa"/>
            <w:tcBorders>
              <w:top w:val="single" w:color="auto" w:sz="4" w:space="0"/>
              <w:left w:val="nil"/>
              <w:bottom w:val="single" w:color="auto" w:sz="4" w:space="0"/>
              <w:right w:val="single" w:color="auto" w:sz="4" w:space="0"/>
            </w:tcBorders>
            <w:noWrap w:val="0"/>
            <w:vAlign w:val="center"/>
          </w:tcPr>
          <w:p w14:paraId="41CF8F85">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0"/>
            <w:vAlign w:val="center"/>
          </w:tcPr>
          <w:p w14:paraId="2ECE97EC">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0D8633EE">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5E0F8872">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3A9F9E18">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54B5D0A5">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245DD930">
            <w:pPr>
              <w:spacing w:line="360" w:lineRule="auto"/>
              <w:rPr>
                <w:rFonts w:hint="eastAsia" w:ascii="宋体" w:hAnsi="宋体" w:eastAsia="宋体" w:cs="宋体"/>
                <w:color w:val="auto"/>
                <w:sz w:val="28"/>
                <w:szCs w:val="28"/>
              </w:rPr>
            </w:pPr>
          </w:p>
        </w:tc>
      </w:tr>
      <w:tr w14:paraId="5F20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4DCEF547">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1694" w:type="dxa"/>
            <w:tcBorders>
              <w:top w:val="single" w:color="auto" w:sz="4" w:space="0"/>
              <w:left w:val="nil"/>
              <w:bottom w:val="single" w:color="auto" w:sz="4" w:space="0"/>
              <w:right w:val="single" w:color="auto" w:sz="4" w:space="0"/>
            </w:tcBorders>
            <w:noWrap w:val="0"/>
            <w:vAlign w:val="center"/>
          </w:tcPr>
          <w:p w14:paraId="546C65B6">
            <w:pPr>
              <w:spacing w:line="360" w:lineRule="auto"/>
              <w:contextualSpacing/>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（双路）电缆循环加热试验系统</w:t>
            </w:r>
          </w:p>
        </w:tc>
        <w:tc>
          <w:tcPr>
            <w:tcW w:w="987" w:type="dxa"/>
            <w:tcBorders>
              <w:top w:val="single" w:color="auto" w:sz="4" w:space="0"/>
              <w:left w:val="nil"/>
              <w:bottom w:val="single" w:color="auto" w:sz="4" w:space="0"/>
              <w:right w:val="single" w:color="auto" w:sz="4" w:space="0"/>
            </w:tcBorders>
            <w:noWrap w:val="0"/>
            <w:vAlign w:val="center"/>
          </w:tcPr>
          <w:p w14:paraId="749222C3">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0"/>
            <w:vAlign w:val="center"/>
          </w:tcPr>
          <w:p w14:paraId="1D22D341">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CBCBC69">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3A84247">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DBE328B">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FEE2F63">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61E37B86">
            <w:pPr>
              <w:spacing w:line="360" w:lineRule="auto"/>
              <w:rPr>
                <w:rFonts w:hint="eastAsia" w:ascii="宋体" w:hAnsi="宋体" w:eastAsia="宋体" w:cs="宋体"/>
                <w:color w:val="auto"/>
                <w:sz w:val="28"/>
                <w:szCs w:val="28"/>
              </w:rPr>
            </w:pPr>
          </w:p>
        </w:tc>
      </w:tr>
      <w:tr w14:paraId="3EBE6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34F17679">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1694" w:type="dxa"/>
            <w:tcBorders>
              <w:top w:val="single" w:color="auto" w:sz="4" w:space="0"/>
              <w:left w:val="nil"/>
              <w:bottom w:val="single" w:color="auto" w:sz="4" w:space="0"/>
              <w:right w:val="single" w:color="auto" w:sz="4" w:space="0"/>
            </w:tcBorders>
            <w:noWrap w:val="0"/>
            <w:vAlign w:val="center"/>
          </w:tcPr>
          <w:p w14:paraId="16ABEDC5">
            <w:pPr>
              <w:spacing w:line="360" w:lineRule="auto"/>
              <w:contextualSpacing/>
              <w:jc w:val="center"/>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冲击电压试验系统</w:t>
            </w:r>
          </w:p>
        </w:tc>
        <w:tc>
          <w:tcPr>
            <w:tcW w:w="987" w:type="dxa"/>
            <w:tcBorders>
              <w:top w:val="single" w:color="auto" w:sz="4" w:space="0"/>
              <w:left w:val="nil"/>
              <w:bottom w:val="single" w:color="auto" w:sz="4" w:space="0"/>
              <w:right w:val="single" w:color="auto" w:sz="4" w:space="0"/>
            </w:tcBorders>
            <w:noWrap w:val="0"/>
            <w:vAlign w:val="center"/>
          </w:tcPr>
          <w:p w14:paraId="4BB0D1D2">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0"/>
            <w:vAlign w:val="center"/>
          </w:tcPr>
          <w:p w14:paraId="4421E25D">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286271C3">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64968CC">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67461CA6">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11D8EF4B">
            <w:pPr>
              <w:spacing w:line="360" w:lineRule="auto"/>
              <w:rPr>
                <w:rFonts w:hint="eastAsia" w:ascii="宋体" w:hAnsi="宋体" w:eastAsia="宋体" w:cs="宋体"/>
                <w:color w:val="auto"/>
                <w:sz w:val="28"/>
                <w:szCs w:val="28"/>
              </w:rPr>
            </w:pPr>
          </w:p>
        </w:tc>
        <w:tc>
          <w:tcPr>
            <w:tcW w:w="987" w:type="dxa"/>
            <w:tcBorders>
              <w:top w:val="single" w:color="auto" w:sz="4" w:space="0"/>
              <w:left w:val="nil"/>
              <w:bottom w:val="single" w:color="auto" w:sz="4" w:space="0"/>
              <w:right w:val="single" w:color="auto" w:sz="4" w:space="0"/>
            </w:tcBorders>
            <w:noWrap w:val="0"/>
            <w:vAlign w:val="center"/>
          </w:tcPr>
          <w:p w14:paraId="3488AD46">
            <w:pPr>
              <w:spacing w:line="360" w:lineRule="auto"/>
              <w:rPr>
                <w:rFonts w:hint="eastAsia" w:ascii="宋体" w:hAnsi="宋体" w:eastAsia="宋体" w:cs="宋体"/>
                <w:color w:val="auto"/>
                <w:sz w:val="28"/>
                <w:szCs w:val="28"/>
              </w:rPr>
            </w:pPr>
          </w:p>
        </w:tc>
      </w:tr>
      <w:tr w14:paraId="40EC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20C9D35D">
            <w:pPr>
              <w:spacing w:line="360" w:lineRule="auto"/>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1694" w:type="dxa"/>
            <w:tcBorders>
              <w:top w:val="single" w:color="auto" w:sz="4" w:space="0"/>
              <w:left w:val="nil"/>
              <w:bottom w:val="single" w:color="auto" w:sz="4" w:space="0"/>
              <w:right w:val="single" w:color="auto" w:sz="4" w:space="0"/>
            </w:tcBorders>
            <w:noWrap w:val="0"/>
            <w:vAlign w:val="center"/>
          </w:tcPr>
          <w:p w14:paraId="1AF98B1D">
            <w:pPr>
              <w:spacing w:line="360" w:lineRule="auto"/>
              <w:contextualSpacing/>
              <w:jc w:val="center"/>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介质损耗测试系统</w:t>
            </w:r>
          </w:p>
        </w:tc>
        <w:tc>
          <w:tcPr>
            <w:tcW w:w="987" w:type="dxa"/>
            <w:tcBorders>
              <w:top w:val="single" w:color="auto" w:sz="4" w:space="0"/>
              <w:left w:val="nil"/>
              <w:bottom w:val="single" w:color="auto" w:sz="4" w:space="0"/>
              <w:right w:val="single" w:color="auto" w:sz="4" w:space="0"/>
            </w:tcBorders>
            <w:noWrap w:val="0"/>
            <w:vAlign w:val="center"/>
          </w:tcPr>
          <w:p w14:paraId="5DBD50E4">
            <w:pPr>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1套</w:t>
            </w:r>
          </w:p>
        </w:tc>
        <w:tc>
          <w:tcPr>
            <w:tcW w:w="987" w:type="dxa"/>
            <w:tcBorders>
              <w:top w:val="single" w:color="auto" w:sz="4" w:space="0"/>
              <w:left w:val="nil"/>
              <w:bottom w:val="single" w:color="auto" w:sz="4" w:space="0"/>
              <w:right w:val="single" w:color="auto" w:sz="4" w:space="0"/>
            </w:tcBorders>
            <w:noWrap w:val="0"/>
            <w:vAlign w:val="center"/>
          </w:tcPr>
          <w:p w14:paraId="0459DBA1">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19F7A989">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4091A0C0">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6B647915">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7D8871A6">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7518AF27">
            <w:pPr>
              <w:spacing w:line="360" w:lineRule="auto"/>
              <w:rPr>
                <w:rFonts w:hint="eastAsia" w:ascii="宋体" w:hAnsi="宋体" w:eastAsia="宋体" w:cs="宋体"/>
                <w:color w:val="auto"/>
                <w:sz w:val="28"/>
                <w:szCs w:val="28"/>
                <w:lang w:val="en-US" w:eastAsia="zh-CN"/>
              </w:rPr>
            </w:pPr>
          </w:p>
        </w:tc>
      </w:tr>
      <w:tr w14:paraId="1468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644FBDFC">
            <w:pPr>
              <w:spacing w:line="360" w:lineRule="auto"/>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p>
        </w:tc>
        <w:tc>
          <w:tcPr>
            <w:tcW w:w="6629" w:type="dxa"/>
            <w:gridSpan w:val="6"/>
            <w:tcBorders>
              <w:top w:val="single" w:color="auto" w:sz="4" w:space="0"/>
              <w:left w:val="nil"/>
              <w:bottom w:val="single" w:color="auto" w:sz="4" w:space="0"/>
              <w:right w:val="single" w:color="auto" w:sz="4" w:space="0"/>
            </w:tcBorders>
            <w:noWrap w:val="0"/>
            <w:vAlign w:val="center"/>
          </w:tcPr>
          <w:p w14:paraId="5B1C93CC">
            <w:pPr>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合计（元）</w:t>
            </w:r>
          </w:p>
        </w:tc>
        <w:tc>
          <w:tcPr>
            <w:tcW w:w="987" w:type="dxa"/>
            <w:tcBorders>
              <w:top w:val="single" w:color="auto" w:sz="4" w:space="0"/>
              <w:left w:val="nil"/>
              <w:bottom w:val="single" w:color="auto" w:sz="4" w:space="0"/>
              <w:right w:val="single" w:color="auto" w:sz="4" w:space="0"/>
            </w:tcBorders>
            <w:noWrap w:val="0"/>
            <w:vAlign w:val="center"/>
          </w:tcPr>
          <w:p w14:paraId="08CEEEED">
            <w:pPr>
              <w:spacing w:line="360" w:lineRule="auto"/>
              <w:rPr>
                <w:rFonts w:hint="eastAsia" w:ascii="宋体" w:hAnsi="宋体" w:eastAsia="宋体" w:cs="宋体"/>
                <w:color w:val="auto"/>
                <w:sz w:val="28"/>
                <w:szCs w:val="28"/>
                <w:lang w:val="en-US" w:eastAsia="zh-CN"/>
              </w:rPr>
            </w:pPr>
          </w:p>
        </w:tc>
        <w:tc>
          <w:tcPr>
            <w:tcW w:w="987" w:type="dxa"/>
            <w:tcBorders>
              <w:top w:val="single" w:color="auto" w:sz="4" w:space="0"/>
              <w:left w:val="nil"/>
              <w:bottom w:val="single" w:color="auto" w:sz="4" w:space="0"/>
              <w:right w:val="single" w:color="auto" w:sz="4" w:space="0"/>
            </w:tcBorders>
            <w:noWrap w:val="0"/>
            <w:vAlign w:val="center"/>
          </w:tcPr>
          <w:p w14:paraId="793D0770">
            <w:pPr>
              <w:spacing w:line="360" w:lineRule="auto"/>
              <w:rPr>
                <w:rFonts w:hint="eastAsia" w:ascii="宋体" w:hAnsi="宋体" w:eastAsia="宋体" w:cs="宋体"/>
                <w:color w:val="auto"/>
                <w:sz w:val="28"/>
                <w:szCs w:val="28"/>
                <w:lang w:val="en-US" w:eastAsia="zh-CN"/>
              </w:rPr>
            </w:pPr>
          </w:p>
        </w:tc>
      </w:tr>
      <w:tr w14:paraId="46862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576" w:type="dxa"/>
            <w:gridSpan w:val="9"/>
            <w:tcBorders>
              <w:top w:val="single" w:color="auto" w:sz="4" w:space="0"/>
              <w:left w:val="single" w:color="auto" w:sz="4" w:space="0"/>
              <w:bottom w:val="single" w:color="auto" w:sz="4" w:space="0"/>
              <w:right w:val="single" w:color="auto" w:sz="4" w:space="0"/>
            </w:tcBorders>
            <w:noWrap w:val="0"/>
            <w:vAlign w:val="center"/>
          </w:tcPr>
          <w:p w14:paraId="2D102EBA">
            <w:pPr>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 xml:space="preserve"> %。</w:t>
            </w:r>
          </w:p>
        </w:tc>
      </w:tr>
    </w:tbl>
    <w:p w14:paraId="00FD23AE">
      <w:pPr>
        <w:pStyle w:val="158"/>
        <w:ind w:left="0" w:firstLine="0"/>
        <w:rPr>
          <w:rFonts w:ascii="宋体" w:hAnsi="宋体" w:eastAsia="宋体" w:cs="宋体"/>
          <w:b/>
          <w:color w:val="auto"/>
          <w:szCs w:val="28"/>
          <w:highlight w:val="none"/>
        </w:rPr>
      </w:pPr>
    </w:p>
    <w:p w14:paraId="100E7F88">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256496BF">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53FC70E5">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2.“投标分项报价表”中“投标总报价”数额应当与“开标一览表”中“投标总报价”数额一致。</w:t>
      </w:r>
    </w:p>
    <w:p w14:paraId="18E1D8D9">
      <w:pPr>
        <w:spacing w:line="480" w:lineRule="exact"/>
        <w:rPr>
          <w:rFonts w:ascii="宋体" w:hAnsi="宋体" w:cs="宋体"/>
          <w:color w:val="auto"/>
          <w:kern w:val="0"/>
          <w:sz w:val="32"/>
          <w:szCs w:val="32"/>
          <w:highlight w:val="none"/>
          <w:lang w:val="zh-CN"/>
        </w:rPr>
      </w:pPr>
      <w:r>
        <w:rPr>
          <w:rFonts w:hint="eastAsia" w:ascii="宋体" w:hAnsi="宋体" w:cs="宋体"/>
          <w:color w:val="auto"/>
          <w:sz w:val="28"/>
          <w:szCs w:val="28"/>
          <w:highlight w:val="none"/>
        </w:rPr>
        <w:t>3.投标人需认真填写本报价表，尤其注意规格型号的准确填写。</w:t>
      </w:r>
    </w:p>
    <w:p w14:paraId="2FF41362">
      <w:pPr>
        <w:spacing w:line="480" w:lineRule="exact"/>
        <w:rPr>
          <w:rFonts w:hint="default" w:ascii="宋体" w:hAnsi="宋体" w:eastAsia="宋体" w:cs="宋体"/>
          <w:color w:val="auto"/>
          <w:sz w:val="28"/>
          <w:szCs w:val="28"/>
          <w:highlight w:val="none"/>
          <w:lang w:val="en-US" w:eastAsia="zh-CN"/>
        </w:rPr>
        <w:sectPr>
          <w:headerReference r:id="rId3" w:type="default"/>
          <w:footerReference r:id="rId4" w:type="default"/>
          <w:pgSz w:w="11907" w:h="16839"/>
          <w:pgMar w:top="1440" w:right="1800" w:bottom="1440" w:left="1800" w:header="720" w:footer="720" w:gutter="0"/>
          <w:cols w:space="720" w:num="1"/>
          <w:docGrid w:linePitch="286" w:charSpace="0"/>
        </w:sectPr>
      </w:pPr>
      <w:r>
        <w:rPr>
          <w:rFonts w:hint="eastAsia" w:ascii="宋体" w:hAnsi="宋体" w:eastAsia="宋体" w:cs="宋体"/>
          <w:color w:val="auto"/>
          <w:sz w:val="28"/>
          <w:szCs w:val="28"/>
          <w:highlight w:val="none"/>
          <w:lang w:val="en-US" w:eastAsia="zh-CN"/>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2A1E1D1">
      <w:pPr>
        <w:snapToGrid w:val="0"/>
        <w:spacing w:line="30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附件2</w:t>
      </w:r>
    </w:p>
    <w:p w14:paraId="6FC77A4F">
      <w:pPr>
        <w:spacing w:before="50" w:line="360" w:lineRule="auto"/>
        <w:ind w:left="100"/>
        <w:jc w:val="center"/>
        <w:outlineLvl w:val="2"/>
        <w:rPr>
          <w:rFonts w:hint="eastAsia" w:hAnsi="宋体" w:cs="方正魏碑_GBK"/>
          <w:b/>
          <w:bCs/>
          <w:color w:val="auto"/>
          <w:position w:val="0"/>
          <w:sz w:val="28"/>
          <w:szCs w:val="28"/>
        </w:rPr>
      </w:pPr>
      <w:r>
        <w:rPr>
          <w:rFonts w:hint="eastAsia" w:hAnsi="宋体"/>
          <w:b/>
          <w:bCs/>
          <w:color w:val="auto"/>
          <w:position w:val="0"/>
          <w:sz w:val="28"/>
          <w:szCs w:val="28"/>
        </w:rPr>
        <w:t>关于符合本国产品标准的声明函</w:t>
      </w:r>
    </w:p>
    <w:p w14:paraId="149370CB">
      <w:pPr>
        <w:spacing w:line="360" w:lineRule="auto"/>
        <w:ind w:firstLine="420"/>
        <w:rPr>
          <w:rFonts w:hint="eastAsia" w:hAnsi="宋体" w:cs="方正魏碑_GBK"/>
          <w:b w:val="0"/>
          <w:color w:val="auto"/>
          <w:position w:val="0"/>
          <w:sz w:val="28"/>
          <w:szCs w:val="28"/>
        </w:rPr>
      </w:pPr>
      <w:r>
        <w:rPr>
          <w:rFonts w:hint="eastAsia" w:hAnsi="宋体" w:cs="方正魏碑_GBK"/>
          <w:b w:val="0"/>
          <w:color w:val="auto"/>
          <w:positio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1E91BA57">
      <w:pPr>
        <w:spacing w:before="30" w:after="30" w:line="360" w:lineRule="auto"/>
        <w:ind w:firstLine="420"/>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1.</w:t>
      </w:r>
      <w:r>
        <w:rPr>
          <w:rFonts w:hint="eastAsia" w:hAnsi="宋体" w:cs="方正魏碑_GBK"/>
          <w:b w:val="0"/>
          <w:color w:val="auto"/>
          <w:position w:val="0"/>
          <w:sz w:val="28"/>
          <w:szCs w:val="28"/>
          <w:u w:val="single"/>
          <w:shd w:val="clear" w:color="auto" w:fill="FFFFFF"/>
        </w:rPr>
        <w:t>（产品名称1）</w:t>
      </w:r>
      <w:r>
        <w:rPr>
          <w:rFonts w:hint="eastAsia" w:hAnsi="宋体" w:cs="方正魏碑_GBK"/>
          <w:b w:val="0"/>
          <w:color w:val="auto"/>
          <w:position w:val="0"/>
          <w:sz w:val="28"/>
          <w:szCs w:val="28"/>
          <w:shd w:val="clear" w:color="auto" w:fill="FFFFFF"/>
          <w:vertAlign w:val="superscript"/>
        </w:rPr>
        <w:t>1</w:t>
      </w:r>
      <w:r>
        <w:rPr>
          <w:rFonts w:hint="eastAsia" w:hAnsi="宋体" w:cs="方正魏碑_GBK"/>
          <w:b w:val="0"/>
          <w:color w:val="auto"/>
          <w:position w:val="0"/>
          <w:sz w:val="28"/>
          <w:szCs w:val="28"/>
          <w:shd w:val="clear" w:color="auto" w:fill="FFFFFF"/>
        </w:rPr>
        <w:t>，生产厂为</w:t>
      </w:r>
      <w:r>
        <w:rPr>
          <w:rFonts w:hint="eastAsia" w:hAnsi="宋体" w:cs="方正魏碑_GBK"/>
          <w:b w:val="0"/>
          <w:color w:val="auto"/>
          <w:position w:val="0"/>
          <w:sz w:val="28"/>
          <w:szCs w:val="28"/>
          <w:u w:val="single"/>
          <w:shd w:val="clear" w:color="auto" w:fill="FFFFFF"/>
        </w:rPr>
        <w:t>（厂名）</w:t>
      </w:r>
      <w:r>
        <w:rPr>
          <w:rFonts w:hint="eastAsia" w:hAnsi="宋体" w:cs="方正魏碑_GBK"/>
          <w:b w:val="0"/>
          <w:color w:val="auto"/>
          <w:position w:val="0"/>
          <w:sz w:val="28"/>
          <w:szCs w:val="28"/>
          <w:shd w:val="clear" w:color="auto" w:fill="FFFFFF"/>
          <w:vertAlign w:val="superscript"/>
        </w:rPr>
        <w:t>2</w:t>
      </w:r>
      <w:r>
        <w:rPr>
          <w:rFonts w:hint="eastAsia" w:hAnsi="宋体" w:cs="方正魏碑_GBK"/>
          <w:b w:val="0"/>
          <w:color w:val="auto"/>
          <w:position w:val="0"/>
          <w:sz w:val="28"/>
          <w:szCs w:val="28"/>
          <w:shd w:val="clear" w:color="auto" w:fill="FFFFFF"/>
        </w:rPr>
        <w:t>，厂址为</w:t>
      </w:r>
      <w:r>
        <w:rPr>
          <w:rFonts w:hint="eastAsia" w:hAnsi="宋体" w:cs="方正魏碑_GBK"/>
          <w:b w:val="0"/>
          <w:color w:val="auto"/>
          <w:position w:val="0"/>
          <w:sz w:val="28"/>
          <w:szCs w:val="28"/>
          <w:u w:val="single"/>
          <w:shd w:val="clear" w:color="auto" w:fill="FFFFFF"/>
        </w:rPr>
        <w:t>（生产厂址）</w:t>
      </w:r>
      <w:r>
        <w:rPr>
          <w:rFonts w:hint="eastAsia" w:hAnsi="宋体" w:cs="方正魏碑_GBK"/>
          <w:b w:val="0"/>
          <w:color w:val="auto"/>
          <w:position w:val="0"/>
          <w:sz w:val="28"/>
          <w:szCs w:val="28"/>
          <w:shd w:val="clear" w:color="auto" w:fill="FFFFFF"/>
        </w:rPr>
        <w:t>。</w:t>
      </w:r>
      <w:r>
        <w:rPr>
          <w:rFonts w:hint="eastAsia" w:hAnsi="宋体" w:cs="方正魏碑_GBK"/>
          <w:b w:val="0"/>
          <w:color w:val="auto"/>
          <w:position w:val="0"/>
          <w:sz w:val="28"/>
          <w:szCs w:val="28"/>
          <w:u w:val="single"/>
          <w:shd w:val="clear" w:color="auto" w:fill="FFFFFF"/>
        </w:rPr>
        <w:t xml:space="preserve"> （产品名称1） </w:t>
      </w:r>
      <w:r>
        <w:rPr>
          <w:rFonts w:hint="eastAsia" w:hAnsi="宋体" w:cs="方正魏碑_GBK"/>
          <w:b w:val="0"/>
          <w:color w:val="auto"/>
          <w:position w:val="0"/>
          <w:sz w:val="28"/>
          <w:szCs w:val="28"/>
          <w:shd w:val="clear" w:color="auto" w:fill="FFFFFF"/>
        </w:rPr>
        <w:t>的中国境内生产的组件成本占比≥</w:t>
      </w:r>
      <w:r>
        <w:rPr>
          <w:rFonts w:hint="eastAsia" w:hAnsi="宋体" w:cs="方正魏碑_GBK"/>
          <w:b w:val="0"/>
          <w:color w:val="auto"/>
          <w:position w:val="0"/>
          <w:sz w:val="28"/>
          <w:szCs w:val="28"/>
          <w:u w:val="single"/>
          <w:shd w:val="clear" w:color="auto" w:fill="FFFFFF"/>
        </w:rPr>
        <w:t>（规定</w:t>
      </w:r>
      <w:r>
        <w:rPr>
          <w:rFonts w:hAnsi="宋体" w:cs="方正魏碑_GBK"/>
          <w:b w:val="0"/>
          <w:color w:val="auto"/>
          <w:position w:val="0"/>
          <w:sz w:val="28"/>
          <w:szCs w:val="28"/>
          <w:u w:val="single"/>
          <w:shd w:val="clear" w:color="auto" w:fill="FFFFFF"/>
        </w:rPr>
        <w:t>比例</w:t>
      </w:r>
      <w:r>
        <w:rPr>
          <w:rFonts w:hint="eastAsia" w:hAnsi="宋体" w:cs="方正魏碑_GBK"/>
          <w:b w:val="0"/>
          <w:color w:val="auto"/>
          <w:position w:val="0"/>
          <w:sz w:val="28"/>
          <w:szCs w:val="28"/>
          <w:u w:val="single"/>
          <w:shd w:val="clear" w:color="auto" w:fill="FFFFFF"/>
        </w:rPr>
        <w:t>）</w:t>
      </w:r>
      <w:r>
        <w:rPr>
          <w:rFonts w:hint="eastAsia" w:hAnsi="宋体" w:cs="方正魏碑_GBK"/>
          <w:b w:val="0"/>
          <w:color w:val="auto"/>
          <w:position w:val="0"/>
          <w:sz w:val="28"/>
          <w:szCs w:val="28"/>
          <w:shd w:val="clear" w:color="auto" w:fill="FFFFFF"/>
          <w:vertAlign w:val="superscript"/>
        </w:rPr>
        <w:t>3</w:t>
      </w:r>
      <w:r>
        <w:rPr>
          <w:rFonts w:hint="eastAsia" w:hAnsi="宋体" w:cs="方正魏碑_GBK"/>
          <w:b w:val="0"/>
          <w:color w:val="auto"/>
          <w:position w:val="0"/>
          <w:sz w:val="28"/>
          <w:szCs w:val="28"/>
          <w:shd w:val="clear" w:color="auto" w:fill="FFFFFF"/>
        </w:rPr>
        <w:t>。</w:t>
      </w:r>
      <w:r>
        <w:rPr>
          <w:rFonts w:hint="eastAsia" w:hAnsi="宋体" w:cs="方正魏碑_GBK"/>
          <w:b w:val="0"/>
          <w:color w:val="auto"/>
          <w:position w:val="0"/>
          <w:sz w:val="28"/>
          <w:szCs w:val="28"/>
          <w:u w:val="single"/>
          <w:shd w:val="clear" w:color="auto" w:fill="FFFFFF"/>
        </w:rPr>
        <w:t>（产品名称1）</w:t>
      </w:r>
      <w:r>
        <w:rPr>
          <w:rFonts w:hint="eastAsia" w:hAnsi="宋体" w:cs="方正魏碑_GBK"/>
          <w:b w:val="0"/>
          <w:color w:val="auto"/>
          <w:position w:val="0"/>
          <w:sz w:val="28"/>
          <w:szCs w:val="28"/>
          <w:shd w:val="clear" w:color="auto" w:fill="FFFFFF"/>
        </w:rPr>
        <w:t>的</w:t>
      </w:r>
      <w:r>
        <w:rPr>
          <w:rFonts w:hint="eastAsia" w:hAnsi="宋体" w:cs="方正魏碑_GBK"/>
          <w:b w:val="0"/>
          <w:color w:val="auto"/>
          <w:position w:val="0"/>
          <w:sz w:val="28"/>
          <w:szCs w:val="28"/>
          <w:u w:val="single"/>
          <w:shd w:val="clear" w:color="auto" w:fill="FFFFFF"/>
        </w:rPr>
        <w:t>（关键</w:t>
      </w:r>
      <w:r>
        <w:rPr>
          <w:rFonts w:hAnsi="宋体" w:cs="方正魏碑_GBK"/>
          <w:b w:val="0"/>
          <w:color w:val="auto"/>
          <w:position w:val="0"/>
          <w:sz w:val="28"/>
          <w:szCs w:val="28"/>
          <w:u w:val="single"/>
          <w:shd w:val="clear" w:color="auto" w:fill="FFFFFF"/>
        </w:rPr>
        <w:t>组件</w:t>
      </w:r>
      <w:r>
        <w:rPr>
          <w:rFonts w:hint="eastAsia" w:hAnsi="宋体" w:cs="方正魏碑_GBK"/>
          <w:b w:val="0"/>
          <w:color w:val="auto"/>
          <w:position w:val="0"/>
          <w:sz w:val="28"/>
          <w:szCs w:val="28"/>
          <w:u w:val="single"/>
          <w:shd w:val="clear" w:color="auto" w:fill="FFFFFF"/>
        </w:rPr>
        <w:t>）</w:t>
      </w:r>
      <w:r>
        <w:rPr>
          <w:rFonts w:hint="eastAsia" w:hAnsi="宋体" w:cs="方正魏碑_GBK"/>
          <w:b w:val="0"/>
          <w:color w:val="auto"/>
          <w:position w:val="0"/>
          <w:sz w:val="28"/>
          <w:szCs w:val="28"/>
          <w:shd w:val="clear" w:color="auto" w:fill="FFFFFF"/>
          <w:vertAlign w:val="superscript"/>
        </w:rPr>
        <w:t>4</w:t>
      </w:r>
      <w:r>
        <w:rPr>
          <w:rFonts w:hint="eastAsia" w:hAnsi="宋体" w:cs="方正魏碑_GBK"/>
          <w:b w:val="0"/>
          <w:color w:val="auto"/>
          <w:position w:val="0"/>
          <w:sz w:val="28"/>
          <w:szCs w:val="28"/>
          <w:shd w:val="clear" w:color="auto" w:fill="FFFFFF"/>
        </w:rPr>
        <w:t>在中国境内生产。</w:t>
      </w:r>
      <w:r>
        <w:rPr>
          <w:rFonts w:hint="eastAsia" w:hAnsi="宋体" w:cs="方正魏碑_GBK"/>
          <w:b w:val="0"/>
          <w:color w:val="auto"/>
          <w:position w:val="0"/>
          <w:sz w:val="28"/>
          <w:szCs w:val="28"/>
          <w:u w:val="single"/>
          <w:shd w:val="clear" w:color="auto" w:fill="FFFFFF"/>
        </w:rPr>
        <w:t>（产品名称1）</w:t>
      </w:r>
      <w:r>
        <w:rPr>
          <w:rFonts w:hint="eastAsia" w:hAnsi="宋体" w:cs="方正魏碑_GBK"/>
          <w:b w:val="0"/>
          <w:color w:val="auto"/>
          <w:position w:val="0"/>
          <w:sz w:val="28"/>
          <w:szCs w:val="28"/>
          <w:shd w:val="clear" w:color="auto" w:fill="FFFFFF"/>
        </w:rPr>
        <w:t>的</w:t>
      </w:r>
      <w:r>
        <w:rPr>
          <w:rFonts w:hint="eastAsia" w:hAnsi="宋体" w:cs="方正魏碑_GBK"/>
          <w:b w:val="0"/>
          <w:color w:val="auto"/>
          <w:position w:val="0"/>
          <w:sz w:val="28"/>
          <w:szCs w:val="28"/>
          <w:u w:val="single"/>
          <w:shd w:val="clear" w:color="auto" w:fill="FFFFFF"/>
        </w:rPr>
        <w:t>（关键工序）</w:t>
      </w:r>
      <w:r>
        <w:rPr>
          <w:rFonts w:hint="eastAsia" w:hAnsi="宋体" w:cs="方正魏碑_GBK"/>
          <w:b w:val="0"/>
          <w:color w:val="auto"/>
          <w:position w:val="0"/>
          <w:sz w:val="28"/>
          <w:szCs w:val="28"/>
          <w:shd w:val="clear" w:color="auto" w:fill="FFFFFF"/>
          <w:vertAlign w:val="superscript"/>
        </w:rPr>
        <w:t>5</w:t>
      </w:r>
      <w:r>
        <w:rPr>
          <w:rFonts w:hint="eastAsia" w:hAnsi="宋体" w:cs="方正魏碑_GBK"/>
          <w:b w:val="0"/>
          <w:color w:val="auto"/>
          <w:position w:val="0"/>
          <w:sz w:val="28"/>
          <w:szCs w:val="28"/>
          <w:shd w:val="clear" w:color="auto" w:fill="FFFFFF"/>
        </w:rPr>
        <w:t>在中国境内完成。</w:t>
      </w:r>
    </w:p>
    <w:p w14:paraId="427B1C78">
      <w:pPr>
        <w:spacing w:before="30" w:after="30" w:line="360" w:lineRule="auto"/>
        <w:ind w:firstLine="420"/>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2.</w:t>
      </w:r>
      <w:r>
        <w:rPr>
          <w:rFonts w:hint="eastAsia" w:hAnsi="宋体" w:cs="方正魏碑_GBK"/>
          <w:b w:val="0"/>
          <w:color w:val="auto"/>
          <w:position w:val="0"/>
          <w:sz w:val="28"/>
          <w:szCs w:val="28"/>
          <w:u w:val="single"/>
          <w:shd w:val="clear" w:color="auto" w:fill="FFFFFF"/>
        </w:rPr>
        <w:t>（产品名称2）</w:t>
      </w:r>
      <w:r>
        <w:rPr>
          <w:rFonts w:hint="eastAsia" w:hAnsi="宋体" w:cs="方正魏碑_GBK"/>
          <w:b w:val="0"/>
          <w:color w:val="auto"/>
          <w:position w:val="0"/>
          <w:sz w:val="28"/>
          <w:szCs w:val="28"/>
          <w:shd w:val="clear" w:color="auto" w:fill="FFFFFF"/>
        </w:rPr>
        <w:t>，生产厂为</w:t>
      </w:r>
      <w:r>
        <w:rPr>
          <w:rFonts w:hint="eastAsia" w:hAnsi="宋体" w:cs="方正魏碑_GBK"/>
          <w:b w:val="0"/>
          <w:color w:val="auto"/>
          <w:position w:val="0"/>
          <w:sz w:val="28"/>
          <w:szCs w:val="28"/>
          <w:u w:val="single"/>
          <w:shd w:val="clear" w:color="auto" w:fill="FFFFFF"/>
        </w:rPr>
        <w:t>（厂名）</w:t>
      </w:r>
      <w:r>
        <w:rPr>
          <w:rFonts w:hint="eastAsia" w:hAnsi="宋体" w:cs="方正魏碑_GBK"/>
          <w:b w:val="0"/>
          <w:color w:val="auto"/>
          <w:position w:val="0"/>
          <w:sz w:val="28"/>
          <w:szCs w:val="28"/>
          <w:shd w:val="clear" w:color="auto" w:fill="FFFFFF"/>
        </w:rPr>
        <w:t>，厂址为</w:t>
      </w:r>
      <w:r>
        <w:rPr>
          <w:rFonts w:hint="eastAsia" w:hAnsi="宋体" w:cs="方正魏碑_GBK"/>
          <w:b w:val="0"/>
          <w:color w:val="auto"/>
          <w:position w:val="0"/>
          <w:sz w:val="28"/>
          <w:szCs w:val="28"/>
          <w:u w:val="single"/>
          <w:shd w:val="clear" w:color="auto" w:fill="FFFFFF"/>
        </w:rPr>
        <w:t>（生产厂址）</w:t>
      </w:r>
      <w:r>
        <w:rPr>
          <w:rFonts w:hint="eastAsia" w:hAnsi="宋体" w:cs="方正魏碑_GBK"/>
          <w:b w:val="0"/>
          <w:color w:val="auto"/>
          <w:position w:val="0"/>
          <w:sz w:val="28"/>
          <w:szCs w:val="28"/>
          <w:shd w:val="clear" w:color="auto" w:fill="FFFFFF"/>
        </w:rPr>
        <w:t>。</w:t>
      </w:r>
      <w:r>
        <w:rPr>
          <w:rFonts w:hint="eastAsia" w:hAnsi="宋体" w:cs="方正魏碑_GBK"/>
          <w:b w:val="0"/>
          <w:color w:val="auto"/>
          <w:position w:val="0"/>
          <w:sz w:val="28"/>
          <w:szCs w:val="28"/>
          <w:u w:val="single"/>
          <w:shd w:val="clear" w:color="auto" w:fill="FFFFFF"/>
        </w:rPr>
        <w:t>（产品名称2）</w:t>
      </w:r>
      <w:r>
        <w:rPr>
          <w:rFonts w:hint="eastAsia" w:hAnsi="宋体" w:cs="方正魏碑_GBK"/>
          <w:b w:val="0"/>
          <w:color w:val="auto"/>
          <w:position w:val="0"/>
          <w:sz w:val="28"/>
          <w:szCs w:val="28"/>
          <w:shd w:val="clear" w:color="auto" w:fill="FFFFFF"/>
        </w:rPr>
        <w:t>的中国境内生产的组件成本占比≥</w:t>
      </w:r>
      <w:r>
        <w:rPr>
          <w:rFonts w:hint="eastAsia" w:hAnsi="宋体" w:cs="方正魏碑_GBK"/>
          <w:b w:val="0"/>
          <w:color w:val="auto"/>
          <w:position w:val="0"/>
          <w:sz w:val="28"/>
          <w:szCs w:val="28"/>
          <w:u w:val="single"/>
          <w:shd w:val="clear" w:color="auto" w:fill="FFFFFF"/>
        </w:rPr>
        <w:t>（规定</w:t>
      </w:r>
      <w:r>
        <w:rPr>
          <w:rFonts w:hAnsi="宋体" w:cs="方正魏碑_GBK"/>
          <w:b w:val="0"/>
          <w:color w:val="auto"/>
          <w:position w:val="0"/>
          <w:sz w:val="28"/>
          <w:szCs w:val="28"/>
          <w:u w:val="single"/>
          <w:shd w:val="clear" w:color="auto" w:fill="FFFFFF"/>
        </w:rPr>
        <w:t>比例</w:t>
      </w:r>
      <w:r>
        <w:rPr>
          <w:rFonts w:hint="eastAsia" w:hAnsi="宋体" w:cs="方正魏碑_GBK"/>
          <w:b w:val="0"/>
          <w:color w:val="auto"/>
          <w:position w:val="0"/>
          <w:sz w:val="28"/>
          <w:szCs w:val="28"/>
          <w:u w:val="single"/>
          <w:shd w:val="clear" w:color="auto" w:fill="FFFFFF"/>
        </w:rPr>
        <w:t>）</w:t>
      </w:r>
      <w:r>
        <w:rPr>
          <w:rFonts w:hint="eastAsia" w:hAnsi="宋体" w:cs="方正魏碑_GBK"/>
          <w:b w:val="0"/>
          <w:color w:val="auto"/>
          <w:position w:val="0"/>
          <w:sz w:val="28"/>
          <w:szCs w:val="28"/>
          <w:shd w:val="clear" w:color="auto" w:fill="FFFFFF"/>
        </w:rPr>
        <w:t>。</w:t>
      </w:r>
      <w:r>
        <w:rPr>
          <w:rFonts w:hint="eastAsia" w:hAnsi="宋体" w:cs="方正魏碑_GBK"/>
          <w:b w:val="0"/>
          <w:color w:val="auto"/>
          <w:position w:val="0"/>
          <w:sz w:val="28"/>
          <w:szCs w:val="28"/>
          <w:u w:val="single"/>
          <w:shd w:val="clear" w:color="auto" w:fill="FFFFFF"/>
        </w:rPr>
        <w:t>（产品名称2）</w:t>
      </w:r>
      <w:r>
        <w:rPr>
          <w:rFonts w:hint="eastAsia" w:hAnsi="宋体" w:cs="方正魏碑_GBK"/>
          <w:b w:val="0"/>
          <w:color w:val="auto"/>
          <w:position w:val="0"/>
          <w:sz w:val="28"/>
          <w:szCs w:val="28"/>
          <w:shd w:val="clear" w:color="auto" w:fill="FFFFFF"/>
        </w:rPr>
        <w:t>的</w:t>
      </w:r>
      <w:r>
        <w:rPr>
          <w:rFonts w:hint="eastAsia" w:hAnsi="宋体" w:cs="方正魏碑_GBK"/>
          <w:b w:val="0"/>
          <w:color w:val="auto"/>
          <w:position w:val="0"/>
          <w:sz w:val="28"/>
          <w:szCs w:val="28"/>
          <w:u w:val="single"/>
          <w:shd w:val="clear" w:color="auto" w:fill="FFFFFF"/>
        </w:rPr>
        <w:t>（关键</w:t>
      </w:r>
      <w:r>
        <w:rPr>
          <w:rFonts w:hAnsi="宋体" w:cs="方正魏碑_GBK"/>
          <w:b w:val="0"/>
          <w:color w:val="auto"/>
          <w:position w:val="0"/>
          <w:sz w:val="28"/>
          <w:szCs w:val="28"/>
          <w:u w:val="single"/>
          <w:shd w:val="clear" w:color="auto" w:fill="FFFFFF"/>
        </w:rPr>
        <w:t>组件</w:t>
      </w:r>
      <w:r>
        <w:rPr>
          <w:rFonts w:hint="eastAsia" w:hAnsi="宋体" w:cs="方正魏碑_GBK"/>
          <w:b w:val="0"/>
          <w:color w:val="auto"/>
          <w:position w:val="0"/>
          <w:sz w:val="28"/>
          <w:szCs w:val="28"/>
          <w:u w:val="single"/>
          <w:shd w:val="clear" w:color="auto" w:fill="FFFFFF"/>
        </w:rPr>
        <w:t>）</w:t>
      </w:r>
      <w:r>
        <w:rPr>
          <w:rFonts w:hint="eastAsia" w:hAnsi="宋体" w:cs="方正魏碑_GBK"/>
          <w:b w:val="0"/>
          <w:color w:val="auto"/>
          <w:position w:val="0"/>
          <w:sz w:val="28"/>
          <w:szCs w:val="28"/>
          <w:shd w:val="clear" w:color="auto" w:fill="FFFFFF"/>
        </w:rPr>
        <w:t>在中国境内生产。</w:t>
      </w:r>
      <w:r>
        <w:rPr>
          <w:rFonts w:hint="eastAsia" w:hAnsi="宋体" w:cs="方正魏碑_GBK"/>
          <w:b w:val="0"/>
          <w:color w:val="auto"/>
          <w:position w:val="0"/>
          <w:sz w:val="28"/>
          <w:szCs w:val="28"/>
          <w:u w:val="single"/>
          <w:shd w:val="clear" w:color="auto" w:fill="FFFFFF"/>
        </w:rPr>
        <w:t>（产品名称1）</w:t>
      </w:r>
      <w:r>
        <w:rPr>
          <w:rFonts w:hint="eastAsia" w:hAnsi="宋体" w:cs="方正魏碑_GBK"/>
          <w:b w:val="0"/>
          <w:color w:val="auto"/>
          <w:position w:val="0"/>
          <w:sz w:val="28"/>
          <w:szCs w:val="28"/>
          <w:shd w:val="clear" w:color="auto" w:fill="FFFFFF"/>
        </w:rPr>
        <w:t>的</w:t>
      </w:r>
      <w:r>
        <w:rPr>
          <w:rFonts w:hint="eastAsia" w:hAnsi="宋体" w:cs="方正魏碑_GBK"/>
          <w:b w:val="0"/>
          <w:color w:val="auto"/>
          <w:position w:val="0"/>
          <w:sz w:val="28"/>
          <w:szCs w:val="28"/>
          <w:u w:val="single"/>
          <w:shd w:val="clear" w:color="auto" w:fill="FFFFFF"/>
        </w:rPr>
        <w:t>（关键工序）</w:t>
      </w:r>
      <w:r>
        <w:rPr>
          <w:rFonts w:hint="eastAsia" w:hAnsi="宋体" w:cs="方正魏碑_GBK"/>
          <w:b w:val="0"/>
          <w:color w:val="auto"/>
          <w:position w:val="0"/>
          <w:sz w:val="28"/>
          <w:szCs w:val="28"/>
          <w:shd w:val="clear" w:color="auto" w:fill="FFFFFF"/>
        </w:rPr>
        <w:t>在中国境内完成。</w:t>
      </w:r>
    </w:p>
    <w:p w14:paraId="34C414A3">
      <w:pPr>
        <w:spacing w:before="30" w:after="30" w:line="360" w:lineRule="auto"/>
        <w:ind w:firstLine="420"/>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w:t>
      </w:r>
    </w:p>
    <w:p w14:paraId="04334B52">
      <w:pPr>
        <w:spacing w:before="30" w:after="30" w:line="360" w:lineRule="auto"/>
        <w:ind w:firstLine="420"/>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本公司（单位）对上述声明内容的真实性负责。如有虚假，愿承担相应法律责任。</w:t>
      </w:r>
    </w:p>
    <w:p w14:paraId="7ED74080">
      <w:pPr>
        <w:spacing w:before="30" w:after="30" w:line="360" w:lineRule="auto"/>
        <w:rPr>
          <w:rFonts w:hint="eastAsia" w:hAnsi="宋体" w:cs="方正魏碑_GBK"/>
          <w:b w:val="0"/>
          <w:color w:val="auto"/>
          <w:position w:val="0"/>
          <w:sz w:val="28"/>
          <w:szCs w:val="28"/>
        </w:rPr>
      </w:pPr>
    </w:p>
    <w:p w14:paraId="528A91C4">
      <w:pPr>
        <w:tabs>
          <w:tab w:val="left" w:pos="4860"/>
        </w:tabs>
        <w:spacing w:line="360" w:lineRule="auto"/>
        <w:ind w:right="1560" w:firstLine="444"/>
        <w:jc w:val="center"/>
        <w:rPr>
          <w:rFonts w:hint="eastAsia" w:hAnsi="宋体"/>
          <w:b w:val="0"/>
          <w:color w:val="auto"/>
          <w:position w:val="0"/>
          <w:sz w:val="28"/>
          <w:szCs w:val="28"/>
        </w:rPr>
      </w:pPr>
      <w:r>
        <w:rPr>
          <w:rFonts w:hint="eastAsia" w:hAnsi="宋体"/>
          <w:b w:val="0"/>
          <w:color w:val="auto"/>
          <w:spacing w:val="6"/>
          <w:position w:val="0"/>
          <w:sz w:val="28"/>
          <w:szCs w:val="28"/>
        </w:rPr>
        <w:t xml:space="preserve">           </w:t>
      </w:r>
      <w:r>
        <w:rPr>
          <w:rFonts w:hint="eastAsia" w:hAnsi="宋体"/>
          <w:b w:val="0"/>
          <w:color w:val="auto"/>
          <w:position w:val="0"/>
          <w:sz w:val="28"/>
          <w:szCs w:val="28"/>
        </w:rPr>
        <w:t xml:space="preserve">               投标人名称（盖章）：</w:t>
      </w:r>
    </w:p>
    <w:p w14:paraId="21CF96E7">
      <w:pPr>
        <w:tabs>
          <w:tab w:val="left" w:pos="4860"/>
        </w:tabs>
        <w:spacing w:line="360" w:lineRule="auto"/>
        <w:ind w:right="1560" w:firstLine="420"/>
        <w:jc w:val="center"/>
        <w:rPr>
          <w:rFonts w:hint="eastAsia" w:hAnsi="宋体" w:cs="方正魏碑_GBK"/>
          <w:b w:val="0"/>
          <w:color w:val="auto"/>
          <w:position w:val="0"/>
          <w:sz w:val="28"/>
          <w:szCs w:val="28"/>
        </w:rPr>
      </w:pPr>
      <w:r>
        <w:rPr>
          <w:rFonts w:hint="eastAsia" w:hAnsi="宋体"/>
          <w:b w:val="0"/>
          <w:color w:val="auto"/>
          <w:position w:val="0"/>
          <w:sz w:val="28"/>
          <w:szCs w:val="28"/>
        </w:rPr>
        <w:t xml:space="preserve">                              日  期：</w:t>
      </w:r>
      <w:r>
        <w:rPr>
          <w:rFonts w:hint="eastAsia" w:hAnsi="宋体" w:cs="方正魏碑_GBK"/>
          <w:b w:val="0"/>
          <w:color w:val="auto"/>
          <w:position w:val="0"/>
          <w:sz w:val="28"/>
          <w:szCs w:val="28"/>
          <w:shd w:val="clear" w:color="auto" w:fill="FFFFFF"/>
        </w:rPr>
        <w:t>   </w:t>
      </w:r>
    </w:p>
    <w:p w14:paraId="0D1418AE">
      <w:pPr>
        <w:spacing w:before="30" w:after="30" w:line="360" w:lineRule="auto"/>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__________________</w:t>
      </w:r>
    </w:p>
    <w:p w14:paraId="3F27B10B">
      <w:pPr>
        <w:spacing w:before="30" w:after="30" w:line="360" w:lineRule="auto"/>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1.产品如有型号，请在“产品名称”栏一并填写。</w:t>
      </w:r>
    </w:p>
    <w:p w14:paraId="51C4FAE0">
      <w:pPr>
        <w:spacing w:before="30" w:after="30" w:line="360" w:lineRule="auto"/>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2.生产厂名与厂址应与生产厂营业执照载明的相关信息保持一致。</w:t>
      </w:r>
    </w:p>
    <w:p w14:paraId="069011BE">
      <w:pPr>
        <w:spacing w:before="30" w:after="30" w:line="360" w:lineRule="auto"/>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3.该产品的中国境内生产的组件成本占比相关要求实施前，“规定比例”栏可不填，下同。</w:t>
      </w:r>
    </w:p>
    <w:p w14:paraId="0B7135CA">
      <w:pPr>
        <w:spacing w:before="30" w:after="30" w:line="360" w:lineRule="auto"/>
        <w:rPr>
          <w:rFonts w:hint="eastAsia" w:hAnsi="宋体" w:cs="方正魏碑_GBK"/>
          <w:b w:val="0"/>
          <w:color w:val="auto"/>
          <w:position w:val="0"/>
          <w:sz w:val="28"/>
          <w:szCs w:val="28"/>
        </w:rPr>
      </w:pPr>
      <w:r>
        <w:rPr>
          <w:rFonts w:hint="eastAsia" w:hAnsi="宋体" w:cs="方正魏碑_GBK"/>
          <w:b w:val="0"/>
          <w:color w:val="auto"/>
          <w:position w:val="0"/>
          <w:sz w:val="28"/>
          <w:szCs w:val="28"/>
          <w:shd w:val="clear" w:color="auto" w:fill="FFFFFF"/>
        </w:rPr>
        <w:t>4.该产品的关键组件要求实施前，“关键组件”栏可不填，下同。</w:t>
      </w:r>
    </w:p>
    <w:p w14:paraId="2EF187A1">
      <w:pPr>
        <w:spacing w:before="30" w:after="30" w:line="360" w:lineRule="auto"/>
        <w:rPr>
          <w:rFonts w:hint="eastAsia" w:hAnsi="宋体" w:cs="方正魏碑_GBK"/>
          <w:b w:val="0"/>
          <w:color w:val="auto"/>
          <w:position w:val="0"/>
          <w:sz w:val="28"/>
          <w:szCs w:val="28"/>
          <w:shd w:val="clear" w:color="auto" w:fill="FFFFFF"/>
        </w:rPr>
      </w:pPr>
      <w:r>
        <w:rPr>
          <w:rFonts w:hint="eastAsia" w:hAnsi="宋体" w:cs="方正魏碑_GBK"/>
          <w:b w:val="0"/>
          <w:color w:val="auto"/>
          <w:position w:val="0"/>
          <w:sz w:val="28"/>
          <w:szCs w:val="28"/>
          <w:shd w:val="clear" w:color="auto" w:fill="FFFFFF"/>
        </w:rPr>
        <w:t>5.该产品的关键工序要求实施前，“关键工序”栏可不填，下同。</w:t>
      </w:r>
    </w:p>
    <w:p w14:paraId="29A55812">
      <w:pPr>
        <w:snapToGrid w:val="0"/>
        <w:spacing w:line="300" w:lineRule="auto"/>
        <w:rPr>
          <w:rFonts w:hint="default" w:ascii="宋体" w:hAnsi="宋体" w:cs="宋体"/>
          <w:color w:val="auto"/>
          <w:sz w:val="28"/>
          <w:szCs w:val="28"/>
          <w:highlight w:val="none"/>
          <w:lang w:val="en-US" w:eastAsia="zh-CN"/>
        </w:rPr>
        <w:sectPr>
          <w:pgSz w:w="11907" w:h="16839"/>
          <w:pgMar w:top="1440" w:right="1800" w:bottom="1440" w:left="1800" w:header="720" w:footer="720" w:gutter="0"/>
          <w:cols w:space="720" w:num="1"/>
          <w:docGrid w:linePitch="286" w:charSpace="0"/>
        </w:sectPr>
      </w:pPr>
    </w:p>
    <w:p w14:paraId="6C438A26">
      <w:pPr>
        <w:snapToGrid w:val="0"/>
        <w:spacing w:line="300" w:lineRule="auto"/>
        <w:rPr>
          <w:rFonts w:hint="eastAsia" w:ascii="宋体" w:hAnsi="宋体" w:eastAsia="宋体" w:cs="宋体"/>
          <w:color w:val="auto"/>
          <w:sz w:val="28"/>
          <w:szCs w:val="28"/>
          <w:highlight w:val="none"/>
          <w:lang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3</w:t>
      </w:r>
    </w:p>
    <w:p w14:paraId="25CDBADF">
      <w:pPr>
        <w:tabs>
          <w:tab w:val="left" w:pos="1260"/>
        </w:tabs>
        <w:snapToGrid w:val="0"/>
        <w:spacing w:line="300" w:lineRule="auto"/>
        <w:contextualSpacing/>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投标人情况一览表</w:t>
      </w:r>
    </w:p>
    <w:tbl>
      <w:tblPr>
        <w:tblStyle w:val="37"/>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95"/>
        <w:gridCol w:w="765"/>
        <w:gridCol w:w="283"/>
        <w:gridCol w:w="1050"/>
        <w:gridCol w:w="567"/>
        <w:gridCol w:w="946"/>
        <w:gridCol w:w="1263"/>
        <w:gridCol w:w="61"/>
        <w:gridCol w:w="1212"/>
        <w:gridCol w:w="168"/>
        <w:gridCol w:w="1438"/>
      </w:tblGrid>
      <w:tr w14:paraId="0E87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2" w:type="dxa"/>
            <w:gridSpan w:val="2"/>
            <w:tcBorders>
              <w:top w:val="double" w:color="auto" w:sz="4" w:space="0"/>
              <w:left w:val="double" w:color="auto" w:sz="4" w:space="0"/>
            </w:tcBorders>
            <w:vAlign w:val="center"/>
          </w:tcPr>
          <w:p w14:paraId="10F2DCD5">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单位名称</w:t>
            </w:r>
          </w:p>
        </w:tc>
        <w:tc>
          <w:tcPr>
            <w:tcW w:w="7753" w:type="dxa"/>
            <w:gridSpan w:val="10"/>
            <w:tcBorders>
              <w:top w:val="double" w:color="auto" w:sz="4" w:space="0"/>
              <w:right w:val="double" w:color="auto" w:sz="4" w:space="0"/>
            </w:tcBorders>
            <w:vAlign w:val="center"/>
          </w:tcPr>
          <w:p w14:paraId="0BB30EAD">
            <w:pPr>
              <w:tabs>
                <w:tab w:val="left" w:pos="4320"/>
              </w:tabs>
              <w:rPr>
                <w:rFonts w:ascii="宋体" w:hAnsi="宋体" w:cs="宋体"/>
                <w:color w:val="auto"/>
                <w:sz w:val="28"/>
                <w:szCs w:val="28"/>
                <w:highlight w:val="none"/>
              </w:rPr>
            </w:pPr>
          </w:p>
        </w:tc>
      </w:tr>
      <w:tr w14:paraId="2222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77" w:type="dxa"/>
            <w:gridSpan w:val="3"/>
            <w:tcBorders>
              <w:left w:val="double" w:color="auto" w:sz="4" w:space="0"/>
              <w:right w:val="single" w:color="auto" w:sz="4" w:space="0"/>
            </w:tcBorders>
            <w:vAlign w:val="center"/>
          </w:tcPr>
          <w:p w14:paraId="4F4F1D42">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单位优势及特长</w:t>
            </w:r>
          </w:p>
        </w:tc>
        <w:tc>
          <w:tcPr>
            <w:tcW w:w="6988" w:type="dxa"/>
            <w:gridSpan w:val="9"/>
            <w:tcBorders>
              <w:left w:val="single" w:color="auto" w:sz="4" w:space="0"/>
              <w:right w:val="double" w:color="auto" w:sz="4" w:space="0"/>
            </w:tcBorders>
            <w:vAlign w:val="center"/>
          </w:tcPr>
          <w:p w14:paraId="02C8099E">
            <w:pPr>
              <w:tabs>
                <w:tab w:val="left" w:pos="4320"/>
              </w:tabs>
              <w:rPr>
                <w:rFonts w:ascii="宋体" w:hAnsi="宋体" w:cs="宋体"/>
                <w:color w:val="auto"/>
                <w:sz w:val="28"/>
                <w:szCs w:val="28"/>
                <w:highlight w:val="none"/>
              </w:rPr>
            </w:pPr>
          </w:p>
        </w:tc>
      </w:tr>
      <w:tr w14:paraId="2300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340133A5">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单位</w:t>
            </w:r>
          </w:p>
          <w:p w14:paraId="2B006823">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概况</w:t>
            </w:r>
          </w:p>
        </w:tc>
        <w:tc>
          <w:tcPr>
            <w:tcW w:w="1360" w:type="dxa"/>
            <w:gridSpan w:val="2"/>
            <w:vAlign w:val="center"/>
          </w:tcPr>
          <w:p w14:paraId="34AF383C">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职工总数</w:t>
            </w:r>
          </w:p>
        </w:tc>
        <w:tc>
          <w:tcPr>
            <w:tcW w:w="1333" w:type="dxa"/>
            <w:gridSpan w:val="2"/>
            <w:vAlign w:val="center"/>
          </w:tcPr>
          <w:p w14:paraId="70331F86">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人</w:t>
            </w:r>
          </w:p>
        </w:tc>
        <w:tc>
          <w:tcPr>
            <w:tcW w:w="567" w:type="dxa"/>
            <w:vMerge w:val="restart"/>
            <w:vAlign w:val="center"/>
          </w:tcPr>
          <w:p w14:paraId="1277F4B6">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上一年主要经济指标</w:t>
            </w:r>
          </w:p>
        </w:tc>
        <w:tc>
          <w:tcPr>
            <w:tcW w:w="946" w:type="dxa"/>
            <w:vAlign w:val="center"/>
          </w:tcPr>
          <w:p w14:paraId="6BB4B7B6">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营业额</w:t>
            </w:r>
          </w:p>
        </w:tc>
        <w:tc>
          <w:tcPr>
            <w:tcW w:w="1324" w:type="dxa"/>
            <w:gridSpan w:val="2"/>
            <w:vAlign w:val="center"/>
          </w:tcPr>
          <w:p w14:paraId="29357130">
            <w:pPr>
              <w:tabs>
                <w:tab w:val="left" w:pos="4320"/>
              </w:tabs>
              <w:rPr>
                <w:rFonts w:ascii="宋体" w:hAnsi="宋体" w:cs="宋体"/>
                <w:color w:val="auto"/>
                <w:sz w:val="28"/>
                <w:szCs w:val="28"/>
                <w:highlight w:val="none"/>
              </w:rPr>
            </w:pPr>
          </w:p>
        </w:tc>
        <w:tc>
          <w:tcPr>
            <w:tcW w:w="1380" w:type="dxa"/>
            <w:gridSpan w:val="2"/>
            <w:vAlign w:val="center"/>
          </w:tcPr>
          <w:p w14:paraId="593E6559">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实现利润</w:t>
            </w:r>
          </w:p>
        </w:tc>
        <w:tc>
          <w:tcPr>
            <w:tcW w:w="1438" w:type="dxa"/>
            <w:tcBorders>
              <w:right w:val="double" w:color="auto" w:sz="4" w:space="0"/>
            </w:tcBorders>
            <w:vAlign w:val="center"/>
          </w:tcPr>
          <w:p w14:paraId="5A89C26A">
            <w:pPr>
              <w:tabs>
                <w:tab w:val="left" w:pos="4320"/>
              </w:tabs>
              <w:rPr>
                <w:rFonts w:ascii="宋体" w:hAnsi="宋体" w:cs="宋体"/>
                <w:color w:val="auto"/>
                <w:sz w:val="28"/>
                <w:szCs w:val="28"/>
                <w:highlight w:val="none"/>
              </w:rPr>
            </w:pPr>
          </w:p>
        </w:tc>
      </w:tr>
      <w:tr w14:paraId="1A74C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37C15B27">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2AABC958">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流动资金</w:t>
            </w:r>
          </w:p>
        </w:tc>
        <w:tc>
          <w:tcPr>
            <w:tcW w:w="1333" w:type="dxa"/>
            <w:gridSpan w:val="2"/>
            <w:vAlign w:val="center"/>
          </w:tcPr>
          <w:p w14:paraId="6F4F41CF">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万元</w:t>
            </w:r>
          </w:p>
        </w:tc>
        <w:tc>
          <w:tcPr>
            <w:tcW w:w="567" w:type="dxa"/>
            <w:vMerge w:val="continue"/>
            <w:vAlign w:val="center"/>
          </w:tcPr>
          <w:p w14:paraId="74F352BB">
            <w:pPr>
              <w:tabs>
                <w:tab w:val="left" w:pos="4320"/>
              </w:tabs>
              <w:rPr>
                <w:rFonts w:ascii="宋体" w:hAnsi="宋体" w:cs="宋体"/>
                <w:color w:val="auto"/>
                <w:sz w:val="28"/>
                <w:szCs w:val="28"/>
                <w:highlight w:val="none"/>
              </w:rPr>
            </w:pPr>
          </w:p>
        </w:tc>
        <w:tc>
          <w:tcPr>
            <w:tcW w:w="946" w:type="dxa"/>
            <w:vMerge w:val="restart"/>
            <w:vAlign w:val="center"/>
          </w:tcPr>
          <w:p w14:paraId="728B98F2">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主要</w:t>
            </w:r>
          </w:p>
          <w:p w14:paraId="73D11C53">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产品</w:t>
            </w:r>
          </w:p>
        </w:tc>
        <w:tc>
          <w:tcPr>
            <w:tcW w:w="4142" w:type="dxa"/>
            <w:gridSpan w:val="5"/>
            <w:tcBorders>
              <w:right w:val="double" w:color="auto" w:sz="4" w:space="0"/>
            </w:tcBorders>
            <w:vAlign w:val="center"/>
          </w:tcPr>
          <w:p w14:paraId="030348EF">
            <w:pPr>
              <w:tabs>
                <w:tab w:val="left" w:pos="4320"/>
              </w:tabs>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1.</w:t>
            </w:r>
          </w:p>
        </w:tc>
      </w:tr>
      <w:tr w14:paraId="640CC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trPr>
        <w:tc>
          <w:tcPr>
            <w:tcW w:w="817" w:type="dxa"/>
            <w:vMerge w:val="continue"/>
            <w:tcBorders>
              <w:left w:val="double" w:color="auto" w:sz="4" w:space="0"/>
            </w:tcBorders>
            <w:vAlign w:val="center"/>
          </w:tcPr>
          <w:p w14:paraId="4033EF10">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09FDD319">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固定资产</w:t>
            </w:r>
          </w:p>
          <w:p w14:paraId="1FD6030E">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（万元）</w:t>
            </w:r>
          </w:p>
        </w:tc>
        <w:tc>
          <w:tcPr>
            <w:tcW w:w="1333" w:type="dxa"/>
            <w:gridSpan w:val="2"/>
            <w:vAlign w:val="center"/>
          </w:tcPr>
          <w:p w14:paraId="7835783E">
            <w:pPr>
              <w:tabs>
                <w:tab w:val="left" w:pos="-48"/>
                <w:tab w:val="left" w:pos="4320"/>
              </w:tabs>
              <w:ind w:right="-133" w:hanging="48"/>
              <w:rPr>
                <w:rFonts w:ascii="宋体" w:hAnsi="宋体" w:cs="宋体"/>
                <w:color w:val="auto"/>
                <w:sz w:val="28"/>
                <w:szCs w:val="28"/>
                <w:highlight w:val="none"/>
              </w:rPr>
            </w:pPr>
            <w:r>
              <w:rPr>
                <w:rFonts w:hint="eastAsia" w:ascii="宋体" w:hAnsi="宋体" w:cs="宋体"/>
                <w:color w:val="auto"/>
                <w:sz w:val="28"/>
                <w:szCs w:val="28"/>
                <w:highlight w:val="none"/>
              </w:rPr>
              <w:t>原值：</w:t>
            </w:r>
          </w:p>
          <w:p w14:paraId="500E0EBE">
            <w:pPr>
              <w:tabs>
                <w:tab w:val="left" w:pos="-48"/>
                <w:tab w:val="left" w:pos="4320"/>
              </w:tabs>
              <w:ind w:hanging="48"/>
              <w:jc w:val="right"/>
              <w:rPr>
                <w:rFonts w:ascii="宋体" w:hAnsi="宋体" w:cs="宋体"/>
                <w:color w:val="auto"/>
                <w:sz w:val="28"/>
                <w:szCs w:val="28"/>
                <w:highlight w:val="none"/>
              </w:rPr>
            </w:pPr>
          </w:p>
          <w:p w14:paraId="6F0CD8C7">
            <w:pPr>
              <w:tabs>
                <w:tab w:val="left" w:pos="-48"/>
                <w:tab w:val="left" w:pos="4320"/>
              </w:tabs>
              <w:ind w:right="-133" w:hanging="48"/>
              <w:rPr>
                <w:rFonts w:ascii="宋体" w:hAnsi="宋体" w:cs="宋体"/>
                <w:color w:val="auto"/>
                <w:sz w:val="28"/>
                <w:szCs w:val="28"/>
                <w:highlight w:val="none"/>
              </w:rPr>
            </w:pPr>
            <w:r>
              <w:rPr>
                <w:rFonts w:hint="eastAsia" w:ascii="宋体" w:hAnsi="宋体" w:cs="宋体"/>
                <w:color w:val="auto"/>
                <w:sz w:val="28"/>
                <w:szCs w:val="28"/>
                <w:highlight w:val="none"/>
              </w:rPr>
              <w:t>净值：</w:t>
            </w:r>
          </w:p>
          <w:p w14:paraId="7BC740B3">
            <w:pPr>
              <w:tabs>
                <w:tab w:val="left" w:pos="-48"/>
                <w:tab w:val="left" w:pos="4320"/>
              </w:tabs>
              <w:ind w:hanging="48"/>
              <w:jc w:val="right"/>
              <w:rPr>
                <w:rFonts w:ascii="宋体" w:hAnsi="宋体" w:cs="宋体"/>
                <w:color w:val="auto"/>
                <w:sz w:val="28"/>
                <w:szCs w:val="28"/>
                <w:highlight w:val="none"/>
              </w:rPr>
            </w:pPr>
          </w:p>
        </w:tc>
        <w:tc>
          <w:tcPr>
            <w:tcW w:w="567" w:type="dxa"/>
            <w:vMerge w:val="continue"/>
            <w:vAlign w:val="center"/>
          </w:tcPr>
          <w:p w14:paraId="3D6FC7E6">
            <w:pPr>
              <w:tabs>
                <w:tab w:val="left" w:pos="4320"/>
              </w:tabs>
              <w:rPr>
                <w:rFonts w:ascii="宋体" w:hAnsi="宋体" w:cs="宋体"/>
                <w:color w:val="auto"/>
                <w:sz w:val="28"/>
                <w:szCs w:val="28"/>
                <w:highlight w:val="none"/>
              </w:rPr>
            </w:pPr>
          </w:p>
        </w:tc>
        <w:tc>
          <w:tcPr>
            <w:tcW w:w="946" w:type="dxa"/>
            <w:vMerge w:val="continue"/>
            <w:vAlign w:val="center"/>
          </w:tcPr>
          <w:p w14:paraId="20265F7F">
            <w:pPr>
              <w:tabs>
                <w:tab w:val="left" w:pos="4320"/>
              </w:tabs>
              <w:jc w:val="center"/>
              <w:rPr>
                <w:rFonts w:ascii="宋体" w:hAnsi="宋体" w:cs="宋体"/>
                <w:color w:val="auto"/>
                <w:sz w:val="28"/>
                <w:szCs w:val="28"/>
                <w:highlight w:val="none"/>
              </w:rPr>
            </w:pPr>
          </w:p>
        </w:tc>
        <w:tc>
          <w:tcPr>
            <w:tcW w:w="4142" w:type="dxa"/>
            <w:gridSpan w:val="5"/>
            <w:tcBorders>
              <w:right w:val="double" w:color="auto" w:sz="4" w:space="0"/>
            </w:tcBorders>
            <w:vAlign w:val="center"/>
          </w:tcPr>
          <w:p w14:paraId="254843EE">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2.</w:t>
            </w:r>
          </w:p>
        </w:tc>
      </w:tr>
      <w:tr w14:paraId="2FBD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2EFED3B5">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716C0AA0">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占地面积</w:t>
            </w:r>
          </w:p>
        </w:tc>
        <w:tc>
          <w:tcPr>
            <w:tcW w:w="1333" w:type="dxa"/>
            <w:gridSpan w:val="2"/>
            <w:vAlign w:val="center"/>
          </w:tcPr>
          <w:p w14:paraId="529B1B79">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M</w:t>
            </w:r>
            <w:r>
              <w:rPr>
                <w:rFonts w:hint="eastAsia" w:ascii="宋体" w:hAnsi="宋体" w:cs="宋体"/>
                <w:color w:val="auto"/>
                <w:sz w:val="28"/>
                <w:szCs w:val="28"/>
                <w:highlight w:val="none"/>
                <w:vertAlign w:val="superscript"/>
              </w:rPr>
              <w:t>2</w:t>
            </w:r>
          </w:p>
        </w:tc>
        <w:tc>
          <w:tcPr>
            <w:tcW w:w="567" w:type="dxa"/>
            <w:vMerge w:val="continue"/>
            <w:vAlign w:val="center"/>
          </w:tcPr>
          <w:p w14:paraId="4EE18EFF">
            <w:pPr>
              <w:tabs>
                <w:tab w:val="left" w:pos="4320"/>
              </w:tabs>
              <w:rPr>
                <w:rFonts w:ascii="宋体" w:hAnsi="宋体" w:cs="宋体"/>
                <w:color w:val="auto"/>
                <w:sz w:val="28"/>
                <w:szCs w:val="28"/>
                <w:highlight w:val="none"/>
              </w:rPr>
            </w:pPr>
          </w:p>
        </w:tc>
        <w:tc>
          <w:tcPr>
            <w:tcW w:w="946" w:type="dxa"/>
            <w:vMerge w:val="continue"/>
            <w:vAlign w:val="center"/>
          </w:tcPr>
          <w:p w14:paraId="3A03A9ED">
            <w:pPr>
              <w:tabs>
                <w:tab w:val="left" w:pos="4320"/>
              </w:tabs>
              <w:jc w:val="center"/>
              <w:rPr>
                <w:rFonts w:ascii="宋体" w:hAnsi="宋体" w:cs="宋体"/>
                <w:color w:val="auto"/>
                <w:sz w:val="28"/>
                <w:szCs w:val="28"/>
                <w:highlight w:val="none"/>
              </w:rPr>
            </w:pPr>
          </w:p>
        </w:tc>
        <w:tc>
          <w:tcPr>
            <w:tcW w:w="4142" w:type="dxa"/>
            <w:gridSpan w:val="5"/>
            <w:tcBorders>
              <w:right w:val="double" w:color="auto" w:sz="4" w:space="0"/>
            </w:tcBorders>
            <w:vAlign w:val="center"/>
          </w:tcPr>
          <w:p w14:paraId="6D10E6D3">
            <w:pPr>
              <w:tabs>
                <w:tab w:val="left" w:pos="4320"/>
              </w:tabs>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3.</w:t>
            </w:r>
          </w:p>
        </w:tc>
      </w:tr>
      <w:tr w14:paraId="4B2C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651DCF3E">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本次</w:t>
            </w:r>
          </w:p>
          <w:p w14:paraId="66CAD262">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投标</w:t>
            </w:r>
          </w:p>
          <w:p w14:paraId="3E4FD923">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产品</w:t>
            </w:r>
          </w:p>
          <w:p w14:paraId="6BDD38AC">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情况</w:t>
            </w:r>
          </w:p>
        </w:tc>
        <w:tc>
          <w:tcPr>
            <w:tcW w:w="1643" w:type="dxa"/>
            <w:gridSpan w:val="3"/>
            <w:vAlign w:val="center"/>
          </w:tcPr>
          <w:p w14:paraId="5A7A5D79">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本次投标</w:t>
            </w:r>
          </w:p>
          <w:p w14:paraId="108008C2">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617" w:type="dxa"/>
            <w:gridSpan w:val="2"/>
            <w:vAlign w:val="center"/>
          </w:tcPr>
          <w:p w14:paraId="6C86DC33">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型    号</w:t>
            </w:r>
          </w:p>
        </w:tc>
        <w:tc>
          <w:tcPr>
            <w:tcW w:w="946" w:type="dxa"/>
            <w:vAlign w:val="center"/>
          </w:tcPr>
          <w:p w14:paraId="7D0E3546">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上年</w:t>
            </w:r>
          </w:p>
          <w:p w14:paraId="5B16C846">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产销量</w:t>
            </w:r>
          </w:p>
        </w:tc>
        <w:tc>
          <w:tcPr>
            <w:tcW w:w="1263" w:type="dxa"/>
            <w:vAlign w:val="center"/>
          </w:tcPr>
          <w:p w14:paraId="31F50510">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产品技术先进水平</w:t>
            </w:r>
          </w:p>
        </w:tc>
        <w:tc>
          <w:tcPr>
            <w:tcW w:w="1273" w:type="dxa"/>
            <w:gridSpan w:val="2"/>
            <w:vAlign w:val="center"/>
          </w:tcPr>
          <w:p w14:paraId="4AC716DB">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曾获何级何种奖励</w:t>
            </w:r>
          </w:p>
        </w:tc>
        <w:tc>
          <w:tcPr>
            <w:tcW w:w="1606" w:type="dxa"/>
            <w:gridSpan w:val="2"/>
            <w:tcBorders>
              <w:right w:val="double" w:color="auto" w:sz="4" w:space="0"/>
            </w:tcBorders>
            <w:vAlign w:val="center"/>
          </w:tcPr>
          <w:p w14:paraId="7D006054">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主要用户</w:t>
            </w:r>
          </w:p>
          <w:p w14:paraId="134D90FA">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名称</w:t>
            </w:r>
          </w:p>
        </w:tc>
      </w:tr>
      <w:tr w14:paraId="2657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2E9CEC7B">
            <w:pPr>
              <w:tabs>
                <w:tab w:val="left" w:pos="4320"/>
              </w:tabs>
              <w:rPr>
                <w:rFonts w:ascii="宋体" w:hAnsi="宋体" w:cs="宋体"/>
                <w:color w:val="auto"/>
                <w:sz w:val="28"/>
                <w:szCs w:val="28"/>
                <w:highlight w:val="none"/>
              </w:rPr>
            </w:pPr>
          </w:p>
        </w:tc>
        <w:tc>
          <w:tcPr>
            <w:tcW w:w="1643" w:type="dxa"/>
            <w:gridSpan w:val="3"/>
            <w:vAlign w:val="center"/>
          </w:tcPr>
          <w:p w14:paraId="7C69DC65">
            <w:pPr>
              <w:tabs>
                <w:tab w:val="left" w:pos="4320"/>
              </w:tabs>
              <w:rPr>
                <w:rFonts w:ascii="宋体" w:hAnsi="宋体" w:cs="宋体"/>
                <w:color w:val="auto"/>
                <w:sz w:val="28"/>
                <w:szCs w:val="28"/>
                <w:highlight w:val="none"/>
              </w:rPr>
            </w:pPr>
          </w:p>
        </w:tc>
        <w:tc>
          <w:tcPr>
            <w:tcW w:w="1617" w:type="dxa"/>
            <w:gridSpan w:val="2"/>
            <w:vAlign w:val="center"/>
          </w:tcPr>
          <w:p w14:paraId="4CBA71BF">
            <w:pPr>
              <w:tabs>
                <w:tab w:val="left" w:pos="4320"/>
              </w:tabs>
              <w:rPr>
                <w:rFonts w:ascii="宋体" w:hAnsi="宋体" w:cs="宋体"/>
                <w:color w:val="auto"/>
                <w:sz w:val="28"/>
                <w:szCs w:val="28"/>
                <w:highlight w:val="none"/>
              </w:rPr>
            </w:pPr>
          </w:p>
        </w:tc>
        <w:tc>
          <w:tcPr>
            <w:tcW w:w="946" w:type="dxa"/>
            <w:vAlign w:val="center"/>
          </w:tcPr>
          <w:p w14:paraId="1F547EC6">
            <w:pPr>
              <w:tabs>
                <w:tab w:val="left" w:pos="4320"/>
              </w:tabs>
              <w:rPr>
                <w:rFonts w:ascii="宋体" w:hAnsi="宋体" w:cs="宋体"/>
                <w:color w:val="auto"/>
                <w:sz w:val="28"/>
                <w:szCs w:val="28"/>
                <w:highlight w:val="none"/>
              </w:rPr>
            </w:pPr>
          </w:p>
        </w:tc>
        <w:tc>
          <w:tcPr>
            <w:tcW w:w="1263" w:type="dxa"/>
            <w:vAlign w:val="center"/>
          </w:tcPr>
          <w:p w14:paraId="40CCA453">
            <w:pPr>
              <w:tabs>
                <w:tab w:val="left" w:pos="4320"/>
              </w:tabs>
              <w:rPr>
                <w:rFonts w:ascii="宋体" w:hAnsi="宋体" w:cs="宋体"/>
                <w:color w:val="auto"/>
                <w:sz w:val="28"/>
                <w:szCs w:val="28"/>
                <w:highlight w:val="none"/>
              </w:rPr>
            </w:pPr>
          </w:p>
        </w:tc>
        <w:tc>
          <w:tcPr>
            <w:tcW w:w="1273" w:type="dxa"/>
            <w:gridSpan w:val="2"/>
            <w:vAlign w:val="center"/>
          </w:tcPr>
          <w:p w14:paraId="72E0A40E">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4B541372">
            <w:pPr>
              <w:tabs>
                <w:tab w:val="left" w:pos="4320"/>
              </w:tabs>
              <w:rPr>
                <w:rFonts w:ascii="宋体" w:hAnsi="宋体" w:cs="宋体"/>
                <w:color w:val="auto"/>
                <w:sz w:val="28"/>
                <w:szCs w:val="28"/>
                <w:highlight w:val="none"/>
              </w:rPr>
            </w:pPr>
          </w:p>
        </w:tc>
      </w:tr>
      <w:tr w14:paraId="2CF1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63455527">
            <w:pPr>
              <w:tabs>
                <w:tab w:val="left" w:pos="4320"/>
              </w:tabs>
              <w:rPr>
                <w:rFonts w:ascii="宋体" w:hAnsi="宋体" w:cs="宋体"/>
                <w:color w:val="auto"/>
                <w:sz w:val="28"/>
                <w:szCs w:val="28"/>
                <w:highlight w:val="none"/>
              </w:rPr>
            </w:pPr>
          </w:p>
        </w:tc>
        <w:tc>
          <w:tcPr>
            <w:tcW w:w="1643" w:type="dxa"/>
            <w:gridSpan w:val="3"/>
            <w:vAlign w:val="center"/>
          </w:tcPr>
          <w:p w14:paraId="764265AF">
            <w:pPr>
              <w:tabs>
                <w:tab w:val="left" w:pos="4320"/>
              </w:tabs>
              <w:rPr>
                <w:rFonts w:ascii="宋体" w:hAnsi="宋体" w:cs="宋体"/>
                <w:color w:val="auto"/>
                <w:sz w:val="28"/>
                <w:szCs w:val="28"/>
                <w:highlight w:val="none"/>
              </w:rPr>
            </w:pPr>
          </w:p>
        </w:tc>
        <w:tc>
          <w:tcPr>
            <w:tcW w:w="1617" w:type="dxa"/>
            <w:gridSpan w:val="2"/>
            <w:vAlign w:val="center"/>
          </w:tcPr>
          <w:p w14:paraId="5F90B3B1">
            <w:pPr>
              <w:tabs>
                <w:tab w:val="left" w:pos="4320"/>
              </w:tabs>
              <w:rPr>
                <w:rFonts w:ascii="宋体" w:hAnsi="宋体" w:cs="宋体"/>
                <w:color w:val="auto"/>
                <w:sz w:val="28"/>
                <w:szCs w:val="28"/>
                <w:highlight w:val="none"/>
              </w:rPr>
            </w:pPr>
          </w:p>
        </w:tc>
        <w:tc>
          <w:tcPr>
            <w:tcW w:w="946" w:type="dxa"/>
            <w:vAlign w:val="center"/>
          </w:tcPr>
          <w:p w14:paraId="4C23BF37">
            <w:pPr>
              <w:tabs>
                <w:tab w:val="left" w:pos="4320"/>
              </w:tabs>
              <w:rPr>
                <w:rFonts w:ascii="宋体" w:hAnsi="宋体" w:cs="宋体"/>
                <w:color w:val="auto"/>
                <w:sz w:val="28"/>
                <w:szCs w:val="28"/>
                <w:highlight w:val="none"/>
              </w:rPr>
            </w:pPr>
          </w:p>
        </w:tc>
        <w:tc>
          <w:tcPr>
            <w:tcW w:w="1263" w:type="dxa"/>
            <w:vAlign w:val="center"/>
          </w:tcPr>
          <w:p w14:paraId="57F17B25">
            <w:pPr>
              <w:tabs>
                <w:tab w:val="left" w:pos="4320"/>
              </w:tabs>
              <w:rPr>
                <w:rFonts w:ascii="宋体" w:hAnsi="宋体" w:cs="宋体"/>
                <w:color w:val="auto"/>
                <w:sz w:val="28"/>
                <w:szCs w:val="28"/>
                <w:highlight w:val="none"/>
              </w:rPr>
            </w:pPr>
          </w:p>
        </w:tc>
        <w:tc>
          <w:tcPr>
            <w:tcW w:w="1273" w:type="dxa"/>
            <w:gridSpan w:val="2"/>
            <w:vAlign w:val="center"/>
          </w:tcPr>
          <w:p w14:paraId="74D1253E">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1900C952">
            <w:pPr>
              <w:tabs>
                <w:tab w:val="left" w:pos="4320"/>
              </w:tabs>
              <w:rPr>
                <w:rFonts w:ascii="宋体" w:hAnsi="宋体" w:cs="宋体"/>
                <w:color w:val="auto"/>
                <w:sz w:val="28"/>
                <w:szCs w:val="28"/>
                <w:highlight w:val="none"/>
              </w:rPr>
            </w:pPr>
          </w:p>
        </w:tc>
      </w:tr>
      <w:tr w14:paraId="5EFD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2F4818DE">
            <w:pPr>
              <w:tabs>
                <w:tab w:val="left" w:pos="4320"/>
              </w:tabs>
              <w:rPr>
                <w:rFonts w:ascii="宋体" w:hAnsi="宋体" w:cs="宋体"/>
                <w:color w:val="auto"/>
                <w:sz w:val="28"/>
                <w:szCs w:val="28"/>
                <w:highlight w:val="none"/>
              </w:rPr>
            </w:pPr>
          </w:p>
        </w:tc>
        <w:tc>
          <w:tcPr>
            <w:tcW w:w="1643" w:type="dxa"/>
            <w:gridSpan w:val="3"/>
            <w:vAlign w:val="center"/>
          </w:tcPr>
          <w:p w14:paraId="432F763B">
            <w:pPr>
              <w:tabs>
                <w:tab w:val="left" w:pos="4320"/>
              </w:tabs>
              <w:rPr>
                <w:rFonts w:ascii="宋体" w:hAnsi="宋体" w:cs="宋体"/>
                <w:color w:val="auto"/>
                <w:sz w:val="28"/>
                <w:szCs w:val="28"/>
                <w:highlight w:val="none"/>
              </w:rPr>
            </w:pPr>
          </w:p>
        </w:tc>
        <w:tc>
          <w:tcPr>
            <w:tcW w:w="1617" w:type="dxa"/>
            <w:gridSpan w:val="2"/>
            <w:vAlign w:val="center"/>
          </w:tcPr>
          <w:p w14:paraId="62CC7901">
            <w:pPr>
              <w:tabs>
                <w:tab w:val="left" w:pos="4320"/>
              </w:tabs>
              <w:rPr>
                <w:rFonts w:ascii="宋体" w:hAnsi="宋体" w:cs="宋体"/>
                <w:color w:val="auto"/>
                <w:sz w:val="28"/>
                <w:szCs w:val="28"/>
                <w:highlight w:val="none"/>
              </w:rPr>
            </w:pPr>
          </w:p>
        </w:tc>
        <w:tc>
          <w:tcPr>
            <w:tcW w:w="946" w:type="dxa"/>
            <w:vAlign w:val="center"/>
          </w:tcPr>
          <w:p w14:paraId="7664EAC5">
            <w:pPr>
              <w:tabs>
                <w:tab w:val="left" w:pos="4320"/>
              </w:tabs>
              <w:rPr>
                <w:rFonts w:ascii="宋体" w:hAnsi="宋体" w:cs="宋体"/>
                <w:color w:val="auto"/>
                <w:sz w:val="28"/>
                <w:szCs w:val="28"/>
                <w:highlight w:val="none"/>
              </w:rPr>
            </w:pPr>
          </w:p>
        </w:tc>
        <w:tc>
          <w:tcPr>
            <w:tcW w:w="1263" w:type="dxa"/>
            <w:vAlign w:val="center"/>
          </w:tcPr>
          <w:p w14:paraId="66FA4F4F">
            <w:pPr>
              <w:tabs>
                <w:tab w:val="left" w:pos="4320"/>
              </w:tabs>
              <w:rPr>
                <w:rFonts w:ascii="宋体" w:hAnsi="宋体" w:cs="宋体"/>
                <w:color w:val="auto"/>
                <w:sz w:val="28"/>
                <w:szCs w:val="28"/>
                <w:highlight w:val="none"/>
              </w:rPr>
            </w:pPr>
          </w:p>
        </w:tc>
        <w:tc>
          <w:tcPr>
            <w:tcW w:w="1273" w:type="dxa"/>
            <w:gridSpan w:val="2"/>
            <w:vAlign w:val="center"/>
          </w:tcPr>
          <w:p w14:paraId="3ADEC135">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669EB6CD">
            <w:pPr>
              <w:tabs>
                <w:tab w:val="left" w:pos="4320"/>
              </w:tabs>
              <w:rPr>
                <w:rFonts w:ascii="宋体" w:hAnsi="宋体" w:cs="宋体"/>
                <w:color w:val="auto"/>
                <w:sz w:val="28"/>
                <w:szCs w:val="28"/>
                <w:highlight w:val="none"/>
              </w:rPr>
            </w:pPr>
          </w:p>
        </w:tc>
      </w:tr>
      <w:tr w14:paraId="50E0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3340C0FB">
            <w:pPr>
              <w:tabs>
                <w:tab w:val="left" w:pos="4320"/>
              </w:tabs>
              <w:rPr>
                <w:rFonts w:ascii="宋体" w:hAnsi="宋体" w:cs="宋体"/>
                <w:color w:val="auto"/>
                <w:sz w:val="28"/>
                <w:szCs w:val="28"/>
                <w:highlight w:val="none"/>
              </w:rPr>
            </w:pPr>
          </w:p>
        </w:tc>
        <w:tc>
          <w:tcPr>
            <w:tcW w:w="1643" w:type="dxa"/>
            <w:gridSpan w:val="3"/>
            <w:vAlign w:val="center"/>
          </w:tcPr>
          <w:p w14:paraId="5A2DA275">
            <w:pPr>
              <w:tabs>
                <w:tab w:val="left" w:pos="4320"/>
              </w:tabs>
              <w:rPr>
                <w:rFonts w:ascii="宋体" w:hAnsi="宋体" w:cs="宋体"/>
                <w:color w:val="auto"/>
                <w:sz w:val="28"/>
                <w:szCs w:val="28"/>
                <w:highlight w:val="none"/>
              </w:rPr>
            </w:pPr>
          </w:p>
        </w:tc>
        <w:tc>
          <w:tcPr>
            <w:tcW w:w="1617" w:type="dxa"/>
            <w:gridSpan w:val="2"/>
            <w:vAlign w:val="center"/>
          </w:tcPr>
          <w:p w14:paraId="417131DF">
            <w:pPr>
              <w:tabs>
                <w:tab w:val="left" w:pos="4320"/>
              </w:tabs>
              <w:rPr>
                <w:rFonts w:ascii="宋体" w:hAnsi="宋体" w:cs="宋体"/>
                <w:color w:val="auto"/>
                <w:sz w:val="28"/>
                <w:szCs w:val="28"/>
                <w:highlight w:val="none"/>
              </w:rPr>
            </w:pPr>
          </w:p>
        </w:tc>
        <w:tc>
          <w:tcPr>
            <w:tcW w:w="946" w:type="dxa"/>
            <w:vAlign w:val="center"/>
          </w:tcPr>
          <w:p w14:paraId="66B63399">
            <w:pPr>
              <w:tabs>
                <w:tab w:val="left" w:pos="4320"/>
              </w:tabs>
              <w:rPr>
                <w:rFonts w:ascii="宋体" w:hAnsi="宋体" w:cs="宋体"/>
                <w:color w:val="auto"/>
                <w:sz w:val="28"/>
                <w:szCs w:val="28"/>
                <w:highlight w:val="none"/>
              </w:rPr>
            </w:pPr>
          </w:p>
        </w:tc>
        <w:tc>
          <w:tcPr>
            <w:tcW w:w="1263" w:type="dxa"/>
            <w:vAlign w:val="center"/>
          </w:tcPr>
          <w:p w14:paraId="28FFD616">
            <w:pPr>
              <w:tabs>
                <w:tab w:val="left" w:pos="4320"/>
              </w:tabs>
              <w:rPr>
                <w:rFonts w:ascii="宋体" w:hAnsi="宋体" w:cs="宋体"/>
                <w:color w:val="auto"/>
                <w:sz w:val="28"/>
                <w:szCs w:val="28"/>
                <w:highlight w:val="none"/>
              </w:rPr>
            </w:pPr>
          </w:p>
        </w:tc>
        <w:tc>
          <w:tcPr>
            <w:tcW w:w="1273" w:type="dxa"/>
            <w:gridSpan w:val="2"/>
            <w:vAlign w:val="center"/>
          </w:tcPr>
          <w:p w14:paraId="2B9B5BE1">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322EC3F6">
            <w:pPr>
              <w:tabs>
                <w:tab w:val="left" w:pos="4320"/>
              </w:tabs>
              <w:rPr>
                <w:rFonts w:ascii="宋体" w:hAnsi="宋体" w:cs="宋体"/>
                <w:color w:val="auto"/>
                <w:sz w:val="28"/>
                <w:szCs w:val="28"/>
                <w:highlight w:val="none"/>
              </w:rPr>
            </w:pPr>
          </w:p>
        </w:tc>
      </w:tr>
      <w:tr w14:paraId="0609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0AB6771B">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其它</w:t>
            </w:r>
          </w:p>
        </w:tc>
        <w:tc>
          <w:tcPr>
            <w:tcW w:w="4206" w:type="dxa"/>
            <w:gridSpan w:val="6"/>
            <w:vAlign w:val="center"/>
          </w:tcPr>
          <w:p w14:paraId="00D54E3B">
            <w:pPr>
              <w:tabs>
                <w:tab w:val="left" w:pos="4320"/>
              </w:tabs>
              <w:spacing w:before="60" w:after="60"/>
              <w:rPr>
                <w:rFonts w:ascii="宋体" w:hAnsi="宋体" w:cs="宋体"/>
                <w:color w:val="auto"/>
                <w:sz w:val="28"/>
                <w:szCs w:val="28"/>
                <w:highlight w:val="none"/>
              </w:rPr>
            </w:pPr>
            <w:r>
              <w:rPr>
                <w:rFonts w:hint="eastAsia" w:ascii="宋体" w:hAnsi="宋体" w:cs="宋体"/>
                <w:color w:val="auto"/>
                <w:sz w:val="28"/>
                <w:szCs w:val="28"/>
                <w:highlight w:val="none"/>
              </w:rPr>
              <w:t>近3年完成及正在执行的合同中发生的由于投标人违约或部分违约而引起诉讼和受到索赔的案件具体情况及结果（须如实填写，若对此进行隐瞒，尔后又被招标人或采购代理机构发现，或被它人举证成立，其投标资格将被取消）。</w:t>
            </w:r>
          </w:p>
        </w:tc>
        <w:tc>
          <w:tcPr>
            <w:tcW w:w="4142" w:type="dxa"/>
            <w:gridSpan w:val="5"/>
            <w:tcBorders>
              <w:right w:val="double" w:color="auto" w:sz="4" w:space="0"/>
            </w:tcBorders>
            <w:vAlign w:val="center"/>
          </w:tcPr>
          <w:p w14:paraId="0F61E22C">
            <w:pPr>
              <w:tabs>
                <w:tab w:val="left" w:pos="4320"/>
              </w:tabs>
              <w:spacing w:before="60" w:after="60"/>
              <w:rPr>
                <w:rFonts w:ascii="宋体" w:hAnsi="宋体" w:cs="宋体"/>
                <w:color w:val="auto"/>
                <w:sz w:val="28"/>
                <w:szCs w:val="28"/>
                <w:highlight w:val="none"/>
              </w:rPr>
            </w:pPr>
            <w:r>
              <w:rPr>
                <w:rFonts w:hint="eastAsia" w:ascii="宋体" w:hAnsi="宋体" w:cs="宋体"/>
                <w:color w:val="auto"/>
                <w:sz w:val="28"/>
                <w:szCs w:val="28"/>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6F99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5" w:hRule="atLeast"/>
        </w:trPr>
        <w:tc>
          <w:tcPr>
            <w:tcW w:w="817" w:type="dxa"/>
            <w:vMerge w:val="continue"/>
            <w:tcBorders>
              <w:left w:val="double" w:color="auto" w:sz="4" w:space="0"/>
              <w:bottom w:val="double" w:color="auto" w:sz="4" w:space="0"/>
            </w:tcBorders>
            <w:vAlign w:val="center"/>
          </w:tcPr>
          <w:p w14:paraId="7B330BBB">
            <w:pPr>
              <w:tabs>
                <w:tab w:val="left" w:pos="4320"/>
              </w:tabs>
              <w:rPr>
                <w:rFonts w:ascii="宋体" w:hAnsi="宋体" w:cs="宋体"/>
                <w:color w:val="auto"/>
                <w:sz w:val="28"/>
                <w:szCs w:val="28"/>
                <w:highlight w:val="none"/>
              </w:rPr>
            </w:pPr>
          </w:p>
        </w:tc>
        <w:tc>
          <w:tcPr>
            <w:tcW w:w="4206" w:type="dxa"/>
            <w:gridSpan w:val="6"/>
            <w:tcBorders>
              <w:bottom w:val="double" w:color="auto" w:sz="4" w:space="0"/>
            </w:tcBorders>
            <w:vAlign w:val="center"/>
          </w:tcPr>
          <w:p w14:paraId="64170F9D">
            <w:pPr>
              <w:tabs>
                <w:tab w:val="left" w:pos="4320"/>
              </w:tabs>
              <w:rPr>
                <w:rFonts w:ascii="宋体" w:hAnsi="宋体" w:cs="宋体"/>
                <w:color w:val="auto"/>
                <w:sz w:val="28"/>
                <w:szCs w:val="28"/>
                <w:highlight w:val="none"/>
              </w:rPr>
            </w:pPr>
          </w:p>
        </w:tc>
        <w:tc>
          <w:tcPr>
            <w:tcW w:w="4142" w:type="dxa"/>
            <w:gridSpan w:val="5"/>
            <w:tcBorders>
              <w:bottom w:val="double" w:color="auto" w:sz="4" w:space="0"/>
              <w:right w:val="double" w:color="auto" w:sz="4" w:space="0"/>
            </w:tcBorders>
            <w:vAlign w:val="center"/>
          </w:tcPr>
          <w:p w14:paraId="15D1D6DE">
            <w:pPr>
              <w:tabs>
                <w:tab w:val="left" w:pos="4320"/>
              </w:tabs>
              <w:rPr>
                <w:rFonts w:ascii="宋体" w:hAnsi="宋体" w:cs="宋体"/>
                <w:color w:val="auto"/>
                <w:sz w:val="28"/>
                <w:szCs w:val="28"/>
                <w:highlight w:val="none"/>
              </w:rPr>
            </w:pPr>
          </w:p>
        </w:tc>
      </w:tr>
    </w:tbl>
    <w:p w14:paraId="3B1FCA91">
      <w:pPr>
        <w:spacing w:line="480" w:lineRule="exact"/>
        <w:rPr>
          <w:rFonts w:ascii="宋体" w:hAnsi="宋体" w:cs="宋体"/>
          <w:b/>
          <w:color w:val="auto"/>
          <w:sz w:val="28"/>
          <w:szCs w:val="28"/>
          <w:highlight w:val="none"/>
        </w:rPr>
      </w:pPr>
    </w:p>
    <w:p w14:paraId="64F99896">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4</w:t>
      </w:r>
    </w:p>
    <w:p w14:paraId="66CE1EC7">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r>
        <w:rPr>
          <w:rFonts w:hint="eastAsia" w:ascii="宋体" w:hAnsi="宋体" w:cs="宋体"/>
          <w:b/>
          <w:color w:val="auto"/>
          <w:sz w:val="28"/>
          <w:szCs w:val="28"/>
          <w:highlight w:val="none"/>
          <w:lang w:eastAsia="zh-CN"/>
        </w:rPr>
        <w:t>未</w:t>
      </w:r>
      <w:r>
        <w:rPr>
          <w:rFonts w:hint="eastAsia" w:ascii="宋体" w:hAnsi="宋体" w:cs="宋体"/>
          <w:b/>
          <w:color w:val="auto"/>
          <w:sz w:val="28"/>
          <w:szCs w:val="28"/>
          <w:highlight w:val="none"/>
        </w:rPr>
        <w:t>标</w:t>
      </w:r>
      <w:r>
        <w:rPr>
          <w:rFonts w:hint="eastAsia" w:ascii="宋体" w:hAnsi="宋体" w:cs="宋体"/>
          <w:b/>
          <w:color w:val="auto"/>
          <w:sz w:val="28"/>
          <w:szCs w:val="28"/>
          <w:highlight w:val="none"/>
          <w:lang w:val="en-US" w:eastAsia="zh-CN"/>
        </w:rPr>
        <w:t>★</w:t>
      </w:r>
      <w:r>
        <w:rPr>
          <w:rFonts w:hint="eastAsia" w:ascii="宋体" w:hAnsi="宋体" w:cs="宋体"/>
          <w:b/>
          <w:color w:val="auto"/>
          <w:sz w:val="28"/>
          <w:szCs w:val="28"/>
          <w:highlight w:val="none"/>
        </w:rPr>
        <w:t>项）</w:t>
      </w:r>
    </w:p>
    <w:tbl>
      <w:tblPr>
        <w:tblStyle w:val="37"/>
        <w:tblpPr w:leftFromText="180" w:rightFromText="180" w:vertAnchor="text" w:tblpXSpec="center" w:tblpY="1"/>
        <w:tblOverlap w:val="neve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5564"/>
        <w:gridCol w:w="1568"/>
        <w:gridCol w:w="1152"/>
      </w:tblGrid>
      <w:tr w14:paraId="6BCD5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3" w:type="dxa"/>
            <w:vAlign w:val="center"/>
          </w:tcPr>
          <w:p w14:paraId="448B6D9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5564" w:type="dxa"/>
            <w:vAlign w:val="center"/>
          </w:tcPr>
          <w:p w14:paraId="2A64F5F5">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1568" w:type="dxa"/>
            <w:vAlign w:val="center"/>
          </w:tcPr>
          <w:p w14:paraId="3099C64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1152" w:type="dxa"/>
            <w:vAlign w:val="center"/>
          </w:tcPr>
          <w:p w14:paraId="1372607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40FC8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8927" w:type="dxa"/>
            <w:gridSpan w:val="4"/>
            <w:tcBorders>
              <w:bottom w:val="single" w:color="auto" w:sz="4" w:space="0"/>
            </w:tcBorders>
            <w:vAlign w:val="center"/>
          </w:tcPr>
          <w:p w14:paraId="04DC10F3">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（1）工频局放测试系统</w:t>
            </w:r>
          </w:p>
        </w:tc>
      </w:tr>
      <w:tr w14:paraId="3749C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43" w:type="dxa"/>
            <w:tcBorders>
              <w:bottom w:val="single" w:color="auto" w:sz="4" w:space="0"/>
            </w:tcBorders>
            <w:vAlign w:val="center"/>
          </w:tcPr>
          <w:p w14:paraId="6FA16E4E">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5564" w:type="dxa"/>
            <w:tcBorders>
              <w:bottom w:val="single" w:color="auto" w:sz="4" w:space="0"/>
            </w:tcBorders>
            <w:vAlign w:val="center"/>
          </w:tcPr>
          <w:p w14:paraId="18B1BD8D">
            <w:pPr>
              <w:numPr>
                <w:ilvl w:val="0"/>
                <w:numId w:val="0"/>
              </w:numPr>
              <w:wordWrap/>
              <w:adjustRightInd/>
              <w:snapToGrid/>
              <w:ind w:firstLine="560" w:firstLineChars="200"/>
              <w:jc w:val="left"/>
              <w:rPr>
                <w:rFonts w:hint="eastAsia" w:ascii="宋体" w:hAnsi="宋体" w:eastAsia="宋体" w:cs="宋体"/>
                <w:color w:val="auto"/>
                <w:sz w:val="28"/>
                <w:szCs w:val="28"/>
                <w:lang w:val="en-US" w:eastAsia="zh-CN"/>
              </w:rPr>
            </w:pPr>
            <w:r>
              <w:rPr>
                <w:rFonts w:hint="default" w:ascii="宋体" w:hAnsi="宋体" w:eastAsia="宋体" w:cs="宋体"/>
                <w:color w:val="auto"/>
                <w:kern w:val="0"/>
                <w:sz w:val="28"/>
                <w:szCs w:val="28"/>
                <w:lang w:val="en-US" w:eastAsia="zh-CN" w:bidi="ar-SA"/>
              </w:rPr>
              <w:t>1.1</w:t>
            </w:r>
            <w:r>
              <w:rPr>
                <w:rFonts w:hint="eastAsia" w:ascii="宋体" w:hAnsi="宋体" w:eastAsia="宋体" w:cs="宋体"/>
                <w:color w:val="auto"/>
                <w:sz w:val="28"/>
                <w:szCs w:val="28"/>
                <w:lang w:val="en-US" w:eastAsia="zh-CN"/>
              </w:rPr>
              <w:t>总体技术参数</w:t>
            </w:r>
          </w:p>
          <w:p w14:paraId="448027FA">
            <w:pPr>
              <w:numPr>
                <w:ilvl w:val="0"/>
                <w:numId w:val="0"/>
              </w:numPr>
              <w:wordWrap/>
              <w:adjustRightInd/>
              <w:snapToGrid/>
              <w:ind w:firstLine="560" w:firstLineChars="200"/>
              <w:jc w:val="left"/>
              <w:rPr>
                <w:rFonts w:hint="eastAsia" w:ascii="宋体" w:hAnsi="宋体" w:cs="宋体"/>
                <w:color w:val="auto"/>
                <w:sz w:val="24"/>
                <w:highlight w:val="none"/>
              </w:rPr>
            </w:pPr>
            <w:r>
              <w:rPr>
                <w:rFonts w:hint="eastAsia" w:ascii="宋体" w:hAnsi="宋体" w:eastAsia="宋体" w:cs="宋体"/>
                <w:color w:val="auto"/>
                <w:sz w:val="28"/>
                <w:szCs w:val="28"/>
                <w:lang w:val="en-US" w:eastAsia="zh-CN"/>
              </w:rPr>
              <w:t>1.1.3 符合GB/T12706.1～12706.3（IEC60502）,GB/T7354(IEC60270), GB/T3048.12(IEC60885-3),JB/T10435标准要求；</w:t>
            </w:r>
          </w:p>
        </w:tc>
        <w:tc>
          <w:tcPr>
            <w:tcW w:w="1568" w:type="dxa"/>
            <w:tcBorders>
              <w:bottom w:val="single" w:color="auto" w:sz="4" w:space="0"/>
            </w:tcBorders>
            <w:vAlign w:val="center"/>
          </w:tcPr>
          <w:p w14:paraId="75076FD2">
            <w:pPr>
              <w:widowControl/>
              <w:spacing w:line="460" w:lineRule="exact"/>
              <w:jc w:val="left"/>
              <w:textAlignment w:val="center"/>
              <w:rPr>
                <w:rFonts w:ascii="宋体" w:hAnsi="宋体" w:cs="宋体"/>
                <w:color w:val="auto"/>
                <w:sz w:val="24"/>
                <w:highlight w:val="none"/>
              </w:rPr>
            </w:pPr>
          </w:p>
        </w:tc>
        <w:tc>
          <w:tcPr>
            <w:tcW w:w="1152" w:type="dxa"/>
            <w:vAlign w:val="center"/>
          </w:tcPr>
          <w:p w14:paraId="12321A22">
            <w:pPr>
              <w:spacing w:line="480" w:lineRule="exact"/>
              <w:jc w:val="left"/>
              <w:rPr>
                <w:rFonts w:ascii="宋体" w:hAnsi="宋体" w:cs="宋体"/>
                <w:color w:val="auto"/>
                <w:sz w:val="28"/>
                <w:szCs w:val="28"/>
                <w:highlight w:val="none"/>
              </w:rPr>
            </w:pPr>
          </w:p>
        </w:tc>
      </w:tr>
      <w:tr w14:paraId="29E5A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43" w:type="dxa"/>
            <w:tcBorders>
              <w:bottom w:val="single" w:color="auto" w:sz="4" w:space="0"/>
            </w:tcBorders>
            <w:shd w:val="clear" w:color="auto" w:fill="auto"/>
            <w:vAlign w:val="center"/>
          </w:tcPr>
          <w:p w14:paraId="443A8EF8">
            <w:pPr>
              <w:spacing w:line="48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t>2</w:t>
            </w:r>
          </w:p>
        </w:tc>
        <w:tc>
          <w:tcPr>
            <w:tcW w:w="5564" w:type="dxa"/>
            <w:tcBorders>
              <w:bottom w:val="single" w:color="auto" w:sz="4" w:space="0"/>
            </w:tcBorders>
            <w:vAlign w:val="center"/>
          </w:tcPr>
          <w:p w14:paraId="215FDD94">
            <w:pPr>
              <w:pStyle w:val="70"/>
              <w:numPr>
                <w:ilvl w:val="1"/>
                <w:numId w:val="0"/>
              </w:numPr>
              <w:tabs>
                <w:tab w:val="left" w:pos="448"/>
                <w:tab w:val="left" w:pos="851"/>
              </w:tabs>
              <w:wordWrap w:val="0"/>
              <w:adjustRightInd w:val="0"/>
              <w:snapToGrid w:val="0"/>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1.1.4 具有电缆局部放电位置定位功能</w:t>
            </w:r>
          </w:p>
        </w:tc>
        <w:tc>
          <w:tcPr>
            <w:tcW w:w="1568" w:type="dxa"/>
            <w:tcBorders>
              <w:bottom w:val="single" w:color="auto" w:sz="4" w:space="0"/>
            </w:tcBorders>
            <w:vAlign w:val="center"/>
          </w:tcPr>
          <w:p w14:paraId="3FB314BA">
            <w:pPr>
              <w:widowControl/>
              <w:spacing w:line="460" w:lineRule="exact"/>
              <w:jc w:val="left"/>
              <w:textAlignment w:val="center"/>
              <w:rPr>
                <w:rFonts w:ascii="宋体" w:hAnsi="宋体" w:cs="宋体"/>
                <w:color w:val="auto"/>
                <w:sz w:val="24"/>
                <w:highlight w:val="none"/>
              </w:rPr>
            </w:pPr>
          </w:p>
        </w:tc>
        <w:tc>
          <w:tcPr>
            <w:tcW w:w="1152" w:type="dxa"/>
            <w:vAlign w:val="center"/>
          </w:tcPr>
          <w:p w14:paraId="22DFCBDD">
            <w:pPr>
              <w:spacing w:line="480" w:lineRule="exact"/>
              <w:jc w:val="left"/>
              <w:rPr>
                <w:rFonts w:ascii="宋体" w:hAnsi="宋体" w:cs="宋体"/>
                <w:color w:val="auto"/>
                <w:sz w:val="28"/>
                <w:szCs w:val="28"/>
                <w:highlight w:val="none"/>
              </w:rPr>
            </w:pPr>
          </w:p>
        </w:tc>
      </w:tr>
      <w:tr w14:paraId="27603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43" w:type="dxa"/>
            <w:tcBorders>
              <w:top w:val="single" w:color="auto" w:sz="4" w:space="0"/>
            </w:tcBorders>
            <w:shd w:val="clear" w:color="auto" w:fill="auto"/>
            <w:vAlign w:val="center"/>
          </w:tcPr>
          <w:p w14:paraId="4E8739C8">
            <w:pPr>
              <w:spacing w:line="480" w:lineRule="exact"/>
              <w:jc w:val="center"/>
              <w:rPr>
                <w:rFonts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t>3</w:t>
            </w:r>
          </w:p>
        </w:tc>
        <w:tc>
          <w:tcPr>
            <w:tcW w:w="5564" w:type="dxa"/>
            <w:tcBorders>
              <w:top w:val="single" w:color="auto" w:sz="4" w:space="0"/>
            </w:tcBorders>
            <w:vAlign w:val="center"/>
          </w:tcPr>
          <w:p w14:paraId="001DCEC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1.2数字局部放电测试仪</w:t>
            </w:r>
          </w:p>
          <w:p w14:paraId="7DA6DDC7">
            <w:pPr>
              <w:pStyle w:val="70"/>
              <w:tabs>
                <w:tab w:val="left" w:pos="448"/>
              </w:tabs>
              <w:adjustRightInd w:val="0"/>
              <w:snapToGrid w:val="0"/>
              <w:spacing w:line="460" w:lineRule="exact"/>
              <w:ind w:firstLine="560" w:firstLineChars="200"/>
              <w:jc w:val="left"/>
              <w:rPr>
                <w:rFonts w:ascii="宋体" w:hAnsi="宋体" w:cs="宋体"/>
                <w:color w:val="auto"/>
                <w:sz w:val="24"/>
                <w:highlight w:val="none"/>
              </w:rPr>
            </w:pPr>
            <w:r>
              <w:rPr>
                <w:rFonts w:hint="eastAsia" w:ascii="宋体" w:hAnsi="宋体" w:eastAsia="宋体" w:cs="宋体"/>
                <w:color w:val="auto"/>
                <w:sz w:val="28"/>
                <w:szCs w:val="28"/>
                <w:lang w:val="en-US" w:eastAsia="zh-CN"/>
              </w:rPr>
              <w:t>1.2.3放大器频带：低端频率10、20、30、50、80kHz任选，高端频率100、200、300、400、500kHz任选</w:t>
            </w:r>
          </w:p>
        </w:tc>
        <w:tc>
          <w:tcPr>
            <w:tcW w:w="1568" w:type="dxa"/>
            <w:tcBorders>
              <w:top w:val="single" w:color="auto" w:sz="4" w:space="0"/>
            </w:tcBorders>
            <w:vAlign w:val="center"/>
          </w:tcPr>
          <w:p w14:paraId="794DCB9E">
            <w:pPr>
              <w:widowControl/>
              <w:spacing w:line="460" w:lineRule="exact"/>
              <w:jc w:val="left"/>
              <w:textAlignment w:val="center"/>
              <w:rPr>
                <w:rFonts w:ascii="宋体" w:hAnsi="宋体" w:cs="宋体"/>
                <w:color w:val="auto"/>
                <w:sz w:val="24"/>
                <w:highlight w:val="none"/>
              </w:rPr>
            </w:pPr>
          </w:p>
        </w:tc>
        <w:tc>
          <w:tcPr>
            <w:tcW w:w="1152" w:type="dxa"/>
            <w:vAlign w:val="center"/>
          </w:tcPr>
          <w:p w14:paraId="378DE943">
            <w:pPr>
              <w:spacing w:line="480" w:lineRule="exact"/>
              <w:jc w:val="left"/>
              <w:rPr>
                <w:rFonts w:ascii="宋体" w:hAnsi="宋体" w:cs="宋体"/>
                <w:color w:val="auto"/>
                <w:sz w:val="28"/>
                <w:szCs w:val="28"/>
                <w:highlight w:val="none"/>
              </w:rPr>
            </w:pPr>
          </w:p>
        </w:tc>
      </w:tr>
      <w:tr w14:paraId="1DC3A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EC981BE">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w:t>
            </w:r>
          </w:p>
        </w:tc>
        <w:tc>
          <w:tcPr>
            <w:tcW w:w="5564" w:type="dxa"/>
            <w:vAlign w:val="center"/>
          </w:tcPr>
          <w:p w14:paraId="759EE41D">
            <w:pPr>
              <w:numPr>
                <w:ilvl w:val="0"/>
                <w:numId w:val="0"/>
              </w:numPr>
              <w:adjustRightInd/>
              <w:snapToGrid/>
              <w:ind w:firstLine="560" w:firstLineChars="200"/>
              <w:jc w:val="left"/>
              <w:rPr>
                <w:rFonts w:ascii="宋体" w:hAnsi="宋体" w:cs="宋体"/>
                <w:color w:val="auto"/>
                <w:sz w:val="24"/>
                <w:highlight w:val="none"/>
              </w:rPr>
            </w:pPr>
            <w:r>
              <w:rPr>
                <w:rFonts w:hint="eastAsia" w:ascii="宋体" w:hAnsi="宋体" w:eastAsia="宋体" w:cs="宋体"/>
                <w:color w:val="auto"/>
                <w:sz w:val="28"/>
                <w:szCs w:val="28"/>
                <w:lang w:val="en-US" w:eastAsia="zh-CN"/>
              </w:rPr>
              <w:t>1.2.4放大器增益调节范围：＞120dB,档间增益差20±1dB。正、负脉冲响应不对称性＜1dB；</w:t>
            </w:r>
          </w:p>
        </w:tc>
        <w:tc>
          <w:tcPr>
            <w:tcW w:w="1568" w:type="dxa"/>
            <w:vAlign w:val="center"/>
          </w:tcPr>
          <w:p w14:paraId="241DB828">
            <w:pPr>
              <w:widowControl/>
              <w:spacing w:line="460" w:lineRule="exact"/>
              <w:jc w:val="left"/>
              <w:textAlignment w:val="center"/>
              <w:rPr>
                <w:rFonts w:ascii="宋体" w:hAnsi="宋体" w:cs="宋体"/>
                <w:color w:val="auto"/>
                <w:sz w:val="24"/>
                <w:highlight w:val="none"/>
              </w:rPr>
            </w:pPr>
          </w:p>
        </w:tc>
        <w:tc>
          <w:tcPr>
            <w:tcW w:w="1152" w:type="dxa"/>
            <w:vAlign w:val="center"/>
          </w:tcPr>
          <w:p w14:paraId="3B65D00F">
            <w:pPr>
              <w:spacing w:line="480" w:lineRule="exact"/>
              <w:jc w:val="left"/>
              <w:rPr>
                <w:rFonts w:ascii="宋体" w:hAnsi="宋体" w:cs="宋体"/>
                <w:color w:val="auto"/>
                <w:sz w:val="28"/>
                <w:szCs w:val="28"/>
                <w:highlight w:val="none"/>
              </w:rPr>
            </w:pPr>
          </w:p>
        </w:tc>
      </w:tr>
      <w:tr w14:paraId="4E9D4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F68E1DC">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w:t>
            </w:r>
          </w:p>
        </w:tc>
        <w:tc>
          <w:tcPr>
            <w:tcW w:w="5564" w:type="dxa"/>
            <w:vAlign w:val="center"/>
          </w:tcPr>
          <w:p w14:paraId="43859692">
            <w:pPr>
              <w:numPr>
                <w:ilvl w:val="0"/>
                <w:numId w:val="0"/>
              </w:numPr>
              <w:adjustRightInd/>
              <w:snapToGrid/>
              <w:ind w:firstLine="56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8"/>
                <w:szCs w:val="28"/>
                <w:lang w:val="en-US" w:eastAsia="zh-CN"/>
              </w:rPr>
              <w:t>1.2.5时间窗：窗宽1</w:t>
            </w:r>
            <w:r>
              <w:rPr>
                <w:rFonts w:hint="eastAsia" w:ascii="宋体" w:hAnsi="宋体" w:eastAsia="宋体" w:cs="宋体"/>
                <w:color w:val="auto"/>
                <w:sz w:val="28"/>
                <w:szCs w:val="28"/>
                <w:vertAlign w:val="superscript"/>
                <w:lang w:val="en-US" w:eastAsia="zh-CN"/>
              </w:rPr>
              <w:t>о</w:t>
            </w:r>
            <w:r>
              <w:rPr>
                <w:rFonts w:hint="eastAsia" w:ascii="宋体" w:hAnsi="宋体" w:eastAsia="宋体" w:cs="宋体"/>
                <w:color w:val="auto"/>
                <w:sz w:val="28"/>
                <w:szCs w:val="28"/>
                <w:lang w:val="en-US" w:eastAsia="zh-CN"/>
              </w:rPr>
              <w:t>～360</w:t>
            </w:r>
            <w:r>
              <w:rPr>
                <w:rFonts w:hint="eastAsia" w:ascii="宋体" w:hAnsi="宋体" w:eastAsia="宋体" w:cs="宋体"/>
                <w:color w:val="auto"/>
                <w:sz w:val="28"/>
                <w:szCs w:val="28"/>
                <w:vertAlign w:val="superscript"/>
                <w:lang w:val="en-US" w:eastAsia="zh-CN"/>
              </w:rPr>
              <w:t>о</w:t>
            </w:r>
            <w:r>
              <w:rPr>
                <w:rFonts w:hint="eastAsia" w:ascii="宋体" w:hAnsi="宋体" w:eastAsia="宋体" w:cs="宋体"/>
                <w:color w:val="auto"/>
                <w:sz w:val="28"/>
                <w:szCs w:val="28"/>
                <w:lang w:val="en-US" w:eastAsia="zh-CN"/>
              </w:rPr>
              <w:t>,窗位置可任意旋转；</w:t>
            </w:r>
          </w:p>
        </w:tc>
        <w:tc>
          <w:tcPr>
            <w:tcW w:w="1568" w:type="dxa"/>
            <w:vAlign w:val="center"/>
          </w:tcPr>
          <w:p w14:paraId="60518D53">
            <w:pPr>
              <w:widowControl/>
              <w:spacing w:line="460" w:lineRule="exact"/>
              <w:jc w:val="left"/>
              <w:textAlignment w:val="center"/>
              <w:rPr>
                <w:rFonts w:ascii="宋体" w:hAnsi="宋体" w:cs="宋体"/>
                <w:color w:val="auto"/>
                <w:sz w:val="24"/>
                <w:highlight w:val="none"/>
              </w:rPr>
            </w:pPr>
          </w:p>
        </w:tc>
        <w:tc>
          <w:tcPr>
            <w:tcW w:w="1152" w:type="dxa"/>
            <w:vAlign w:val="center"/>
          </w:tcPr>
          <w:p w14:paraId="5D497A2B">
            <w:pPr>
              <w:spacing w:line="480" w:lineRule="exact"/>
              <w:jc w:val="left"/>
              <w:rPr>
                <w:rFonts w:ascii="宋体" w:hAnsi="宋体" w:cs="宋体"/>
                <w:color w:val="auto"/>
                <w:sz w:val="28"/>
                <w:szCs w:val="28"/>
                <w:highlight w:val="none"/>
              </w:rPr>
            </w:pPr>
          </w:p>
        </w:tc>
      </w:tr>
      <w:tr w14:paraId="426FB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4E8013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6</w:t>
            </w:r>
          </w:p>
        </w:tc>
        <w:tc>
          <w:tcPr>
            <w:tcW w:w="5564" w:type="dxa"/>
            <w:vAlign w:val="center"/>
          </w:tcPr>
          <w:p w14:paraId="6D3A5FA9">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1.2.6试验电压表：0～200kV,数字表显示时误差＜3%F.S.</w:t>
            </w:r>
          </w:p>
        </w:tc>
        <w:tc>
          <w:tcPr>
            <w:tcW w:w="1568" w:type="dxa"/>
            <w:vAlign w:val="center"/>
          </w:tcPr>
          <w:p w14:paraId="32AAA415">
            <w:pPr>
              <w:widowControl/>
              <w:spacing w:line="460" w:lineRule="exact"/>
              <w:jc w:val="left"/>
              <w:textAlignment w:val="center"/>
              <w:rPr>
                <w:rFonts w:ascii="宋体" w:hAnsi="宋体" w:cs="宋体"/>
                <w:color w:val="auto"/>
                <w:sz w:val="24"/>
                <w:highlight w:val="none"/>
              </w:rPr>
            </w:pPr>
          </w:p>
        </w:tc>
        <w:tc>
          <w:tcPr>
            <w:tcW w:w="1152" w:type="dxa"/>
            <w:vAlign w:val="center"/>
          </w:tcPr>
          <w:p w14:paraId="3D1627D1">
            <w:pPr>
              <w:spacing w:line="480" w:lineRule="exact"/>
              <w:jc w:val="left"/>
              <w:rPr>
                <w:rFonts w:ascii="宋体" w:hAnsi="宋体" w:cs="宋体"/>
                <w:color w:val="auto"/>
                <w:sz w:val="28"/>
                <w:szCs w:val="28"/>
                <w:highlight w:val="none"/>
              </w:rPr>
            </w:pPr>
          </w:p>
        </w:tc>
      </w:tr>
      <w:tr w14:paraId="453D9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A39CDE0">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7</w:t>
            </w:r>
          </w:p>
        </w:tc>
        <w:tc>
          <w:tcPr>
            <w:tcW w:w="5564" w:type="dxa"/>
            <w:vAlign w:val="center"/>
          </w:tcPr>
          <w:p w14:paraId="120C6F48">
            <w:pPr>
              <w:numPr>
                <w:ilvl w:val="0"/>
                <w:numId w:val="0"/>
              </w:numPr>
              <w:adjustRightInd/>
              <w:snapToGrid/>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软件功能：自由选择椭圆、直线、正弦显示方式，能同时显示局部放电波形、局放量和测试电压，支持测量单元任意开窗，支持局放事件图谱显示，支持脉冲序列分析，支持报告生成与导出功能</w:t>
            </w:r>
          </w:p>
        </w:tc>
        <w:tc>
          <w:tcPr>
            <w:tcW w:w="1568" w:type="dxa"/>
            <w:vAlign w:val="center"/>
          </w:tcPr>
          <w:p w14:paraId="7E62E311">
            <w:pPr>
              <w:widowControl/>
              <w:spacing w:line="460" w:lineRule="exact"/>
              <w:jc w:val="left"/>
              <w:textAlignment w:val="center"/>
              <w:rPr>
                <w:rFonts w:ascii="宋体" w:hAnsi="宋体" w:cs="宋体"/>
                <w:color w:val="auto"/>
                <w:sz w:val="24"/>
                <w:highlight w:val="none"/>
              </w:rPr>
            </w:pPr>
          </w:p>
        </w:tc>
        <w:tc>
          <w:tcPr>
            <w:tcW w:w="1152" w:type="dxa"/>
            <w:vAlign w:val="center"/>
          </w:tcPr>
          <w:p w14:paraId="64C70375">
            <w:pPr>
              <w:spacing w:line="480" w:lineRule="exact"/>
              <w:jc w:val="left"/>
              <w:rPr>
                <w:rFonts w:ascii="宋体" w:hAnsi="宋体" w:cs="宋体"/>
                <w:color w:val="auto"/>
                <w:sz w:val="28"/>
                <w:szCs w:val="28"/>
                <w:highlight w:val="none"/>
              </w:rPr>
            </w:pPr>
          </w:p>
        </w:tc>
      </w:tr>
      <w:tr w14:paraId="2CBBA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7624E9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8</w:t>
            </w:r>
          </w:p>
        </w:tc>
        <w:tc>
          <w:tcPr>
            <w:tcW w:w="5564" w:type="dxa"/>
            <w:vAlign w:val="center"/>
          </w:tcPr>
          <w:p w14:paraId="733324DE">
            <w:pPr>
              <w:numPr>
                <w:ilvl w:val="0"/>
                <w:numId w:val="0"/>
              </w:numPr>
              <w:adjustRightInd/>
              <w:snapToGrid/>
              <w:ind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1.3双屏蔽静电隔离变压器</w:t>
            </w:r>
          </w:p>
          <w:p w14:paraId="1194206C">
            <w:pPr>
              <w:numPr>
                <w:ilvl w:val="0"/>
                <w:numId w:val="0"/>
              </w:numPr>
              <w:adjustRightInd/>
              <w:snapToGrid/>
              <w:ind w:firstLine="560"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lang w:val="en-US" w:eastAsia="zh-CN"/>
              </w:rPr>
              <w:t>1.3.2衰减效果：15kHz～1MHz频带内,≥10dB</w:t>
            </w:r>
          </w:p>
        </w:tc>
        <w:tc>
          <w:tcPr>
            <w:tcW w:w="1568" w:type="dxa"/>
            <w:vAlign w:val="center"/>
          </w:tcPr>
          <w:p w14:paraId="71C4C1AB">
            <w:pPr>
              <w:widowControl/>
              <w:spacing w:line="460" w:lineRule="exact"/>
              <w:jc w:val="left"/>
              <w:textAlignment w:val="center"/>
              <w:rPr>
                <w:rFonts w:ascii="宋体" w:hAnsi="宋体" w:cs="宋体"/>
                <w:color w:val="auto"/>
                <w:sz w:val="24"/>
                <w:highlight w:val="none"/>
              </w:rPr>
            </w:pPr>
          </w:p>
        </w:tc>
        <w:tc>
          <w:tcPr>
            <w:tcW w:w="1152" w:type="dxa"/>
            <w:vAlign w:val="center"/>
          </w:tcPr>
          <w:p w14:paraId="3F386887">
            <w:pPr>
              <w:spacing w:line="480" w:lineRule="exact"/>
              <w:jc w:val="left"/>
              <w:rPr>
                <w:rFonts w:ascii="宋体" w:hAnsi="宋体" w:cs="宋体"/>
                <w:color w:val="auto"/>
                <w:sz w:val="28"/>
                <w:szCs w:val="28"/>
                <w:highlight w:val="none"/>
              </w:rPr>
            </w:pPr>
          </w:p>
        </w:tc>
      </w:tr>
      <w:tr w14:paraId="59A7C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3" w:type="dxa"/>
            <w:shd w:val="clear" w:color="auto" w:fill="auto"/>
            <w:vAlign w:val="center"/>
          </w:tcPr>
          <w:p w14:paraId="03BD1656">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9</w:t>
            </w:r>
          </w:p>
        </w:tc>
        <w:tc>
          <w:tcPr>
            <w:tcW w:w="5564" w:type="dxa"/>
            <w:vAlign w:val="center"/>
          </w:tcPr>
          <w:p w14:paraId="00E5979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1.4低压滤波器</w:t>
            </w:r>
          </w:p>
          <w:p w14:paraId="0FA09247">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1.4.1额定电压：380V，50Hz；额定电流：300A；</w:t>
            </w:r>
          </w:p>
        </w:tc>
        <w:tc>
          <w:tcPr>
            <w:tcW w:w="1568" w:type="dxa"/>
            <w:vAlign w:val="center"/>
          </w:tcPr>
          <w:p w14:paraId="7F3B3034">
            <w:pPr>
              <w:widowControl/>
              <w:spacing w:line="460" w:lineRule="exact"/>
              <w:jc w:val="left"/>
              <w:textAlignment w:val="center"/>
              <w:rPr>
                <w:rFonts w:ascii="宋体" w:hAnsi="宋体" w:cs="宋体"/>
                <w:color w:val="auto"/>
                <w:sz w:val="24"/>
                <w:highlight w:val="none"/>
              </w:rPr>
            </w:pPr>
          </w:p>
        </w:tc>
        <w:tc>
          <w:tcPr>
            <w:tcW w:w="1152" w:type="dxa"/>
            <w:vAlign w:val="center"/>
          </w:tcPr>
          <w:p w14:paraId="4ED95664">
            <w:pPr>
              <w:spacing w:line="480" w:lineRule="exact"/>
              <w:jc w:val="left"/>
              <w:rPr>
                <w:rFonts w:ascii="宋体" w:hAnsi="宋体" w:cs="宋体"/>
                <w:color w:val="auto"/>
                <w:sz w:val="28"/>
                <w:szCs w:val="28"/>
                <w:highlight w:val="none"/>
              </w:rPr>
            </w:pPr>
          </w:p>
        </w:tc>
      </w:tr>
      <w:tr w14:paraId="38F25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3C5E82C">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10</w:t>
            </w:r>
          </w:p>
        </w:tc>
        <w:tc>
          <w:tcPr>
            <w:tcW w:w="5564" w:type="dxa"/>
            <w:vAlign w:val="center"/>
          </w:tcPr>
          <w:p w14:paraId="63FF4263">
            <w:pPr>
              <w:numPr>
                <w:ilvl w:val="0"/>
                <w:numId w:val="0"/>
              </w:numPr>
              <w:adjustRightInd/>
              <w:snapToGrid/>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1.4.2衰减特性：频率范15kHz～1MHz，每相的典型插入损耗≥40dB</w:t>
            </w:r>
          </w:p>
        </w:tc>
        <w:tc>
          <w:tcPr>
            <w:tcW w:w="1568" w:type="dxa"/>
            <w:vAlign w:val="center"/>
          </w:tcPr>
          <w:p w14:paraId="4542C21D">
            <w:pPr>
              <w:widowControl/>
              <w:spacing w:line="460" w:lineRule="exact"/>
              <w:jc w:val="left"/>
              <w:textAlignment w:val="center"/>
              <w:rPr>
                <w:rFonts w:ascii="宋体" w:hAnsi="宋体" w:cs="宋体"/>
                <w:color w:val="auto"/>
                <w:sz w:val="24"/>
                <w:highlight w:val="none"/>
              </w:rPr>
            </w:pPr>
          </w:p>
        </w:tc>
        <w:tc>
          <w:tcPr>
            <w:tcW w:w="1152" w:type="dxa"/>
            <w:vAlign w:val="center"/>
          </w:tcPr>
          <w:p w14:paraId="2246A343">
            <w:pPr>
              <w:spacing w:line="480" w:lineRule="exact"/>
              <w:jc w:val="left"/>
              <w:rPr>
                <w:rFonts w:ascii="宋体" w:hAnsi="宋体" w:cs="宋体"/>
                <w:color w:val="auto"/>
                <w:sz w:val="28"/>
                <w:szCs w:val="28"/>
                <w:highlight w:val="none"/>
              </w:rPr>
            </w:pPr>
          </w:p>
        </w:tc>
      </w:tr>
      <w:tr w14:paraId="35E75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7DF70D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11</w:t>
            </w:r>
          </w:p>
        </w:tc>
        <w:tc>
          <w:tcPr>
            <w:tcW w:w="5564" w:type="dxa"/>
            <w:vAlign w:val="center"/>
          </w:tcPr>
          <w:p w14:paraId="57D94F2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1.5耦合电容分压器</w:t>
            </w:r>
          </w:p>
          <w:p w14:paraId="26398571">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1.5.1额定电压：150kV，电容量：1000pF；</w:t>
            </w:r>
          </w:p>
        </w:tc>
        <w:tc>
          <w:tcPr>
            <w:tcW w:w="1568" w:type="dxa"/>
            <w:vAlign w:val="center"/>
          </w:tcPr>
          <w:p w14:paraId="7E8B992B">
            <w:pPr>
              <w:widowControl/>
              <w:spacing w:line="460" w:lineRule="exact"/>
              <w:jc w:val="left"/>
              <w:textAlignment w:val="center"/>
              <w:rPr>
                <w:rFonts w:ascii="宋体" w:hAnsi="宋体" w:cs="宋体"/>
                <w:color w:val="auto"/>
                <w:sz w:val="24"/>
                <w:highlight w:val="none"/>
              </w:rPr>
            </w:pPr>
          </w:p>
        </w:tc>
        <w:tc>
          <w:tcPr>
            <w:tcW w:w="1152" w:type="dxa"/>
            <w:vAlign w:val="center"/>
          </w:tcPr>
          <w:p w14:paraId="14783006">
            <w:pPr>
              <w:spacing w:line="480" w:lineRule="exact"/>
              <w:jc w:val="left"/>
              <w:rPr>
                <w:rFonts w:ascii="宋体" w:hAnsi="宋体" w:cs="宋体"/>
                <w:color w:val="auto"/>
                <w:sz w:val="28"/>
                <w:szCs w:val="28"/>
                <w:highlight w:val="none"/>
              </w:rPr>
            </w:pPr>
          </w:p>
        </w:tc>
      </w:tr>
      <w:tr w14:paraId="3D51C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FC7A2E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12</w:t>
            </w:r>
          </w:p>
        </w:tc>
        <w:tc>
          <w:tcPr>
            <w:tcW w:w="5564" w:type="dxa"/>
            <w:vAlign w:val="center"/>
          </w:tcPr>
          <w:p w14:paraId="785D02E2">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1.5.2局部放电量：100%额定电压下PD≤2pC；</w:t>
            </w:r>
          </w:p>
        </w:tc>
        <w:tc>
          <w:tcPr>
            <w:tcW w:w="1568" w:type="dxa"/>
            <w:vAlign w:val="center"/>
          </w:tcPr>
          <w:p w14:paraId="348D2E2A">
            <w:pPr>
              <w:widowControl/>
              <w:spacing w:line="460" w:lineRule="exact"/>
              <w:jc w:val="left"/>
              <w:textAlignment w:val="center"/>
              <w:rPr>
                <w:rFonts w:ascii="宋体" w:hAnsi="宋体" w:cs="宋体"/>
                <w:color w:val="auto"/>
                <w:sz w:val="24"/>
                <w:highlight w:val="none"/>
              </w:rPr>
            </w:pPr>
          </w:p>
        </w:tc>
        <w:tc>
          <w:tcPr>
            <w:tcW w:w="1152" w:type="dxa"/>
            <w:vAlign w:val="center"/>
          </w:tcPr>
          <w:p w14:paraId="5DF7AD5F">
            <w:pPr>
              <w:spacing w:line="480" w:lineRule="exact"/>
              <w:jc w:val="left"/>
              <w:rPr>
                <w:rFonts w:ascii="宋体" w:hAnsi="宋体" w:cs="宋体"/>
                <w:color w:val="auto"/>
                <w:sz w:val="28"/>
                <w:szCs w:val="28"/>
                <w:highlight w:val="none"/>
              </w:rPr>
            </w:pPr>
          </w:p>
        </w:tc>
      </w:tr>
      <w:tr w14:paraId="76E89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30DBB995">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13</w:t>
            </w:r>
          </w:p>
        </w:tc>
        <w:tc>
          <w:tcPr>
            <w:tcW w:w="5564" w:type="dxa"/>
            <w:vAlign w:val="center"/>
          </w:tcPr>
          <w:p w14:paraId="0948CE4F">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1.5.3电压测量误差：≤±3％（10%～100%额定电压范围内）。</w:t>
            </w:r>
          </w:p>
        </w:tc>
        <w:tc>
          <w:tcPr>
            <w:tcW w:w="1568" w:type="dxa"/>
            <w:vAlign w:val="center"/>
          </w:tcPr>
          <w:p w14:paraId="23F04729">
            <w:pPr>
              <w:widowControl/>
              <w:spacing w:line="460" w:lineRule="exact"/>
              <w:jc w:val="left"/>
              <w:textAlignment w:val="center"/>
              <w:rPr>
                <w:rFonts w:ascii="宋体" w:hAnsi="宋体" w:cs="宋体"/>
                <w:color w:val="auto"/>
                <w:sz w:val="24"/>
                <w:highlight w:val="none"/>
              </w:rPr>
            </w:pPr>
          </w:p>
        </w:tc>
        <w:tc>
          <w:tcPr>
            <w:tcW w:w="1152" w:type="dxa"/>
            <w:vAlign w:val="center"/>
          </w:tcPr>
          <w:p w14:paraId="12681551">
            <w:pPr>
              <w:spacing w:line="480" w:lineRule="exact"/>
              <w:jc w:val="left"/>
              <w:rPr>
                <w:rFonts w:ascii="宋体" w:hAnsi="宋体" w:cs="宋体"/>
                <w:color w:val="auto"/>
                <w:sz w:val="28"/>
                <w:szCs w:val="28"/>
                <w:highlight w:val="none"/>
              </w:rPr>
            </w:pPr>
          </w:p>
        </w:tc>
      </w:tr>
      <w:tr w14:paraId="60331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5FDA99F1">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（2）35kV及以下电缆局放屏蔽试验室</w:t>
            </w:r>
          </w:p>
        </w:tc>
      </w:tr>
      <w:tr w14:paraId="65C00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389F26F">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14</w:t>
            </w:r>
          </w:p>
        </w:tc>
        <w:tc>
          <w:tcPr>
            <w:tcW w:w="5564" w:type="dxa"/>
            <w:vAlign w:val="center"/>
          </w:tcPr>
          <w:p w14:paraId="18A1C2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2.1.屏蔽室</w:t>
            </w:r>
          </w:p>
          <w:p w14:paraId="6C2F14E9">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2.1.1屏蔽室尺寸</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10米×6米×4.5米（高），采用不小于1.2mm厚的优质冷轧镀锌钢板经折边加工成型板组装焊接成墙板，然后现场螺栓拼接，拼接处用铜网屏蔽,组成六面墙体，墙体加方钢龙骨用于支撑。屏蔽室内5个墙表面最后作防腐处理--喷漆处理，喷漆要平亮，无挂漆现象，屏蔽室外墙采用50mm厚彩钢岩棉夹芯板作墙装饰（</w:t>
            </w:r>
            <w:r>
              <w:rPr>
                <w:rFonts w:hint="eastAsia" w:ascii="宋体" w:hAnsi="宋体" w:cs="宋体"/>
                <w:color w:val="auto"/>
                <w:sz w:val="28"/>
                <w:szCs w:val="28"/>
                <w:lang w:val="en-US" w:eastAsia="zh-CN"/>
              </w:rPr>
              <w:t>（提供屏蔽室效果图、材料检测报告、合格证等证明材料）</w:t>
            </w:r>
            <w:r>
              <w:rPr>
                <w:rFonts w:hint="eastAsia" w:ascii="宋体" w:hAnsi="宋体" w:eastAsia="宋体" w:cs="宋体"/>
                <w:color w:val="auto"/>
                <w:sz w:val="28"/>
                <w:szCs w:val="28"/>
                <w:lang w:val="en-US" w:eastAsia="zh-CN"/>
              </w:rPr>
              <w:t>）。</w:t>
            </w:r>
          </w:p>
        </w:tc>
        <w:tc>
          <w:tcPr>
            <w:tcW w:w="1568" w:type="dxa"/>
            <w:vAlign w:val="center"/>
          </w:tcPr>
          <w:p w14:paraId="08CEEC5A">
            <w:pPr>
              <w:widowControl/>
              <w:spacing w:line="460" w:lineRule="exact"/>
              <w:jc w:val="left"/>
              <w:textAlignment w:val="center"/>
              <w:rPr>
                <w:rFonts w:ascii="宋体" w:hAnsi="宋体" w:cs="宋体"/>
                <w:color w:val="auto"/>
                <w:sz w:val="24"/>
                <w:highlight w:val="none"/>
              </w:rPr>
            </w:pPr>
          </w:p>
        </w:tc>
        <w:tc>
          <w:tcPr>
            <w:tcW w:w="1152" w:type="dxa"/>
            <w:vAlign w:val="center"/>
          </w:tcPr>
          <w:p w14:paraId="731BE6B1">
            <w:pPr>
              <w:spacing w:line="480" w:lineRule="exact"/>
              <w:jc w:val="left"/>
              <w:rPr>
                <w:rFonts w:ascii="宋体" w:hAnsi="宋体" w:cs="宋体"/>
                <w:color w:val="auto"/>
                <w:sz w:val="28"/>
                <w:szCs w:val="28"/>
                <w:highlight w:val="none"/>
              </w:rPr>
            </w:pPr>
          </w:p>
        </w:tc>
      </w:tr>
      <w:tr w14:paraId="3A25B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2BE33F2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15</w:t>
            </w:r>
          </w:p>
        </w:tc>
        <w:tc>
          <w:tcPr>
            <w:tcW w:w="5564" w:type="dxa"/>
            <w:vAlign w:val="center"/>
          </w:tcPr>
          <w:p w14:paraId="06B370F3">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2.1.2屏蔽大门尺寸4m×4m，采用电动移动插片式结构，为了在关门时保证电磁屏蔽效果，门框经过特别处理，门框与门片的门缝，应控制在8mm以内使之保持良好的电接触性能。门槛既要保证电缆盘的出入，门槛的高度又要和屏蔽室内外的地面保持一致；屏蔽小门尺寸0.85m×1.9m，采用专业厂家生产的铍青铜弹簧片</w:t>
            </w:r>
            <w:r>
              <w:rPr>
                <w:rFonts w:hint="eastAsia" w:ascii="宋体" w:hAnsi="宋体" w:cs="宋体"/>
                <w:color w:val="auto"/>
                <w:sz w:val="28"/>
                <w:szCs w:val="28"/>
                <w:lang w:val="en-US" w:eastAsia="zh-CN"/>
              </w:rPr>
              <w:t>插拔式</w:t>
            </w:r>
            <w:r>
              <w:rPr>
                <w:rFonts w:hint="eastAsia" w:ascii="宋体" w:hAnsi="宋体" w:eastAsia="宋体" w:cs="宋体"/>
                <w:color w:val="auto"/>
                <w:sz w:val="28"/>
                <w:szCs w:val="28"/>
                <w:lang w:val="en-US" w:eastAsia="zh-CN"/>
              </w:rPr>
              <w:t>结构的产品（衰减水平达到80dB以上）。</w:t>
            </w:r>
          </w:p>
        </w:tc>
        <w:tc>
          <w:tcPr>
            <w:tcW w:w="1568" w:type="dxa"/>
            <w:vAlign w:val="center"/>
          </w:tcPr>
          <w:p w14:paraId="47305196">
            <w:pPr>
              <w:widowControl/>
              <w:spacing w:line="460" w:lineRule="exact"/>
              <w:jc w:val="left"/>
              <w:textAlignment w:val="center"/>
              <w:rPr>
                <w:rFonts w:ascii="宋体" w:hAnsi="宋体" w:cs="宋体"/>
                <w:color w:val="auto"/>
                <w:sz w:val="24"/>
                <w:highlight w:val="none"/>
              </w:rPr>
            </w:pPr>
          </w:p>
        </w:tc>
        <w:tc>
          <w:tcPr>
            <w:tcW w:w="1152" w:type="dxa"/>
            <w:vAlign w:val="center"/>
          </w:tcPr>
          <w:p w14:paraId="36698324">
            <w:pPr>
              <w:spacing w:line="480" w:lineRule="exact"/>
              <w:jc w:val="left"/>
              <w:rPr>
                <w:rFonts w:ascii="宋体" w:hAnsi="宋体" w:cs="宋体"/>
                <w:color w:val="auto"/>
                <w:sz w:val="28"/>
                <w:szCs w:val="28"/>
                <w:highlight w:val="none"/>
              </w:rPr>
            </w:pPr>
          </w:p>
        </w:tc>
      </w:tr>
      <w:tr w14:paraId="6271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CB7AEA3">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16</w:t>
            </w:r>
          </w:p>
        </w:tc>
        <w:tc>
          <w:tcPr>
            <w:tcW w:w="5564" w:type="dxa"/>
            <w:vAlign w:val="center"/>
          </w:tcPr>
          <w:p w14:paraId="53BBE24D">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2.1.3屏蔽室内设有200W的照明灯4个，灯泡均采用无电磁干扰的LED灯，电源全部通过电源滤波器（AV220/50Hz2×50A）进入，由开关箱控制；</w:t>
            </w:r>
          </w:p>
        </w:tc>
        <w:tc>
          <w:tcPr>
            <w:tcW w:w="1568" w:type="dxa"/>
            <w:vAlign w:val="center"/>
          </w:tcPr>
          <w:p w14:paraId="74745C5E">
            <w:pPr>
              <w:widowControl/>
              <w:spacing w:line="460" w:lineRule="exact"/>
              <w:jc w:val="left"/>
              <w:textAlignment w:val="center"/>
              <w:rPr>
                <w:rFonts w:ascii="宋体" w:hAnsi="宋体" w:cs="宋体"/>
                <w:color w:val="auto"/>
                <w:sz w:val="24"/>
                <w:highlight w:val="none"/>
              </w:rPr>
            </w:pPr>
          </w:p>
        </w:tc>
        <w:tc>
          <w:tcPr>
            <w:tcW w:w="1152" w:type="dxa"/>
            <w:vAlign w:val="center"/>
          </w:tcPr>
          <w:p w14:paraId="4ADCCDB9">
            <w:pPr>
              <w:spacing w:line="480" w:lineRule="exact"/>
              <w:jc w:val="left"/>
              <w:rPr>
                <w:rFonts w:ascii="宋体" w:hAnsi="宋体" w:cs="宋体"/>
                <w:color w:val="auto"/>
                <w:sz w:val="28"/>
                <w:szCs w:val="28"/>
                <w:highlight w:val="none"/>
              </w:rPr>
            </w:pPr>
          </w:p>
        </w:tc>
      </w:tr>
      <w:tr w14:paraId="75EB0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FEA7D60">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17</w:t>
            </w:r>
          </w:p>
        </w:tc>
        <w:tc>
          <w:tcPr>
            <w:tcW w:w="5564" w:type="dxa"/>
            <w:shd w:val="clear" w:color="auto" w:fill="auto"/>
            <w:vAlign w:val="center"/>
          </w:tcPr>
          <w:p w14:paraId="4A1A0007">
            <w:pPr>
              <w:numPr>
                <w:ilvl w:val="0"/>
                <w:numId w:val="0"/>
              </w:numPr>
              <w:adjustRightInd/>
              <w:snapToGrid/>
              <w:spacing w:line="460" w:lineRule="exact"/>
              <w:ind w:left="0" w:leftChars="0" w:firstLine="560" w:firstLineChars="20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2.1.4屏蔽室衰减效果:15kHz-1MHz频带内，≥60dB；由第三方权威机构出具检测报告，检测测量应在焊缝、大门附近、波导窗、电源进线处，安放位置多点检测</w:t>
            </w:r>
            <w:r>
              <w:rPr>
                <w:rFonts w:hint="eastAsia" w:ascii="宋体" w:hAnsi="宋体" w:cs="宋体"/>
                <w:color w:val="auto"/>
                <w:sz w:val="28"/>
                <w:szCs w:val="28"/>
                <w:lang w:val="en-US" w:eastAsia="zh-CN"/>
              </w:rPr>
              <w:t>（提供供应商承建过的屏蔽房的检测或校准报告等证明材料）</w:t>
            </w:r>
            <w:r>
              <w:rPr>
                <w:rFonts w:hint="eastAsia" w:ascii="宋体" w:hAnsi="宋体" w:eastAsia="宋体" w:cs="宋体"/>
                <w:color w:val="auto"/>
                <w:sz w:val="28"/>
                <w:szCs w:val="28"/>
                <w:lang w:val="en-US" w:eastAsia="zh-CN"/>
              </w:rPr>
              <w:t>。</w:t>
            </w:r>
          </w:p>
        </w:tc>
        <w:tc>
          <w:tcPr>
            <w:tcW w:w="1568" w:type="dxa"/>
            <w:vAlign w:val="center"/>
          </w:tcPr>
          <w:p w14:paraId="258FD079">
            <w:pPr>
              <w:widowControl/>
              <w:spacing w:line="460" w:lineRule="exact"/>
              <w:jc w:val="left"/>
              <w:textAlignment w:val="center"/>
              <w:rPr>
                <w:rFonts w:ascii="宋体" w:hAnsi="宋体" w:cs="宋体"/>
                <w:color w:val="auto"/>
                <w:sz w:val="24"/>
                <w:highlight w:val="none"/>
              </w:rPr>
            </w:pPr>
          </w:p>
        </w:tc>
        <w:tc>
          <w:tcPr>
            <w:tcW w:w="1152" w:type="dxa"/>
            <w:vAlign w:val="center"/>
          </w:tcPr>
          <w:p w14:paraId="7F83BF15">
            <w:pPr>
              <w:spacing w:line="480" w:lineRule="exact"/>
              <w:jc w:val="left"/>
              <w:rPr>
                <w:rFonts w:ascii="宋体" w:hAnsi="宋体" w:cs="宋体"/>
                <w:color w:val="auto"/>
                <w:sz w:val="28"/>
                <w:szCs w:val="28"/>
                <w:highlight w:val="none"/>
              </w:rPr>
            </w:pPr>
          </w:p>
        </w:tc>
      </w:tr>
      <w:tr w14:paraId="65F7D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E004C06">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18</w:t>
            </w:r>
          </w:p>
        </w:tc>
        <w:tc>
          <w:tcPr>
            <w:tcW w:w="5564" w:type="dxa"/>
            <w:shd w:val="clear" w:color="auto" w:fill="auto"/>
            <w:vAlign w:val="center"/>
          </w:tcPr>
          <w:p w14:paraId="05D7968E">
            <w:pPr>
              <w:keepNext w:val="0"/>
              <w:keepLines w:val="0"/>
              <w:pageBreakBefore w:val="0"/>
              <w:widowControl w:val="0"/>
              <w:numPr>
                <w:ilvl w:val="-1"/>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2.2控制室</w:t>
            </w:r>
          </w:p>
          <w:p w14:paraId="57D6EFE8">
            <w:pPr>
              <w:numPr>
                <w:ilvl w:val="0"/>
                <w:numId w:val="0"/>
              </w:numPr>
              <w:adjustRightInd/>
              <w:snapToGrid/>
              <w:spacing w:line="460" w:lineRule="exact"/>
              <w:ind w:left="0" w:leftChars="0" w:firstLine="560" w:firstLineChars="20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val="en-US" w:eastAsia="zh-CN"/>
              </w:rPr>
              <w:t>2.2.1在屏蔽房内隔一部分做控制室，尺寸2.8m×2.8m×2.8m（高），控制小门尺寸0.85m×1.9m，采用50mm厚彩钢岩棉夹芯板作墙，地面采用高强度耐磨地板，控制室开大视窗两个（采用夹丝屏蔽玻璃），视窗尺寸不小于1800*1000mm和1000*1000mm，设置300mm×300mm波导</w:t>
            </w:r>
            <w:r>
              <w:rPr>
                <w:rFonts w:hint="eastAsia" w:ascii="宋体" w:hAnsi="宋体" w:cs="宋体"/>
                <w:color w:val="auto"/>
                <w:sz w:val="28"/>
                <w:szCs w:val="28"/>
                <w:lang w:val="en-US" w:eastAsia="zh-CN"/>
              </w:rPr>
              <w:t>截止通风窗（提供材料检测报告或合格证等证明材料）</w:t>
            </w:r>
            <w:r>
              <w:rPr>
                <w:rFonts w:hint="eastAsia" w:ascii="宋体" w:hAnsi="宋体" w:eastAsia="宋体" w:cs="宋体"/>
                <w:color w:val="auto"/>
                <w:sz w:val="28"/>
                <w:szCs w:val="28"/>
                <w:lang w:val="en-US" w:eastAsia="zh-CN"/>
              </w:rPr>
              <w:t>；</w:t>
            </w:r>
          </w:p>
        </w:tc>
        <w:tc>
          <w:tcPr>
            <w:tcW w:w="1568" w:type="dxa"/>
            <w:vAlign w:val="center"/>
          </w:tcPr>
          <w:p w14:paraId="70063D6E">
            <w:pPr>
              <w:widowControl/>
              <w:spacing w:line="460" w:lineRule="exact"/>
              <w:jc w:val="left"/>
              <w:textAlignment w:val="center"/>
              <w:rPr>
                <w:rFonts w:ascii="宋体" w:hAnsi="宋体" w:cs="宋体"/>
                <w:color w:val="auto"/>
                <w:sz w:val="24"/>
                <w:highlight w:val="none"/>
              </w:rPr>
            </w:pPr>
          </w:p>
        </w:tc>
        <w:tc>
          <w:tcPr>
            <w:tcW w:w="1152" w:type="dxa"/>
            <w:vAlign w:val="center"/>
          </w:tcPr>
          <w:p w14:paraId="5B0B2B27">
            <w:pPr>
              <w:spacing w:line="480" w:lineRule="exact"/>
              <w:jc w:val="left"/>
              <w:rPr>
                <w:rFonts w:ascii="宋体" w:hAnsi="宋体" w:cs="宋体"/>
                <w:color w:val="auto"/>
                <w:sz w:val="28"/>
                <w:szCs w:val="28"/>
                <w:highlight w:val="none"/>
              </w:rPr>
            </w:pPr>
          </w:p>
        </w:tc>
      </w:tr>
      <w:tr w14:paraId="083F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D610B6C">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19</w:t>
            </w:r>
          </w:p>
        </w:tc>
        <w:tc>
          <w:tcPr>
            <w:tcW w:w="5564" w:type="dxa"/>
            <w:vAlign w:val="center"/>
          </w:tcPr>
          <w:p w14:paraId="431F00CA">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2.2.2控制室设有100W的照明灯2个，安装10A单相插座2个和16A空调插座1个，在控制室内安装一台1.5P的空调，空调的电源从屏蔽房外的电源区直接引入，不与屏蔽房内的电源混用，并带滤波器。</w:t>
            </w:r>
          </w:p>
        </w:tc>
        <w:tc>
          <w:tcPr>
            <w:tcW w:w="1568" w:type="dxa"/>
            <w:vAlign w:val="center"/>
          </w:tcPr>
          <w:p w14:paraId="66CAF3A0">
            <w:pPr>
              <w:widowControl/>
              <w:spacing w:line="460" w:lineRule="exact"/>
              <w:jc w:val="left"/>
              <w:textAlignment w:val="center"/>
              <w:rPr>
                <w:rFonts w:ascii="宋体" w:hAnsi="宋体" w:cs="宋体"/>
                <w:color w:val="auto"/>
                <w:sz w:val="24"/>
                <w:highlight w:val="none"/>
              </w:rPr>
            </w:pPr>
          </w:p>
        </w:tc>
        <w:tc>
          <w:tcPr>
            <w:tcW w:w="1152" w:type="dxa"/>
            <w:vAlign w:val="center"/>
          </w:tcPr>
          <w:p w14:paraId="14BF1247">
            <w:pPr>
              <w:spacing w:line="480" w:lineRule="exact"/>
              <w:jc w:val="left"/>
              <w:rPr>
                <w:rFonts w:ascii="宋体" w:hAnsi="宋体" w:cs="宋体"/>
                <w:color w:val="auto"/>
                <w:sz w:val="28"/>
                <w:szCs w:val="28"/>
                <w:highlight w:val="none"/>
              </w:rPr>
            </w:pPr>
          </w:p>
        </w:tc>
      </w:tr>
      <w:tr w14:paraId="4DFF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09F265B">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20</w:t>
            </w:r>
          </w:p>
        </w:tc>
        <w:tc>
          <w:tcPr>
            <w:tcW w:w="5564" w:type="dxa"/>
            <w:vAlign w:val="center"/>
          </w:tcPr>
          <w:p w14:paraId="5A1B5316">
            <w:pPr>
              <w:numPr>
                <w:ilvl w:val="0"/>
                <w:numId w:val="0"/>
              </w:numPr>
              <w:adjustRightInd/>
              <w:snapToGrid/>
              <w:spacing w:line="460" w:lineRule="exact"/>
              <w:ind w:firstLine="562" w:firstLineChars="200"/>
              <w:jc w:val="left"/>
              <w:rPr>
                <w:rFonts w:hint="eastAsia" w:ascii="宋体" w:hAnsi="宋体" w:eastAsia="宋体" w:cs="宋体"/>
                <w:color w:val="auto"/>
                <w:sz w:val="28"/>
                <w:szCs w:val="28"/>
                <w:lang w:bidi="ar-SA"/>
              </w:rPr>
            </w:pPr>
            <w:r>
              <w:rPr>
                <w:rFonts w:hint="eastAsia" w:ascii="宋体" w:hAnsi="宋体" w:eastAsia="宋体" w:cs="宋体"/>
                <w:b/>
                <w:bCs/>
                <w:color w:val="auto"/>
                <w:sz w:val="28"/>
                <w:szCs w:val="28"/>
                <w:lang w:val="en-US" w:eastAsia="zh-CN"/>
              </w:rPr>
              <w:t>2.3绝缘地坪</w:t>
            </w:r>
          </w:p>
          <w:p w14:paraId="636644DC">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2.3.1绝缘地坪底板采用不小于6mm厚的PP板拼接成尺寸大约为11m×7m整体，将屏蔽大室与周围大地隔离，绝缘地坪侧板边缘齐直</w:t>
            </w:r>
            <w:r>
              <w:rPr>
                <w:rFonts w:hint="eastAsia" w:ascii="宋体" w:hAnsi="宋体" w:cs="宋体"/>
                <w:color w:val="auto"/>
                <w:sz w:val="28"/>
                <w:szCs w:val="28"/>
                <w:lang w:val="en-US" w:eastAsia="zh-CN"/>
              </w:rPr>
              <w:t>（提供材料检测报告或合格证等证明材料）</w:t>
            </w:r>
            <w:r>
              <w:rPr>
                <w:rFonts w:hint="eastAsia" w:ascii="宋体" w:hAnsi="宋体" w:eastAsia="宋体" w:cs="宋体"/>
                <w:color w:val="auto"/>
                <w:sz w:val="28"/>
                <w:szCs w:val="28"/>
                <w:lang w:val="en-US" w:eastAsia="zh-CN"/>
              </w:rPr>
              <w:t>；</w:t>
            </w:r>
          </w:p>
        </w:tc>
        <w:tc>
          <w:tcPr>
            <w:tcW w:w="1568" w:type="dxa"/>
            <w:vAlign w:val="center"/>
          </w:tcPr>
          <w:p w14:paraId="084F0C68">
            <w:pPr>
              <w:widowControl/>
              <w:spacing w:line="460" w:lineRule="exact"/>
              <w:jc w:val="left"/>
              <w:textAlignment w:val="center"/>
              <w:rPr>
                <w:rFonts w:ascii="宋体" w:hAnsi="宋体" w:cs="宋体"/>
                <w:color w:val="auto"/>
                <w:sz w:val="24"/>
                <w:highlight w:val="none"/>
              </w:rPr>
            </w:pPr>
          </w:p>
        </w:tc>
        <w:tc>
          <w:tcPr>
            <w:tcW w:w="1152" w:type="dxa"/>
            <w:vAlign w:val="center"/>
          </w:tcPr>
          <w:p w14:paraId="37852A0E">
            <w:pPr>
              <w:spacing w:line="480" w:lineRule="exact"/>
              <w:jc w:val="left"/>
              <w:rPr>
                <w:rFonts w:ascii="宋体" w:hAnsi="宋体" w:cs="宋体"/>
                <w:color w:val="auto"/>
                <w:sz w:val="28"/>
                <w:szCs w:val="28"/>
                <w:highlight w:val="none"/>
              </w:rPr>
            </w:pPr>
          </w:p>
        </w:tc>
      </w:tr>
      <w:tr w14:paraId="32AE3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15A032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21</w:t>
            </w:r>
          </w:p>
        </w:tc>
        <w:tc>
          <w:tcPr>
            <w:tcW w:w="5564" w:type="dxa"/>
            <w:vAlign w:val="center"/>
          </w:tcPr>
          <w:p w14:paraId="30887930">
            <w:pPr>
              <w:numPr>
                <w:ilvl w:val="0"/>
                <w:numId w:val="0"/>
              </w:numPr>
              <w:adjustRightInd/>
              <w:snapToGrid/>
              <w:spacing w:line="460" w:lineRule="exact"/>
              <w:ind w:firstLine="0" w:firstLineChars="0"/>
              <w:jc w:val="left"/>
              <w:rPr>
                <w:rFonts w:hint="eastAsia" w:ascii="宋体" w:hAnsi="宋体" w:eastAsia="宋体" w:cs="宋体"/>
                <w:color w:val="auto"/>
                <w:sz w:val="28"/>
                <w:szCs w:val="28"/>
                <w:lang w:val="en-US" w:eastAsia="zh-CN"/>
              </w:rPr>
            </w:pPr>
            <w:r>
              <w:rPr>
                <w:rFonts w:hint="eastAsia" w:ascii="宋体" w:hAnsi="宋体" w:cs="宋体"/>
                <w:b/>
                <w:bCs/>
                <w:color w:val="auto"/>
                <w:sz w:val="28"/>
                <w:szCs w:val="28"/>
                <w:lang w:val="en-US" w:eastAsia="zh-CN"/>
              </w:rPr>
              <w:t xml:space="preserve">  </w:t>
            </w:r>
            <w:r>
              <w:rPr>
                <w:rFonts w:hint="eastAsia" w:ascii="宋体" w:hAnsi="宋体" w:eastAsia="宋体" w:cs="宋体"/>
                <w:color w:val="auto"/>
                <w:sz w:val="28"/>
                <w:szCs w:val="28"/>
                <w:lang w:val="en-US" w:eastAsia="zh-CN"/>
              </w:rPr>
              <w:t>2.3.3预留管道，以便放置从试验室到控制室的测量及控制电缆。</w:t>
            </w:r>
          </w:p>
        </w:tc>
        <w:tc>
          <w:tcPr>
            <w:tcW w:w="1568" w:type="dxa"/>
            <w:vAlign w:val="center"/>
          </w:tcPr>
          <w:p w14:paraId="08096780">
            <w:pPr>
              <w:widowControl/>
              <w:spacing w:line="460" w:lineRule="exact"/>
              <w:jc w:val="left"/>
              <w:textAlignment w:val="center"/>
              <w:rPr>
                <w:rFonts w:ascii="宋体" w:hAnsi="宋体" w:cs="宋体"/>
                <w:color w:val="auto"/>
                <w:sz w:val="24"/>
                <w:highlight w:val="none"/>
              </w:rPr>
            </w:pPr>
          </w:p>
        </w:tc>
        <w:tc>
          <w:tcPr>
            <w:tcW w:w="1152" w:type="dxa"/>
            <w:vAlign w:val="center"/>
          </w:tcPr>
          <w:p w14:paraId="6322E2E8">
            <w:pPr>
              <w:spacing w:line="480" w:lineRule="exact"/>
              <w:jc w:val="left"/>
              <w:rPr>
                <w:rFonts w:ascii="宋体" w:hAnsi="宋体" w:cs="宋体"/>
                <w:color w:val="auto"/>
                <w:sz w:val="28"/>
                <w:szCs w:val="28"/>
                <w:highlight w:val="none"/>
              </w:rPr>
            </w:pPr>
          </w:p>
        </w:tc>
      </w:tr>
      <w:tr w14:paraId="63AFA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D002016">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22</w:t>
            </w:r>
          </w:p>
        </w:tc>
        <w:tc>
          <w:tcPr>
            <w:tcW w:w="5564" w:type="dxa"/>
            <w:vAlign w:val="center"/>
          </w:tcPr>
          <w:p w14:paraId="066F944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2.4其他要求</w:t>
            </w:r>
          </w:p>
          <w:p w14:paraId="460F0185">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2.4.1配备不低于5kVA电源双屏蔽静电隔离变压器及低压滤波器，用于屏蔽房内电源接入</w:t>
            </w:r>
            <w:r>
              <w:rPr>
                <w:rFonts w:hint="eastAsia" w:ascii="宋体" w:hAnsi="宋体" w:cs="宋体"/>
                <w:color w:val="auto"/>
                <w:sz w:val="28"/>
                <w:szCs w:val="28"/>
                <w:lang w:val="en-US" w:eastAsia="zh-CN"/>
              </w:rPr>
              <w:t>（提供材料检测报告或合格证等证明材料）</w:t>
            </w:r>
            <w:r>
              <w:rPr>
                <w:rFonts w:hint="eastAsia" w:ascii="宋体" w:hAnsi="宋体" w:eastAsia="宋体" w:cs="宋体"/>
                <w:color w:val="auto"/>
                <w:sz w:val="28"/>
                <w:szCs w:val="28"/>
                <w:lang w:val="en-US" w:eastAsia="zh-CN"/>
              </w:rPr>
              <w:t>；</w:t>
            </w:r>
          </w:p>
        </w:tc>
        <w:tc>
          <w:tcPr>
            <w:tcW w:w="1568" w:type="dxa"/>
            <w:vAlign w:val="center"/>
          </w:tcPr>
          <w:p w14:paraId="3F7E8793">
            <w:pPr>
              <w:widowControl/>
              <w:spacing w:line="460" w:lineRule="exact"/>
              <w:jc w:val="left"/>
              <w:textAlignment w:val="center"/>
              <w:rPr>
                <w:rFonts w:ascii="宋体" w:hAnsi="宋体" w:cs="宋体"/>
                <w:color w:val="auto"/>
                <w:sz w:val="24"/>
                <w:highlight w:val="none"/>
              </w:rPr>
            </w:pPr>
          </w:p>
        </w:tc>
        <w:tc>
          <w:tcPr>
            <w:tcW w:w="1152" w:type="dxa"/>
            <w:vAlign w:val="center"/>
          </w:tcPr>
          <w:p w14:paraId="788A1D16">
            <w:pPr>
              <w:spacing w:line="480" w:lineRule="exact"/>
              <w:jc w:val="left"/>
              <w:rPr>
                <w:rFonts w:ascii="宋体" w:hAnsi="宋体" w:cs="宋体"/>
                <w:color w:val="auto"/>
                <w:sz w:val="28"/>
                <w:szCs w:val="28"/>
                <w:highlight w:val="none"/>
              </w:rPr>
            </w:pPr>
          </w:p>
        </w:tc>
      </w:tr>
      <w:tr w14:paraId="3332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2F98F84">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23</w:t>
            </w:r>
          </w:p>
        </w:tc>
        <w:tc>
          <w:tcPr>
            <w:tcW w:w="5564" w:type="dxa"/>
            <w:vAlign w:val="center"/>
          </w:tcPr>
          <w:p w14:paraId="403C6819">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2.4.2试验室的大门等所有到高压试验室的门都应安装限位开关作为安全监控系统（安全回路），安全回路连接所有门开关和所有试验回路的监视系统，在试验系统或试验程序故障的情况下，自动切断所加的高压；</w:t>
            </w:r>
          </w:p>
        </w:tc>
        <w:tc>
          <w:tcPr>
            <w:tcW w:w="1568" w:type="dxa"/>
            <w:vAlign w:val="center"/>
          </w:tcPr>
          <w:p w14:paraId="31513BBB">
            <w:pPr>
              <w:widowControl/>
              <w:spacing w:line="460" w:lineRule="exact"/>
              <w:jc w:val="left"/>
              <w:textAlignment w:val="center"/>
              <w:rPr>
                <w:rFonts w:ascii="宋体" w:hAnsi="宋体" w:cs="宋体"/>
                <w:color w:val="auto"/>
                <w:sz w:val="24"/>
                <w:highlight w:val="none"/>
              </w:rPr>
            </w:pPr>
          </w:p>
        </w:tc>
        <w:tc>
          <w:tcPr>
            <w:tcW w:w="1152" w:type="dxa"/>
            <w:vAlign w:val="center"/>
          </w:tcPr>
          <w:p w14:paraId="5A7414BF">
            <w:pPr>
              <w:spacing w:line="480" w:lineRule="exact"/>
              <w:jc w:val="left"/>
              <w:rPr>
                <w:rFonts w:ascii="宋体" w:hAnsi="宋体" w:cs="宋体"/>
                <w:color w:val="auto"/>
                <w:sz w:val="28"/>
                <w:szCs w:val="28"/>
                <w:highlight w:val="none"/>
              </w:rPr>
            </w:pPr>
          </w:p>
        </w:tc>
      </w:tr>
      <w:tr w14:paraId="7699C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70B66CAB">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24</w:t>
            </w:r>
          </w:p>
        </w:tc>
        <w:tc>
          <w:tcPr>
            <w:tcW w:w="5564" w:type="dxa"/>
            <w:vAlign w:val="center"/>
          </w:tcPr>
          <w:p w14:paraId="22AE1162">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2.4.3除门和控制室内部外，在屏蔽室外部安装有1对警灯（绿灯和红灯），并和开关柜（220V）相连，红灯表示高压已加上，绿灯表示可以进入试验室。</w:t>
            </w:r>
          </w:p>
        </w:tc>
        <w:tc>
          <w:tcPr>
            <w:tcW w:w="1568" w:type="dxa"/>
            <w:vAlign w:val="center"/>
          </w:tcPr>
          <w:p w14:paraId="2455E163">
            <w:pPr>
              <w:widowControl/>
              <w:spacing w:line="460" w:lineRule="exact"/>
              <w:jc w:val="left"/>
              <w:textAlignment w:val="center"/>
              <w:rPr>
                <w:rFonts w:ascii="宋体" w:hAnsi="宋体" w:cs="宋体"/>
                <w:color w:val="auto"/>
                <w:sz w:val="24"/>
                <w:highlight w:val="none"/>
              </w:rPr>
            </w:pPr>
          </w:p>
        </w:tc>
        <w:tc>
          <w:tcPr>
            <w:tcW w:w="1152" w:type="dxa"/>
            <w:vAlign w:val="center"/>
          </w:tcPr>
          <w:p w14:paraId="4802EC43">
            <w:pPr>
              <w:spacing w:line="480" w:lineRule="exact"/>
              <w:jc w:val="left"/>
              <w:rPr>
                <w:rFonts w:ascii="宋体" w:hAnsi="宋体" w:cs="宋体"/>
                <w:color w:val="auto"/>
                <w:sz w:val="28"/>
                <w:szCs w:val="28"/>
                <w:highlight w:val="none"/>
              </w:rPr>
            </w:pPr>
          </w:p>
        </w:tc>
      </w:tr>
      <w:tr w14:paraId="41950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7D71CBCD">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（3）（双路）电缆循环加热试验系统</w:t>
            </w:r>
          </w:p>
        </w:tc>
      </w:tr>
      <w:tr w14:paraId="454B6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FEF381A">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25</w:t>
            </w:r>
          </w:p>
        </w:tc>
        <w:tc>
          <w:tcPr>
            <w:tcW w:w="5564" w:type="dxa"/>
            <w:vAlign w:val="center"/>
          </w:tcPr>
          <w:p w14:paraId="6AE8A77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3.1测试系统总体技术参数</w:t>
            </w:r>
          </w:p>
          <w:p w14:paraId="30C62FBC">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3.1.2电流测量精度：±3%，温度测量精度：±2℃；</w:t>
            </w:r>
          </w:p>
        </w:tc>
        <w:tc>
          <w:tcPr>
            <w:tcW w:w="1568" w:type="dxa"/>
            <w:vAlign w:val="center"/>
          </w:tcPr>
          <w:p w14:paraId="0458757C">
            <w:pPr>
              <w:widowControl/>
              <w:spacing w:line="460" w:lineRule="exact"/>
              <w:jc w:val="left"/>
              <w:textAlignment w:val="center"/>
              <w:rPr>
                <w:rFonts w:ascii="宋体" w:hAnsi="宋体" w:cs="宋体"/>
                <w:color w:val="auto"/>
                <w:sz w:val="24"/>
                <w:highlight w:val="none"/>
              </w:rPr>
            </w:pPr>
          </w:p>
        </w:tc>
        <w:tc>
          <w:tcPr>
            <w:tcW w:w="1152" w:type="dxa"/>
            <w:vAlign w:val="center"/>
          </w:tcPr>
          <w:p w14:paraId="0B96C10B">
            <w:pPr>
              <w:spacing w:line="480" w:lineRule="exact"/>
              <w:jc w:val="left"/>
              <w:rPr>
                <w:rFonts w:ascii="宋体" w:hAnsi="宋体" w:cs="宋体"/>
                <w:color w:val="auto"/>
                <w:sz w:val="28"/>
                <w:szCs w:val="28"/>
                <w:highlight w:val="none"/>
              </w:rPr>
            </w:pPr>
          </w:p>
        </w:tc>
      </w:tr>
      <w:tr w14:paraId="58DFA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58B335A">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26</w:t>
            </w:r>
          </w:p>
        </w:tc>
        <w:tc>
          <w:tcPr>
            <w:tcW w:w="5564" w:type="dxa"/>
            <w:vAlign w:val="center"/>
          </w:tcPr>
          <w:p w14:paraId="18626B7A">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3.1.3 系统采用模拟回路和试验回路双回路模式，满足35kV以下单芯630mm²以下、多芯3×400mm</w:t>
            </w:r>
            <w:r>
              <w:rPr>
                <w:rFonts w:hint="eastAsia" w:ascii="宋体" w:hAnsi="宋体" w:eastAsia="宋体" w:cs="宋体"/>
                <w:color w:val="auto"/>
                <w:sz w:val="28"/>
                <w:szCs w:val="28"/>
                <w:vertAlign w:val="superscript"/>
                <w:lang w:val="en-US" w:eastAsia="zh-CN"/>
              </w:rPr>
              <w:t>2</w:t>
            </w:r>
            <w:r>
              <w:rPr>
                <w:rFonts w:hint="eastAsia" w:ascii="宋体" w:hAnsi="宋体" w:eastAsia="宋体" w:cs="宋体"/>
                <w:color w:val="auto"/>
                <w:sz w:val="28"/>
                <w:szCs w:val="28"/>
                <w:lang w:val="en-US" w:eastAsia="zh-CN"/>
              </w:rPr>
              <w:t>以下电缆的循环加热试验。</w:t>
            </w:r>
          </w:p>
        </w:tc>
        <w:tc>
          <w:tcPr>
            <w:tcW w:w="1568" w:type="dxa"/>
            <w:vAlign w:val="center"/>
          </w:tcPr>
          <w:p w14:paraId="44A5BEE8">
            <w:pPr>
              <w:widowControl/>
              <w:spacing w:line="460" w:lineRule="exact"/>
              <w:jc w:val="left"/>
              <w:textAlignment w:val="center"/>
              <w:rPr>
                <w:rFonts w:ascii="宋体" w:hAnsi="宋体" w:cs="宋体"/>
                <w:color w:val="auto"/>
                <w:sz w:val="24"/>
                <w:highlight w:val="none"/>
              </w:rPr>
            </w:pPr>
          </w:p>
        </w:tc>
        <w:tc>
          <w:tcPr>
            <w:tcW w:w="1152" w:type="dxa"/>
            <w:vAlign w:val="center"/>
          </w:tcPr>
          <w:p w14:paraId="0DAFEDCE">
            <w:pPr>
              <w:spacing w:line="480" w:lineRule="exact"/>
              <w:jc w:val="left"/>
              <w:rPr>
                <w:rFonts w:ascii="宋体" w:hAnsi="宋体" w:cs="宋体"/>
                <w:color w:val="auto"/>
                <w:sz w:val="28"/>
                <w:szCs w:val="28"/>
                <w:highlight w:val="none"/>
              </w:rPr>
            </w:pPr>
          </w:p>
        </w:tc>
      </w:tr>
      <w:tr w14:paraId="7AEAB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27F89DB">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27</w:t>
            </w:r>
          </w:p>
        </w:tc>
        <w:tc>
          <w:tcPr>
            <w:tcW w:w="5564" w:type="dxa"/>
            <w:vAlign w:val="center"/>
          </w:tcPr>
          <w:p w14:paraId="052CB09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3.2微机控制台</w:t>
            </w:r>
          </w:p>
          <w:p w14:paraId="4D596773">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3.2.1由工控机和PLC控制，实现对整套试验系统的控制测量；工业级嵌入式计算机</w:t>
            </w:r>
            <w:r>
              <w:rPr>
                <w:rFonts w:hint="eastAsia" w:ascii="宋体" w:hAnsi="宋体" w:cs="宋体"/>
                <w:color w:val="auto"/>
                <w:sz w:val="28"/>
                <w:szCs w:val="28"/>
                <w:lang w:val="en-US" w:eastAsia="zh-CN"/>
              </w:rPr>
              <w:t>，显示器尺寸不小于17英寸</w:t>
            </w:r>
            <w:r>
              <w:rPr>
                <w:rFonts w:hint="eastAsia" w:ascii="宋体" w:hAnsi="宋体" w:eastAsia="宋体" w:cs="宋体"/>
                <w:color w:val="auto"/>
                <w:sz w:val="28"/>
                <w:szCs w:val="28"/>
                <w:lang w:val="en-US" w:eastAsia="zh-CN"/>
              </w:rPr>
              <w:t>，分辨率</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1024*768；</w:t>
            </w:r>
            <w:r>
              <w:rPr>
                <w:rFonts w:hint="eastAsia" w:ascii="宋体" w:hAnsi="宋体" w:cs="宋体"/>
                <w:color w:val="auto"/>
                <w:sz w:val="28"/>
                <w:szCs w:val="28"/>
                <w:lang w:val="en-US" w:eastAsia="zh-CN"/>
              </w:rPr>
              <w:t>CPU频率不低于</w:t>
            </w:r>
            <w:r>
              <w:rPr>
                <w:rFonts w:hint="eastAsia" w:ascii="宋体" w:hAnsi="宋体" w:eastAsia="宋体" w:cs="宋体"/>
                <w:color w:val="auto"/>
                <w:sz w:val="28"/>
                <w:szCs w:val="28"/>
                <w:lang w:val="en-US" w:eastAsia="zh-CN"/>
              </w:rPr>
              <w:t>2.8GHz；硬盘</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512G；内存</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8G</w:t>
            </w:r>
            <w:r>
              <w:rPr>
                <w:rFonts w:hint="eastAsia" w:ascii="宋体" w:hAnsi="宋体" w:cs="宋体"/>
                <w:color w:val="auto"/>
                <w:sz w:val="28"/>
                <w:szCs w:val="28"/>
                <w:lang w:val="en-US" w:eastAsia="zh-CN"/>
              </w:rPr>
              <w:t>，软件运行流畅（提供拟配置的设备清单、彩页、技术资料书等证明材料）</w:t>
            </w:r>
            <w:r>
              <w:rPr>
                <w:rFonts w:hint="eastAsia" w:ascii="宋体" w:hAnsi="宋体" w:eastAsia="宋体" w:cs="宋体"/>
                <w:color w:val="auto"/>
                <w:sz w:val="28"/>
                <w:szCs w:val="28"/>
                <w:lang w:val="en-US" w:eastAsia="zh-CN"/>
              </w:rPr>
              <w:t>；</w:t>
            </w:r>
          </w:p>
        </w:tc>
        <w:tc>
          <w:tcPr>
            <w:tcW w:w="1568" w:type="dxa"/>
            <w:vAlign w:val="center"/>
          </w:tcPr>
          <w:p w14:paraId="4DE69198">
            <w:pPr>
              <w:widowControl/>
              <w:spacing w:line="460" w:lineRule="exact"/>
              <w:jc w:val="left"/>
              <w:textAlignment w:val="center"/>
              <w:rPr>
                <w:rFonts w:ascii="宋体" w:hAnsi="宋体" w:cs="宋体"/>
                <w:color w:val="auto"/>
                <w:sz w:val="24"/>
                <w:highlight w:val="none"/>
              </w:rPr>
            </w:pPr>
          </w:p>
        </w:tc>
        <w:tc>
          <w:tcPr>
            <w:tcW w:w="1152" w:type="dxa"/>
            <w:vAlign w:val="center"/>
          </w:tcPr>
          <w:p w14:paraId="0F837053">
            <w:pPr>
              <w:spacing w:line="480" w:lineRule="exact"/>
              <w:jc w:val="left"/>
              <w:rPr>
                <w:rFonts w:ascii="宋体" w:hAnsi="宋体" w:cs="宋体"/>
                <w:color w:val="auto"/>
                <w:sz w:val="28"/>
                <w:szCs w:val="28"/>
                <w:highlight w:val="none"/>
              </w:rPr>
            </w:pPr>
          </w:p>
        </w:tc>
      </w:tr>
      <w:tr w14:paraId="5E358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70F3D58">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28</w:t>
            </w:r>
          </w:p>
        </w:tc>
        <w:tc>
          <w:tcPr>
            <w:tcW w:w="5564" w:type="dxa"/>
            <w:vAlign w:val="center"/>
          </w:tcPr>
          <w:p w14:paraId="20EF7CF3">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3.2.2计算机全自动PLC控制，具有试验电缆电流、调压器输出电流显示，以及试验电缆电流/温度设定/显示、记录，具有手动、自动工作模式及试验电流微调功能，可以选择温度控制或电流控制模式；</w:t>
            </w:r>
          </w:p>
        </w:tc>
        <w:tc>
          <w:tcPr>
            <w:tcW w:w="1568" w:type="dxa"/>
            <w:vAlign w:val="center"/>
          </w:tcPr>
          <w:p w14:paraId="60FEE49A">
            <w:pPr>
              <w:widowControl/>
              <w:spacing w:line="460" w:lineRule="exact"/>
              <w:jc w:val="left"/>
              <w:textAlignment w:val="center"/>
              <w:rPr>
                <w:rFonts w:ascii="宋体" w:hAnsi="宋体" w:cs="宋体"/>
                <w:color w:val="auto"/>
                <w:sz w:val="24"/>
                <w:highlight w:val="none"/>
              </w:rPr>
            </w:pPr>
          </w:p>
        </w:tc>
        <w:tc>
          <w:tcPr>
            <w:tcW w:w="1152" w:type="dxa"/>
            <w:vAlign w:val="center"/>
          </w:tcPr>
          <w:p w14:paraId="15556008">
            <w:pPr>
              <w:spacing w:line="480" w:lineRule="exact"/>
              <w:jc w:val="left"/>
              <w:rPr>
                <w:rFonts w:ascii="宋体" w:hAnsi="宋体" w:cs="宋体"/>
                <w:color w:val="auto"/>
                <w:sz w:val="28"/>
                <w:szCs w:val="28"/>
                <w:highlight w:val="none"/>
              </w:rPr>
            </w:pPr>
          </w:p>
        </w:tc>
      </w:tr>
      <w:tr w14:paraId="51C67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43EFEE3">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29</w:t>
            </w:r>
          </w:p>
        </w:tc>
        <w:tc>
          <w:tcPr>
            <w:tcW w:w="5564" w:type="dxa"/>
            <w:vAlign w:val="center"/>
          </w:tcPr>
          <w:p w14:paraId="1EE8AEB4">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3.2.3加热时间、冷却时间可在10-999分钟内设定，循环次数：1-999次内设定，具有过压、过流保护；</w:t>
            </w:r>
          </w:p>
        </w:tc>
        <w:tc>
          <w:tcPr>
            <w:tcW w:w="1568" w:type="dxa"/>
            <w:vAlign w:val="center"/>
          </w:tcPr>
          <w:p w14:paraId="1A595BE7">
            <w:pPr>
              <w:widowControl/>
              <w:spacing w:line="460" w:lineRule="exact"/>
              <w:jc w:val="left"/>
              <w:textAlignment w:val="center"/>
              <w:rPr>
                <w:rFonts w:ascii="宋体" w:hAnsi="宋体" w:cs="宋体"/>
                <w:color w:val="auto"/>
                <w:sz w:val="24"/>
                <w:highlight w:val="none"/>
              </w:rPr>
            </w:pPr>
          </w:p>
        </w:tc>
        <w:tc>
          <w:tcPr>
            <w:tcW w:w="1152" w:type="dxa"/>
            <w:vAlign w:val="center"/>
          </w:tcPr>
          <w:p w14:paraId="62913E24">
            <w:pPr>
              <w:spacing w:line="480" w:lineRule="exact"/>
              <w:jc w:val="left"/>
              <w:rPr>
                <w:rFonts w:ascii="宋体" w:hAnsi="宋体" w:cs="宋体"/>
                <w:color w:val="auto"/>
                <w:sz w:val="28"/>
                <w:szCs w:val="28"/>
                <w:highlight w:val="none"/>
              </w:rPr>
            </w:pPr>
          </w:p>
        </w:tc>
      </w:tr>
      <w:tr w14:paraId="24BDF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EAD4322">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30</w:t>
            </w:r>
          </w:p>
        </w:tc>
        <w:tc>
          <w:tcPr>
            <w:tcW w:w="5564" w:type="dxa"/>
            <w:vAlign w:val="center"/>
          </w:tcPr>
          <w:p w14:paraId="5A27C2E1">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3.2.4自动工作模式下，在设定好试验温度、循环时间和循环次数之后，系统将自动进行加热试验和数据记录，所有数据存储在硬盘内，可方便的读出，进行数据分析、处理、打印。</w:t>
            </w:r>
          </w:p>
        </w:tc>
        <w:tc>
          <w:tcPr>
            <w:tcW w:w="1568" w:type="dxa"/>
            <w:vAlign w:val="center"/>
          </w:tcPr>
          <w:p w14:paraId="2EF06011">
            <w:pPr>
              <w:widowControl/>
              <w:spacing w:line="460" w:lineRule="exact"/>
              <w:jc w:val="left"/>
              <w:textAlignment w:val="center"/>
              <w:rPr>
                <w:rFonts w:ascii="宋体" w:hAnsi="宋体" w:cs="宋体"/>
                <w:color w:val="auto"/>
                <w:sz w:val="24"/>
                <w:highlight w:val="none"/>
              </w:rPr>
            </w:pPr>
          </w:p>
        </w:tc>
        <w:tc>
          <w:tcPr>
            <w:tcW w:w="1152" w:type="dxa"/>
            <w:vAlign w:val="center"/>
          </w:tcPr>
          <w:p w14:paraId="469C9B0B">
            <w:pPr>
              <w:spacing w:line="480" w:lineRule="exact"/>
              <w:jc w:val="left"/>
              <w:rPr>
                <w:rFonts w:ascii="宋体" w:hAnsi="宋体" w:cs="宋体"/>
                <w:color w:val="auto"/>
                <w:sz w:val="28"/>
                <w:szCs w:val="28"/>
                <w:highlight w:val="none"/>
              </w:rPr>
            </w:pPr>
          </w:p>
        </w:tc>
      </w:tr>
      <w:tr w14:paraId="060FD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3B839E8">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31</w:t>
            </w:r>
          </w:p>
        </w:tc>
        <w:tc>
          <w:tcPr>
            <w:tcW w:w="5564" w:type="dxa"/>
            <w:vAlign w:val="center"/>
          </w:tcPr>
          <w:p w14:paraId="466CF08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3.3感应式调压器</w:t>
            </w:r>
          </w:p>
          <w:p w14:paraId="56C08E15">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3.3.1 50kVA感应式调压器：额定容量50kVA，额定输入/输出电压380V/20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420V，额定输入/输出电流132A/0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119A；</w:t>
            </w:r>
          </w:p>
        </w:tc>
        <w:tc>
          <w:tcPr>
            <w:tcW w:w="1568" w:type="dxa"/>
            <w:vAlign w:val="center"/>
          </w:tcPr>
          <w:p w14:paraId="0EB8B116">
            <w:pPr>
              <w:widowControl/>
              <w:spacing w:line="460" w:lineRule="exact"/>
              <w:jc w:val="left"/>
              <w:textAlignment w:val="center"/>
              <w:rPr>
                <w:rFonts w:ascii="宋体" w:hAnsi="宋体" w:cs="宋体"/>
                <w:color w:val="auto"/>
                <w:sz w:val="24"/>
                <w:highlight w:val="none"/>
              </w:rPr>
            </w:pPr>
          </w:p>
        </w:tc>
        <w:tc>
          <w:tcPr>
            <w:tcW w:w="1152" w:type="dxa"/>
            <w:vAlign w:val="center"/>
          </w:tcPr>
          <w:p w14:paraId="23F94E5D">
            <w:pPr>
              <w:spacing w:line="480" w:lineRule="exact"/>
              <w:jc w:val="left"/>
              <w:rPr>
                <w:rFonts w:ascii="宋体" w:hAnsi="宋体" w:cs="宋体"/>
                <w:color w:val="auto"/>
                <w:sz w:val="28"/>
                <w:szCs w:val="28"/>
                <w:highlight w:val="none"/>
              </w:rPr>
            </w:pPr>
          </w:p>
        </w:tc>
      </w:tr>
      <w:tr w14:paraId="0FC46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CC26B49">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32</w:t>
            </w:r>
          </w:p>
        </w:tc>
        <w:tc>
          <w:tcPr>
            <w:tcW w:w="5564" w:type="dxa"/>
            <w:vAlign w:val="center"/>
          </w:tcPr>
          <w:p w14:paraId="51245566">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3.3.2 100kVA感应式调压器：额定容量100kVA，额定输入/输出电压380V/20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420V，额定输入/输出电流263A/0</w:t>
            </w:r>
            <w:r>
              <w:rPr>
                <w:rFonts w:hint="eastAsia" w:ascii="宋体" w:hAnsi="宋体" w:eastAsia="宋体" w:cs="宋体"/>
                <w:color w:val="auto"/>
                <w:sz w:val="28"/>
                <w:szCs w:val="28"/>
                <w:lang w:val="en-US" w:eastAsia="zh-CN"/>
              </w:rPr>
              <w:sym w:font="Symbol" w:char="F07E"/>
            </w:r>
            <w:r>
              <w:rPr>
                <w:rFonts w:hint="eastAsia" w:ascii="宋体" w:hAnsi="宋体" w:eastAsia="宋体" w:cs="宋体"/>
                <w:color w:val="auto"/>
                <w:sz w:val="28"/>
                <w:szCs w:val="28"/>
                <w:lang w:val="en-US" w:eastAsia="zh-CN"/>
              </w:rPr>
              <w:t>238A；</w:t>
            </w:r>
          </w:p>
        </w:tc>
        <w:tc>
          <w:tcPr>
            <w:tcW w:w="1568" w:type="dxa"/>
            <w:vAlign w:val="center"/>
          </w:tcPr>
          <w:p w14:paraId="3DB5F2EF">
            <w:pPr>
              <w:widowControl/>
              <w:spacing w:line="460" w:lineRule="exact"/>
              <w:jc w:val="left"/>
              <w:textAlignment w:val="center"/>
              <w:rPr>
                <w:rFonts w:ascii="宋体" w:hAnsi="宋体" w:cs="宋体"/>
                <w:color w:val="auto"/>
                <w:sz w:val="24"/>
                <w:highlight w:val="none"/>
              </w:rPr>
            </w:pPr>
          </w:p>
        </w:tc>
        <w:tc>
          <w:tcPr>
            <w:tcW w:w="1152" w:type="dxa"/>
            <w:vAlign w:val="center"/>
          </w:tcPr>
          <w:p w14:paraId="4E36F222">
            <w:pPr>
              <w:spacing w:line="480" w:lineRule="exact"/>
              <w:jc w:val="left"/>
              <w:rPr>
                <w:rFonts w:ascii="宋体" w:hAnsi="宋体" w:cs="宋体"/>
                <w:color w:val="auto"/>
                <w:sz w:val="28"/>
                <w:szCs w:val="28"/>
                <w:highlight w:val="none"/>
              </w:rPr>
            </w:pPr>
          </w:p>
        </w:tc>
      </w:tr>
      <w:tr w14:paraId="77CE3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6C41EC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33</w:t>
            </w:r>
          </w:p>
        </w:tc>
        <w:tc>
          <w:tcPr>
            <w:tcW w:w="5564" w:type="dxa"/>
            <w:vAlign w:val="center"/>
          </w:tcPr>
          <w:p w14:paraId="7936FBB5">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3.3.3传动方式：电机，冷却方式：油冷。</w:t>
            </w:r>
          </w:p>
        </w:tc>
        <w:tc>
          <w:tcPr>
            <w:tcW w:w="1568" w:type="dxa"/>
            <w:vAlign w:val="center"/>
          </w:tcPr>
          <w:p w14:paraId="4D3EDD5B">
            <w:pPr>
              <w:widowControl/>
              <w:spacing w:line="460" w:lineRule="exact"/>
              <w:jc w:val="left"/>
              <w:textAlignment w:val="center"/>
              <w:rPr>
                <w:rFonts w:ascii="宋体" w:hAnsi="宋体" w:cs="宋体"/>
                <w:color w:val="auto"/>
                <w:sz w:val="24"/>
                <w:highlight w:val="none"/>
              </w:rPr>
            </w:pPr>
          </w:p>
        </w:tc>
        <w:tc>
          <w:tcPr>
            <w:tcW w:w="1152" w:type="dxa"/>
            <w:vAlign w:val="center"/>
          </w:tcPr>
          <w:p w14:paraId="0AF253AA">
            <w:pPr>
              <w:spacing w:line="480" w:lineRule="exact"/>
              <w:jc w:val="left"/>
              <w:rPr>
                <w:rFonts w:ascii="宋体" w:hAnsi="宋体" w:cs="宋体"/>
                <w:color w:val="auto"/>
                <w:sz w:val="28"/>
                <w:szCs w:val="28"/>
                <w:highlight w:val="none"/>
              </w:rPr>
            </w:pPr>
          </w:p>
        </w:tc>
      </w:tr>
      <w:tr w14:paraId="4132A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2FEF48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34</w:t>
            </w:r>
          </w:p>
        </w:tc>
        <w:tc>
          <w:tcPr>
            <w:tcW w:w="5564" w:type="dxa"/>
            <w:vAlign w:val="center"/>
          </w:tcPr>
          <w:p w14:paraId="4884F22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3.4穿心式加热变压器</w:t>
            </w:r>
          </w:p>
          <w:p w14:paraId="3AF814FC">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3.4.2额定输入/输出电压：380V/7.8V，额定输入/输出电流：132A/3000A；</w:t>
            </w:r>
          </w:p>
        </w:tc>
        <w:tc>
          <w:tcPr>
            <w:tcW w:w="1568" w:type="dxa"/>
            <w:vAlign w:val="center"/>
          </w:tcPr>
          <w:p w14:paraId="334CBB03">
            <w:pPr>
              <w:widowControl/>
              <w:spacing w:line="460" w:lineRule="exact"/>
              <w:jc w:val="left"/>
              <w:textAlignment w:val="center"/>
              <w:rPr>
                <w:rFonts w:ascii="宋体" w:hAnsi="宋体" w:cs="宋体"/>
                <w:color w:val="auto"/>
                <w:sz w:val="24"/>
                <w:highlight w:val="none"/>
              </w:rPr>
            </w:pPr>
          </w:p>
        </w:tc>
        <w:tc>
          <w:tcPr>
            <w:tcW w:w="1152" w:type="dxa"/>
            <w:vAlign w:val="center"/>
          </w:tcPr>
          <w:p w14:paraId="77C08DDE">
            <w:pPr>
              <w:spacing w:line="480" w:lineRule="exact"/>
              <w:jc w:val="left"/>
              <w:rPr>
                <w:rFonts w:ascii="宋体" w:hAnsi="宋体" w:cs="宋体"/>
                <w:color w:val="auto"/>
                <w:sz w:val="28"/>
                <w:szCs w:val="28"/>
                <w:highlight w:val="none"/>
              </w:rPr>
            </w:pPr>
          </w:p>
        </w:tc>
      </w:tr>
      <w:tr w14:paraId="4A9BF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631DEA5">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35</w:t>
            </w:r>
          </w:p>
        </w:tc>
        <w:tc>
          <w:tcPr>
            <w:tcW w:w="5564" w:type="dxa"/>
            <w:vAlign w:val="center"/>
          </w:tcPr>
          <w:p w14:paraId="10DF8B64">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3.4.3负荷能力：以8小时加热/16小时冷却为一个循环，可连续运行12个月；</w:t>
            </w:r>
          </w:p>
        </w:tc>
        <w:tc>
          <w:tcPr>
            <w:tcW w:w="1568" w:type="dxa"/>
            <w:vAlign w:val="center"/>
          </w:tcPr>
          <w:p w14:paraId="0B918B46">
            <w:pPr>
              <w:widowControl/>
              <w:spacing w:line="460" w:lineRule="exact"/>
              <w:jc w:val="left"/>
              <w:textAlignment w:val="center"/>
              <w:rPr>
                <w:rFonts w:ascii="宋体" w:hAnsi="宋体" w:cs="宋体"/>
                <w:color w:val="auto"/>
                <w:sz w:val="24"/>
                <w:highlight w:val="none"/>
              </w:rPr>
            </w:pPr>
          </w:p>
        </w:tc>
        <w:tc>
          <w:tcPr>
            <w:tcW w:w="1152" w:type="dxa"/>
            <w:vAlign w:val="center"/>
          </w:tcPr>
          <w:p w14:paraId="05A0FE8C">
            <w:pPr>
              <w:spacing w:line="480" w:lineRule="exact"/>
              <w:jc w:val="left"/>
              <w:rPr>
                <w:rFonts w:ascii="宋体" w:hAnsi="宋体" w:cs="宋体"/>
                <w:color w:val="auto"/>
                <w:sz w:val="28"/>
                <w:szCs w:val="28"/>
                <w:highlight w:val="none"/>
              </w:rPr>
            </w:pPr>
          </w:p>
        </w:tc>
      </w:tr>
      <w:tr w14:paraId="62A42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169EDD3">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36</w:t>
            </w:r>
          </w:p>
        </w:tc>
        <w:tc>
          <w:tcPr>
            <w:tcW w:w="5564" w:type="dxa"/>
            <w:vAlign w:val="center"/>
          </w:tcPr>
          <w:p w14:paraId="454E7C72">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3.4.</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变压器形式：侧面开启式，方便电缆的安装，穿心开孔尺寸约160mm×200mm；移动式，其中两只为固定轮，两只为万向轮，以方便各方位移动。</w:t>
            </w:r>
          </w:p>
        </w:tc>
        <w:tc>
          <w:tcPr>
            <w:tcW w:w="1568" w:type="dxa"/>
            <w:vAlign w:val="center"/>
          </w:tcPr>
          <w:p w14:paraId="1CE78C78">
            <w:pPr>
              <w:widowControl/>
              <w:spacing w:line="460" w:lineRule="exact"/>
              <w:jc w:val="left"/>
              <w:textAlignment w:val="center"/>
              <w:rPr>
                <w:rFonts w:ascii="宋体" w:hAnsi="宋体" w:cs="宋体"/>
                <w:color w:val="auto"/>
                <w:sz w:val="24"/>
                <w:highlight w:val="none"/>
              </w:rPr>
            </w:pPr>
          </w:p>
        </w:tc>
        <w:tc>
          <w:tcPr>
            <w:tcW w:w="1152" w:type="dxa"/>
            <w:vAlign w:val="center"/>
          </w:tcPr>
          <w:p w14:paraId="04F331F9">
            <w:pPr>
              <w:spacing w:line="480" w:lineRule="exact"/>
              <w:jc w:val="left"/>
              <w:rPr>
                <w:rFonts w:ascii="宋体" w:hAnsi="宋体" w:cs="宋体"/>
                <w:color w:val="auto"/>
                <w:sz w:val="28"/>
                <w:szCs w:val="28"/>
                <w:highlight w:val="none"/>
              </w:rPr>
            </w:pPr>
          </w:p>
        </w:tc>
      </w:tr>
      <w:tr w14:paraId="14A4C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008F913">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37</w:t>
            </w:r>
          </w:p>
        </w:tc>
        <w:tc>
          <w:tcPr>
            <w:tcW w:w="5564" w:type="dxa"/>
            <w:vAlign w:val="center"/>
          </w:tcPr>
          <w:p w14:paraId="4081207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3.5大电流互感器含热电偶</w:t>
            </w:r>
          </w:p>
          <w:p w14:paraId="233529F3">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3.5.1额定电流：3000A/0.1A；</w:t>
            </w:r>
          </w:p>
        </w:tc>
        <w:tc>
          <w:tcPr>
            <w:tcW w:w="1568" w:type="dxa"/>
            <w:vAlign w:val="center"/>
          </w:tcPr>
          <w:p w14:paraId="3F1B008C">
            <w:pPr>
              <w:widowControl/>
              <w:spacing w:line="460" w:lineRule="exact"/>
              <w:jc w:val="left"/>
              <w:textAlignment w:val="center"/>
              <w:rPr>
                <w:rFonts w:ascii="宋体" w:hAnsi="宋体" w:cs="宋体"/>
                <w:color w:val="auto"/>
                <w:sz w:val="24"/>
                <w:highlight w:val="none"/>
              </w:rPr>
            </w:pPr>
          </w:p>
        </w:tc>
        <w:tc>
          <w:tcPr>
            <w:tcW w:w="1152" w:type="dxa"/>
            <w:vAlign w:val="center"/>
          </w:tcPr>
          <w:p w14:paraId="416F8A8F">
            <w:pPr>
              <w:spacing w:line="480" w:lineRule="exact"/>
              <w:jc w:val="left"/>
              <w:rPr>
                <w:rFonts w:ascii="宋体" w:hAnsi="宋体" w:cs="宋体"/>
                <w:color w:val="auto"/>
                <w:sz w:val="28"/>
                <w:szCs w:val="28"/>
                <w:highlight w:val="none"/>
              </w:rPr>
            </w:pPr>
          </w:p>
        </w:tc>
      </w:tr>
      <w:tr w14:paraId="43E51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DE34D64">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38</w:t>
            </w:r>
          </w:p>
        </w:tc>
        <w:tc>
          <w:tcPr>
            <w:tcW w:w="5564" w:type="dxa"/>
            <w:vAlign w:val="center"/>
          </w:tcPr>
          <w:p w14:paraId="68229CC8">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3.5.2电流精度：0.5级；</w:t>
            </w:r>
          </w:p>
        </w:tc>
        <w:tc>
          <w:tcPr>
            <w:tcW w:w="1568" w:type="dxa"/>
            <w:vAlign w:val="center"/>
          </w:tcPr>
          <w:p w14:paraId="72744E1A">
            <w:pPr>
              <w:widowControl/>
              <w:spacing w:line="460" w:lineRule="exact"/>
              <w:jc w:val="left"/>
              <w:textAlignment w:val="center"/>
              <w:rPr>
                <w:rFonts w:ascii="宋体" w:hAnsi="宋体" w:cs="宋体"/>
                <w:color w:val="auto"/>
                <w:sz w:val="24"/>
                <w:highlight w:val="none"/>
              </w:rPr>
            </w:pPr>
          </w:p>
        </w:tc>
        <w:tc>
          <w:tcPr>
            <w:tcW w:w="1152" w:type="dxa"/>
            <w:vAlign w:val="center"/>
          </w:tcPr>
          <w:p w14:paraId="373F1FBC">
            <w:pPr>
              <w:spacing w:line="480" w:lineRule="exact"/>
              <w:jc w:val="left"/>
              <w:rPr>
                <w:rFonts w:ascii="宋体" w:hAnsi="宋体" w:cs="宋体"/>
                <w:color w:val="auto"/>
                <w:sz w:val="28"/>
                <w:szCs w:val="28"/>
                <w:highlight w:val="none"/>
              </w:rPr>
            </w:pPr>
          </w:p>
        </w:tc>
      </w:tr>
      <w:tr w14:paraId="2736B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5590E8D0">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39</w:t>
            </w:r>
          </w:p>
        </w:tc>
        <w:tc>
          <w:tcPr>
            <w:tcW w:w="5564" w:type="dxa"/>
            <w:vAlign w:val="center"/>
          </w:tcPr>
          <w:p w14:paraId="7667F6FC">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3.5.3温度精度：±2℃。</w:t>
            </w:r>
          </w:p>
        </w:tc>
        <w:tc>
          <w:tcPr>
            <w:tcW w:w="1568" w:type="dxa"/>
            <w:vAlign w:val="center"/>
          </w:tcPr>
          <w:p w14:paraId="547198D0">
            <w:pPr>
              <w:widowControl/>
              <w:spacing w:line="460" w:lineRule="exact"/>
              <w:jc w:val="left"/>
              <w:textAlignment w:val="center"/>
              <w:rPr>
                <w:rFonts w:ascii="宋体" w:hAnsi="宋体" w:cs="宋体"/>
                <w:color w:val="auto"/>
                <w:sz w:val="24"/>
                <w:highlight w:val="none"/>
              </w:rPr>
            </w:pPr>
          </w:p>
        </w:tc>
        <w:tc>
          <w:tcPr>
            <w:tcW w:w="1152" w:type="dxa"/>
            <w:vAlign w:val="center"/>
          </w:tcPr>
          <w:p w14:paraId="499FA6D7">
            <w:pPr>
              <w:spacing w:line="480" w:lineRule="exact"/>
              <w:jc w:val="left"/>
              <w:rPr>
                <w:rFonts w:ascii="宋体" w:hAnsi="宋体" w:cs="宋体"/>
                <w:color w:val="auto"/>
                <w:sz w:val="28"/>
                <w:szCs w:val="28"/>
                <w:highlight w:val="none"/>
              </w:rPr>
            </w:pPr>
          </w:p>
        </w:tc>
      </w:tr>
      <w:tr w14:paraId="5D7AB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6D2C9EE1">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kern w:val="2"/>
                <w:sz w:val="28"/>
                <w:szCs w:val="28"/>
                <w:lang w:val="en-US" w:eastAsia="zh-CN" w:bidi="ar-SA"/>
              </w:rPr>
              <w:t>（4）</w:t>
            </w:r>
            <w:r>
              <w:rPr>
                <w:rFonts w:hint="eastAsia" w:ascii="宋体" w:hAnsi="宋体" w:eastAsia="宋体" w:cs="宋体"/>
                <w:b/>
                <w:bCs/>
                <w:color w:val="auto"/>
                <w:sz w:val="28"/>
                <w:szCs w:val="28"/>
                <w:lang w:val="en-US" w:eastAsia="zh-CN"/>
              </w:rPr>
              <w:t>冲击电压试验系统</w:t>
            </w:r>
          </w:p>
        </w:tc>
      </w:tr>
      <w:tr w14:paraId="50DA9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BEE797D">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40</w:t>
            </w:r>
          </w:p>
        </w:tc>
        <w:tc>
          <w:tcPr>
            <w:tcW w:w="5564" w:type="dxa"/>
            <w:vAlign w:val="center"/>
          </w:tcPr>
          <w:p w14:paraId="4F3E4B5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4.1测试系统总体技术参数</w:t>
            </w:r>
          </w:p>
          <w:p w14:paraId="55414637">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▲4.1.1额定电压±400kV，额定级电压±100kV，级数4级，额定能量</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20kJ；</w:t>
            </w:r>
          </w:p>
        </w:tc>
        <w:tc>
          <w:tcPr>
            <w:tcW w:w="1568" w:type="dxa"/>
            <w:vAlign w:val="center"/>
          </w:tcPr>
          <w:p w14:paraId="0A29384C">
            <w:pPr>
              <w:widowControl/>
              <w:spacing w:line="460" w:lineRule="exact"/>
              <w:jc w:val="left"/>
              <w:textAlignment w:val="center"/>
              <w:rPr>
                <w:rFonts w:ascii="宋体" w:hAnsi="宋体" w:cs="宋体"/>
                <w:color w:val="auto"/>
                <w:sz w:val="24"/>
                <w:highlight w:val="none"/>
              </w:rPr>
            </w:pPr>
          </w:p>
        </w:tc>
        <w:tc>
          <w:tcPr>
            <w:tcW w:w="1152" w:type="dxa"/>
            <w:vAlign w:val="center"/>
          </w:tcPr>
          <w:p w14:paraId="1DCDAA01">
            <w:pPr>
              <w:spacing w:line="480" w:lineRule="exact"/>
              <w:jc w:val="left"/>
              <w:rPr>
                <w:rFonts w:ascii="宋体" w:hAnsi="宋体" w:cs="宋体"/>
                <w:color w:val="auto"/>
                <w:sz w:val="28"/>
                <w:szCs w:val="28"/>
                <w:highlight w:val="none"/>
              </w:rPr>
            </w:pPr>
          </w:p>
        </w:tc>
      </w:tr>
      <w:tr w14:paraId="215C7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1BD10A0">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41</w:t>
            </w:r>
          </w:p>
        </w:tc>
        <w:tc>
          <w:tcPr>
            <w:tcW w:w="5564" w:type="dxa"/>
            <w:vAlign w:val="center"/>
          </w:tcPr>
          <w:p w14:paraId="76CB9BA0">
            <w:pPr>
              <w:numPr>
                <w:ilvl w:val="0"/>
                <w:numId w:val="0"/>
              </w:numPr>
              <w:adjustRightInd/>
              <w:snapToGrid/>
              <w:spacing w:line="460" w:lineRule="exact"/>
              <w:ind w:firstLine="0" w:firstLineChars="0"/>
              <w:jc w:val="left"/>
              <w:rPr>
                <w:rFonts w:hint="eastAsia" w:ascii="宋体" w:hAnsi="宋体" w:eastAsia="宋体" w:cs="宋体"/>
                <w:color w:val="auto"/>
                <w:sz w:val="28"/>
                <w:szCs w:val="28"/>
                <w:lang w:val="en-US" w:eastAsia="zh-CN"/>
              </w:rPr>
            </w:pPr>
            <w:r>
              <w:rPr>
                <w:rFonts w:hint="eastAsia" w:ascii="宋体" w:hAnsi="宋体" w:cs="宋体"/>
                <w:b/>
                <w:bCs/>
                <w:color w:val="auto"/>
                <w:sz w:val="28"/>
                <w:szCs w:val="28"/>
                <w:lang w:val="en-US" w:eastAsia="zh-CN"/>
              </w:rPr>
              <w:t xml:space="preserve">    </w:t>
            </w:r>
            <w:r>
              <w:rPr>
                <w:rFonts w:hint="eastAsia" w:ascii="宋体" w:hAnsi="宋体" w:eastAsia="宋体" w:cs="宋体"/>
                <w:color w:val="auto"/>
                <w:sz w:val="28"/>
                <w:szCs w:val="28"/>
                <w:lang w:val="en-US" w:eastAsia="zh-CN"/>
              </w:rPr>
              <w:t>4.1.2冲击电容量</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0.25µF，额定级电容量0.5μF，额定级能量</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5kJ；</w:t>
            </w:r>
          </w:p>
        </w:tc>
        <w:tc>
          <w:tcPr>
            <w:tcW w:w="1568" w:type="dxa"/>
            <w:vAlign w:val="center"/>
          </w:tcPr>
          <w:p w14:paraId="24F97122">
            <w:pPr>
              <w:widowControl/>
              <w:spacing w:line="460" w:lineRule="exact"/>
              <w:jc w:val="left"/>
              <w:textAlignment w:val="center"/>
              <w:rPr>
                <w:rFonts w:ascii="宋体" w:hAnsi="宋体" w:cs="宋体"/>
                <w:color w:val="auto"/>
                <w:sz w:val="24"/>
                <w:highlight w:val="none"/>
              </w:rPr>
            </w:pPr>
          </w:p>
        </w:tc>
        <w:tc>
          <w:tcPr>
            <w:tcW w:w="1152" w:type="dxa"/>
            <w:vAlign w:val="center"/>
          </w:tcPr>
          <w:p w14:paraId="73D69903">
            <w:pPr>
              <w:spacing w:line="480" w:lineRule="exact"/>
              <w:jc w:val="left"/>
              <w:rPr>
                <w:rFonts w:ascii="宋体" w:hAnsi="宋体" w:cs="宋体"/>
                <w:color w:val="auto"/>
                <w:sz w:val="28"/>
                <w:szCs w:val="28"/>
                <w:highlight w:val="none"/>
              </w:rPr>
            </w:pPr>
          </w:p>
        </w:tc>
      </w:tr>
      <w:tr w14:paraId="14743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4EAAC0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42</w:t>
            </w:r>
          </w:p>
        </w:tc>
        <w:tc>
          <w:tcPr>
            <w:tcW w:w="5564" w:type="dxa"/>
            <w:vAlign w:val="center"/>
          </w:tcPr>
          <w:p w14:paraId="2EF743CF">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4.1.3同步范围≥20%，同步误动率或拒动率＜5%，最低输出电压≥15%Un，点火范围:10%～100%Un；</w:t>
            </w:r>
          </w:p>
        </w:tc>
        <w:tc>
          <w:tcPr>
            <w:tcW w:w="1568" w:type="dxa"/>
            <w:vAlign w:val="center"/>
          </w:tcPr>
          <w:p w14:paraId="2DBCA39C">
            <w:pPr>
              <w:widowControl/>
              <w:spacing w:line="460" w:lineRule="exact"/>
              <w:jc w:val="left"/>
              <w:textAlignment w:val="center"/>
              <w:rPr>
                <w:rFonts w:ascii="宋体" w:hAnsi="宋体" w:cs="宋体"/>
                <w:color w:val="auto"/>
                <w:sz w:val="24"/>
                <w:highlight w:val="none"/>
              </w:rPr>
            </w:pPr>
          </w:p>
        </w:tc>
        <w:tc>
          <w:tcPr>
            <w:tcW w:w="1152" w:type="dxa"/>
            <w:vAlign w:val="center"/>
          </w:tcPr>
          <w:p w14:paraId="4113FCA7">
            <w:pPr>
              <w:spacing w:line="480" w:lineRule="exact"/>
              <w:jc w:val="left"/>
              <w:rPr>
                <w:rFonts w:ascii="宋体" w:hAnsi="宋体" w:cs="宋体"/>
                <w:color w:val="auto"/>
                <w:sz w:val="28"/>
                <w:szCs w:val="28"/>
                <w:highlight w:val="none"/>
              </w:rPr>
            </w:pPr>
          </w:p>
        </w:tc>
      </w:tr>
      <w:tr w14:paraId="1AEC4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782D99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43</w:t>
            </w:r>
          </w:p>
        </w:tc>
        <w:tc>
          <w:tcPr>
            <w:tcW w:w="5564" w:type="dxa"/>
            <w:vAlign w:val="center"/>
          </w:tcPr>
          <w:p w14:paraId="69252FFF">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4.1.4使用持续时间在2/3额定电压以上，每120秒充放电一次可连续运行，在2/3额定电压以下，每60秒充放电一次可连续运行；</w:t>
            </w:r>
          </w:p>
        </w:tc>
        <w:tc>
          <w:tcPr>
            <w:tcW w:w="1568" w:type="dxa"/>
            <w:vAlign w:val="center"/>
          </w:tcPr>
          <w:p w14:paraId="578B3C03">
            <w:pPr>
              <w:widowControl/>
              <w:spacing w:line="460" w:lineRule="exact"/>
              <w:jc w:val="left"/>
              <w:textAlignment w:val="center"/>
              <w:rPr>
                <w:rFonts w:ascii="宋体" w:hAnsi="宋体" w:cs="宋体"/>
                <w:color w:val="auto"/>
                <w:sz w:val="24"/>
                <w:highlight w:val="none"/>
              </w:rPr>
            </w:pPr>
          </w:p>
        </w:tc>
        <w:tc>
          <w:tcPr>
            <w:tcW w:w="1152" w:type="dxa"/>
            <w:vAlign w:val="center"/>
          </w:tcPr>
          <w:p w14:paraId="449B51EB">
            <w:pPr>
              <w:spacing w:line="480" w:lineRule="exact"/>
              <w:jc w:val="left"/>
              <w:rPr>
                <w:rFonts w:ascii="宋体" w:hAnsi="宋体" w:cs="宋体"/>
                <w:color w:val="auto"/>
                <w:sz w:val="28"/>
                <w:szCs w:val="28"/>
                <w:highlight w:val="none"/>
              </w:rPr>
            </w:pPr>
          </w:p>
        </w:tc>
      </w:tr>
      <w:tr w14:paraId="4CA23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0DCD532">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44</w:t>
            </w:r>
          </w:p>
        </w:tc>
        <w:tc>
          <w:tcPr>
            <w:tcW w:w="5564" w:type="dxa"/>
            <w:vAlign w:val="center"/>
          </w:tcPr>
          <w:p w14:paraId="68D126B5">
            <w:pPr>
              <w:numPr>
                <w:ilvl w:val="0"/>
                <w:numId w:val="0"/>
              </w:numPr>
              <w:wordWrap w:val="0"/>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4.1.6 符合GB/T12706.1～12706.3，（IEC60502）,GB/T3048.13(IEC60230), GB/T16927.1～16927.2(IEC60060)标准要求。</w:t>
            </w:r>
          </w:p>
        </w:tc>
        <w:tc>
          <w:tcPr>
            <w:tcW w:w="1568" w:type="dxa"/>
            <w:vAlign w:val="center"/>
          </w:tcPr>
          <w:p w14:paraId="02E9E812">
            <w:pPr>
              <w:widowControl/>
              <w:spacing w:line="460" w:lineRule="exact"/>
              <w:jc w:val="left"/>
              <w:textAlignment w:val="center"/>
              <w:rPr>
                <w:rFonts w:ascii="宋体" w:hAnsi="宋体" w:cs="宋体"/>
                <w:color w:val="auto"/>
                <w:sz w:val="24"/>
                <w:highlight w:val="none"/>
              </w:rPr>
            </w:pPr>
          </w:p>
        </w:tc>
        <w:tc>
          <w:tcPr>
            <w:tcW w:w="1152" w:type="dxa"/>
            <w:vAlign w:val="center"/>
          </w:tcPr>
          <w:p w14:paraId="333408FA">
            <w:pPr>
              <w:spacing w:line="480" w:lineRule="exact"/>
              <w:jc w:val="left"/>
              <w:rPr>
                <w:rFonts w:ascii="宋体" w:hAnsi="宋体" w:cs="宋体"/>
                <w:color w:val="auto"/>
                <w:sz w:val="28"/>
                <w:szCs w:val="28"/>
                <w:highlight w:val="none"/>
              </w:rPr>
            </w:pPr>
          </w:p>
        </w:tc>
      </w:tr>
      <w:tr w14:paraId="20B2C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4E88BA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45</w:t>
            </w:r>
          </w:p>
        </w:tc>
        <w:tc>
          <w:tcPr>
            <w:tcW w:w="5564" w:type="dxa"/>
            <w:vAlign w:val="center"/>
          </w:tcPr>
          <w:p w14:paraId="6E76766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4.2 400kV 20kJ冲击电压发生器本体</w:t>
            </w:r>
          </w:p>
          <w:p w14:paraId="6DF9B00C">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4.2.1本体采用不对称充电方式，额定级电压100kV，</w:t>
            </w:r>
          </w:p>
        </w:tc>
        <w:tc>
          <w:tcPr>
            <w:tcW w:w="1568" w:type="dxa"/>
            <w:vAlign w:val="center"/>
          </w:tcPr>
          <w:p w14:paraId="3F7E1FF0">
            <w:pPr>
              <w:widowControl/>
              <w:spacing w:line="460" w:lineRule="exact"/>
              <w:jc w:val="left"/>
              <w:textAlignment w:val="center"/>
              <w:rPr>
                <w:rFonts w:ascii="宋体" w:hAnsi="宋体" w:cs="宋体"/>
                <w:color w:val="auto"/>
                <w:sz w:val="24"/>
                <w:highlight w:val="none"/>
              </w:rPr>
            </w:pPr>
          </w:p>
        </w:tc>
        <w:tc>
          <w:tcPr>
            <w:tcW w:w="1152" w:type="dxa"/>
            <w:vAlign w:val="center"/>
          </w:tcPr>
          <w:p w14:paraId="53A5CA6E">
            <w:pPr>
              <w:spacing w:line="480" w:lineRule="exact"/>
              <w:jc w:val="left"/>
              <w:rPr>
                <w:rFonts w:ascii="宋体" w:hAnsi="宋体" w:cs="宋体"/>
                <w:color w:val="auto"/>
                <w:sz w:val="28"/>
                <w:szCs w:val="28"/>
                <w:highlight w:val="none"/>
              </w:rPr>
            </w:pPr>
          </w:p>
        </w:tc>
      </w:tr>
      <w:tr w14:paraId="08408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0EC8A116">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46</w:t>
            </w:r>
          </w:p>
        </w:tc>
        <w:tc>
          <w:tcPr>
            <w:tcW w:w="5564" w:type="dxa"/>
            <w:vAlign w:val="center"/>
          </w:tcPr>
          <w:p w14:paraId="5FDA03D9">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4.2.2本体高约2米，由4级组成，每级包括一台干式脉冲电容器、1套充电电阻、2套雷电冲击波头电阻、1套波尾电阻和点火球隙等，主电容器托架和法兰采及镀铬处理，本体装有活动轮架，可方便移动；</w:t>
            </w:r>
          </w:p>
        </w:tc>
        <w:tc>
          <w:tcPr>
            <w:tcW w:w="1568" w:type="dxa"/>
            <w:vAlign w:val="center"/>
          </w:tcPr>
          <w:p w14:paraId="28880089">
            <w:pPr>
              <w:widowControl/>
              <w:spacing w:line="460" w:lineRule="exact"/>
              <w:jc w:val="left"/>
              <w:textAlignment w:val="center"/>
              <w:rPr>
                <w:rFonts w:ascii="宋体" w:hAnsi="宋体" w:cs="宋体"/>
                <w:color w:val="auto"/>
                <w:sz w:val="24"/>
                <w:highlight w:val="none"/>
              </w:rPr>
            </w:pPr>
          </w:p>
        </w:tc>
        <w:tc>
          <w:tcPr>
            <w:tcW w:w="1152" w:type="dxa"/>
            <w:vAlign w:val="center"/>
          </w:tcPr>
          <w:p w14:paraId="2C927A93">
            <w:pPr>
              <w:spacing w:line="480" w:lineRule="exact"/>
              <w:jc w:val="left"/>
              <w:rPr>
                <w:rFonts w:ascii="宋体" w:hAnsi="宋体" w:cs="宋体"/>
                <w:color w:val="auto"/>
                <w:sz w:val="28"/>
                <w:szCs w:val="28"/>
                <w:highlight w:val="none"/>
              </w:rPr>
            </w:pPr>
          </w:p>
        </w:tc>
      </w:tr>
      <w:tr w14:paraId="5837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B45DA5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47</w:t>
            </w:r>
          </w:p>
        </w:tc>
        <w:tc>
          <w:tcPr>
            <w:tcW w:w="5564" w:type="dxa"/>
            <w:vAlign w:val="center"/>
          </w:tcPr>
          <w:p w14:paraId="61BE36BB">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4.2.3电容器剩余电感≤0.2μH，直流工作电压±100kV电容器出线套管能够承受垂直拉力15kg，同时保证不损坏和渗漏油；</w:t>
            </w:r>
          </w:p>
        </w:tc>
        <w:tc>
          <w:tcPr>
            <w:tcW w:w="1568" w:type="dxa"/>
            <w:vAlign w:val="center"/>
          </w:tcPr>
          <w:p w14:paraId="7BADC437">
            <w:pPr>
              <w:widowControl/>
              <w:spacing w:line="460" w:lineRule="exact"/>
              <w:jc w:val="left"/>
              <w:textAlignment w:val="center"/>
              <w:rPr>
                <w:rFonts w:ascii="宋体" w:hAnsi="宋体" w:cs="宋体"/>
                <w:color w:val="auto"/>
                <w:sz w:val="24"/>
                <w:highlight w:val="none"/>
              </w:rPr>
            </w:pPr>
          </w:p>
        </w:tc>
        <w:tc>
          <w:tcPr>
            <w:tcW w:w="1152" w:type="dxa"/>
            <w:vAlign w:val="center"/>
          </w:tcPr>
          <w:p w14:paraId="528CB994">
            <w:pPr>
              <w:spacing w:line="480" w:lineRule="exact"/>
              <w:jc w:val="left"/>
              <w:rPr>
                <w:rFonts w:ascii="宋体" w:hAnsi="宋体" w:cs="宋体"/>
                <w:color w:val="auto"/>
                <w:sz w:val="28"/>
                <w:szCs w:val="28"/>
                <w:highlight w:val="none"/>
              </w:rPr>
            </w:pPr>
          </w:p>
        </w:tc>
      </w:tr>
      <w:tr w14:paraId="7A66E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0C43A7E">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48</w:t>
            </w:r>
          </w:p>
        </w:tc>
        <w:tc>
          <w:tcPr>
            <w:tcW w:w="5564" w:type="dxa"/>
            <w:vAlign w:val="center"/>
          </w:tcPr>
          <w:p w14:paraId="0E1278B1">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4.2.4波头电阻、波尾电阻均采用板形结构，无感绕制，其剩余电感≤2.5μH，接头均为弹簧压接力式，方便调波时的插拔且接触可靠</w:t>
            </w:r>
            <w:r>
              <w:rPr>
                <w:rFonts w:hint="eastAsia" w:ascii="宋体" w:hAnsi="宋体" w:cs="宋体"/>
                <w:color w:val="auto"/>
                <w:sz w:val="28"/>
                <w:szCs w:val="28"/>
                <w:lang w:val="en-US" w:eastAsia="zh-CN"/>
              </w:rPr>
              <w:t>。</w:t>
            </w:r>
          </w:p>
        </w:tc>
        <w:tc>
          <w:tcPr>
            <w:tcW w:w="1568" w:type="dxa"/>
            <w:vAlign w:val="center"/>
          </w:tcPr>
          <w:p w14:paraId="73431F05">
            <w:pPr>
              <w:widowControl/>
              <w:spacing w:line="460" w:lineRule="exact"/>
              <w:jc w:val="left"/>
              <w:textAlignment w:val="center"/>
              <w:rPr>
                <w:rFonts w:ascii="宋体" w:hAnsi="宋体" w:cs="宋体"/>
                <w:color w:val="auto"/>
                <w:sz w:val="24"/>
                <w:highlight w:val="none"/>
              </w:rPr>
            </w:pPr>
          </w:p>
        </w:tc>
        <w:tc>
          <w:tcPr>
            <w:tcW w:w="1152" w:type="dxa"/>
            <w:vAlign w:val="center"/>
          </w:tcPr>
          <w:p w14:paraId="78AC5515">
            <w:pPr>
              <w:spacing w:line="480" w:lineRule="exact"/>
              <w:jc w:val="left"/>
              <w:rPr>
                <w:rFonts w:ascii="宋体" w:hAnsi="宋体" w:cs="宋体"/>
                <w:color w:val="auto"/>
                <w:sz w:val="28"/>
                <w:szCs w:val="28"/>
                <w:highlight w:val="none"/>
              </w:rPr>
            </w:pPr>
          </w:p>
        </w:tc>
      </w:tr>
      <w:tr w14:paraId="5E6D6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2D61FA2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49</w:t>
            </w:r>
          </w:p>
        </w:tc>
        <w:tc>
          <w:tcPr>
            <w:tcW w:w="5564" w:type="dxa"/>
            <w:vAlign w:val="center"/>
          </w:tcPr>
          <w:p w14:paraId="0F6ABB8B">
            <w:pPr>
              <w:numPr>
                <w:ilvl w:val="0"/>
                <w:numId w:val="0"/>
              </w:numPr>
              <w:wordWrap/>
              <w:adjustRightInd/>
              <w:snapToGrid/>
              <w:spacing w:line="460" w:lineRule="exact"/>
              <w:ind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4.3 100kV直流充电装置</w:t>
            </w:r>
          </w:p>
          <w:p w14:paraId="5A9097C4">
            <w:pPr>
              <w:numPr>
                <w:ilvl w:val="0"/>
                <w:numId w:val="0"/>
              </w:numPr>
              <w:wordWrap/>
              <w:adjustRightInd/>
              <w:snapToGrid/>
              <w:spacing w:line="460" w:lineRule="exact"/>
              <w:ind w:firstLine="560"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lang w:val="en-US" w:eastAsia="zh-CN"/>
              </w:rPr>
              <w:t>4.3.1采用恒流充电装置，额定输出直流电压±100kV,恒流充电装置在15%～100%额定充电电压范围内，实际充电电压与整定电压偏差不大于±1%，充电电压的不稳定性不大于±1%，充电电压的可调精度为1%;</w:t>
            </w:r>
          </w:p>
        </w:tc>
        <w:tc>
          <w:tcPr>
            <w:tcW w:w="1568" w:type="dxa"/>
            <w:vAlign w:val="center"/>
          </w:tcPr>
          <w:p w14:paraId="0DFC1038">
            <w:pPr>
              <w:widowControl/>
              <w:spacing w:line="460" w:lineRule="exact"/>
              <w:jc w:val="left"/>
              <w:textAlignment w:val="center"/>
              <w:rPr>
                <w:rFonts w:ascii="宋体" w:hAnsi="宋体" w:cs="宋体"/>
                <w:color w:val="auto"/>
                <w:sz w:val="24"/>
                <w:highlight w:val="none"/>
              </w:rPr>
            </w:pPr>
          </w:p>
        </w:tc>
        <w:tc>
          <w:tcPr>
            <w:tcW w:w="1152" w:type="dxa"/>
            <w:vAlign w:val="center"/>
          </w:tcPr>
          <w:p w14:paraId="22ED771D">
            <w:pPr>
              <w:spacing w:line="480" w:lineRule="exact"/>
              <w:jc w:val="left"/>
              <w:rPr>
                <w:rFonts w:ascii="宋体" w:hAnsi="宋体" w:cs="宋体"/>
                <w:color w:val="auto"/>
                <w:sz w:val="28"/>
                <w:szCs w:val="28"/>
                <w:highlight w:val="none"/>
              </w:rPr>
            </w:pPr>
          </w:p>
        </w:tc>
      </w:tr>
      <w:tr w14:paraId="4181B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E5BECD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50</w:t>
            </w:r>
          </w:p>
        </w:tc>
        <w:tc>
          <w:tcPr>
            <w:tcW w:w="5564" w:type="dxa"/>
            <w:vAlign w:val="center"/>
          </w:tcPr>
          <w:p w14:paraId="6D06CDC7">
            <w:pPr>
              <w:numPr>
                <w:ilvl w:val="0"/>
                <w:numId w:val="0"/>
              </w:numPr>
              <w:wordWrap/>
              <w:adjustRightInd/>
              <w:snapToGrid/>
              <w:spacing w:line="460" w:lineRule="exact"/>
              <w:ind w:firstLine="560"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lang w:val="en-US" w:eastAsia="zh-CN"/>
              </w:rPr>
              <w:t>4.3.2采用绝缘外壳充电变压器初级电压220V，次级电压60kV，额定容量5kVA，密封性能良好，无渗漏油,采用2DL-200kV/150mA的高压整流硅堆,高压整流硅堆安装在充电变压器前侧，自动改换极性；</w:t>
            </w:r>
          </w:p>
        </w:tc>
        <w:tc>
          <w:tcPr>
            <w:tcW w:w="1568" w:type="dxa"/>
            <w:vAlign w:val="center"/>
          </w:tcPr>
          <w:p w14:paraId="1704B7C4">
            <w:pPr>
              <w:widowControl/>
              <w:spacing w:line="460" w:lineRule="exact"/>
              <w:jc w:val="left"/>
              <w:textAlignment w:val="center"/>
              <w:rPr>
                <w:rFonts w:ascii="宋体" w:hAnsi="宋体" w:cs="宋体"/>
                <w:color w:val="auto"/>
                <w:sz w:val="24"/>
                <w:highlight w:val="none"/>
              </w:rPr>
            </w:pPr>
          </w:p>
        </w:tc>
        <w:tc>
          <w:tcPr>
            <w:tcW w:w="1152" w:type="dxa"/>
            <w:vAlign w:val="center"/>
          </w:tcPr>
          <w:p w14:paraId="0A77A15D">
            <w:pPr>
              <w:spacing w:line="480" w:lineRule="exact"/>
              <w:jc w:val="left"/>
              <w:rPr>
                <w:rFonts w:ascii="宋体" w:hAnsi="宋体" w:cs="宋体"/>
                <w:color w:val="auto"/>
                <w:sz w:val="28"/>
                <w:szCs w:val="28"/>
                <w:highlight w:val="none"/>
              </w:rPr>
            </w:pPr>
          </w:p>
        </w:tc>
      </w:tr>
      <w:tr w14:paraId="3A60C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8801474">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51</w:t>
            </w:r>
          </w:p>
        </w:tc>
        <w:tc>
          <w:tcPr>
            <w:tcW w:w="5564" w:type="dxa"/>
            <w:vAlign w:val="center"/>
          </w:tcPr>
          <w:p w14:paraId="2CE70F1C">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4.3.3直流电阻分压器壹只，采用100kV、200MΩ油浸式金属膜电阻,低压臂电阻装在分压器底法兰内，低压臂上的电压信号用屏蔽电缆引入控制系统；</w:t>
            </w:r>
          </w:p>
        </w:tc>
        <w:tc>
          <w:tcPr>
            <w:tcW w:w="1568" w:type="dxa"/>
            <w:vAlign w:val="center"/>
          </w:tcPr>
          <w:p w14:paraId="66D26659">
            <w:pPr>
              <w:widowControl/>
              <w:spacing w:line="460" w:lineRule="exact"/>
              <w:jc w:val="left"/>
              <w:textAlignment w:val="center"/>
              <w:rPr>
                <w:rFonts w:ascii="宋体" w:hAnsi="宋体" w:cs="宋体"/>
                <w:color w:val="auto"/>
                <w:sz w:val="24"/>
                <w:highlight w:val="none"/>
              </w:rPr>
            </w:pPr>
          </w:p>
        </w:tc>
        <w:tc>
          <w:tcPr>
            <w:tcW w:w="1152" w:type="dxa"/>
            <w:vAlign w:val="center"/>
          </w:tcPr>
          <w:p w14:paraId="17B18C82">
            <w:pPr>
              <w:spacing w:line="480" w:lineRule="exact"/>
              <w:jc w:val="left"/>
              <w:rPr>
                <w:rFonts w:ascii="宋体" w:hAnsi="宋体" w:cs="宋体"/>
                <w:color w:val="auto"/>
                <w:sz w:val="28"/>
                <w:szCs w:val="28"/>
                <w:highlight w:val="none"/>
              </w:rPr>
            </w:pPr>
          </w:p>
        </w:tc>
      </w:tr>
      <w:tr w14:paraId="4E0E5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6534FF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52</w:t>
            </w:r>
          </w:p>
        </w:tc>
        <w:tc>
          <w:tcPr>
            <w:tcW w:w="5564" w:type="dxa"/>
            <w:vAlign w:val="center"/>
          </w:tcPr>
          <w:p w14:paraId="747DFAF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4.4 400kV弱阻尼电容分压器</w:t>
            </w:r>
          </w:p>
          <w:p w14:paraId="3BCD0924">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4.4.1分压器为手推可移动式，标称电压±400kV，高压臂电容量400pF，刻度因数（分压比）1000:1；</w:t>
            </w:r>
          </w:p>
        </w:tc>
        <w:tc>
          <w:tcPr>
            <w:tcW w:w="1568" w:type="dxa"/>
            <w:vAlign w:val="center"/>
          </w:tcPr>
          <w:p w14:paraId="419F225E">
            <w:pPr>
              <w:widowControl/>
              <w:spacing w:line="460" w:lineRule="exact"/>
              <w:jc w:val="left"/>
              <w:textAlignment w:val="center"/>
              <w:rPr>
                <w:rFonts w:ascii="宋体" w:hAnsi="宋体" w:cs="宋体"/>
                <w:color w:val="auto"/>
                <w:sz w:val="24"/>
                <w:highlight w:val="none"/>
              </w:rPr>
            </w:pPr>
          </w:p>
        </w:tc>
        <w:tc>
          <w:tcPr>
            <w:tcW w:w="1152" w:type="dxa"/>
            <w:vAlign w:val="center"/>
          </w:tcPr>
          <w:p w14:paraId="59E01868">
            <w:pPr>
              <w:spacing w:line="480" w:lineRule="exact"/>
              <w:jc w:val="left"/>
              <w:rPr>
                <w:rFonts w:ascii="宋体" w:hAnsi="宋体" w:cs="宋体"/>
                <w:color w:val="auto"/>
                <w:sz w:val="28"/>
                <w:szCs w:val="28"/>
                <w:highlight w:val="none"/>
              </w:rPr>
            </w:pPr>
          </w:p>
        </w:tc>
      </w:tr>
      <w:tr w14:paraId="7F99A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21A6B181">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53</w:t>
            </w:r>
          </w:p>
        </w:tc>
        <w:tc>
          <w:tcPr>
            <w:tcW w:w="5564" w:type="dxa"/>
            <w:vAlign w:val="center"/>
          </w:tcPr>
          <w:p w14:paraId="19005B01">
            <w:pPr>
              <w:numPr>
                <w:ilvl w:val="0"/>
                <w:numId w:val="0"/>
              </w:numPr>
              <w:wordWrap/>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4.4.2部分响应时间Tα≤100ns，过冲β≤20%，测量不确定度≤1%；</w:t>
            </w:r>
          </w:p>
        </w:tc>
        <w:tc>
          <w:tcPr>
            <w:tcW w:w="1568" w:type="dxa"/>
            <w:vAlign w:val="center"/>
          </w:tcPr>
          <w:p w14:paraId="114B431D">
            <w:pPr>
              <w:widowControl/>
              <w:spacing w:line="460" w:lineRule="exact"/>
              <w:jc w:val="left"/>
              <w:textAlignment w:val="center"/>
              <w:rPr>
                <w:rFonts w:ascii="宋体" w:hAnsi="宋体" w:cs="宋体"/>
                <w:color w:val="auto"/>
                <w:sz w:val="24"/>
                <w:highlight w:val="none"/>
              </w:rPr>
            </w:pPr>
          </w:p>
        </w:tc>
        <w:tc>
          <w:tcPr>
            <w:tcW w:w="1152" w:type="dxa"/>
            <w:vAlign w:val="center"/>
          </w:tcPr>
          <w:p w14:paraId="27805B73">
            <w:pPr>
              <w:spacing w:line="480" w:lineRule="exact"/>
              <w:jc w:val="left"/>
              <w:rPr>
                <w:rFonts w:ascii="宋体" w:hAnsi="宋体" w:cs="宋体"/>
                <w:color w:val="auto"/>
                <w:sz w:val="28"/>
                <w:szCs w:val="28"/>
                <w:highlight w:val="none"/>
              </w:rPr>
            </w:pPr>
          </w:p>
        </w:tc>
      </w:tr>
      <w:tr w14:paraId="08F18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0B6303D">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54</w:t>
            </w:r>
          </w:p>
        </w:tc>
        <w:tc>
          <w:tcPr>
            <w:tcW w:w="5564" w:type="dxa"/>
            <w:vAlign w:val="center"/>
          </w:tcPr>
          <w:p w14:paraId="062E3AB0">
            <w:pPr>
              <w:keepNext w:val="0"/>
              <w:keepLines w:val="0"/>
              <w:pageBreakBefore w:val="0"/>
              <w:widowControl w:val="0"/>
              <w:numPr>
                <w:ilvl w:val="-1"/>
                <w:numId w:val="0"/>
              </w:numPr>
              <w:kinsoku/>
              <w:wordWrap/>
              <w:overflowPunct/>
              <w:topLinePunct w:val="0"/>
              <w:autoSpaceDE/>
              <w:autoSpaceDN/>
              <w:bidi w:val="0"/>
              <w:adjustRightInd/>
              <w:snapToGrid/>
              <w:spacing w:before="78" w:line="460" w:lineRule="exact"/>
              <w:ind w:right="126"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4.5自动化测控系统</w:t>
            </w:r>
          </w:p>
          <w:p w14:paraId="4CCE959F">
            <w:pPr>
              <w:numPr>
                <w:ilvl w:val="-1"/>
                <w:numId w:val="0"/>
              </w:numPr>
              <w:wordWrap/>
              <w:adjustRightInd/>
              <w:snapToGrid/>
              <w:spacing w:before="78" w:line="460" w:lineRule="exact"/>
              <w:ind w:right="126" w:firstLine="552"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pacing w:val="-2"/>
                <w:sz w:val="28"/>
                <w:szCs w:val="28"/>
                <w:lang w:val="en-US" w:eastAsia="zh-CN"/>
              </w:rPr>
              <w:t>4.5</w:t>
            </w:r>
            <w:r>
              <w:rPr>
                <w:rFonts w:hint="eastAsia" w:ascii="宋体" w:hAnsi="宋体" w:eastAsia="宋体" w:cs="宋体"/>
                <w:color w:val="auto"/>
                <w:sz w:val="28"/>
                <w:szCs w:val="28"/>
                <w:lang w:val="en-US" w:eastAsia="zh-CN"/>
              </w:rPr>
              <w:t>.2 可测量雷电全波、雷电截波、陡波、操作波、变压器类操作波、防雷器件残压波、冲击电流方波、冲击电流指数波以及变压器示伤波形等各种波形中的主要参数，如峰值电压/电流、波头时间、波尾时间、截断时间、上升/下降时间、10％(或90％)脉冲宽度、反峰系数等等，符合和满足IEC1083-2、GB/T16896.1标准；</w:t>
            </w:r>
          </w:p>
        </w:tc>
        <w:tc>
          <w:tcPr>
            <w:tcW w:w="1568" w:type="dxa"/>
            <w:vAlign w:val="center"/>
          </w:tcPr>
          <w:p w14:paraId="1FA0C7D5">
            <w:pPr>
              <w:widowControl/>
              <w:spacing w:line="460" w:lineRule="exact"/>
              <w:jc w:val="left"/>
              <w:textAlignment w:val="center"/>
              <w:rPr>
                <w:rFonts w:ascii="宋体" w:hAnsi="宋体" w:cs="宋体"/>
                <w:color w:val="auto"/>
                <w:sz w:val="24"/>
                <w:highlight w:val="none"/>
              </w:rPr>
            </w:pPr>
          </w:p>
        </w:tc>
        <w:tc>
          <w:tcPr>
            <w:tcW w:w="1152" w:type="dxa"/>
            <w:vAlign w:val="center"/>
          </w:tcPr>
          <w:p w14:paraId="4058BF38">
            <w:pPr>
              <w:spacing w:line="480" w:lineRule="exact"/>
              <w:jc w:val="left"/>
              <w:rPr>
                <w:rFonts w:ascii="宋体" w:hAnsi="宋体" w:cs="宋体"/>
                <w:color w:val="auto"/>
                <w:sz w:val="28"/>
                <w:szCs w:val="28"/>
                <w:highlight w:val="none"/>
              </w:rPr>
            </w:pPr>
          </w:p>
        </w:tc>
      </w:tr>
      <w:tr w14:paraId="7788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7196ACA3">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55</w:t>
            </w:r>
          </w:p>
        </w:tc>
        <w:tc>
          <w:tcPr>
            <w:tcW w:w="5564" w:type="dxa"/>
            <w:vAlign w:val="center"/>
          </w:tcPr>
          <w:p w14:paraId="7C3F81F7">
            <w:pPr>
              <w:numPr>
                <w:ilvl w:val="-1"/>
                <w:numId w:val="0"/>
              </w:numPr>
              <w:wordWrap/>
              <w:adjustRightInd/>
              <w:snapToGrid/>
              <w:spacing w:before="78" w:line="460" w:lineRule="exact"/>
              <w:ind w:right="126" w:firstLine="560" w:firstLineChars="200"/>
              <w:jc w:val="left"/>
              <w:rPr>
                <w:rFonts w:hint="eastAsia" w:ascii="宋体" w:hAnsi="宋体" w:eastAsia="宋体" w:cs="宋体"/>
                <w:color w:val="auto"/>
                <w:spacing w:val="-2"/>
                <w:sz w:val="28"/>
                <w:szCs w:val="28"/>
                <w:lang w:val="en-US" w:eastAsia="zh-CN"/>
              </w:rPr>
            </w:pPr>
            <w:r>
              <w:rPr>
                <w:rFonts w:hint="eastAsia" w:ascii="宋体" w:hAnsi="宋体" w:eastAsia="宋体" w:cs="宋体"/>
                <w:color w:val="auto"/>
                <w:sz w:val="28"/>
                <w:szCs w:val="28"/>
                <w:lang w:val="en-US" w:eastAsia="zh-CN"/>
              </w:rPr>
              <w:t>4.5.3 可获取并保存高压冲击试验（以及其他类似试验）中的各种瞬态波形，并可在波形显示窗口中随意压缩、展开、移动波形，具备波形成图、注释、打印功能，可自动生成试验记录。</w:t>
            </w:r>
          </w:p>
        </w:tc>
        <w:tc>
          <w:tcPr>
            <w:tcW w:w="1568" w:type="dxa"/>
            <w:vAlign w:val="center"/>
          </w:tcPr>
          <w:p w14:paraId="0E280845">
            <w:pPr>
              <w:widowControl/>
              <w:spacing w:line="460" w:lineRule="exact"/>
              <w:jc w:val="left"/>
              <w:textAlignment w:val="center"/>
              <w:rPr>
                <w:rFonts w:ascii="宋体" w:hAnsi="宋体" w:cs="宋体"/>
                <w:color w:val="auto"/>
                <w:sz w:val="24"/>
                <w:highlight w:val="none"/>
              </w:rPr>
            </w:pPr>
          </w:p>
        </w:tc>
        <w:tc>
          <w:tcPr>
            <w:tcW w:w="1152" w:type="dxa"/>
            <w:vAlign w:val="center"/>
          </w:tcPr>
          <w:p w14:paraId="7C42F52C">
            <w:pPr>
              <w:spacing w:line="480" w:lineRule="exact"/>
              <w:jc w:val="left"/>
              <w:rPr>
                <w:rFonts w:ascii="宋体" w:hAnsi="宋体" w:cs="宋体"/>
                <w:color w:val="auto"/>
                <w:sz w:val="28"/>
                <w:szCs w:val="28"/>
                <w:highlight w:val="none"/>
              </w:rPr>
            </w:pPr>
          </w:p>
        </w:tc>
      </w:tr>
      <w:tr w14:paraId="082BB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1F28C693">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56</w:t>
            </w:r>
          </w:p>
        </w:tc>
        <w:tc>
          <w:tcPr>
            <w:tcW w:w="5564" w:type="dxa"/>
            <w:vAlign w:val="center"/>
          </w:tcPr>
          <w:p w14:paraId="71B83069">
            <w:pPr>
              <w:numPr>
                <w:ilvl w:val="-1"/>
                <w:numId w:val="0"/>
              </w:numPr>
              <w:wordWrap/>
              <w:adjustRightInd/>
              <w:snapToGrid/>
              <w:spacing w:before="78" w:line="460" w:lineRule="exact"/>
              <w:ind w:right="126"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4.5.</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控制功能具有手动、自动和程序控制功能，各层次功能相对独立。采用可控硅调压方式，具有充电电压反馈测量系统，采用函数控制恒流充电方式，充电电压的稳定度0.5%；液晶面板可指示冲击发生器的充电电压及充电过程，精度为1%，可由液晶面板直接输入充电电压和充电时间；</w:t>
            </w:r>
          </w:p>
        </w:tc>
        <w:tc>
          <w:tcPr>
            <w:tcW w:w="1568" w:type="dxa"/>
            <w:vAlign w:val="center"/>
          </w:tcPr>
          <w:p w14:paraId="40167CAC">
            <w:pPr>
              <w:widowControl/>
              <w:spacing w:line="460" w:lineRule="exact"/>
              <w:jc w:val="left"/>
              <w:textAlignment w:val="center"/>
              <w:rPr>
                <w:rFonts w:ascii="宋体" w:hAnsi="宋体" w:cs="宋体"/>
                <w:color w:val="auto"/>
                <w:sz w:val="24"/>
                <w:highlight w:val="none"/>
              </w:rPr>
            </w:pPr>
          </w:p>
        </w:tc>
        <w:tc>
          <w:tcPr>
            <w:tcW w:w="1152" w:type="dxa"/>
            <w:vAlign w:val="center"/>
          </w:tcPr>
          <w:p w14:paraId="7D0B44A7">
            <w:pPr>
              <w:spacing w:line="480" w:lineRule="exact"/>
              <w:jc w:val="left"/>
              <w:rPr>
                <w:rFonts w:ascii="宋体" w:hAnsi="宋体" w:cs="宋体"/>
                <w:color w:val="auto"/>
                <w:sz w:val="28"/>
                <w:szCs w:val="28"/>
                <w:highlight w:val="none"/>
              </w:rPr>
            </w:pPr>
          </w:p>
        </w:tc>
      </w:tr>
      <w:tr w14:paraId="1B1D3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3B37422">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57</w:t>
            </w:r>
          </w:p>
        </w:tc>
        <w:tc>
          <w:tcPr>
            <w:tcW w:w="5564" w:type="dxa"/>
            <w:vAlign w:val="center"/>
          </w:tcPr>
          <w:p w14:paraId="3C58FE85">
            <w:pPr>
              <w:keepNext w:val="0"/>
              <w:keepLines w:val="0"/>
              <w:pageBreakBefore w:val="0"/>
              <w:widowControl w:val="0"/>
              <w:kinsoku/>
              <w:wordWrap/>
              <w:overflowPunct/>
              <w:topLinePunct w:val="0"/>
              <w:autoSpaceDE/>
              <w:autoSpaceDN/>
              <w:bidi w:val="0"/>
              <w:adjustRightInd/>
              <w:snapToGrid/>
              <w:spacing w:before="78" w:line="460" w:lineRule="exact"/>
              <w:ind w:right="126"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4.6.接地系统</w:t>
            </w:r>
          </w:p>
          <w:p w14:paraId="19532807">
            <w:pPr>
              <w:numPr>
                <w:ilvl w:val="-1"/>
                <w:numId w:val="0"/>
              </w:numPr>
              <w:wordWrap/>
              <w:adjustRightInd/>
              <w:snapToGrid/>
              <w:spacing w:before="78" w:line="460" w:lineRule="exact"/>
              <w:ind w:right="126"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4.6.1 设有一个可靠的接地点，接地结构设计合理，采用镀锌钢管或铜棒，至少6根以上，</w:t>
            </w:r>
            <w:r>
              <w:rPr>
                <w:rFonts w:hint="eastAsia" w:ascii="宋体" w:hAnsi="宋体" w:eastAsia="宋体" w:cs="宋体"/>
                <w:b/>
                <w:bCs/>
                <w:color w:val="auto"/>
                <w:sz w:val="28"/>
                <w:szCs w:val="28"/>
                <w:lang w:val="en-US" w:eastAsia="zh-CN"/>
              </w:rPr>
              <w:t>投标时需要提供完整的结构设计图</w:t>
            </w:r>
            <w:r>
              <w:rPr>
                <w:rFonts w:hint="eastAsia" w:ascii="宋体" w:hAnsi="宋体" w:eastAsia="宋体" w:cs="宋体"/>
                <w:color w:val="auto"/>
                <w:sz w:val="28"/>
                <w:szCs w:val="28"/>
                <w:lang w:val="en-US" w:eastAsia="zh-CN"/>
              </w:rPr>
              <w:t>；</w:t>
            </w:r>
          </w:p>
        </w:tc>
        <w:tc>
          <w:tcPr>
            <w:tcW w:w="1568" w:type="dxa"/>
            <w:vAlign w:val="center"/>
          </w:tcPr>
          <w:p w14:paraId="63F55D4D">
            <w:pPr>
              <w:widowControl/>
              <w:spacing w:line="460" w:lineRule="exact"/>
              <w:jc w:val="left"/>
              <w:textAlignment w:val="center"/>
              <w:rPr>
                <w:rFonts w:ascii="宋体" w:hAnsi="宋体" w:cs="宋体"/>
                <w:color w:val="auto"/>
                <w:sz w:val="24"/>
                <w:highlight w:val="none"/>
              </w:rPr>
            </w:pPr>
          </w:p>
        </w:tc>
        <w:tc>
          <w:tcPr>
            <w:tcW w:w="1152" w:type="dxa"/>
            <w:vAlign w:val="center"/>
          </w:tcPr>
          <w:p w14:paraId="152F168B">
            <w:pPr>
              <w:spacing w:line="480" w:lineRule="exact"/>
              <w:jc w:val="left"/>
              <w:rPr>
                <w:rFonts w:ascii="宋体" w:hAnsi="宋体" w:cs="宋体"/>
                <w:color w:val="auto"/>
                <w:sz w:val="28"/>
                <w:szCs w:val="28"/>
                <w:highlight w:val="none"/>
              </w:rPr>
            </w:pPr>
          </w:p>
        </w:tc>
      </w:tr>
      <w:tr w14:paraId="00F81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1687103E">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（5）介质损耗测试系统</w:t>
            </w:r>
          </w:p>
        </w:tc>
      </w:tr>
      <w:tr w14:paraId="1E1D0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2AF0B4C1">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58</w:t>
            </w:r>
          </w:p>
        </w:tc>
        <w:tc>
          <w:tcPr>
            <w:tcW w:w="5564" w:type="dxa"/>
            <w:vAlign w:val="center"/>
          </w:tcPr>
          <w:p w14:paraId="062EFBA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5.1 总体技术要求：</w:t>
            </w:r>
          </w:p>
          <w:p w14:paraId="31F64155">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5.1.1 系统应满足GB/T 3048.11 试验方法要求以及  GB/T12706.2、GB/T12706.3、GB/T 14049中介质损耗试验技术要求；</w:t>
            </w:r>
          </w:p>
        </w:tc>
        <w:tc>
          <w:tcPr>
            <w:tcW w:w="1568" w:type="dxa"/>
            <w:vAlign w:val="center"/>
          </w:tcPr>
          <w:p w14:paraId="0C355807">
            <w:pPr>
              <w:widowControl/>
              <w:spacing w:line="460" w:lineRule="exact"/>
              <w:jc w:val="left"/>
              <w:textAlignment w:val="center"/>
              <w:rPr>
                <w:rFonts w:ascii="宋体" w:hAnsi="宋体" w:cs="宋体"/>
                <w:color w:val="auto"/>
                <w:sz w:val="24"/>
                <w:highlight w:val="none"/>
              </w:rPr>
            </w:pPr>
          </w:p>
        </w:tc>
        <w:tc>
          <w:tcPr>
            <w:tcW w:w="1152" w:type="dxa"/>
            <w:vAlign w:val="center"/>
          </w:tcPr>
          <w:p w14:paraId="63281168">
            <w:pPr>
              <w:spacing w:line="480" w:lineRule="exact"/>
              <w:jc w:val="left"/>
              <w:rPr>
                <w:rFonts w:ascii="宋体" w:hAnsi="宋体" w:cs="宋体"/>
                <w:color w:val="auto"/>
                <w:sz w:val="28"/>
                <w:szCs w:val="28"/>
                <w:highlight w:val="none"/>
              </w:rPr>
            </w:pPr>
          </w:p>
        </w:tc>
      </w:tr>
      <w:tr w14:paraId="634B4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3E89CCB">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59</w:t>
            </w:r>
          </w:p>
        </w:tc>
        <w:tc>
          <w:tcPr>
            <w:tcW w:w="5564" w:type="dxa"/>
            <w:vAlign w:val="center"/>
          </w:tcPr>
          <w:p w14:paraId="0D38B8EE">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5.1.2  系统基本配置主要由高精密高压电容电桥、高压标准电容器构成。</w:t>
            </w:r>
          </w:p>
        </w:tc>
        <w:tc>
          <w:tcPr>
            <w:tcW w:w="1568" w:type="dxa"/>
            <w:vAlign w:val="center"/>
          </w:tcPr>
          <w:p w14:paraId="6A09FFFB">
            <w:pPr>
              <w:widowControl/>
              <w:spacing w:line="460" w:lineRule="exact"/>
              <w:jc w:val="left"/>
              <w:textAlignment w:val="center"/>
              <w:rPr>
                <w:rFonts w:ascii="宋体" w:hAnsi="宋体" w:cs="宋体"/>
                <w:color w:val="auto"/>
                <w:sz w:val="24"/>
                <w:highlight w:val="none"/>
              </w:rPr>
            </w:pPr>
          </w:p>
        </w:tc>
        <w:tc>
          <w:tcPr>
            <w:tcW w:w="1152" w:type="dxa"/>
            <w:vAlign w:val="center"/>
          </w:tcPr>
          <w:p w14:paraId="3FA8EA28">
            <w:pPr>
              <w:spacing w:line="480" w:lineRule="exact"/>
              <w:jc w:val="left"/>
              <w:rPr>
                <w:rFonts w:ascii="宋体" w:hAnsi="宋体" w:cs="宋体"/>
                <w:color w:val="auto"/>
                <w:sz w:val="28"/>
                <w:szCs w:val="28"/>
                <w:highlight w:val="none"/>
              </w:rPr>
            </w:pPr>
          </w:p>
        </w:tc>
      </w:tr>
      <w:tr w14:paraId="08536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DD79790">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60</w:t>
            </w:r>
          </w:p>
        </w:tc>
        <w:tc>
          <w:tcPr>
            <w:tcW w:w="5564" w:type="dxa"/>
            <w:vAlign w:val="center"/>
          </w:tcPr>
          <w:p w14:paraId="50B610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lang w:val="en-US" w:eastAsia="zh-CN"/>
              </w:rPr>
              <w:t xml:space="preserve"> 高精密高压电容电桥</w:t>
            </w:r>
          </w:p>
          <w:p w14:paraId="2CFA0422">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.2 试验电压：0～1000kV，精度1%（4位有效数字），测量频率：35～65Hz，精度1Hz（4位有效数字）；</w:t>
            </w:r>
          </w:p>
        </w:tc>
        <w:tc>
          <w:tcPr>
            <w:tcW w:w="1568" w:type="dxa"/>
            <w:vAlign w:val="center"/>
          </w:tcPr>
          <w:p w14:paraId="6C6E2882">
            <w:pPr>
              <w:widowControl/>
              <w:spacing w:line="460" w:lineRule="exact"/>
              <w:jc w:val="left"/>
              <w:textAlignment w:val="center"/>
              <w:rPr>
                <w:rFonts w:ascii="宋体" w:hAnsi="宋体" w:cs="宋体"/>
                <w:color w:val="auto"/>
                <w:sz w:val="24"/>
                <w:highlight w:val="none"/>
              </w:rPr>
            </w:pPr>
          </w:p>
        </w:tc>
        <w:tc>
          <w:tcPr>
            <w:tcW w:w="1152" w:type="dxa"/>
            <w:vAlign w:val="center"/>
          </w:tcPr>
          <w:p w14:paraId="1CF2185C">
            <w:pPr>
              <w:spacing w:line="480" w:lineRule="exact"/>
              <w:jc w:val="left"/>
              <w:rPr>
                <w:rFonts w:ascii="宋体" w:hAnsi="宋体" w:cs="宋体"/>
                <w:color w:val="auto"/>
                <w:sz w:val="28"/>
                <w:szCs w:val="28"/>
                <w:highlight w:val="none"/>
              </w:rPr>
            </w:pPr>
          </w:p>
        </w:tc>
      </w:tr>
      <w:tr w14:paraId="07F3F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DC9D715">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61</w:t>
            </w:r>
          </w:p>
        </w:tc>
        <w:tc>
          <w:tcPr>
            <w:tcW w:w="5564" w:type="dxa"/>
            <w:vAlign w:val="center"/>
          </w:tcPr>
          <w:p w14:paraId="7D628C3E">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.3 触摸屏显示，电容值Cx、介损值tgδ、试验电压Upk/√2、电感量Lx、品质因数Q、测试电流Ix、材料的介电常数ε、测试电源频率fx、视在功率S、有效功率P、无功功率Q等均为直读；</w:t>
            </w:r>
          </w:p>
        </w:tc>
        <w:tc>
          <w:tcPr>
            <w:tcW w:w="1568" w:type="dxa"/>
            <w:vAlign w:val="center"/>
          </w:tcPr>
          <w:p w14:paraId="363D4FB9">
            <w:pPr>
              <w:widowControl/>
              <w:spacing w:line="460" w:lineRule="exact"/>
              <w:jc w:val="left"/>
              <w:textAlignment w:val="center"/>
              <w:rPr>
                <w:rFonts w:ascii="宋体" w:hAnsi="宋体" w:cs="宋体"/>
                <w:color w:val="auto"/>
                <w:sz w:val="24"/>
                <w:highlight w:val="none"/>
              </w:rPr>
            </w:pPr>
          </w:p>
        </w:tc>
        <w:tc>
          <w:tcPr>
            <w:tcW w:w="1152" w:type="dxa"/>
            <w:vAlign w:val="center"/>
          </w:tcPr>
          <w:p w14:paraId="527DF15A">
            <w:pPr>
              <w:spacing w:line="480" w:lineRule="exact"/>
              <w:jc w:val="left"/>
              <w:rPr>
                <w:rFonts w:ascii="宋体" w:hAnsi="宋体" w:cs="宋体"/>
                <w:color w:val="auto"/>
                <w:sz w:val="28"/>
                <w:szCs w:val="28"/>
                <w:highlight w:val="none"/>
              </w:rPr>
            </w:pPr>
          </w:p>
        </w:tc>
      </w:tr>
      <w:tr w14:paraId="53BA9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0C838D4">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62</w:t>
            </w:r>
          </w:p>
        </w:tc>
        <w:tc>
          <w:tcPr>
            <w:tcW w:w="5564" w:type="dxa"/>
            <w:vAlign w:val="center"/>
          </w:tcPr>
          <w:p w14:paraId="3B17DAC0">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.4 电桥内有过电压保护措施。</w:t>
            </w:r>
          </w:p>
        </w:tc>
        <w:tc>
          <w:tcPr>
            <w:tcW w:w="1568" w:type="dxa"/>
            <w:vAlign w:val="center"/>
          </w:tcPr>
          <w:p w14:paraId="41FAD55C">
            <w:pPr>
              <w:widowControl/>
              <w:spacing w:line="460" w:lineRule="exact"/>
              <w:jc w:val="left"/>
              <w:textAlignment w:val="center"/>
              <w:rPr>
                <w:rFonts w:ascii="宋体" w:hAnsi="宋体" w:cs="宋体"/>
                <w:color w:val="auto"/>
                <w:sz w:val="24"/>
                <w:highlight w:val="none"/>
              </w:rPr>
            </w:pPr>
          </w:p>
        </w:tc>
        <w:tc>
          <w:tcPr>
            <w:tcW w:w="1152" w:type="dxa"/>
            <w:vAlign w:val="center"/>
          </w:tcPr>
          <w:p w14:paraId="328161B1">
            <w:pPr>
              <w:spacing w:line="480" w:lineRule="exact"/>
              <w:jc w:val="left"/>
              <w:rPr>
                <w:rFonts w:ascii="宋体" w:hAnsi="宋体" w:cs="宋体"/>
                <w:color w:val="auto"/>
                <w:sz w:val="28"/>
                <w:szCs w:val="28"/>
                <w:highlight w:val="none"/>
              </w:rPr>
            </w:pPr>
          </w:p>
        </w:tc>
      </w:tr>
      <w:tr w14:paraId="4CBFF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71045ED6">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63</w:t>
            </w:r>
          </w:p>
        </w:tc>
        <w:tc>
          <w:tcPr>
            <w:tcW w:w="5564" w:type="dxa"/>
            <w:vAlign w:val="center"/>
          </w:tcPr>
          <w:p w14:paraId="2EDEAFA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lang w:val="en-US" w:eastAsia="zh-CN"/>
              </w:rPr>
              <w:t xml:space="preserve"> 50kV/100pF高压标准电容器</w:t>
            </w:r>
          </w:p>
          <w:p w14:paraId="3D9DDFC9">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.3 内充SF6气体，在20℃时，压力为0.35±0.05Mpa。</w:t>
            </w:r>
          </w:p>
        </w:tc>
        <w:tc>
          <w:tcPr>
            <w:tcW w:w="1568" w:type="dxa"/>
            <w:vAlign w:val="center"/>
          </w:tcPr>
          <w:p w14:paraId="133F5057">
            <w:pPr>
              <w:widowControl/>
              <w:spacing w:line="460" w:lineRule="exact"/>
              <w:jc w:val="left"/>
              <w:textAlignment w:val="center"/>
              <w:rPr>
                <w:rFonts w:ascii="宋体" w:hAnsi="宋体" w:cs="宋体"/>
                <w:color w:val="auto"/>
                <w:sz w:val="24"/>
                <w:highlight w:val="none"/>
              </w:rPr>
            </w:pPr>
          </w:p>
        </w:tc>
        <w:tc>
          <w:tcPr>
            <w:tcW w:w="1152" w:type="dxa"/>
            <w:vAlign w:val="center"/>
          </w:tcPr>
          <w:p w14:paraId="73E49AFA">
            <w:pPr>
              <w:spacing w:line="480" w:lineRule="exact"/>
              <w:jc w:val="left"/>
              <w:rPr>
                <w:rFonts w:ascii="宋体" w:hAnsi="宋体" w:cs="宋体"/>
                <w:color w:val="auto"/>
                <w:sz w:val="28"/>
                <w:szCs w:val="28"/>
                <w:highlight w:val="none"/>
              </w:rPr>
            </w:pPr>
          </w:p>
        </w:tc>
      </w:tr>
      <w:tr w14:paraId="5E15A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trPr>
        <w:tc>
          <w:tcPr>
            <w:tcW w:w="8927" w:type="dxa"/>
            <w:gridSpan w:val="4"/>
            <w:vAlign w:val="center"/>
          </w:tcPr>
          <w:p w14:paraId="36B2B665">
            <w:pPr>
              <w:spacing w:line="48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（6）介质强度测试系统</w:t>
            </w:r>
          </w:p>
        </w:tc>
      </w:tr>
      <w:tr w14:paraId="780CE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3E3EA666">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64</w:t>
            </w:r>
          </w:p>
        </w:tc>
        <w:tc>
          <w:tcPr>
            <w:tcW w:w="5564" w:type="dxa"/>
            <w:vAlign w:val="center"/>
          </w:tcPr>
          <w:p w14:paraId="32AA9C7D">
            <w:pPr>
              <w:numPr>
                <w:ilvl w:val="0"/>
                <w:numId w:val="0"/>
              </w:numPr>
              <w:spacing w:line="460" w:lineRule="exact"/>
              <w:ind w:firstLine="562" w:firstLineChars="20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6.1 总体技术要求</w:t>
            </w:r>
          </w:p>
          <w:p w14:paraId="0FDDFA4F">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6.1.1 </w:t>
            </w:r>
            <w:r>
              <w:rPr>
                <w:rFonts w:hint="eastAsia" w:ascii="宋体" w:hAnsi="宋体" w:eastAsia="宋体" w:cs="宋体"/>
                <w:color w:val="auto"/>
                <w:sz w:val="28"/>
                <w:szCs w:val="28"/>
              </w:rPr>
              <w:t>额定容量：5kVA，单相。</w:t>
            </w:r>
          </w:p>
        </w:tc>
        <w:tc>
          <w:tcPr>
            <w:tcW w:w="1568" w:type="dxa"/>
            <w:vAlign w:val="center"/>
          </w:tcPr>
          <w:p w14:paraId="5734F2E7">
            <w:pPr>
              <w:widowControl/>
              <w:spacing w:line="460" w:lineRule="exact"/>
              <w:jc w:val="left"/>
              <w:textAlignment w:val="center"/>
              <w:rPr>
                <w:rFonts w:ascii="宋体" w:hAnsi="宋体" w:cs="宋体"/>
                <w:color w:val="auto"/>
                <w:sz w:val="24"/>
                <w:highlight w:val="none"/>
              </w:rPr>
            </w:pPr>
          </w:p>
        </w:tc>
        <w:tc>
          <w:tcPr>
            <w:tcW w:w="1152" w:type="dxa"/>
            <w:vAlign w:val="center"/>
          </w:tcPr>
          <w:p w14:paraId="2DDD532F">
            <w:pPr>
              <w:spacing w:line="480" w:lineRule="exact"/>
              <w:jc w:val="left"/>
              <w:rPr>
                <w:rFonts w:ascii="宋体" w:hAnsi="宋体" w:cs="宋体"/>
                <w:color w:val="auto"/>
                <w:sz w:val="28"/>
                <w:szCs w:val="28"/>
                <w:highlight w:val="none"/>
              </w:rPr>
            </w:pPr>
          </w:p>
        </w:tc>
      </w:tr>
      <w:tr w14:paraId="5E7D2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53FA4B8E">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65</w:t>
            </w:r>
          </w:p>
        </w:tc>
        <w:tc>
          <w:tcPr>
            <w:tcW w:w="5564" w:type="dxa"/>
            <w:vAlign w:val="center"/>
          </w:tcPr>
          <w:p w14:paraId="7C7CE8FA">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6.1.2</w:t>
            </w:r>
            <w:r>
              <w:rPr>
                <w:rFonts w:hint="eastAsia" w:ascii="宋体" w:hAnsi="宋体" w:eastAsia="宋体" w:cs="宋体"/>
                <w:color w:val="auto"/>
                <w:sz w:val="28"/>
                <w:szCs w:val="28"/>
              </w:rPr>
              <w:t>额定输入电压：220V±10%，单相50Hz</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额定输出电压：50kV</w:t>
            </w:r>
            <w:r>
              <w:rPr>
                <w:rFonts w:hint="eastAsia" w:ascii="宋体" w:hAnsi="宋体" w:eastAsia="宋体" w:cs="宋体"/>
                <w:color w:val="auto"/>
                <w:sz w:val="28"/>
                <w:szCs w:val="28"/>
                <w:lang w:eastAsia="zh-CN"/>
              </w:rPr>
              <w:t>；</w:t>
            </w:r>
          </w:p>
        </w:tc>
        <w:tc>
          <w:tcPr>
            <w:tcW w:w="1568" w:type="dxa"/>
            <w:vAlign w:val="center"/>
          </w:tcPr>
          <w:p w14:paraId="424F4B34">
            <w:pPr>
              <w:widowControl/>
              <w:spacing w:line="460" w:lineRule="exact"/>
              <w:jc w:val="left"/>
              <w:textAlignment w:val="center"/>
              <w:rPr>
                <w:rFonts w:ascii="宋体" w:hAnsi="宋体" w:cs="宋体"/>
                <w:color w:val="auto"/>
                <w:sz w:val="24"/>
                <w:highlight w:val="none"/>
              </w:rPr>
            </w:pPr>
          </w:p>
        </w:tc>
        <w:tc>
          <w:tcPr>
            <w:tcW w:w="1152" w:type="dxa"/>
            <w:vAlign w:val="center"/>
          </w:tcPr>
          <w:p w14:paraId="488859A5">
            <w:pPr>
              <w:spacing w:line="480" w:lineRule="exact"/>
              <w:jc w:val="left"/>
              <w:rPr>
                <w:rFonts w:ascii="宋体" w:hAnsi="宋体" w:cs="宋体"/>
                <w:color w:val="auto"/>
                <w:sz w:val="28"/>
                <w:szCs w:val="28"/>
                <w:highlight w:val="none"/>
              </w:rPr>
            </w:pPr>
          </w:p>
        </w:tc>
      </w:tr>
      <w:tr w14:paraId="39933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4FB0D927">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66</w:t>
            </w:r>
          </w:p>
        </w:tc>
        <w:tc>
          <w:tcPr>
            <w:tcW w:w="5564" w:type="dxa"/>
            <w:vAlign w:val="center"/>
          </w:tcPr>
          <w:p w14:paraId="4A6F429F">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6.1.3</w:t>
            </w:r>
            <w:r>
              <w:rPr>
                <w:rFonts w:hint="eastAsia" w:ascii="宋体" w:hAnsi="宋体" w:eastAsia="宋体" w:cs="宋体"/>
                <w:color w:val="auto"/>
                <w:sz w:val="28"/>
                <w:szCs w:val="28"/>
              </w:rPr>
              <w:t>额定输入电流：22.7A</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额定输出电流：0.1A</w:t>
            </w:r>
            <w:r>
              <w:rPr>
                <w:rFonts w:hint="eastAsia" w:ascii="宋体" w:hAnsi="宋体" w:eastAsia="宋体" w:cs="宋体"/>
                <w:color w:val="auto"/>
                <w:sz w:val="28"/>
                <w:szCs w:val="28"/>
                <w:lang w:eastAsia="zh-CN"/>
              </w:rPr>
              <w:t>；</w:t>
            </w:r>
          </w:p>
        </w:tc>
        <w:tc>
          <w:tcPr>
            <w:tcW w:w="1568" w:type="dxa"/>
            <w:vAlign w:val="center"/>
          </w:tcPr>
          <w:p w14:paraId="61B2097C">
            <w:pPr>
              <w:widowControl/>
              <w:spacing w:line="460" w:lineRule="exact"/>
              <w:jc w:val="left"/>
              <w:textAlignment w:val="center"/>
              <w:rPr>
                <w:rFonts w:ascii="宋体" w:hAnsi="宋体" w:cs="宋体"/>
                <w:color w:val="auto"/>
                <w:sz w:val="24"/>
                <w:highlight w:val="none"/>
              </w:rPr>
            </w:pPr>
          </w:p>
        </w:tc>
        <w:tc>
          <w:tcPr>
            <w:tcW w:w="1152" w:type="dxa"/>
            <w:vAlign w:val="center"/>
          </w:tcPr>
          <w:p w14:paraId="1FFCD7F2">
            <w:pPr>
              <w:spacing w:line="480" w:lineRule="exact"/>
              <w:jc w:val="left"/>
              <w:rPr>
                <w:rFonts w:ascii="宋体" w:hAnsi="宋体" w:cs="宋体"/>
                <w:color w:val="auto"/>
                <w:sz w:val="28"/>
                <w:szCs w:val="28"/>
                <w:highlight w:val="none"/>
              </w:rPr>
            </w:pPr>
          </w:p>
        </w:tc>
      </w:tr>
      <w:tr w14:paraId="2A828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AB6DB52">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67</w:t>
            </w:r>
          </w:p>
        </w:tc>
        <w:tc>
          <w:tcPr>
            <w:tcW w:w="5564" w:type="dxa"/>
            <w:vAlign w:val="center"/>
          </w:tcPr>
          <w:p w14:paraId="46077808">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6.1.4 </w:t>
            </w:r>
            <w:r>
              <w:rPr>
                <w:rFonts w:hint="eastAsia" w:ascii="宋体" w:hAnsi="宋体" w:eastAsia="宋体" w:cs="宋体"/>
                <w:color w:val="auto"/>
                <w:sz w:val="28"/>
                <w:szCs w:val="28"/>
              </w:rPr>
              <w:t>输出电压范围：0～50kV，连续可调设置</w:t>
            </w:r>
            <w:r>
              <w:rPr>
                <w:rFonts w:hint="eastAsia" w:ascii="宋体" w:hAnsi="宋体" w:eastAsia="宋体" w:cs="宋体"/>
                <w:color w:val="auto"/>
                <w:sz w:val="28"/>
                <w:szCs w:val="28"/>
                <w:lang w:eastAsia="zh-CN"/>
              </w:rPr>
              <w:t>；</w:t>
            </w:r>
          </w:p>
        </w:tc>
        <w:tc>
          <w:tcPr>
            <w:tcW w:w="1568" w:type="dxa"/>
            <w:vAlign w:val="center"/>
          </w:tcPr>
          <w:p w14:paraId="6AF39ED5">
            <w:pPr>
              <w:widowControl/>
              <w:spacing w:line="460" w:lineRule="exact"/>
              <w:jc w:val="left"/>
              <w:textAlignment w:val="center"/>
              <w:rPr>
                <w:rFonts w:ascii="宋体" w:hAnsi="宋体" w:cs="宋体"/>
                <w:color w:val="auto"/>
                <w:sz w:val="24"/>
                <w:highlight w:val="none"/>
              </w:rPr>
            </w:pPr>
          </w:p>
        </w:tc>
        <w:tc>
          <w:tcPr>
            <w:tcW w:w="1152" w:type="dxa"/>
            <w:vAlign w:val="center"/>
          </w:tcPr>
          <w:p w14:paraId="282AF4A2">
            <w:pPr>
              <w:spacing w:line="480" w:lineRule="exact"/>
              <w:jc w:val="left"/>
              <w:rPr>
                <w:rFonts w:ascii="宋体" w:hAnsi="宋体" w:cs="宋体"/>
                <w:color w:val="auto"/>
                <w:sz w:val="28"/>
                <w:szCs w:val="28"/>
                <w:highlight w:val="none"/>
              </w:rPr>
            </w:pPr>
          </w:p>
        </w:tc>
      </w:tr>
      <w:tr w14:paraId="3F99E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9D5DF14">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68</w:t>
            </w:r>
          </w:p>
        </w:tc>
        <w:tc>
          <w:tcPr>
            <w:tcW w:w="5564" w:type="dxa"/>
            <w:vAlign w:val="center"/>
          </w:tcPr>
          <w:p w14:paraId="7BE72152">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 xml:space="preserve">6.1.5 </w:t>
            </w:r>
            <w:r>
              <w:rPr>
                <w:rFonts w:hint="eastAsia" w:ascii="宋体" w:hAnsi="宋体" w:eastAsia="宋体" w:cs="宋体"/>
                <w:color w:val="auto"/>
                <w:sz w:val="28"/>
                <w:szCs w:val="28"/>
              </w:rPr>
              <w:t>电压测量精度：±3%</w:t>
            </w:r>
            <w:r>
              <w:rPr>
                <w:rFonts w:hint="eastAsia" w:ascii="宋体" w:hAnsi="宋体" w:eastAsia="宋体" w:cs="宋体"/>
                <w:color w:val="auto"/>
                <w:sz w:val="28"/>
                <w:szCs w:val="28"/>
                <w:lang w:eastAsia="zh-CN"/>
              </w:rPr>
              <w:t>。</w:t>
            </w:r>
          </w:p>
        </w:tc>
        <w:tc>
          <w:tcPr>
            <w:tcW w:w="1568" w:type="dxa"/>
            <w:vAlign w:val="center"/>
          </w:tcPr>
          <w:p w14:paraId="06F7EC54">
            <w:pPr>
              <w:widowControl/>
              <w:spacing w:line="460" w:lineRule="exact"/>
              <w:jc w:val="left"/>
              <w:textAlignment w:val="center"/>
              <w:rPr>
                <w:rFonts w:ascii="宋体" w:hAnsi="宋体" w:cs="宋体"/>
                <w:color w:val="auto"/>
                <w:sz w:val="24"/>
                <w:highlight w:val="none"/>
              </w:rPr>
            </w:pPr>
          </w:p>
        </w:tc>
        <w:tc>
          <w:tcPr>
            <w:tcW w:w="1152" w:type="dxa"/>
            <w:vAlign w:val="center"/>
          </w:tcPr>
          <w:p w14:paraId="06399D48">
            <w:pPr>
              <w:spacing w:line="480" w:lineRule="exact"/>
              <w:jc w:val="left"/>
              <w:rPr>
                <w:rFonts w:ascii="宋体" w:hAnsi="宋体" w:cs="宋体"/>
                <w:color w:val="auto"/>
                <w:sz w:val="28"/>
                <w:szCs w:val="28"/>
                <w:highlight w:val="none"/>
              </w:rPr>
            </w:pPr>
          </w:p>
        </w:tc>
      </w:tr>
    </w:tbl>
    <w:p w14:paraId="02ABB9D5">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-1  证明材料1，证明材料2，……</w:t>
      </w:r>
    </w:p>
    <w:p w14:paraId="69AFF18E">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562CAF11">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1.投标人需对技术要求逐条做出明确响应。</w:t>
      </w:r>
    </w:p>
    <w:p w14:paraId="486F155C">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E315F38">
      <w:pPr>
        <w:spacing w:line="480" w:lineRule="exact"/>
        <w:rPr>
          <w:rFonts w:ascii="宋体" w:hAnsi="宋体" w:cs="宋体"/>
          <w:color w:val="auto"/>
          <w:sz w:val="28"/>
          <w:szCs w:val="28"/>
          <w:highlight w:val="none"/>
        </w:rPr>
      </w:pPr>
    </w:p>
    <w:p w14:paraId="3AD46399">
      <w:pPr>
        <w:spacing w:line="480" w:lineRule="exact"/>
        <w:outlineLvl w:val="3"/>
        <w:rPr>
          <w:rFonts w:ascii="宋体" w:hAnsi="宋体" w:cs="宋体"/>
          <w:b/>
          <w:color w:val="auto"/>
          <w:sz w:val="28"/>
          <w:szCs w:val="28"/>
          <w:highlight w:val="none"/>
        </w:rPr>
        <w:sectPr>
          <w:pgSz w:w="11907" w:h="16839"/>
          <w:pgMar w:top="1440" w:right="1800" w:bottom="1440" w:left="1800" w:header="720" w:footer="720" w:gutter="0"/>
          <w:cols w:space="720" w:num="1"/>
          <w:docGrid w:linePitch="286" w:charSpace="0"/>
        </w:sectPr>
      </w:pPr>
    </w:p>
    <w:p w14:paraId="461114E1">
      <w:pPr>
        <w:spacing w:line="480" w:lineRule="exact"/>
        <w:outlineLvl w:val="3"/>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5</w:t>
      </w:r>
    </w:p>
    <w:p w14:paraId="4E5CE1DA">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0E1D9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1327B25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0D58F780">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72DEECAF">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1B199BB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20D19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AF546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07167138">
            <w:pPr>
              <w:spacing w:line="480" w:lineRule="exact"/>
              <w:jc w:val="center"/>
              <w:rPr>
                <w:rFonts w:ascii="宋体" w:hAnsi="宋体" w:cs="宋体"/>
                <w:color w:val="auto"/>
                <w:sz w:val="28"/>
                <w:szCs w:val="28"/>
                <w:highlight w:val="none"/>
              </w:rPr>
            </w:pPr>
          </w:p>
        </w:tc>
        <w:tc>
          <w:tcPr>
            <w:tcW w:w="2999" w:type="dxa"/>
          </w:tcPr>
          <w:p w14:paraId="03482D3D">
            <w:pPr>
              <w:spacing w:line="480" w:lineRule="exact"/>
              <w:jc w:val="center"/>
              <w:rPr>
                <w:rFonts w:ascii="宋体" w:hAnsi="宋体" w:cs="宋体"/>
                <w:color w:val="auto"/>
                <w:sz w:val="28"/>
                <w:szCs w:val="28"/>
                <w:highlight w:val="none"/>
              </w:rPr>
            </w:pPr>
          </w:p>
        </w:tc>
        <w:tc>
          <w:tcPr>
            <w:tcW w:w="2320" w:type="dxa"/>
          </w:tcPr>
          <w:p w14:paraId="21E2C4BF">
            <w:pPr>
              <w:spacing w:line="480" w:lineRule="exact"/>
              <w:jc w:val="center"/>
              <w:rPr>
                <w:rFonts w:ascii="宋体" w:hAnsi="宋体" w:cs="宋体"/>
                <w:color w:val="auto"/>
                <w:sz w:val="28"/>
                <w:szCs w:val="28"/>
                <w:highlight w:val="none"/>
              </w:rPr>
            </w:pPr>
          </w:p>
        </w:tc>
      </w:tr>
      <w:tr w14:paraId="1E65A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408B325">
            <w:pPr>
              <w:spacing w:line="480" w:lineRule="exact"/>
              <w:jc w:val="center"/>
              <w:rPr>
                <w:rFonts w:ascii="宋体" w:hAnsi="宋体" w:cs="宋体"/>
                <w:color w:val="auto"/>
                <w:sz w:val="28"/>
                <w:szCs w:val="28"/>
                <w:highlight w:val="none"/>
              </w:rPr>
            </w:pPr>
          </w:p>
        </w:tc>
        <w:tc>
          <w:tcPr>
            <w:tcW w:w="3063" w:type="dxa"/>
          </w:tcPr>
          <w:p w14:paraId="6906A0DE">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7A92EDC7">
            <w:pPr>
              <w:spacing w:line="480" w:lineRule="exact"/>
              <w:jc w:val="center"/>
              <w:rPr>
                <w:rFonts w:ascii="宋体" w:hAnsi="宋体" w:cs="宋体"/>
                <w:color w:val="auto"/>
                <w:sz w:val="28"/>
                <w:szCs w:val="28"/>
                <w:highlight w:val="none"/>
              </w:rPr>
            </w:pPr>
          </w:p>
        </w:tc>
        <w:tc>
          <w:tcPr>
            <w:tcW w:w="2320" w:type="dxa"/>
          </w:tcPr>
          <w:p w14:paraId="04651E43">
            <w:pPr>
              <w:spacing w:line="480" w:lineRule="exact"/>
              <w:jc w:val="center"/>
              <w:rPr>
                <w:rFonts w:ascii="宋体" w:hAnsi="宋体" w:cs="宋体"/>
                <w:color w:val="auto"/>
                <w:sz w:val="28"/>
                <w:szCs w:val="28"/>
                <w:highlight w:val="none"/>
              </w:rPr>
            </w:pPr>
          </w:p>
        </w:tc>
      </w:tr>
    </w:tbl>
    <w:p w14:paraId="1FA67018">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-1  证明材料1，证明材料2，……</w:t>
      </w:r>
    </w:p>
    <w:p w14:paraId="1F9867D2">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02E0C2C7">
      <w:pPr>
        <w:spacing w:line="480" w:lineRule="exact"/>
        <w:outlineLvl w:val="2"/>
        <w:rPr>
          <w:rFonts w:ascii="宋体" w:hAnsi="宋体" w:cs="宋体"/>
          <w:color w:val="auto"/>
          <w:sz w:val="28"/>
          <w:szCs w:val="28"/>
          <w:highlight w:val="none"/>
        </w:rPr>
      </w:pPr>
      <w:bookmarkStart w:id="173" w:name="_Toc12886"/>
      <w:r>
        <w:rPr>
          <w:rFonts w:hint="eastAsia" w:ascii="宋体" w:hAnsi="宋体" w:cs="宋体"/>
          <w:color w:val="auto"/>
          <w:sz w:val="28"/>
          <w:szCs w:val="28"/>
          <w:highlight w:val="none"/>
        </w:rPr>
        <w:t>1.投标人需对商务要求逐条做出明确响应。</w:t>
      </w:r>
      <w:bookmarkEnd w:id="173"/>
    </w:p>
    <w:p w14:paraId="4CB0A82D">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414B71D2">
      <w:pPr>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3.本项目商务按要求不接受负偏离，有负偏离的按无效标处理。</w:t>
      </w:r>
    </w:p>
    <w:p w14:paraId="0E19108D">
      <w:pPr>
        <w:spacing w:line="480" w:lineRule="exact"/>
        <w:rPr>
          <w:rFonts w:ascii="宋体" w:hAnsi="宋体" w:cs="宋体"/>
          <w:b/>
          <w:color w:val="auto"/>
          <w:sz w:val="28"/>
          <w:szCs w:val="28"/>
          <w:highlight w:val="none"/>
        </w:rPr>
      </w:pPr>
    </w:p>
    <w:p w14:paraId="0C67696B">
      <w:pPr>
        <w:snapToGrid w:val="0"/>
        <w:spacing w:line="300" w:lineRule="auto"/>
        <w:contextualSpacing/>
        <w:rPr>
          <w:rFonts w:ascii="宋体" w:hAnsi="宋体" w:cs="宋体"/>
          <w:color w:val="auto"/>
          <w:sz w:val="28"/>
          <w:szCs w:val="28"/>
          <w:highlight w:val="none"/>
        </w:rPr>
      </w:pPr>
    </w:p>
    <w:p w14:paraId="5C815B7E">
      <w:pPr>
        <w:pStyle w:val="35"/>
        <w:ind w:firstLine="240"/>
        <w:rPr>
          <w:rFonts w:ascii="宋体" w:hAnsi="宋体" w:cs="宋体"/>
          <w:color w:val="auto"/>
          <w:highlight w:val="none"/>
        </w:rPr>
      </w:pPr>
    </w:p>
    <w:p w14:paraId="0AA56629">
      <w:pPr>
        <w:tabs>
          <w:tab w:val="left" w:pos="1260"/>
        </w:tabs>
        <w:snapToGrid w:val="0"/>
        <w:spacing w:line="460" w:lineRule="exact"/>
        <w:ind w:firstLine="560" w:firstLineChars="200"/>
        <w:contextualSpacing/>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br w:type="page"/>
      </w:r>
      <w:r>
        <w:rPr>
          <w:rFonts w:hint="eastAsia" w:ascii="宋体" w:hAnsi="宋体" w:cs="宋体"/>
          <w:bCs/>
          <w:color w:val="auto"/>
          <w:sz w:val="28"/>
          <w:szCs w:val="28"/>
          <w:highlight w:val="none"/>
        </w:rPr>
        <w:t>附件</w:t>
      </w:r>
      <w:r>
        <w:rPr>
          <w:rFonts w:hint="eastAsia" w:ascii="宋体" w:hAnsi="宋体" w:cs="宋体"/>
          <w:bCs/>
          <w:color w:val="auto"/>
          <w:sz w:val="28"/>
          <w:szCs w:val="28"/>
          <w:highlight w:val="none"/>
          <w:lang w:val="en-US" w:eastAsia="zh-CN"/>
        </w:rPr>
        <w:t>6</w:t>
      </w:r>
    </w:p>
    <w:p w14:paraId="6C280695">
      <w:pPr>
        <w:spacing w:before="240"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投标人信用承诺书</w:t>
      </w:r>
    </w:p>
    <w:p w14:paraId="0D9F27BC">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为营造公开、公平、公正的公共资源交易环境，树立诚信守法的投标人形象，本人代表本单位作出以下承诺：</w:t>
      </w:r>
    </w:p>
    <w:p w14:paraId="0715F772">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一、本单位对所提交的单位基本信息、单位负责人、项目负责人、技术负责人、从业资质和资格、业绩、财务状况、信誉等所有资料，均合法、真实、准确、有效，无任何伪造、修改、虚假成分；</w:t>
      </w:r>
    </w:p>
    <w:p w14:paraId="61963F0C">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二、严格依照国家和省、市、县关于政府采购等方面的法律、法规、规章、规范性文件，参加公共资源交易招标投标活动；积极履行社会责任，促进廉政建设；</w:t>
      </w:r>
    </w:p>
    <w:p w14:paraId="43A1262A">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三、严格遵守即时信息公示规定，及时更新公共资源交易中心主体信息库中信息；</w:t>
      </w:r>
    </w:p>
    <w:p w14:paraId="08802852">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四、自我约束、自我管理，守合同、重信用，不参与围标串标、弄虚作假、骗取中标、干扰评标、违约毁约、恶意投诉等行为，主动维护公共资源交易招标投标的良好秩序；</w:t>
      </w:r>
    </w:p>
    <w:p w14:paraId="7D4246C4">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3A56173F">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六、自觉接受政府部门、行业组织、社会公众、新闻舆论等监督；</w:t>
      </w:r>
    </w:p>
    <w:p w14:paraId="0612194B">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七、上述承诺已向本单位员工作了宣传教育；</w:t>
      </w:r>
    </w:p>
    <w:p w14:paraId="5CBBE1A3">
      <w:pPr>
        <w:tabs>
          <w:tab w:val="left" w:pos="4860"/>
        </w:tabs>
        <w:spacing w:line="460" w:lineRule="exact"/>
        <w:ind w:right="1560"/>
        <w:jc w:val="left"/>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lang w:val="zh-CN"/>
        </w:rPr>
        <w:t>如有违反上述承诺的不良行为，本单位同意将其予以上网公示。</w:t>
      </w:r>
    </w:p>
    <w:p w14:paraId="48423222">
      <w:pPr>
        <w:spacing w:line="460" w:lineRule="exact"/>
        <w:ind w:firstLine="3080" w:firstLineChars="1100"/>
        <w:rPr>
          <w:rFonts w:ascii="宋体" w:hAnsi="宋体" w:cs="宋体"/>
          <w:color w:val="auto"/>
          <w:sz w:val="28"/>
          <w:szCs w:val="28"/>
          <w:highlight w:val="none"/>
        </w:rPr>
      </w:pPr>
    </w:p>
    <w:p w14:paraId="61D7873B">
      <w:pPr>
        <w:spacing w:line="460" w:lineRule="exact"/>
        <w:ind w:firstLine="3080" w:firstLineChars="1100"/>
        <w:rPr>
          <w:rFonts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rPr>
        <w:t>投标</w:t>
      </w:r>
      <w:r>
        <w:rPr>
          <w:rFonts w:hint="eastAsia" w:ascii="宋体" w:hAnsi="宋体" w:cs="宋体"/>
          <w:color w:val="auto"/>
          <w:kern w:val="0"/>
          <w:sz w:val="28"/>
          <w:szCs w:val="28"/>
          <w:highlight w:val="none"/>
        </w:rPr>
        <w:t>人</w:t>
      </w:r>
      <w:r>
        <w:rPr>
          <w:rFonts w:hint="eastAsia" w:ascii="宋体" w:hAnsi="宋体" w:cs="宋体"/>
          <w:color w:val="auto"/>
          <w:kern w:val="0"/>
          <w:sz w:val="28"/>
          <w:szCs w:val="28"/>
          <w:highlight w:val="none"/>
          <w:lang w:val="zh-CN"/>
        </w:rPr>
        <w:t>全称(</w:t>
      </w:r>
      <w:r>
        <w:rPr>
          <w:rFonts w:hint="eastAsia" w:ascii="宋体" w:hAnsi="宋体" w:cs="宋体"/>
          <w:color w:val="auto"/>
          <w:sz w:val="28"/>
          <w:szCs w:val="28"/>
          <w:highlight w:val="none"/>
        </w:rPr>
        <w:t>加盖CA电子签章</w:t>
      </w:r>
      <w:r>
        <w:rPr>
          <w:rFonts w:hint="eastAsia" w:ascii="宋体" w:hAnsi="宋体" w:cs="宋体"/>
          <w:color w:val="auto"/>
          <w:kern w:val="0"/>
          <w:sz w:val="28"/>
          <w:szCs w:val="28"/>
          <w:highlight w:val="none"/>
          <w:lang w:val="zh-CN"/>
        </w:rPr>
        <w:t>)：</w:t>
      </w:r>
    </w:p>
    <w:p w14:paraId="1C8A66F6">
      <w:pPr>
        <w:spacing w:line="460" w:lineRule="exact"/>
        <w:ind w:firstLine="3080" w:firstLineChars="1100"/>
        <w:rPr>
          <w:rFonts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rPr>
        <w:t>法定代表人（签字或</w:t>
      </w:r>
      <w:r>
        <w:rPr>
          <w:rFonts w:hint="eastAsia" w:ascii="宋体" w:hAnsi="宋体" w:cs="宋体"/>
          <w:color w:val="auto"/>
          <w:sz w:val="28"/>
          <w:szCs w:val="28"/>
          <w:highlight w:val="none"/>
        </w:rPr>
        <w:t>加盖CA电子签章）</w:t>
      </w:r>
      <w:r>
        <w:rPr>
          <w:rFonts w:hint="eastAsia" w:ascii="宋体" w:hAnsi="宋体" w:cs="宋体"/>
          <w:color w:val="auto"/>
          <w:kern w:val="0"/>
          <w:sz w:val="28"/>
          <w:szCs w:val="28"/>
          <w:highlight w:val="none"/>
          <w:lang w:val="zh-CN"/>
        </w:rPr>
        <w:t>：</w:t>
      </w:r>
    </w:p>
    <w:p w14:paraId="0A195A8E">
      <w:pPr>
        <w:spacing w:line="460" w:lineRule="exact"/>
        <w:ind w:firstLine="3080" w:firstLineChars="11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时间：  年  月   日</w:t>
      </w:r>
    </w:p>
    <w:p w14:paraId="341C5EC1">
      <w:pPr>
        <w:snapToGrid w:val="0"/>
        <w:spacing w:line="460" w:lineRule="exact"/>
        <w:rPr>
          <w:rFonts w:ascii="宋体" w:hAnsi="宋体" w:cs="宋体"/>
          <w:color w:val="auto"/>
          <w:sz w:val="28"/>
          <w:szCs w:val="28"/>
          <w:highlight w:val="none"/>
        </w:rPr>
        <w:sectPr>
          <w:pgSz w:w="11907" w:h="16839"/>
          <w:pgMar w:top="1440" w:right="1800" w:bottom="1440" w:left="1800" w:header="720" w:footer="720" w:gutter="0"/>
          <w:cols w:space="720" w:num="1"/>
          <w:docGrid w:linePitch="286" w:charSpace="0"/>
        </w:sectPr>
      </w:pPr>
    </w:p>
    <w:p w14:paraId="79641DBD">
      <w:pPr>
        <w:snapToGrid w:val="0"/>
        <w:spacing w:line="400" w:lineRule="exact"/>
        <w:ind w:firstLine="640" w:firstLineChars="200"/>
        <w:contextualSpacing/>
        <w:outlineLvl w:val="3"/>
        <w:rPr>
          <w:rFonts w:hint="eastAsia" w:ascii="宋体" w:hAnsi="宋体" w:eastAsia="宋体" w:cs="宋体"/>
          <w:color w:val="auto"/>
          <w:kern w:val="0"/>
          <w:sz w:val="32"/>
          <w:szCs w:val="32"/>
          <w:highlight w:val="none"/>
          <w:lang w:eastAsia="zh-CN"/>
        </w:rPr>
      </w:pPr>
      <w:r>
        <w:rPr>
          <w:rFonts w:hint="eastAsia" w:ascii="宋体" w:hAnsi="宋体" w:cs="宋体"/>
          <w:color w:val="auto"/>
          <w:kern w:val="0"/>
          <w:sz w:val="32"/>
          <w:szCs w:val="32"/>
          <w:highlight w:val="none"/>
          <w:lang w:val="zh-CN"/>
        </w:rPr>
        <w:t>附件</w:t>
      </w:r>
      <w:r>
        <w:rPr>
          <w:rFonts w:hint="eastAsia" w:ascii="宋体" w:hAnsi="宋体" w:cs="宋体"/>
          <w:color w:val="auto"/>
          <w:kern w:val="0"/>
          <w:sz w:val="32"/>
          <w:szCs w:val="32"/>
          <w:highlight w:val="none"/>
          <w:lang w:val="en-US" w:eastAsia="zh-CN"/>
        </w:rPr>
        <w:t>7</w:t>
      </w:r>
    </w:p>
    <w:p w14:paraId="738140B2">
      <w:pPr>
        <w:jc w:val="both"/>
        <w:rPr>
          <w:rFonts w:ascii="宋体" w:hAnsi="宋体" w:cs="宋体"/>
          <w:b/>
          <w:color w:val="auto"/>
          <w:sz w:val="28"/>
          <w:szCs w:val="28"/>
          <w:highlight w:val="none"/>
        </w:rPr>
      </w:pPr>
    </w:p>
    <w:p w14:paraId="21B644E0">
      <w:pPr>
        <w:spacing w:line="40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投标人符合《中华人民共和国政府采购法》第二十二条规定条件的声明函</w:t>
      </w:r>
    </w:p>
    <w:p w14:paraId="265D5D83">
      <w:pPr>
        <w:spacing w:line="400" w:lineRule="exact"/>
        <w:rPr>
          <w:rFonts w:ascii="宋体" w:hAnsi="宋体" w:cs="宋体"/>
          <w:b/>
          <w:bCs/>
          <w:color w:val="auto"/>
          <w:sz w:val="28"/>
          <w:szCs w:val="28"/>
          <w:highlight w:val="none"/>
        </w:rPr>
      </w:pPr>
    </w:p>
    <w:p w14:paraId="556D8CAE">
      <w:pPr>
        <w:spacing w:line="400" w:lineRule="exact"/>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（项目编号）投标活动。针对《中华人民共和国政府采购法》第二十二条规定做出如下声明：</w:t>
      </w:r>
    </w:p>
    <w:p w14:paraId="3E8C09F7">
      <w:pPr>
        <w:spacing w:line="40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4E3AD73B">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137F14BE">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7DFDE559">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5CF6183F">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1D1E62C">
      <w:pPr>
        <w:spacing w:line="400" w:lineRule="exact"/>
        <w:ind w:firstLine="560" w:firstLineChars="200"/>
        <w:outlineLvl w:val="2"/>
        <w:rPr>
          <w:rFonts w:ascii="宋体" w:hAnsi="宋体" w:cs="宋体"/>
          <w:color w:val="auto"/>
          <w:sz w:val="28"/>
          <w:szCs w:val="28"/>
          <w:highlight w:val="none"/>
        </w:rPr>
      </w:pPr>
      <w:bookmarkStart w:id="174" w:name="_Toc9266"/>
      <w:r>
        <w:rPr>
          <w:rFonts w:hint="eastAsia" w:ascii="宋体" w:hAnsi="宋体" w:cs="宋体"/>
          <w:color w:val="auto"/>
          <w:sz w:val="28"/>
          <w:szCs w:val="28"/>
          <w:highlight w:val="none"/>
        </w:rPr>
        <w:t>6.我单位满足法律、行政法规规定的其他条件。</w:t>
      </w:r>
      <w:bookmarkEnd w:id="174"/>
    </w:p>
    <w:p w14:paraId="67CEFC7E">
      <w:pPr>
        <w:spacing w:line="400" w:lineRule="exact"/>
        <w:ind w:firstLine="560" w:firstLineChars="200"/>
        <w:rPr>
          <w:rFonts w:ascii="宋体" w:hAnsi="宋体" w:cs="宋体"/>
          <w:color w:val="auto"/>
          <w:sz w:val="28"/>
          <w:szCs w:val="28"/>
          <w:highlight w:val="none"/>
        </w:rPr>
      </w:pPr>
    </w:p>
    <w:p w14:paraId="17B2D21C">
      <w:pPr>
        <w:spacing w:line="400" w:lineRule="exact"/>
        <w:ind w:firstLine="560" w:firstLineChars="200"/>
        <w:rPr>
          <w:rFonts w:ascii="宋体" w:hAnsi="宋体" w:cs="宋体"/>
          <w:color w:val="auto"/>
          <w:sz w:val="28"/>
          <w:szCs w:val="28"/>
          <w:highlight w:val="none"/>
        </w:rPr>
      </w:pPr>
    </w:p>
    <w:p w14:paraId="2FEFF0FE">
      <w:pPr>
        <w:spacing w:line="400" w:lineRule="exact"/>
        <w:ind w:firstLine="560" w:firstLineChars="200"/>
        <w:rPr>
          <w:rFonts w:ascii="宋体" w:hAnsi="宋体" w:cs="宋体"/>
          <w:bCs/>
          <w:color w:val="auto"/>
          <w:sz w:val="28"/>
          <w:szCs w:val="28"/>
          <w:highlight w:val="none"/>
        </w:rPr>
      </w:pPr>
    </w:p>
    <w:p w14:paraId="22074D56">
      <w:pPr>
        <w:spacing w:line="400" w:lineRule="exact"/>
        <w:ind w:firstLine="560" w:firstLineChars="200"/>
        <w:rPr>
          <w:rFonts w:ascii="宋体" w:hAnsi="宋体" w:cs="宋体"/>
          <w:bCs/>
          <w:color w:val="auto"/>
          <w:sz w:val="28"/>
          <w:szCs w:val="28"/>
          <w:highlight w:val="none"/>
        </w:rPr>
      </w:pPr>
    </w:p>
    <w:p w14:paraId="7CA94586">
      <w:pPr>
        <w:spacing w:line="400" w:lineRule="exact"/>
        <w:ind w:firstLine="560" w:firstLineChars="200"/>
        <w:rPr>
          <w:rFonts w:ascii="宋体" w:hAnsi="宋体" w:cs="宋体"/>
          <w:bCs/>
          <w:color w:val="auto"/>
          <w:sz w:val="28"/>
          <w:szCs w:val="28"/>
          <w:highlight w:val="none"/>
        </w:rPr>
      </w:pPr>
    </w:p>
    <w:p w14:paraId="5DE0D423">
      <w:pPr>
        <w:spacing w:line="400" w:lineRule="exact"/>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加盖CA电子签章</w:t>
      </w:r>
      <w:r>
        <w:rPr>
          <w:rFonts w:hint="eastAsia" w:ascii="宋体" w:hAnsi="宋体" w:cs="宋体"/>
          <w:bCs/>
          <w:color w:val="auto"/>
          <w:sz w:val="28"/>
          <w:szCs w:val="28"/>
          <w:highlight w:val="none"/>
        </w:rPr>
        <w:t>）：</w:t>
      </w:r>
    </w:p>
    <w:p w14:paraId="1E5FECCC">
      <w:pPr>
        <w:spacing w:line="400" w:lineRule="exact"/>
        <w:ind w:firstLine="560" w:firstLineChars="200"/>
        <w:jc w:val="right"/>
        <w:rPr>
          <w:rFonts w:ascii="宋体" w:hAnsi="宋体" w:cs="宋体"/>
          <w:bCs/>
          <w:color w:val="auto"/>
          <w:sz w:val="28"/>
          <w:szCs w:val="28"/>
          <w:highlight w:val="none"/>
        </w:rPr>
      </w:pPr>
    </w:p>
    <w:p w14:paraId="7144A687">
      <w:pPr>
        <w:spacing w:line="400" w:lineRule="exact"/>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年月日</w:t>
      </w:r>
    </w:p>
    <w:p w14:paraId="6DB32264">
      <w:pPr>
        <w:snapToGrid w:val="0"/>
        <w:spacing w:line="400" w:lineRule="exact"/>
        <w:ind w:firstLine="540" w:firstLineChars="192"/>
        <w:contextualSpacing/>
        <w:rPr>
          <w:rFonts w:ascii="宋体" w:hAnsi="宋体" w:cs="宋体"/>
          <w:b/>
          <w:color w:val="auto"/>
          <w:kern w:val="0"/>
          <w:sz w:val="28"/>
          <w:szCs w:val="28"/>
          <w:highlight w:val="none"/>
        </w:rPr>
      </w:pPr>
    </w:p>
    <w:p w14:paraId="4EBE859C">
      <w:pPr>
        <w:snapToGrid w:val="0"/>
        <w:spacing w:line="400" w:lineRule="exact"/>
        <w:ind w:firstLine="540" w:firstLineChars="192"/>
        <w:contextualSpacing/>
        <w:rPr>
          <w:rFonts w:ascii="宋体" w:hAnsi="宋体" w:cs="宋体"/>
          <w:b/>
          <w:color w:val="auto"/>
          <w:kern w:val="0"/>
          <w:sz w:val="28"/>
          <w:szCs w:val="28"/>
          <w:highlight w:val="none"/>
          <w:lang w:val="zh-CN"/>
        </w:rPr>
      </w:pPr>
    </w:p>
    <w:p w14:paraId="19A0ADA7">
      <w:pPr>
        <w:snapToGrid w:val="0"/>
        <w:spacing w:line="400" w:lineRule="exact"/>
        <w:ind w:firstLine="540" w:firstLineChars="192"/>
        <w:contextualSpacing/>
        <w:rPr>
          <w:rFonts w:ascii="宋体" w:hAnsi="宋体" w:cs="宋体"/>
          <w:b/>
          <w:color w:val="auto"/>
          <w:kern w:val="0"/>
          <w:sz w:val="28"/>
          <w:szCs w:val="28"/>
          <w:highlight w:val="none"/>
          <w:lang w:val="zh-CN"/>
        </w:rPr>
      </w:pPr>
    </w:p>
    <w:p w14:paraId="35781899">
      <w:pPr>
        <w:snapToGrid w:val="0"/>
        <w:spacing w:line="400" w:lineRule="exact"/>
        <w:contextualSpacing/>
        <w:rPr>
          <w:rFonts w:ascii="宋体" w:hAnsi="宋体" w:cs="宋体"/>
          <w:color w:val="auto"/>
          <w:kern w:val="0"/>
          <w:sz w:val="32"/>
          <w:szCs w:val="32"/>
          <w:highlight w:val="none"/>
          <w:lang w:val="zh-CN"/>
        </w:rPr>
      </w:pPr>
    </w:p>
    <w:p w14:paraId="3E79BECF">
      <w:pPr>
        <w:snapToGrid w:val="0"/>
        <w:spacing w:line="460" w:lineRule="exact"/>
        <w:contextualSpacing/>
        <w:outlineLvl w:val="3"/>
        <w:rPr>
          <w:rFonts w:hint="eastAsia" w:ascii="宋体" w:hAnsi="宋体" w:cs="宋体"/>
          <w:color w:val="auto"/>
          <w:kern w:val="0"/>
          <w:sz w:val="28"/>
          <w:szCs w:val="28"/>
          <w:highlight w:val="none"/>
          <w:lang w:val="zh-CN"/>
        </w:rPr>
      </w:pPr>
    </w:p>
    <w:p w14:paraId="7754FFB7">
      <w:pPr>
        <w:snapToGrid w:val="0"/>
        <w:spacing w:line="460" w:lineRule="exact"/>
        <w:contextualSpacing/>
        <w:outlineLvl w:val="3"/>
        <w:rPr>
          <w:rFonts w:hint="eastAsia" w:ascii="宋体" w:hAnsi="宋体" w:cs="宋体"/>
          <w:color w:val="auto"/>
          <w:kern w:val="0"/>
          <w:sz w:val="28"/>
          <w:szCs w:val="28"/>
          <w:highlight w:val="none"/>
          <w:lang w:val="zh-CN"/>
        </w:rPr>
      </w:pPr>
    </w:p>
    <w:p w14:paraId="0038E1AE">
      <w:pPr>
        <w:snapToGrid w:val="0"/>
        <w:spacing w:line="460" w:lineRule="exact"/>
        <w:contextualSpacing/>
        <w:outlineLvl w:val="3"/>
        <w:rPr>
          <w:rFonts w:hint="eastAsia" w:ascii="宋体" w:hAnsi="宋体" w:eastAsia="宋体" w:cs="宋体"/>
          <w:b/>
          <w:bCs/>
          <w:color w:val="auto"/>
          <w:sz w:val="28"/>
          <w:szCs w:val="28"/>
          <w:highlight w:val="none"/>
          <w:lang w:eastAsia="zh-CN"/>
        </w:rPr>
      </w:pPr>
      <w:r>
        <w:rPr>
          <w:rFonts w:hint="eastAsia" w:ascii="宋体" w:hAnsi="宋体" w:cs="宋体"/>
          <w:color w:val="auto"/>
          <w:kern w:val="0"/>
          <w:sz w:val="28"/>
          <w:szCs w:val="28"/>
          <w:highlight w:val="none"/>
          <w:lang w:val="zh-CN"/>
        </w:rPr>
        <w:t>附件</w:t>
      </w:r>
      <w:r>
        <w:rPr>
          <w:rFonts w:hint="eastAsia" w:ascii="宋体" w:hAnsi="宋体" w:cs="宋体"/>
          <w:color w:val="auto"/>
          <w:kern w:val="0"/>
          <w:sz w:val="28"/>
          <w:szCs w:val="28"/>
          <w:highlight w:val="none"/>
          <w:lang w:val="en-US" w:eastAsia="zh-CN"/>
        </w:rPr>
        <w:t>8</w:t>
      </w:r>
    </w:p>
    <w:p w14:paraId="63E148C2">
      <w:pPr>
        <w:spacing w:line="460" w:lineRule="exact"/>
        <w:jc w:val="center"/>
        <w:rPr>
          <w:rFonts w:ascii="宋体" w:hAnsi="宋体" w:cs="宋体"/>
          <w:b/>
          <w:bCs/>
          <w:color w:val="auto"/>
          <w:sz w:val="28"/>
          <w:szCs w:val="28"/>
          <w:highlight w:val="none"/>
        </w:rPr>
      </w:pPr>
    </w:p>
    <w:p w14:paraId="1D087216">
      <w:pPr>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7F40FDEA">
      <w:pPr>
        <w:spacing w:line="460" w:lineRule="exact"/>
        <w:rPr>
          <w:rFonts w:ascii="宋体" w:hAnsi="宋体" w:cs="宋体"/>
          <w:color w:val="auto"/>
          <w:sz w:val="28"/>
          <w:szCs w:val="28"/>
          <w:highlight w:val="none"/>
        </w:rPr>
      </w:pPr>
    </w:p>
    <w:p w14:paraId="0D35C61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先生/女士： 现任我单位职务，为法定代表人，特此证明。</w:t>
      </w:r>
    </w:p>
    <w:p w14:paraId="4725521F">
      <w:pPr>
        <w:spacing w:line="460" w:lineRule="exact"/>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p>
    <w:p w14:paraId="660BC231">
      <w:pPr>
        <w:spacing w:line="460" w:lineRule="exact"/>
        <w:ind w:firstLine="480"/>
        <w:rPr>
          <w:rFonts w:ascii="宋体" w:hAnsi="宋体" w:cs="宋体"/>
          <w:color w:val="auto"/>
          <w:sz w:val="28"/>
          <w:szCs w:val="28"/>
          <w:highlight w:val="none"/>
        </w:rPr>
      </w:pPr>
    </w:p>
    <w:p w14:paraId="5A31C8FE">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注：提供法定代表人的身份证复印件</w:t>
      </w:r>
    </w:p>
    <w:p w14:paraId="39727593">
      <w:pPr>
        <w:spacing w:line="460" w:lineRule="exact"/>
        <w:ind w:firstLine="560" w:firstLineChars="200"/>
        <w:rPr>
          <w:rFonts w:ascii="宋体" w:hAnsi="宋体" w:cs="宋体"/>
          <w:color w:val="auto"/>
          <w:sz w:val="28"/>
          <w:szCs w:val="28"/>
          <w:highlight w:val="none"/>
        </w:rPr>
      </w:pPr>
    </w:p>
    <w:p w14:paraId="1FAF5DAF">
      <w:pPr>
        <w:rPr>
          <w:rFonts w:ascii="宋体" w:hAnsi="宋体" w:cs="宋体"/>
          <w:color w:val="auto"/>
          <w:highlight w:val="none"/>
        </w:rPr>
      </w:pPr>
    </w:p>
    <w:p w14:paraId="653515C4">
      <w:pPr>
        <w:snapToGrid w:val="0"/>
        <w:spacing w:line="400" w:lineRule="exact"/>
        <w:ind w:firstLine="540" w:firstLineChars="192"/>
        <w:contextualSpacing/>
        <w:rPr>
          <w:rFonts w:ascii="宋体" w:hAnsi="宋体" w:cs="宋体"/>
          <w:b/>
          <w:color w:val="auto"/>
          <w:kern w:val="0"/>
          <w:sz w:val="28"/>
          <w:szCs w:val="28"/>
          <w:highlight w:val="none"/>
        </w:rPr>
      </w:pPr>
    </w:p>
    <w:p w14:paraId="7C627FA6">
      <w:pPr>
        <w:snapToGrid w:val="0"/>
        <w:spacing w:line="400" w:lineRule="exact"/>
        <w:ind w:firstLine="540" w:firstLineChars="192"/>
        <w:contextualSpacing/>
        <w:rPr>
          <w:rFonts w:ascii="宋体" w:hAnsi="宋体" w:cs="宋体"/>
          <w:b/>
          <w:color w:val="auto"/>
          <w:kern w:val="0"/>
          <w:sz w:val="28"/>
          <w:szCs w:val="28"/>
          <w:highlight w:val="none"/>
          <w:lang w:val="zh-CN"/>
        </w:rPr>
      </w:pPr>
    </w:p>
    <w:p w14:paraId="0631EB62">
      <w:pPr>
        <w:snapToGrid w:val="0"/>
        <w:spacing w:line="400" w:lineRule="exact"/>
        <w:ind w:firstLine="540" w:firstLineChars="192"/>
        <w:contextualSpacing/>
        <w:rPr>
          <w:rFonts w:ascii="宋体" w:hAnsi="宋体" w:cs="宋体"/>
          <w:b/>
          <w:color w:val="auto"/>
          <w:kern w:val="0"/>
          <w:sz w:val="28"/>
          <w:szCs w:val="28"/>
          <w:highlight w:val="none"/>
          <w:lang w:val="zh-CN"/>
        </w:rPr>
      </w:pPr>
    </w:p>
    <w:p w14:paraId="18DD2594">
      <w:pPr>
        <w:snapToGrid w:val="0"/>
        <w:spacing w:line="400" w:lineRule="exact"/>
        <w:ind w:firstLine="540" w:firstLineChars="192"/>
        <w:contextualSpacing/>
        <w:rPr>
          <w:rFonts w:ascii="宋体" w:hAnsi="宋体" w:cs="宋体"/>
          <w:b/>
          <w:color w:val="auto"/>
          <w:kern w:val="0"/>
          <w:sz w:val="28"/>
          <w:szCs w:val="28"/>
          <w:highlight w:val="none"/>
          <w:lang w:val="zh-CN"/>
        </w:rPr>
      </w:pPr>
    </w:p>
    <w:p w14:paraId="4F85562F">
      <w:pPr>
        <w:snapToGrid w:val="0"/>
        <w:spacing w:line="400" w:lineRule="exact"/>
        <w:ind w:firstLine="540" w:firstLineChars="192"/>
        <w:contextualSpacing/>
        <w:rPr>
          <w:rFonts w:ascii="宋体" w:hAnsi="宋体" w:cs="宋体"/>
          <w:b/>
          <w:color w:val="auto"/>
          <w:kern w:val="0"/>
          <w:sz w:val="28"/>
          <w:szCs w:val="28"/>
          <w:highlight w:val="none"/>
          <w:lang w:val="zh-CN"/>
        </w:rPr>
      </w:pPr>
    </w:p>
    <w:p w14:paraId="49A181D9">
      <w:pPr>
        <w:snapToGrid w:val="0"/>
        <w:spacing w:line="400" w:lineRule="exact"/>
        <w:ind w:firstLine="540" w:firstLineChars="192"/>
        <w:contextualSpacing/>
        <w:rPr>
          <w:rFonts w:ascii="宋体" w:hAnsi="宋体" w:cs="宋体"/>
          <w:b/>
          <w:color w:val="auto"/>
          <w:kern w:val="0"/>
          <w:sz w:val="28"/>
          <w:szCs w:val="28"/>
          <w:highlight w:val="none"/>
          <w:lang w:val="zh-CN"/>
        </w:rPr>
      </w:pPr>
    </w:p>
    <w:p w14:paraId="047F674C">
      <w:pPr>
        <w:snapToGrid w:val="0"/>
        <w:spacing w:line="400" w:lineRule="exact"/>
        <w:ind w:firstLine="540" w:firstLineChars="192"/>
        <w:contextualSpacing/>
        <w:rPr>
          <w:rFonts w:ascii="宋体" w:hAnsi="宋体" w:cs="宋体"/>
          <w:b/>
          <w:color w:val="auto"/>
          <w:kern w:val="0"/>
          <w:sz w:val="28"/>
          <w:szCs w:val="28"/>
          <w:highlight w:val="none"/>
          <w:lang w:val="zh-CN"/>
        </w:rPr>
      </w:pPr>
    </w:p>
    <w:p w14:paraId="6DEA6169">
      <w:pPr>
        <w:snapToGrid w:val="0"/>
        <w:spacing w:line="400" w:lineRule="exact"/>
        <w:ind w:firstLine="540" w:firstLineChars="192"/>
        <w:contextualSpacing/>
        <w:rPr>
          <w:rFonts w:ascii="宋体" w:hAnsi="宋体" w:cs="宋体"/>
          <w:b/>
          <w:color w:val="auto"/>
          <w:kern w:val="0"/>
          <w:sz w:val="28"/>
          <w:szCs w:val="28"/>
          <w:highlight w:val="none"/>
          <w:lang w:val="zh-CN"/>
        </w:rPr>
      </w:pPr>
    </w:p>
    <w:p w14:paraId="60F7A78E">
      <w:pPr>
        <w:snapToGrid w:val="0"/>
        <w:spacing w:line="400" w:lineRule="exact"/>
        <w:ind w:firstLine="540" w:firstLineChars="192"/>
        <w:contextualSpacing/>
        <w:rPr>
          <w:rFonts w:ascii="宋体" w:hAnsi="宋体" w:cs="宋体"/>
          <w:b/>
          <w:color w:val="auto"/>
          <w:kern w:val="0"/>
          <w:sz w:val="28"/>
          <w:szCs w:val="28"/>
          <w:highlight w:val="none"/>
          <w:lang w:val="zh-CN"/>
        </w:rPr>
      </w:pPr>
    </w:p>
    <w:p w14:paraId="393D0001">
      <w:pPr>
        <w:snapToGrid w:val="0"/>
        <w:spacing w:line="400" w:lineRule="exact"/>
        <w:ind w:firstLine="540" w:firstLineChars="192"/>
        <w:contextualSpacing/>
        <w:rPr>
          <w:rFonts w:ascii="宋体" w:hAnsi="宋体" w:cs="宋体"/>
          <w:b/>
          <w:color w:val="auto"/>
          <w:kern w:val="0"/>
          <w:sz w:val="28"/>
          <w:szCs w:val="28"/>
          <w:highlight w:val="none"/>
          <w:lang w:val="zh-CN"/>
        </w:rPr>
      </w:pPr>
    </w:p>
    <w:p w14:paraId="2CFD0454">
      <w:pPr>
        <w:snapToGrid w:val="0"/>
        <w:spacing w:line="400" w:lineRule="exact"/>
        <w:ind w:firstLine="540" w:firstLineChars="192"/>
        <w:contextualSpacing/>
        <w:rPr>
          <w:rFonts w:ascii="宋体" w:hAnsi="宋体" w:cs="宋体"/>
          <w:b/>
          <w:color w:val="auto"/>
          <w:kern w:val="0"/>
          <w:sz w:val="28"/>
          <w:szCs w:val="28"/>
          <w:highlight w:val="none"/>
          <w:lang w:val="zh-CN"/>
        </w:rPr>
      </w:pPr>
    </w:p>
    <w:p w14:paraId="7EF2510A">
      <w:pPr>
        <w:snapToGrid w:val="0"/>
        <w:spacing w:line="400" w:lineRule="exact"/>
        <w:ind w:firstLine="540" w:firstLineChars="192"/>
        <w:contextualSpacing/>
        <w:rPr>
          <w:rFonts w:ascii="宋体" w:hAnsi="宋体" w:cs="宋体"/>
          <w:b/>
          <w:color w:val="auto"/>
          <w:kern w:val="0"/>
          <w:sz w:val="28"/>
          <w:szCs w:val="28"/>
          <w:highlight w:val="none"/>
          <w:lang w:val="zh-CN"/>
        </w:rPr>
      </w:pPr>
    </w:p>
    <w:p w14:paraId="3FF056F4">
      <w:pPr>
        <w:snapToGrid w:val="0"/>
        <w:spacing w:line="400" w:lineRule="exact"/>
        <w:ind w:firstLine="540" w:firstLineChars="192"/>
        <w:contextualSpacing/>
        <w:rPr>
          <w:rFonts w:ascii="宋体" w:hAnsi="宋体" w:cs="宋体"/>
          <w:b/>
          <w:color w:val="auto"/>
          <w:kern w:val="0"/>
          <w:sz w:val="28"/>
          <w:szCs w:val="28"/>
          <w:highlight w:val="none"/>
          <w:lang w:val="zh-CN"/>
        </w:rPr>
      </w:pPr>
    </w:p>
    <w:p w14:paraId="3396D106">
      <w:pPr>
        <w:snapToGrid w:val="0"/>
        <w:spacing w:line="400" w:lineRule="exact"/>
        <w:ind w:firstLine="540" w:firstLineChars="192"/>
        <w:contextualSpacing/>
        <w:rPr>
          <w:rFonts w:ascii="宋体" w:hAnsi="宋体" w:cs="宋体"/>
          <w:b/>
          <w:color w:val="auto"/>
          <w:kern w:val="0"/>
          <w:sz w:val="28"/>
          <w:szCs w:val="28"/>
          <w:highlight w:val="none"/>
          <w:lang w:val="zh-CN"/>
        </w:rPr>
      </w:pPr>
    </w:p>
    <w:p w14:paraId="3B5F8B60">
      <w:pPr>
        <w:snapToGrid w:val="0"/>
        <w:spacing w:line="400" w:lineRule="exact"/>
        <w:ind w:firstLine="540" w:firstLineChars="192"/>
        <w:contextualSpacing/>
        <w:rPr>
          <w:rFonts w:ascii="宋体" w:hAnsi="宋体" w:cs="宋体"/>
          <w:b/>
          <w:color w:val="auto"/>
          <w:kern w:val="0"/>
          <w:sz w:val="28"/>
          <w:szCs w:val="28"/>
          <w:highlight w:val="none"/>
          <w:lang w:val="zh-CN"/>
        </w:rPr>
      </w:pPr>
    </w:p>
    <w:p w14:paraId="10F10FDA">
      <w:pPr>
        <w:snapToGrid w:val="0"/>
        <w:spacing w:line="400" w:lineRule="exact"/>
        <w:ind w:firstLine="540" w:firstLineChars="192"/>
        <w:contextualSpacing/>
        <w:rPr>
          <w:rFonts w:ascii="宋体" w:hAnsi="宋体" w:cs="宋体"/>
          <w:b/>
          <w:color w:val="auto"/>
          <w:kern w:val="0"/>
          <w:sz w:val="28"/>
          <w:szCs w:val="28"/>
          <w:highlight w:val="none"/>
          <w:lang w:val="zh-CN"/>
        </w:rPr>
      </w:pPr>
    </w:p>
    <w:p w14:paraId="36B12252">
      <w:pPr>
        <w:snapToGrid w:val="0"/>
        <w:spacing w:line="400" w:lineRule="exact"/>
        <w:ind w:firstLine="540" w:firstLineChars="192"/>
        <w:contextualSpacing/>
        <w:rPr>
          <w:rFonts w:ascii="宋体" w:hAnsi="宋体" w:cs="宋体"/>
          <w:b/>
          <w:color w:val="auto"/>
          <w:kern w:val="0"/>
          <w:sz w:val="28"/>
          <w:szCs w:val="28"/>
          <w:highlight w:val="none"/>
          <w:lang w:val="zh-CN"/>
        </w:rPr>
      </w:pPr>
    </w:p>
    <w:p w14:paraId="12C5D347">
      <w:pPr>
        <w:snapToGrid w:val="0"/>
        <w:spacing w:line="400" w:lineRule="exact"/>
        <w:ind w:firstLine="540" w:firstLineChars="192"/>
        <w:contextualSpacing/>
        <w:rPr>
          <w:rFonts w:ascii="宋体" w:hAnsi="宋体" w:cs="宋体"/>
          <w:b/>
          <w:color w:val="auto"/>
          <w:kern w:val="0"/>
          <w:sz w:val="28"/>
          <w:szCs w:val="28"/>
          <w:highlight w:val="none"/>
          <w:lang w:val="zh-CN"/>
        </w:rPr>
      </w:pPr>
    </w:p>
    <w:p w14:paraId="0300978D">
      <w:pPr>
        <w:snapToGrid w:val="0"/>
        <w:spacing w:line="400" w:lineRule="exact"/>
        <w:ind w:firstLine="540" w:firstLineChars="192"/>
        <w:contextualSpacing/>
        <w:rPr>
          <w:rFonts w:ascii="宋体" w:hAnsi="宋体" w:cs="宋体"/>
          <w:b/>
          <w:color w:val="auto"/>
          <w:kern w:val="0"/>
          <w:sz w:val="28"/>
          <w:szCs w:val="28"/>
          <w:highlight w:val="none"/>
          <w:lang w:val="zh-CN"/>
        </w:rPr>
      </w:pPr>
    </w:p>
    <w:p w14:paraId="43BB0F6A">
      <w:pPr>
        <w:snapToGrid w:val="0"/>
        <w:spacing w:line="400" w:lineRule="exact"/>
        <w:ind w:firstLine="540" w:firstLineChars="192"/>
        <w:contextualSpacing/>
        <w:rPr>
          <w:rFonts w:ascii="宋体" w:hAnsi="宋体" w:cs="宋体"/>
          <w:b/>
          <w:color w:val="auto"/>
          <w:kern w:val="0"/>
          <w:sz w:val="28"/>
          <w:szCs w:val="28"/>
          <w:highlight w:val="none"/>
          <w:lang w:val="zh-CN"/>
        </w:rPr>
      </w:pPr>
    </w:p>
    <w:p w14:paraId="5A32B9C5">
      <w:pPr>
        <w:snapToGrid w:val="0"/>
        <w:spacing w:line="400" w:lineRule="exact"/>
        <w:contextualSpacing/>
        <w:rPr>
          <w:rFonts w:ascii="宋体" w:hAnsi="宋体" w:cs="宋体"/>
          <w:color w:val="auto"/>
          <w:kern w:val="0"/>
          <w:sz w:val="32"/>
          <w:szCs w:val="32"/>
          <w:highlight w:val="none"/>
          <w:lang w:val="zh-CN"/>
        </w:rPr>
      </w:pPr>
    </w:p>
    <w:p w14:paraId="7D505C4B">
      <w:pPr>
        <w:snapToGrid w:val="0"/>
        <w:spacing w:line="400" w:lineRule="exact"/>
        <w:contextualSpacing/>
        <w:rPr>
          <w:rFonts w:ascii="宋体" w:hAnsi="宋体" w:cs="宋体"/>
          <w:color w:val="auto"/>
          <w:kern w:val="0"/>
          <w:sz w:val="32"/>
          <w:szCs w:val="32"/>
          <w:highlight w:val="none"/>
          <w:lang w:val="zh-CN"/>
        </w:rPr>
      </w:pPr>
    </w:p>
    <w:p w14:paraId="62B63E5F">
      <w:pPr>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br w:type="page"/>
      </w:r>
    </w:p>
    <w:p w14:paraId="5B9AF0A3">
      <w:pPr>
        <w:snapToGrid w:val="0"/>
        <w:spacing w:line="460" w:lineRule="exact"/>
        <w:contextualSpacing/>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zh-CN"/>
        </w:rPr>
        <w:t>附件</w:t>
      </w:r>
      <w:r>
        <w:rPr>
          <w:rFonts w:hint="eastAsia" w:ascii="宋体" w:hAnsi="宋体" w:cs="宋体"/>
          <w:color w:val="auto"/>
          <w:kern w:val="0"/>
          <w:sz w:val="28"/>
          <w:szCs w:val="28"/>
          <w:highlight w:val="none"/>
          <w:lang w:val="en-US" w:eastAsia="zh-CN"/>
        </w:rPr>
        <w:t>9</w:t>
      </w:r>
    </w:p>
    <w:p w14:paraId="450CF557">
      <w:pPr>
        <w:spacing w:line="460" w:lineRule="exact"/>
        <w:jc w:val="center"/>
        <w:rPr>
          <w:rFonts w:ascii="宋体" w:hAnsi="宋体" w:cs="宋体"/>
          <w:color w:val="auto"/>
          <w:sz w:val="28"/>
          <w:szCs w:val="28"/>
          <w:highlight w:val="none"/>
        </w:rPr>
      </w:pPr>
    </w:p>
    <w:p w14:paraId="518AA392">
      <w:pPr>
        <w:spacing w:line="460" w:lineRule="exact"/>
        <w:ind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6447ACEC">
      <w:pPr>
        <w:spacing w:line="460" w:lineRule="exact"/>
        <w:ind w:firstLine="560" w:firstLineChars="200"/>
        <w:rPr>
          <w:rFonts w:ascii="宋体" w:hAnsi="宋体" w:cs="宋体"/>
          <w:color w:val="auto"/>
          <w:sz w:val="28"/>
          <w:szCs w:val="28"/>
          <w:highlight w:val="none"/>
        </w:rPr>
      </w:pPr>
    </w:p>
    <w:p w14:paraId="3FA4F0A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5F5BCDF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56DDE70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代理人(被授权人姓名):------</w:t>
      </w:r>
    </w:p>
    <w:p w14:paraId="6F9CBA5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代理人联系方式：</w:t>
      </w:r>
    </w:p>
    <w:p w14:paraId="311A57A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2D09137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67652D18">
      <w:pPr>
        <w:spacing w:line="460" w:lineRule="exact"/>
        <w:ind w:firstLine="560" w:firstLineChars="200"/>
        <w:jc w:val="right"/>
        <w:rPr>
          <w:rFonts w:ascii="宋体" w:hAnsi="宋体" w:cs="宋体"/>
          <w:color w:val="auto"/>
          <w:sz w:val="28"/>
          <w:szCs w:val="28"/>
          <w:highlight w:val="none"/>
        </w:rPr>
      </w:pPr>
    </w:p>
    <w:p w14:paraId="690458A5">
      <w:pPr>
        <w:spacing w:line="460" w:lineRule="exact"/>
        <w:ind w:firstLine="560" w:firstLineChars="200"/>
        <w:jc w:val="right"/>
        <w:rPr>
          <w:rFonts w:ascii="宋体" w:hAnsi="宋体" w:cs="宋体"/>
          <w:color w:val="auto"/>
          <w:sz w:val="28"/>
          <w:szCs w:val="28"/>
          <w:highlight w:val="none"/>
        </w:rPr>
      </w:pPr>
    </w:p>
    <w:p w14:paraId="115E311E">
      <w:pPr>
        <w:spacing w:line="460" w:lineRule="exact"/>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27638FE7">
      <w:pPr>
        <w:snapToGrid w:val="0"/>
        <w:spacing w:line="460" w:lineRule="exact"/>
        <w:ind w:firstLine="562" w:firstLineChars="200"/>
        <w:contextualSpacing/>
        <w:rPr>
          <w:rFonts w:ascii="宋体" w:hAnsi="宋体" w:cs="宋体"/>
          <w:b/>
          <w:color w:val="auto"/>
          <w:kern w:val="0"/>
          <w:sz w:val="28"/>
          <w:szCs w:val="28"/>
          <w:highlight w:val="none"/>
        </w:rPr>
      </w:pPr>
    </w:p>
    <w:p w14:paraId="7ABE140A">
      <w:pPr>
        <w:snapToGrid w:val="0"/>
        <w:spacing w:line="460" w:lineRule="exact"/>
        <w:ind w:firstLine="562" w:firstLineChars="200"/>
        <w:contextualSpacing/>
        <w:rPr>
          <w:rFonts w:ascii="宋体" w:hAnsi="宋体" w:cs="宋体"/>
          <w:b/>
          <w:color w:val="auto"/>
          <w:kern w:val="0"/>
          <w:sz w:val="28"/>
          <w:szCs w:val="28"/>
          <w:highlight w:val="none"/>
        </w:rPr>
      </w:pPr>
    </w:p>
    <w:p w14:paraId="07A99F7D">
      <w:pPr>
        <w:snapToGrid w:val="0"/>
        <w:spacing w:line="460" w:lineRule="exact"/>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注：提供投标代表本人身份证复印件</w:t>
      </w:r>
    </w:p>
    <w:p w14:paraId="18CF7D3F">
      <w:pPr>
        <w:snapToGrid w:val="0"/>
        <w:spacing w:line="460" w:lineRule="exact"/>
        <w:ind w:firstLine="562" w:firstLineChars="200"/>
        <w:contextualSpacing/>
        <w:rPr>
          <w:rFonts w:ascii="宋体" w:hAnsi="宋体" w:cs="宋体"/>
          <w:b/>
          <w:color w:val="auto"/>
          <w:kern w:val="0"/>
          <w:sz w:val="28"/>
          <w:szCs w:val="28"/>
          <w:highlight w:val="none"/>
        </w:rPr>
      </w:pPr>
    </w:p>
    <w:p w14:paraId="35D2A18F">
      <w:pPr>
        <w:snapToGrid w:val="0"/>
        <w:spacing w:line="400" w:lineRule="exact"/>
        <w:ind w:firstLine="540" w:firstLineChars="192"/>
        <w:contextualSpacing/>
        <w:rPr>
          <w:rFonts w:ascii="宋体" w:hAnsi="宋体" w:cs="宋体"/>
          <w:b/>
          <w:color w:val="auto"/>
          <w:kern w:val="0"/>
          <w:sz w:val="28"/>
          <w:szCs w:val="28"/>
          <w:highlight w:val="none"/>
        </w:rPr>
      </w:pPr>
    </w:p>
    <w:p w14:paraId="29EAC16F">
      <w:pPr>
        <w:snapToGrid w:val="0"/>
        <w:spacing w:line="400" w:lineRule="exact"/>
        <w:ind w:firstLine="540" w:firstLineChars="192"/>
        <w:contextualSpacing/>
        <w:rPr>
          <w:rFonts w:ascii="宋体" w:hAnsi="宋体" w:cs="宋体"/>
          <w:b/>
          <w:color w:val="auto"/>
          <w:kern w:val="0"/>
          <w:sz w:val="28"/>
          <w:szCs w:val="28"/>
          <w:highlight w:val="none"/>
        </w:rPr>
      </w:pPr>
    </w:p>
    <w:p w14:paraId="4D4290A7">
      <w:pPr>
        <w:snapToGrid w:val="0"/>
        <w:spacing w:line="400" w:lineRule="exact"/>
        <w:ind w:firstLine="540" w:firstLineChars="192"/>
        <w:contextualSpacing/>
        <w:rPr>
          <w:rFonts w:ascii="宋体" w:hAnsi="宋体" w:cs="宋体"/>
          <w:b/>
          <w:color w:val="auto"/>
          <w:kern w:val="0"/>
          <w:sz w:val="28"/>
          <w:szCs w:val="28"/>
          <w:highlight w:val="none"/>
        </w:rPr>
      </w:pPr>
    </w:p>
    <w:p w14:paraId="2B1EC627">
      <w:pPr>
        <w:snapToGrid w:val="0"/>
        <w:spacing w:line="400" w:lineRule="exact"/>
        <w:ind w:firstLine="540" w:firstLineChars="192"/>
        <w:contextualSpacing/>
        <w:rPr>
          <w:rFonts w:ascii="宋体" w:hAnsi="宋体" w:cs="宋体"/>
          <w:b/>
          <w:color w:val="auto"/>
          <w:kern w:val="0"/>
          <w:sz w:val="28"/>
          <w:szCs w:val="28"/>
          <w:highlight w:val="none"/>
        </w:rPr>
      </w:pPr>
    </w:p>
    <w:p w14:paraId="13A8651A">
      <w:pPr>
        <w:snapToGrid w:val="0"/>
        <w:spacing w:line="400" w:lineRule="exact"/>
        <w:ind w:firstLine="540" w:firstLineChars="192"/>
        <w:contextualSpacing/>
        <w:rPr>
          <w:rFonts w:ascii="宋体" w:hAnsi="宋体" w:cs="宋体"/>
          <w:b/>
          <w:color w:val="auto"/>
          <w:kern w:val="0"/>
          <w:sz w:val="28"/>
          <w:szCs w:val="28"/>
          <w:highlight w:val="none"/>
        </w:rPr>
      </w:pPr>
    </w:p>
    <w:p w14:paraId="222F0494">
      <w:pPr>
        <w:snapToGrid w:val="0"/>
        <w:spacing w:line="400" w:lineRule="exact"/>
        <w:ind w:firstLine="540" w:firstLineChars="192"/>
        <w:contextualSpacing/>
        <w:rPr>
          <w:rFonts w:ascii="宋体" w:hAnsi="宋体" w:cs="宋体"/>
          <w:b/>
          <w:color w:val="auto"/>
          <w:kern w:val="0"/>
          <w:sz w:val="28"/>
          <w:szCs w:val="28"/>
          <w:highlight w:val="none"/>
        </w:rPr>
      </w:pPr>
    </w:p>
    <w:p w14:paraId="502D4855">
      <w:pPr>
        <w:snapToGrid w:val="0"/>
        <w:spacing w:line="400" w:lineRule="exact"/>
        <w:ind w:firstLine="537" w:firstLineChars="192"/>
        <w:contextualSpacing/>
        <w:rPr>
          <w:rFonts w:ascii="宋体" w:hAnsi="宋体" w:cs="宋体"/>
          <w:color w:val="auto"/>
          <w:sz w:val="28"/>
          <w:szCs w:val="28"/>
          <w:highlight w:val="none"/>
        </w:rPr>
      </w:pPr>
    </w:p>
    <w:p w14:paraId="59112917">
      <w:pPr>
        <w:snapToGrid w:val="0"/>
        <w:spacing w:line="400" w:lineRule="exact"/>
        <w:ind w:firstLine="537" w:firstLineChars="192"/>
        <w:contextualSpacing/>
        <w:rPr>
          <w:rFonts w:ascii="宋体" w:hAnsi="宋体" w:cs="宋体"/>
          <w:color w:val="auto"/>
          <w:sz w:val="28"/>
          <w:szCs w:val="28"/>
          <w:highlight w:val="none"/>
        </w:rPr>
      </w:pPr>
    </w:p>
    <w:p w14:paraId="1FCC7D98">
      <w:pPr>
        <w:snapToGrid w:val="0"/>
        <w:spacing w:line="400" w:lineRule="exact"/>
        <w:ind w:firstLine="540" w:firstLineChars="192"/>
        <w:contextualSpacing/>
        <w:rPr>
          <w:rFonts w:ascii="宋体" w:hAnsi="宋体" w:cs="宋体"/>
          <w:b/>
          <w:color w:val="auto"/>
          <w:kern w:val="0"/>
          <w:sz w:val="28"/>
          <w:szCs w:val="28"/>
          <w:highlight w:val="none"/>
        </w:rPr>
      </w:pPr>
    </w:p>
    <w:p w14:paraId="6E8FB4E9">
      <w:pP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br w:type="page"/>
      </w:r>
    </w:p>
    <w:p w14:paraId="49A43548">
      <w:pPr>
        <w:snapToGrid w:val="0"/>
        <w:spacing w:line="400" w:lineRule="exact"/>
        <w:contextualSpacing/>
        <w:rPr>
          <w:rFonts w:hint="eastAsia" w:ascii="宋体" w:hAnsi="宋体" w:eastAsia="宋体" w:cs="宋体"/>
          <w:b/>
          <w:color w:val="auto"/>
          <w:sz w:val="28"/>
          <w:szCs w:val="28"/>
          <w:highlight w:val="none"/>
          <w:lang w:eastAsia="zh-CN"/>
        </w:rPr>
      </w:pPr>
      <w:r>
        <w:rPr>
          <w:rFonts w:hint="eastAsia" w:ascii="宋体" w:hAnsi="宋体" w:cs="宋体"/>
          <w:color w:val="auto"/>
          <w:kern w:val="0"/>
          <w:sz w:val="28"/>
          <w:szCs w:val="28"/>
          <w:highlight w:val="none"/>
        </w:rPr>
        <w:t>附件1</w:t>
      </w:r>
      <w:r>
        <w:rPr>
          <w:rFonts w:hint="eastAsia" w:ascii="宋体" w:hAnsi="宋体" w:cs="宋体"/>
          <w:color w:val="auto"/>
          <w:kern w:val="0"/>
          <w:sz w:val="28"/>
          <w:szCs w:val="28"/>
          <w:highlight w:val="none"/>
          <w:lang w:val="en-US" w:eastAsia="zh-CN"/>
        </w:rPr>
        <w:t>0</w:t>
      </w:r>
    </w:p>
    <w:p w14:paraId="08A86420">
      <w:pPr>
        <w:spacing w:line="460" w:lineRule="exact"/>
        <w:ind w:firstLine="281"/>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中小微企业声明函（货物类项目）</w:t>
      </w:r>
    </w:p>
    <w:p w14:paraId="283DC6E4">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本公司（联合体）郑重声明，根据《政府采购促进中小企业发展管理办法》(财库〔2020〕46号)的规定，本公司（联合体）参加</w:t>
      </w:r>
      <w:r>
        <w:rPr>
          <w:rFonts w:hint="eastAsia" w:ascii="宋体" w:hAnsi="宋体" w:cs="宋体"/>
          <w:color w:val="auto"/>
          <w:sz w:val="28"/>
          <w:szCs w:val="28"/>
          <w:highlight w:val="none"/>
          <w:u w:val="single"/>
        </w:rPr>
        <w:t>（采购单位名称）</w:t>
      </w:r>
      <w:r>
        <w:rPr>
          <w:rFonts w:hint="eastAsia" w:ascii="宋体" w:hAnsi="宋体" w:cs="宋体"/>
          <w:color w:val="auto"/>
          <w:sz w:val="28"/>
          <w:szCs w:val="28"/>
          <w:highlight w:val="none"/>
        </w:rPr>
        <w:t>采购编号为，</w:t>
      </w:r>
      <w:r>
        <w:rPr>
          <w:rFonts w:hint="eastAsia" w:ascii="宋体" w:hAnsi="宋体" w:cs="宋体"/>
          <w:color w:val="auto"/>
          <w:sz w:val="28"/>
          <w:szCs w:val="28"/>
          <w:highlight w:val="none"/>
          <w:u w:val="single"/>
        </w:rPr>
        <w:t>（项目名称）</w:t>
      </w:r>
      <w:r>
        <w:rPr>
          <w:rFonts w:hint="eastAsia" w:ascii="宋体" w:hAnsi="宋体" w:cs="宋体"/>
          <w:color w:val="auto"/>
          <w:sz w:val="28"/>
          <w:szCs w:val="28"/>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680F855">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（工频局放测试系统）</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7AC5B7A0">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（35kV及以下电缆局放屏蔽试验室）</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6A0B3784">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（（双路）电缆循环加热试验系统）</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50FDBFA9">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（冲击电压试验系统）</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0A468A58">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（介质损耗测试系统）</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6AED7C2B">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u w:val="single"/>
          <w:lang w:val="en-US" w:eastAsia="zh-CN"/>
        </w:rPr>
        <w:t>介质强度测试系统</w:t>
      </w:r>
      <w:r>
        <w:rPr>
          <w:rFonts w:hint="eastAsia" w:ascii="宋体" w:hAnsi="宋体" w:cs="宋体"/>
          <w:color w:val="auto"/>
          <w:sz w:val="28"/>
          <w:szCs w:val="28"/>
          <w:highlight w:val="none"/>
          <w:u w:val="single"/>
        </w:rPr>
        <w:t>）</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万元，属于</w:t>
      </w:r>
      <w:r>
        <w:rPr>
          <w:rFonts w:hint="eastAsia" w:ascii="宋体" w:hAnsi="宋体" w:cs="宋体"/>
          <w:color w:val="auto"/>
          <w:sz w:val="28"/>
          <w:szCs w:val="28"/>
          <w:highlight w:val="none"/>
          <w:u w:val="single"/>
        </w:rPr>
        <w:t>（□中型企业 □小型企业 □微型企业）；</w:t>
      </w:r>
    </w:p>
    <w:p w14:paraId="547480B1">
      <w:pPr>
        <w:spacing w:line="460" w:lineRule="exact"/>
        <w:ind w:firstLine="420"/>
        <w:rPr>
          <w:rFonts w:hint="eastAsia" w:ascii="宋体" w:hAnsi="宋体" w:cs="宋体"/>
          <w:color w:val="auto"/>
          <w:sz w:val="28"/>
          <w:szCs w:val="28"/>
          <w:highlight w:val="none"/>
        </w:rPr>
      </w:pPr>
    </w:p>
    <w:p w14:paraId="71770318">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以上企业，不属于大企业的分支机构，不存在控股股东为大企业的情形，也不存在与大企业的负责人为同一人的情形。</w:t>
      </w:r>
    </w:p>
    <w:p w14:paraId="7F9C9F2A">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本企业对上述声明内容的真实性负责。如有虚假，将依法承担相应责任</w:t>
      </w:r>
    </w:p>
    <w:p w14:paraId="7780D2B4">
      <w:pPr>
        <w:spacing w:line="460" w:lineRule="exact"/>
        <w:ind w:right="180" w:firstLine="420"/>
        <w:jc w:val="right"/>
        <w:rPr>
          <w:rFonts w:ascii="宋体" w:hAnsi="宋体" w:cs="宋体"/>
          <w:color w:val="auto"/>
          <w:sz w:val="28"/>
          <w:szCs w:val="28"/>
          <w:highlight w:val="none"/>
        </w:rPr>
      </w:pPr>
      <w:r>
        <w:rPr>
          <w:rFonts w:hint="eastAsia" w:ascii="宋体" w:hAnsi="宋体" w:cs="宋体"/>
          <w:color w:val="auto"/>
          <w:sz w:val="28"/>
          <w:szCs w:val="28"/>
          <w:highlight w:val="none"/>
        </w:rPr>
        <w:t>企业名称（加盖CA电子公章）：</w:t>
      </w:r>
    </w:p>
    <w:p w14:paraId="4FE9C753">
      <w:pPr>
        <w:spacing w:line="460" w:lineRule="exact"/>
        <w:ind w:right="480" w:firstLine="6300"/>
        <w:rPr>
          <w:rFonts w:ascii="宋体" w:hAnsi="宋体" w:cs="宋体"/>
          <w:color w:val="auto"/>
          <w:sz w:val="28"/>
          <w:szCs w:val="28"/>
          <w:highlight w:val="none"/>
        </w:rPr>
      </w:pPr>
      <w:r>
        <w:rPr>
          <w:rFonts w:hint="eastAsia" w:ascii="宋体" w:hAnsi="宋体" w:cs="宋体"/>
          <w:color w:val="auto"/>
          <w:sz w:val="28"/>
          <w:szCs w:val="28"/>
          <w:highlight w:val="none"/>
        </w:rPr>
        <w:t>日  期：</w:t>
      </w:r>
    </w:p>
    <w:p w14:paraId="75ED50EC">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7665487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1.从业人员、营业收入、资产总额填报上一年度数据，无上一年度数据的新成立企业可不填报。</w:t>
      </w:r>
    </w:p>
    <w:p w14:paraId="3232CE7C">
      <w:pPr>
        <w:spacing w:line="460" w:lineRule="exact"/>
        <w:ind w:firstLine="562"/>
        <w:rPr>
          <w:rFonts w:hint="eastAsia" w:ascii="宋体" w:hAnsi="宋体" w:cs="宋体"/>
          <w:b/>
          <w:color w:val="auto"/>
          <w:sz w:val="28"/>
          <w:szCs w:val="28"/>
          <w:highlight w:val="none"/>
        </w:rPr>
      </w:pPr>
      <w:r>
        <w:rPr>
          <w:rFonts w:hint="eastAsia" w:ascii="宋体" w:hAnsi="宋体" w:cs="宋体"/>
          <w:b w:val="0"/>
          <w:color w:val="auto"/>
          <w:sz w:val="28"/>
          <w:szCs w:val="28"/>
          <w:highlight w:val="none"/>
        </w:rPr>
        <w:t>2.</w:t>
      </w:r>
      <w:r>
        <w:rPr>
          <w:rFonts w:hint="eastAsia" w:ascii="宋体" w:hAnsi="宋体" w:cs="宋体"/>
          <w:b w:val="0"/>
          <w:color w:val="auto"/>
          <w:sz w:val="28"/>
          <w:szCs w:val="28"/>
          <w:highlight w:val="none"/>
          <w:lang w:eastAsia="zh-CN"/>
        </w:rPr>
        <w:t>本项目所属行业为</w:t>
      </w:r>
      <w:r>
        <w:rPr>
          <w:rFonts w:hint="eastAsia" w:ascii="宋体" w:hAnsi="宋体" w:eastAsia="宋体" w:cs="宋体"/>
          <w:b/>
          <w:bCs/>
          <w:i w:val="0"/>
          <w:iCs w:val="0"/>
          <w:caps w:val="0"/>
          <w:color w:val="auto"/>
          <w:spacing w:val="0"/>
          <w:sz w:val="28"/>
          <w:szCs w:val="28"/>
          <w:highlight w:val="none"/>
          <w:u w:val="single"/>
        </w:rPr>
        <w:t>工业</w:t>
      </w:r>
      <w:r>
        <w:rPr>
          <w:rFonts w:hint="eastAsia" w:ascii="宋体" w:hAnsi="宋体" w:eastAsia="宋体" w:cs="宋体"/>
          <w:i w:val="0"/>
          <w:iCs w:val="0"/>
          <w:caps w:val="0"/>
          <w:color w:val="auto"/>
          <w:spacing w:val="0"/>
          <w:sz w:val="28"/>
          <w:szCs w:val="28"/>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3DEC199">
      <w:pPr>
        <w:spacing w:line="46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专门面向中小微型企业采购的项目，投标人如不提供此声明函，则不能通过资格审查；非专门面向中小微型企业采购的项目，投标人如不提供此声明函，价格将不做相应扣除。</w:t>
      </w:r>
    </w:p>
    <w:p w14:paraId="1F922225">
      <w:pPr>
        <w:spacing w:line="460" w:lineRule="exact"/>
        <w:ind w:left="560" w:hanging="140"/>
        <w:outlineLvl w:val="2"/>
        <w:rPr>
          <w:rFonts w:ascii="宋体" w:hAnsi="宋体" w:cs="宋体"/>
          <w:color w:val="auto"/>
          <w:sz w:val="28"/>
          <w:szCs w:val="28"/>
          <w:highlight w:val="none"/>
        </w:rPr>
      </w:pPr>
      <w:bookmarkStart w:id="175" w:name="_Toc28642"/>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.投标人自行勾选制造商的企业规模类型。</w:t>
      </w:r>
      <w:bookmarkEnd w:id="175"/>
    </w:p>
    <w:p w14:paraId="53350FD5">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附件1</w:t>
      </w:r>
      <w:r>
        <w:rPr>
          <w:rFonts w:hint="eastAsia" w:ascii="宋体" w:hAnsi="宋体" w:cs="宋体"/>
          <w:b/>
          <w:color w:val="auto"/>
          <w:sz w:val="28"/>
          <w:szCs w:val="28"/>
          <w:highlight w:val="none"/>
          <w:lang w:val="en-US" w:eastAsia="zh-CN"/>
        </w:rPr>
        <w:t>1</w:t>
      </w:r>
    </w:p>
    <w:p w14:paraId="00E87681">
      <w:pPr>
        <w:spacing w:line="480" w:lineRule="exact"/>
        <w:ind w:left="561" w:hanging="141"/>
        <w:jc w:val="center"/>
        <w:outlineLvl w:val="1"/>
        <w:rPr>
          <w:rFonts w:ascii="宋体" w:hAnsi="宋体" w:cs="宋体"/>
          <w:color w:val="auto"/>
          <w:sz w:val="28"/>
          <w:szCs w:val="28"/>
          <w:highlight w:val="none"/>
        </w:rPr>
      </w:pPr>
      <w:bookmarkStart w:id="176" w:name="_Toc5882"/>
      <w:r>
        <w:rPr>
          <w:rFonts w:hint="eastAsia" w:ascii="宋体" w:hAnsi="宋体" w:cs="宋体"/>
          <w:b/>
          <w:color w:val="auto"/>
          <w:sz w:val="28"/>
          <w:szCs w:val="28"/>
          <w:highlight w:val="none"/>
        </w:rPr>
        <w:t>残疾人福利性单位声明函（货物类项目）（分包号：**）</w:t>
      </w:r>
      <w:bookmarkEnd w:id="176"/>
    </w:p>
    <w:p w14:paraId="35F7D1AC">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的项目（分包号：**）采购活动提供本单位制造的货物，或者提供其他残疾人福利性单位制造的货物（不包括使用非残疾人福利性单位注册商标的货物）。</w:t>
      </w:r>
    </w:p>
    <w:p w14:paraId="3FD9F0D6">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636D2CB7">
      <w:pPr>
        <w:spacing w:line="480" w:lineRule="exact"/>
        <w:ind w:firstLine="560"/>
        <w:rPr>
          <w:rFonts w:ascii="宋体" w:hAnsi="宋体" w:cs="宋体"/>
          <w:color w:val="auto"/>
          <w:sz w:val="28"/>
          <w:szCs w:val="28"/>
          <w:highlight w:val="none"/>
        </w:rPr>
      </w:pPr>
    </w:p>
    <w:p w14:paraId="23D4A747">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2B094F26">
      <w:pPr>
        <w:spacing w:line="48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rPr>
        <w:t>1.专门面向中小微型企业采购的项目，投标人为残疾人福利性单位并提供本单位制造的货物，或者提供其他残疾人福利性单位制造的货物，必须提供此声明函，否则将不能通过资格审查。</w:t>
      </w:r>
    </w:p>
    <w:p w14:paraId="35CE7370">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 非专门面向中小微型企业采购的项目，投标人如不提供此声明函，价格将不做相应扣除。</w:t>
      </w:r>
    </w:p>
    <w:p w14:paraId="6FE78A6D">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3.中标/中标人为残疾人福利性单位的，此声明函将随中标/成交结果同时公告，接受社会监督。</w:t>
      </w:r>
    </w:p>
    <w:p w14:paraId="4D707959">
      <w:pPr>
        <w:spacing w:line="480" w:lineRule="exact"/>
        <w:ind w:firstLine="584"/>
        <w:rPr>
          <w:rFonts w:ascii="宋体" w:hAnsi="宋体" w:cs="宋体"/>
          <w:color w:val="auto"/>
          <w:spacing w:val="6"/>
          <w:sz w:val="28"/>
          <w:szCs w:val="28"/>
          <w:highlight w:val="none"/>
        </w:rPr>
      </w:pPr>
    </w:p>
    <w:p w14:paraId="0BD08E74">
      <w:pPr>
        <w:tabs>
          <w:tab w:val="left" w:pos="4860"/>
        </w:tabs>
        <w:spacing w:line="480" w:lineRule="exact"/>
        <w:ind w:right="1559" w:firstLine="584"/>
        <w:jc w:val="right"/>
        <w:rPr>
          <w:rFonts w:ascii="宋体" w:hAnsi="宋体" w:cs="宋体"/>
          <w:color w:val="auto"/>
          <w:sz w:val="28"/>
          <w:szCs w:val="28"/>
          <w:highlight w:val="none"/>
        </w:rPr>
      </w:pPr>
      <w:r>
        <w:rPr>
          <w:rFonts w:hint="eastAsia" w:ascii="宋体" w:hAnsi="宋体" w:cs="宋体"/>
          <w:color w:val="auto"/>
          <w:sz w:val="28"/>
          <w:szCs w:val="28"/>
          <w:highlight w:val="none"/>
        </w:rPr>
        <w:t>投标人全称（加盖CA电子公章）：</w:t>
      </w:r>
    </w:p>
    <w:p w14:paraId="32B03330">
      <w:pPr>
        <w:tabs>
          <w:tab w:val="left" w:pos="4860"/>
        </w:tabs>
        <w:spacing w:line="480" w:lineRule="exact"/>
        <w:ind w:right="1559" w:firstLine="560"/>
        <w:jc w:val="right"/>
        <w:rPr>
          <w:rFonts w:ascii="宋体" w:hAnsi="宋体" w:cs="宋体"/>
          <w:color w:val="auto"/>
          <w:sz w:val="28"/>
          <w:szCs w:val="28"/>
          <w:highlight w:val="none"/>
        </w:rPr>
      </w:pPr>
      <w:r>
        <w:rPr>
          <w:rFonts w:hint="eastAsia" w:ascii="宋体" w:hAnsi="宋体" w:cs="宋体"/>
          <w:color w:val="auto"/>
          <w:sz w:val="28"/>
          <w:szCs w:val="28"/>
          <w:highlight w:val="none"/>
        </w:rPr>
        <w:t>日  期：</w:t>
      </w:r>
    </w:p>
    <w:p w14:paraId="22EB8014">
      <w:pPr>
        <w:spacing w:line="480" w:lineRule="exact"/>
        <w:jc w:val="center"/>
        <w:rPr>
          <w:rFonts w:ascii="宋体" w:hAnsi="宋体" w:cs="宋体"/>
          <w:b/>
          <w:color w:val="auto"/>
          <w:sz w:val="28"/>
          <w:szCs w:val="28"/>
          <w:highlight w:val="none"/>
        </w:rPr>
      </w:pPr>
    </w:p>
    <w:p w14:paraId="3DED5211">
      <w:pPr>
        <w:ind w:firstLine="420"/>
        <w:rPr>
          <w:rFonts w:ascii="宋体" w:hAnsi="宋体" w:cs="宋体"/>
          <w:color w:val="auto"/>
          <w:sz w:val="28"/>
          <w:szCs w:val="28"/>
          <w:highlight w:val="none"/>
        </w:rPr>
      </w:pPr>
    </w:p>
    <w:p w14:paraId="7672DA7F">
      <w:pPr>
        <w:snapToGrid w:val="0"/>
        <w:spacing w:line="300" w:lineRule="auto"/>
        <w:rPr>
          <w:rFonts w:ascii="宋体" w:hAnsi="宋体" w:cs="宋体"/>
          <w:color w:val="auto"/>
          <w:sz w:val="28"/>
          <w:szCs w:val="28"/>
          <w:highlight w:val="none"/>
        </w:rPr>
      </w:pPr>
    </w:p>
    <w:p w14:paraId="2F18468E">
      <w:pPr>
        <w:snapToGrid w:val="0"/>
        <w:spacing w:line="300" w:lineRule="auto"/>
        <w:rPr>
          <w:rFonts w:ascii="宋体" w:hAnsi="宋体" w:cs="宋体"/>
          <w:color w:val="auto"/>
          <w:sz w:val="28"/>
          <w:szCs w:val="28"/>
          <w:highlight w:val="none"/>
        </w:rPr>
      </w:pPr>
    </w:p>
    <w:p w14:paraId="27D3A72C">
      <w:pPr>
        <w:snapToGrid w:val="0"/>
        <w:spacing w:line="300" w:lineRule="auto"/>
        <w:rPr>
          <w:rFonts w:ascii="宋体" w:hAnsi="宋体" w:cs="宋体"/>
          <w:color w:val="auto"/>
          <w:sz w:val="28"/>
          <w:szCs w:val="28"/>
          <w:highlight w:val="none"/>
        </w:rPr>
      </w:pPr>
    </w:p>
    <w:p w14:paraId="1AA26289">
      <w:pPr>
        <w:snapToGrid w:val="0"/>
        <w:spacing w:line="300" w:lineRule="auto"/>
        <w:rPr>
          <w:rFonts w:ascii="宋体" w:hAnsi="宋体" w:cs="宋体"/>
          <w:color w:val="auto"/>
          <w:sz w:val="28"/>
          <w:szCs w:val="28"/>
          <w:highlight w:val="none"/>
        </w:rPr>
      </w:pPr>
    </w:p>
    <w:p w14:paraId="0E6777DF">
      <w:pPr>
        <w:snapToGrid w:val="0"/>
        <w:spacing w:line="300" w:lineRule="auto"/>
        <w:rPr>
          <w:rFonts w:ascii="宋体" w:hAnsi="宋体" w:cs="宋体"/>
          <w:color w:val="auto"/>
          <w:sz w:val="32"/>
          <w:szCs w:val="32"/>
          <w:highlight w:val="none"/>
        </w:rPr>
      </w:pPr>
    </w:p>
    <w:p w14:paraId="2318FC18">
      <w:pPr>
        <w:snapToGrid w:val="0"/>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附件1</w:t>
      </w:r>
      <w:r>
        <w:rPr>
          <w:rFonts w:hint="eastAsia" w:ascii="宋体" w:hAnsi="宋体" w:cs="宋体"/>
          <w:color w:val="auto"/>
          <w:sz w:val="32"/>
          <w:szCs w:val="32"/>
          <w:highlight w:val="none"/>
          <w:lang w:val="en-US" w:eastAsia="zh-CN"/>
        </w:rPr>
        <w:t>2</w:t>
      </w:r>
    </w:p>
    <w:p w14:paraId="7CBC081A">
      <w:pPr>
        <w:snapToGrid w:val="0"/>
        <w:spacing w:line="42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监狱和戒毒企业证明材料</w:t>
      </w:r>
    </w:p>
    <w:p w14:paraId="719D7046">
      <w:pPr>
        <w:snapToGrid w:val="0"/>
        <w:spacing w:line="420" w:lineRule="exact"/>
        <w:ind w:firstLine="495" w:firstLineChars="177"/>
        <w:rPr>
          <w:rFonts w:ascii="宋体" w:hAnsi="宋体" w:cs="宋体"/>
          <w:color w:val="auto"/>
          <w:sz w:val="28"/>
          <w:szCs w:val="28"/>
          <w:highlight w:val="none"/>
        </w:rPr>
      </w:pPr>
    </w:p>
    <w:p w14:paraId="55EC513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rPr>
        <w:t>（格式自拟）</w:t>
      </w:r>
    </w:p>
    <w:p w14:paraId="58E96572">
      <w:pPr>
        <w:tabs>
          <w:tab w:val="left" w:pos="1260"/>
        </w:tabs>
        <w:snapToGrid w:val="0"/>
        <w:spacing w:line="300" w:lineRule="auto"/>
        <w:contextualSpacing/>
        <w:rPr>
          <w:rFonts w:ascii="宋体" w:hAnsi="宋体" w:cs="宋体"/>
          <w:color w:val="auto"/>
          <w:sz w:val="28"/>
          <w:szCs w:val="28"/>
          <w:highlight w:val="none"/>
        </w:rPr>
      </w:pPr>
    </w:p>
    <w:p w14:paraId="13897621">
      <w:pPr>
        <w:tabs>
          <w:tab w:val="left" w:pos="1260"/>
        </w:tabs>
        <w:snapToGrid w:val="0"/>
        <w:spacing w:line="300" w:lineRule="auto"/>
        <w:contextualSpacing/>
        <w:rPr>
          <w:rFonts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70D1732D">
      <w:pPr>
        <w:snapToGrid w:val="0"/>
        <w:spacing w:line="300" w:lineRule="auto"/>
        <w:rPr>
          <w:rFonts w:ascii="宋体" w:hAnsi="宋体" w:cs="宋体"/>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cols w:space="720" w:num="1"/>
          <w:docGrid w:type="lines" w:linePitch="312" w:charSpace="0"/>
        </w:sectPr>
      </w:pPr>
    </w:p>
    <w:p w14:paraId="52CD2636">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13</w:t>
      </w:r>
    </w:p>
    <w:p w14:paraId="62A63326">
      <w:pPr>
        <w:spacing w:before="157" w:beforeLines="50" w:after="157" w:afterLines="50" w:line="480" w:lineRule="exact"/>
        <w:jc w:val="center"/>
        <w:rPr>
          <w:rFonts w:ascii="宋体" w:hAnsi="宋体" w:cs="宋体"/>
          <w:b/>
          <w:color w:val="auto"/>
          <w:sz w:val="28"/>
          <w:szCs w:val="28"/>
          <w:highlight w:val="none"/>
        </w:rPr>
      </w:pPr>
      <w:r>
        <w:rPr>
          <w:rFonts w:hint="eastAsia" w:ascii="宋体" w:hAnsi="宋体" w:cs="宋体"/>
          <w:b/>
          <w:bCs w:val="0"/>
          <w:color w:val="auto"/>
          <w:sz w:val="28"/>
          <w:szCs w:val="28"/>
          <w:highlight w:val="none"/>
          <w:lang w:eastAsia="zh-CN"/>
        </w:rPr>
        <w:t>实质性要求响应及偏离表</w:t>
      </w:r>
    </w:p>
    <w:tbl>
      <w:tblPr>
        <w:tblStyle w:val="37"/>
        <w:tblpPr w:leftFromText="180" w:rightFromText="180" w:vertAnchor="text" w:tblpXSpec="center" w:tblpY="1"/>
        <w:tblOverlap w:val="neve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5439"/>
        <w:gridCol w:w="1395"/>
        <w:gridCol w:w="1450"/>
      </w:tblGrid>
      <w:tr w14:paraId="6062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3" w:type="dxa"/>
            <w:vAlign w:val="center"/>
          </w:tcPr>
          <w:p w14:paraId="6727E986">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5439" w:type="dxa"/>
            <w:vAlign w:val="center"/>
          </w:tcPr>
          <w:p w14:paraId="3F09DB51">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1395" w:type="dxa"/>
            <w:vAlign w:val="center"/>
          </w:tcPr>
          <w:p w14:paraId="4A612FC3">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1450" w:type="dxa"/>
            <w:vAlign w:val="center"/>
          </w:tcPr>
          <w:p w14:paraId="6110D40C">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BBBC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8927" w:type="dxa"/>
            <w:gridSpan w:val="4"/>
            <w:tcBorders>
              <w:bottom w:val="single" w:color="auto" w:sz="4" w:space="0"/>
            </w:tcBorders>
            <w:vAlign w:val="center"/>
          </w:tcPr>
          <w:p w14:paraId="49CC1D76">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（1）工频局放测试系统</w:t>
            </w:r>
          </w:p>
        </w:tc>
      </w:tr>
      <w:tr w14:paraId="485E5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43" w:type="dxa"/>
            <w:tcBorders>
              <w:bottom w:val="single" w:color="auto" w:sz="4" w:space="0"/>
            </w:tcBorders>
            <w:vAlign w:val="center"/>
          </w:tcPr>
          <w:p w14:paraId="678AFA63">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5439" w:type="dxa"/>
            <w:tcBorders>
              <w:bottom w:val="single" w:color="auto" w:sz="4" w:space="0"/>
            </w:tcBorders>
            <w:vAlign w:val="center"/>
          </w:tcPr>
          <w:p w14:paraId="3ABFB82B">
            <w:pPr>
              <w:numPr>
                <w:ilvl w:val="0"/>
                <w:numId w:val="0"/>
              </w:numPr>
              <w:wordWrap/>
              <w:adjustRightInd/>
              <w:snapToGrid/>
              <w:spacing w:line="460" w:lineRule="exact"/>
              <w:ind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kern w:val="2"/>
                <w:sz w:val="28"/>
                <w:szCs w:val="28"/>
                <w:lang w:val="en-US" w:eastAsia="zh-CN" w:bidi="ar-SA"/>
              </w:rPr>
              <w:t>1.1</w:t>
            </w:r>
            <w:r>
              <w:rPr>
                <w:rFonts w:hint="eastAsia" w:ascii="宋体" w:hAnsi="宋体" w:eastAsia="宋体" w:cs="宋体"/>
                <w:b/>
                <w:bCs/>
                <w:color w:val="auto"/>
                <w:sz w:val="28"/>
                <w:szCs w:val="28"/>
                <w:lang w:val="en-US" w:eastAsia="zh-CN"/>
              </w:rPr>
              <w:t>总体技术参数</w:t>
            </w:r>
          </w:p>
          <w:p w14:paraId="008F9461">
            <w:pPr>
              <w:numPr>
                <w:ilvl w:val="0"/>
                <w:numId w:val="0"/>
              </w:numPr>
              <w:wordWrap/>
              <w:adjustRightInd/>
              <w:snapToGrid/>
              <w:spacing w:line="460" w:lineRule="exact"/>
              <w:ind w:firstLine="560" w:firstLineChars="200"/>
              <w:jc w:val="left"/>
              <w:rPr>
                <w:rFonts w:hint="eastAsia" w:ascii="宋体" w:hAnsi="宋体" w:cs="宋体"/>
                <w:color w:val="auto"/>
                <w:sz w:val="24"/>
                <w:highlight w:val="none"/>
              </w:rPr>
            </w:pPr>
            <w:r>
              <w:rPr>
                <w:rFonts w:hint="eastAsia" w:ascii="宋体" w:hAnsi="宋体" w:eastAsia="宋体" w:cs="宋体"/>
                <w:b w:val="0"/>
                <w:bCs w:val="0"/>
                <w:color w:val="auto"/>
                <w:sz w:val="28"/>
                <w:szCs w:val="28"/>
                <w:lang w:bidi="ar-SA"/>
              </w:rPr>
              <w:t>★</w:t>
            </w:r>
            <w:r>
              <w:rPr>
                <w:rFonts w:hint="eastAsia" w:ascii="宋体" w:hAnsi="宋体" w:eastAsia="宋体" w:cs="宋体"/>
                <w:b w:val="0"/>
                <w:bCs w:val="0"/>
                <w:color w:val="auto"/>
                <w:sz w:val="28"/>
                <w:szCs w:val="28"/>
                <w:lang w:val="en-US" w:eastAsia="zh-CN"/>
              </w:rPr>
              <w:t>1.1.1局放水平：80%的额定电压下＜2pC；</w:t>
            </w:r>
          </w:p>
        </w:tc>
        <w:tc>
          <w:tcPr>
            <w:tcW w:w="1395" w:type="dxa"/>
            <w:tcBorders>
              <w:bottom w:val="single" w:color="auto" w:sz="4" w:space="0"/>
            </w:tcBorders>
            <w:vAlign w:val="center"/>
          </w:tcPr>
          <w:p w14:paraId="7A436790">
            <w:pPr>
              <w:widowControl/>
              <w:spacing w:line="460" w:lineRule="exact"/>
              <w:jc w:val="left"/>
              <w:textAlignment w:val="center"/>
              <w:rPr>
                <w:rFonts w:ascii="宋体" w:hAnsi="宋体" w:cs="宋体"/>
                <w:color w:val="auto"/>
                <w:sz w:val="24"/>
                <w:highlight w:val="none"/>
              </w:rPr>
            </w:pPr>
          </w:p>
        </w:tc>
        <w:tc>
          <w:tcPr>
            <w:tcW w:w="1450" w:type="dxa"/>
            <w:vAlign w:val="center"/>
          </w:tcPr>
          <w:p w14:paraId="5C3CD3FD">
            <w:pPr>
              <w:spacing w:line="480" w:lineRule="exact"/>
              <w:jc w:val="left"/>
              <w:rPr>
                <w:rFonts w:ascii="宋体" w:hAnsi="宋体" w:cs="宋体"/>
                <w:color w:val="auto"/>
                <w:sz w:val="28"/>
                <w:szCs w:val="28"/>
                <w:highlight w:val="none"/>
              </w:rPr>
            </w:pPr>
          </w:p>
        </w:tc>
      </w:tr>
      <w:tr w14:paraId="1BE6A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43" w:type="dxa"/>
            <w:tcBorders>
              <w:bottom w:val="single" w:color="auto" w:sz="4" w:space="0"/>
            </w:tcBorders>
            <w:vAlign w:val="center"/>
          </w:tcPr>
          <w:p w14:paraId="03E79E24">
            <w:pPr>
              <w:spacing w:line="48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5439" w:type="dxa"/>
            <w:tcBorders>
              <w:bottom w:val="single" w:color="auto" w:sz="4" w:space="0"/>
            </w:tcBorders>
            <w:vAlign w:val="center"/>
          </w:tcPr>
          <w:p w14:paraId="337945F3">
            <w:pPr>
              <w:numPr>
                <w:ilvl w:val="0"/>
                <w:numId w:val="0"/>
              </w:numPr>
              <w:wordWrap/>
              <w:adjustRightInd/>
              <w:snapToGrid/>
              <w:spacing w:line="460" w:lineRule="exact"/>
              <w:ind w:firstLine="560" w:firstLineChars="200"/>
              <w:jc w:val="left"/>
              <w:rPr>
                <w:rFonts w:hint="eastAsia" w:ascii="宋体" w:hAnsi="宋体" w:eastAsia="宋体" w:cs="宋体"/>
                <w:b w:val="0"/>
                <w:bCs w:val="0"/>
                <w:color w:val="auto"/>
                <w:sz w:val="28"/>
                <w:szCs w:val="28"/>
                <w:lang w:bidi="ar-SA"/>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1.1.2 系统负载背景噪声：＜2pC；</w:t>
            </w:r>
          </w:p>
        </w:tc>
        <w:tc>
          <w:tcPr>
            <w:tcW w:w="1395" w:type="dxa"/>
            <w:tcBorders>
              <w:bottom w:val="single" w:color="auto" w:sz="4" w:space="0"/>
            </w:tcBorders>
            <w:vAlign w:val="center"/>
          </w:tcPr>
          <w:p w14:paraId="7819F8CF">
            <w:pPr>
              <w:widowControl/>
              <w:spacing w:line="460" w:lineRule="exact"/>
              <w:jc w:val="left"/>
              <w:textAlignment w:val="center"/>
              <w:rPr>
                <w:rFonts w:ascii="宋体" w:hAnsi="宋体" w:cs="宋体"/>
                <w:color w:val="auto"/>
                <w:sz w:val="24"/>
                <w:highlight w:val="none"/>
              </w:rPr>
            </w:pPr>
          </w:p>
        </w:tc>
        <w:tc>
          <w:tcPr>
            <w:tcW w:w="1450" w:type="dxa"/>
            <w:vAlign w:val="center"/>
          </w:tcPr>
          <w:p w14:paraId="642CF664">
            <w:pPr>
              <w:spacing w:line="480" w:lineRule="exact"/>
              <w:jc w:val="left"/>
              <w:rPr>
                <w:rFonts w:ascii="宋体" w:hAnsi="宋体" w:cs="宋体"/>
                <w:color w:val="auto"/>
                <w:sz w:val="28"/>
                <w:szCs w:val="28"/>
                <w:highlight w:val="none"/>
              </w:rPr>
            </w:pPr>
          </w:p>
        </w:tc>
      </w:tr>
      <w:tr w14:paraId="1AFC1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8" w:hRule="atLeast"/>
        </w:trPr>
        <w:tc>
          <w:tcPr>
            <w:tcW w:w="643" w:type="dxa"/>
            <w:tcBorders>
              <w:top w:val="single" w:color="auto" w:sz="4" w:space="0"/>
            </w:tcBorders>
            <w:vAlign w:val="center"/>
          </w:tcPr>
          <w:p w14:paraId="07E92039">
            <w:pPr>
              <w:spacing w:line="480" w:lineRule="exact"/>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p>
        </w:tc>
        <w:tc>
          <w:tcPr>
            <w:tcW w:w="5439" w:type="dxa"/>
            <w:tcBorders>
              <w:top w:val="single" w:color="auto" w:sz="4" w:space="0"/>
            </w:tcBorders>
            <w:vAlign w:val="center"/>
          </w:tcPr>
          <w:p w14:paraId="2BC658EB">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1.2数字局部放电测试仪</w:t>
            </w:r>
          </w:p>
          <w:p w14:paraId="2D21B79B">
            <w:pPr>
              <w:numPr>
                <w:ilvl w:val="0"/>
                <w:numId w:val="0"/>
              </w:numPr>
              <w:adjustRightInd/>
              <w:snapToGrid/>
              <w:ind w:firstLine="560" w:firstLineChars="200"/>
              <w:jc w:val="left"/>
              <w:rPr>
                <w:rFonts w:ascii="宋体" w:hAnsi="宋体" w:cs="宋体"/>
                <w:color w:val="auto"/>
                <w:sz w:val="24"/>
                <w:highlight w:val="none"/>
              </w:rPr>
            </w:pPr>
            <w:r>
              <w:rPr>
                <w:rFonts w:hint="eastAsia" w:ascii="宋体" w:hAnsi="宋体" w:eastAsia="宋体" w:cs="宋体"/>
                <w:b w:val="0"/>
                <w:bCs w:val="0"/>
                <w:color w:val="auto"/>
                <w:sz w:val="28"/>
                <w:szCs w:val="28"/>
                <w:lang w:bidi="ar-SA"/>
              </w:rPr>
              <w:t>★</w:t>
            </w:r>
            <w:r>
              <w:rPr>
                <w:rFonts w:hint="eastAsia" w:ascii="宋体" w:hAnsi="宋体" w:eastAsia="宋体" w:cs="宋体"/>
                <w:b w:val="0"/>
                <w:bCs w:val="0"/>
                <w:color w:val="auto"/>
                <w:sz w:val="28"/>
                <w:szCs w:val="28"/>
                <w:lang w:val="en-US" w:eastAsia="zh-CN"/>
              </w:rPr>
              <w:t>1.2.1可测试品的电容量范围：6pF～250μF；</w:t>
            </w:r>
          </w:p>
        </w:tc>
        <w:tc>
          <w:tcPr>
            <w:tcW w:w="1395" w:type="dxa"/>
            <w:tcBorders>
              <w:top w:val="single" w:color="auto" w:sz="4" w:space="0"/>
            </w:tcBorders>
            <w:vAlign w:val="center"/>
          </w:tcPr>
          <w:p w14:paraId="0FDB4D4A">
            <w:pPr>
              <w:widowControl/>
              <w:spacing w:line="460" w:lineRule="exact"/>
              <w:jc w:val="left"/>
              <w:textAlignment w:val="center"/>
              <w:rPr>
                <w:rFonts w:ascii="宋体" w:hAnsi="宋体" w:cs="宋体"/>
                <w:color w:val="auto"/>
                <w:sz w:val="24"/>
                <w:highlight w:val="none"/>
              </w:rPr>
            </w:pPr>
          </w:p>
        </w:tc>
        <w:tc>
          <w:tcPr>
            <w:tcW w:w="1450" w:type="dxa"/>
            <w:vAlign w:val="center"/>
          </w:tcPr>
          <w:p w14:paraId="69041FF0">
            <w:pPr>
              <w:spacing w:line="480" w:lineRule="exact"/>
              <w:jc w:val="left"/>
              <w:rPr>
                <w:rFonts w:ascii="宋体" w:hAnsi="宋体" w:cs="宋体"/>
                <w:color w:val="auto"/>
                <w:sz w:val="28"/>
                <w:szCs w:val="28"/>
                <w:highlight w:val="none"/>
              </w:rPr>
            </w:pPr>
          </w:p>
        </w:tc>
      </w:tr>
      <w:tr w14:paraId="1301B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D57F2E9">
            <w:pPr>
              <w:spacing w:line="48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5439" w:type="dxa"/>
            <w:vAlign w:val="center"/>
          </w:tcPr>
          <w:p w14:paraId="658BC223">
            <w:pPr>
              <w:numPr>
                <w:ilvl w:val="0"/>
                <w:numId w:val="0"/>
              </w:numPr>
              <w:tabs>
                <w:tab w:val="left" w:pos="448"/>
              </w:tabs>
              <w:adjustRightInd/>
              <w:snapToGrid/>
              <w:ind w:firstLine="56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1.2.2检测灵敏度：＜0.02pC（电容50pF时）；</w:t>
            </w:r>
          </w:p>
        </w:tc>
        <w:tc>
          <w:tcPr>
            <w:tcW w:w="1395" w:type="dxa"/>
            <w:vAlign w:val="center"/>
          </w:tcPr>
          <w:p w14:paraId="4E046D3A">
            <w:pPr>
              <w:widowControl/>
              <w:spacing w:line="460" w:lineRule="exact"/>
              <w:jc w:val="left"/>
              <w:textAlignment w:val="center"/>
              <w:rPr>
                <w:rFonts w:ascii="宋体" w:hAnsi="宋体" w:cs="宋体"/>
                <w:color w:val="auto"/>
                <w:sz w:val="24"/>
                <w:highlight w:val="none"/>
              </w:rPr>
            </w:pPr>
          </w:p>
        </w:tc>
        <w:tc>
          <w:tcPr>
            <w:tcW w:w="1450" w:type="dxa"/>
            <w:vAlign w:val="center"/>
          </w:tcPr>
          <w:p w14:paraId="20887ACC">
            <w:pPr>
              <w:spacing w:line="480" w:lineRule="exact"/>
              <w:jc w:val="left"/>
              <w:rPr>
                <w:rFonts w:ascii="宋体" w:hAnsi="宋体" w:cs="宋体"/>
                <w:color w:val="auto"/>
                <w:sz w:val="28"/>
                <w:szCs w:val="28"/>
                <w:highlight w:val="none"/>
              </w:rPr>
            </w:pPr>
          </w:p>
        </w:tc>
      </w:tr>
      <w:tr w14:paraId="342C4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0BEC8FA">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5439" w:type="dxa"/>
            <w:vAlign w:val="center"/>
          </w:tcPr>
          <w:p w14:paraId="5A4328E7">
            <w:pPr>
              <w:numPr>
                <w:ilvl w:val="0"/>
                <w:numId w:val="0"/>
              </w:numPr>
              <w:adjustRightInd/>
              <w:snapToGrid/>
              <w:spacing w:line="460" w:lineRule="exact"/>
              <w:ind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1.3双屏蔽静电隔离变压器</w:t>
            </w:r>
          </w:p>
          <w:p w14:paraId="34F73199">
            <w:pPr>
              <w:numPr>
                <w:ilvl w:val="0"/>
                <w:numId w:val="0"/>
              </w:numPr>
              <w:adjustRightInd/>
              <w:snapToGrid/>
              <w:spacing w:line="460" w:lineRule="exact"/>
              <w:ind w:firstLine="560"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1.3.1额定电压：380V/380V，额定电流:263A/263A，额定容量：100kVA；</w:t>
            </w:r>
          </w:p>
        </w:tc>
        <w:tc>
          <w:tcPr>
            <w:tcW w:w="1395" w:type="dxa"/>
            <w:vAlign w:val="center"/>
          </w:tcPr>
          <w:p w14:paraId="0DEE6970">
            <w:pPr>
              <w:widowControl/>
              <w:spacing w:line="460" w:lineRule="exact"/>
              <w:jc w:val="left"/>
              <w:textAlignment w:val="center"/>
              <w:rPr>
                <w:rFonts w:ascii="宋体" w:hAnsi="宋体" w:cs="宋体"/>
                <w:color w:val="auto"/>
                <w:sz w:val="24"/>
                <w:highlight w:val="none"/>
              </w:rPr>
            </w:pPr>
          </w:p>
        </w:tc>
        <w:tc>
          <w:tcPr>
            <w:tcW w:w="1450" w:type="dxa"/>
            <w:vAlign w:val="center"/>
          </w:tcPr>
          <w:p w14:paraId="71C11C5F">
            <w:pPr>
              <w:spacing w:line="480" w:lineRule="exact"/>
              <w:jc w:val="left"/>
              <w:rPr>
                <w:rFonts w:ascii="宋体" w:hAnsi="宋体" w:cs="宋体"/>
                <w:color w:val="auto"/>
                <w:sz w:val="28"/>
                <w:szCs w:val="28"/>
                <w:highlight w:val="none"/>
              </w:rPr>
            </w:pPr>
          </w:p>
        </w:tc>
      </w:tr>
      <w:tr w14:paraId="4278D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16AE86DA">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（2）35kV及以下电缆局放屏蔽试验室</w:t>
            </w:r>
          </w:p>
        </w:tc>
      </w:tr>
      <w:tr w14:paraId="2BE99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5261F6F5">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5439" w:type="dxa"/>
            <w:vAlign w:val="center"/>
          </w:tcPr>
          <w:p w14:paraId="4FF5AC7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2.3绝缘地坪</w:t>
            </w:r>
          </w:p>
          <w:p w14:paraId="6406D1F1">
            <w:pPr>
              <w:numPr>
                <w:ilvl w:val="-1"/>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2.3.2屏蔽试验室制作完成后的绝缘电阻应为≥10kΩ（500V兆欧表或直流电压电流表测）；</w:t>
            </w:r>
          </w:p>
        </w:tc>
        <w:tc>
          <w:tcPr>
            <w:tcW w:w="1395" w:type="dxa"/>
            <w:vAlign w:val="center"/>
          </w:tcPr>
          <w:p w14:paraId="0ABB6DDF">
            <w:pPr>
              <w:widowControl/>
              <w:spacing w:line="460" w:lineRule="exact"/>
              <w:jc w:val="left"/>
              <w:textAlignment w:val="center"/>
              <w:rPr>
                <w:rFonts w:ascii="宋体" w:hAnsi="宋体" w:cs="宋体"/>
                <w:color w:val="auto"/>
                <w:sz w:val="24"/>
                <w:highlight w:val="none"/>
              </w:rPr>
            </w:pPr>
          </w:p>
        </w:tc>
        <w:tc>
          <w:tcPr>
            <w:tcW w:w="1450" w:type="dxa"/>
            <w:vAlign w:val="center"/>
          </w:tcPr>
          <w:p w14:paraId="64C0DAB5">
            <w:pPr>
              <w:spacing w:line="480" w:lineRule="exact"/>
              <w:jc w:val="left"/>
              <w:rPr>
                <w:rFonts w:ascii="宋体" w:hAnsi="宋体" w:cs="宋体"/>
                <w:color w:val="auto"/>
                <w:sz w:val="28"/>
                <w:szCs w:val="28"/>
                <w:highlight w:val="none"/>
              </w:rPr>
            </w:pPr>
          </w:p>
        </w:tc>
      </w:tr>
      <w:tr w14:paraId="4A5E7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21DEE27B">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p>
        </w:tc>
        <w:tc>
          <w:tcPr>
            <w:tcW w:w="5439" w:type="dxa"/>
            <w:vAlign w:val="center"/>
          </w:tcPr>
          <w:p w14:paraId="7AB9BF35">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2.4.</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 xml:space="preserve"> 屏蔽房所在位置招标人原有的无局放工频耐压试验系统设备，需要拆除迁移，在屏蔽房建设好后，再迁移到屏蔽实验室内，进行安装调试，此项工作由中标人完成，确保原有设备与新购设备的匹配，确保满足电线电缆局部放电试验的要求</w:t>
            </w:r>
            <w:r>
              <w:rPr>
                <w:rFonts w:hint="eastAsia" w:ascii="宋体" w:hAnsi="宋体" w:cs="宋体"/>
                <w:color w:val="auto"/>
                <w:sz w:val="28"/>
                <w:szCs w:val="28"/>
                <w:lang w:val="en-US" w:eastAsia="zh-CN"/>
              </w:rPr>
              <w:t>（提供承诺书（格式自拟）</w:t>
            </w:r>
            <w:r>
              <w:rPr>
                <w:rFonts w:hint="eastAsia" w:ascii="宋体" w:hAnsi="宋体" w:eastAsia="宋体" w:cs="宋体"/>
                <w:color w:val="auto"/>
                <w:sz w:val="28"/>
                <w:szCs w:val="28"/>
                <w:lang w:val="en-US" w:eastAsia="zh-CN"/>
              </w:rPr>
              <w:t>。</w:t>
            </w:r>
          </w:p>
        </w:tc>
        <w:tc>
          <w:tcPr>
            <w:tcW w:w="1395" w:type="dxa"/>
            <w:vAlign w:val="center"/>
          </w:tcPr>
          <w:p w14:paraId="3F91CF16">
            <w:pPr>
              <w:widowControl/>
              <w:spacing w:line="460" w:lineRule="exact"/>
              <w:jc w:val="left"/>
              <w:textAlignment w:val="center"/>
              <w:rPr>
                <w:rFonts w:ascii="宋体" w:hAnsi="宋体" w:cs="宋体"/>
                <w:color w:val="auto"/>
                <w:sz w:val="24"/>
                <w:highlight w:val="none"/>
              </w:rPr>
            </w:pPr>
          </w:p>
        </w:tc>
        <w:tc>
          <w:tcPr>
            <w:tcW w:w="1450" w:type="dxa"/>
            <w:vAlign w:val="center"/>
          </w:tcPr>
          <w:p w14:paraId="50F01E7F">
            <w:pPr>
              <w:spacing w:line="480" w:lineRule="exact"/>
              <w:jc w:val="left"/>
              <w:rPr>
                <w:rFonts w:ascii="宋体" w:hAnsi="宋体" w:cs="宋体"/>
                <w:color w:val="auto"/>
                <w:sz w:val="28"/>
                <w:szCs w:val="28"/>
                <w:highlight w:val="none"/>
              </w:rPr>
            </w:pPr>
          </w:p>
        </w:tc>
      </w:tr>
      <w:tr w14:paraId="5614D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0F815F94">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（3）（双路）电缆循环加热试验系统</w:t>
            </w:r>
          </w:p>
        </w:tc>
      </w:tr>
      <w:tr w14:paraId="7E119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570572E">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8</w:t>
            </w:r>
          </w:p>
        </w:tc>
        <w:tc>
          <w:tcPr>
            <w:tcW w:w="5439" w:type="dxa"/>
            <w:vAlign w:val="center"/>
          </w:tcPr>
          <w:p w14:paraId="2C70371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3.1测试系统总体技术参数</w:t>
            </w:r>
          </w:p>
          <w:p w14:paraId="6428B7CB">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3.1.1额定容量150kVA，单相，额定输入电压380V±10%，单相50Hz，额定输入电流395A，额定输出电压7.8×2=15.6V，额定输出电流0～3000A；</w:t>
            </w:r>
          </w:p>
        </w:tc>
        <w:tc>
          <w:tcPr>
            <w:tcW w:w="1395" w:type="dxa"/>
            <w:vAlign w:val="center"/>
          </w:tcPr>
          <w:p w14:paraId="1F475509">
            <w:pPr>
              <w:widowControl/>
              <w:spacing w:line="460" w:lineRule="exact"/>
              <w:jc w:val="left"/>
              <w:textAlignment w:val="center"/>
              <w:rPr>
                <w:rFonts w:ascii="宋体" w:hAnsi="宋体" w:cs="宋体"/>
                <w:color w:val="auto"/>
                <w:sz w:val="24"/>
                <w:highlight w:val="none"/>
              </w:rPr>
            </w:pPr>
          </w:p>
        </w:tc>
        <w:tc>
          <w:tcPr>
            <w:tcW w:w="1450" w:type="dxa"/>
            <w:vAlign w:val="center"/>
          </w:tcPr>
          <w:p w14:paraId="014A51F1">
            <w:pPr>
              <w:spacing w:line="480" w:lineRule="exact"/>
              <w:jc w:val="left"/>
              <w:rPr>
                <w:rFonts w:ascii="宋体" w:hAnsi="宋体" w:cs="宋体"/>
                <w:color w:val="auto"/>
                <w:sz w:val="28"/>
                <w:szCs w:val="28"/>
                <w:highlight w:val="none"/>
              </w:rPr>
            </w:pPr>
          </w:p>
        </w:tc>
      </w:tr>
      <w:tr w14:paraId="0A0C8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5F1DE0FF">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9</w:t>
            </w:r>
          </w:p>
        </w:tc>
        <w:tc>
          <w:tcPr>
            <w:tcW w:w="5439" w:type="dxa"/>
            <w:vAlign w:val="center"/>
          </w:tcPr>
          <w:p w14:paraId="608DFD6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3.4穿心式加热变压器</w:t>
            </w:r>
          </w:p>
          <w:p w14:paraId="304F99A8">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3.4.1额定容量：50kVA，数量：3台；</w:t>
            </w:r>
          </w:p>
        </w:tc>
        <w:tc>
          <w:tcPr>
            <w:tcW w:w="1395" w:type="dxa"/>
            <w:vAlign w:val="center"/>
          </w:tcPr>
          <w:p w14:paraId="45404A2A">
            <w:pPr>
              <w:widowControl/>
              <w:spacing w:line="460" w:lineRule="exact"/>
              <w:jc w:val="left"/>
              <w:textAlignment w:val="center"/>
              <w:rPr>
                <w:rFonts w:ascii="宋体" w:hAnsi="宋体" w:cs="宋体"/>
                <w:color w:val="auto"/>
                <w:sz w:val="24"/>
                <w:highlight w:val="none"/>
              </w:rPr>
            </w:pPr>
          </w:p>
        </w:tc>
        <w:tc>
          <w:tcPr>
            <w:tcW w:w="1450" w:type="dxa"/>
            <w:vAlign w:val="center"/>
          </w:tcPr>
          <w:p w14:paraId="1A110C19">
            <w:pPr>
              <w:spacing w:line="480" w:lineRule="exact"/>
              <w:jc w:val="left"/>
              <w:rPr>
                <w:rFonts w:ascii="宋体" w:hAnsi="宋体" w:cs="宋体"/>
                <w:color w:val="auto"/>
                <w:sz w:val="28"/>
                <w:szCs w:val="28"/>
                <w:highlight w:val="none"/>
              </w:rPr>
            </w:pPr>
          </w:p>
        </w:tc>
      </w:tr>
      <w:tr w14:paraId="44C2E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57DA49F7">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10</w:t>
            </w:r>
          </w:p>
        </w:tc>
        <w:tc>
          <w:tcPr>
            <w:tcW w:w="5439" w:type="dxa"/>
            <w:vAlign w:val="center"/>
          </w:tcPr>
          <w:p w14:paraId="2F43C027">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bidi="ar-SA"/>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3.4.</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每台变压器配备一台40kVA补偿电容器（共3台）。</w:t>
            </w:r>
          </w:p>
        </w:tc>
        <w:tc>
          <w:tcPr>
            <w:tcW w:w="1395" w:type="dxa"/>
            <w:vAlign w:val="center"/>
          </w:tcPr>
          <w:p w14:paraId="264EB134">
            <w:pPr>
              <w:widowControl/>
              <w:spacing w:line="460" w:lineRule="exact"/>
              <w:jc w:val="left"/>
              <w:textAlignment w:val="center"/>
              <w:rPr>
                <w:rFonts w:ascii="宋体" w:hAnsi="宋体" w:cs="宋体"/>
                <w:color w:val="auto"/>
                <w:sz w:val="24"/>
                <w:highlight w:val="none"/>
              </w:rPr>
            </w:pPr>
          </w:p>
        </w:tc>
        <w:tc>
          <w:tcPr>
            <w:tcW w:w="1450" w:type="dxa"/>
            <w:vAlign w:val="center"/>
          </w:tcPr>
          <w:p w14:paraId="169DE89A">
            <w:pPr>
              <w:spacing w:line="480" w:lineRule="exact"/>
              <w:jc w:val="left"/>
              <w:rPr>
                <w:rFonts w:ascii="宋体" w:hAnsi="宋体" w:cs="宋体"/>
                <w:color w:val="auto"/>
                <w:sz w:val="28"/>
                <w:szCs w:val="28"/>
                <w:highlight w:val="none"/>
              </w:rPr>
            </w:pPr>
          </w:p>
        </w:tc>
      </w:tr>
      <w:tr w14:paraId="23F0F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69508A6B">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kern w:val="2"/>
                <w:sz w:val="28"/>
                <w:szCs w:val="28"/>
                <w:lang w:val="en-US" w:eastAsia="zh-CN" w:bidi="ar-SA"/>
              </w:rPr>
              <w:t>（4）</w:t>
            </w:r>
            <w:r>
              <w:rPr>
                <w:rFonts w:hint="eastAsia" w:ascii="宋体" w:hAnsi="宋体" w:eastAsia="宋体" w:cs="宋体"/>
                <w:b/>
                <w:bCs/>
                <w:color w:val="auto"/>
                <w:sz w:val="28"/>
                <w:szCs w:val="28"/>
                <w:lang w:val="en-US" w:eastAsia="zh-CN"/>
              </w:rPr>
              <w:t>冲击电压试验系统</w:t>
            </w:r>
          </w:p>
        </w:tc>
      </w:tr>
      <w:tr w14:paraId="0CAB3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578094F">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11</w:t>
            </w:r>
          </w:p>
        </w:tc>
        <w:tc>
          <w:tcPr>
            <w:tcW w:w="5439" w:type="dxa"/>
            <w:vAlign w:val="center"/>
          </w:tcPr>
          <w:p w14:paraId="29623BEC">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4.1.5接地电阻：＜0.5Ω；</w:t>
            </w:r>
          </w:p>
        </w:tc>
        <w:tc>
          <w:tcPr>
            <w:tcW w:w="1395" w:type="dxa"/>
            <w:vAlign w:val="center"/>
          </w:tcPr>
          <w:p w14:paraId="1CA7DEC4">
            <w:pPr>
              <w:widowControl/>
              <w:spacing w:line="460" w:lineRule="exact"/>
              <w:jc w:val="left"/>
              <w:textAlignment w:val="center"/>
              <w:rPr>
                <w:rFonts w:ascii="宋体" w:hAnsi="宋体" w:cs="宋体"/>
                <w:color w:val="auto"/>
                <w:sz w:val="24"/>
                <w:highlight w:val="none"/>
              </w:rPr>
            </w:pPr>
          </w:p>
        </w:tc>
        <w:tc>
          <w:tcPr>
            <w:tcW w:w="1450" w:type="dxa"/>
            <w:vAlign w:val="center"/>
          </w:tcPr>
          <w:p w14:paraId="67B0C2EC">
            <w:pPr>
              <w:spacing w:line="480" w:lineRule="exact"/>
              <w:jc w:val="left"/>
              <w:rPr>
                <w:rFonts w:ascii="宋体" w:hAnsi="宋体" w:cs="宋体"/>
                <w:color w:val="auto"/>
                <w:sz w:val="28"/>
                <w:szCs w:val="28"/>
                <w:highlight w:val="none"/>
              </w:rPr>
            </w:pPr>
          </w:p>
        </w:tc>
      </w:tr>
      <w:tr w14:paraId="0E66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49C86B7">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12</w:t>
            </w:r>
          </w:p>
        </w:tc>
        <w:tc>
          <w:tcPr>
            <w:tcW w:w="5439" w:type="dxa"/>
            <w:vAlign w:val="center"/>
          </w:tcPr>
          <w:p w14:paraId="51B6888B">
            <w:pPr>
              <w:numPr>
                <w:ilvl w:val="0"/>
                <w:numId w:val="0"/>
              </w:numPr>
              <w:wordWrap/>
              <w:adjustRightInd/>
              <w:snapToGrid/>
              <w:spacing w:line="460" w:lineRule="exact"/>
              <w:ind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4.3 100kV直流充电装置</w:t>
            </w:r>
          </w:p>
          <w:p w14:paraId="4B1FBF68">
            <w:pPr>
              <w:numPr>
                <w:ilvl w:val="0"/>
                <w:numId w:val="0"/>
              </w:numPr>
              <w:adjustRightInd/>
              <w:snapToGrid/>
              <w:spacing w:line="460" w:lineRule="exact"/>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4.3.4自动接地开关采用电磁阀分合接地机构，试验停止时可自动将主电容器经放电保护电阻接地，充电变压器、高压硅整流器、电阻分压器、充电电阻等安装在同一个移动式底盘上。</w:t>
            </w:r>
          </w:p>
        </w:tc>
        <w:tc>
          <w:tcPr>
            <w:tcW w:w="1395" w:type="dxa"/>
            <w:vAlign w:val="center"/>
          </w:tcPr>
          <w:p w14:paraId="16C3C837">
            <w:pPr>
              <w:widowControl/>
              <w:spacing w:line="460" w:lineRule="exact"/>
              <w:jc w:val="left"/>
              <w:textAlignment w:val="center"/>
              <w:rPr>
                <w:rFonts w:ascii="宋体" w:hAnsi="宋体" w:cs="宋体"/>
                <w:color w:val="auto"/>
                <w:sz w:val="24"/>
                <w:highlight w:val="none"/>
              </w:rPr>
            </w:pPr>
          </w:p>
        </w:tc>
        <w:tc>
          <w:tcPr>
            <w:tcW w:w="1450" w:type="dxa"/>
            <w:vAlign w:val="center"/>
          </w:tcPr>
          <w:p w14:paraId="45A8BC59">
            <w:pPr>
              <w:spacing w:line="480" w:lineRule="exact"/>
              <w:jc w:val="left"/>
              <w:rPr>
                <w:rFonts w:ascii="宋体" w:hAnsi="宋体" w:cs="宋体"/>
                <w:color w:val="auto"/>
                <w:sz w:val="28"/>
                <w:szCs w:val="28"/>
                <w:highlight w:val="none"/>
              </w:rPr>
            </w:pPr>
          </w:p>
        </w:tc>
      </w:tr>
      <w:tr w14:paraId="4C885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D0C692E">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13</w:t>
            </w:r>
          </w:p>
        </w:tc>
        <w:tc>
          <w:tcPr>
            <w:tcW w:w="5439" w:type="dxa"/>
            <w:vAlign w:val="center"/>
          </w:tcPr>
          <w:p w14:paraId="5F569C20">
            <w:pPr>
              <w:keepNext w:val="0"/>
              <w:keepLines w:val="0"/>
              <w:pageBreakBefore w:val="0"/>
              <w:widowControl w:val="0"/>
              <w:numPr>
                <w:ilvl w:val="-1"/>
                <w:numId w:val="0"/>
              </w:numPr>
              <w:kinsoku/>
              <w:wordWrap/>
              <w:overflowPunct/>
              <w:topLinePunct w:val="0"/>
              <w:autoSpaceDE/>
              <w:autoSpaceDN/>
              <w:bidi w:val="0"/>
              <w:adjustRightInd/>
              <w:snapToGrid/>
              <w:spacing w:before="78" w:line="460" w:lineRule="exact"/>
              <w:ind w:right="126"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4.5自动化测控系统</w:t>
            </w:r>
          </w:p>
          <w:p w14:paraId="0F16F29E">
            <w:pPr>
              <w:numPr>
                <w:ilvl w:val="-1"/>
                <w:numId w:val="0"/>
              </w:numPr>
              <w:wordWrap/>
              <w:adjustRightInd/>
              <w:snapToGrid/>
              <w:spacing w:before="78" w:line="460" w:lineRule="exact"/>
              <w:ind w:right="126"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 xml:space="preserve">4.5.1 </w:t>
            </w:r>
            <w:r>
              <w:rPr>
                <w:rFonts w:hint="eastAsia" w:ascii="宋体" w:hAnsi="宋体" w:cs="宋体"/>
                <w:color w:val="auto"/>
                <w:sz w:val="28"/>
                <w:szCs w:val="28"/>
              </w:rPr>
              <w:t>计算机测量与控制（光纤）系统，主要由工业控制计算机、可编程控制器（PLC）、以及数字示波器、等构成。通过光纤传输与PLC 进行通讯，运用工控专业软件编程设计成便于操作的控制工作接口，系统的运行参数及测量结果以数字量形式在计算机接口上进行实时显示</w:t>
            </w:r>
            <w:r>
              <w:rPr>
                <w:rFonts w:hint="eastAsia" w:ascii="宋体" w:hAnsi="宋体" w:cs="宋体"/>
                <w:color w:val="auto"/>
                <w:sz w:val="28"/>
                <w:szCs w:val="28"/>
                <w:lang w:val="en-US" w:eastAsia="zh-CN"/>
              </w:rPr>
              <w:t>（提供拟配置的设备清单、彩页、技术资料书等证明材料）</w:t>
            </w:r>
            <w:r>
              <w:rPr>
                <w:rFonts w:hint="eastAsia" w:ascii="宋体" w:hAnsi="宋体" w:cs="宋体"/>
                <w:color w:val="auto"/>
                <w:sz w:val="28"/>
                <w:szCs w:val="28"/>
              </w:rPr>
              <w:t>。</w:t>
            </w:r>
          </w:p>
        </w:tc>
        <w:tc>
          <w:tcPr>
            <w:tcW w:w="1395" w:type="dxa"/>
            <w:vAlign w:val="center"/>
          </w:tcPr>
          <w:p w14:paraId="77FF27B1">
            <w:pPr>
              <w:widowControl/>
              <w:spacing w:line="460" w:lineRule="exact"/>
              <w:jc w:val="left"/>
              <w:textAlignment w:val="center"/>
              <w:rPr>
                <w:rFonts w:ascii="宋体" w:hAnsi="宋体" w:cs="宋体"/>
                <w:color w:val="auto"/>
                <w:sz w:val="24"/>
                <w:highlight w:val="none"/>
              </w:rPr>
            </w:pPr>
          </w:p>
        </w:tc>
        <w:tc>
          <w:tcPr>
            <w:tcW w:w="1450" w:type="dxa"/>
            <w:vAlign w:val="center"/>
          </w:tcPr>
          <w:p w14:paraId="2830A12B">
            <w:pPr>
              <w:spacing w:line="480" w:lineRule="exact"/>
              <w:jc w:val="left"/>
              <w:rPr>
                <w:rFonts w:ascii="宋体" w:hAnsi="宋体" w:cs="宋体"/>
                <w:color w:val="auto"/>
                <w:sz w:val="28"/>
                <w:szCs w:val="28"/>
                <w:highlight w:val="none"/>
              </w:rPr>
            </w:pPr>
          </w:p>
        </w:tc>
      </w:tr>
      <w:tr w14:paraId="768D9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59D26134">
            <w:pPr>
              <w:numPr>
                <w:ilvl w:val="0"/>
                <w:numId w:val="0"/>
              </w:numPr>
              <w:spacing w:line="46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（5）介质损耗测试系统</w:t>
            </w:r>
          </w:p>
        </w:tc>
      </w:tr>
      <w:tr w14:paraId="458C3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6EA4250">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14</w:t>
            </w:r>
          </w:p>
        </w:tc>
        <w:tc>
          <w:tcPr>
            <w:tcW w:w="5439" w:type="dxa"/>
            <w:vAlign w:val="center"/>
          </w:tcPr>
          <w:p w14:paraId="29C45CD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lang w:val="en-US" w:eastAsia="zh-CN"/>
              </w:rPr>
              <w:t xml:space="preserve"> 高精密高压电容电桥</w:t>
            </w:r>
          </w:p>
          <w:p w14:paraId="45D44643">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.1 采用电流比较仪测量原理，电容测量范围0.1Cn～1000Cn（7位有效数字），电容的测量准确度</w:t>
            </w:r>
            <w:r>
              <w:rPr>
                <w:rFonts w:hint="eastAsia" w:ascii="宋体" w:hAnsi="宋体" w:cs="宋体"/>
                <w:color w:val="auto"/>
                <w:sz w:val="28"/>
                <w:szCs w:val="28"/>
                <w:lang w:val="en-US" w:eastAsia="zh-CN"/>
              </w:rPr>
              <w:t>不低于</w:t>
            </w:r>
            <w:r>
              <w:rPr>
                <w:rFonts w:hint="eastAsia" w:ascii="宋体" w:hAnsi="宋体" w:eastAsia="宋体" w:cs="宋体"/>
                <w:color w:val="auto"/>
                <w:sz w:val="28"/>
                <w:szCs w:val="28"/>
                <w:lang w:val="en-US" w:eastAsia="zh-CN"/>
              </w:rPr>
              <w:t>±1×10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vertAlign w:val="baseline"/>
                <w:lang w:val="en-US" w:eastAsia="zh-CN"/>
              </w:rPr>
              <w:t>，</w:t>
            </w:r>
            <w:r>
              <w:rPr>
                <w:rFonts w:hint="eastAsia" w:ascii="宋体" w:hAnsi="宋体" w:eastAsia="宋体" w:cs="宋体"/>
                <w:color w:val="auto"/>
                <w:sz w:val="28"/>
                <w:szCs w:val="28"/>
                <w:lang w:val="en-US" w:eastAsia="zh-CN"/>
              </w:rPr>
              <w:t xml:space="preserve">电桥tgδ范围 </w:t>
            </w:r>
            <w:r>
              <w:rPr>
                <w:rFonts w:hint="eastAsia" w:ascii="宋体" w:hAnsi="宋体" w:cs="宋体"/>
                <w:color w:val="auto"/>
                <w:sz w:val="28"/>
                <w:szCs w:val="28"/>
                <w:lang w:val="en-US" w:eastAsia="zh-CN"/>
              </w:rPr>
              <w:t>不小于</w:t>
            </w:r>
            <w:r>
              <w:rPr>
                <w:rFonts w:hint="eastAsia" w:ascii="宋体" w:hAnsi="宋体" w:eastAsia="宋体" w:cs="宋体"/>
                <w:color w:val="auto"/>
                <w:sz w:val="28"/>
                <w:szCs w:val="28"/>
                <w:lang w:val="en-US" w:eastAsia="zh-CN"/>
              </w:rPr>
              <w:t>-110%到+110%，tgδ测量准确度不大于0.2%rdg±1×10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vertAlign w:val="baseline"/>
                <w:lang w:val="en-US" w:eastAsia="zh-CN"/>
              </w:rPr>
              <w:t>，</w:t>
            </w:r>
            <w:r>
              <w:rPr>
                <w:rFonts w:hint="eastAsia" w:ascii="宋体" w:hAnsi="宋体" w:eastAsia="宋体" w:cs="宋体"/>
                <w:color w:val="auto"/>
                <w:sz w:val="28"/>
                <w:szCs w:val="28"/>
                <w:lang w:val="en-US" w:eastAsia="zh-CN"/>
              </w:rPr>
              <w:t>tgδ测量最小分辨率1×10</w:t>
            </w:r>
            <w:r>
              <w:rPr>
                <w:rFonts w:hint="eastAsia" w:ascii="宋体" w:hAnsi="宋体" w:eastAsia="宋体" w:cs="宋体"/>
                <w:color w:val="auto"/>
                <w:sz w:val="28"/>
                <w:szCs w:val="28"/>
                <w:vertAlign w:val="superscript"/>
                <w:lang w:val="en-US" w:eastAsia="zh-CN"/>
              </w:rPr>
              <w:t>-7</w:t>
            </w:r>
            <w:r>
              <w:rPr>
                <w:rFonts w:hint="eastAsia" w:ascii="宋体" w:hAnsi="宋体" w:eastAsia="宋体" w:cs="宋体"/>
                <w:color w:val="auto"/>
                <w:sz w:val="28"/>
                <w:szCs w:val="28"/>
                <w:vertAlign w:val="baseline"/>
                <w:lang w:val="en-US" w:eastAsia="zh-CN"/>
              </w:rPr>
              <w:t>；</w:t>
            </w:r>
          </w:p>
        </w:tc>
        <w:tc>
          <w:tcPr>
            <w:tcW w:w="1395" w:type="dxa"/>
            <w:vAlign w:val="center"/>
          </w:tcPr>
          <w:p w14:paraId="0694E1D8">
            <w:pPr>
              <w:widowControl/>
              <w:spacing w:line="460" w:lineRule="exact"/>
              <w:jc w:val="left"/>
              <w:textAlignment w:val="center"/>
              <w:rPr>
                <w:rFonts w:ascii="宋体" w:hAnsi="宋体" w:cs="宋体"/>
                <w:color w:val="auto"/>
                <w:sz w:val="24"/>
                <w:highlight w:val="none"/>
              </w:rPr>
            </w:pPr>
          </w:p>
        </w:tc>
        <w:tc>
          <w:tcPr>
            <w:tcW w:w="1450" w:type="dxa"/>
            <w:vAlign w:val="center"/>
          </w:tcPr>
          <w:p w14:paraId="08C65365">
            <w:pPr>
              <w:spacing w:line="480" w:lineRule="exact"/>
              <w:jc w:val="left"/>
              <w:rPr>
                <w:rFonts w:ascii="宋体" w:hAnsi="宋体" w:cs="宋体"/>
                <w:color w:val="auto"/>
                <w:sz w:val="28"/>
                <w:szCs w:val="28"/>
                <w:highlight w:val="none"/>
              </w:rPr>
            </w:pPr>
          </w:p>
        </w:tc>
      </w:tr>
      <w:tr w14:paraId="4A1F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B12DAB3">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15</w:t>
            </w:r>
          </w:p>
        </w:tc>
        <w:tc>
          <w:tcPr>
            <w:tcW w:w="5439" w:type="dxa"/>
            <w:vAlign w:val="center"/>
          </w:tcPr>
          <w:p w14:paraId="056DBBC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lang w:val="en-US" w:eastAsia="zh-CN"/>
              </w:rPr>
              <w:t xml:space="preserve"> 50kV/100pF高压标准电容器</w:t>
            </w:r>
          </w:p>
          <w:p w14:paraId="2C77FDB1">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.1 额定电压50kV，额定电容量100pF，测量误差±0.05%，实际电容量偏差 ＜±2%；</w:t>
            </w:r>
          </w:p>
        </w:tc>
        <w:tc>
          <w:tcPr>
            <w:tcW w:w="1395" w:type="dxa"/>
            <w:vAlign w:val="center"/>
          </w:tcPr>
          <w:p w14:paraId="458DCCEE">
            <w:pPr>
              <w:widowControl/>
              <w:spacing w:line="460" w:lineRule="exact"/>
              <w:jc w:val="left"/>
              <w:textAlignment w:val="center"/>
              <w:rPr>
                <w:rFonts w:ascii="宋体" w:hAnsi="宋体" w:cs="宋体"/>
                <w:color w:val="auto"/>
                <w:sz w:val="24"/>
                <w:highlight w:val="none"/>
              </w:rPr>
            </w:pPr>
          </w:p>
        </w:tc>
        <w:tc>
          <w:tcPr>
            <w:tcW w:w="1450" w:type="dxa"/>
            <w:vAlign w:val="center"/>
          </w:tcPr>
          <w:p w14:paraId="2CDDAD5C">
            <w:pPr>
              <w:spacing w:line="480" w:lineRule="exact"/>
              <w:jc w:val="left"/>
              <w:rPr>
                <w:rFonts w:ascii="宋体" w:hAnsi="宋体" w:cs="宋体"/>
                <w:color w:val="auto"/>
                <w:sz w:val="28"/>
                <w:szCs w:val="28"/>
                <w:highlight w:val="none"/>
              </w:rPr>
            </w:pPr>
          </w:p>
        </w:tc>
      </w:tr>
      <w:tr w14:paraId="3F6D5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CA2E8B0">
            <w:pPr>
              <w:spacing w:line="48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16</w:t>
            </w:r>
          </w:p>
        </w:tc>
        <w:tc>
          <w:tcPr>
            <w:tcW w:w="5439" w:type="dxa"/>
            <w:vAlign w:val="center"/>
          </w:tcPr>
          <w:p w14:paraId="4926D059">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bidi="ar-SA"/>
              </w:rPr>
            </w:pPr>
            <w:r>
              <w:rPr>
                <w:rFonts w:hint="eastAsia" w:ascii="宋体" w:hAnsi="宋体" w:eastAsia="宋体" w:cs="宋体"/>
                <w:color w:val="auto"/>
                <w:sz w:val="28"/>
                <w:szCs w:val="28"/>
                <w:lang w:bidi="ar-SA"/>
              </w:rPr>
              <w:t>★</w:t>
            </w: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.2 介质损耗tgδ＜1×10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lang w:val="en-US" w:eastAsia="zh-CN"/>
              </w:rPr>
              <w:t>，温度系数α＜5×10</w:t>
            </w:r>
            <w:r>
              <w:rPr>
                <w:rFonts w:hint="eastAsia" w:ascii="宋体" w:hAnsi="宋体" w:eastAsia="宋体" w:cs="宋体"/>
                <w:color w:val="auto"/>
                <w:sz w:val="28"/>
                <w:szCs w:val="28"/>
                <w:vertAlign w:val="superscript"/>
                <w:lang w:val="en-US" w:eastAsia="zh-CN"/>
              </w:rPr>
              <w:t>-5</w:t>
            </w:r>
            <w:r>
              <w:rPr>
                <w:rFonts w:hint="eastAsia" w:ascii="宋体" w:hAnsi="宋体" w:eastAsia="宋体" w:cs="宋体"/>
                <w:color w:val="auto"/>
                <w:sz w:val="28"/>
                <w:szCs w:val="28"/>
                <w:lang w:val="en-US" w:eastAsia="zh-CN"/>
              </w:rPr>
              <w:t>/℃，压力系数＜2.2×10</w:t>
            </w:r>
            <w:r>
              <w:rPr>
                <w:rFonts w:hint="eastAsia" w:ascii="宋体" w:hAnsi="宋体" w:eastAsia="宋体" w:cs="宋体"/>
                <w:color w:val="auto"/>
                <w:sz w:val="28"/>
                <w:szCs w:val="28"/>
                <w:vertAlign w:val="superscript"/>
                <w:lang w:val="en-US" w:eastAsia="zh-CN"/>
              </w:rPr>
              <w:t>-3</w:t>
            </w:r>
            <w:r>
              <w:rPr>
                <w:rFonts w:hint="eastAsia" w:ascii="宋体" w:hAnsi="宋体" w:eastAsia="宋体" w:cs="宋体"/>
                <w:color w:val="auto"/>
                <w:sz w:val="28"/>
                <w:szCs w:val="28"/>
                <w:lang w:val="en-US" w:eastAsia="zh-CN"/>
              </w:rPr>
              <w:t>/ Mpa</w:t>
            </w:r>
            <w:r>
              <w:rPr>
                <w:rFonts w:hint="eastAsia" w:ascii="宋体" w:hAnsi="宋体" w:eastAsia="宋体" w:cs="宋体"/>
                <w:color w:val="auto"/>
                <w:sz w:val="28"/>
                <w:szCs w:val="28"/>
                <w:vertAlign w:val="superscript"/>
                <w:lang w:val="en-US" w:eastAsia="zh-CN"/>
              </w:rPr>
              <w:t>-1</w:t>
            </w:r>
            <w:r>
              <w:rPr>
                <w:rFonts w:hint="eastAsia" w:ascii="宋体" w:hAnsi="宋体" w:eastAsia="宋体" w:cs="宋体"/>
                <w:color w:val="auto"/>
                <w:sz w:val="28"/>
                <w:szCs w:val="28"/>
                <w:vertAlign w:val="baseline"/>
                <w:lang w:val="en-US" w:eastAsia="zh-CN"/>
              </w:rPr>
              <w:t>；</w:t>
            </w:r>
          </w:p>
        </w:tc>
        <w:tc>
          <w:tcPr>
            <w:tcW w:w="1395" w:type="dxa"/>
            <w:vAlign w:val="center"/>
          </w:tcPr>
          <w:p w14:paraId="1DA98B06">
            <w:pPr>
              <w:widowControl/>
              <w:spacing w:line="460" w:lineRule="exact"/>
              <w:jc w:val="left"/>
              <w:textAlignment w:val="center"/>
              <w:rPr>
                <w:rFonts w:ascii="宋体" w:hAnsi="宋体" w:cs="宋体"/>
                <w:color w:val="auto"/>
                <w:sz w:val="24"/>
                <w:highlight w:val="none"/>
              </w:rPr>
            </w:pPr>
          </w:p>
        </w:tc>
        <w:tc>
          <w:tcPr>
            <w:tcW w:w="1450" w:type="dxa"/>
            <w:vAlign w:val="center"/>
          </w:tcPr>
          <w:p w14:paraId="27C94FF6">
            <w:pPr>
              <w:spacing w:line="480" w:lineRule="exact"/>
              <w:jc w:val="left"/>
              <w:rPr>
                <w:rFonts w:ascii="宋体" w:hAnsi="宋体" w:cs="宋体"/>
                <w:color w:val="auto"/>
                <w:sz w:val="28"/>
                <w:szCs w:val="28"/>
                <w:highlight w:val="none"/>
              </w:rPr>
            </w:pPr>
          </w:p>
        </w:tc>
      </w:tr>
      <w:tr w14:paraId="7FFBE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shd w:val="clear" w:color="auto" w:fill="auto"/>
            <w:vAlign w:val="center"/>
          </w:tcPr>
          <w:p w14:paraId="10B47585">
            <w:pPr>
              <w:spacing w:line="480" w:lineRule="exact"/>
              <w:jc w:val="left"/>
              <w:rPr>
                <w:rFonts w:ascii="宋体" w:hAnsi="宋体" w:cs="宋体"/>
                <w:color w:val="auto"/>
                <w:sz w:val="28"/>
                <w:szCs w:val="28"/>
                <w:highlight w:val="none"/>
              </w:rPr>
            </w:pPr>
            <w:r>
              <w:rPr>
                <w:rFonts w:hint="eastAsia" w:ascii="宋体" w:hAnsi="宋体" w:eastAsia="宋体" w:cs="宋体"/>
                <w:b/>
                <w:bCs/>
                <w:color w:val="auto"/>
                <w:sz w:val="28"/>
                <w:szCs w:val="28"/>
                <w:lang w:val="en-US" w:eastAsia="zh-CN"/>
              </w:rPr>
              <w:t>（6）介质强度测试系统</w:t>
            </w:r>
          </w:p>
        </w:tc>
      </w:tr>
      <w:tr w14:paraId="1AB09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7B9143D">
            <w:pPr>
              <w:spacing w:line="48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17</w:t>
            </w:r>
          </w:p>
        </w:tc>
        <w:tc>
          <w:tcPr>
            <w:tcW w:w="5439" w:type="dxa"/>
            <w:vAlign w:val="center"/>
          </w:tcPr>
          <w:p w14:paraId="3085BA2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w:t>
            </w: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lang w:val="en-US" w:eastAsia="zh-CN"/>
              </w:rPr>
              <w:t>）其他要求</w:t>
            </w:r>
          </w:p>
          <w:p w14:paraId="7940CCFA">
            <w:pPr>
              <w:numPr>
                <w:ilvl w:val="0"/>
                <w:numId w:val="0"/>
              </w:numPr>
              <w:wordWrap/>
              <w:adjustRightInd/>
              <w:snapToGrid/>
              <w:spacing w:before="0" w:line="460" w:lineRule="exact"/>
              <w:ind w:right="0" w:firstLine="560" w:firstLineChars="200"/>
              <w:jc w:val="left"/>
              <w:rPr>
                <w:rFonts w:hint="eastAsia" w:ascii="宋体" w:hAnsi="宋体" w:eastAsia="宋体" w:cs="宋体"/>
                <w:color w:val="auto"/>
                <w:sz w:val="28"/>
                <w:szCs w:val="28"/>
                <w:lang w:bidi="ar-SA"/>
              </w:rPr>
            </w:pPr>
            <w:r>
              <w:rPr>
                <w:rFonts w:hint="eastAsia" w:ascii="宋体" w:hAnsi="宋体" w:eastAsia="宋体" w:cs="宋体"/>
                <w:color w:val="auto"/>
                <w:sz w:val="28"/>
                <w:szCs w:val="28"/>
                <w:lang w:bidi="ar-SA"/>
              </w:rPr>
              <w:t>★</w:t>
            </w:r>
            <w:r>
              <w:rPr>
                <w:rFonts w:hint="eastAsia" w:ascii="宋体" w:hAnsi="宋体" w:cs="宋体"/>
                <w:color w:val="auto"/>
                <w:sz w:val="28"/>
                <w:szCs w:val="28"/>
                <w:lang w:val="en-US" w:eastAsia="zh-CN"/>
              </w:rPr>
              <w:t>7.1 供应商需提供本次采购设备的设计规划图，包含屏蔽房和控制室布局、加热循环测试系统及冲击电压测试系统设备位置和控制室布局，试验区域需要装配高度不低于1.8m的带联锁功能的隔离围栏。</w:t>
            </w:r>
          </w:p>
        </w:tc>
        <w:tc>
          <w:tcPr>
            <w:tcW w:w="1395" w:type="dxa"/>
            <w:vAlign w:val="center"/>
          </w:tcPr>
          <w:p w14:paraId="0EE27DF0">
            <w:pPr>
              <w:widowControl/>
              <w:spacing w:line="460" w:lineRule="exact"/>
              <w:jc w:val="left"/>
              <w:textAlignment w:val="center"/>
              <w:rPr>
                <w:rFonts w:ascii="宋体" w:hAnsi="宋体" w:cs="宋体"/>
                <w:color w:val="auto"/>
                <w:sz w:val="24"/>
                <w:highlight w:val="none"/>
              </w:rPr>
            </w:pPr>
          </w:p>
        </w:tc>
        <w:tc>
          <w:tcPr>
            <w:tcW w:w="1450" w:type="dxa"/>
            <w:vAlign w:val="center"/>
          </w:tcPr>
          <w:p w14:paraId="3A4BF785">
            <w:pPr>
              <w:spacing w:line="480" w:lineRule="exact"/>
              <w:jc w:val="left"/>
              <w:rPr>
                <w:rFonts w:ascii="宋体" w:hAnsi="宋体" w:cs="宋体"/>
                <w:color w:val="auto"/>
                <w:sz w:val="28"/>
                <w:szCs w:val="28"/>
                <w:highlight w:val="none"/>
              </w:rPr>
            </w:pPr>
          </w:p>
        </w:tc>
      </w:tr>
    </w:tbl>
    <w:p w14:paraId="098EBA68">
      <w:pPr>
        <w:spacing w:line="480" w:lineRule="exact"/>
        <w:jc w:val="center"/>
        <w:rPr>
          <w:rFonts w:ascii="宋体" w:hAnsi="宋体" w:cs="宋体"/>
          <w:b/>
          <w:color w:val="auto"/>
          <w:sz w:val="28"/>
          <w:szCs w:val="28"/>
          <w:highlight w:val="none"/>
        </w:rPr>
      </w:pPr>
    </w:p>
    <w:p w14:paraId="7F173121">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13</w:t>
      </w:r>
      <w:r>
        <w:rPr>
          <w:rFonts w:hint="eastAsia" w:ascii="宋体" w:hAnsi="宋体" w:cs="宋体"/>
          <w:color w:val="auto"/>
          <w:sz w:val="28"/>
          <w:szCs w:val="28"/>
          <w:highlight w:val="none"/>
        </w:rPr>
        <w:t>-1  证明材料1，证明材料2，……</w:t>
      </w:r>
    </w:p>
    <w:p w14:paraId="6FCEF222">
      <w:pPr>
        <w:spacing w:line="480" w:lineRule="exact"/>
        <w:rPr>
          <w:rFonts w:ascii="宋体" w:hAnsi="宋体" w:cs="宋体"/>
          <w:color w:val="auto"/>
          <w:sz w:val="28"/>
          <w:szCs w:val="28"/>
          <w:highlight w:val="none"/>
        </w:rPr>
      </w:pPr>
    </w:p>
    <w:p w14:paraId="0A1A13A2">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1FBC73E9">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1.投标人需对技术要求逐条做出明确响应。</w:t>
      </w:r>
    </w:p>
    <w:p w14:paraId="75F1F9AA">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w:t>
      </w:r>
      <w:r>
        <w:rPr>
          <w:rFonts w:hint="eastAsia" w:ascii="宋体" w:hAnsi="宋体" w:cs="宋体"/>
          <w:color w:val="auto"/>
          <w:sz w:val="28"/>
          <w:szCs w:val="28"/>
          <w:highlight w:val="none"/>
          <w:lang w:eastAsia="zh-CN"/>
        </w:rPr>
        <w:t>或承诺书</w:t>
      </w:r>
      <w:r>
        <w:rPr>
          <w:rFonts w:hint="eastAsia" w:ascii="宋体" w:hAnsi="宋体" w:cs="宋体"/>
          <w:color w:val="auto"/>
          <w:sz w:val="28"/>
          <w:szCs w:val="28"/>
          <w:highlight w:val="none"/>
        </w:rPr>
        <w:t>，投标人需将证明材料列于该表之下。</w:t>
      </w:r>
    </w:p>
    <w:p w14:paraId="6F4E729D">
      <w:pPr>
        <w:snapToGrid w:val="0"/>
        <w:spacing w:line="300" w:lineRule="auto"/>
        <w:rPr>
          <w:rFonts w:hint="eastAsia" w:ascii="宋体" w:hAnsi="宋体" w:cs="宋体"/>
          <w:color w:val="auto"/>
          <w:sz w:val="32"/>
          <w:szCs w:val="32"/>
          <w:highlight w:val="none"/>
        </w:rPr>
        <w:sectPr>
          <w:pgSz w:w="11906" w:h="16838"/>
          <w:pgMar w:top="1440" w:right="1797" w:bottom="1440" w:left="1797" w:header="851" w:footer="992" w:gutter="0"/>
          <w:cols w:space="720" w:num="1"/>
          <w:docGrid w:type="lines" w:linePitch="312" w:charSpace="0"/>
        </w:sectPr>
      </w:pPr>
    </w:p>
    <w:p w14:paraId="76DD57FF">
      <w:pPr>
        <w:snapToGrid w:val="0"/>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附件1</w:t>
      </w:r>
      <w:r>
        <w:rPr>
          <w:rFonts w:hint="eastAsia" w:ascii="宋体" w:hAnsi="宋体" w:cs="宋体"/>
          <w:color w:val="auto"/>
          <w:sz w:val="32"/>
          <w:szCs w:val="32"/>
          <w:highlight w:val="none"/>
          <w:lang w:val="en-US" w:eastAsia="zh-CN"/>
        </w:rPr>
        <w:t>4</w:t>
      </w:r>
    </w:p>
    <w:p w14:paraId="6173C7CA">
      <w:pPr>
        <w:spacing w:line="460" w:lineRule="exact"/>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0B2B653">
      <w:pPr>
        <w:adjustRightInd w:val="0"/>
        <w:snapToGrid w:val="0"/>
        <w:spacing w:beforeLines="100" w:line="460" w:lineRule="exact"/>
        <w:outlineLvl w:val="1"/>
        <w:rPr>
          <w:rFonts w:ascii="宋体" w:hAnsi="宋体" w:cs="宋体"/>
          <w:bCs/>
          <w:color w:val="auto"/>
          <w:sz w:val="28"/>
          <w:szCs w:val="28"/>
          <w:highlight w:val="none"/>
        </w:rPr>
      </w:pPr>
      <w:bookmarkStart w:id="177" w:name="_Toc31083"/>
      <w:r>
        <w:rPr>
          <w:rFonts w:hint="eastAsia" w:ascii="宋体" w:hAnsi="宋体" w:cs="宋体"/>
          <w:bCs/>
          <w:color w:val="auto"/>
          <w:sz w:val="28"/>
          <w:szCs w:val="28"/>
          <w:highlight w:val="none"/>
        </w:rPr>
        <w:t>一、质疑投标人基本信息</w:t>
      </w:r>
      <w:bookmarkEnd w:id="177"/>
    </w:p>
    <w:p w14:paraId="6290A38B">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质疑投标人：</w:t>
      </w:r>
    </w:p>
    <w:p w14:paraId="3084C2AF">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34168DB5">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564B08DE">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1696165F">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4E4D1272">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4AE9A6D8">
      <w:pPr>
        <w:adjustRightInd w:val="0"/>
        <w:snapToGrid w:val="0"/>
        <w:spacing w:line="460" w:lineRule="exact"/>
        <w:outlineLvl w:val="1"/>
        <w:rPr>
          <w:rFonts w:ascii="宋体" w:hAnsi="宋体" w:cs="宋体"/>
          <w:bCs/>
          <w:color w:val="auto"/>
          <w:sz w:val="28"/>
          <w:szCs w:val="28"/>
          <w:highlight w:val="none"/>
        </w:rPr>
      </w:pPr>
      <w:bookmarkStart w:id="178" w:name="_Toc10335"/>
      <w:r>
        <w:rPr>
          <w:rFonts w:hint="eastAsia" w:ascii="宋体" w:hAnsi="宋体" w:cs="宋体"/>
          <w:bCs/>
          <w:color w:val="auto"/>
          <w:sz w:val="28"/>
          <w:szCs w:val="28"/>
          <w:highlight w:val="none"/>
        </w:rPr>
        <w:t>二、质疑项目基本情况</w:t>
      </w:r>
      <w:bookmarkEnd w:id="178"/>
    </w:p>
    <w:p w14:paraId="146CD3C0">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32EED477">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7F920D54">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招标人名称：</w:t>
      </w:r>
    </w:p>
    <w:p w14:paraId="3C2DF006">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招标文件获取日期：</w:t>
      </w:r>
    </w:p>
    <w:p w14:paraId="38C1A61F">
      <w:pPr>
        <w:adjustRightInd w:val="0"/>
        <w:snapToGrid w:val="0"/>
        <w:spacing w:line="460" w:lineRule="exact"/>
        <w:outlineLvl w:val="1"/>
        <w:rPr>
          <w:rFonts w:ascii="宋体" w:hAnsi="宋体" w:cs="宋体"/>
          <w:bCs/>
          <w:color w:val="auto"/>
          <w:sz w:val="28"/>
          <w:szCs w:val="28"/>
          <w:highlight w:val="none"/>
        </w:rPr>
      </w:pPr>
      <w:bookmarkStart w:id="179" w:name="_Toc16480"/>
      <w:r>
        <w:rPr>
          <w:rFonts w:hint="eastAsia" w:ascii="宋体" w:hAnsi="宋体" w:cs="宋体"/>
          <w:bCs/>
          <w:color w:val="auto"/>
          <w:sz w:val="28"/>
          <w:szCs w:val="28"/>
          <w:highlight w:val="none"/>
        </w:rPr>
        <w:t>三、质疑事项具体内容</w:t>
      </w:r>
      <w:bookmarkEnd w:id="179"/>
    </w:p>
    <w:p w14:paraId="5973EE74">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75DBAD6D">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B56BF93">
      <w:pPr>
        <w:adjustRightInd w:val="0"/>
        <w:snapToGrid w:val="0"/>
        <w:spacing w:line="460" w:lineRule="exact"/>
        <w:rPr>
          <w:rFonts w:ascii="宋体" w:hAnsi="宋体" w:cs="宋体"/>
          <w:color w:val="auto"/>
          <w:sz w:val="28"/>
          <w:szCs w:val="28"/>
          <w:highlight w:val="none"/>
        </w:rPr>
      </w:pPr>
    </w:p>
    <w:p w14:paraId="03CD0206">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1BA89D83">
      <w:pPr>
        <w:adjustRightInd w:val="0"/>
        <w:snapToGrid w:val="0"/>
        <w:spacing w:line="460" w:lineRule="exact"/>
        <w:rPr>
          <w:rFonts w:ascii="宋体" w:hAnsi="宋体" w:cs="宋体"/>
          <w:color w:val="auto"/>
          <w:sz w:val="28"/>
          <w:szCs w:val="28"/>
          <w:highlight w:val="none"/>
          <w:u w:val="dotted"/>
        </w:rPr>
      </w:pPr>
    </w:p>
    <w:p w14:paraId="706FE88C">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E8BE4A">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w:t>
      </w:r>
    </w:p>
    <w:p w14:paraId="4555D1F1">
      <w:pPr>
        <w:adjustRightInd w:val="0"/>
        <w:snapToGrid w:val="0"/>
        <w:spacing w:line="460" w:lineRule="exact"/>
        <w:outlineLvl w:val="1"/>
        <w:rPr>
          <w:rFonts w:ascii="宋体" w:hAnsi="宋体" w:cs="宋体"/>
          <w:bCs/>
          <w:color w:val="auto"/>
          <w:sz w:val="28"/>
          <w:szCs w:val="28"/>
          <w:highlight w:val="none"/>
        </w:rPr>
      </w:pPr>
      <w:bookmarkStart w:id="180" w:name="_Toc21173"/>
      <w:r>
        <w:rPr>
          <w:rFonts w:hint="eastAsia" w:ascii="宋体" w:hAnsi="宋体" w:cs="宋体"/>
          <w:bCs/>
          <w:color w:val="auto"/>
          <w:sz w:val="28"/>
          <w:szCs w:val="28"/>
          <w:highlight w:val="none"/>
        </w:rPr>
        <w:t>四、与质疑事项相关的质疑请求</w:t>
      </w:r>
      <w:bookmarkEnd w:id="180"/>
    </w:p>
    <w:p w14:paraId="24B9E485">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5DE696CD">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1F6E347B">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45DF136E">
      <w:pPr>
        <w:adjustRightInd w:val="0"/>
        <w:snapToGrid w:val="0"/>
        <w:spacing w:line="460" w:lineRule="exact"/>
        <w:rPr>
          <w:rFonts w:ascii="宋体" w:hAnsi="宋体" w:cs="宋体"/>
          <w:color w:val="auto"/>
          <w:sz w:val="28"/>
          <w:szCs w:val="28"/>
          <w:highlight w:val="none"/>
        </w:rPr>
      </w:pPr>
    </w:p>
    <w:p w14:paraId="0A1C09C2">
      <w:pPr>
        <w:spacing w:line="460" w:lineRule="exact"/>
        <w:rPr>
          <w:rFonts w:ascii="宋体" w:hAnsi="宋体" w:cs="宋体"/>
          <w:b/>
          <w:color w:val="auto"/>
          <w:sz w:val="28"/>
          <w:szCs w:val="28"/>
          <w:highlight w:val="none"/>
        </w:rPr>
      </w:pPr>
    </w:p>
    <w:p w14:paraId="2718704D">
      <w:pPr>
        <w:spacing w:line="460" w:lineRule="exact"/>
        <w:rPr>
          <w:rFonts w:ascii="宋体" w:hAnsi="宋体" w:cs="宋体"/>
          <w:b/>
          <w:color w:val="auto"/>
          <w:sz w:val="28"/>
          <w:szCs w:val="28"/>
          <w:highlight w:val="none"/>
        </w:rPr>
      </w:pPr>
    </w:p>
    <w:p w14:paraId="509FFE4A">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7F7ED658">
      <w:pPr>
        <w:widowControl/>
        <w:spacing w:line="460" w:lineRule="exact"/>
        <w:ind w:firstLine="560" w:firstLineChars="200"/>
        <w:jc w:val="left"/>
        <w:outlineLvl w:val="2"/>
        <w:rPr>
          <w:rFonts w:ascii="宋体" w:hAnsi="宋体" w:cs="宋体"/>
          <w:color w:val="auto"/>
          <w:sz w:val="28"/>
          <w:szCs w:val="28"/>
          <w:highlight w:val="none"/>
        </w:rPr>
      </w:pPr>
      <w:bookmarkStart w:id="181" w:name="_Toc29150"/>
      <w:r>
        <w:rPr>
          <w:rFonts w:hint="eastAsia" w:ascii="宋体" w:hAnsi="宋体" w:cs="宋体"/>
          <w:color w:val="auto"/>
          <w:sz w:val="28"/>
          <w:szCs w:val="28"/>
          <w:highlight w:val="none"/>
        </w:rPr>
        <w:t>1.投标人提出质疑时，应提交质疑函和必要的证明材料。</w:t>
      </w:r>
      <w:bookmarkEnd w:id="181"/>
    </w:p>
    <w:p w14:paraId="0E28945C">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2.质疑投标人若委托代理人进行质疑的，质疑函应按要求列明“授权代表”的有关内容，并在附件中提交由质疑</w:t>
      </w:r>
      <w:r>
        <w:rPr>
          <w:rFonts w:hint="eastAsia" w:ascii="宋体" w:hAnsi="宋体" w:cs="宋体"/>
          <w:color w:val="auto"/>
          <w:kern w:val="0"/>
          <w:sz w:val="28"/>
          <w:szCs w:val="28"/>
          <w:highlight w:val="none"/>
        </w:rPr>
        <w:t>投标人签署的授权委托书。授权委托书应载明代理人的姓名或者名称、代理事项、具体权限、期限和相关事项。</w:t>
      </w:r>
    </w:p>
    <w:p w14:paraId="22BD4EB3">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3.质疑投标人若对项目的某一分包进行质疑，质疑函中应列明具体分包号。</w:t>
      </w:r>
    </w:p>
    <w:p w14:paraId="5A72ADA7">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7AF7ABCC">
      <w:pPr>
        <w:widowControl/>
        <w:spacing w:line="460" w:lineRule="exact"/>
        <w:ind w:firstLine="560" w:firstLineChars="200"/>
        <w:jc w:val="left"/>
        <w:outlineLvl w:val="2"/>
        <w:rPr>
          <w:rFonts w:ascii="宋体" w:hAnsi="宋体" w:cs="宋体"/>
          <w:color w:val="auto"/>
          <w:sz w:val="28"/>
          <w:szCs w:val="28"/>
          <w:highlight w:val="none"/>
        </w:rPr>
      </w:pPr>
      <w:bookmarkStart w:id="182" w:name="_Toc8790"/>
      <w:r>
        <w:rPr>
          <w:rFonts w:hint="eastAsia" w:ascii="宋体" w:hAnsi="宋体" w:cs="宋体"/>
          <w:color w:val="auto"/>
          <w:sz w:val="28"/>
          <w:szCs w:val="28"/>
          <w:highlight w:val="none"/>
        </w:rPr>
        <w:t>5.质疑函的质疑请求应与质疑事项相关。</w:t>
      </w:r>
      <w:bookmarkEnd w:id="182"/>
    </w:p>
    <w:p w14:paraId="68BC3DB9">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6.质疑投标人为自然人的，质疑函应由本人签字；质疑投标人为法人或者其他组织的，质疑函应由法定代表人、主要负责人，或者其授权代表签字或者盖章，并加盖公章。</w:t>
      </w:r>
    </w:p>
    <w:p w14:paraId="08FE5208">
      <w:pPr>
        <w:snapToGrid w:val="0"/>
        <w:spacing w:line="300" w:lineRule="auto"/>
        <w:rPr>
          <w:rFonts w:ascii="宋体" w:hAnsi="宋体" w:cs="宋体"/>
          <w:color w:val="auto"/>
          <w:sz w:val="28"/>
          <w:szCs w:val="28"/>
          <w:highlight w:val="none"/>
        </w:rPr>
      </w:pPr>
    </w:p>
    <w:p w14:paraId="68036836">
      <w:pPr>
        <w:widowControl/>
        <w:ind w:firstLine="560" w:firstLineChars="200"/>
        <w:jc w:val="left"/>
        <w:rPr>
          <w:rFonts w:ascii="宋体" w:hAnsi="宋体" w:cs="宋体"/>
          <w:color w:val="auto"/>
          <w:sz w:val="28"/>
          <w:szCs w:val="28"/>
          <w:highlight w:val="none"/>
        </w:rPr>
      </w:pPr>
    </w:p>
    <w:p w14:paraId="42EB766B">
      <w:pPr>
        <w:widowControl/>
        <w:ind w:firstLine="560" w:firstLineChars="200"/>
        <w:jc w:val="left"/>
        <w:rPr>
          <w:rFonts w:ascii="宋体" w:hAnsi="宋体" w:cs="宋体"/>
          <w:color w:val="auto"/>
          <w:sz w:val="28"/>
          <w:szCs w:val="28"/>
          <w:highlight w:val="none"/>
        </w:rPr>
      </w:pPr>
    </w:p>
    <w:p w14:paraId="31D2AEB5">
      <w:pPr>
        <w:widowControl/>
        <w:ind w:firstLine="560" w:firstLineChars="200"/>
        <w:jc w:val="left"/>
        <w:rPr>
          <w:rFonts w:ascii="宋体" w:hAnsi="宋体" w:cs="宋体"/>
          <w:color w:val="auto"/>
          <w:sz w:val="28"/>
          <w:szCs w:val="28"/>
          <w:highlight w:val="none"/>
        </w:rPr>
      </w:pPr>
    </w:p>
    <w:p w14:paraId="16B323AB">
      <w:pPr>
        <w:widowControl/>
        <w:ind w:firstLine="560" w:firstLineChars="200"/>
        <w:jc w:val="left"/>
        <w:rPr>
          <w:rFonts w:ascii="宋体" w:hAnsi="宋体" w:cs="宋体"/>
          <w:color w:val="auto"/>
          <w:sz w:val="28"/>
          <w:szCs w:val="28"/>
          <w:highlight w:val="none"/>
        </w:rPr>
      </w:pPr>
    </w:p>
    <w:p w14:paraId="413E7B03">
      <w:pPr>
        <w:widowControl/>
        <w:ind w:firstLine="560" w:firstLineChars="200"/>
        <w:jc w:val="left"/>
        <w:rPr>
          <w:rFonts w:ascii="宋体" w:hAnsi="宋体" w:cs="宋体"/>
          <w:color w:val="auto"/>
          <w:sz w:val="28"/>
          <w:szCs w:val="28"/>
          <w:highlight w:val="none"/>
        </w:rPr>
      </w:pPr>
    </w:p>
    <w:p w14:paraId="65C9A7F1">
      <w:pPr>
        <w:widowControl/>
        <w:ind w:firstLine="560" w:firstLineChars="200"/>
        <w:jc w:val="left"/>
        <w:rPr>
          <w:rFonts w:ascii="宋体" w:hAnsi="宋体" w:cs="宋体"/>
          <w:color w:val="auto"/>
          <w:sz w:val="28"/>
          <w:szCs w:val="28"/>
          <w:highlight w:val="none"/>
        </w:rPr>
      </w:pPr>
    </w:p>
    <w:p w14:paraId="336B65B8">
      <w:pPr>
        <w:widowControl/>
        <w:ind w:firstLine="560" w:firstLineChars="200"/>
        <w:jc w:val="left"/>
        <w:rPr>
          <w:rFonts w:ascii="宋体" w:hAnsi="宋体" w:cs="宋体"/>
          <w:color w:val="auto"/>
          <w:sz w:val="28"/>
          <w:szCs w:val="28"/>
          <w:highlight w:val="none"/>
        </w:rPr>
      </w:pPr>
    </w:p>
    <w:p w14:paraId="598DB40F">
      <w:pPr>
        <w:widowControl/>
        <w:ind w:firstLine="560" w:firstLineChars="200"/>
        <w:jc w:val="left"/>
        <w:rPr>
          <w:rFonts w:ascii="宋体" w:hAnsi="宋体" w:cs="宋体"/>
          <w:color w:val="auto"/>
          <w:sz w:val="28"/>
          <w:szCs w:val="28"/>
          <w:highlight w:val="none"/>
        </w:rPr>
      </w:pPr>
    </w:p>
    <w:p w14:paraId="57D910D5">
      <w:pPr>
        <w:widowControl/>
        <w:ind w:firstLine="560" w:firstLineChars="200"/>
        <w:jc w:val="left"/>
        <w:rPr>
          <w:rFonts w:ascii="宋体" w:hAnsi="宋体" w:cs="宋体"/>
          <w:color w:val="auto"/>
          <w:sz w:val="28"/>
          <w:szCs w:val="28"/>
          <w:highlight w:val="none"/>
        </w:rPr>
      </w:pPr>
    </w:p>
    <w:p w14:paraId="0FF6F3AB">
      <w:pPr>
        <w:widowControl/>
        <w:ind w:firstLine="560" w:firstLineChars="200"/>
        <w:jc w:val="left"/>
        <w:rPr>
          <w:rFonts w:ascii="宋体" w:hAnsi="宋体" w:cs="宋体"/>
          <w:color w:val="auto"/>
          <w:sz w:val="28"/>
          <w:szCs w:val="28"/>
          <w:highlight w:val="none"/>
        </w:rPr>
      </w:pPr>
    </w:p>
    <w:p w14:paraId="55D76C77">
      <w:pPr>
        <w:widowControl/>
        <w:ind w:firstLine="560" w:firstLineChars="200"/>
        <w:jc w:val="left"/>
        <w:rPr>
          <w:rFonts w:ascii="宋体" w:hAnsi="宋体" w:cs="宋体"/>
          <w:color w:val="auto"/>
          <w:sz w:val="28"/>
          <w:szCs w:val="28"/>
          <w:highlight w:val="none"/>
        </w:rPr>
      </w:pPr>
    </w:p>
    <w:p w14:paraId="4E176CEB">
      <w:pPr>
        <w:spacing w:line="120" w:lineRule="auto"/>
        <w:jc w:val="center"/>
        <w:rPr>
          <w:rFonts w:eastAsia="方正小标宋_GBK"/>
          <w:color w:val="auto"/>
          <w:sz w:val="44"/>
          <w:szCs w:val="44"/>
          <w:highlight w:val="none"/>
        </w:rPr>
      </w:pPr>
      <w:r>
        <w:rPr>
          <w:rFonts w:hint="eastAsia" w:eastAsia="方正小标宋_GBK"/>
          <w:color w:val="auto"/>
          <w:sz w:val="44"/>
          <w:szCs w:val="44"/>
          <w:highlight w:val="none"/>
        </w:rPr>
        <w:t>南通苏采招投标咨询服务有限公司</w:t>
      </w:r>
    </w:p>
    <w:p w14:paraId="7B9BF101">
      <w:pPr>
        <w:spacing w:line="120" w:lineRule="auto"/>
        <w:jc w:val="center"/>
        <w:rPr>
          <w:rFonts w:eastAsia="方正仿宋_GBK"/>
          <w:color w:val="auto"/>
          <w:sz w:val="30"/>
          <w:szCs w:val="30"/>
          <w:highlight w:val="none"/>
        </w:rPr>
      </w:pPr>
      <w:r>
        <w:rPr>
          <w:rFonts w:eastAsia="方正小标宋_GBK"/>
          <w:color w:val="auto"/>
          <w:sz w:val="44"/>
          <w:szCs w:val="44"/>
          <w:highlight w:val="none"/>
        </w:rPr>
        <w:t>政府采购供应商友情提醒</w:t>
      </w:r>
    </w:p>
    <w:p w14:paraId="0FDC81C5">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供应商在参与政府采购项目中的常见问题，现将有关常见问题提醒如下：</w:t>
      </w:r>
    </w:p>
    <w:p w14:paraId="3524FAC9">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一、如何参与政府采购项目？</w:t>
      </w:r>
    </w:p>
    <w:p w14:paraId="54F38C35">
      <w:pPr>
        <w:spacing w:line="500" w:lineRule="exact"/>
        <w:ind w:firstLine="600"/>
        <w:rPr>
          <w:rFonts w:eastAsia="方正仿宋_GBK"/>
          <w:color w:val="auto"/>
          <w:sz w:val="30"/>
          <w:szCs w:val="30"/>
          <w:highlight w:val="none"/>
        </w:rPr>
      </w:pPr>
      <w:r>
        <w:rPr>
          <w:rFonts w:eastAsia="方正仿宋_GBK"/>
          <w:color w:val="auto"/>
          <w:sz w:val="30"/>
          <w:szCs w:val="30"/>
          <w:highlight w:val="none"/>
        </w:rPr>
        <w:t>答：（1）潜在供应商如有意向参与</w:t>
      </w:r>
      <w:r>
        <w:rPr>
          <w:rFonts w:hint="eastAsia" w:eastAsia="方正仿宋_GBK"/>
          <w:color w:val="auto"/>
          <w:sz w:val="30"/>
          <w:szCs w:val="30"/>
          <w:highlight w:val="none"/>
        </w:rPr>
        <w:t>本公司</w:t>
      </w:r>
      <w:r>
        <w:rPr>
          <w:rFonts w:eastAsia="方正仿宋_GBK"/>
          <w:color w:val="auto"/>
          <w:sz w:val="30"/>
          <w:szCs w:val="30"/>
          <w:highlight w:val="none"/>
        </w:rPr>
        <w:t>政府采购项目，必须按照以下方法进行操作，方可视为参与成功。</w:t>
      </w:r>
    </w:p>
    <w:p w14:paraId="4B761C7D">
      <w:pPr>
        <w:spacing w:line="500" w:lineRule="exact"/>
        <w:ind w:firstLine="600"/>
        <w:rPr>
          <w:rFonts w:eastAsia="方正仿宋_GBK"/>
          <w:color w:val="auto"/>
          <w:sz w:val="30"/>
          <w:szCs w:val="30"/>
          <w:highlight w:val="none"/>
        </w:rPr>
      </w:pPr>
      <w:r>
        <w:rPr>
          <w:rFonts w:eastAsia="方正仿宋_GBK"/>
          <w:color w:val="auto"/>
          <w:sz w:val="30"/>
          <w:szCs w:val="30"/>
          <w:highlight w:val="none"/>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DE5EF32">
      <w:pPr>
        <w:spacing w:line="500" w:lineRule="exact"/>
        <w:ind w:firstLine="600"/>
        <w:rPr>
          <w:rFonts w:eastAsia="方正仿宋_GBK"/>
          <w:color w:val="auto"/>
          <w:sz w:val="30"/>
          <w:szCs w:val="30"/>
          <w:highlight w:val="none"/>
        </w:rPr>
      </w:pPr>
      <w:r>
        <w:rPr>
          <w:rFonts w:eastAsia="方正仿宋_GBK"/>
          <w:color w:val="auto"/>
          <w:sz w:val="30"/>
          <w:szCs w:val="30"/>
          <w:highlight w:val="none"/>
        </w:rPr>
        <w:t>采购文件及其附件（如有）会在江苏省政府采购网进行公示，供应商可前往江苏省政府采购网查看下载，请注意，</w:t>
      </w:r>
      <w:r>
        <w:rPr>
          <w:rFonts w:hint="eastAsia" w:eastAsia="方正仿宋_GBK"/>
          <w:color w:val="auto"/>
          <w:sz w:val="30"/>
          <w:szCs w:val="30"/>
          <w:highlight w:val="none"/>
        </w:rPr>
        <w:t>采购文件获取时限</w:t>
      </w:r>
      <w:r>
        <w:rPr>
          <w:rFonts w:eastAsia="方正仿宋_GBK"/>
          <w:color w:val="auto"/>
          <w:sz w:val="30"/>
          <w:szCs w:val="30"/>
          <w:highlight w:val="none"/>
        </w:rPr>
        <w:t>为</w:t>
      </w:r>
      <w:r>
        <w:rPr>
          <w:rFonts w:hint="eastAsia" w:eastAsia="方正仿宋_GBK"/>
          <w:color w:val="auto"/>
          <w:sz w:val="30"/>
          <w:szCs w:val="30"/>
          <w:highlight w:val="none"/>
        </w:rPr>
        <w:t>自</w:t>
      </w:r>
      <w:r>
        <w:rPr>
          <w:rFonts w:eastAsia="方正仿宋_GBK"/>
          <w:color w:val="auto"/>
          <w:sz w:val="30"/>
          <w:szCs w:val="30"/>
          <w:highlight w:val="none"/>
        </w:rPr>
        <w:t>采购公告发布之日起5个工作日内，仅在江苏省政府采购网下载</w:t>
      </w:r>
      <w:r>
        <w:rPr>
          <w:rFonts w:hint="eastAsia" w:eastAsia="方正仿宋_GBK"/>
          <w:color w:val="auto"/>
          <w:sz w:val="30"/>
          <w:szCs w:val="30"/>
          <w:highlight w:val="none"/>
        </w:rPr>
        <w:t>采购</w:t>
      </w:r>
      <w:r>
        <w:rPr>
          <w:rFonts w:eastAsia="方正仿宋_GBK"/>
          <w:color w:val="auto"/>
          <w:sz w:val="30"/>
          <w:szCs w:val="30"/>
          <w:highlight w:val="none"/>
        </w:rPr>
        <w:t>文件无法参与后续项目投标。</w:t>
      </w:r>
    </w:p>
    <w:p w14:paraId="69D72E7E">
      <w:pPr>
        <w:spacing w:line="500" w:lineRule="exact"/>
        <w:ind w:firstLine="600"/>
        <w:rPr>
          <w:rFonts w:eastAsia="方正仿宋_GBK"/>
          <w:color w:val="auto"/>
          <w:sz w:val="30"/>
          <w:szCs w:val="30"/>
          <w:highlight w:val="none"/>
        </w:rPr>
      </w:pPr>
      <w:r>
        <w:rPr>
          <w:rFonts w:eastAsia="方正仿宋_GBK"/>
          <w:color w:val="auto"/>
          <w:sz w:val="30"/>
          <w:szCs w:val="30"/>
          <w:highlight w:val="none"/>
        </w:rPr>
        <w:t>（2）“CA数字证书”的办理材料以及供应商操作手册详见：</w:t>
      </w:r>
    </w:p>
    <w:p w14:paraId="5712654C">
      <w:pPr>
        <w:spacing w:line="500" w:lineRule="exact"/>
        <w:ind w:firstLine="600"/>
        <w:rPr>
          <w:rFonts w:eastAsia="方正仿宋_GBK"/>
          <w:color w:val="auto"/>
          <w:sz w:val="30"/>
          <w:szCs w:val="30"/>
          <w:highlight w:val="none"/>
        </w:rPr>
      </w:pPr>
      <w:r>
        <w:rPr>
          <w:rFonts w:eastAsia="方正仿宋_GBK"/>
          <w:color w:val="auto"/>
          <w:sz w:val="30"/>
          <w:szCs w:val="30"/>
          <w:highlight w:val="none"/>
        </w:rPr>
        <w:t>http://www.ccgp-jiangsu.gov.cn/jiangsu/zlxz/ee/ee3a4bc5a3454aa2b0d9312230633ce9.html</w:t>
      </w:r>
    </w:p>
    <w:p w14:paraId="19C4EBB3">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二、如何正确填写《中小企业声明函》？</w:t>
      </w:r>
    </w:p>
    <w:p w14:paraId="2C71E2D6">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答：受中小企业扶持政策的供应商应当满足下列条件：在货物采购项目中，货物应当由中小企业</w:t>
      </w:r>
      <w:r>
        <w:rPr>
          <w:rFonts w:eastAsia="方正仿宋_GBK"/>
          <w:b/>
          <w:bCs/>
          <w:color w:val="auto"/>
          <w:sz w:val="30"/>
          <w:szCs w:val="30"/>
          <w:highlight w:val="none"/>
        </w:rPr>
        <w:t>制造</w:t>
      </w:r>
      <w:r>
        <w:rPr>
          <w:rFonts w:eastAsia="方正仿宋_GBK"/>
          <w:color w:val="auto"/>
          <w:sz w:val="30"/>
          <w:szCs w:val="30"/>
          <w:highlight w:val="none"/>
        </w:rPr>
        <w:t>，不对其中涉及的服务的承接商作出要求。货物类项目制造商在填写中小企业声明函时，需按照采购标的中的标的清单</w:t>
      </w:r>
      <w:r>
        <w:rPr>
          <w:rFonts w:eastAsia="方正仿宋_GBK"/>
          <w:b/>
          <w:bCs/>
          <w:color w:val="auto"/>
          <w:sz w:val="30"/>
          <w:szCs w:val="30"/>
          <w:highlight w:val="none"/>
        </w:rPr>
        <w:t>逐项进行响应</w:t>
      </w:r>
      <w:r>
        <w:rPr>
          <w:rFonts w:eastAsia="方正仿宋_GBK"/>
          <w:color w:val="auto"/>
          <w:sz w:val="30"/>
          <w:szCs w:val="30"/>
          <w:highlight w:val="none"/>
        </w:rPr>
        <w:t>；在工程采购项目中，工程应当由中小企业承建，不对其中涉及的货物的制造商和服务的承接商作出要求；在服务采购项目中，服务的承接商应当为中小企业，不对其中涉及的货物的制造商作出要求。</w:t>
      </w:r>
    </w:p>
    <w:p w14:paraId="671E213E">
      <w:pPr>
        <w:spacing w:line="500" w:lineRule="exact"/>
        <w:ind w:firstLine="600"/>
        <w:rPr>
          <w:rFonts w:eastAsia="方正仿宋_GBK"/>
          <w:color w:val="auto"/>
          <w:sz w:val="30"/>
          <w:szCs w:val="30"/>
          <w:highlight w:val="none"/>
        </w:rPr>
      </w:pPr>
      <w:r>
        <w:rPr>
          <w:rFonts w:eastAsia="方正仿宋_GBK"/>
          <w:color w:val="auto"/>
          <w:sz w:val="30"/>
          <w:szCs w:val="30"/>
          <w:highlight w:val="none"/>
        </w:rPr>
        <w:t>如采购项目允许分包，所有分包供应商也需按照采购项目的属性提供《中小企业声明函》，否则视为不享受中小企业扶持政策。</w:t>
      </w:r>
    </w:p>
    <w:p w14:paraId="2FE4974B">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三、填写附件的时候有哪些需要注意的？</w:t>
      </w:r>
    </w:p>
    <w:p w14:paraId="2B78452A">
      <w:pPr>
        <w:spacing w:line="500" w:lineRule="exact"/>
        <w:ind w:firstLine="600"/>
        <w:rPr>
          <w:rFonts w:eastAsia="方正仿宋_GBK"/>
          <w:color w:val="auto"/>
          <w:sz w:val="30"/>
          <w:szCs w:val="30"/>
          <w:highlight w:val="none"/>
        </w:rPr>
      </w:pPr>
      <w:r>
        <w:rPr>
          <w:rFonts w:eastAsia="方正仿宋_GBK"/>
          <w:color w:val="auto"/>
          <w:sz w:val="30"/>
          <w:szCs w:val="30"/>
          <w:highlight w:val="none"/>
        </w:rPr>
        <w:t>答：供应商需严格按照采购文件要求填写相关附件，如响应文件有要求提供承诺函且需供应商自拟格式的，请务必按照文件要求对所有需承诺内容进行逐项、完整响应，不得缺项漏项。</w:t>
      </w:r>
    </w:p>
    <w:p w14:paraId="7F7E90B0">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四、报价时有哪些注意事项？</w:t>
      </w:r>
    </w:p>
    <w:p w14:paraId="1DBE5CF6">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答：各供应商报价时应注意总报价不得高于最高限价。涉及分项报价有最高限价要求的，应当逐项审查；分项报价与总价存在换算关系的，应核对换算是否准确。</w:t>
      </w:r>
    </w:p>
    <w:p w14:paraId="76F35C59">
      <w:pPr>
        <w:spacing w:line="500" w:lineRule="exact"/>
        <w:ind w:firstLine="600"/>
        <w:rPr>
          <w:rFonts w:eastAsia="方正仿宋_GBK"/>
          <w:color w:val="auto"/>
          <w:sz w:val="30"/>
          <w:szCs w:val="30"/>
          <w:highlight w:val="none"/>
        </w:rPr>
      </w:pPr>
      <w:r>
        <w:rPr>
          <w:rFonts w:eastAsia="方正仿宋_GBK"/>
          <w:color w:val="auto"/>
          <w:sz w:val="30"/>
          <w:szCs w:val="30"/>
          <w:highlight w:val="none"/>
        </w:rPr>
        <w:t>此外，供应商最终报价</w:t>
      </w:r>
      <w:r>
        <w:rPr>
          <w:rFonts w:hint="eastAsia" w:eastAsia="方正仿宋_GBK"/>
          <w:color w:val="auto"/>
          <w:sz w:val="30"/>
          <w:szCs w:val="30"/>
          <w:highlight w:val="none"/>
        </w:rPr>
        <w:t>出现下列情形之一的，评审委员会将启动异常低价投标（响应）审查程序：</w:t>
      </w:r>
    </w:p>
    <w:p w14:paraId="6AC03891">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p>
    <w:p w14:paraId="63AD7C49">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p>
    <w:p w14:paraId="498E87EB">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lang w:val="en-US" w:eastAsia="zh-CN"/>
        </w:rPr>
        <w:t>3.</w:t>
      </w:r>
      <w:r>
        <w:rPr>
          <w:rFonts w:hint="eastAsia" w:eastAsia="方正仿宋_GBK"/>
          <w:color w:val="auto"/>
          <w:sz w:val="30"/>
          <w:szCs w:val="30"/>
          <w:highlight w:val="none"/>
        </w:rPr>
        <w:t>投标（响应）报价低于采购项目最高限价45%的，即投标（响应）报价&lt;采购项目最高限价×45%；</w:t>
      </w:r>
    </w:p>
    <w:p w14:paraId="3178C557">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lang w:val="en-US" w:eastAsia="zh-CN"/>
        </w:rPr>
        <w:t>4</w:t>
      </w:r>
      <w:r>
        <w:rPr>
          <w:rFonts w:hint="eastAsia" w:eastAsia="方正仿宋_GBK"/>
          <w:color w:val="auto"/>
          <w:sz w:val="30"/>
          <w:szCs w:val="30"/>
          <w:highlight w:val="none"/>
        </w:rPr>
        <w:t>.评审委员会认定的供应商报价过低、有可能影响产品质量或者不能诚信履约的其他情形。</w:t>
      </w:r>
    </w:p>
    <w:p w14:paraId="6005565C">
      <w:pPr>
        <w:spacing w:line="500" w:lineRule="exact"/>
        <w:ind w:firstLine="600"/>
        <w:rPr>
          <w:rFonts w:eastAsia="方正仿宋_GBK"/>
          <w:color w:val="auto"/>
          <w:sz w:val="30"/>
          <w:szCs w:val="30"/>
          <w:highlight w:val="none"/>
        </w:rPr>
      </w:pPr>
      <w:r>
        <w:rPr>
          <w:rFonts w:eastAsia="方正仿宋_GBK"/>
          <w:color w:val="auto"/>
          <w:sz w:val="30"/>
          <w:szCs w:val="30"/>
          <w:highlight w:val="none"/>
        </w:rPr>
        <w:t>启动异常低价投标（响应）审查后，评审委员会</w:t>
      </w:r>
      <w:r>
        <w:rPr>
          <w:rFonts w:hint="eastAsia" w:eastAsia="方正仿宋_GBK"/>
          <w:color w:val="auto"/>
          <w:sz w:val="30"/>
          <w:szCs w:val="30"/>
          <w:highlight w:val="none"/>
        </w:rPr>
        <w:t>将</w:t>
      </w:r>
      <w:r>
        <w:rPr>
          <w:rFonts w:eastAsia="方正仿宋_GBK"/>
          <w:color w:val="auto"/>
          <w:sz w:val="30"/>
          <w:szCs w:val="30"/>
          <w:highlight w:val="none"/>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6304EA7C">
      <w:pPr>
        <w:spacing w:line="500" w:lineRule="exact"/>
        <w:ind w:firstLine="600"/>
        <w:rPr>
          <w:rFonts w:eastAsia="方正仿宋_GBK"/>
          <w:color w:val="auto"/>
          <w:sz w:val="30"/>
          <w:szCs w:val="30"/>
          <w:highlight w:val="none"/>
        </w:rPr>
      </w:pPr>
      <w:r>
        <w:rPr>
          <w:rFonts w:eastAsia="方正仿宋_GBK"/>
          <w:color w:val="auto"/>
          <w:sz w:val="30"/>
          <w:szCs w:val="30"/>
          <w:highlight w:val="none"/>
        </w:rPr>
        <w:t>各</w:t>
      </w:r>
      <w:r>
        <w:rPr>
          <w:rFonts w:hint="eastAsia" w:eastAsia="方正仿宋_GBK"/>
          <w:color w:val="auto"/>
          <w:sz w:val="30"/>
          <w:szCs w:val="30"/>
          <w:highlight w:val="none"/>
        </w:rPr>
        <w:t>投标（响应）</w:t>
      </w:r>
      <w:r>
        <w:rPr>
          <w:rFonts w:eastAsia="方正仿宋_GBK"/>
          <w:color w:val="auto"/>
          <w:sz w:val="30"/>
          <w:szCs w:val="30"/>
          <w:highlight w:val="none"/>
        </w:rPr>
        <w:t>供应商应当</w:t>
      </w:r>
      <w:r>
        <w:rPr>
          <w:rFonts w:hint="eastAsia" w:eastAsia="方正仿宋_GBK"/>
          <w:color w:val="auto"/>
          <w:sz w:val="30"/>
          <w:szCs w:val="30"/>
          <w:highlight w:val="none"/>
        </w:rPr>
        <w:t>始终</w:t>
      </w:r>
      <w:r>
        <w:rPr>
          <w:rFonts w:eastAsia="方正仿宋_GBK"/>
          <w:color w:val="auto"/>
          <w:sz w:val="30"/>
          <w:szCs w:val="30"/>
          <w:highlight w:val="none"/>
        </w:rPr>
        <w:t>关注开标大厅</w:t>
      </w:r>
      <w:r>
        <w:rPr>
          <w:rFonts w:hint="eastAsia" w:eastAsia="方正仿宋_GBK"/>
          <w:color w:val="auto"/>
          <w:sz w:val="30"/>
          <w:szCs w:val="30"/>
          <w:highlight w:val="none"/>
        </w:rPr>
        <w:t>，</w:t>
      </w:r>
      <w:r>
        <w:rPr>
          <w:rFonts w:eastAsia="方正仿宋_GBK"/>
          <w:color w:val="auto"/>
          <w:sz w:val="30"/>
          <w:szCs w:val="30"/>
          <w:highlight w:val="none"/>
        </w:rPr>
        <w:t>并</w:t>
      </w:r>
      <w:r>
        <w:rPr>
          <w:rFonts w:hint="eastAsia" w:eastAsia="方正仿宋_GBK"/>
          <w:color w:val="auto"/>
          <w:sz w:val="30"/>
          <w:szCs w:val="30"/>
          <w:highlight w:val="none"/>
        </w:rPr>
        <w:t>及时</w:t>
      </w:r>
      <w:r>
        <w:rPr>
          <w:rFonts w:eastAsia="方正仿宋_GBK"/>
          <w:color w:val="auto"/>
          <w:sz w:val="30"/>
          <w:szCs w:val="30"/>
          <w:highlight w:val="none"/>
        </w:rPr>
        <w:t>进行响应。</w:t>
      </w:r>
      <w:r>
        <w:rPr>
          <w:rFonts w:hint="eastAsia" w:eastAsia="方正仿宋_GBK"/>
          <w:color w:val="auto"/>
          <w:sz w:val="30"/>
          <w:szCs w:val="30"/>
          <w:highlight w:val="none"/>
        </w:rPr>
        <w:t>如</w:t>
      </w:r>
      <w:r>
        <w:rPr>
          <w:rFonts w:eastAsia="方正仿宋_GBK"/>
          <w:color w:val="auto"/>
          <w:sz w:val="30"/>
          <w:szCs w:val="30"/>
          <w:highlight w:val="none"/>
        </w:rPr>
        <w:t>投标（响应）供应商不提供书面说明、证明材料，或者提供的书面说明、证明材料不能证明其报价合理性的，评审委员会</w:t>
      </w:r>
      <w:r>
        <w:rPr>
          <w:rFonts w:hint="eastAsia" w:eastAsia="方正仿宋_GBK"/>
          <w:color w:val="auto"/>
          <w:sz w:val="30"/>
          <w:szCs w:val="30"/>
          <w:highlight w:val="none"/>
        </w:rPr>
        <w:t>有权</w:t>
      </w:r>
      <w:r>
        <w:rPr>
          <w:rFonts w:eastAsia="方正仿宋_GBK"/>
          <w:color w:val="auto"/>
          <w:sz w:val="30"/>
          <w:szCs w:val="30"/>
          <w:highlight w:val="none"/>
        </w:rPr>
        <w:t>将其作为无效投标（响应）处理。</w:t>
      </w:r>
    </w:p>
    <w:p w14:paraId="6D7C187C">
      <w:pPr>
        <w:spacing w:line="500" w:lineRule="exact"/>
        <w:ind w:firstLine="600"/>
        <w:rPr>
          <w:rFonts w:eastAsia="方正仿宋_GBK"/>
          <w:color w:val="auto"/>
          <w:sz w:val="30"/>
          <w:szCs w:val="30"/>
          <w:highlight w:val="none"/>
        </w:rPr>
      </w:pPr>
      <w:r>
        <w:rPr>
          <w:rFonts w:eastAsia="方正仿宋_GBK"/>
          <w:color w:val="auto"/>
          <w:sz w:val="30"/>
          <w:szCs w:val="30"/>
          <w:highlight w:val="none"/>
        </w:rPr>
        <w:t>对报价异常低且经评审委员会启动相关审查机制后仍中标或成交的供应商，</w:t>
      </w:r>
      <w:r>
        <w:rPr>
          <w:rFonts w:hint="eastAsia" w:eastAsia="方正仿宋_GBK"/>
          <w:color w:val="auto"/>
          <w:sz w:val="30"/>
          <w:szCs w:val="30"/>
          <w:highlight w:val="none"/>
          <w:lang w:eastAsia="zh-CN"/>
        </w:rPr>
        <w:t>招标人</w:t>
      </w:r>
      <w:r>
        <w:rPr>
          <w:rFonts w:hint="eastAsia" w:eastAsia="方正仿宋_GBK"/>
          <w:color w:val="auto"/>
          <w:sz w:val="30"/>
          <w:szCs w:val="30"/>
          <w:highlight w:val="none"/>
        </w:rPr>
        <w:t>将</w:t>
      </w:r>
      <w:r>
        <w:rPr>
          <w:rFonts w:eastAsia="方正仿宋_GBK"/>
          <w:color w:val="auto"/>
          <w:sz w:val="30"/>
          <w:szCs w:val="30"/>
          <w:highlight w:val="none"/>
        </w:rPr>
        <w:t>重点关注其履约能力、履约承诺、实际履约情况等。</w:t>
      </w:r>
    </w:p>
    <w:p w14:paraId="39719902">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五、开评标过程中供应商的注意事项有哪些？</w:t>
      </w:r>
    </w:p>
    <w:p w14:paraId="6C8F58DF">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64C18783">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六、评标结束后什么时候能查询结果？如何查询？</w:t>
      </w:r>
    </w:p>
    <w:p w14:paraId="2F72023E">
      <w:pPr>
        <w:spacing w:line="500" w:lineRule="exact"/>
        <w:ind w:firstLine="600"/>
        <w:rPr>
          <w:rFonts w:eastAsia="方正仿宋_GBK"/>
          <w:color w:val="auto"/>
          <w:sz w:val="30"/>
          <w:szCs w:val="30"/>
          <w:highlight w:val="none"/>
        </w:rPr>
      </w:pPr>
      <w:r>
        <w:rPr>
          <w:rFonts w:eastAsia="方正仿宋_GBK"/>
          <w:color w:val="auto"/>
          <w:sz w:val="30"/>
          <w:szCs w:val="30"/>
          <w:highlight w:val="none"/>
        </w:rPr>
        <w:t>答：</w:t>
      </w:r>
      <w:r>
        <w:rPr>
          <w:rFonts w:hint="eastAsia" w:eastAsia="方正仿宋_GBK"/>
          <w:color w:val="auto"/>
          <w:sz w:val="30"/>
          <w:szCs w:val="30"/>
          <w:highlight w:val="none"/>
        </w:rPr>
        <w:t>对于采用公开招标或封闭式框架协议方式采购的项目，</w:t>
      </w:r>
      <w:r>
        <w:rPr>
          <w:rFonts w:eastAsia="方正仿宋_GBK"/>
          <w:color w:val="auto"/>
          <w:sz w:val="30"/>
          <w:szCs w:val="30"/>
          <w:highlight w:val="none"/>
        </w:rPr>
        <w:t>项目中标</w:t>
      </w:r>
      <w:r>
        <w:rPr>
          <w:rFonts w:hint="eastAsia" w:eastAsia="方正仿宋_GBK"/>
          <w:color w:val="auto"/>
          <w:sz w:val="30"/>
          <w:szCs w:val="30"/>
          <w:highlight w:val="none"/>
        </w:rPr>
        <w:t>（入围）</w:t>
      </w:r>
      <w:r>
        <w:rPr>
          <w:rFonts w:eastAsia="方正仿宋_GBK"/>
          <w:color w:val="auto"/>
          <w:sz w:val="30"/>
          <w:szCs w:val="30"/>
          <w:highlight w:val="none"/>
        </w:rPr>
        <w:t>公告</w:t>
      </w:r>
      <w:r>
        <w:rPr>
          <w:rFonts w:hint="eastAsia" w:eastAsia="方正仿宋_GBK"/>
          <w:color w:val="auto"/>
          <w:sz w:val="30"/>
          <w:szCs w:val="30"/>
          <w:highlight w:val="none"/>
        </w:rPr>
        <w:t>发布</w:t>
      </w:r>
      <w:r>
        <w:rPr>
          <w:rFonts w:eastAsia="方正仿宋_GBK"/>
          <w:color w:val="auto"/>
          <w:sz w:val="30"/>
          <w:szCs w:val="30"/>
          <w:highlight w:val="none"/>
        </w:rPr>
        <w:t>，参与供应商即可在</w:t>
      </w:r>
      <w:r>
        <w:rPr>
          <w:rFonts w:hint="eastAsia" w:eastAsia="方正仿宋_GBK"/>
          <w:color w:val="auto"/>
          <w:sz w:val="30"/>
          <w:szCs w:val="30"/>
          <w:highlight w:val="none"/>
        </w:rPr>
        <w:t>“</w:t>
      </w:r>
      <w:r>
        <w:rPr>
          <w:rFonts w:eastAsia="方正仿宋_GBK"/>
          <w:color w:val="auto"/>
          <w:sz w:val="30"/>
          <w:szCs w:val="30"/>
          <w:highlight w:val="none"/>
        </w:rPr>
        <w:t>苏采云</w:t>
      </w:r>
      <w:r>
        <w:rPr>
          <w:rFonts w:hint="eastAsia" w:eastAsia="方正仿宋_GBK"/>
          <w:color w:val="auto"/>
          <w:sz w:val="30"/>
          <w:szCs w:val="30"/>
          <w:highlight w:val="none"/>
        </w:rPr>
        <w:t>”</w:t>
      </w:r>
      <w:r>
        <w:rPr>
          <w:rFonts w:eastAsia="方正仿宋_GBK"/>
          <w:color w:val="auto"/>
          <w:sz w:val="30"/>
          <w:szCs w:val="30"/>
          <w:highlight w:val="none"/>
        </w:rPr>
        <w:t>系统中查看</w:t>
      </w:r>
      <w:r>
        <w:rPr>
          <w:rFonts w:hint="eastAsia" w:eastAsia="方正仿宋_GBK"/>
          <w:color w:val="auto"/>
          <w:sz w:val="30"/>
          <w:szCs w:val="30"/>
          <w:highlight w:val="none"/>
        </w:rPr>
        <w:t>评审</w:t>
      </w:r>
      <w:r>
        <w:rPr>
          <w:rFonts w:eastAsia="方正仿宋_GBK"/>
          <w:color w:val="auto"/>
          <w:sz w:val="30"/>
          <w:szCs w:val="30"/>
          <w:highlight w:val="none"/>
        </w:rPr>
        <w:t>结果。</w:t>
      </w:r>
    </w:p>
    <w:p w14:paraId="7BCEA83E">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供应商查询</w:t>
      </w:r>
      <w:r>
        <w:rPr>
          <w:rFonts w:hint="eastAsia" w:eastAsia="方正仿宋_GBK"/>
          <w:color w:val="auto"/>
          <w:sz w:val="30"/>
          <w:szCs w:val="30"/>
          <w:highlight w:val="none"/>
        </w:rPr>
        <w:t>评审</w:t>
      </w:r>
      <w:r>
        <w:rPr>
          <w:rFonts w:eastAsia="方正仿宋_GBK"/>
          <w:color w:val="auto"/>
          <w:sz w:val="30"/>
          <w:szCs w:val="30"/>
          <w:highlight w:val="none"/>
        </w:rPr>
        <w:t>结果的</w:t>
      </w:r>
      <w:r>
        <w:rPr>
          <w:rFonts w:hint="eastAsia" w:eastAsia="方正仿宋_GBK"/>
          <w:color w:val="auto"/>
          <w:sz w:val="30"/>
          <w:szCs w:val="30"/>
          <w:highlight w:val="none"/>
        </w:rPr>
        <w:t>路径</w:t>
      </w:r>
      <w:r>
        <w:rPr>
          <w:rFonts w:eastAsia="方正仿宋_GBK"/>
          <w:color w:val="auto"/>
          <w:sz w:val="30"/>
          <w:szCs w:val="30"/>
          <w:highlight w:val="none"/>
        </w:rPr>
        <w:t>为：</w:t>
      </w:r>
      <w:r>
        <w:rPr>
          <w:rFonts w:hint="eastAsia" w:eastAsia="方正仿宋_GBK"/>
          <w:color w:val="auto"/>
          <w:sz w:val="30"/>
          <w:szCs w:val="30"/>
          <w:highlight w:val="none"/>
        </w:rPr>
        <w:t>登录“苏采云”系统-</w:t>
      </w:r>
      <w:r>
        <w:rPr>
          <w:rFonts w:eastAsia="方正仿宋_GBK"/>
          <w:color w:val="auto"/>
          <w:sz w:val="30"/>
          <w:szCs w:val="30"/>
          <w:highlight w:val="none"/>
        </w:rPr>
        <w:t>点击【采购项目参与】-【评审结果查询】-点击【查看】按钮，进入评审结果详情页面。供应商可以查看到资格符合评审是否通过、评审总得分、排名和是否中标/成交。</w:t>
      </w:r>
    </w:p>
    <w:p w14:paraId="415D1199">
      <w:pPr>
        <w:rPr>
          <w:color w:val="auto"/>
          <w:highlight w:val="none"/>
        </w:rPr>
      </w:pPr>
    </w:p>
    <w:p w14:paraId="39748477">
      <w:pPr>
        <w:widowControl/>
        <w:jc w:val="left"/>
        <w:rPr>
          <w:rFonts w:ascii="宋体" w:hAnsi="宋体" w:cs="宋体"/>
          <w:color w:val="auto"/>
          <w:sz w:val="28"/>
          <w:szCs w:val="28"/>
          <w:highlight w:val="none"/>
        </w:rPr>
      </w:pP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1" w:fontKey="{500E62D2-4734-4D87-A4DE-0FDBEF101DAA}"/>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方正小标宋_GBK">
    <w:panose1 w:val="03000509000000000000"/>
    <w:charset w:val="86"/>
    <w:family w:val="script"/>
    <w:pitch w:val="default"/>
    <w:sig w:usb0="00000001" w:usb1="080E0000" w:usb2="00000000" w:usb3="00000000" w:csb0="00040000" w:csb1="00000000"/>
    <w:embedRegular r:id="rId2" w:fontKey="{ADCB8D92-7764-4EE1-8A7F-1E8B2138A134}"/>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魏碑_GBK">
    <w:panose1 w:val="03000509000000000000"/>
    <w:charset w:val="86"/>
    <w:family w:val="auto"/>
    <w:pitch w:val="default"/>
    <w:sig w:usb0="00000001" w:usb1="080E0000" w:usb2="00000000" w:usb3="00000000" w:csb0="00040000" w:csb1="00000000"/>
    <w:embedRegular r:id="rId3" w:fontKey="{A305F9C8-C547-41D6-A47F-3558391E90A4}"/>
  </w:font>
  <w:font w:name="方正仿宋_GBK">
    <w:panose1 w:val="02000000000000000000"/>
    <w:charset w:val="86"/>
    <w:family w:val="auto"/>
    <w:pitch w:val="default"/>
    <w:sig w:usb0="A00002BF" w:usb1="38CF7CFA" w:usb2="00082016" w:usb3="00000000" w:csb0="00040001" w:csb1="00000000"/>
    <w:embedRegular r:id="rId4" w:fontKey="{A7D940A9-187B-4CE3-9440-3B20B59D0014}"/>
  </w:font>
  <w:font w:name="WPSEMBED7">
    <w:panose1 w:val="03000509000000000000"/>
    <w:charset w:val="86"/>
    <w:family w:val="auto"/>
    <w:pitch w:val="default"/>
    <w:sig w:usb0="00000001" w:usb1="080E0000" w:usb2="00000000" w:usb3="00000000" w:csb0="00040000" w:csb1="00000000"/>
  </w:font>
  <w:font w:name="WPSEMBED8">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020B">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36FC1E1D">
                          <w:pPr>
                            <w:pStyle w:val="26"/>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59264;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0naTQ0gAAAAQBAAAPAAAAAAAAAAEAIAAAACIA&#10;AABkcnMvZG93bnJldi54bWxQSwECFAAUAAAACACHTuJAFfIsVw8CAAAQBAAADgAAAAAAAAABACAA&#10;AAAhAQAAZHJzL2Uyb0RvYy54bWxQSwUGAAAAAAYABgBZAQAAogUAAAAA&#10;">
              <v:fill on="f" focussize="0,0"/>
              <v:stroke on="f"/>
              <v:imagedata o:title=""/>
              <o:lock v:ext="edit" aspectratio="f"/>
              <v:textbox inset="0mm,0mm,0mm,0mm" style="mso-fit-shape-to-text:t;">
                <w:txbxContent>
                  <w:p w14:paraId="36FC1E1D">
                    <w:pPr>
                      <w:pStyle w:val="26"/>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5A412">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a:noFill/>
                      </a:ln>
                      <a:effectLst/>
                    </wps:spPr>
                    <wps:txbx>
                      <w:txbxContent>
                        <w:p w14:paraId="651E493A">
                          <w:pPr>
                            <w:pStyle w:val="26"/>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SdpNDSAAAABAEAAA8AAAAAAAAAAQAgAAAAIgAAAGRycy9kb3du&#10;cmV2LnhtbFBLAQIUABQAAAAIAIdO4kB8VPyUzAEAAJkDAAAOAAAAAAAAAAEAIAAAACEBAABkcnMv&#10;ZTJvRG9jLnhtbFBLBQYAAAAABgAGAFkBAABfBQAAAAA=&#10;">
              <v:fill on="f" focussize="0,0"/>
              <v:stroke on="f"/>
              <v:imagedata o:title=""/>
              <o:lock v:ext="edit" aspectratio="f"/>
              <v:textbox inset="0mm,0mm,0mm,0mm" style="mso-fit-shape-to-text:t;">
                <w:txbxContent>
                  <w:p w14:paraId="651E493A">
                    <w:pPr>
                      <w:pStyle w:val="26"/>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14DE4">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11426">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8578D">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728A7">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65E82">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ADF19">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8DA3F37"/>
    <w:multiLevelType w:val="multilevel"/>
    <w:tmpl w:val="38DA3F37"/>
    <w:lvl w:ilvl="0" w:tentative="0">
      <w:start w:val="1"/>
      <w:numFmt w:val="bullet"/>
      <w:pStyle w:val="12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NTBlZTJkMzNmMTJlYTRlNDRkMzg2YjliNjZmZjgifQ=="/>
    <w:docVar w:name="KGWebUrl" w:val="http://jszfcg.jscz.gov.cn/jszc/gateWay/joffice/office?access_token=b7c972ee-84cf-4a71-947c-3fbb566d966a"/>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0372"/>
    <w:rsid w:val="00071E47"/>
    <w:rsid w:val="00071F57"/>
    <w:rsid w:val="0007260D"/>
    <w:rsid w:val="00073424"/>
    <w:rsid w:val="00073BED"/>
    <w:rsid w:val="00074988"/>
    <w:rsid w:val="0007540B"/>
    <w:rsid w:val="00076AE9"/>
    <w:rsid w:val="00076F71"/>
    <w:rsid w:val="0007742F"/>
    <w:rsid w:val="00077662"/>
    <w:rsid w:val="0008009E"/>
    <w:rsid w:val="0008018D"/>
    <w:rsid w:val="00080CAF"/>
    <w:rsid w:val="00081396"/>
    <w:rsid w:val="00082843"/>
    <w:rsid w:val="00082CBF"/>
    <w:rsid w:val="000839F1"/>
    <w:rsid w:val="00084436"/>
    <w:rsid w:val="000849CD"/>
    <w:rsid w:val="00084DE0"/>
    <w:rsid w:val="00085157"/>
    <w:rsid w:val="00085D79"/>
    <w:rsid w:val="00085EFE"/>
    <w:rsid w:val="00085F63"/>
    <w:rsid w:val="000860FE"/>
    <w:rsid w:val="0008766A"/>
    <w:rsid w:val="00090915"/>
    <w:rsid w:val="00090BE7"/>
    <w:rsid w:val="00091B5C"/>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6661"/>
    <w:rsid w:val="000A7BC8"/>
    <w:rsid w:val="000A7EB6"/>
    <w:rsid w:val="000A7F6B"/>
    <w:rsid w:val="000B003D"/>
    <w:rsid w:val="000B07BD"/>
    <w:rsid w:val="000B0A49"/>
    <w:rsid w:val="000B15CC"/>
    <w:rsid w:val="000B1722"/>
    <w:rsid w:val="000B3041"/>
    <w:rsid w:val="000B46BC"/>
    <w:rsid w:val="000B5449"/>
    <w:rsid w:val="000B5677"/>
    <w:rsid w:val="000B58E2"/>
    <w:rsid w:val="000B6AFD"/>
    <w:rsid w:val="000B78B3"/>
    <w:rsid w:val="000B7BED"/>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DF"/>
    <w:rsid w:val="000E13C5"/>
    <w:rsid w:val="000E190A"/>
    <w:rsid w:val="000E29B5"/>
    <w:rsid w:val="000E3129"/>
    <w:rsid w:val="000E3178"/>
    <w:rsid w:val="000E386B"/>
    <w:rsid w:val="000E3BA3"/>
    <w:rsid w:val="000E66B5"/>
    <w:rsid w:val="000E6876"/>
    <w:rsid w:val="000E69A2"/>
    <w:rsid w:val="000E6D6C"/>
    <w:rsid w:val="000E6E2A"/>
    <w:rsid w:val="000E76D0"/>
    <w:rsid w:val="000E7DCC"/>
    <w:rsid w:val="000F07A2"/>
    <w:rsid w:val="000F1FA3"/>
    <w:rsid w:val="000F3E9B"/>
    <w:rsid w:val="000F4096"/>
    <w:rsid w:val="000F4358"/>
    <w:rsid w:val="000F553D"/>
    <w:rsid w:val="000F5999"/>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0773"/>
    <w:rsid w:val="0011159C"/>
    <w:rsid w:val="00113481"/>
    <w:rsid w:val="00113BB9"/>
    <w:rsid w:val="00114978"/>
    <w:rsid w:val="00114C84"/>
    <w:rsid w:val="00114F16"/>
    <w:rsid w:val="001153F6"/>
    <w:rsid w:val="001178DB"/>
    <w:rsid w:val="00117E6F"/>
    <w:rsid w:val="00122C11"/>
    <w:rsid w:val="00123015"/>
    <w:rsid w:val="001231D6"/>
    <w:rsid w:val="0012521A"/>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F1A"/>
    <w:rsid w:val="00145A1C"/>
    <w:rsid w:val="001462E0"/>
    <w:rsid w:val="00146479"/>
    <w:rsid w:val="00146643"/>
    <w:rsid w:val="00147766"/>
    <w:rsid w:val="00147A4A"/>
    <w:rsid w:val="00152826"/>
    <w:rsid w:val="00153710"/>
    <w:rsid w:val="001546EC"/>
    <w:rsid w:val="0015474F"/>
    <w:rsid w:val="00154AF5"/>
    <w:rsid w:val="00154C9F"/>
    <w:rsid w:val="00155E5A"/>
    <w:rsid w:val="00155ECE"/>
    <w:rsid w:val="0015612C"/>
    <w:rsid w:val="00156E3A"/>
    <w:rsid w:val="00157D64"/>
    <w:rsid w:val="001608D5"/>
    <w:rsid w:val="00161A82"/>
    <w:rsid w:val="0016272D"/>
    <w:rsid w:val="00162CB8"/>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4AD9"/>
    <w:rsid w:val="00184AF5"/>
    <w:rsid w:val="00185828"/>
    <w:rsid w:val="00185A94"/>
    <w:rsid w:val="00186126"/>
    <w:rsid w:val="0018665E"/>
    <w:rsid w:val="00186DF5"/>
    <w:rsid w:val="001875B3"/>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2FF7"/>
    <w:rsid w:val="001A4BF6"/>
    <w:rsid w:val="001A4C69"/>
    <w:rsid w:val="001A4E8F"/>
    <w:rsid w:val="001A51B7"/>
    <w:rsid w:val="001A7795"/>
    <w:rsid w:val="001A7B4C"/>
    <w:rsid w:val="001A7BFE"/>
    <w:rsid w:val="001B01C6"/>
    <w:rsid w:val="001B14E0"/>
    <w:rsid w:val="001B1E96"/>
    <w:rsid w:val="001B3348"/>
    <w:rsid w:val="001B4291"/>
    <w:rsid w:val="001B5076"/>
    <w:rsid w:val="001B5244"/>
    <w:rsid w:val="001B56B0"/>
    <w:rsid w:val="001B6558"/>
    <w:rsid w:val="001B6C7A"/>
    <w:rsid w:val="001B7843"/>
    <w:rsid w:val="001B7A08"/>
    <w:rsid w:val="001B7F42"/>
    <w:rsid w:val="001C0AC4"/>
    <w:rsid w:val="001C13E1"/>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530"/>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F1467"/>
    <w:rsid w:val="001F1694"/>
    <w:rsid w:val="001F16AE"/>
    <w:rsid w:val="001F1D23"/>
    <w:rsid w:val="001F1D43"/>
    <w:rsid w:val="001F2610"/>
    <w:rsid w:val="001F34D5"/>
    <w:rsid w:val="001F358D"/>
    <w:rsid w:val="001F466D"/>
    <w:rsid w:val="001F4DEE"/>
    <w:rsid w:val="001F517D"/>
    <w:rsid w:val="001F6156"/>
    <w:rsid w:val="001F622B"/>
    <w:rsid w:val="001F635C"/>
    <w:rsid w:val="001F72C3"/>
    <w:rsid w:val="001F72DB"/>
    <w:rsid w:val="00201A73"/>
    <w:rsid w:val="00201F4E"/>
    <w:rsid w:val="00202420"/>
    <w:rsid w:val="0020349E"/>
    <w:rsid w:val="002034E3"/>
    <w:rsid w:val="00203EB0"/>
    <w:rsid w:val="00204064"/>
    <w:rsid w:val="002044CF"/>
    <w:rsid w:val="0020473B"/>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5AD4"/>
    <w:rsid w:val="00225ED7"/>
    <w:rsid w:val="00226F12"/>
    <w:rsid w:val="00227B1A"/>
    <w:rsid w:val="0023036A"/>
    <w:rsid w:val="002304ED"/>
    <w:rsid w:val="00230F76"/>
    <w:rsid w:val="00231953"/>
    <w:rsid w:val="002323C9"/>
    <w:rsid w:val="00232418"/>
    <w:rsid w:val="0023372A"/>
    <w:rsid w:val="002340EC"/>
    <w:rsid w:val="00234BC9"/>
    <w:rsid w:val="00237012"/>
    <w:rsid w:val="002371FF"/>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6D65"/>
    <w:rsid w:val="002674FC"/>
    <w:rsid w:val="00267C26"/>
    <w:rsid w:val="00267CE1"/>
    <w:rsid w:val="00271209"/>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E4"/>
    <w:rsid w:val="0029448F"/>
    <w:rsid w:val="002953BA"/>
    <w:rsid w:val="00297900"/>
    <w:rsid w:val="002A11B9"/>
    <w:rsid w:val="002A1226"/>
    <w:rsid w:val="002A156B"/>
    <w:rsid w:val="002A2121"/>
    <w:rsid w:val="002A221F"/>
    <w:rsid w:val="002A27C2"/>
    <w:rsid w:val="002A28DD"/>
    <w:rsid w:val="002A31EB"/>
    <w:rsid w:val="002A432D"/>
    <w:rsid w:val="002A46DC"/>
    <w:rsid w:val="002A537C"/>
    <w:rsid w:val="002A5646"/>
    <w:rsid w:val="002A5B21"/>
    <w:rsid w:val="002A6112"/>
    <w:rsid w:val="002A73E5"/>
    <w:rsid w:val="002A775D"/>
    <w:rsid w:val="002B0137"/>
    <w:rsid w:val="002B2759"/>
    <w:rsid w:val="002B2F87"/>
    <w:rsid w:val="002B3238"/>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6DDA"/>
    <w:rsid w:val="002C7464"/>
    <w:rsid w:val="002C7D4D"/>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6F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659"/>
    <w:rsid w:val="002F354E"/>
    <w:rsid w:val="002F3654"/>
    <w:rsid w:val="002F3A00"/>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D2C"/>
    <w:rsid w:val="00313C9F"/>
    <w:rsid w:val="00314A90"/>
    <w:rsid w:val="00314C91"/>
    <w:rsid w:val="003172E7"/>
    <w:rsid w:val="00317F41"/>
    <w:rsid w:val="0032188C"/>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3BA4"/>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2311"/>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A8C"/>
    <w:rsid w:val="00387E64"/>
    <w:rsid w:val="00390CF5"/>
    <w:rsid w:val="003926C1"/>
    <w:rsid w:val="003926C9"/>
    <w:rsid w:val="00393134"/>
    <w:rsid w:val="00393422"/>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769"/>
    <w:rsid w:val="003C0ADC"/>
    <w:rsid w:val="003C290B"/>
    <w:rsid w:val="003C69F6"/>
    <w:rsid w:val="003C6BEE"/>
    <w:rsid w:val="003C7549"/>
    <w:rsid w:val="003C75E1"/>
    <w:rsid w:val="003D0866"/>
    <w:rsid w:val="003D0B09"/>
    <w:rsid w:val="003D1841"/>
    <w:rsid w:val="003D1E69"/>
    <w:rsid w:val="003D1F9B"/>
    <w:rsid w:val="003D201B"/>
    <w:rsid w:val="003D3555"/>
    <w:rsid w:val="003D3C66"/>
    <w:rsid w:val="003D3C71"/>
    <w:rsid w:val="003D419D"/>
    <w:rsid w:val="003D4480"/>
    <w:rsid w:val="003E017B"/>
    <w:rsid w:val="003E154C"/>
    <w:rsid w:val="003E3316"/>
    <w:rsid w:val="003E36FF"/>
    <w:rsid w:val="003E3FE6"/>
    <w:rsid w:val="003E4653"/>
    <w:rsid w:val="003E4C9C"/>
    <w:rsid w:val="003E5334"/>
    <w:rsid w:val="003E5F84"/>
    <w:rsid w:val="003E6058"/>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48B8"/>
    <w:rsid w:val="00416497"/>
    <w:rsid w:val="0041654F"/>
    <w:rsid w:val="0041717C"/>
    <w:rsid w:val="004214C7"/>
    <w:rsid w:val="00421885"/>
    <w:rsid w:val="004220FE"/>
    <w:rsid w:val="0042410A"/>
    <w:rsid w:val="004260D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17F"/>
    <w:rsid w:val="00445426"/>
    <w:rsid w:val="0044560A"/>
    <w:rsid w:val="00446D75"/>
    <w:rsid w:val="00446DB2"/>
    <w:rsid w:val="00447864"/>
    <w:rsid w:val="00451F81"/>
    <w:rsid w:val="004520AF"/>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E6C"/>
    <w:rsid w:val="004717E4"/>
    <w:rsid w:val="00471BE5"/>
    <w:rsid w:val="00472F1D"/>
    <w:rsid w:val="00473F45"/>
    <w:rsid w:val="00475BAC"/>
    <w:rsid w:val="00477808"/>
    <w:rsid w:val="00477C17"/>
    <w:rsid w:val="00480125"/>
    <w:rsid w:val="0048064D"/>
    <w:rsid w:val="00481CF4"/>
    <w:rsid w:val="00482AC2"/>
    <w:rsid w:val="00484BE4"/>
    <w:rsid w:val="00485409"/>
    <w:rsid w:val="004855F7"/>
    <w:rsid w:val="004859EA"/>
    <w:rsid w:val="00485ECB"/>
    <w:rsid w:val="00485EE2"/>
    <w:rsid w:val="00486224"/>
    <w:rsid w:val="004864BE"/>
    <w:rsid w:val="004869F6"/>
    <w:rsid w:val="00486B1D"/>
    <w:rsid w:val="00487133"/>
    <w:rsid w:val="00487660"/>
    <w:rsid w:val="00487D91"/>
    <w:rsid w:val="00487EF2"/>
    <w:rsid w:val="00490621"/>
    <w:rsid w:val="00490BE1"/>
    <w:rsid w:val="00490C75"/>
    <w:rsid w:val="004940E5"/>
    <w:rsid w:val="00494E7D"/>
    <w:rsid w:val="00495CB3"/>
    <w:rsid w:val="00496580"/>
    <w:rsid w:val="0049714F"/>
    <w:rsid w:val="00497832"/>
    <w:rsid w:val="00497906"/>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1DEF"/>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4CF5"/>
    <w:rsid w:val="004E09A2"/>
    <w:rsid w:val="004E0ADF"/>
    <w:rsid w:val="004E0EC2"/>
    <w:rsid w:val="004E185D"/>
    <w:rsid w:val="004E198B"/>
    <w:rsid w:val="004E1A9A"/>
    <w:rsid w:val="004E2F92"/>
    <w:rsid w:val="004E363C"/>
    <w:rsid w:val="004E4671"/>
    <w:rsid w:val="004E511E"/>
    <w:rsid w:val="004E5615"/>
    <w:rsid w:val="004E594D"/>
    <w:rsid w:val="004E5C26"/>
    <w:rsid w:val="004E5C64"/>
    <w:rsid w:val="004E7CDB"/>
    <w:rsid w:val="004F0376"/>
    <w:rsid w:val="004F0CDF"/>
    <w:rsid w:val="004F0FE2"/>
    <w:rsid w:val="004F2F22"/>
    <w:rsid w:val="004F3153"/>
    <w:rsid w:val="004F3C8A"/>
    <w:rsid w:val="004F420A"/>
    <w:rsid w:val="004F46A5"/>
    <w:rsid w:val="004F5294"/>
    <w:rsid w:val="004F5E50"/>
    <w:rsid w:val="005001F5"/>
    <w:rsid w:val="0050111B"/>
    <w:rsid w:val="005015D9"/>
    <w:rsid w:val="00502C8A"/>
    <w:rsid w:val="00503728"/>
    <w:rsid w:val="005047CE"/>
    <w:rsid w:val="00505500"/>
    <w:rsid w:val="00505AC7"/>
    <w:rsid w:val="005061DE"/>
    <w:rsid w:val="0050782F"/>
    <w:rsid w:val="00510353"/>
    <w:rsid w:val="005109F7"/>
    <w:rsid w:val="00510A09"/>
    <w:rsid w:val="00511165"/>
    <w:rsid w:val="005116BA"/>
    <w:rsid w:val="00513A5B"/>
    <w:rsid w:val="00513B6A"/>
    <w:rsid w:val="0051446B"/>
    <w:rsid w:val="00515399"/>
    <w:rsid w:val="00515B9C"/>
    <w:rsid w:val="00516114"/>
    <w:rsid w:val="00516A92"/>
    <w:rsid w:val="005175F9"/>
    <w:rsid w:val="0052011E"/>
    <w:rsid w:val="00521296"/>
    <w:rsid w:val="0052232A"/>
    <w:rsid w:val="00522541"/>
    <w:rsid w:val="00523930"/>
    <w:rsid w:val="00524276"/>
    <w:rsid w:val="005250D8"/>
    <w:rsid w:val="00525373"/>
    <w:rsid w:val="005263BF"/>
    <w:rsid w:val="005279E2"/>
    <w:rsid w:val="00527BEC"/>
    <w:rsid w:val="00530D01"/>
    <w:rsid w:val="00533196"/>
    <w:rsid w:val="005365CA"/>
    <w:rsid w:val="00536991"/>
    <w:rsid w:val="00537500"/>
    <w:rsid w:val="00540316"/>
    <w:rsid w:val="0054065A"/>
    <w:rsid w:val="00540EB0"/>
    <w:rsid w:val="00541004"/>
    <w:rsid w:val="00541053"/>
    <w:rsid w:val="00542949"/>
    <w:rsid w:val="00542CF0"/>
    <w:rsid w:val="005467BF"/>
    <w:rsid w:val="00546EEA"/>
    <w:rsid w:val="00547737"/>
    <w:rsid w:val="005501FD"/>
    <w:rsid w:val="005505B1"/>
    <w:rsid w:val="00552312"/>
    <w:rsid w:val="00556151"/>
    <w:rsid w:val="005562CB"/>
    <w:rsid w:val="005563D1"/>
    <w:rsid w:val="00556B11"/>
    <w:rsid w:val="00556D35"/>
    <w:rsid w:val="00560142"/>
    <w:rsid w:val="00560B23"/>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098B"/>
    <w:rsid w:val="00571C4D"/>
    <w:rsid w:val="005731C1"/>
    <w:rsid w:val="005757D6"/>
    <w:rsid w:val="00575EC7"/>
    <w:rsid w:val="00576784"/>
    <w:rsid w:val="00576F0D"/>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97868"/>
    <w:rsid w:val="005A0E0A"/>
    <w:rsid w:val="005A2016"/>
    <w:rsid w:val="005A2EA2"/>
    <w:rsid w:val="005A3504"/>
    <w:rsid w:val="005A559E"/>
    <w:rsid w:val="005A60E5"/>
    <w:rsid w:val="005A6C6C"/>
    <w:rsid w:val="005A74D4"/>
    <w:rsid w:val="005A78C1"/>
    <w:rsid w:val="005A7F48"/>
    <w:rsid w:val="005B0883"/>
    <w:rsid w:val="005B09CF"/>
    <w:rsid w:val="005B1402"/>
    <w:rsid w:val="005B1C57"/>
    <w:rsid w:val="005B3D9B"/>
    <w:rsid w:val="005B55B2"/>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56FA"/>
    <w:rsid w:val="005D6053"/>
    <w:rsid w:val="005D7816"/>
    <w:rsid w:val="005D798C"/>
    <w:rsid w:val="005E2119"/>
    <w:rsid w:val="005E38BB"/>
    <w:rsid w:val="005E49A3"/>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57D9"/>
    <w:rsid w:val="00606382"/>
    <w:rsid w:val="00607679"/>
    <w:rsid w:val="00612F49"/>
    <w:rsid w:val="0061417D"/>
    <w:rsid w:val="0061547A"/>
    <w:rsid w:val="00616D1C"/>
    <w:rsid w:val="00616FD4"/>
    <w:rsid w:val="00621416"/>
    <w:rsid w:val="0062198B"/>
    <w:rsid w:val="0062417D"/>
    <w:rsid w:val="00625AFB"/>
    <w:rsid w:val="00626796"/>
    <w:rsid w:val="0062722E"/>
    <w:rsid w:val="006276BC"/>
    <w:rsid w:val="00633086"/>
    <w:rsid w:val="00635E25"/>
    <w:rsid w:val="00635FBA"/>
    <w:rsid w:val="0063671A"/>
    <w:rsid w:val="00640FDD"/>
    <w:rsid w:val="006416E6"/>
    <w:rsid w:val="00641F10"/>
    <w:rsid w:val="006426A8"/>
    <w:rsid w:val="00643D3F"/>
    <w:rsid w:val="00643F93"/>
    <w:rsid w:val="0064478C"/>
    <w:rsid w:val="00645ED8"/>
    <w:rsid w:val="00646AAA"/>
    <w:rsid w:val="00647082"/>
    <w:rsid w:val="00650160"/>
    <w:rsid w:val="0065076A"/>
    <w:rsid w:val="00652D87"/>
    <w:rsid w:val="00653456"/>
    <w:rsid w:val="00653742"/>
    <w:rsid w:val="00653774"/>
    <w:rsid w:val="00653AD8"/>
    <w:rsid w:val="0065575F"/>
    <w:rsid w:val="006568A2"/>
    <w:rsid w:val="006568D7"/>
    <w:rsid w:val="00656CAE"/>
    <w:rsid w:val="00657F6A"/>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0F9B"/>
    <w:rsid w:val="00671B3A"/>
    <w:rsid w:val="00671C19"/>
    <w:rsid w:val="00672FE7"/>
    <w:rsid w:val="00673107"/>
    <w:rsid w:val="0068012A"/>
    <w:rsid w:val="00680D84"/>
    <w:rsid w:val="00680E1B"/>
    <w:rsid w:val="00681790"/>
    <w:rsid w:val="0068304D"/>
    <w:rsid w:val="00683C15"/>
    <w:rsid w:val="00683E0C"/>
    <w:rsid w:val="00685117"/>
    <w:rsid w:val="00685CB8"/>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4F1B"/>
    <w:rsid w:val="00695B21"/>
    <w:rsid w:val="00696431"/>
    <w:rsid w:val="00696F86"/>
    <w:rsid w:val="006A2D92"/>
    <w:rsid w:val="006A4770"/>
    <w:rsid w:val="006A4FB4"/>
    <w:rsid w:val="006A534B"/>
    <w:rsid w:val="006A68F1"/>
    <w:rsid w:val="006A7302"/>
    <w:rsid w:val="006B00DC"/>
    <w:rsid w:val="006B098C"/>
    <w:rsid w:val="006B0FFF"/>
    <w:rsid w:val="006B16FF"/>
    <w:rsid w:val="006B1B1D"/>
    <w:rsid w:val="006B285C"/>
    <w:rsid w:val="006B2902"/>
    <w:rsid w:val="006B2E88"/>
    <w:rsid w:val="006B2F70"/>
    <w:rsid w:val="006B4295"/>
    <w:rsid w:val="006B45EE"/>
    <w:rsid w:val="006B4814"/>
    <w:rsid w:val="006B66CC"/>
    <w:rsid w:val="006B7B03"/>
    <w:rsid w:val="006B7D34"/>
    <w:rsid w:val="006C032C"/>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370"/>
    <w:rsid w:val="00706C55"/>
    <w:rsid w:val="00707165"/>
    <w:rsid w:val="00707232"/>
    <w:rsid w:val="0071105F"/>
    <w:rsid w:val="00711215"/>
    <w:rsid w:val="0071139A"/>
    <w:rsid w:val="0071149B"/>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C02"/>
    <w:rsid w:val="00730D50"/>
    <w:rsid w:val="007311C8"/>
    <w:rsid w:val="00731352"/>
    <w:rsid w:val="007314A8"/>
    <w:rsid w:val="00732C6E"/>
    <w:rsid w:val="00733387"/>
    <w:rsid w:val="00734E48"/>
    <w:rsid w:val="0073573A"/>
    <w:rsid w:val="00735C9B"/>
    <w:rsid w:val="00737311"/>
    <w:rsid w:val="00737FFC"/>
    <w:rsid w:val="00740E4C"/>
    <w:rsid w:val="00741048"/>
    <w:rsid w:val="007410B2"/>
    <w:rsid w:val="00741D87"/>
    <w:rsid w:val="00742DD5"/>
    <w:rsid w:val="00743236"/>
    <w:rsid w:val="00744BAA"/>
    <w:rsid w:val="00745800"/>
    <w:rsid w:val="00745C5D"/>
    <w:rsid w:val="00746365"/>
    <w:rsid w:val="0074797A"/>
    <w:rsid w:val="00751F41"/>
    <w:rsid w:val="007520D1"/>
    <w:rsid w:val="00752E8D"/>
    <w:rsid w:val="00754487"/>
    <w:rsid w:val="0075467C"/>
    <w:rsid w:val="007565ED"/>
    <w:rsid w:val="007576AE"/>
    <w:rsid w:val="00757B96"/>
    <w:rsid w:val="00760359"/>
    <w:rsid w:val="0076249B"/>
    <w:rsid w:val="00762780"/>
    <w:rsid w:val="00762E44"/>
    <w:rsid w:val="00763193"/>
    <w:rsid w:val="00763252"/>
    <w:rsid w:val="0076338C"/>
    <w:rsid w:val="00763910"/>
    <w:rsid w:val="00764E9B"/>
    <w:rsid w:val="00765611"/>
    <w:rsid w:val="00771A5E"/>
    <w:rsid w:val="00771A8A"/>
    <w:rsid w:val="00771BB5"/>
    <w:rsid w:val="00771E3B"/>
    <w:rsid w:val="00773465"/>
    <w:rsid w:val="00773862"/>
    <w:rsid w:val="0077434F"/>
    <w:rsid w:val="007759C2"/>
    <w:rsid w:val="00776194"/>
    <w:rsid w:val="007762E8"/>
    <w:rsid w:val="0077685B"/>
    <w:rsid w:val="00777477"/>
    <w:rsid w:val="00777947"/>
    <w:rsid w:val="00777B07"/>
    <w:rsid w:val="00777B1C"/>
    <w:rsid w:val="007806BC"/>
    <w:rsid w:val="007809CB"/>
    <w:rsid w:val="00781491"/>
    <w:rsid w:val="00782FF0"/>
    <w:rsid w:val="00783D95"/>
    <w:rsid w:val="00783F1A"/>
    <w:rsid w:val="0078439F"/>
    <w:rsid w:val="0078524A"/>
    <w:rsid w:val="00785605"/>
    <w:rsid w:val="00787799"/>
    <w:rsid w:val="00787EB1"/>
    <w:rsid w:val="007906DC"/>
    <w:rsid w:val="00790D0F"/>
    <w:rsid w:val="0079107F"/>
    <w:rsid w:val="0079637D"/>
    <w:rsid w:val="007963DB"/>
    <w:rsid w:val="00796F1B"/>
    <w:rsid w:val="00797A4E"/>
    <w:rsid w:val="00797C4E"/>
    <w:rsid w:val="007A0307"/>
    <w:rsid w:val="007A043A"/>
    <w:rsid w:val="007A142B"/>
    <w:rsid w:val="007A1CBE"/>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9A3"/>
    <w:rsid w:val="007C2CA3"/>
    <w:rsid w:val="007C3230"/>
    <w:rsid w:val="007C3527"/>
    <w:rsid w:val="007C3D82"/>
    <w:rsid w:val="007C3E3A"/>
    <w:rsid w:val="007C57CB"/>
    <w:rsid w:val="007C5BAD"/>
    <w:rsid w:val="007C5DDE"/>
    <w:rsid w:val="007C60DB"/>
    <w:rsid w:val="007C6147"/>
    <w:rsid w:val="007C6C85"/>
    <w:rsid w:val="007C72FF"/>
    <w:rsid w:val="007C7827"/>
    <w:rsid w:val="007C795E"/>
    <w:rsid w:val="007C7DAB"/>
    <w:rsid w:val="007D28A8"/>
    <w:rsid w:val="007D34F2"/>
    <w:rsid w:val="007D3E13"/>
    <w:rsid w:val="007D42C2"/>
    <w:rsid w:val="007D4A85"/>
    <w:rsid w:val="007D4C90"/>
    <w:rsid w:val="007D602B"/>
    <w:rsid w:val="007D64DA"/>
    <w:rsid w:val="007D6B19"/>
    <w:rsid w:val="007D6D9A"/>
    <w:rsid w:val="007D7074"/>
    <w:rsid w:val="007D7FCB"/>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5CE3"/>
    <w:rsid w:val="007F7FE6"/>
    <w:rsid w:val="00801100"/>
    <w:rsid w:val="00801E49"/>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389D"/>
    <w:rsid w:val="0081484F"/>
    <w:rsid w:val="008148FE"/>
    <w:rsid w:val="00814D78"/>
    <w:rsid w:val="00816A3D"/>
    <w:rsid w:val="0081734C"/>
    <w:rsid w:val="00817506"/>
    <w:rsid w:val="0082029A"/>
    <w:rsid w:val="00820BB0"/>
    <w:rsid w:val="008212A9"/>
    <w:rsid w:val="00821573"/>
    <w:rsid w:val="00821FB3"/>
    <w:rsid w:val="0082317E"/>
    <w:rsid w:val="00823C06"/>
    <w:rsid w:val="008252BC"/>
    <w:rsid w:val="0082546F"/>
    <w:rsid w:val="00825AB3"/>
    <w:rsid w:val="00827110"/>
    <w:rsid w:val="008275B9"/>
    <w:rsid w:val="00831B6F"/>
    <w:rsid w:val="00831D42"/>
    <w:rsid w:val="00832700"/>
    <w:rsid w:val="00832C60"/>
    <w:rsid w:val="008343B3"/>
    <w:rsid w:val="00834B17"/>
    <w:rsid w:val="00837CF4"/>
    <w:rsid w:val="00840D37"/>
    <w:rsid w:val="00843A65"/>
    <w:rsid w:val="00843C5A"/>
    <w:rsid w:val="00844799"/>
    <w:rsid w:val="00844C84"/>
    <w:rsid w:val="00845A20"/>
    <w:rsid w:val="008463D7"/>
    <w:rsid w:val="0084685A"/>
    <w:rsid w:val="00846F6D"/>
    <w:rsid w:val="00847A4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3197"/>
    <w:rsid w:val="00863727"/>
    <w:rsid w:val="00863737"/>
    <w:rsid w:val="00863975"/>
    <w:rsid w:val="00863B00"/>
    <w:rsid w:val="00865553"/>
    <w:rsid w:val="00866C24"/>
    <w:rsid w:val="008670C9"/>
    <w:rsid w:val="0087085F"/>
    <w:rsid w:val="00870AC5"/>
    <w:rsid w:val="00870CAD"/>
    <w:rsid w:val="00871811"/>
    <w:rsid w:val="00871AE9"/>
    <w:rsid w:val="00871B60"/>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05B"/>
    <w:rsid w:val="00886375"/>
    <w:rsid w:val="00886651"/>
    <w:rsid w:val="008869EE"/>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982"/>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1A60"/>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406"/>
    <w:rsid w:val="008E6BD2"/>
    <w:rsid w:val="008E6F4A"/>
    <w:rsid w:val="008F025F"/>
    <w:rsid w:val="008F124F"/>
    <w:rsid w:val="008F20DC"/>
    <w:rsid w:val="008F3403"/>
    <w:rsid w:val="008F3ACA"/>
    <w:rsid w:val="008F429C"/>
    <w:rsid w:val="008F54EC"/>
    <w:rsid w:val="008F56F3"/>
    <w:rsid w:val="008F68B6"/>
    <w:rsid w:val="008F7694"/>
    <w:rsid w:val="008F7D19"/>
    <w:rsid w:val="008F7D27"/>
    <w:rsid w:val="00900480"/>
    <w:rsid w:val="009018BE"/>
    <w:rsid w:val="00901E54"/>
    <w:rsid w:val="009025B0"/>
    <w:rsid w:val="00902A8A"/>
    <w:rsid w:val="009033F8"/>
    <w:rsid w:val="0090411C"/>
    <w:rsid w:val="00904657"/>
    <w:rsid w:val="00904A92"/>
    <w:rsid w:val="00905376"/>
    <w:rsid w:val="0090583F"/>
    <w:rsid w:val="0090706F"/>
    <w:rsid w:val="009072BA"/>
    <w:rsid w:val="00911813"/>
    <w:rsid w:val="00911B84"/>
    <w:rsid w:val="0091329F"/>
    <w:rsid w:val="009138C5"/>
    <w:rsid w:val="00913AA5"/>
    <w:rsid w:val="00913E45"/>
    <w:rsid w:val="009140DB"/>
    <w:rsid w:val="0091425C"/>
    <w:rsid w:val="00914A92"/>
    <w:rsid w:val="009174E4"/>
    <w:rsid w:val="009201F1"/>
    <w:rsid w:val="00922B69"/>
    <w:rsid w:val="00923276"/>
    <w:rsid w:val="009232C7"/>
    <w:rsid w:val="0092361F"/>
    <w:rsid w:val="00925885"/>
    <w:rsid w:val="00926755"/>
    <w:rsid w:val="0092759A"/>
    <w:rsid w:val="00927D34"/>
    <w:rsid w:val="0093181C"/>
    <w:rsid w:val="009344CE"/>
    <w:rsid w:val="009349DC"/>
    <w:rsid w:val="009353BF"/>
    <w:rsid w:val="00936884"/>
    <w:rsid w:val="00937DDD"/>
    <w:rsid w:val="00937EA6"/>
    <w:rsid w:val="009401ED"/>
    <w:rsid w:val="00941A22"/>
    <w:rsid w:val="00941ED8"/>
    <w:rsid w:val="0094303A"/>
    <w:rsid w:val="00944367"/>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6059"/>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C5F"/>
    <w:rsid w:val="00973470"/>
    <w:rsid w:val="0097401E"/>
    <w:rsid w:val="00974F0A"/>
    <w:rsid w:val="00974F8E"/>
    <w:rsid w:val="00974FC1"/>
    <w:rsid w:val="00975079"/>
    <w:rsid w:val="009755B9"/>
    <w:rsid w:val="009766C0"/>
    <w:rsid w:val="00976B00"/>
    <w:rsid w:val="00976B73"/>
    <w:rsid w:val="00977346"/>
    <w:rsid w:val="0098345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633D"/>
    <w:rsid w:val="009A6849"/>
    <w:rsid w:val="009B1B8F"/>
    <w:rsid w:val="009B1DB4"/>
    <w:rsid w:val="009B23D9"/>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1E8"/>
    <w:rsid w:val="009D251F"/>
    <w:rsid w:val="009D292A"/>
    <w:rsid w:val="009D58B3"/>
    <w:rsid w:val="009D77B2"/>
    <w:rsid w:val="009E1108"/>
    <w:rsid w:val="009E1849"/>
    <w:rsid w:val="009E2909"/>
    <w:rsid w:val="009E3218"/>
    <w:rsid w:val="009E3533"/>
    <w:rsid w:val="009E36C4"/>
    <w:rsid w:val="009E5668"/>
    <w:rsid w:val="009E64E7"/>
    <w:rsid w:val="009E68DC"/>
    <w:rsid w:val="009E6DB0"/>
    <w:rsid w:val="009E70A8"/>
    <w:rsid w:val="009F01E7"/>
    <w:rsid w:val="009F18DE"/>
    <w:rsid w:val="009F22B0"/>
    <w:rsid w:val="009F36B1"/>
    <w:rsid w:val="009F44F2"/>
    <w:rsid w:val="009F45E4"/>
    <w:rsid w:val="009F4CB0"/>
    <w:rsid w:val="009F5299"/>
    <w:rsid w:val="009F5ADC"/>
    <w:rsid w:val="009F63A1"/>
    <w:rsid w:val="009F6AFE"/>
    <w:rsid w:val="009F73E3"/>
    <w:rsid w:val="009F7C80"/>
    <w:rsid w:val="009F7D6E"/>
    <w:rsid w:val="00A006FB"/>
    <w:rsid w:val="00A021C1"/>
    <w:rsid w:val="00A03DA7"/>
    <w:rsid w:val="00A04812"/>
    <w:rsid w:val="00A04C36"/>
    <w:rsid w:val="00A05A21"/>
    <w:rsid w:val="00A05BE1"/>
    <w:rsid w:val="00A0643B"/>
    <w:rsid w:val="00A12625"/>
    <w:rsid w:val="00A12B69"/>
    <w:rsid w:val="00A12DF9"/>
    <w:rsid w:val="00A13788"/>
    <w:rsid w:val="00A13EF4"/>
    <w:rsid w:val="00A14091"/>
    <w:rsid w:val="00A15B53"/>
    <w:rsid w:val="00A15D9F"/>
    <w:rsid w:val="00A16210"/>
    <w:rsid w:val="00A17185"/>
    <w:rsid w:val="00A17B0F"/>
    <w:rsid w:val="00A20460"/>
    <w:rsid w:val="00A21661"/>
    <w:rsid w:val="00A2179F"/>
    <w:rsid w:val="00A21C08"/>
    <w:rsid w:val="00A21EBB"/>
    <w:rsid w:val="00A22633"/>
    <w:rsid w:val="00A2308E"/>
    <w:rsid w:val="00A23F2B"/>
    <w:rsid w:val="00A2417F"/>
    <w:rsid w:val="00A249D0"/>
    <w:rsid w:val="00A27A82"/>
    <w:rsid w:val="00A30F43"/>
    <w:rsid w:val="00A312BC"/>
    <w:rsid w:val="00A31B58"/>
    <w:rsid w:val="00A32448"/>
    <w:rsid w:val="00A32923"/>
    <w:rsid w:val="00A33196"/>
    <w:rsid w:val="00A3378B"/>
    <w:rsid w:val="00A34621"/>
    <w:rsid w:val="00A348D6"/>
    <w:rsid w:val="00A34E4D"/>
    <w:rsid w:val="00A3640B"/>
    <w:rsid w:val="00A36D10"/>
    <w:rsid w:val="00A36D2E"/>
    <w:rsid w:val="00A37797"/>
    <w:rsid w:val="00A40CCA"/>
    <w:rsid w:val="00A4107C"/>
    <w:rsid w:val="00A41472"/>
    <w:rsid w:val="00A414D0"/>
    <w:rsid w:val="00A416DA"/>
    <w:rsid w:val="00A41B90"/>
    <w:rsid w:val="00A42683"/>
    <w:rsid w:val="00A43A10"/>
    <w:rsid w:val="00A44493"/>
    <w:rsid w:val="00A452D9"/>
    <w:rsid w:val="00A4551C"/>
    <w:rsid w:val="00A45AA2"/>
    <w:rsid w:val="00A4605F"/>
    <w:rsid w:val="00A461C2"/>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3"/>
    <w:rsid w:val="00A708B7"/>
    <w:rsid w:val="00A7164F"/>
    <w:rsid w:val="00A71B7F"/>
    <w:rsid w:val="00A726A3"/>
    <w:rsid w:val="00A72EC4"/>
    <w:rsid w:val="00A72F6D"/>
    <w:rsid w:val="00A72F90"/>
    <w:rsid w:val="00A7322C"/>
    <w:rsid w:val="00A7518F"/>
    <w:rsid w:val="00A7537A"/>
    <w:rsid w:val="00A7546F"/>
    <w:rsid w:val="00A756DC"/>
    <w:rsid w:val="00A75879"/>
    <w:rsid w:val="00A76DDB"/>
    <w:rsid w:val="00A772AC"/>
    <w:rsid w:val="00A801AA"/>
    <w:rsid w:val="00A80A29"/>
    <w:rsid w:val="00A80E15"/>
    <w:rsid w:val="00A82237"/>
    <w:rsid w:val="00A82282"/>
    <w:rsid w:val="00A8275E"/>
    <w:rsid w:val="00A82B82"/>
    <w:rsid w:val="00A84BB9"/>
    <w:rsid w:val="00A85EDB"/>
    <w:rsid w:val="00A86E22"/>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3276"/>
    <w:rsid w:val="00AA3570"/>
    <w:rsid w:val="00AA35C9"/>
    <w:rsid w:val="00AA3A91"/>
    <w:rsid w:val="00AA3E88"/>
    <w:rsid w:val="00AA460B"/>
    <w:rsid w:val="00AA46C1"/>
    <w:rsid w:val="00AA490E"/>
    <w:rsid w:val="00AA530A"/>
    <w:rsid w:val="00AA6A52"/>
    <w:rsid w:val="00AA6E1C"/>
    <w:rsid w:val="00AB18D4"/>
    <w:rsid w:val="00AB2360"/>
    <w:rsid w:val="00AB3627"/>
    <w:rsid w:val="00AB4205"/>
    <w:rsid w:val="00AB4672"/>
    <w:rsid w:val="00AB4688"/>
    <w:rsid w:val="00AB55FF"/>
    <w:rsid w:val="00AB5B24"/>
    <w:rsid w:val="00AB5DE8"/>
    <w:rsid w:val="00AB5FEB"/>
    <w:rsid w:val="00AB60C8"/>
    <w:rsid w:val="00AB7629"/>
    <w:rsid w:val="00AC0F28"/>
    <w:rsid w:val="00AC1037"/>
    <w:rsid w:val="00AC148D"/>
    <w:rsid w:val="00AC1934"/>
    <w:rsid w:val="00AC3712"/>
    <w:rsid w:val="00AC37B1"/>
    <w:rsid w:val="00AC3869"/>
    <w:rsid w:val="00AC4098"/>
    <w:rsid w:val="00AC43D6"/>
    <w:rsid w:val="00AC4ABE"/>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1C4B"/>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5718"/>
    <w:rsid w:val="00AF5A3C"/>
    <w:rsid w:val="00AF5A62"/>
    <w:rsid w:val="00AF5A7C"/>
    <w:rsid w:val="00AF5AD5"/>
    <w:rsid w:val="00AF6025"/>
    <w:rsid w:val="00AF6740"/>
    <w:rsid w:val="00AF6B30"/>
    <w:rsid w:val="00AF6BB8"/>
    <w:rsid w:val="00AF701D"/>
    <w:rsid w:val="00B002E2"/>
    <w:rsid w:val="00B0083C"/>
    <w:rsid w:val="00B01111"/>
    <w:rsid w:val="00B01167"/>
    <w:rsid w:val="00B011E4"/>
    <w:rsid w:val="00B01BDC"/>
    <w:rsid w:val="00B02035"/>
    <w:rsid w:val="00B02A2B"/>
    <w:rsid w:val="00B02A5F"/>
    <w:rsid w:val="00B03248"/>
    <w:rsid w:val="00B06601"/>
    <w:rsid w:val="00B07F6F"/>
    <w:rsid w:val="00B1092E"/>
    <w:rsid w:val="00B110A7"/>
    <w:rsid w:val="00B1163B"/>
    <w:rsid w:val="00B130E2"/>
    <w:rsid w:val="00B14D41"/>
    <w:rsid w:val="00B151DF"/>
    <w:rsid w:val="00B1644E"/>
    <w:rsid w:val="00B20113"/>
    <w:rsid w:val="00B2065B"/>
    <w:rsid w:val="00B207AD"/>
    <w:rsid w:val="00B2098B"/>
    <w:rsid w:val="00B21D79"/>
    <w:rsid w:val="00B21DEA"/>
    <w:rsid w:val="00B21F74"/>
    <w:rsid w:val="00B23107"/>
    <w:rsid w:val="00B23359"/>
    <w:rsid w:val="00B2421B"/>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2D2D"/>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66F"/>
    <w:rsid w:val="00B55126"/>
    <w:rsid w:val="00B5533E"/>
    <w:rsid w:val="00B555CA"/>
    <w:rsid w:val="00B55B05"/>
    <w:rsid w:val="00B573C7"/>
    <w:rsid w:val="00B577C5"/>
    <w:rsid w:val="00B60A6F"/>
    <w:rsid w:val="00B60E4F"/>
    <w:rsid w:val="00B61197"/>
    <w:rsid w:val="00B62C0C"/>
    <w:rsid w:val="00B62C59"/>
    <w:rsid w:val="00B62CFD"/>
    <w:rsid w:val="00B64334"/>
    <w:rsid w:val="00B6584F"/>
    <w:rsid w:val="00B65F94"/>
    <w:rsid w:val="00B66498"/>
    <w:rsid w:val="00B67D26"/>
    <w:rsid w:val="00B708E3"/>
    <w:rsid w:val="00B71734"/>
    <w:rsid w:val="00B71859"/>
    <w:rsid w:val="00B733AC"/>
    <w:rsid w:val="00B742A1"/>
    <w:rsid w:val="00B754DE"/>
    <w:rsid w:val="00B76806"/>
    <w:rsid w:val="00B7731E"/>
    <w:rsid w:val="00B84014"/>
    <w:rsid w:val="00B84A70"/>
    <w:rsid w:val="00B84DE6"/>
    <w:rsid w:val="00B864F5"/>
    <w:rsid w:val="00B86DE2"/>
    <w:rsid w:val="00B87D27"/>
    <w:rsid w:val="00B87EC7"/>
    <w:rsid w:val="00B9038A"/>
    <w:rsid w:val="00B90B19"/>
    <w:rsid w:val="00B91592"/>
    <w:rsid w:val="00B91EC8"/>
    <w:rsid w:val="00B93A32"/>
    <w:rsid w:val="00B94686"/>
    <w:rsid w:val="00B96A91"/>
    <w:rsid w:val="00B9786C"/>
    <w:rsid w:val="00B97E68"/>
    <w:rsid w:val="00B97FA5"/>
    <w:rsid w:val="00BA11CB"/>
    <w:rsid w:val="00BA17C8"/>
    <w:rsid w:val="00BA201F"/>
    <w:rsid w:val="00BA2547"/>
    <w:rsid w:val="00BA382F"/>
    <w:rsid w:val="00BA52B9"/>
    <w:rsid w:val="00BA7B15"/>
    <w:rsid w:val="00BA7B9E"/>
    <w:rsid w:val="00BA7F48"/>
    <w:rsid w:val="00BB0AEF"/>
    <w:rsid w:val="00BB26FB"/>
    <w:rsid w:val="00BB26FE"/>
    <w:rsid w:val="00BB286A"/>
    <w:rsid w:val="00BB298A"/>
    <w:rsid w:val="00BB339A"/>
    <w:rsid w:val="00BB3736"/>
    <w:rsid w:val="00BB3DFB"/>
    <w:rsid w:val="00BB41C2"/>
    <w:rsid w:val="00BB4630"/>
    <w:rsid w:val="00BB6D60"/>
    <w:rsid w:val="00BB7976"/>
    <w:rsid w:val="00BC1E0E"/>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695"/>
    <w:rsid w:val="00BE2231"/>
    <w:rsid w:val="00BE27F0"/>
    <w:rsid w:val="00BE2929"/>
    <w:rsid w:val="00BE302C"/>
    <w:rsid w:val="00BE346E"/>
    <w:rsid w:val="00BE38CE"/>
    <w:rsid w:val="00BE51C8"/>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34B6"/>
    <w:rsid w:val="00C04988"/>
    <w:rsid w:val="00C04A9A"/>
    <w:rsid w:val="00C056A2"/>
    <w:rsid w:val="00C05CAA"/>
    <w:rsid w:val="00C0627A"/>
    <w:rsid w:val="00C0766D"/>
    <w:rsid w:val="00C07826"/>
    <w:rsid w:val="00C07BAF"/>
    <w:rsid w:val="00C1000A"/>
    <w:rsid w:val="00C10AAA"/>
    <w:rsid w:val="00C114FD"/>
    <w:rsid w:val="00C13112"/>
    <w:rsid w:val="00C1604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C8E"/>
    <w:rsid w:val="00C41AE3"/>
    <w:rsid w:val="00C421F0"/>
    <w:rsid w:val="00C42FBF"/>
    <w:rsid w:val="00C43F02"/>
    <w:rsid w:val="00C43F07"/>
    <w:rsid w:val="00C4554E"/>
    <w:rsid w:val="00C45B3B"/>
    <w:rsid w:val="00C46599"/>
    <w:rsid w:val="00C4702B"/>
    <w:rsid w:val="00C5061B"/>
    <w:rsid w:val="00C50C09"/>
    <w:rsid w:val="00C50F73"/>
    <w:rsid w:val="00C52820"/>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1B"/>
    <w:rsid w:val="00C739EC"/>
    <w:rsid w:val="00C73EF9"/>
    <w:rsid w:val="00C741B9"/>
    <w:rsid w:val="00C749B2"/>
    <w:rsid w:val="00C75613"/>
    <w:rsid w:val="00C7570F"/>
    <w:rsid w:val="00C7573E"/>
    <w:rsid w:val="00C764E1"/>
    <w:rsid w:val="00C76D5C"/>
    <w:rsid w:val="00C76FCC"/>
    <w:rsid w:val="00C77098"/>
    <w:rsid w:val="00C8261B"/>
    <w:rsid w:val="00C82BB7"/>
    <w:rsid w:val="00C83CCB"/>
    <w:rsid w:val="00C840EB"/>
    <w:rsid w:val="00C84110"/>
    <w:rsid w:val="00C8425A"/>
    <w:rsid w:val="00C84F8C"/>
    <w:rsid w:val="00C85BF7"/>
    <w:rsid w:val="00C86D29"/>
    <w:rsid w:val="00C90BA8"/>
    <w:rsid w:val="00C92344"/>
    <w:rsid w:val="00C92431"/>
    <w:rsid w:val="00C9248C"/>
    <w:rsid w:val="00C92A3A"/>
    <w:rsid w:val="00C93BAD"/>
    <w:rsid w:val="00C94B6B"/>
    <w:rsid w:val="00C94C32"/>
    <w:rsid w:val="00C9621C"/>
    <w:rsid w:val="00C962B0"/>
    <w:rsid w:val="00C97182"/>
    <w:rsid w:val="00C978C3"/>
    <w:rsid w:val="00CA0739"/>
    <w:rsid w:val="00CA23C3"/>
    <w:rsid w:val="00CA295E"/>
    <w:rsid w:val="00CA296D"/>
    <w:rsid w:val="00CA2E38"/>
    <w:rsid w:val="00CA3044"/>
    <w:rsid w:val="00CA4392"/>
    <w:rsid w:val="00CB0F48"/>
    <w:rsid w:val="00CB1419"/>
    <w:rsid w:val="00CB14EF"/>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5191"/>
    <w:rsid w:val="00CC61D1"/>
    <w:rsid w:val="00CC6E65"/>
    <w:rsid w:val="00CC7E3E"/>
    <w:rsid w:val="00CD01B5"/>
    <w:rsid w:val="00CD0372"/>
    <w:rsid w:val="00CD0F30"/>
    <w:rsid w:val="00CD125A"/>
    <w:rsid w:val="00CD148C"/>
    <w:rsid w:val="00CD2F6F"/>
    <w:rsid w:val="00CD4609"/>
    <w:rsid w:val="00CD5B2D"/>
    <w:rsid w:val="00CD67CA"/>
    <w:rsid w:val="00CE001B"/>
    <w:rsid w:val="00CE0D03"/>
    <w:rsid w:val="00CE1617"/>
    <w:rsid w:val="00CE1C00"/>
    <w:rsid w:val="00CE1F3D"/>
    <w:rsid w:val="00CE2A36"/>
    <w:rsid w:val="00CE4680"/>
    <w:rsid w:val="00CE591C"/>
    <w:rsid w:val="00CE6ABD"/>
    <w:rsid w:val="00CE6D76"/>
    <w:rsid w:val="00CF03C9"/>
    <w:rsid w:val="00CF0990"/>
    <w:rsid w:val="00CF14E4"/>
    <w:rsid w:val="00CF1AD6"/>
    <w:rsid w:val="00CF1BB0"/>
    <w:rsid w:val="00CF2681"/>
    <w:rsid w:val="00CF280E"/>
    <w:rsid w:val="00CF28FD"/>
    <w:rsid w:val="00CF2D43"/>
    <w:rsid w:val="00CF321F"/>
    <w:rsid w:val="00CF35E0"/>
    <w:rsid w:val="00CF3873"/>
    <w:rsid w:val="00CF505D"/>
    <w:rsid w:val="00CF5194"/>
    <w:rsid w:val="00CF585C"/>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5AD6"/>
    <w:rsid w:val="00D160F3"/>
    <w:rsid w:val="00D165B6"/>
    <w:rsid w:val="00D2069E"/>
    <w:rsid w:val="00D2265D"/>
    <w:rsid w:val="00D23B49"/>
    <w:rsid w:val="00D24AAC"/>
    <w:rsid w:val="00D24F02"/>
    <w:rsid w:val="00D25D78"/>
    <w:rsid w:val="00D27410"/>
    <w:rsid w:val="00D27676"/>
    <w:rsid w:val="00D27924"/>
    <w:rsid w:val="00D27B9D"/>
    <w:rsid w:val="00D27ED5"/>
    <w:rsid w:val="00D30131"/>
    <w:rsid w:val="00D3163D"/>
    <w:rsid w:val="00D317B7"/>
    <w:rsid w:val="00D32446"/>
    <w:rsid w:val="00D3274F"/>
    <w:rsid w:val="00D33076"/>
    <w:rsid w:val="00D340A1"/>
    <w:rsid w:val="00D35B14"/>
    <w:rsid w:val="00D3777A"/>
    <w:rsid w:val="00D4072A"/>
    <w:rsid w:val="00D40786"/>
    <w:rsid w:val="00D40DE8"/>
    <w:rsid w:val="00D432DC"/>
    <w:rsid w:val="00D4332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147"/>
    <w:rsid w:val="00D677F0"/>
    <w:rsid w:val="00D67D53"/>
    <w:rsid w:val="00D67DC1"/>
    <w:rsid w:val="00D7115B"/>
    <w:rsid w:val="00D7167F"/>
    <w:rsid w:val="00D72B03"/>
    <w:rsid w:val="00D75751"/>
    <w:rsid w:val="00D75CB1"/>
    <w:rsid w:val="00D768BD"/>
    <w:rsid w:val="00D7744C"/>
    <w:rsid w:val="00D77687"/>
    <w:rsid w:val="00D811BE"/>
    <w:rsid w:val="00D845A3"/>
    <w:rsid w:val="00D84A29"/>
    <w:rsid w:val="00D85504"/>
    <w:rsid w:val="00D86CD9"/>
    <w:rsid w:val="00D8717F"/>
    <w:rsid w:val="00D87299"/>
    <w:rsid w:val="00D87E23"/>
    <w:rsid w:val="00D902DE"/>
    <w:rsid w:val="00D90B24"/>
    <w:rsid w:val="00D90D38"/>
    <w:rsid w:val="00D912C1"/>
    <w:rsid w:val="00D91581"/>
    <w:rsid w:val="00D91855"/>
    <w:rsid w:val="00D91D5D"/>
    <w:rsid w:val="00D9221B"/>
    <w:rsid w:val="00D922A8"/>
    <w:rsid w:val="00D927DB"/>
    <w:rsid w:val="00D93A35"/>
    <w:rsid w:val="00D93A59"/>
    <w:rsid w:val="00D949D1"/>
    <w:rsid w:val="00D94F23"/>
    <w:rsid w:val="00D95D93"/>
    <w:rsid w:val="00D95EE4"/>
    <w:rsid w:val="00D962B6"/>
    <w:rsid w:val="00D96BD3"/>
    <w:rsid w:val="00D96D1B"/>
    <w:rsid w:val="00D9714A"/>
    <w:rsid w:val="00D97CBE"/>
    <w:rsid w:val="00DA0D61"/>
    <w:rsid w:val="00DA0F80"/>
    <w:rsid w:val="00DA0FB7"/>
    <w:rsid w:val="00DA2D5C"/>
    <w:rsid w:val="00DA4756"/>
    <w:rsid w:val="00DA4992"/>
    <w:rsid w:val="00DA4B81"/>
    <w:rsid w:val="00DA54FA"/>
    <w:rsid w:val="00DA59A3"/>
    <w:rsid w:val="00DA6027"/>
    <w:rsid w:val="00DA735D"/>
    <w:rsid w:val="00DB06C6"/>
    <w:rsid w:val="00DB188B"/>
    <w:rsid w:val="00DB1BFE"/>
    <w:rsid w:val="00DB23EC"/>
    <w:rsid w:val="00DB2934"/>
    <w:rsid w:val="00DB31A2"/>
    <w:rsid w:val="00DB360F"/>
    <w:rsid w:val="00DB3B9E"/>
    <w:rsid w:val="00DB3E9A"/>
    <w:rsid w:val="00DB4882"/>
    <w:rsid w:val="00DB4899"/>
    <w:rsid w:val="00DB4DCF"/>
    <w:rsid w:val="00DB54BF"/>
    <w:rsid w:val="00DB5FCE"/>
    <w:rsid w:val="00DB69C5"/>
    <w:rsid w:val="00DB71A5"/>
    <w:rsid w:val="00DB7E26"/>
    <w:rsid w:val="00DB7F31"/>
    <w:rsid w:val="00DC048D"/>
    <w:rsid w:val="00DC04F6"/>
    <w:rsid w:val="00DC085F"/>
    <w:rsid w:val="00DC0B68"/>
    <w:rsid w:val="00DC0C23"/>
    <w:rsid w:val="00DC1792"/>
    <w:rsid w:val="00DC193A"/>
    <w:rsid w:val="00DC1A5A"/>
    <w:rsid w:val="00DC1CCB"/>
    <w:rsid w:val="00DC2E68"/>
    <w:rsid w:val="00DC3A2C"/>
    <w:rsid w:val="00DC3CF6"/>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710B"/>
    <w:rsid w:val="00DE731A"/>
    <w:rsid w:val="00DF059A"/>
    <w:rsid w:val="00DF07A3"/>
    <w:rsid w:val="00DF0A7C"/>
    <w:rsid w:val="00DF2E94"/>
    <w:rsid w:val="00DF30F2"/>
    <w:rsid w:val="00DF3C53"/>
    <w:rsid w:val="00DF3E95"/>
    <w:rsid w:val="00DF48CF"/>
    <w:rsid w:val="00DF4990"/>
    <w:rsid w:val="00DF5516"/>
    <w:rsid w:val="00DF5D18"/>
    <w:rsid w:val="00DF63AF"/>
    <w:rsid w:val="00DF6A9E"/>
    <w:rsid w:val="00DF7060"/>
    <w:rsid w:val="00E00163"/>
    <w:rsid w:val="00E0064A"/>
    <w:rsid w:val="00E006A1"/>
    <w:rsid w:val="00E01682"/>
    <w:rsid w:val="00E01DFD"/>
    <w:rsid w:val="00E0328E"/>
    <w:rsid w:val="00E05938"/>
    <w:rsid w:val="00E05ACE"/>
    <w:rsid w:val="00E05D2E"/>
    <w:rsid w:val="00E060E4"/>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415E"/>
    <w:rsid w:val="00E247BE"/>
    <w:rsid w:val="00E2481B"/>
    <w:rsid w:val="00E27978"/>
    <w:rsid w:val="00E27B5A"/>
    <w:rsid w:val="00E30039"/>
    <w:rsid w:val="00E30425"/>
    <w:rsid w:val="00E307D1"/>
    <w:rsid w:val="00E31335"/>
    <w:rsid w:val="00E32621"/>
    <w:rsid w:val="00E352E5"/>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2A9"/>
    <w:rsid w:val="00E61AA5"/>
    <w:rsid w:val="00E6215E"/>
    <w:rsid w:val="00E63785"/>
    <w:rsid w:val="00E64291"/>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338"/>
    <w:rsid w:val="00E82415"/>
    <w:rsid w:val="00E82DCB"/>
    <w:rsid w:val="00E836CE"/>
    <w:rsid w:val="00E8542E"/>
    <w:rsid w:val="00E874A7"/>
    <w:rsid w:val="00E87BB5"/>
    <w:rsid w:val="00E91B87"/>
    <w:rsid w:val="00E92763"/>
    <w:rsid w:val="00E93B6F"/>
    <w:rsid w:val="00E93BCF"/>
    <w:rsid w:val="00E9417F"/>
    <w:rsid w:val="00E954CC"/>
    <w:rsid w:val="00E956B1"/>
    <w:rsid w:val="00E95B48"/>
    <w:rsid w:val="00E960E0"/>
    <w:rsid w:val="00E97124"/>
    <w:rsid w:val="00EA0A21"/>
    <w:rsid w:val="00EA158B"/>
    <w:rsid w:val="00EA1A4B"/>
    <w:rsid w:val="00EA1AA1"/>
    <w:rsid w:val="00EA1E87"/>
    <w:rsid w:val="00EA328D"/>
    <w:rsid w:val="00EA364E"/>
    <w:rsid w:val="00EA44E9"/>
    <w:rsid w:val="00EA6022"/>
    <w:rsid w:val="00EA6C85"/>
    <w:rsid w:val="00EA7E39"/>
    <w:rsid w:val="00EB009E"/>
    <w:rsid w:val="00EB0997"/>
    <w:rsid w:val="00EB3D4F"/>
    <w:rsid w:val="00EB43FE"/>
    <w:rsid w:val="00EB6380"/>
    <w:rsid w:val="00EB6B36"/>
    <w:rsid w:val="00EB7409"/>
    <w:rsid w:val="00EB78AC"/>
    <w:rsid w:val="00EB7950"/>
    <w:rsid w:val="00EB7D0B"/>
    <w:rsid w:val="00EC121A"/>
    <w:rsid w:val="00EC1279"/>
    <w:rsid w:val="00EC12F0"/>
    <w:rsid w:val="00EC1DB9"/>
    <w:rsid w:val="00EC2674"/>
    <w:rsid w:val="00EC2698"/>
    <w:rsid w:val="00EC2CFD"/>
    <w:rsid w:val="00EC3015"/>
    <w:rsid w:val="00EC3E88"/>
    <w:rsid w:val="00EC45BC"/>
    <w:rsid w:val="00EC4774"/>
    <w:rsid w:val="00EC5EF6"/>
    <w:rsid w:val="00EC6042"/>
    <w:rsid w:val="00EC669F"/>
    <w:rsid w:val="00EC7751"/>
    <w:rsid w:val="00ED05F6"/>
    <w:rsid w:val="00ED2410"/>
    <w:rsid w:val="00ED3ADF"/>
    <w:rsid w:val="00ED553C"/>
    <w:rsid w:val="00ED555E"/>
    <w:rsid w:val="00ED633A"/>
    <w:rsid w:val="00ED7610"/>
    <w:rsid w:val="00ED7877"/>
    <w:rsid w:val="00EE0DBB"/>
    <w:rsid w:val="00EE10F4"/>
    <w:rsid w:val="00EE1D10"/>
    <w:rsid w:val="00EE2FBF"/>
    <w:rsid w:val="00EE36DC"/>
    <w:rsid w:val="00EE3CB9"/>
    <w:rsid w:val="00EE5E45"/>
    <w:rsid w:val="00EE6A7B"/>
    <w:rsid w:val="00EF03F6"/>
    <w:rsid w:val="00EF084A"/>
    <w:rsid w:val="00EF1052"/>
    <w:rsid w:val="00EF16D5"/>
    <w:rsid w:val="00EF1703"/>
    <w:rsid w:val="00EF3975"/>
    <w:rsid w:val="00EF3A0C"/>
    <w:rsid w:val="00EF3DB0"/>
    <w:rsid w:val="00EF472E"/>
    <w:rsid w:val="00EF4910"/>
    <w:rsid w:val="00EF4E11"/>
    <w:rsid w:val="00EF5178"/>
    <w:rsid w:val="00F012D6"/>
    <w:rsid w:val="00F013FE"/>
    <w:rsid w:val="00F01C6E"/>
    <w:rsid w:val="00F01F8E"/>
    <w:rsid w:val="00F0346B"/>
    <w:rsid w:val="00F03A97"/>
    <w:rsid w:val="00F03C65"/>
    <w:rsid w:val="00F045C2"/>
    <w:rsid w:val="00F0479D"/>
    <w:rsid w:val="00F05AAC"/>
    <w:rsid w:val="00F064B3"/>
    <w:rsid w:val="00F07525"/>
    <w:rsid w:val="00F07F9E"/>
    <w:rsid w:val="00F12D02"/>
    <w:rsid w:val="00F130E3"/>
    <w:rsid w:val="00F13EEE"/>
    <w:rsid w:val="00F14C02"/>
    <w:rsid w:val="00F15233"/>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5FD0"/>
    <w:rsid w:val="00F37699"/>
    <w:rsid w:val="00F37928"/>
    <w:rsid w:val="00F40C3A"/>
    <w:rsid w:val="00F422F4"/>
    <w:rsid w:val="00F425E0"/>
    <w:rsid w:val="00F4380F"/>
    <w:rsid w:val="00F43B51"/>
    <w:rsid w:val="00F43E18"/>
    <w:rsid w:val="00F47751"/>
    <w:rsid w:val="00F5077B"/>
    <w:rsid w:val="00F53648"/>
    <w:rsid w:val="00F5567F"/>
    <w:rsid w:val="00F56142"/>
    <w:rsid w:val="00F57412"/>
    <w:rsid w:val="00F60E85"/>
    <w:rsid w:val="00F6142D"/>
    <w:rsid w:val="00F6226B"/>
    <w:rsid w:val="00F62354"/>
    <w:rsid w:val="00F62963"/>
    <w:rsid w:val="00F62C06"/>
    <w:rsid w:val="00F63779"/>
    <w:rsid w:val="00F63BDE"/>
    <w:rsid w:val="00F64546"/>
    <w:rsid w:val="00F64573"/>
    <w:rsid w:val="00F64F15"/>
    <w:rsid w:val="00F663EF"/>
    <w:rsid w:val="00F70857"/>
    <w:rsid w:val="00F70B70"/>
    <w:rsid w:val="00F71010"/>
    <w:rsid w:val="00F71986"/>
    <w:rsid w:val="00F720F6"/>
    <w:rsid w:val="00F731E1"/>
    <w:rsid w:val="00F732FE"/>
    <w:rsid w:val="00F73E54"/>
    <w:rsid w:val="00F76AC1"/>
    <w:rsid w:val="00F76E00"/>
    <w:rsid w:val="00F76FD2"/>
    <w:rsid w:val="00F7701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1776"/>
    <w:rsid w:val="00FB1943"/>
    <w:rsid w:val="00FB1D43"/>
    <w:rsid w:val="00FB1E60"/>
    <w:rsid w:val="00FB2C5C"/>
    <w:rsid w:val="00FB3741"/>
    <w:rsid w:val="00FB5B35"/>
    <w:rsid w:val="00FB737F"/>
    <w:rsid w:val="00FC2A7D"/>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D20"/>
    <w:rsid w:val="00FE3914"/>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65774F"/>
    <w:rsid w:val="017C5A94"/>
    <w:rsid w:val="018B6157"/>
    <w:rsid w:val="0197155D"/>
    <w:rsid w:val="01B60F31"/>
    <w:rsid w:val="01C62B3E"/>
    <w:rsid w:val="01D47F88"/>
    <w:rsid w:val="027E6C90"/>
    <w:rsid w:val="028407B3"/>
    <w:rsid w:val="02D201E4"/>
    <w:rsid w:val="02F2197A"/>
    <w:rsid w:val="033836AB"/>
    <w:rsid w:val="035C14D1"/>
    <w:rsid w:val="03970ABF"/>
    <w:rsid w:val="03DE487A"/>
    <w:rsid w:val="03E628D2"/>
    <w:rsid w:val="03EC63C9"/>
    <w:rsid w:val="03F72CBF"/>
    <w:rsid w:val="0413149A"/>
    <w:rsid w:val="0422003D"/>
    <w:rsid w:val="042913CB"/>
    <w:rsid w:val="04DA4402"/>
    <w:rsid w:val="04EC5FA1"/>
    <w:rsid w:val="054E19A4"/>
    <w:rsid w:val="056B4081"/>
    <w:rsid w:val="05771562"/>
    <w:rsid w:val="05852CF4"/>
    <w:rsid w:val="05927A85"/>
    <w:rsid w:val="060F639F"/>
    <w:rsid w:val="06137FED"/>
    <w:rsid w:val="065D6F23"/>
    <w:rsid w:val="06B37672"/>
    <w:rsid w:val="06F859AA"/>
    <w:rsid w:val="0717375D"/>
    <w:rsid w:val="07331659"/>
    <w:rsid w:val="078F3BF1"/>
    <w:rsid w:val="07A47616"/>
    <w:rsid w:val="07C24F25"/>
    <w:rsid w:val="07F97BC5"/>
    <w:rsid w:val="08042664"/>
    <w:rsid w:val="086A71DD"/>
    <w:rsid w:val="08B538AF"/>
    <w:rsid w:val="08DC2512"/>
    <w:rsid w:val="08F8136C"/>
    <w:rsid w:val="09553EBD"/>
    <w:rsid w:val="09BC05EC"/>
    <w:rsid w:val="09BF7EBE"/>
    <w:rsid w:val="09C1409A"/>
    <w:rsid w:val="09D45C6B"/>
    <w:rsid w:val="0A743D85"/>
    <w:rsid w:val="0B247F12"/>
    <w:rsid w:val="0B961C47"/>
    <w:rsid w:val="0BD55F69"/>
    <w:rsid w:val="0C120E07"/>
    <w:rsid w:val="0C152235"/>
    <w:rsid w:val="0C3B6140"/>
    <w:rsid w:val="0C595584"/>
    <w:rsid w:val="0CD848B8"/>
    <w:rsid w:val="0D100A76"/>
    <w:rsid w:val="0D3B5CCB"/>
    <w:rsid w:val="0D4E683D"/>
    <w:rsid w:val="0D504342"/>
    <w:rsid w:val="0D670889"/>
    <w:rsid w:val="0D870F11"/>
    <w:rsid w:val="0DB02216"/>
    <w:rsid w:val="0DC5128C"/>
    <w:rsid w:val="0DD45517"/>
    <w:rsid w:val="0DD9114E"/>
    <w:rsid w:val="0DDF12E3"/>
    <w:rsid w:val="0E260891"/>
    <w:rsid w:val="0E3F4F01"/>
    <w:rsid w:val="0E937CC8"/>
    <w:rsid w:val="0EB95BCF"/>
    <w:rsid w:val="0EF27294"/>
    <w:rsid w:val="0EFE4AC2"/>
    <w:rsid w:val="0FB9783F"/>
    <w:rsid w:val="0FE304F3"/>
    <w:rsid w:val="101E5B5C"/>
    <w:rsid w:val="101F37A7"/>
    <w:rsid w:val="10233173"/>
    <w:rsid w:val="10560FF0"/>
    <w:rsid w:val="1059365E"/>
    <w:rsid w:val="10971D51"/>
    <w:rsid w:val="10D02C05"/>
    <w:rsid w:val="10D67777"/>
    <w:rsid w:val="10FB5E9E"/>
    <w:rsid w:val="113151B7"/>
    <w:rsid w:val="11326726"/>
    <w:rsid w:val="11802A9D"/>
    <w:rsid w:val="11877731"/>
    <w:rsid w:val="11A27ED6"/>
    <w:rsid w:val="11D14F29"/>
    <w:rsid w:val="11FC1ECD"/>
    <w:rsid w:val="122B2CA4"/>
    <w:rsid w:val="128C2B2A"/>
    <w:rsid w:val="12A065D5"/>
    <w:rsid w:val="12BB0D1C"/>
    <w:rsid w:val="12C66037"/>
    <w:rsid w:val="12CA56AC"/>
    <w:rsid w:val="13280AA0"/>
    <w:rsid w:val="13356565"/>
    <w:rsid w:val="13451652"/>
    <w:rsid w:val="13693592"/>
    <w:rsid w:val="137E6AE5"/>
    <w:rsid w:val="13A778D4"/>
    <w:rsid w:val="140943CC"/>
    <w:rsid w:val="143F0797"/>
    <w:rsid w:val="1451773B"/>
    <w:rsid w:val="149418A3"/>
    <w:rsid w:val="14CB202B"/>
    <w:rsid w:val="14CD3A88"/>
    <w:rsid w:val="14D70ECC"/>
    <w:rsid w:val="14EB5FBC"/>
    <w:rsid w:val="153100AC"/>
    <w:rsid w:val="154F67B8"/>
    <w:rsid w:val="15702678"/>
    <w:rsid w:val="159113BF"/>
    <w:rsid w:val="16110B3C"/>
    <w:rsid w:val="161A6DC6"/>
    <w:rsid w:val="167A7865"/>
    <w:rsid w:val="172A2E7A"/>
    <w:rsid w:val="172C1744"/>
    <w:rsid w:val="17476AD5"/>
    <w:rsid w:val="176651A7"/>
    <w:rsid w:val="17A31431"/>
    <w:rsid w:val="17B2302E"/>
    <w:rsid w:val="17B23574"/>
    <w:rsid w:val="1803490E"/>
    <w:rsid w:val="183103F7"/>
    <w:rsid w:val="1851727E"/>
    <w:rsid w:val="185A2AFF"/>
    <w:rsid w:val="186A5405"/>
    <w:rsid w:val="18932E60"/>
    <w:rsid w:val="189645C0"/>
    <w:rsid w:val="18C82B09"/>
    <w:rsid w:val="18FB5139"/>
    <w:rsid w:val="191A43ED"/>
    <w:rsid w:val="192F2B88"/>
    <w:rsid w:val="194B16A1"/>
    <w:rsid w:val="19545677"/>
    <w:rsid w:val="19702B57"/>
    <w:rsid w:val="19762565"/>
    <w:rsid w:val="19AF5A77"/>
    <w:rsid w:val="19BC232B"/>
    <w:rsid w:val="19ED0F9F"/>
    <w:rsid w:val="1A02105A"/>
    <w:rsid w:val="1A4505F1"/>
    <w:rsid w:val="1A7E4FCF"/>
    <w:rsid w:val="1A8A42CA"/>
    <w:rsid w:val="1ABA2ED0"/>
    <w:rsid w:val="1AE07461"/>
    <w:rsid w:val="1AF170D8"/>
    <w:rsid w:val="1B0F2853"/>
    <w:rsid w:val="1B217338"/>
    <w:rsid w:val="1B3D037C"/>
    <w:rsid w:val="1B5A5C6B"/>
    <w:rsid w:val="1BA81E25"/>
    <w:rsid w:val="1BAB6C8D"/>
    <w:rsid w:val="1BEF74C1"/>
    <w:rsid w:val="1C2F7734"/>
    <w:rsid w:val="1C321957"/>
    <w:rsid w:val="1C591711"/>
    <w:rsid w:val="1C6F2165"/>
    <w:rsid w:val="1C7F0946"/>
    <w:rsid w:val="1CBD1967"/>
    <w:rsid w:val="1D0936F0"/>
    <w:rsid w:val="1D126FDD"/>
    <w:rsid w:val="1D2F75FB"/>
    <w:rsid w:val="1D6C19D4"/>
    <w:rsid w:val="1D6F0E7A"/>
    <w:rsid w:val="1D7274E7"/>
    <w:rsid w:val="1D8B05A9"/>
    <w:rsid w:val="1DF12B02"/>
    <w:rsid w:val="1E41488F"/>
    <w:rsid w:val="1E450182"/>
    <w:rsid w:val="1E5D0198"/>
    <w:rsid w:val="1EDA53E2"/>
    <w:rsid w:val="1EE07F7F"/>
    <w:rsid w:val="1F044F5E"/>
    <w:rsid w:val="1F4F72C9"/>
    <w:rsid w:val="1F5327B5"/>
    <w:rsid w:val="1FA977BF"/>
    <w:rsid w:val="1FAD46ED"/>
    <w:rsid w:val="1FC3402A"/>
    <w:rsid w:val="1FCD22CD"/>
    <w:rsid w:val="1FE94A78"/>
    <w:rsid w:val="206E2E3C"/>
    <w:rsid w:val="20913FC1"/>
    <w:rsid w:val="20C95670"/>
    <w:rsid w:val="20D06740"/>
    <w:rsid w:val="20EF0E4F"/>
    <w:rsid w:val="21050673"/>
    <w:rsid w:val="21222FD3"/>
    <w:rsid w:val="213F215E"/>
    <w:rsid w:val="21493877"/>
    <w:rsid w:val="214F7FD4"/>
    <w:rsid w:val="216D6944"/>
    <w:rsid w:val="21EF2BF7"/>
    <w:rsid w:val="22386288"/>
    <w:rsid w:val="227B3D94"/>
    <w:rsid w:val="227C521C"/>
    <w:rsid w:val="229B4DEB"/>
    <w:rsid w:val="229E48DB"/>
    <w:rsid w:val="22A844F4"/>
    <w:rsid w:val="22C95DFC"/>
    <w:rsid w:val="22E65BE5"/>
    <w:rsid w:val="230656FE"/>
    <w:rsid w:val="231E73D8"/>
    <w:rsid w:val="23227BE2"/>
    <w:rsid w:val="234731C4"/>
    <w:rsid w:val="23521F9C"/>
    <w:rsid w:val="238622A0"/>
    <w:rsid w:val="239E5129"/>
    <w:rsid w:val="23DD1481"/>
    <w:rsid w:val="240B5FA0"/>
    <w:rsid w:val="24400E1F"/>
    <w:rsid w:val="247D51DF"/>
    <w:rsid w:val="248520D7"/>
    <w:rsid w:val="249D210C"/>
    <w:rsid w:val="25185786"/>
    <w:rsid w:val="25755DC7"/>
    <w:rsid w:val="257A1221"/>
    <w:rsid w:val="258F538D"/>
    <w:rsid w:val="259A3A7F"/>
    <w:rsid w:val="264E29E7"/>
    <w:rsid w:val="26E0484D"/>
    <w:rsid w:val="26F61CEE"/>
    <w:rsid w:val="27187C16"/>
    <w:rsid w:val="27264850"/>
    <w:rsid w:val="27443528"/>
    <w:rsid w:val="27482DA8"/>
    <w:rsid w:val="27595274"/>
    <w:rsid w:val="27B307C2"/>
    <w:rsid w:val="27E823ED"/>
    <w:rsid w:val="28174256"/>
    <w:rsid w:val="28186E67"/>
    <w:rsid w:val="28312E15"/>
    <w:rsid w:val="283C1DD8"/>
    <w:rsid w:val="28416434"/>
    <w:rsid w:val="284756D9"/>
    <w:rsid w:val="28477F25"/>
    <w:rsid w:val="287E36AC"/>
    <w:rsid w:val="28994B2A"/>
    <w:rsid w:val="28DB0637"/>
    <w:rsid w:val="28E757CB"/>
    <w:rsid w:val="28E87C1A"/>
    <w:rsid w:val="298F31CF"/>
    <w:rsid w:val="299C4542"/>
    <w:rsid w:val="2A0C4820"/>
    <w:rsid w:val="2A2760F5"/>
    <w:rsid w:val="2A494F4A"/>
    <w:rsid w:val="2A510C9C"/>
    <w:rsid w:val="2A6B7798"/>
    <w:rsid w:val="2A805769"/>
    <w:rsid w:val="2A9909B4"/>
    <w:rsid w:val="2AD46C34"/>
    <w:rsid w:val="2B006133"/>
    <w:rsid w:val="2B02634F"/>
    <w:rsid w:val="2B4104F9"/>
    <w:rsid w:val="2BB03D3C"/>
    <w:rsid w:val="2C027C88"/>
    <w:rsid w:val="2C0734F1"/>
    <w:rsid w:val="2C4D66E7"/>
    <w:rsid w:val="2C546A99"/>
    <w:rsid w:val="2C7E7913"/>
    <w:rsid w:val="2CA23219"/>
    <w:rsid w:val="2CA44507"/>
    <w:rsid w:val="2CDC0F6F"/>
    <w:rsid w:val="2CE46631"/>
    <w:rsid w:val="2D3A16A4"/>
    <w:rsid w:val="2D606C10"/>
    <w:rsid w:val="2D7A3971"/>
    <w:rsid w:val="2D943A11"/>
    <w:rsid w:val="2E3D31FA"/>
    <w:rsid w:val="2F155F21"/>
    <w:rsid w:val="2F712E15"/>
    <w:rsid w:val="2F824174"/>
    <w:rsid w:val="2FA87B82"/>
    <w:rsid w:val="2FEA5603"/>
    <w:rsid w:val="2FFA6856"/>
    <w:rsid w:val="30074335"/>
    <w:rsid w:val="30235B53"/>
    <w:rsid w:val="30586CDF"/>
    <w:rsid w:val="30C77AB2"/>
    <w:rsid w:val="30F85AFE"/>
    <w:rsid w:val="311A5A74"/>
    <w:rsid w:val="31652530"/>
    <w:rsid w:val="31996FDB"/>
    <w:rsid w:val="32120B22"/>
    <w:rsid w:val="321D7FAE"/>
    <w:rsid w:val="32383A46"/>
    <w:rsid w:val="32400015"/>
    <w:rsid w:val="326F5AE7"/>
    <w:rsid w:val="32935ADE"/>
    <w:rsid w:val="3296737C"/>
    <w:rsid w:val="32D84909"/>
    <w:rsid w:val="33223E4E"/>
    <w:rsid w:val="33305A23"/>
    <w:rsid w:val="33842D58"/>
    <w:rsid w:val="33C2377D"/>
    <w:rsid w:val="33E6570C"/>
    <w:rsid w:val="33F14B85"/>
    <w:rsid w:val="341D453C"/>
    <w:rsid w:val="348E47AF"/>
    <w:rsid w:val="34DF325D"/>
    <w:rsid w:val="35602AFD"/>
    <w:rsid w:val="356C3370"/>
    <w:rsid w:val="35BB5A78"/>
    <w:rsid w:val="35F06330"/>
    <w:rsid w:val="35FA5B3F"/>
    <w:rsid w:val="36132E0B"/>
    <w:rsid w:val="3616065B"/>
    <w:rsid w:val="36244316"/>
    <w:rsid w:val="364C66D0"/>
    <w:rsid w:val="36566100"/>
    <w:rsid w:val="365F17D9"/>
    <w:rsid w:val="36E763F9"/>
    <w:rsid w:val="36FA25D0"/>
    <w:rsid w:val="37162F59"/>
    <w:rsid w:val="372E2C48"/>
    <w:rsid w:val="372E4027"/>
    <w:rsid w:val="374A317E"/>
    <w:rsid w:val="3795459A"/>
    <w:rsid w:val="37C91FA2"/>
    <w:rsid w:val="384C2872"/>
    <w:rsid w:val="39200410"/>
    <w:rsid w:val="3947656F"/>
    <w:rsid w:val="3957347F"/>
    <w:rsid w:val="398840B5"/>
    <w:rsid w:val="39A8171C"/>
    <w:rsid w:val="39EA702F"/>
    <w:rsid w:val="39ED1F78"/>
    <w:rsid w:val="39FC21BB"/>
    <w:rsid w:val="3A58537C"/>
    <w:rsid w:val="3A8147E1"/>
    <w:rsid w:val="3A972C13"/>
    <w:rsid w:val="3A975933"/>
    <w:rsid w:val="3AA07642"/>
    <w:rsid w:val="3AB234E7"/>
    <w:rsid w:val="3ABF56FA"/>
    <w:rsid w:val="3AD747D9"/>
    <w:rsid w:val="3B1855C6"/>
    <w:rsid w:val="3B337FD5"/>
    <w:rsid w:val="3B6D4F6B"/>
    <w:rsid w:val="3BC57B8F"/>
    <w:rsid w:val="3BCA5316"/>
    <w:rsid w:val="3BE159ED"/>
    <w:rsid w:val="3C1F7ED7"/>
    <w:rsid w:val="3C2B4FD9"/>
    <w:rsid w:val="3C666DE6"/>
    <w:rsid w:val="3C7A15FE"/>
    <w:rsid w:val="3C9C54B2"/>
    <w:rsid w:val="3CD842BA"/>
    <w:rsid w:val="3CED04E1"/>
    <w:rsid w:val="3D154364"/>
    <w:rsid w:val="3D31308F"/>
    <w:rsid w:val="3D3922A2"/>
    <w:rsid w:val="3D734A47"/>
    <w:rsid w:val="3D745710"/>
    <w:rsid w:val="3D92781D"/>
    <w:rsid w:val="3DE459C0"/>
    <w:rsid w:val="3DE82198"/>
    <w:rsid w:val="3E0944AC"/>
    <w:rsid w:val="3E2D1234"/>
    <w:rsid w:val="3E5325C6"/>
    <w:rsid w:val="3E5361D5"/>
    <w:rsid w:val="3E846C23"/>
    <w:rsid w:val="3E884A7C"/>
    <w:rsid w:val="3E8C2FC4"/>
    <w:rsid w:val="3EA07B02"/>
    <w:rsid w:val="3EAD0CC4"/>
    <w:rsid w:val="3EBC02B8"/>
    <w:rsid w:val="3EE649B0"/>
    <w:rsid w:val="3EFE4C27"/>
    <w:rsid w:val="3F2B2ECE"/>
    <w:rsid w:val="3F3B0C9D"/>
    <w:rsid w:val="3FB452E6"/>
    <w:rsid w:val="3FC7326B"/>
    <w:rsid w:val="3FDD1D9F"/>
    <w:rsid w:val="3FDF4001"/>
    <w:rsid w:val="3FF20EF0"/>
    <w:rsid w:val="3FF81C6C"/>
    <w:rsid w:val="40536FAF"/>
    <w:rsid w:val="406A346B"/>
    <w:rsid w:val="407E463D"/>
    <w:rsid w:val="409273C5"/>
    <w:rsid w:val="40951B87"/>
    <w:rsid w:val="40AC57AD"/>
    <w:rsid w:val="40C95B0C"/>
    <w:rsid w:val="40DA0D7C"/>
    <w:rsid w:val="40E8520F"/>
    <w:rsid w:val="40FC5914"/>
    <w:rsid w:val="4116259D"/>
    <w:rsid w:val="414E282B"/>
    <w:rsid w:val="417116E0"/>
    <w:rsid w:val="41FA4DA0"/>
    <w:rsid w:val="42692286"/>
    <w:rsid w:val="4282777F"/>
    <w:rsid w:val="42C86C2C"/>
    <w:rsid w:val="42D9753D"/>
    <w:rsid w:val="43176064"/>
    <w:rsid w:val="43265662"/>
    <w:rsid w:val="43422FC4"/>
    <w:rsid w:val="434B5F61"/>
    <w:rsid w:val="43756C3A"/>
    <w:rsid w:val="448D5F45"/>
    <w:rsid w:val="44B921C2"/>
    <w:rsid w:val="44D944C0"/>
    <w:rsid w:val="45021E7A"/>
    <w:rsid w:val="45092B28"/>
    <w:rsid w:val="451166B5"/>
    <w:rsid w:val="451A46ED"/>
    <w:rsid w:val="454450E0"/>
    <w:rsid w:val="45450D0E"/>
    <w:rsid w:val="45BE0526"/>
    <w:rsid w:val="45CC091B"/>
    <w:rsid w:val="45D10704"/>
    <w:rsid w:val="45E54803"/>
    <w:rsid w:val="45E76415"/>
    <w:rsid w:val="461F3BB2"/>
    <w:rsid w:val="463D7DE3"/>
    <w:rsid w:val="46521F1E"/>
    <w:rsid w:val="46E850EA"/>
    <w:rsid w:val="46F94504"/>
    <w:rsid w:val="471A6376"/>
    <w:rsid w:val="474F7627"/>
    <w:rsid w:val="476F2186"/>
    <w:rsid w:val="479A3013"/>
    <w:rsid w:val="479F390E"/>
    <w:rsid w:val="47C83729"/>
    <w:rsid w:val="47F807CD"/>
    <w:rsid w:val="48620222"/>
    <w:rsid w:val="48952302"/>
    <w:rsid w:val="48BD16AF"/>
    <w:rsid w:val="490C7D41"/>
    <w:rsid w:val="49212AD2"/>
    <w:rsid w:val="495649FA"/>
    <w:rsid w:val="498B5309"/>
    <w:rsid w:val="4A0F7CE8"/>
    <w:rsid w:val="4A204B14"/>
    <w:rsid w:val="4A69067C"/>
    <w:rsid w:val="4AB40015"/>
    <w:rsid w:val="4ADC0EEA"/>
    <w:rsid w:val="4AE31F58"/>
    <w:rsid w:val="4B054C48"/>
    <w:rsid w:val="4B072BFF"/>
    <w:rsid w:val="4B0B109E"/>
    <w:rsid w:val="4B0D3348"/>
    <w:rsid w:val="4B26353C"/>
    <w:rsid w:val="4B2F3E4A"/>
    <w:rsid w:val="4B406CC7"/>
    <w:rsid w:val="4BA426B2"/>
    <w:rsid w:val="4BC753F4"/>
    <w:rsid w:val="4BCE7918"/>
    <w:rsid w:val="4BF508C0"/>
    <w:rsid w:val="4C1D37E6"/>
    <w:rsid w:val="4C2B1FE5"/>
    <w:rsid w:val="4C884100"/>
    <w:rsid w:val="4C890132"/>
    <w:rsid w:val="4D4C4DB0"/>
    <w:rsid w:val="4D651274"/>
    <w:rsid w:val="4DB43081"/>
    <w:rsid w:val="4DB52828"/>
    <w:rsid w:val="4DE02688"/>
    <w:rsid w:val="4DFB054F"/>
    <w:rsid w:val="4E241889"/>
    <w:rsid w:val="4E641BE5"/>
    <w:rsid w:val="4E7D2219"/>
    <w:rsid w:val="4EA40E15"/>
    <w:rsid w:val="4EC90CCF"/>
    <w:rsid w:val="4EE014EC"/>
    <w:rsid w:val="4F2B6026"/>
    <w:rsid w:val="4F4A7C2E"/>
    <w:rsid w:val="4F6C1739"/>
    <w:rsid w:val="4FAA3D56"/>
    <w:rsid w:val="50010B90"/>
    <w:rsid w:val="50370D5B"/>
    <w:rsid w:val="509A7021"/>
    <w:rsid w:val="50A56CB1"/>
    <w:rsid w:val="50A63F9F"/>
    <w:rsid w:val="50AF5D81"/>
    <w:rsid w:val="50E91001"/>
    <w:rsid w:val="50FF32D2"/>
    <w:rsid w:val="51044A52"/>
    <w:rsid w:val="510B175B"/>
    <w:rsid w:val="510B4369"/>
    <w:rsid w:val="51424ECF"/>
    <w:rsid w:val="515158B8"/>
    <w:rsid w:val="51550EA9"/>
    <w:rsid w:val="517E39D7"/>
    <w:rsid w:val="519A542A"/>
    <w:rsid w:val="51CB6BEB"/>
    <w:rsid w:val="51CD4715"/>
    <w:rsid w:val="51F076EF"/>
    <w:rsid w:val="52603BA0"/>
    <w:rsid w:val="52D47D21"/>
    <w:rsid w:val="52DA1182"/>
    <w:rsid w:val="52E76C2A"/>
    <w:rsid w:val="537230CA"/>
    <w:rsid w:val="538F214D"/>
    <w:rsid w:val="53AF665D"/>
    <w:rsid w:val="54660E4D"/>
    <w:rsid w:val="5484665D"/>
    <w:rsid w:val="54BC76ED"/>
    <w:rsid w:val="54EA3E32"/>
    <w:rsid w:val="55811D33"/>
    <w:rsid w:val="558D5808"/>
    <w:rsid w:val="55961626"/>
    <w:rsid w:val="55BA7EA9"/>
    <w:rsid w:val="564D060A"/>
    <w:rsid w:val="566A6584"/>
    <w:rsid w:val="56BC5F12"/>
    <w:rsid w:val="56D95720"/>
    <w:rsid w:val="574315AE"/>
    <w:rsid w:val="575A2A2C"/>
    <w:rsid w:val="575C1CC8"/>
    <w:rsid w:val="5780763F"/>
    <w:rsid w:val="57B36157"/>
    <w:rsid w:val="580B70A5"/>
    <w:rsid w:val="586D2BCD"/>
    <w:rsid w:val="589612AE"/>
    <w:rsid w:val="58A957AC"/>
    <w:rsid w:val="595B4CF8"/>
    <w:rsid w:val="596811C3"/>
    <w:rsid w:val="59A2740C"/>
    <w:rsid w:val="59B75A38"/>
    <w:rsid w:val="59E80DCD"/>
    <w:rsid w:val="5A160809"/>
    <w:rsid w:val="5A7F2242"/>
    <w:rsid w:val="5A80293C"/>
    <w:rsid w:val="5AC634B7"/>
    <w:rsid w:val="5B1765FF"/>
    <w:rsid w:val="5B345801"/>
    <w:rsid w:val="5B522F61"/>
    <w:rsid w:val="5B9B1834"/>
    <w:rsid w:val="5BFD47F6"/>
    <w:rsid w:val="5C1B251D"/>
    <w:rsid w:val="5C673325"/>
    <w:rsid w:val="5C757E7F"/>
    <w:rsid w:val="5C82259C"/>
    <w:rsid w:val="5C863A33"/>
    <w:rsid w:val="5CDA6415"/>
    <w:rsid w:val="5D783CDA"/>
    <w:rsid w:val="5E67546A"/>
    <w:rsid w:val="5ED6579D"/>
    <w:rsid w:val="5EE81843"/>
    <w:rsid w:val="5F0A6F31"/>
    <w:rsid w:val="5F2658AB"/>
    <w:rsid w:val="5F441D8B"/>
    <w:rsid w:val="5FC4513D"/>
    <w:rsid w:val="5FC51DA0"/>
    <w:rsid w:val="60116111"/>
    <w:rsid w:val="6131633F"/>
    <w:rsid w:val="613A51F3"/>
    <w:rsid w:val="61A30FEA"/>
    <w:rsid w:val="61D27C89"/>
    <w:rsid w:val="61EB175B"/>
    <w:rsid w:val="62982F8C"/>
    <w:rsid w:val="62E30E2D"/>
    <w:rsid w:val="62ED4C49"/>
    <w:rsid w:val="62F7618C"/>
    <w:rsid w:val="633D7850"/>
    <w:rsid w:val="634E4F86"/>
    <w:rsid w:val="636C18B0"/>
    <w:rsid w:val="636F2B3E"/>
    <w:rsid w:val="637A0EC4"/>
    <w:rsid w:val="639A19A1"/>
    <w:rsid w:val="639E343B"/>
    <w:rsid w:val="63AD56B0"/>
    <w:rsid w:val="63D74F7B"/>
    <w:rsid w:val="63DF4596"/>
    <w:rsid w:val="63F14444"/>
    <w:rsid w:val="64272D6E"/>
    <w:rsid w:val="644B5969"/>
    <w:rsid w:val="64AA756E"/>
    <w:rsid w:val="64AC28AC"/>
    <w:rsid w:val="64D43BB1"/>
    <w:rsid w:val="650A1380"/>
    <w:rsid w:val="65181EA7"/>
    <w:rsid w:val="654962BE"/>
    <w:rsid w:val="657F1021"/>
    <w:rsid w:val="658D1B78"/>
    <w:rsid w:val="65926EDA"/>
    <w:rsid w:val="65B9772A"/>
    <w:rsid w:val="664A6DB3"/>
    <w:rsid w:val="66C85F96"/>
    <w:rsid w:val="67891B2A"/>
    <w:rsid w:val="679E3518"/>
    <w:rsid w:val="67A7735B"/>
    <w:rsid w:val="67B4657A"/>
    <w:rsid w:val="67E86A01"/>
    <w:rsid w:val="68021003"/>
    <w:rsid w:val="68137D28"/>
    <w:rsid w:val="6861575B"/>
    <w:rsid w:val="687C3733"/>
    <w:rsid w:val="68E819D9"/>
    <w:rsid w:val="68E91920"/>
    <w:rsid w:val="69090BA0"/>
    <w:rsid w:val="692D1AE1"/>
    <w:rsid w:val="698F4691"/>
    <w:rsid w:val="69903460"/>
    <w:rsid w:val="699851AD"/>
    <w:rsid w:val="69B67D29"/>
    <w:rsid w:val="6A935267"/>
    <w:rsid w:val="6AAD7049"/>
    <w:rsid w:val="6B5012DC"/>
    <w:rsid w:val="6B740AF7"/>
    <w:rsid w:val="6B830630"/>
    <w:rsid w:val="6B8579B3"/>
    <w:rsid w:val="6C1B20C5"/>
    <w:rsid w:val="6C1F1BB5"/>
    <w:rsid w:val="6C2E37C4"/>
    <w:rsid w:val="6C3311BD"/>
    <w:rsid w:val="6C3E02FE"/>
    <w:rsid w:val="6C442190"/>
    <w:rsid w:val="6C6062DE"/>
    <w:rsid w:val="6C715F4B"/>
    <w:rsid w:val="6C717FC7"/>
    <w:rsid w:val="6CC11E29"/>
    <w:rsid w:val="6CC560F4"/>
    <w:rsid w:val="6CFA7F2C"/>
    <w:rsid w:val="6D0A10DE"/>
    <w:rsid w:val="6D4E6DD0"/>
    <w:rsid w:val="6D672285"/>
    <w:rsid w:val="6DD100F1"/>
    <w:rsid w:val="6E081A76"/>
    <w:rsid w:val="6E2A65EF"/>
    <w:rsid w:val="6E7354E8"/>
    <w:rsid w:val="6EA66D41"/>
    <w:rsid w:val="6EE836E4"/>
    <w:rsid w:val="6F3A26E8"/>
    <w:rsid w:val="6FDE05A1"/>
    <w:rsid w:val="702E686B"/>
    <w:rsid w:val="70603828"/>
    <w:rsid w:val="706F0D4A"/>
    <w:rsid w:val="708917D9"/>
    <w:rsid w:val="70981225"/>
    <w:rsid w:val="70B8527B"/>
    <w:rsid w:val="70BE7462"/>
    <w:rsid w:val="71937888"/>
    <w:rsid w:val="719E4CA8"/>
    <w:rsid w:val="72371FC5"/>
    <w:rsid w:val="725B4129"/>
    <w:rsid w:val="725D0B4F"/>
    <w:rsid w:val="726A7224"/>
    <w:rsid w:val="733221CE"/>
    <w:rsid w:val="736F6A2F"/>
    <w:rsid w:val="7373224B"/>
    <w:rsid w:val="737B235D"/>
    <w:rsid w:val="73FC473A"/>
    <w:rsid w:val="74445654"/>
    <w:rsid w:val="74BF306B"/>
    <w:rsid w:val="74CD523F"/>
    <w:rsid w:val="74FB2A94"/>
    <w:rsid w:val="75457105"/>
    <w:rsid w:val="75846F2D"/>
    <w:rsid w:val="75C60B79"/>
    <w:rsid w:val="75CF60A7"/>
    <w:rsid w:val="76235BD0"/>
    <w:rsid w:val="76D226D8"/>
    <w:rsid w:val="76D252C8"/>
    <w:rsid w:val="76E66696"/>
    <w:rsid w:val="76FA2A99"/>
    <w:rsid w:val="77096C7F"/>
    <w:rsid w:val="7771546F"/>
    <w:rsid w:val="777D4BE9"/>
    <w:rsid w:val="779A3579"/>
    <w:rsid w:val="77D10621"/>
    <w:rsid w:val="78092C74"/>
    <w:rsid w:val="78136167"/>
    <w:rsid w:val="782C1D4A"/>
    <w:rsid w:val="78412EB3"/>
    <w:rsid w:val="78D227AD"/>
    <w:rsid w:val="790B20A3"/>
    <w:rsid w:val="791C45F4"/>
    <w:rsid w:val="794C1B10"/>
    <w:rsid w:val="795F350D"/>
    <w:rsid w:val="79866C7A"/>
    <w:rsid w:val="79895EAC"/>
    <w:rsid w:val="79993AD1"/>
    <w:rsid w:val="79BC7FBE"/>
    <w:rsid w:val="79D2374A"/>
    <w:rsid w:val="7A04260F"/>
    <w:rsid w:val="7A8C22DE"/>
    <w:rsid w:val="7AA428F7"/>
    <w:rsid w:val="7B3A4732"/>
    <w:rsid w:val="7B7A2964"/>
    <w:rsid w:val="7BC31773"/>
    <w:rsid w:val="7BCB3140"/>
    <w:rsid w:val="7BFC0595"/>
    <w:rsid w:val="7C1525C8"/>
    <w:rsid w:val="7C8F68E3"/>
    <w:rsid w:val="7CA227A5"/>
    <w:rsid w:val="7CF92B0D"/>
    <w:rsid w:val="7D047663"/>
    <w:rsid w:val="7D155246"/>
    <w:rsid w:val="7D652500"/>
    <w:rsid w:val="7D68356F"/>
    <w:rsid w:val="7DBA31B2"/>
    <w:rsid w:val="7DD52E04"/>
    <w:rsid w:val="7DE51A03"/>
    <w:rsid w:val="7E0C5521"/>
    <w:rsid w:val="7E290672"/>
    <w:rsid w:val="7E2911F2"/>
    <w:rsid w:val="7E81400A"/>
    <w:rsid w:val="7ED56104"/>
    <w:rsid w:val="7EEF18BB"/>
    <w:rsid w:val="7F2050F7"/>
    <w:rsid w:val="7F58433C"/>
    <w:rsid w:val="7FC23090"/>
    <w:rsid w:val="7FDB45E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47"/>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8"/>
    <w:qFormat/>
    <w:uiPriority w:val="0"/>
    <w:pPr>
      <w:keepNext/>
      <w:jc w:val="center"/>
      <w:outlineLvl w:val="3"/>
    </w:pPr>
    <w:rPr>
      <w:rFonts w:eastAsia="新宋体"/>
      <w:kern w:val="0"/>
      <w:sz w:val="30"/>
      <w:szCs w:val="21"/>
    </w:rPr>
  </w:style>
  <w:style w:type="paragraph" w:styleId="6">
    <w:name w:val="heading 5"/>
    <w:basedOn w:val="1"/>
    <w:next w:val="1"/>
    <w:link w:val="49"/>
    <w:qFormat/>
    <w:uiPriority w:val="0"/>
    <w:pPr>
      <w:keepNext/>
      <w:keepLines/>
      <w:spacing w:before="280" w:after="290" w:line="376" w:lineRule="auto"/>
      <w:outlineLvl w:val="4"/>
    </w:pPr>
    <w:rPr>
      <w:b/>
      <w:bCs/>
      <w:kern w:val="0"/>
      <w:sz w:val="28"/>
      <w:szCs w:val="28"/>
    </w:rPr>
  </w:style>
  <w:style w:type="paragraph" w:styleId="7">
    <w:name w:val="heading 6"/>
    <w:basedOn w:val="1"/>
    <w:next w:val="8"/>
    <w:link w:val="50"/>
    <w:qFormat/>
    <w:uiPriority w:val="0"/>
    <w:pPr>
      <w:keepNext/>
      <w:jc w:val="center"/>
      <w:outlineLvl w:val="5"/>
    </w:pPr>
    <w:rPr>
      <w:b/>
      <w:kern w:val="0"/>
      <w:sz w:val="44"/>
      <w:szCs w:val="20"/>
    </w:rPr>
  </w:style>
  <w:style w:type="paragraph" w:styleId="9">
    <w:name w:val="heading 7"/>
    <w:basedOn w:val="1"/>
    <w:next w:val="1"/>
    <w:link w:val="52"/>
    <w:qFormat/>
    <w:uiPriority w:val="0"/>
    <w:pPr>
      <w:keepNext/>
      <w:keepLines/>
      <w:spacing w:before="240" w:after="64" w:line="320" w:lineRule="auto"/>
      <w:outlineLvl w:val="6"/>
    </w:pPr>
    <w:rPr>
      <w:b/>
      <w:bCs/>
      <w:kern w:val="0"/>
      <w:sz w:val="24"/>
    </w:rPr>
  </w:style>
  <w:style w:type="paragraph" w:styleId="10">
    <w:name w:val="heading 8"/>
    <w:basedOn w:val="1"/>
    <w:next w:val="1"/>
    <w:link w:val="53"/>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4"/>
    <w:qFormat/>
    <w:uiPriority w:val="0"/>
    <w:pPr>
      <w:keepNext/>
      <w:keepLines/>
      <w:spacing w:before="240" w:after="64" w:line="320" w:lineRule="auto"/>
      <w:outlineLvl w:val="8"/>
    </w:pPr>
    <w:rPr>
      <w:rFonts w:ascii="Arial" w:hAnsi="Arial" w:eastAsia="黑体"/>
      <w:kern w:val="0"/>
      <w:sz w:val="24"/>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51"/>
    <w:qFormat/>
    <w:uiPriority w:val="0"/>
    <w:pPr>
      <w:ind w:firstLine="420"/>
    </w:pPr>
    <w:rPr>
      <w:kern w:val="0"/>
      <w:sz w:val="20"/>
      <w:szCs w:val="20"/>
    </w:rPr>
  </w:style>
  <w:style w:type="paragraph" w:styleId="12">
    <w:name w:val="Note Heading"/>
    <w:basedOn w:val="1"/>
    <w:next w:val="1"/>
    <w:qFormat/>
    <w:uiPriority w:val="0"/>
    <w:rPr>
      <w:rFonts w:ascii="Verdana" w:hAnsi="Verdana"/>
      <w:szCs w:val="20"/>
    </w:rPr>
  </w:style>
  <w:style w:type="paragraph" w:styleId="13">
    <w:name w:val="Document Map"/>
    <w:basedOn w:val="1"/>
    <w:link w:val="55"/>
    <w:semiHidden/>
    <w:qFormat/>
    <w:uiPriority w:val="0"/>
    <w:pPr>
      <w:shd w:val="clear" w:color="auto" w:fill="000080"/>
    </w:pPr>
    <w:rPr>
      <w:kern w:val="0"/>
      <w:sz w:val="20"/>
    </w:rPr>
  </w:style>
  <w:style w:type="paragraph" w:styleId="14">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5">
    <w:name w:val="annotation text"/>
    <w:basedOn w:val="1"/>
    <w:link w:val="56"/>
    <w:unhideWhenUsed/>
    <w:qFormat/>
    <w:uiPriority w:val="99"/>
    <w:pPr>
      <w:jc w:val="left"/>
    </w:pPr>
  </w:style>
  <w:style w:type="paragraph" w:styleId="16">
    <w:name w:val="Body Text 3"/>
    <w:basedOn w:val="1"/>
    <w:link w:val="57"/>
    <w:qFormat/>
    <w:uiPriority w:val="0"/>
    <w:pPr>
      <w:spacing w:after="120"/>
    </w:pPr>
    <w:rPr>
      <w:kern w:val="0"/>
      <w:sz w:val="16"/>
      <w:szCs w:val="16"/>
    </w:rPr>
  </w:style>
  <w:style w:type="paragraph" w:styleId="17">
    <w:name w:val="Body Text"/>
    <w:basedOn w:val="1"/>
    <w:next w:val="1"/>
    <w:link w:val="58"/>
    <w:qFormat/>
    <w:uiPriority w:val="0"/>
    <w:rPr>
      <w:rFonts w:ascii="仿宋_GB2312" w:eastAsia="仿宋_GB2312"/>
      <w:kern w:val="0"/>
      <w:sz w:val="24"/>
      <w:szCs w:val="20"/>
    </w:rPr>
  </w:style>
  <w:style w:type="paragraph" w:styleId="18">
    <w:name w:val="Body Text Indent"/>
    <w:basedOn w:val="1"/>
    <w:next w:val="19"/>
    <w:link w:val="59"/>
    <w:qFormat/>
    <w:uiPriority w:val="0"/>
    <w:pPr>
      <w:ind w:left="765"/>
    </w:pPr>
    <w:rPr>
      <w:rFonts w:ascii="仿宋_GB2312" w:eastAsia="仿宋_GB2312"/>
      <w:kern w:val="0"/>
      <w:sz w:val="28"/>
      <w:szCs w:val="20"/>
    </w:rPr>
  </w:style>
  <w:style w:type="paragraph" w:styleId="19">
    <w:name w:val="envelope return"/>
    <w:basedOn w:val="1"/>
    <w:unhideWhenUsed/>
    <w:qFormat/>
    <w:uiPriority w:val="99"/>
    <w:pPr>
      <w:snapToGrid w:val="0"/>
    </w:pPr>
    <w:rPr>
      <w:rFonts w:ascii="Arial" w:hAnsi="Arial"/>
    </w:rPr>
  </w:style>
  <w:style w:type="paragraph" w:styleId="20">
    <w:name w:val="Block Text"/>
    <w:basedOn w:val="1"/>
    <w:next w:val="17"/>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1">
    <w:name w:val="toc 3"/>
    <w:basedOn w:val="1"/>
    <w:next w:val="1"/>
    <w:unhideWhenUsed/>
    <w:qFormat/>
    <w:uiPriority w:val="39"/>
    <w:pPr>
      <w:ind w:left="840" w:leftChars="400"/>
    </w:pPr>
  </w:style>
  <w:style w:type="paragraph" w:styleId="22">
    <w:name w:val="Plain Text"/>
    <w:basedOn w:val="1"/>
    <w:link w:val="60"/>
    <w:qFormat/>
    <w:uiPriority w:val="0"/>
    <w:rPr>
      <w:rFonts w:ascii="宋体" w:hAnsi="Courier New"/>
      <w:kern w:val="0"/>
      <w:sz w:val="20"/>
      <w:szCs w:val="21"/>
    </w:rPr>
  </w:style>
  <w:style w:type="paragraph" w:styleId="23">
    <w:name w:val="Date"/>
    <w:basedOn w:val="1"/>
    <w:next w:val="1"/>
    <w:link w:val="61"/>
    <w:qFormat/>
    <w:uiPriority w:val="0"/>
    <w:rPr>
      <w:kern w:val="0"/>
      <w:sz w:val="24"/>
      <w:szCs w:val="20"/>
    </w:rPr>
  </w:style>
  <w:style w:type="paragraph" w:styleId="24">
    <w:name w:val="Body Text Indent 2"/>
    <w:basedOn w:val="1"/>
    <w:link w:val="62"/>
    <w:qFormat/>
    <w:uiPriority w:val="0"/>
    <w:pPr>
      <w:spacing w:line="500" w:lineRule="exact"/>
      <w:ind w:firstLine="560" w:firstLineChars="200"/>
    </w:pPr>
    <w:rPr>
      <w:rFonts w:eastAsia="仿宋_GB2312"/>
      <w:kern w:val="0"/>
      <w:sz w:val="28"/>
      <w:szCs w:val="20"/>
    </w:rPr>
  </w:style>
  <w:style w:type="paragraph" w:styleId="25">
    <w:name w:val="Balloon Text"/>
    <w:basedOn w:val="1"/>
    <w:link w:val="63"/>
    <w:semiHidden/>
    <w:qFormat/>
    <w:uiPriority w:val="0"/>
    <w:rPr>
      <w:kern w:val="0"/>
      <w:sz w:val="18"/>
      <w:szCs w:val="18"/>
    </w:rPr>
  </w:style>
  <w:style w:type="paragraph" w:styleId="26">
    <w:name w:val="footer"/>
    <w:basedOn w:val="1"/>
    <w:link w:val="64"/>
    <w:qFormat/>
    <w:uiPriority w:val="99"/>
    <w:pPr>
      <w:tabs>
        <w:tab w:val="center" w:pos="4153"/>
        <w:tab w:val="right" w:pos="8306"/>
      </w:tabs>
      <w:snapToGrid w:val="0"/>
      <w:jc w:val="left"/>
    </w:pPr>
    <w:rPr>
      <w:kern w:val="0"/>
      <w:sz w:val="18"/>
      <w:szCs w:val="20"/>
    </w:rPr>
  </w:style>
  <w:style w:type="paragraph" w:styleId="27">
    <w:name w:val="header"/>
    <w:basedOn w:val="1"/>
    <w:link w:val="65"/>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semiHidden/>
    <w:qFormat/>
    <w:uiPriority w:val="0"/>
    <w:rPr>
      <w:sz w:val="24"/>
    </w:rPr>
  </w:style>
  <w:style w:type="paragraph" w:styleId="29">
    <w:name w:val="List"/>
    <w:basedOn w:val="1"/>
    <w:qFormat/>
    <w:uiPriority w:val="0"/>
    <w:pPr>
      <w:ind w:left="200" w:hanging="200" w:hangingChars="200"/>
    </w:pPr>
  </w:style>
  <w:style w:type="paragraph" w:styleId="30">
    <w:name w:val="Body Text Indent 3"/>
    <w:basedOn w:val="1"/>
    <w:next w:val="14"/>
    <w:link w:val="66"/>
    <w:qFormat/>
    <w:uiPriority w:val="0"/>
    <w:pPr>
      <w:spacing w:after="120"/>
      <w:ind w:left="420" w:leftChars="200"/>
    </w:pPr>
    <w:rPr>
      <w:kern w:val="0"/>
      <w:sz w:val="16"/>
      <w:szCs w:val="16"/>
    </w:rPr>
  </w:style>
  <w:style w:type="paragraph" w:styleId="31">
    <w:name w:val="toc 2"/>
    <w:basedOn w:val="1"/>
    <w:next w:val="1"/>
    <w:unhideWhenUsed/>
    <w:qFormat/>
    <w:uiPriority w:val="39"/>
    <w:pPr>
      <w:ind w:left="420" w:leftChars="200"/>
    </w:pPr>
  </w:style>
  <w:style w:type="paragraph" w:styleId="32">
    <w:name w:val="Body Text 2"/>
    <w:basedOn w:val="1"/>
    <w:link w:val="67"/>
    <w:qFormat/>
    <w:uiPriority w:val="0"/>
    <w:pPr>
      <w:snapToGrid w:val="0"/>
    </w:pPr>
    <w:rPr>
      <w:b/>
      <w:bCs/>
      <w:kern w:val="0"/>
      <w:sz w:val="18"/>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4">
    <w:name w:val="annotation subject"/>
    <w:basedOn w:val="15"/>
    <w:next w:val="15"/>
    <w:link w:val="68"/>
    <w:unhideWhenUsed/>
    <w:qFormat/>
    <w:uiPriority w:val="99"/>
    <w:rPr>
      <w:b/>
      <w:bCs/>
    </w:rPr>
  </w:style>
  <w:style w:type="paragraph" w:styleId="35">
    <w:name w:val="Body Text First Indent"/>
    <w:basedOn w:val="17"/>
    <w:link w:val="69"/>
    <w:qFormat/>
    <w:uiPriority w:val="0"/>
    <w:pPr>
      <w:spacing w:after="120"/>
      <w:ind w:firstLine="420" w:firstLineChars="100"/>
    </w:pPr>
    <w:rPr>
      <w:rFonts w:ascii="Times New Roman" w:eastAsia="宋体"/>
      <w:szCs w:val="24"/>
    </w:rPr>
  </w:style>
  <w:style w:type="paragraph" w:styleId="36">
    <w:name w:val="Body Text First Indent 2"/>
    <w:basedOn w:val="18"/>
    <w:unhideWhenUsed/>
    <w:qFormat/>
    <w:uiPriority w:val="99"/>
    <w:pPr>
      <w:ind w:firstLine="200" w:firstLineChars="200"/>
    </w:p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0"/>
    <w:rPr>
      <w:color w:val="0000FF"/>
      <w:u w:val="single"/>
    </w:rPr>
  </w:style>
  <w:style w:type="character" w:styleId="44">
    <w:name w:val="annotation reference"/>
    <w:unhideWhenUsed/>
    <w:qFormat/>
    <w:uiPriority w:val="99"/>
    <w:rPr>
      <w:sz w:val="21"/>
      <w:szCs w:val="21"/>
    </w:rPr>
  </w:style>
  <w:style w:type="character" w:customStyle="1" w:styleId="45">
    <w:name w:val="标题 1 Char"/>
    <w:link w:val="2"/>
    <w:qFormat/>
    <w:uiPriority w:val="0"/>
    <w:rPr>
      <w:rFonts w:ascii="Times New Roman" w:hAnsi="Times New Roman" w:eastAsia="宋体" w:cs="Times New Roman"/>
      <w:b/>
      <w:bCs/>
      <w:kern w:val="44"/>
      <w:sz w:val="44"/>
      <w:szCs w:val="44"/>
    </w:rPr>
  </w:style>
  <w:style w:type="character" w:customStyle="1" w:styleId="46">
    <w:name w:val="标题 2 Char"/>
    <w:link w:val="3"/>
    <w:qFormat/>
    <w:uiPriority w:val="0"/>
    <w:rPr>
      <w:rFonts w:ascii="Arial" w:hAnsi="Arial" w:eastAsia="黑体" w:cs="Times New Roman"/>
      <w:b/>
      <w:bCs/>
      <w:sz w:val="32"/>
      <w:szCs w:val="32"/>
    </w:rPr>
  </w:style>
  <w:style w:type="character" w:customStyle="1" w:styleId="47">
    <w:name w:val="标题 3 Char"/>
    <w:link w:val="4"/>
    <w:qFormat/>
    <w:uiPriority w:val="0"/>
    <w:rPr>
      <w:rFonts w:ascii="Times New Roman" w:hAnsi="Times New Roman" w:eastAsia="宋体" w:cs="Times New Roman"/>
      <w:b/>
      <w:bCs/>
      <w:sz w:val="32"/>
      <w:szCs w:val="32"/>
    </w:rPr>
  </w:style>
  <w:style w:type="character" w:customStyle="1" w:styleId="48">
    <w:name w:val="标题 4 Char"/>
    <w:link w:val="5"/>
    <w:qFormat/>
    <w:uiPriority w:val="0"/>
    <w:rPr>
      <w:rFonts w:ascii="Times New Roman" w:hAnsi="Times New Roman" w:eastAsia="新宋体" w:cs="Times New Roman"/>
      <w:sz w:val="30"/>
      <w:szCs w:val="21"/>
    </w:rPr>
  </w:style>
  <w:style w:type="character" w:customStyle="1" w:styleId="49">
    <w:name w:val="标题 5 Char"/>
    <w:link w:val="6"/>
    <w:qFormat/>
    <w:uiPriority w:val="0"/>
    <w:rPr>
      <w:rFonts w:ascii="Times New Roman" w:hAnsi="Times New Roman" w:eastAsia="宋体" w:cs="Times New Roman"/>
      <w:b/>
      <w:bCs/>
      <w:sz w:val="28"/>
      <w:szCs w:val="28"/>
    </w:rPr>
  </w:style>
  <w:style w:type="character" w:customStyle="1" w:styleId="50">
    <w:name w:val="标题 6 Char"/>
    <w:link w:val="7"/>
    <w:qFormat/>
    <w:uiPriority w:val="0"/>
    <w:rPr>
      <w:rFonts w:ascii="Times New Roman" w:hAnsi="Times New Roman" w:eastAsia="宋体" w:cs="Times New Roman"/>
      <w:b/>
      <w:sz w:val="44"/>
      <w:szCs w:val="20"/>
    </w:rPr>
  </w:style>
  <w:style w:type="character" w:customStyle="1" w:styleId="51">
    <w:name w:val="正文缩进 Char"/>
    <w:link w:val="8"/>
    <w:qFormat/>
    <w:uiPriority w:val="0"/>
    <w:rPr>
      <w:rFonts w:ascii="Times New Roman" w:hAnsi="Times New Roman" w:eastAsia="宋体" w:cs="Times New Roman"/>
      <w:kern w:val="0"/>
      <w:sz w:val="20"/>
      <w:szCs w:val="20"/>
    </w:rPr>
  </w:style>
  <w:style w:type="character" w:customStyle="1" w:styleId="52">
    <w:name w:val="标题 7 Char"/>
    <w:link w:val="9"/>
    <w:qFormat/>
    <w:uiPriority w:val="0"/>
    <w:rPr>
      <w:rFonts w:ascii="Times New Roman" w:hAnsi="Times New Roman" w:eastAsia="宋体" w:cs="Times New Roman"/>
      <w:b/>
      <w:bCs/>
      <w:sz w:val="24"/>
      <w:szCs w:val="24"/>
    </w:rPr>
  </w:style>
  <w:style w:type="character" w:customStyle="1" w:styleId="53">
    <w:name w:val="标题 8 Char"/>
    <w:link w:val="10"/>
    <w:qFormat/>
    <w:uiPriority w:val="0"/>
    <w:rPr>
      <w:rFonts w:ascii="Arial" w:hAnsi="Arial" w:eastAsia="黑体" w:cs="Times New Roman"/>
      <w:sz w:val="24"/>
      <w:szCs w:val="24"/>
    </w:rPr>
  </w:style>
  <w:style w:type="character" w:customStyle="1" w:styleId="54">
    <w:name w:val="标题 9 Char"/>
    <w:link w:val="11"/>
    <w:qFormat/>
    <w:uiPriority w:val="0"/>
    <w:rPr>
      <w:rFonts w:ascii="Arial" w:hAnsi="Arial" w:eastAsia="黑体" w:cs="Times New Roman"/>
      <w:sz w:val="24"/>
      <w:szCs w:val="21"/>
    </w:rPr>
  </w:style>
  <w:style w:type="character" w:customStyle="1" w:styleId="55">
    <w:name w:val="文档结构图 Char"/>
    <w:link w:val="13"/>
    <w:semiHidden/>
    <w:qFormat/>
    <w:uiPriority w:val="0"/>
    <w:rPr>
      <w:szCs w:val="24"/>
      <w:shd w:val="clear" w:color="auto" w:fill="000080"/>
    </w:rPr>
  </w:style>
  <w:style w:type="character" w:customStyle="1" w:styleId="56">
    <w:name w:val="批注文字 Char"/>
    <w:link w:val="15"/>
    <w:qFormat/>
    <w:uiPriority w:val="99"/>
    <w:rPr>
      <w:kern w:val="2"/>
      <w:sz w:val="21"/>
      <w:szCs w:val="24"/>
    </w:rPr>
  </w:style>
  <w:style w:type="character" w:customStyle="1" w:styleId="57">
    <w:name w:val="正文文本 3 Char"/>
    <w:link w:val="16"/>
    <w:qFormat/>
    <w:uiPriority w:val="0"/>
    <w:rPr>
      <w:rFonts w:ascii="Times New Roman" w:hAnsi="Times New Roman" w:eastAsia="宋体" w:cs="Times New Roman"/>
      <w:sz w:val="16"/>
      <w:szCs w:val="16"/>
    </w:rPr>
  </w:style>
  <w:style w:type="character" w:customStyle="1" w:styleId="58">
    <w:name w:val="正文文本 Char"/>
    <w:link w:val="17"/>
    <w:qFormat/>
    <w:uiPriority w:val="0"/>
    <w:rPr>
      <w:rFonts w:ascii="仿宋_GB2312" w:hAnsi="Times New Roman" w:eastAsia="仿宋_GB2312" w:cs="Times New Roman"/>
      <w:sz w:val="24"/>
      <w:szCs w:val="20"/>
    </w:rPr>
  </w:style>
  <w:style w:type="character" w:customStyle="1" w:styleId="59">
    <w:name w:val="正文文本缩进 Char"/>
    <w:link w:val="18"/>
    <w:qFormat/>
    <w:uiPriority w:val="0"/>
    <w:rPr>
      <w:rFonts w:ascii="仿宋_GB2312" w:hAnsi="Times New Roman" w:eastAsia="仿宋_GB2312" w:cs="Times New Roman"/>
      <w:sz w:val="28"/>
      <w:szCs w:val="20"/>
    </w:rPr>
  </w:style>
  <w:style w:type="character" w:customStyle="1" w:styleId="60">
    <w:name w:val="纯文本 Char"/>
    <w:link w:val="22"/>
    <w:qFormat/>
    <w:uiPriority w:val="0"/>
    <w:rPr>
      <w:rFonts w:ascii="宋体" w:hAnsi="Courier New" w:eastAsia="宋体" w:cs="Courier New"/>
      <w:szCs w:val="21"/>
    </w:rPr>
  </w:style>
  <w:style w:type="character" w:customStyle="1" w:styleId="61">
    <w:name w:val="日期 Char"/>
    <w:link w:val="23"/>
    <w:qFormat/>
    <w:uiPriority w:val="0"/>
    <w:rPr>
      <w:rFonts w:ascii="Times New Roman" w:hAnsi="Times New Roman" w:eastAsia="宋体" w:cs="Times New Roman"/>
      <w:sz w:val="24"/>
      <w:szCs w:val="20"/>
    </w:rPr>
  </w:style>
  <w:style w:type="character" w:customStyle="1" w:styleId="62">
    <w:name w:val="正文文本缩进 2 Char"/>
    <w:link w:val="24"/>
    <w:qFormat/>
    <w:uiPriority w:val="0"/>
    <w:rPr>
      <w:rFonts w:ascii="Times New Roman" w:hAnsi="Times New Roman" w:eastAsia="仿宋_GB2312" w:cs="Times New Roman"/>
      <w:sz w:val="28"/>
      <w:szCs w:val="20"/>
    </w:rPr>
  </w:style>
  <w:style w:type="character" w:customStyle="1" w:styleId="63">
    <w:name w:val="批注框文本 Char"/>
    <w:link w:val="25"/>
    <w:semiHidden/>
    <w:qFormat/>
    <w:uiPriority w:val="0"/>
    <w:rPr>
      <w:sz w:val="18"/>
      <w:szCs w:val="18"/>
    </w:rPr>
  </w:style>
  <w:style w:type="character" w:customStyle="1" w:styleId="64">
    <w:name w:val="页脚 Char"/>
    <w:link w:val="26"/>
    <w:qFormat/>
    <w:uiPriority w:val="99"/>
    <w:rPr>
      <w:rFonts w:ascii="Times New Roman" w:hAnsi="Times New Roman" w:eastAsia="宋体" w:cs="Times New Roman"/>
      <w:sz w:val="18"/>
      <w:szCs w:val="20"/>
    </w:rPr>
  </w:style>
  <w:style w:type="character" w:customStyle="1" w:styleId="65">
    <w:name w:val="页眉 Char"/>
    <w:link w:val="27"/>
    <w:qFormat/>
    <w:uiPriority w:val="0"/>
    <w:rPr>
      <w:rFonts w:ascii="Times New Roman" w:hAnsi="Times New Roman" w:eastAsia="宋体" w:cs="Times New Roman"/>
      <w:sz w:val="18"/>
      <w:szCs w:val="18"/>
    </w:rPr>
  </w:style>
  <w:style w:type="character" w:customStyle="1" w:styleId="66">
    <w:name w:val="正文文本缩进 3 Char"/>
    <w:link w:val="30"/>
    <w:qFormat/>
    <w:uiPriority w:val="0"/>
    <w:rPr>
      <w:rFonts w:ascii="Times New Roman" w:hAnsi="Times New Roman" w:eastAsia="宋体" w:cs="Times New Roman"/>
      <w:sz w:val="16"/>
      <w:szCs w:val="16"/>
    </w:rPr>
  </w:style>
  <w:style w:type="character" w:customStyle="1" w:styleId="67">
    <w:name w:val="正文文本 2 Char"/>
    <w:link w:val="32"/>
    <w:qFormat/>
    <w:uiPriority w:val="0"/>
    <w:rPr>
      <w:rFonts w:ascii="Times New Roman" w:hAnsi="Times New Roman" w:eastAsia="宋体" w:cs="Times New Roman"/>
      <w:b/>
      <w:bCs/>
      <w:sz w:val="18"/>
      <w:szCs w:val="24"/>
    </w:rPr>
  </w:style>
  <w:style w:type="character" w:customStyle="1" w:styleId="68">
    <w:name w:val="批注主题 Char"/>
    <w:link w:val="34"/>
    <w:semiHidden/>
    <w:qFormat/>
    <w:uiPriority w:val="99"/>
    <w:rPr>
      <w:b/>
      <w:bCs/>
      <w:kern w:val="2"/>
      <w:sz w:val="21"/>
      <w:szCs w:val="24"/>
    </w:rPr>
  </w:style>
  <w:style w:type="character" w:customStyle="1" w:styleId="69">
    <w:name w:val="正文首行缩进 Char"/>
    <w:link w:val="35"/>
    <w:qFormat/>
    <w:uiPriority w:val="0"/>
    <w:rPr>
      <w:rFonts w:ascii="Times New Roman" w:hAnsi="Times New Roman" w:eastAsia="宋体" w:cs="Times New Roman"/>
      <w:sz w:val="24"/>
      <w:szCs w:val="24"/>
    </w:rPr>
  </w:style>
  <w:style w:type="paragraph" w:styleId="70">
    <w:name w:val="List Paragraph"/>
    <w:basedOn w:val="1"/>
    <w:link w:val="71"/>
    <w:qFormat/>
    <w:uiPriority w:val="99"/>
    <w:pPr>
      <w:ind w:firstLine="420" w:firstLineChars="200"/>
    </w:pPr>
    <w:rPr>
      <w:kern w:val="0"/>
      <w:sz w:val="20"/>
      <w:szCs w:val="20"/>
    </w:rPr>
  </w:style>
  <w:style w:type="character" w:customStyle="1" w:styleId="71">
    <w:name w:val="列出段落 Char"/>
    <w:link w:val="70"/>
    <w:qFormat/>
    <w:locked/>
    <w:uiPriority w:val="99"/>
  </w:style>
  <w:style w:type="paragraph" w:customStyle="1" w:styleId="72">
    <w:name w:val="style4"/>
    <w:basedOn w:val="1"/>
    <w:next w:val="73"/>
    <w:qFormat/>
    <w:uiPriority w:val="0"/>
    <w:pPr>
      <w:widowControl/>
      <w:spacing w:before="280" w:after="280"/>
    </w:pPr>
    <w:rPr>
      <w:rFonts w:ascii="宋体"/>
      <w:sz w:val="18"/>
    </w:rPr>
  </w:style>
  <w:style w:type="paragraph" w:customStyle="1" w:styleId="7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4">
    <w:name w:val="Default"/>
    <w:basedOn w:val="1"/>
    <w:qFormat/>
    <w:uiPriority w:val="0"/>
    <w:pPr>
      <w:autoSpaceDE w:val="0"/>
      <w:autoSpaceDN w:val="0"/>
      <w:adjustRightInd w:val="0"/>
      <w:jc w:val="left"/>
    </w:pPr>
    <w:rPr>
      <w:rFonts w:ascii="Arial" w:hAnsi="Arial" w:eastAsia="PMingLiU"/>
      <w:kern w:val="0"/>
      <w:sz w:val="20"/>
      <w:szCs w:val="20"/>
    </w:rPr>
  </w:style>
  <w:style w:type="paragraph" w:customStyle="1" w:styleId="75">
    <w:name w:val="无间隔1"/>
    <w:qFormat/>
    <w:uiPriority w:val="0"/>
    <w:rPr>
      <w:rFonts w:ascii="Times New Roman" w:hAnsi="Times New Roman" w:eastAsia="宋体" w:cs="Calibri"/>
      <w:sz w:val="22"/>
      <w:lang w:val="en-US" w:eastAsia="zh-CN" w:bidi="ar-SA"/>
    </w:rPr>
  </w:style>
  <w:style w:type="paragraph" w:customStyle="1" w:styleId="76">
    <w:name w:val="正文缩进1"/>
    <w:basedOn w:val="1"/>
    <w:qFormat/>
    <w:uiPriority w:val="0"/>
    <w:pPr>
      <w:widowControl/>
      <w:ind w:firstLine="420"/>
      <w:jc w:val="left"/>
    </w:pPr>
    <w:rPr>
      <w:kern w:val="0"/>
    </w:rPr>
  </w:style>
  <w:style w:type="character" w:customStyle="1" w:styleId="77">
    <w:name w:val="文档结构图 Char1"/>
    <w:semiHidden/>
    <w:qFormat/>
    <w:uiPriority w:val="99"/>
    <w:rPr>
      <w:rFonts w:ascii="宋体" w:hAnsi="Times New Roman" w:eastAsia="宋体" w:cs="Times New Roman"/>
      <w:sz w:val="18"/>
      <w:szCs w:val="18"/>
    </w:rPr>
  </w:style>
  <w:style w:type="character" w:customStyle="1" w:styleId="78">
    <w:name w:val="普通正文 Char"/>
    <w:link w:val="79"/>
    <w:qFormat/>
    <w:uiPriority w:val="0"/>
    <w:rPr>
      <w:rFonts w:ascii="Arial" w:hAnsi="Arial"/>
      <w:sz w:val="24"/>
      <w:szCs w:val="24"/>
    </w:rPr>
  </w:style>
  <w:style w:type="paragraph" w:customStyle="1" w:styleId="79">
    <w:name w:val="普通正文"/>
    <w:basedOn w:val="1"/>
    <w:link w:val="7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0">
    <w:name w:val="FA正文 Char"/>
    <w:link w:val="81"/>
    <w:qFormat/>
    <w:uiPriority w:val="0"/>
    <w:rPr>
      <w:rFonts w:ascii="宋体" w:hAnsi="宋体" w:eastAsia="宋体" w:cs="Times New Roman"/>
      <w:sz w:val="28"/>
      <w:szCs w:val="28"/>
    </w:rPr>
  </w:style>
  <w:style w:type="paragraph" w:customStyle="1" w:styleId="81">
    <w:name w:val="FA正文"/>
    <w:basedOn w:val="1"/>
    <w:link w:val="80"/>
    <w:qFormat/>
    <w:uiPriority w:val="0"/>
    <w:pPr>
      <w:tabs>
        <w:tab w:val="left" w:pos="3375"/>
      </w:tabs>
      <w:spacing w:line="440" w:lineRule="atLeast"/>
      <w:ind w:firstLine="538" w:firstLineChars="192"/>
    </w:pPr>
    <w:rPr>
      <w:rFonts w:ascii="宋体" w:hAnsi="宋体"/>
      <w:kern w:val="0"/>
      <w:sz w:val="28"/>
      <w:szCs w:val="28"/>
    </w:rPr>
  </w:style>
  <w:style w:type="character" w:customStyle="1" w:styleId="82">
    <w:name w:val="正文缩进2格 Char"/>
    <w:link w:val="83"/>
    <w:qFormat/>
    <w:uiPriority w:val="0"/>
    <w:rPr>
      <w:rFonts w:ascii="仿宋_GB2312" w:hAnsi="宋体" w:eastAsia="仿宋_GB2312" w:cs="Times New Roman"/>
      <w:sz w:val="31"/>
      <w:szCs w:val="28"/>
    </w:rPr>
  </w:style>
  <w:style w:type="paragraph" w:customStyle="1" w:styleId="83">
    <w:name w:val="正文缩进2格"/>
    <w:basedOn w:val="1"/>
    <w:link w:val="82"/>
    <w:qFormat/>
    <w:uiPriority w:val="0"/>
    <w:pPr>
      <w:spacing w:line="600" w:lineRule="exact"/>
      <w:ind w:firstLine="639" w:firstLineChars="206"/>
    </w:pPr>
    <w:rPr>
      <w:rFonts w:ascii="仿宋_GB2312" w:hAnsi="宋体" w:eastAsia="仿宋_GB2312"/>
      <w:kern w:val="0"/>
      <w:sz w:val="31"/>
      <w:szCs w:val="28"/>
    </w:rPr>
  </w:style>
  <w:style w:type="character" w:customStyle="1" w:styleId="84">
    <w:name w:val="cn_text1"/>
    <w:qFormat/>
    <w:uiPriority w:val="0"/>
    <w:rPr>
      <w:rFonts w:hint="default" w:ascii="ˎ̥" w:hAnsi="ˎ̥"/>
      <w:color w:val="003399"/>
      <w:spacing w:val="15"/>
      <w:sz w:val="18"/>
      <w:szCs w:val="18"/>
    </w:rPr>
  </w:style>
  <w:style w:type="character" w:customStyle="1" w:styleId="85">
    <w:name w:val="ssss Char"/>
    <w:qFormat/>
    <w:uiPriority w:val="0"/>
    <w:rPr>
      <w:rFonts w:eastAsia="宋体"/>
      <w:kern w:val="2"/>
      <w:sz w:val="24"/>
      <w:szCs w:val="24"/>
      <w:lang w:val="en-US" w:eastAsia="zh-CN" w:bidi="ar-SA"/>
    </w:rPr>
  </w:style>
  <w:style w:type="character" w:customStyle="1" w:styleId="86">
    <w:name w:val="ssss Char1"/>
    <w:link w:val="87"/>
    <w:qFormat/>
    <w:uiPriority w:val="0"/>
    <w:rPr>
      <w:rFonts w:ascii="Times New Roman" w:hAnsi="Times New Roman" w:eastAsia="宋体" w:cs="Times New Roman"/>
      <w:sz w:val="24"/>
      <w:szCs w:val="24"/>
    </w:rPr>
  </w:style>
  <w:style w:type="paragraph" w:customStyle="1" w:styleId="87">
    <w:name w:val="ssss"/>
    <w:basedOn w:val="1"/>
    <w:link w:val="86"/>
    <w:qFormat/>
    <w:uiPriority w:val="0"/>
    <w:pPr>
      <w:spacing w:line="360" w:lineRule="auto"/>
      <w:ind w:firstLine="480" w:firstLineChars="200"/>
    </w:pPr>
    <w:rPr>
      <w:kern w:val="0"/>
      <w:sz w:val="24"/>
    </w:rPr>
  </w:style>
  <w:style w:type="character" w:customStyle="1" w:styleId="88">
    <w:name w:val="标题 4 Char1"/>
    <w:qFormat/>
    <w:uiPriority w:val="0"/>
    <w:rPr>
      <w:rFonts w:ascii="Arial" w:hAnsi="Arial" w:eastAsia="黑体"/>
      <w:b/>
      <w:bCs/>
      <w:kern w:val="2"/>
      <w:sz w:val="28"/>
      <w:szCs w:val="28"/>
      <w:lang w:val="en-US" w:eastAsia="zh-CN" w:bidi="ar-SA"/>
    </w:rPr>
  </w:style>
  <w:style w:type="character" w:customStyle="1" w:styleId="89">
    <w:name w:val="列表段落 字符"/>
    <w:qFormat/>
    <w:uiPriority w:val="34"/>
    <w:rPr>
      <w:rFonts w:ascii="Calibri" w:hAnsi="Calibri"/>
      <w:kern w:val="2"/>
      <w:sz w:val="21"/>
      <w:szCs w:val="22"/>
    </w:rPr>
  </w:style>
  <w:style w:type="character" w:customStyle="1" w:styleId="90">
    <w:name w:val="批注框文本 Char1"/>
    <w:semiHidden/>
    <w:qFormat/>
    <w:uiPriority w:val="99"/>
    <w:rPr>
      <w:rFonts w:ascii="Times New Roman" w:hAnsi="Times New Roman" w:eastAsia="宋体" w:cs="Times New Roman"/>
      <w:sz w:val="18"/>
      <w:szCs w:val="18"/>
    </w:rPr>
  </w:style>
  <w:style w:type="character" w:customStyle="1" w:styleId="91">
    <w:name w:val="样式 ssss + 宋体 五号1 Char"/>
    <w:link w:val="92"/>
    <w:qFormat/>
    <w:uiPriority w:val="0"/>
    <w:rPr>
      <w:rFonts w:ascii="宋体" w:hAnsi="宋体" w:eastAsia="宋体" w:cs="Times New Roman"/>
      <w:sz w:val="24"/>
      <w:szCs w:val="24"/>
    </w:rPr>
  </w:style>
  <w:style w:type="paragraph" w:customStyle="1" w:styleId="92">
    <w:name w:val="样式 ssss + 宋体 五号1"/>
    <w:basedOn w:val="87"/>
    <w:link w:val="91"/>
    <w:qFormat/>
    <w:uiPriority w:val="0"/>
    <w:rPr>
      <w:rFonts w:ascii="宋体" w:hAnsi="宋体"/>
    </w:rPr>
  </w:style>
  <w:style w:type="character" w:customStyle="1" w:styleId="93">
    <w:name w:val="point_normal1"/>
    <w:qFormat/>
    <w:uiPriority w:val="0"/>
    <w:rPr>
      <w:rFonts w:hint="default" w:ascii="Arial" w:hAnsi="Arial" w:cs="Arial"/>
      <w:sz w:val="16"/>
      <w:szCs w:val="16"/>
    </w:rPr>
  </w:style>
  <w:style w:type="paragraph" w:customStyle="1" w:styleId="94">
    <w:name w:val="样式 正文文本缩进 3 + 四号"/>
    <w:basedOn w:val="30"/>
    <w:qFormat/>
    <w:uiPriority w:val="0"/>
    <w:pPr>
      <w:spacing w:after="0" w:line="360" w:lineRule="auto"/>
      <w:ind w:left="0" w:leftChars="0" w:firstLine="437"/>
    </w:pPr>
    <w:rPr>
      <w:sz w:val="24"/>
      <w:szCs w:val="21"/>
    </w:rPr>
  </w:style>
  <w:style w:type="paragraph" w:customStyle="1" w:styleId="95">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97">
    <w:name w:val="Char Char Char Char"/>
    <w:basedOn w:val="1"/>
    <w:qFormat/>
    <w:uiPriority w:val="0"/>
    <w:rPr>
      <w:rFonts w:ascii="Tahoma" w:hAnsi="Tahoma"/>
      <w:sz w:val="24"/>
      <w:szCs w:val="20"/>
    </w:rPr>
  </w:style>
  <w:style w:type="paragraph" w:customStyle="1" w:styleId="98">
    <w:name w:val="Char Char Char Char Char Char Char Char Char Char Char Char Char"/>
    <w:basedOn w:val="1"/>
    <w:qFormat/>
    <w:uiPriority w:val="0"/>
  </w:style>
  <w:style w:type="paragraph" w:customStyle="1" w:styleId="99">
    <w:name w:val="表格正文"/>
    <w:basedOn w:val="1"/>
    <w:qFormat/>
    <w:uiPriority w:val="0"/>
    <w:pPr>
      <w:spacing w:line="360" w:lineRule="auto"/>
      <w:jc w:val="left"/>
    </w:pPr>
    <w:rPr>
      <w:rFonts w:ascii="Calibri" w:hAnsi="Calibri"/>
      <w:color w:val="000000"/>
      <w:szCs w:val="28"/>
    </w:rPr>
  </w:style>
  <w:style w:type="paragraph" w:customStyle="1" w:styleId="100">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1">
    <w:name w:val="Char Char Char Char1"/>
    <w:basedOn w:val="1"/>
    <w:qFormat/>
    <w:uiPriority w:val="0"/>
    <w:rPr>
      <w:rFonts w:ascii="Tahoma" w:hAnsi="Tahoma"/>
      <w:sz w:val="24"/>
      <w:szCs w:val="20"/>
    </w:rPr>
  </w:style>
  <w:style w:type="paragraph" w:customStyle="1" w:styleId="102">
    <w:name w:val="Char Char Char"/>
    <w:basedOn w:val="1"/>
    <w:qFormat/>
    <w:uiPriority w:val="0"/>
    <w:rPr>
      <w:rFonts w:ascii="Tahoma" w:hAnsi="Tahoma"/>
      <w:sz w:val="24"/>
      <w:szCs w:val="20"/>
    </w:rPr>
  </w:style>
  <w:style w:type="paragraph" w:customStyle="1" w:styleId="103">
    <w:name w:val="标题-----3"/>
    <w:basedOn w:val="4"/>
    <w:qFormat/>
    <w:uiPriority w:val="0"/>
    <w:pPr>
      <w:spacing w:before="0" w:after="0" w:line="240" w:lineRule="auto"/>
      <w:outlineLvl w:val="0"/>
    </w:pPr>
    <w:rPr>
      <w:rFonts w:ascii="宋体" w:hAnsi="宋体"/>
      <w:b w:val="0"/>
      <w:bCs w:val="0"/>
      <w:sz w:val="28"/>
      <w:szCs w:val="28"/>
    </w:rPr>
  </w:style>
  <w:style w:type="paragraph" w:customStyle="1" w:styleId="104">
    <w:name w:val="样式 ssss + 居中"/>
    <w:basedOn w:val="87"/>
    <w:qFormat/>
    <w:uiPriority w:val="0"/>
    <w:pPr>
      <w:jc w:val="center"/>
    </w:pPr>
    <w:rPr>
      <w:rFonts w:cs="宋体"/>
      <w:szCs w:val="20"/>
    </w:rPr>
  </w:style>
  <w:style w:type="paragraph" w:customStyle="1" w:styleId="105">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6">
    <w:name w:val="样式 样式 ssss + 宋体 五号 + 首行缩进:  2 字符"/>
    <w:basedOn w:val="107"/>
    <w:qFormat/>
    <w:uiPriority w:val="0"/>
    <w:pPr>
      <w:ind w:firstLine="480"/>
    </w:pPr>
  </w:style>
  <w:style w:type="paragraph" w:customStyle="1" w:styleId="107">
    <w:name w:val="样式 ssss + 宋体 五号"/>
    <w:basedOn w:val="87"/>
    <w:qFormat/>
    <w:uiPriority w:val="0"/>
    <w:pPr>
      <w:ind w:firstLine="420"/>
    </w:pPr>
    <w:rPr>
      <w:rFonts w:ascii="宋体" w:hAnsi="宋体" w:cs="宋体"/>
      <w:szCs w:val="20"/>
    </w:rPr>
  </w:style>
  <w:style w:type="paragraph" w:customStyle="1" w:styleId="108">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Char"/>
    <w:basedOn w:val="1"/>
    <w:qFormat/>
    <w:uiPriority w:val="0"/>
    <w:rPr>
      <w:rFonts w:ascii="Tahoma" w:hAnsi="Tahoma"/>
      <w:sz w:val="24"/>
      <w:szCs w:val="20"/>
    </w:rPr>
  </w:style>
  <w:style w:type="paragraph" w:customStyle="1" w:styleId="110">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1">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1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Char Char Char Char Char Char Char Char Char Char Char Char Char1"/>
    <w:basedOn w:val="1"/>
    <w:qFormat/>
    <w:uiPriority w:val="0"/>
    <w:rPr>
      <w:sz w:val="24"/>
    </w:rPr>
  </w:style>
  <w:style w:type="paragraph" w:customStyle="1" w:styleId="114">
    <w:name w:val="表格"/>
    <w:basedOn w:val="1"/>
    <w:qFormat/>
    <w:uiPriority w:val="0"/>
    <w:rPr>
      <w:rFonts w:ascii="Arial" w:hAnsi="Arial"/>
      <w:sz w:val="24"/>
    </w:rPr>
  </w:style>
  <w:style w:type="paragraph" w:customStyle="1" w:styleId="115">
    <w:name w:val="正文样式1"/>
    <w:basedOn w:val="1"/>
    <w:qFormat/>
    <w:uiPriority w:val="0"/>
    <w:pPr>
      <w:spacing w:before="120" w:after="120" w:line="360" w:lineRule="auto"/>
      <w:ind w:firstLine="480" w:firstLineChars="200"/>
    </w:pPr>
    <w:rPr>
      <w:sz w:val="24"/>
      <w:szCs w:val="20"/>
    </w:rPr>
  </w:style>
  <w:style w:type="paragraph" w:customStyle="1" w:styleId="11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7">
    <w:name w:val="Char Char Char Char Char Char Char Char Char Char"/>
    <w:basedOn w:val="1"/>
    <w:qFormat/>
    <w:uiPriority w:val="0"/>
    <w:rPr>
      <w:rFonts w:ascii="Tahoma" w:hAnsi="Tahoma"/>
      <w:sz w:val="24"/>
      <w:szCs w:val="20"/>
    </w:rPr>
  </w:style>
  <w:style w:type="paragraph" w:customStyle="1" w:styleId="118">
    <w:name w:val="Char1"/>
    <w:basedOn w:val="1"/>
    <w:qFormat/>
    <w:uiPriority w:val="0"/>
    <w:pPr>
      <w:tabs>
        <w:tab w:val="left" w:pos="360"/>
      </w:tabs>
    </w:pPr>
    <w:rPr>
      <w:sz w:val="24"/>
    </w:rPr>
  </w:style>
  <w:style w:type="paragraph" w:customStyle="1" w:styleId="119">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0">
    <w:name w:val="Header2"/>
    <w:basedOn w:val="1"/>
    <w:qFormat/>
    <w:uiPriority w:val="0"/>
    <w:pPr>
      <w:numPr>
        <w:ilvl w:val="0"/>
        <w:numId w:val="1"/>
      </w:numPr>
    </w:pPr>
  </w:style>
  <w:style w:type="paragraph" w:customStyle="1" w:styleId="121">
    <w:name w:val="Char Char 字元 字元 字元 Char Char Char Char"/>
    <w:basedOn w:val="1"/>
    <w:qFormat/>
    <w:uiPriority w:val="0"/>
    <w:pPr>
      <w:adjustRightInd w:val="0"/>
      <w:spacing w:line="360" w:lineRule="auto"/>
    </w:pPr>
    <w:rPr>
      <w:kern w:val="0"/>
      <w:sz w:val="24"/>
      <w:szCs w:val="20"/>
    </w:rPr>
  </w:style>
  <w:style w:type="paragraph" w:customStyle="1" w:styleId="12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25">
    <w:name w:val="网格型1"/>
    <w:basedOn w:val="3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6">
    <w:name w:val="列出段落1"/>
    <w:basedOn w:val="1"/>
    <w:qFormat/>
    <w:uiPriority w:val="34"/>
    <w:pPr>
      <w:widowControl/>
      <w:ind w:left="720"/>
      <w:contextualSpacing/>
      <w:jc w:val="left"/>
    </w:pPr>
    <w:rPr>
      <w:kern w:val="0"/>
      <w:sz w:val="24"/>
      <w:lang w:eastAsia="en-US" w:bidi="en-US"/>
    </w:rPr>
  </w:style>
  <w:style w:type="paragraph" w:customStyle="1" w:styleId="127">
    <w:name w:val="DAS正文"/>
    <w:basedOn w:val="1"/>
    <w:qFormat/>
    <w:uiPriority w:val="0"/>
    <w:pPr>
      <w:spacing w:line="360" w:lineRule="auto"/>
      <w:ind w:right="181" w:firstLine="480" w:firstLineChars="200"/>
    </w:pPr>
    <w:rPr>
      <w:rFonts w:ascii="Verdana" w:hAnsi="Verdana"/>
      <w:sz w:val="24"/>
      <w:szCs w:val="20"/>
    </w:rPr>
  </w:style>
  <w:style w:type="paragraph" w:customStyle="1" w:styleId="128">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styleId="129">
    <w:name w:val="No Spacing"/>
    <w:qFormat/>
    <w:uiPriority w:val="1"/>
    <w:pPr>
      <w:widowControl w:val="0"/>
      <w:spacing w:line="360" w:lineRule="auto"/>
      <w:ind w:firstLine="200"/>
      <w:jc w:val="both"/>
    </w:pPr>
    <w:rPr>
      <w:rFonts w:ascii="Arial" w:hAnsi="Arial" w:eastAsia="宋体" w:cs="Times New Roman"/>
      <w:sz w:val="24"/>
      <w:szCs w:val="24"/>
      <w:lang w:val="en-US" w:eastAsia="zh-CN" w:bidi="ar-SA"/>
    </w:rPr>
  </w:style>
  <w:style w:type="paragraph" w:customStyle="1" w:styleId="130">
    <w:name w:val="首行缩进"/>
    <w:basedOn w:val="1"/>
    <w:qFormat/>
    <w:uiPriority w:val="99"/>
    <w:pPr>
      <w:ind w:firstLine="480"/>
    </w:pPr>
    <w:rPr>
      <w:rFonts w:ascii="等线" w:hAnsi="等线" w:eastAsia="等线"/>
      <w:szCs w:val="22"/>
      <w:lang w:val="zh-CN"/>
    </w:rPr>
  </w:style>
  <w:style w:type="paragraph" w:customStyle="1" w:styleId="131">
    <w:name w:val="p0"/>
    <w:basedOn w:val="1"/>
    <w:qFormat/>
    <w:uiPriority w:val="0"/>
    <w:pPr>
      <w:widowControl/>
    </w:pPr>
    <w:rPr>
      <w:kern w:val="0"/>
      <w:sz w:val="20"/>
      <w:szCs w:val="21"/>
      <w:lang w:val="zh-CN"/>
    </w:rPr>
  </w:style>
  <w:style w:type="paragraph" w:customStyle="1" w:styleId="132">
    <w:name w:val="Table Text"/>
    <w:basedOn w:val="1"/>
    <w:semiHidden/>
    <w:qFormat/>
    <w:uiPriority w:val="0"/>
    <w:rPr>
      <w:rFonts w:ascii="仿宋" w:hAnsi="仿宋" w:eastAsia="仿宋" w:cs="仿宋"/>
      <w:sz w:val="24"/>
      <w:lang w:eastAsia="en-US"/>
    </w:rPr>
  </w:style>
  <w:style w:type="table" w:customStyle="1" w:styleId="133">
    <w:name w:val="Table Normal"/>
    <w:unhideWhenUsed/>
    <w:qFormat/>
    <w:uiPriority w:val="0"/>
    <w:tblPr>
      <w:tblCellMar>
        <w:top w:w="0" w:type="dxa"/>
        <w:left w:w="0" w:type="dxa"/>
        <w:bottom w:w="0" w:type="dxa"/>
        <w:right w:w="0" w:type="dxa"/>
      </w:tblCellMar>
    </w:tblPr>
  </w:style>
  <w:style w:type="character" w:customStyle="1" w:styleId="134">
    <w:name w:val="NormalCharacter"/>
    <w:qFormat/>
    <w:uiPriority w:val="99"/>
  </w:style>
  <w:style w:type="character" w:customStyle="1" w:styleId="135">
    <w:name w:val="font31"/>
    <w:qFormat/>
    <w:uiPriority w:val="0"/>
    <w:rPr>
      <w:rFonts w:ascii="Times New Roman Regular" w:hAnsi="Times New Roman Regular" w:eastAsia="Times New Roman Regular" w:cs="Times New Roman Regular"/>
      <w:color w:val="000000"/>
      <w:sz w:val="24"/>
      <w:szCs w:val="24"/>
      <w:u w:val="none"/>
    </w:rPr>
  </w:style>
  <w:style w:type="character" w:customStyle="1" w:styleId="136">
    <w:name w:val="font91"/>
    <w:qFormat/>
    <w:uiPriority w:val="0"/>
    <w:rPr>
      <w:rFonts w:hint="default" w:ascii="Times New Roman" w:hAnsi="Times New Roman" w:cs="Times New Roman"/>
      <w:color w:val="000000"/>
      <w:sz w:val="20"/>
      <w:szCs w:val="20"/>
      <w:u w:val="none"/>
    </w:rPr>
  </w:style>
  <w:style w:type="character" w:customStyle="1" w:styleId="137">
    <w:name w:val="font11"/>
    <w:qFormat/>
    <w:uiPriority w:val="0"/>
    <w:rPr>
      <w:rFonts w:hint="eastAsia" w:ascii="宋体" w:hAnsi="宋体" w:eastAsia="宋体" w:cs="宋体"/>
      <w:color w:val="000000"/>
      <w:sz w:val="20"/>
      <w:szCs w:val="20"/>
      <w:u w:val="none"/>
    </w:rPr>
  </w:style>
  <w:style w:type="character" w:customStyle="1" w:styleId="138">
    <w:name w:val="font101"/>
    <w:qFormat/>
    <w:uiPriority w:val="0"/>
    <w:rPr>
      <w:rFonts w:hint="default" w:ascii="Arial" w:hAnsi="Arial" w:cs="Arial"/>
      <w:color w:val="000000"/>
      <w:sz w:val="20"/>
      <w:szCs w:val="20"/>
      <w:u w:val="none"/>
    </w:rPr>
  </w:style>
  <w:style w:type="character" w:customStyle="1" w:styleId="139">
    <w:name w:val="font291"/>
    <w:qFormat/>
    <w:uiPriority w:val="0"/>
    <w:rPr>
      <w:rFonts w:hint="eastAsia" w:ascii="宋体" w:hAnsi="宋体" w:eastAsia="宋体" w:cs="宋体"/>
      <w:color w:val="000000"/>
      <w:sz w:val="20"/>
      <w:szCs w:val="20"/>
      <w:u w:val="none"/>
    </w:rPr>
  </w:style>
  <w:style w:type="character" w:customStyle="1" w:styleId="140">
    <w:name w:val="font61"/>
    <w:qFormat/>
    <w:uiPriority w:val="0"/>
    <w:rPr>
      <w:rFonts w:hint="eastAsia" w:ascii="等线" w:hAnsi="等线" w:eastAsia="等线" w:cs="等线"/>
      <w:color w:val="000000"/>
      <w:sz w:val="20"/>
      <w:szCs w:val="20"/>
      <w:u w:val="none"/>
    </w:rPr>
  </w:style>
  <w:style w:type="character" w:customStyle="1" w:styleId="141">
    <w:name w:val="font71"/>
    <w:qFormat/>
    <w:uiPriority w:val="0"/>
    <w:rPr>
      <w:rFonts w:hint="eastAsia" w:ascii="宋体" w:hAnsi="宋体" w:eastAsia="宋体" w:cs="宋体"/>
      <w:color w:val="000000"/>
      <w:sz w:val="20"/>
      <w:szCs w:val="20"/>
      <w:u w:val="none"/>
    </w:rPr>
  </w:style>
  <w:style w:type="character" w:customStyle="1" w:styleId="142">
    <w:name w:val="font4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3">
    <w:name w:val="font30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4">
    <w:name w:val="font81"/>
    <w:qFormat/>
    <w:uiPriority w:val="0"/>
    <w:rPr>
      <w:rFonts w:hint="eastAsia" w:ascii="宋体" w:hAnsi="宋体" w:eastAsia="宋体" w:cs="宋体"/>
      <w:color w:val="000000"/>
      <w:sz w:val="20"/>
      <w:szCs w:val="20"/>
      <w:u w:val="none"/>
    </w:rPr>
  </w:style>
  <w:style w:type="character" w:customStyle="1" w:styleId="145">
    <w:name w:val="font112"/>
    <w:qFormat/>
    <w:uiPriority w:val="0"/>
    <w:rPr>
      <w:rFonts w:hint="eastAsia" w:ascii="等线" w:hAnsi="等线" w:eastAsia="等线" w:cs="等线"/>
      <w:color w:val="000000"/>
      <w:sz w:val="20"/>
      <w:szCs w:val="20"/>
      <w:u w:val="none"/>
    </w:rPr>
  </w:style>
  <w:style w:type="character" w:customStyle="1" w:styleId="146">
    <w:name w:val="font312"/>
    <w:qFormat/>
    <w:uiPriority w:val="0"/>
    <w:rPr>
      <w:rFonts w:hint="default" w:ascii="Arial" w:hAnsi="Arial" w:cs="Arial"/>
      <w:color w:val="000000"/>
      <w:sz w:val="20"/>
      <w:szCs w:val="20"/>
      <w:u w:val="none"/>
    </w:rPr>
  </w:style>
  <w:style w:type="character" w:customStyle="1" w:styleId="147">
    <w:name w:val="font321"/>
    <w:qFormat/>
    <w:uiPriority w:val="0"/>
    <w:rPr>
      <w:rFonts w:ascii="微软雅黑" w:hAnsi="微软雅黑" w:eastAsia="微软雅黑" w:cs="微软雅黑"/>
      <w:color w:val="000000"/>
      <w:sz w:val="20"/>
      <w:szCs w:val="20"/>
      <w:u w:val="none"/>
    </w:rPr>
  </w:style>
  <w:style w:type="character" w:customStyle="1" w:styleId="148">
    <w:name w:val="font151"/>
    <w:qFormat/>
    <w:uiPriority w:val="0"/>
    <w:rPr>
      <w:rFonts w:hint="eastAsia" w:ascii="宋体" w:hAnsi="宋体" w:eastAsia="宋体" w:cs="宋体"/>
      <w:color w:val="000000"/>
      <w:sz w:val="22"/>
      <w:szCs w:val="22"/>
      <w:u w:val="none"/>
    </w:rPr>
  </w:style>
  <w:style w:type="character" w:customStyle="1" w:styleId="149">
    <w:name w:val="font121"/>
    <w:qFormat/>
    <w:uiPriority w:val="0"/>
    <w:rPr>
      <w:rFonts w:hint="eastAsia" w:ascii="宋体" w:hAnsi="宋体" w:eastAsia="宋体" w:cs="宋体"/>
      <w:b/>
      <w:bCs/>
      <w:color w:val="000000"/>
      <w:sz w:val="20"/>
      <w:szCs w:val="20"/>
      <w:u w:val="none"/>
    </w:rPr>
  </w:style>
  <w:style w:type="character" w:customStyle="1" w:styleId="150">
    <w:name w:val="font21"/>
    <w:qFormat/>
    <w:uiPriority w:val="0"/>
    <w:rPr>
      <w:rFonts w:hint="eastAsia" w:ascii="宋体" w:hAnsi="宋体" w:eastAsia="宋体" w:cs="宋体"/>
      <w:b/>
      <w:bCs/>
      <w:color w:val="000000"/>
      <w:sz w:val="24"/>
      <w:szCs w:val="24"/>
      <w:u w:val="none"/>
    </w:rPr>
  </w:style>
  <w:style w:type="character" w:customStyle="1" w:styleId="151">
    <w:name w:val="font131"/>
    <w:qFormat/>
    <w:uiPriority w:val="0"/>
    <w:rPr>
      <w:rFonts w:ascii="宋体" w:hAnsi="宋体" w:eastAsia="宋体" w:cs="宋体"/>
      <w:b/>
      <w:bCs/>
      <w:color w:val="000000"/>
      <w:sz w:val="24"/>
      <w:szCs w:val="24"/>
      <w:u w:val="none"/>
    </w:rPr>
  </w:style>
  <w:style w:type="character" w:customStyle="1" w:styleId="152">
    <w:name w:val="font141"/>
    <w:qFormat/>
    <w:uiPriority w:val="0"/>
    <w:rPr>
      <w:rFonts w:ascii="微软雅黑" w:hAnsi="微软雅黑" w:eastAsia="微软雅黑" w:cs="微软雅黑"/>
      <w:color w:val="000000"/>
      <w:sz w:val="24"/>
      <w:szCs w:val="24"/>
      <w:u w:val="none"/>
    </w:rPr>
  </w:style>
  <w:style w:type="paragraph" w:customStyle="1" w:styleId="153">
    <w:name w:val="标题 41"/>
    <w:basedOn w:val="1"/>
    <w:next w:val="1"/>
    <w:qFormat/>
    <w:uiPriority w:val="0"/>
    <w:pPr>
      <w:keepNext/>
      <w:jc w:val="center"/>
      <w:outlineLvl w:val="3"/>
    </w:pPr>
    <w:rPr>
      <w:rFonts w:eastAsia="新宋体"/>
      <w:sz w:val="30"/>
      <w:szCs w:val="21"/>
    </w:rPr>
  </w:style>
  <w:style w:type="paragraph" w:customStyle="1" w:styleId="154">
    <w:name w:val="样式1"/>
    <w:basedOn w:val="1"/>
    <w:qFormat/>
    <w:uiPriority w:val="0"/>
    <w:pPr>
      <w:jc w:val="center"/>
    </w:pPr>
    <w:rPr>
      <w:szCs w:val="21"/>
    </w:rPr>
  </w:style>
  <w:style w:type="paragraph" w:customStyle="1" w:styleId="155">
    <w:name w:val="正文首行缩进1"/>
    <w:basedOn w:val="156"/>
    <w:qFormat/>
    <w:uiPriority w:val="0"/>
    <w:pPr>
      <w:spacing w:line="360" w:lineRule="auto"/>
      <w:ind w:firstLine="200"/>
    </w:pPr>
    <w:rPr>
      <w:rFonts w:ascii="仿宋_GB2312" w:hAnsi="Times New Roman" w:eastAsia="仿宋_GB2312"/>
      <w:sz w:val="30"/>
      <w:szCs w:val="30"/>
    </w:rPr>
  </w:style>
  <w:style w:type="paragraph" w:customStyle="1" w:styleId="156">
    <w:name w:val="正文文本1"/>
    <w:basedOn w:val="1"/>
    <w:next w:val="1"/>
    <w:qFormat/>
    <w:uiPriority w:val="0"/>
    <w:rPr>
      <w:rFonts w:ascii="楷体_GB2312" w:hAnsi="Arial" w:eastAsia="楷体_GB2312"/>
      <w:sz w:val="28"/>
      <w:szCs w:val="28"/>
    </w:rPr>
  </w:style>
  <w:style w:type="paragraph" w:customStyle="1" w:styleId="157">
    <w:name w:val="正文+首行缩进2字符"/>
    <w:basedOn w:val="1"/>
    <w:qFormat/>
    <w:uiPriority w:val="0"/>
    <w:pPr>
      <w:ind w:firstLine="480" w:firstLineChars="200"/>
    </w:pPr>
  </w:style>
  <w:style w:type="paragraph" w:customStyle="1" w:styleId="158">
    <w:name w:val="正文首行缩进 21"/>
    <w:basedOn w:val="18"/>
    <w:unhideWhenUsed/>
    <w:qFormat/>
    <w:uiPriority w:val="99"/>
    <w:pPr>
      <w:ind w:firstLine="200"/>
    </w:pPr>
  </w:style>
  <w:style w:type="paragraph" w:customStyle="1" w:styleId="159">
    <w:name w:val="正文首行缩进11"/>
    <w:basedOn w:val="156"/>
    <w:qFormat/>
    <w:uiPriority w:val="0"/>
    <w:pPr>
      <w:spacing w:line="360" w:lineRule="auto"/>
      <w:ind w:firstLine="200"/>
    </w:pPr>
    <w:rPr>
      <w:rFonts w:ascii="仿宋_GB2312" w:eastAsia="仿宋_GB2312"/>
      <w:sz w:val="30"/>
      <w:szCs w:val="30"/>
    </w:rPr>
  </w:style>
  <w:style w:type="paragraph" w:customStyle="1" w:styleId="160">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61">
    <w:name w:val="纯文本2"/>
    <w:basedOn w:val="1"/>
    <w:qFormat/>
    <w:uiPriority w:val="0"/>
    <w:pPr>
      <w:suppressAutoHyphens/>
      <w:jc w:val="left"/>
    </w:pPr>
    <w:rPr>
      <w:rFonts w:ascii="宋体" w:hAnsi="宋体" w:eastAsia="楷体_GB2312"/>
      <w:sz w:val="26"/>
      <w:szCs w:val="20"/>
      <w:lang w:bidi="zh-CN"/>
    </w:rPr>
  </w:style>
  <w:style w:type="paragraph" w:customStyle="1" w:styleId="162">
    <w:name w:val="*正文"/>
    <w:basedOn w:val="1"/>
    <w:qFormat/>
    <w:uiPriority w:val="99"/>
    <w:pPr>
      <w:spacing w:line="360" w:lineRule="auto"/>
      <w:ind w:firstLine="482"/>
    </w:pPr>
    <w:rPr>
      <w:rFonts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25336</Words>
  <Characters>28156</Characters>
  <Lines>262</Lines>
  <Paragraphs>73</Paragraphs>
  <TotalTime>4</TotalTime>
  <ScaleCrop>false</ScaleCrop>
  <LinksUpToDate>false</LinksUpToDate>
  <CharactersWithSpaces>28477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2025-09-25T17:48:00Z</dcterms:created>
  <dc:creator>User</dc:creator>
  <cp:lastModifiedBy>小陈</cp:lastModifiedBy>
  <cp:lastPrinted>2025-09-28T03:14:00Z</cp:lastPrinted>
  <dcterms:modified xsi:type="dcterms:W3CDTF">2026-04-13T06:01:56Z</dcterms:modified>
  <dc:title>南通市Ⅹ项目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213CF9300816407C8377BB8C8BB45DD2_13</vt:lpwstr>
  </property>
  <property fmtid="{D5CDD505-2E9C-101B-9397-08002B2CF9AE}" pid="4" name="KSOTemplateDocerSaveRecord">
    <vt:lpwstr>eyJoZGlkIjoiMDMzZmM3YWZkYTAyYTNjMDA4YzNmODg2YzFmMGUxZjEiLCJ1c2VySWQiOiI1MDU4OTMyMzEifQ==</vt:lpwstr>
  </property>
</Properties>
</file>