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项目编号：JSZC-320508-JDJS-G2026-0002号</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 2025年姑苏区城市生命线工程桥梁场景监测实施及运维服务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采购方：苏州市姑苏区、苏州国家历史文化名城保护区住房和建设委员会（机关）</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项目类别：货物类</w:t>
      </w:r>
      <w:r/>
    </w:p>
    <w:p>
      <w:pPr>
        <w:ind w:left="1564" w:right="0" w:hanging="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64" w:right="0" w:hanging="10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江苏建达技术咨询服务有限公司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二○二六年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前附表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第一章：招标公告</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第三章：投标文件格式</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第四章：招标内容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第五章：合同及主要条款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第六章：评标方法和评分标准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3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下述关于要招标的2025年姑苏区城市生命线工程桥梁场景监测实施及运维服务的具体资料是对招标文件投标人须知的具体补充和修改，如果有矛盾的话，应以本附表为准。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132"/>
        <w:gridCol w:w="74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rHeight w:val="1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本项目采用电子网上招投标（电子标书）。</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中标单位在领取中标通知书时向招标代理机构提交投标文件纸质版，份数为三份（一正二副）。纸面投标文件与上传的电子投标文件一致。用于存档备案。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24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中标单位在领取中标通知书时按以下收费标准向采购代理机构支付代理服务费。预算金额100万元以下部分，费率为该部分预算金额的1.5%；</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预算金额500万元（含）－1000万元部分，费率为该部分预算金额的0.8%；预算金额1000万元（含）－5000万元部分，费率为该部分预算金额的0.5%；按以上规定的标准和差额定率累进法进行计算打八折收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根据采购方与代理公司政府采购代理协议约定，本项目代理服务费按人民币【11400元】计收。”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 江苏建达技术咨询服务有限公司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 中国工商银行股份有限公司苏州宝带路支行</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1102260709200539339</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本费用含在投标总报价中。</w:t>
            </w:r>
            <w:r/>
          </w:p>
        </w:tc>
      </w:tr>
    </w:tbl>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招标公告</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2025年姑苏区城市生命线工程桥梁场景监测实施及运维服务 JSZC-320508-JDJS-G2026-0002号</w:t>
            </w:r>
            <w:r>
              <w:rPr>
                <w:rFonts w:ascii="SimSun" w:hAnsi="SimSun" w:eastAsia="SimSun" w:cs="SimSun"/>
                <w:color w:val="000000"/>
                <w:sz w:val="24"/>
              </w:rPr>
              <w:t xml:space="preserve">的招标项目的潜在投标人在</w:t>
            </w:r>
            <w:r>
              <w:rPr>
                <w:rFonts w:ascii="SimSun" w:hAnsi="SimSun" w:eastAsia="SimSun" w:cs="SimSun"/>
                <w:color w:val="000000"/>
                <w:sz w:val="24"/>
                <w:highlight w:val="white"/>
                <w:u w:val="single"/>
              </w:rPr>
              <w:t xml:space="preserve">“苏采云”系统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2026年5月22日09：30</w:t>
            </w:r>
            <w:r>
              <w:rPr>
                <w:rFonts w:ascii="SimSun" w:hAnsi="SimSun" w:eastAsia="SimSun" w:cs="SimSun"/>
                <w:color w:val="000000"/>
                <w:sz w:val="24"/>
              </w:rPr>
              <w:t xml:space="preserve">（北京时间）前递交投标文件。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项目编号：JSZC-320508-JDJS-G2026-0002号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项目名称：2025年姑苏区城市生命线工程桥梁场景监测实施及运维服务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预算金额：人民币叁佰零壹万圆整（￥：3010000.00）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最高限价：人民币叁佰零壹万圆整（￥：3010000.00）</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tblGrid>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监测桥梁</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监测设备选型建议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设备参数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合计（万元）</w:t>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结构文档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物理量：裂缝宽度 量程：100mm 分辨率 0.005mm 精度：0.02mm 供电电压：DC9～48V 测点功耗：0.5W 通讯方式：RS485 防护等级：IP67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视频监控/高清摄像机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含机箱、导轨插座、断路器、电源电涌保护器、电源开关、直流电源、4G模块及物联网卡、包年流量等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姑胥桥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视频抓拍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基础参数，传感器类型：1/2.8＂ progressive scan CMOS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寒山HN 线桥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混凝土主梁静态应变监测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应变测量范围：±1000με 应变测量精度：0.5%F·S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AC；2）输出电压：DC 12V，DC 24V； 3）本地通讯：RJ45；4）远程通讯：4G； 5）防护等级：IP65； 运营商：移动，联通，电信 物联网卡：月流量60G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 HS 线桥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结构响应检测服务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3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光纤光栅动应变采集仪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2"/>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视频抓拍（一、二期11座桥梁按实际情况增设视频监控）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安装实施集成费，部分设备安装吊装（工程机械、车辆租赁费、一桥一策实施方案）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电源线、网线、PVC套管等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 </w:t>
            </w:r>
            <w:r/>
          </w:p>
        </w:tc>
      </w:tr>
      <w:tr>
        <w:trPr>
          <w:gridAfter w:val="2"/>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监测数据管理与更新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监测数据对接及应用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对基础资料、运管资料等资料建库处理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0.0726万元/人工天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三维模型建设及建库</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数据对接、处理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运行监测场景数据分析</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监测设备运维及监测数据分析服务</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城市生命线一期6座桥</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一期6座桥梁监测设备运维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2年4个月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45.20 </w:t>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 </w:t>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城市生命线二期5座桥</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二期5座桥梁监测设备运维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23.27 </w:t>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报警处置闭环、数据分析报告（二期97个监测点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6.87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2025年姑苏区城市生命线工程桥梁场景监测实施及运维服务。桥梁倒塌场景三期建设及场景后期运维，包含姑胥桥、南环桥、寒山HS线桥和寒山HN线桥4座桥梁。以及桥梁倒塌场景一、二期运维。（具体内容及要求详见采购文件）</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桥梁倒塌场景三期建设项目在2026年8月30日前全部建设完成，并保障验收后至2028年8月底的运维；桥梁场景一期运维从2026年4月24日起至2028年8月底结束，桥梁场景二期运维从2027年3月5日起至2028年8月底结束(需提前与一、二期建设单位做好交接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本项目不接受联合体投标。</w:t>
      </w:r>
      <w:r/>
    </w:p>
    <w:p>
      <w:pPr>
        <w:ind w:left="0" w:right="4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w:t>
      </w:r>
      <w:r>
        <w:rPr>
          <w:rFonts w:ascii="SimSun" w:hAnsi="SimSun" w:eastAsia="SimSun" w:cs="SimSun"/>
          <w:color w:val="000000"/>
          <w:sz w:val="24"/>
          <w:highlight w:val="white"/>
        </w:rPr>
        <w:t xml:space="preserve">政府</w:t>
      </w:r>
      <w:r>
        <w:rPr>
          <w:rFonts w:ascii="SimSun" w:hAnsi="SimSun" w:eastAsia="SimSun" w:cs="SimSun"/>
          <w:color w:val="000000"/>
          <w:sz w:val="24"/>
        </w:rPr>
        <w:t xml:space="preserve">采购活动前三年内，在经营活动中没有重大违法记录；</w:t>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1.6法律、行政法规规定的其他条件。</w:t>
      </w:r>
      <w:r>
        <w:rPr>
          <w:highlight w:val="white"/>
        </w:rPr>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rPr>
        <w:t xml:space="preserve">落实政府采购政策需满足的资格要求：</w:t>
      </w:r>
      <w:r>
        <w:rPr>
          <w:rFonts w:ascii="SimSun" w:hAnsi="SimSun" w:eastAsia="SimSun" w:cs="SimSun"/>
          <w:b/>
          <w:color w:val="000000"/>
          <w:sz w:val="24"/>
          <w:highlight w:val="white"/>
        </w:rPr>
        <w:t xml:space="preserve">本项目专门面向中小企业，所属行业为：工业</w:t>
      </w:r>
      <w:r>
        <w:rPr>
          <w:rFonts w:ascii="SimSun" w:hAnsi="SimSun" w:eastAsia="SimSun" w:cs="SimSun"/>
          <w:b/>
          <w:color w:val="000000"/>
          <w:sz w:val="24"/>
        </w:rPr>
        <w:t xml:space="preserve">，供应商应为中小微企业、监狱企业、残疾人福利性单位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公益一类事业单位不属于政府购买服务的承接主体，不得参与承接政府购买服务。（2）单位负责人为同一人或者存在直接控股、管理关系的不同供应商，不得参加同一合同项下的政府采购活动。（3）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时间：自本公告发布之日起至 2026年5月9日。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highlight w:val="white"/>
        </w:rPr>
        <w:t xml:space="preserve">“苏采云”系统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1.供应商必须进入“苏采云”系统进行网上注册及资料填报。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4、CA办理：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4.2在系统操作过程中如有疑问，请按以下方式联系：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4.3注册咨询：18261002950；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4.4 CA技术咨询电话：400-608-6099；</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4.5 签章使用问题：025-83633811、025-83633812、15380932027、15371015030；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rPr>
          <w:rFonts w:ascii="SimSun" w:hAnsi="SimSun" w:eastAsia="SimSun" w:cs="SimSun"/>
          <w:color w:val="000000"/>
          <w:sz w:val="24"/>
          <w:highlight w:val="white"/>
        </w:rPr>
        <w:t xml:space="preserve">（上传）</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截止时间：2026年5月22日09：30</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地点：“苏采云”政府采购交易系统网上开标大厅（网址：http://jszfcg.jsczt.cn/），投标文件网上递交，不需要现场参加采购活动。</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内未能完成解密的视为放弃参与本项目。请供应商确保电脑、系统及其他设备（视频输入输出设备等）无误，且开启直至项目结束始终保持系统在线状态。</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自本公告发布之日起五个工作日。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1、政府采购监督电话：0512-68616651；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招标的相关信息刊登在苏州政府采购网、江苏省政府采购网敬请各位供应商留意。请各单位网上下载本次招标文件后，认真阅读各项内容，进行必要的投标准备，并按文件的要求详细填写和编制投标文件，并按以上确定的时间、地点准时参加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名称：苏州市姑苏区、苏州国家历史文化名城保护区住房和建设委员会（机关）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地址：苏州市姑苏区平川路510号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：0512-68723724    联系人：朱子彦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江苏建达技术咨询服务有限公司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地址：苏州市吴中区宝带东路264号三楼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联系方式：0512-67070239    联系人：杨营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项目联系人：杨营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电话：0512-67070239</w:t>
      </w:r>
      <w:r/>
    </w:p>
    <w:p>
      <w:pPr>
        <w:ind w:left="0" w:right="0" w:firstLine="30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br w:type="page" w:clear="all"/>
      </w:r>
      <w:r/>
    </w:p>
    <w:p>
      <w:pPr>
        <w:ind w:left="0" w:right="0" w:firstLine="30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一、说明和释义</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numPr>
          <w:ilvl w:val="1"/>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 江苏建达技术咨询服务有限公司组织的招标活动。</w:t>
      </w:r>
      <w:r/>
    </w:p>
    <w:p>
      <w:pPr>
        <w:numPr>
          <w:ilvl w:val="1"/>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本次招标活动及因本次招标产生的合同受中国法律制约和保护。</w:t>
      </w:r>
      <w:r/>
    </w:p>
    <w:p>
      <w:pPr>
        <w:numPr>
          <w:ilvl w:val="1"/>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本招标文件的解释权属于 江苏建达技术咨询服务有限公司。</w:t>
      </w:r>
      <w:r/>
    </w:p>
    <w:p>
      <w:pPr>
        <w:ind w:left="0" w:right="0" w:firstLine="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1.4适用法律和标准</w:t>
      </w:r>
      <w:r/>
    </w:p>
    <w:p>
      <w:pPr>
        <w:ind w:left="480" w:right="0" w:hanging="48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本次招标及由此产生的合同受中华人民共和国有关的法律法规制约和保护。</w:t>
      </w:r>
      <w:r/>
    </w:p>
    <w:p>
      <w:pPr>
        <w:ind w:left="480" w:right="0" w:hanging="48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在本项目政府采购活动过程中，如果所执行的标准有更新的，按照最新标准执行。</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词语释义</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招标代理机构：具体组织实施招标活动的法人。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投标人（供应商）：经认定有资格响应招标，符合本次招标的资格要求,参加投标竞争的法人或其他组织和自然人。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响应：投标人根据招标代理机构或招标代理人发布的招标文件,编制投标文件并按规定投标的行为。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合同：采供双方根据招标文件和中标的投标文件及中标通知书规定的内容签署的以书面形式所达成的协议,包括所有的附件、附录和构成协议的所有文件。</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甲方(采购人)：合同中明确规定的实际购买货物和服务的法人或其他组织和自然人（采购人）。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乙方(供应商)：合同中规定的向采购方提供货物和服务的法人或其他组织和自然人（中标人）。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货物：系指乙方按招标招标文件规定，应向甲方提供的一切设备、备品、备件、工具、手册及其它有关技术资料和材料。</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服务：系指本次招标文件规定供应商应承担的与提供货物和服务有关的辅助服务，比如运输、保险、安装、调试、提供技术援助、培训、配合措施、维修响应及合同中规定乙方应承担的其它义务。</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知识产权：指专利权、商标权、著作权等无形财产专有权的统称。</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天：日历日。</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交货（服务）地点：合同中明确约定的乙方提交的货物和服务最终到达地点。</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交货（服务）地点：合同中明确约定的乙方交货（服务）的地点。</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合同价款：根据合同规定,乙方在正确地履行合同义务后甲方应支付乙方的价款。</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产地：货物生产、最终制造、加工或提供服务的来源地。</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不可抗力：不能预见、不能避免并且不能克服的客观情况。</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实质响应：满足有关本次招标标的、数量、质量、价款或者报酬、履行期限、履行地点和方式、违约责任和解决争议方法等要求。</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进口产品：通过中国海关报关验放进入中国境内且产自关境外的产品。</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书面形式：指书面文字、合同书、信件和传真等可以有形地表现所载内容的形式。</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合格投标人的资格条件：详见招标公告</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w:t>
      </w:r>
      <w:r/>
    </w:p>
    <w:p>
      <w:pPr>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指全权代表投标人参加投标活动并签署投标文件的人，如果投标人代表不是法人代表，须持有《法定代表人授权委托书》（详见统一格式）。</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投标人应自行承担所有准备及参加投标有相关费用。不论投标结果如何,投标人自行承担所有与参加投标有关的全部费用。</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招标文件的说明</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8.招标文件的询问与澄清</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8.1.投标人在收到招标文件后,若有问题需要询问,应于收到招标文件后按相关流程提出，招标代理机构将予以解答。</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8.2.采购人或者招标代理机构可以对已发出的招标文件进行必要的澄清，并发布澄清公告。澄清内容为招标文件的组成部分。</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9.1.在投标截止时间前，代理机构可以对招标文件进行修改。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9.2.招标文件的修改，将在苏州市政府采购网上予以发布。更正公告（补充通知）将作为招标文件的组成部分，对所有投标人有约束力。</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9.3.代理机构有权按照法定的要求推迟投标截止日期和开标日期。</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10.现场考察</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10.1.投标人自行对有关现场和周围环境进行考察，以获取编制投标文件和签署合同所需的信息。</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应在现场考察时，熟悉现场及周围交通道路等情况，以获得一切可能影响其投标的直接资料。投标人中标后，不得以不完全了解现场情况为理由而向采购人提出任何索赔的要求，对此采购人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11.招标文件的质疑、澄清：</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11.2.本次招标文件要求供应商在法定质疑期内一次性提出针对同一采购程序环节的质疑。</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11.3.采购人、招标代理机构收到质疑供应商在法定质疑期内发出的质疑函，应当在收到质疑函后7个工作日内作出答复，并以书面形式通知质疑供应商和其他有关供应商。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供应商提出质疑应当提交质疑函和必要的证明材料。质疑函应当包括下列内容：供应商的姓名或者名称、地址、邮编、联系人及联系电话；质疑项目的名称、编号；具体、明确的质疑事项和与质疑事项相关的请求；事实依据；必要的法律依据；提出质疑的日期。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11.5接受质疑函的联系信息如下：</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质疑函接收人： 江苏建达技术咨询服务有限公司</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联系部门：招标代理部-杨营</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质疑函接收方式：现场递交或邮寄</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联系电话：0512-67070239</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苏州市吴中区宝带东路264号三楼 </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邮政编码：215000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12.1.投标方应仔细阅读招标文件的所有内容，按招标文件的要求提供投标文件，并保证所提供的全部资料的真实性，以使其投标对招标文件做出实质性响应，否则，其投标可能被拒绝。</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12.2.无论是否递交投标文件，投标人都应将招标文件及以后的所有通知、文件等视为保密文件。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13.投标文件计量单位和使用文字</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13.1.投标文件中所使用的计量单位,除招标文件中有特殊要求外,应采用国家法定计量单位。</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w:t>
      </w:r>
      <w:r>
        <w:rPr>
          <w:rFonts w:ascii="SimSun" w:hAnsi="SimSun" w:eastAsia="SimSun" w:cs="SimSun"/>
          <w:b/>
          <w:color w:val="000000"/>
          <w:sz w:val="24"/>
        </w:rPr>
        <w:t xml:space="preserve">简体中文</w:t>
      </w:r>
      <w:r>
        <w:rPr>
          <w:rFonts w:ascii="SimSun" w:hAnsi="SimSun" w:eastAsia="SimSun" w:cs="SimSun"/>
          <w:color w:val="000000"/>
          <w:sz w:val="24"/>
        </w:rPr>
        <w:t xml:space="preserve">编制。如投标文件中必须使用其他文字的,必须附有中文译本。对于未附有中文译本和中文译本不准确的投标文件,由此引起的对投标人不利后果的,其风险由投标人自行承担。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知识产权</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15、投标文件的组成（相关格式见第三章）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15.1.封面</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 开标一览表；</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15.3 分项报价表（如有，自拟格式）；</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 资格审查文件</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关于资格文件的声明函（格式见第三章）；</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15.4.2 法定代表人授权委托书（如有授权）（格式见第三章）、法定代表人身份证复印件、授权委托人身份证复印件；</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投标人资格承诺书（格式见第三章）；</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15.4.4 具有独立承担民事责任的能力证明。包括法人或者其他组织的营业执照等证明文件，自然人的身份证明；</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15.4.5具有良好的商业信誉和健全的财务会计制度证明。如最近一期经审计的财务报告，或银行资信证明或其他财务证明材料。</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15.4.6 具备履行合同所必需的设备和专业技术能力的证明材料或承诺。</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15.4.7 提供有依法缴纳税收和社会保障资金的良好记录。如合理期限内依法缴纳税收的凭据，合理期限内依法缴纳社会保险的凭据。投标人如依法享受缓缴、免缴税收、社会保障资金的应提供相关主管部门出具的证明材料；</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15.4.8 参加政府采购活动前3年内在经营活动中没有重大违法记录的书面声明（格式自拟）；</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15.4.9 《中小企业声明函》或《残疾人福利性单位声明函》或由省级以上监狱管理局、戒毒管理局（含新疆生产建设兵团）出具的属于监狱企业的证明文件</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15.4.10关于符合本国产品标准的声明函</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15.4.11其它有关资格证明文件。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 符合性审查文件</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15.5.1 投标函</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 技术要求偏离表、商务条款偏离表（格式见第三章）</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15.5.3 项目组人员一览表（格式见第三章）、企业投入本项目设备一览表（格式见第三章）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15.5.4 类似项目相关业绩一览表（格式见第三章）</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15.5.5 投标（响应）保证承诺书</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15.5.6其他有关符合性证明的文件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 综合评审文件</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15.6.1项目实施方案比较</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15.6.2投标人技术及服务能力体现 </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15.6.3其他可以证明投标人资质、服务质量的证书、文件等相关资料。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注：1、上述15.4.1—15.4.10为资格审查要求提供的材料，投标人必须提供。否则，投标文件将被认定为不符合资格审查要求。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“15.4.1-15.6.3”中不得出现投标总报价。</w:t>
      </w:r>
      <w:r>
        <w:rPr>
          <w:rFonts w:ascii="SimSun" w:hAnsi="SimSun" w:eastAsia="SimSun" w:cs="SimSun"/>
          <w:color w:val="000000"/>
          <w:sz w:val="24"/>
        </w:rPr>
        <w:t xml:space="preserve">投标人所提交的资料的完整与否，将直接影响投标人的评分。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制作电子投标文件时必须与投标文件制作软件目录一一对应，将相关资料上传至相应模块。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16.投标文件编制要求</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16.1.投标单位须使用</w:t>
      </w:r>
      <w:r>
        <w:rPr>
          <w:rFonts w:ascii="SimSun" w:hAnsi="SimSun" w:eastAsia="SimSun" w:cs="SimSun"/>
          <w:color w:val="000000"/>
          <w:sz w:val="24"/>
          <w:highlight w:val="white"/>
        </w:rPr>
        <w:t xml:space="preserve">CA证书</w:t>
      </w:r>
      <w:r>
        <w:rPr>
          <w:rFonts w:ascii="SimSun" w:hAnsi="SimSun" w:eastAsia="SimSun" w:cs="SimSun"/>
          <w:color w:val="000000"/>
          <w:sz w:val="24"/>
        </w:rPr>
        <w:t xml:space="preserve">工具完成电子投标文件编制，电子投标投标文件须按上述投标文件的组成及要求进行编制。操作步骤详见“苏采云”系统页面提示和《操作手册》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rPr>
          <w:rFonts w:ascii="SimSun" w:hAnsi="SimSun" w:eastAsia="SimSun" w:cs="SimSun"/>
          <w:b/>
          <w:color w:val="000000"/>
          <w:sz w:val="24"/>
        </w:rPr>
        <w:t xml:space="preserve">电子投标文件签章不符合要求的，投标文件将被拒绝。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16.3《开标一览表》要求按格式填写，统一规范,不得自行增减内容。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17.对本次投标报价（编制）要求的说明</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对《开标一览表》中的全部货物和服务的报价包括完成本项目的所有费用。投标报价为最终报价，除非因特殊原因并经采购双方协商同意，投标人不得再要求追加任何费用。同时，除非合同条款中另有规定，否则，投标人所报价格在合同实施期间不因市场变化因素而变动。供应商报价中包含本项目代理服务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17.3.一项投标内容只允许一个报价，采购单位不接受任何有选择性的投标报价。投标人应按《投标报价表》中的全部内容的每一单项计算并填写单价和总价，该表并由法定代表人或授权代理人电子签署。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17.4.投标文件报价中的单价和总价全部采用人民币，除非合同的特殊条款另有规定。</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rPr>
          <w:rFonts w:ascii="SimSun" w:hAnsi="SimSun" w:eastAsia="SimSun" w:cs="SimSun"/>
          <w:b/>
          <w:color w:val="000000"/>
          <w:sz w:val="24"/>
        </w:rPr>
        <w:t xml:space="preserve">投标保证金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无需缴纳投标保证金，投标人应在投标文件中提交《投标（响应）保证承诺书（详见格式）。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19.投标文件的有效期</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rPr>
        <w:t xml:space="preserve">投标有效期为招标文件规定的投标截止之日起90天内,投标书应保持有效。有效期短于这个规定期限的投标,将被拒绝</w:t>
      </w:r>
      <w:r>
        <w:rPr>
          <w:rFonts w:ascii="SimSun" w:hAnsi="SimSun" w:eastAsia="SimSun" w:cs="SimSun"/>
          <w:color w:val="000000"/>
          <w:sz w:val="24"/>
        </w:rPr>
        <w:t xml:space="preserve">。</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特殊情况下,招标代理机构可与投标人协商延长投标书的有效期。这种要求和答复都应以书面形式进行。同意延长投标有效期的投标人不能修改投标文件，同时受投标有效期约束的所有权利与义务均延长至新的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20.投标文件的份数及签署</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20.1.投标人应按本须知的规定，编制一份电子投标文件。</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 电子投标文件有须要投标单位法定代表人或委托代理人签字及加盖企业公章的地方，须由投标单位法定代表人或委托代理人签字及加盖企业公章。未按要求签署的投标文件将被拒绝。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21.投标文件提交</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投标文件必须在投标截止时间前完成投标文件上传操作，如未上传的视同为未参加本项目投标。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22.投标截止时间</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22.1.投标人必须在招标文件规定的投标截止时间之前完成投标文件上传操作。</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22.2.采购人推迟开标截止时间时，将在苏州市政府采购网上发布通知，投标人通过苏州市政府采购网自行查看。在这种情况下，采购人和投标人的权利和义务将受到新的截止期的约束。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23.投标文件的修改和撤回</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23.1.投标人在投标截止时间之前，可以对其已提交的投标文件进行补充、修改或者撤回。具体操作方法见《操作手册》。</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23.2.在投标截止时间至招标文件中规定的投标有效期届满这段时间内，投标人不得撤回其投标文件。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24.开标</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24.1.招标代理机构按前附表规定的时间、地点主持开标。开标仪式由招标代理机构主持,采购人代表、投标单位代表及有关工作人员参加。</w:t>
      </w:r>
      <w:r>
        <w:rPr>
          <w:rFonts w:ascii="SimSun" w:hAnsi="SimSun" w:eastAsia="SimSun" w:cs="SimSun"/>
          <w:b/>
          <w:color w:val="000000"/>
          <w:sz w:val="24"/>
        </w:rPr>
        <w:t xml:space="preserve">本项目为不见面开标方式，开标阶段供应商在【解密环节】必须使用 CA证书解密电子投标（响应）文件，请供应商确保电脑、系统及其他设备（视频输入输出设备等）无误，且开启直至项目结束始终保持系统在线状态。</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24.2.线上参加（观看）开标（开启）会方式：登录“苏采云”系统，点击“开标大厅”，选择对应项目，点击进入不见面开标系统。</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开标时，投标人应当按照《操作手册》规定，在“苏采云”系统规定的时间内对投标文件进行解密。等待开标流程进入“解锁环境”，点击“点击立即解密”进行标书解密，解锁完成后及时关注开标大厅，等待答疑澄清等提示，</w:t>
      </w:r>
      <w:r>
        <w:rPr>
          <w:rFonts w:ascii="SimSun" w:hAnsi="SimSun" w:eastAsia="SimSun" w:cs="SimSun"/>
          <w:b/>
          <w:color w:val="000000"/>
          <w:sz w:val="24"/>
        </w:rPr>
        <w:t xml:space="preserve">否则导致的对投标人不利的后果由供应商自行承担</w:t>
      </w:r>
      <w:r>
        <w:rPr>
          <w:rFonts w:ascii="SimSun" w:hAnsi="SimSun" w:eastAsia="SimSun" w:cs="SimSun"/>
          <w:color w:val="000000"/>
          <w:sz w:val="24"/>
        </w:rPr>
        <w:t xml:space="preserve">。</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24.5.投标人在“苏采云”系统规定的时间内未成功解密电子投标文件的，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24.6.至投标文件提交截止时间，</w:t>
      </w:r>
      <w:r>
        <w:rPr>
          <w:rFonts w:ascii="SimSun" w:hAnsi="SimSun" w:eastAsia="SimSun" w:cs="SimSun"/>
          <w:b/>
          <w:color w:val="000000"/>
          <w:sz w:val="24"/>
        </w:rPr>
        <w:t xml:space="preserve">递交该标段投标文件的投标人不足三家的，不得开标</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25.评标委员会</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25.1.评标委员会（以下简称评标委员会）成员依法组建。由采购人代表和有关技术、经济等方面的专家组成，且人员构成符合政府采购有关规定。</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评审专家与参加采购活动的投标人存在下列利害关系之一的,应当回避:</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(三)与投标人有其他可能影响政府采购活动公平、公正进行的关系。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评审专家发现本人与参加采购活动的投标人有利害关系的,应当主动提出回避。采购人或者采购代理机构发现评审专家与参加采购活动的投标人有利害关系的,应当要求其回避。</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25.2.评标委员会独立工作，负责评审所有投标文件并确定中标侯选人。</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25.3.评标委员会组负责具体的评标事务，并独立履行以下职责：</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25.3.1.审查、评价投标文件是否符合招标文件的商务、技术等实质性要求；</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25.3.2.要求投标人对投标文件有关事项作出澄清或者说明；</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25.3.3.对投标文件进行比较和评价；</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25.3.4.确定中标候选人名单，以及根据采购人委托直接确定中标人；</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25.3.5.向采购人、采购代理机构或者有关部门报告评标中发现的违法行为。</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25.3.评标委员会成员应当履行下列义务：</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25.3.1.遵纪守法，客观、公正、廉洁地履行职责；</w:t>
      </w:r>
      <w:r/>
    </w:p>
    <w:p>
      <w:pPr>
        <w:ind w:left="833" w:right="0" w:hanging="8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25.3.2.按照招标文件规定的评标办法和评标标准进行评标，对评审意见承担个人责任；</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25.3.3.对评标过程和结果，以及投标人的商业秘密保密；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25.3.4.参与评标报告的起草；</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25.3.5.配合招标采购人答复投标人提出的质疑；</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26.评标内容的保密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26.1.公开开标后,直到宣布授予中标单位合同为止,凡属于审查、澄清、评价和比较投标的所有资料,有关授予合同的信息都不应向投标人或与评标无关的其他人泄露。</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26.2.在投标文件的审查、澄清、评价和比较以及授予合同的过程中,投标人对采购人或招标代理机构和评标委员会成员施加影响的任何行为,都将取消其投标资格。</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26.3.在评标期间,招标代理机构将指定联络人与投标人进行联系。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27.投标文件的澄清</w:t>
      </w:r>
      <w:r/>
    </w:p>
    <w:p>
      <w:pPr>
        <w:ind w:left="571" w:right="0" w:hanging="5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27.1评标期间，评标委员会对投标文件中含义不明确、同类问题表述不一致或者有明显文字和计算错误的内容 ，有权要求投标人作出必要的澄清、说明或者补正。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564" w:right="0" w:hanging="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571" w:right="0" w:hanging="5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571" w:right="0" w:hanging="5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接到评标委员会澄清、说明和补正要求的投标人如未按规定做出澄清、说明和补正，其风险由投标人自行承担。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28.对投标文件的初审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28.1投标文件初审分为资格审查和符合性审查。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28.1.1资格审查：公开招标采购项目开标结束后，采购人或者招标代理机构应当依法对投标人的资格进行审查。资格审查的结论，采购人以书面形式向评委会进行反馈。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查询时间：投标文件递交截止时间。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查询渠道：通过“信用中国”及“中国政府采购网”上的信用信息查询供应商的信用记录。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信用记录使用规则：评标委员会应根据查询结果对供应商的不良信用记录逐项甄别确认。按照《中华人民共和国政府采购法》第二十二条规定，</w:t>
      </w:r>
      <w:r>
        <w:rPr>
          <w:rFonts w:ascii="SimSun" w:hAnsi="SimSun" w:eastAsia="SimSun" w:cs="SimSun"/>
          <w:b/>
          <w:color w:val="000000"/>
          <w:sz w:val="24"/>
        </w:rPr>
        <w:t xml:space="preserve">下列信用记录属于应依法拒绝供应商参加政府采购的失信信息，存在此类失信信息的投标人的投标无效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接受联合体的项目，两个以上的自然人、法人或者其他组织组成一个联合体，以一个供应商的身份共同参加政府采购活动的,联合体成员中任何一方存在不良信用记录的，视同联合体存在不良应用记录。</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 符合性审查：依据招标文件的规定，由评委会从投标文件的有效性、完整性和对招标文件的响应程度进行审查，以确定是否对招标文件的实质性要求作出响应。</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 未通过资格审查或符合性审查的投标人，采购中心将在苏采云系统中告知未通过资格审查或符合性审查的原因，评审结束后，采购中心将不再告知未通过资格审查或符合性审查的原因。</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28.3如果投标文件实质上没有响应招标文件的要求，评委会将予以拒绝，投标人不得通过修改或撤销不合要求的偏离或保留而使其投标成为实质性响应的投标。</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28.4评委会将对确定为实质性响应的投标进行进一步审核，看其是否有计算上或累加上的算术错误，修正错误的原则如下：</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47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28.5评委会将按上述修正错误的方法调整投标文件中的投标报价，并通过苏采云系统告知投标人，调整后的价格应对投标人具有约束力。如果投标人不接受修正后的价格，则其投标将被拒绝。</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确定一个中标候选人，其他同品牌投标人不作为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28.7投标人在开、评标全过程中应保持通讯畅通，及时登录苏采云系统查阅、答复相关信息，并安排专人与采购中心及评标委员会联系。</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 异常低价投标审查</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28.8.1 评标过程中出现下列情形之一的，评标委员会应当启动异常低价投标审查程序：</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28.无效投标条款和废标条款</w:t>
      </w:r>
      <w:r/>
    </w:p>
    <w:p>
      <w:pPr>
        <w:ind w:left="627" w:right="0" w:hanging="6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28.1.有下列情况之一者将认定为无效投标：</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 投标人在苏采云系统规定的时间内未成功解密电子投标文件的。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 投标人未按照招标文件要求上传电子投标文件的。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 投标人同一采购包提交两个（含两个）以上不同的投标报价的。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28.1.4投标人不具备招标文件中规定资格要求的。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28.1.5投标人的报价超过了采购预算或最高限价的。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28.1.6未通过符合性审查的。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28.1.7不符合招标文件中规定的实质性要求的。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28.1.9  投标文件含有采购人不能接受的附加条件的。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28.1.10 评标委员会按照本招标文件规定对投标人进行异常低价投标审查后，认为投标人不能证明其报价合理性的。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28.1.12 投标文件未按照招标文件要求加盖CA电子公章的。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28.1.13 投标人所投标产品不符合招标文件中所列国家强制性标准的。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28.1.14如投标文件制作机器码信息一致，视为不同投标供应商使用同一台电脑编制投标文件</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28.1.15其他法律、法规及本招标文件规定的属无效投标的情形。</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28.2废标条款 </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28.2.1符合专业条件的供应商或者对招标文件作实质响应的供应商不足三家的。</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28.2.2出现影响采购公正的违法、违规行为的。</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28.2.3因重大变故，采购任务取消的。</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28.2.4评标委员会认定招标文件存在歧义、重大缺陷导致评审工作无法进行。</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28.2.5 因苏采云系统故障原因造成开标不成功的。  </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投标截止时间结束后参加投标的供应商不足三家的处理：</w:t>
      </w:r>
      <w:r/>
    </w:p>
    <w:p>
      <w:pPr>
        <w:ind w:left="627" w:right="0" w:hanging="6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28.3.1如出现投标截止时间结束后参加投标的供应商或者在评标期间对招标文件做出实质响应的供应商不足三家情况，按政府采购相关规定执行。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29.中标单位的确认</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29.1.评标委员会按招标文件规定的评标方法和标准进行详细评审后，根据委托代理协议内容，由采购人授权评标委员会直接确定中标单位。</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29.2.经评标委员会评审并确定中标单位后，招标代理机构自中标人确定之日起2个工作日内将中标人在政府采购信息媒体上发布中标公告，中标公告期限为1个工作日。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八、合同授予标准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30.1.招标代理机构将把合同授予其投标文件在实质上响应招标文件要求和按评分方法和标准规定评选出的中标单位。确定为中标单位的必须具有实施本合同的能力和资源。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九、中标通知书</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在公告中标结果的同时，采购人或者采购代理机构应当向中标人发出中标通知书（中标通知书将在“苏采云”系统中发出，中标通知书发出之日视为中标单位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31.2.中标通知书发出后，采购人不得违法改变中标结果，中标人无正当理由不得放弃中标。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十、告知招标结果</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参与项目评审的未中标（成交）供应商，应当告知其未通过的原因；采用综合评分法评审的，还应当告知未中标人本人的评审得分与排序。未中标单位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十一、合同的签订 </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33.1.中标单位应按中标通知书规定与采购人按照招标文件确定的事项签订政府采购合同。</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33.2.签订合同及合同条款应以招标文件和中标单位的投标文件及其澄清文件为依据。</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33.3.中标单位无正当理由拒签合同的，或在签订合同时向采购人提出附加条件或者更改合同实质性内容的，采购人可取消其中标资格，同时由中标单位承担相应的法律责任。</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34.监督和公证</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34.1.政府有关监督部门将对招投标全过程进行监督。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35.未尽事宜</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35.1.按《中华人民共和国政府采购法》及其他有关政府采购的法律法规的规定执行。</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 ，投标人可根据自身情况进行补充和修改，但补充和修改不得造成与本格式内容有实质性的违背。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江苏建达技术咨询服务有限公司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 </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号招标文件，我公司认为本项目的招标坚持了公开、公平、公正的原则，经仔细阅读和研究，我们决定参加本项目投标。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1、我方愿意按照招标文件的一切要求，提供本项目的所有内容，我方投标的报价包括完成本项工作所需的一切应有费用。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3、我们同意按招标文件中的规定，我方承诺本投标书的有效期限为</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5、我们愿意遵守招标公告及招标文件中所列的收费标准。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6、我们承诺该项投标在开标后的全过程中保持有效，不作任何更改和变动。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7、我们同意中标方若无法按约定条款履行义务等行为，招标方有权取消其中标资格。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8、我们承诺我公司符合招标文件投标人须知中“合格投标人的条件”的要求，若与真实情况不符，本公司愿意承担由此而产生的一切后果。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9、本函填写的电子邮箱为我方此次采购活动中的授权邮箱，该邮箱发至采购人或代理机构的函件无论是否签字或盖章，均视为我方的意思表示，我方均予以承认并承担相应后果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 </w:t>
      </w:r>
      <w:r>
        <w:rPr>
          <w:rFonts w:ascii="SimSun" w:hAnsi="SimSun" w:eastAsia="SimSun" w:cs="SimSun"/>
          <w:color w:val="000000"/>
          <w:sz w:val="24"/>
          <w:u w:val="single"/>
        </w:rPr>
        <w:t xml:space="preserve">                                </w:t>
      </w:r>
      <w:r>
        <w:rPr>
          <w:rFonts w:ascii="SimSun" w:hAnsi="SimSun" w:eastAsia="SimSun" w:cs="SimSun"/>
          <w:color w:val="000000"/>
          <w:sz w:val="24"/>
        </w:rPr>
        <w:t xml:space="preserve">联 系 人：</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电子邮箱：</w:t>
      </w:r>
      <w:r>
        <w:rPr>
          <w:rFonts w:ascii="SimSun" w:hAnsi="SimSun" w:eastAsia="SimSun" w:cs="SimSun"/>
          <w:color w:val="000000"/>
          <w:sz w:val="24"/>
        </w:rPr>
        <w:t xml:space="preserve"> </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单位法定代表人或被授权委托人：（签字或盖章）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格式2、法定代表人授权委托书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（姓名）为我单位代理人，以本单位的名义参加 江苏建达技术咨询服务有限公司组织实施的编号为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号的招标活动。代理人在开标、评标、合同采购过程中所签署的一切文件和处理与这有关的一切事务，我均予以承认。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被授权委托人：（签字或盖章）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格式3、</w:t>
      </w:r>
      <w:r>
        <w:rPr>
          <w:rFonts w:ascii="SimSun" w:hAnsi="SimSun" w:eastAsia="SimSun" w:cs="SimSun"/>
          <w:b/>
          <w:color w:val="000000"/>
          <w:sz w:val="24"/>
        </w:rPr>
        <w:t xml:space="preserve">开标一览表、</w:t>
      </w:r>
      <w:r>
        <w:rPr>
          <w:rFonts w:ascii="SimSun" w:hAnsi="SimSun" w:eastAsia="SimSun" w:cs="SimSun"/>
          <w:color w:val="000000"/>
          <w:sz w:val="24"/>
        </w:rPr>
        <w:t xml:space="preserve">报价分析表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（以系统格式为准）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（总价方式报价）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w:t>
      </w:r>
      <w:r/>
    </w:p>
    <w:p>
      <w:pPr>
        <w:ind w:left="0" w:right="0" w:firstLine="50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
        <w:gridCol w:w="724"/>
        <w:gridCol w:w="638"/>
        <w:gridCol w:w="778"/>
        <w:gridCol w:w="1117"/>
        <w:gridCol w:w="461"/>
        <w:gridCol w:w="1762"/>
        <w:gridCol w:w="461"/>
        <w:gridCol w:w="461"/>
        <w:gridCol w:w="493"/>
        <w:gridCol w:w="707"/>
        <w:gridCol w:w="674"/>
        <w:gridCol w:w="67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监测桥梁</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监测设备选型建议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单项费用（万元）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合计（万元）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物理量：裂缝宽度 量程：100mm 分辨率 0.005mm 精度：0.02mm 供电电压：DC9～48V 测点功耗：0.5W 通讯方式：RS485 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含机箱、导轨插座、断路器、电源电涌保护器、电源开关、直流电源、4G模块及物联网卡、包年流量等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基础参数，传感器类型：1/2.8＂ progressive scan CMOS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寒山HN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混凝土主梁静态应变监测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应变测量范围：±1000με 应变测量精度：0.5%F·S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AC；2）输出电压：DC 12V，DC 24V； 3）本地通讯：RJ45；4）远程通讯：4G； 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 HS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光纤光栅动应变采集仪</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视频抓拍（一、二期11座桥梁按实际情况增设视频监控）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安装实施集成费，部分设备安装吊装（工程机械、车辆租赁费、一桥一策实施方案）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电源线、网线、PVC套管等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监测数据管理与更新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监测数据对接及应用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对基础资料、运管资料等资料建库处理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240" w:right="0" w:hanging="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万元/人工天</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三维模型建设及建库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数据对接、处理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运行监测场景数据分析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监测设备运维及监测数据分析服务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城市生命线一期6座桥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一期6座桥梁监测设备运维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2年4个月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城市生命线二期5座桥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二期5座桥梁监测设备运维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报警处置闭环、数据分析报告（二期97个监测点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格式4、</w:t>
      </w:r>
      <w:r>
        <w:rPr>
          <w:rFonts w:ascii="SimSun" w:hAnsi="SimSun" w:eastAsia="SimSun" w:cs="SimSun"/>
          <w:color w:val="000000"/>
          <w:sz w:val="24"/>
          <w:u w:val="none"/>
        </w:rPr>
        <w:t xml:space="preserve">偏离表</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3239"/>
        <w:gridCol w:w="3059"/>
        <w:gridCol w:w="1260"/>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到达现场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注：投标人的投标文件（除技术规格部分）与采购文件规定的有偏离的，应在此表中说明。未在上表中说明的，将被认为完全响应采购文件的规定。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格式5、技术要求偏离表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2726"/>
        <w:gridCol w:w="1488"/>
        <w:gridCol w:w="1842"/>
        <w:gridCol w:w="1701"/>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48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格式6、项目组人员一览表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090"/>
        <w:gridCol w:w="751"/>
        <w:gridCol w:w="690"/>
        <w:gridCol w:w="690"/>
        <w:gridCol w:w="825"/>
        <w:gridCol w:w="1140"/>
        <w:gridCol w:w="1410"/>
        <w:gridCol w:w="1410"/>
      </w:tblGrid>
      <w:tr>
        <w:trPr>
          <w:trHeight w:val="85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职称或专业资格证书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658"/>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pStyle w:val="658"/>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2.请将相关人员证明材料复印件加盖公章后附在本表后面。</w:t>
      </w:r>
      <w:r/>
    </w:p>
    <w:p>
      <w:pPr>
        <w:pStyle w:val="658"/>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3.表格不够填写可添加。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格式7、企业投入本项目设备一览表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企业投入本项目设备一览表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1265"/>
        <w:gridCol w:w="1736"/>
        <w:gridCol w:w="852"/>
        <w:gridCol w:w="852"/>
        <w:gridCol w:w="2483"/>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（自有/租赁/承诺中标后配置）</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1、若事项较多，投标人可根据投标内容的实际情况另纸说明。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2.按采购内容及评分要求提供相应证明材料。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格式8、类似项目相关业绩一览表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类似项目相关业绩一览表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975"/>
        <w:gridCol w:w="2196"/>
        <w:gridCol w:w="1665"/>
        <w:gridCol w:w="1282"/>
        <w:gridCol w:w="1091"/>
      </w:tblGrid>
      <w:tr>
        <w:trPr>
          <w:trHeight w:val="68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2.将其他相关证明材料复印件附在本表后面。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2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2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格式10、资格证明文件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投标人：（单位盖章）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51"/>
        <w:gridCol w:w="1917"/>
        <w:gridCol w:w="147"/>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1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2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最近3年内在经营过程中受到何种奖励或处分（情况和结果）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w:t>
      </w:r>
      <w:r>
        <w:rPr>
          <w:rFonts w:ascii="SimSun" w:hAnsi="SimSun" w:eastAsia="SimSun" w:cs="SimSun"/>
          <w:color w:val="000000"/>
          <w:sz w:val="24"/>
          <w:u w:val="none"/>
        </w:rPr>
        <w:t xml:space="preserve">（联合体）参加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采购活动，提供的货物全部由符合政策要求的中小微企业制造。相关企业（含联合体中的中小企业、签订分包意向协议的中小企业）的具体情况如下：</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（中型企业、小型企业、微型企业，三者选一填写）；</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（中型企业、小型企业、微型企业，三者选一填写）；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68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附：中小企业划型标准规定（工信部联企业〔2011〕300号）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（十六）工业。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4)残疾人福利性单位声明函</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5）投标人资格承诺书</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1、我方已知晓采购文件要求并认真审核自身情况，在此郑重声明，我方具备并满足下列各项条款的规定。本声明如有虚假或不实之处，我方将失去合格供应商资格。</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61"/>
        <w:gridCol w:w="3314"/>
      </w:tblGrid>
      <w:tr>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（7）本项目的特定资格要求</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1）公益一类事业单位不属于政府购买服务的承接主体，不得参与承接政府购买服务</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3）未被“信用中国”网站（www.creditchina.gov.cn）列入失信被执行人、重大税收违法案件当事人名单、政府采购严重失信行为记录名单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2、我方对上述声明的真实性、合法性、准确性、有效性负责，并愿意根据采购文件和采购过程中贵方要求提供全部现有资料、数据、文件等予以证实。</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备注：对于接受联合体形式的投标且供应商是联合体的，则联合体各成员都应当提交本资格证明文件。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b/>
          <w:color w:val="000000"/>
          <w:sz w:val="24"/>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（采购包号：</w:t>
      </w:r>
      <w:r>
        <w:rPr>
          <w:rFonts w:ascii="Arial" w:hAnsi="Arial" w:eastAsia="Arial" w:cs="Arial"/>
          <w:b/>
          <w:color w:val="000000"/>
          <w:sz w:val="24"/>
          <w:u w:val="single"/>
        </w:rPr>
        <w:t xml:space="preserve">                 </w:t>
      </w:r>
      <w:r>
        <w:rPr>
          <w:rFonts w:ascii="Arial" w:hAnsi="Arial" w:eastAsia="Arial" w:cs="Arial"/>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1025"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295051"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03377"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04850" cy="1524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50249" name=""/>
                        <pic:cNvPicPr>
                          <a:picLocks noChangeAspect="1"/>
                        </pic:cNvPicPr>
                        <pic:nvPr/>
                      </pic:nvPicPr>
                      <pic:blipFill>
                        <a:blip/>
                        <a:stretch/>
                      </pic:blipFill>
                      <pic:spPr bwMode="auto">
                        <a:xfrm>
                          <a:off x="0" y="0"/>
                          <a:ext cx="7048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5.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70091" name=""/>
                        <pic:cNvPicPr>
                          <a:picLocks noChangeAspect="1"/>
                        </pic:cNvPicPr>
                        <pic:nvPr/>
                      </pic:nvPicPr>
                      <pic:blipFill>
                        <a:blip/>
                        <a:stretch/>
                      </pic:blipFill>
                      <pic:spPr bwMode="auto">
                        <a:xfrm>
                          <a:off x="0" y="0"/>
                          <a:ext cx="7334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32740"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03982"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5pt;height:8.2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1"/>
          <w:highlight w:val="white"/>
          <w:u w:val="single"/>
        </w:rPr>
        <w:t xml:space="preserve">（产品名称1）</w:t>
      </w:r>
      <w:r>
        <w:rPr>
          <w:rFonts w:ascii="Arial" w:hAnsi="Arial" w:eastAsia="Arial" w:cs="Arial"/>
          <w:color w:val="000000"/>
          <w:sz w:val="21"/>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1"/>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color w:val="000000"/>
          <w:sz w:val="21"/>
          <w:highlight w:val="white"/>
          <w:u w:val="single"/>
        </w:rPr>
        <w:t xml:space="preserve">（产品名称1）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1"/>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1"/>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1"/>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23925" cy="1524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15776"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68161"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1208"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53038"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7650" cy="1047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55666" name=""/>
                        <pic:cNvPicPr>
                          <a:picLocks noChangeAspect="1"/>
                        </pic:cNvPicPr>
                        <pic:nvPr/>
                      </pic:nvPicPr>
                      <pic:blipFill>
                        <a:blip/>
                        <a:stretch/>
                      </pic:blipFill>
                      <pic:spPr bwMode="auto">
                        <a:xfrm>
                          <a:off x="0" y="0"/>
                          <a:ext cx="2476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77963"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5.2pt;height:12.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4"/>
          <w:highlight w:val="white"/>
        </w:rPr>
        <w:t xml:space="preserve">在中国境内完成。</w:t>
      </w: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格式12、投标（响应）保证承诺书（必须提交）</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项目名称和采购编号）的投标（响应）,并做出如下承诺：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一、采购需求</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安委会办公室关于推广城市生命线安全工程经验做法切实加强城市安全风险防范工作的通知》（安委办〔2021〕6号）、《国务院安委会办公室关于印发〈城市安全风险综合监测预警平台建设指南（试行）〉的通知》（安委办函〔2021〕45号）、《苏州市城市生命线安全工程试点建设工作方案》（苏府办〔2022〕136号）及国家、江苏省、苏州市等相关文件精神要求，提升城市生命线风险预防及处置的规范化、标准化、智慧化水平，提高城市生命线重大风险防控水平和突发事件应急处置能力，提升城市安全韧性。</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着城市桥梁服役时间的变长、自身结构材料的老化、交通流量的渐增、周边环境的变化等，桥梁病害和安全风险也持续渐增，严重时可能引起桥梁倒塌，对公共安全造成威胁。因此，应在桥梁日常养护、定期检测、维修加固、结构分析和风险评估的基础上，结合病害隐患特征和结构受力特点，选择重点桥梁的重要指标进行动态智慧监测，提升桥梁安全风险发现、防范、处置、管控的智能化水平，为桥梁养护决策提供技术支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为进一步推进姑苏区城市生命线安全工程建设程度，科学有效的提高风险防控能力，姑苏区住房和建设委员会决定开展姑苏区城市生命线安全工程桥梁倒塌场景（三期）。</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项目范围及内容</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1、桥梁倒塌场景三期建设</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姑苏区4座桥：姑胥桥、南环桥、寒山HS线桥和寒山HN线桥。</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桥梁倒塌场景三期建设内容包括以下5项工作：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在技术方案的基础上，结合实施单位自身监测技术、设备等情况，编制姑胥桥、南环桥、寒山HS线桥和寒山HN线桥4座桥梁的实施方案。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根据实施方案及技术方案要求，完成设备安装与调试。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（3）完成数据对接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实施单位完成桥梁监测数据汇集和展示，并按照省、市级生命线数据标准和相关要求，完成监测数据与市、区级平台的对接。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（4）监测数据应用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根据桥梁类型、结构特点、服役年限等分析结果，完成监测阈值设定，对报警信息进行预处理，及时推送报警信息；提供监测数据季度分析报告，分析桥梁结构状态，预测数据变化趋势。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（5）场景后期运维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项目竣工验收后保障至2028年8月底的运维工作。</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桥梁倒塌场景一、二期运维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姑苏区城市生命线试点桥梁倒塌场景建设自2023年7月底开始，于2024年4月24日完成建设；二期项目自2024年8月底开始，于2025年3月5日完成建设。项目运维的结束时间分别是2026年4月24日和2027年3月5日。</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桥梁倒塌场景一二期运维的对象为一期建设完成的竹辉桥、石湖大桥、寒山桥、齐门桥、人民桥和索山桥6座桥梁，二期建设完成的相门桥、狮山桥、人民桥廊桥、塘坊湾桥和新市桥5座桥梁。</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对姑苏区城市生命线一期桥梁倒塌场景建设的6座桥梁（人民桥、石湖桥、竹辉桥、索山桥、齐门桥、寒山桥）和二期建设的5座桥梁（人民桥廊桥、新市桥、相门桥、狮山桥、糖坊湾桥）实施运维管理，一期项目服务期28个月(2026年4月24日起至2028年8月底结束)，二期服务期17个月(2027年3月5日起至2028年8月底)。在服务期内，对监测设备进行常规维护，包含设备的校准、检查、维修、更换等工作；保证监测数据与市、区级平台正常对接，优化阈值设置，完善报警处置机制等有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tblGrid>
      <w:tr>
        <w:trPr>
          <w:gridAfter w:val="3"/>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监测桥梁</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监测设备选型建议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合计（万元）</w:t>
            </w:r>
            <w:r/>
          </w:p>
        </w:tc>
      </w:tr>
      <w:tr>
        <w:trPr>
          <w:gridAfter w:val="3"/>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w:t>
            </w:r>
            <w:r>
              <w:rPr>
                <w:rFonts w:ascii="SimSun" w:hAnsi="SimSun" w:eastAsia="SimSun" w:cs="SimSun"/>
                <w:color w:val="000000"/>
                <w:sz w:val="24"/>
              </w:rPr>
              <w:t xml:space="preserve">0nm），功耗（15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物理量：应变与温度。应变测量范围：±1000με。应变测量精度：0.5%F·S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物理量：裂缝宽度 量程：100mm 分辨率 0.005mm 精度：0.02mm 供电电压：DC9～48V 测点功耗：0.5W 通讯方式：RS485 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含机箱、导轨插座、断路器、电源电涌保护器、电源开关、直流电源、4G模块及物联网卡、包年流量等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基础参数，传感器类型：1/2.8＂ progressive scan CMOS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最低照度：0 Lux with IR,彩色：0.005Lux @ (F1.6，AGC ON)；黑白：0.001Lux @ (F1.6，AGC ON) 快门：1/1 秒~1/30,000 秒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寒山HN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混凝土主梁静态应变监测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应变测量范围：±1000με 应变测量精度：0.5%F·S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AC；2）输出电压：DC 12V，DC 24V； 3）本地通讯：RJ45；4）远程通讯：4G； 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 HS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光纤光栅动应变采集仪</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2"/>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视频抓拍（一、二期11座桥梁按实际情况增设视频监控）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 </w:t>
            </w:r>
            <w:r/>
          </w:p>
        </w:tc>
      </w:tr>
      <w:tr>
        <w:trPr>
          <w:gridAfter w:val="3"/>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安装实施集成费，部分设备安装吊装（工程机械、车辆租赁费、一桥一策实施方案）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 </w:t>
            </w:r>
            <w:r/>
          </w:p>
        </w:tc>
      </w:tr>
      <w:tr>
        <w:trPr>
          <w:gridAfter w:val="3"/>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电源线、网线、PVC套管等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 </w:t>
            </w:r>
            <w:r/>
          </w:p>
        </w:tc>
      </w:tr>
      <w:tr>
        <w:trPr>
          <w:gridAfter w:val="2"/>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监测数据管理与更新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监测数据对接及应用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对基础资料、运管资料等资料建库处理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0.0726万元/人工天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r>
      <w:tr>
        <w:trPr>
          <w:gridAfter w:val="3"/>
          <w:trHeight w:val="2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三维模型建设及建库</w:t>
            </w:r>
            <w:r/>
          </w:p>
        </w:tc>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c>
          <w:tcPr>
            <w:vMerge w:val="continue"/>
            <w:textDirection w:val="lrTb"/>
            <w:noWrap w:val="false"/>
          </w:tcPr>
          <w:p>
            <w:r/>
            <w:r/>
          </w:p>
        </w:tc>
      </w:tr>
      <w:tr>
        <w:trPr>
          <w:gridAfter w:val="3"/>
          <w:trHeight w:val="2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数据对接、处理</w:t>
            </w:r>
            <w:r/>
          </w:p>
        </w:tc>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 </w:t>
            </w:r>
            <w:r/>
          </w:p>
        </w:tc>
        <w:tc>
          <w:tcPr>
            <w:vMerge w:val="continue"/>
            <w:textDirection w:val="lrTb"/>
            <w:noWrap w:val="false"/>
          </w:tcPr>
          <w:p>
            <w:r/>
            <w:r/>
          </w:p>
        </w:tc>
      </w:tr>
      <w:tr>
        <w:trPr>
          <w:gridAfter w:val="3"/>
          <w:trHeight w:val="2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运行监测场景数据分析</w:t>
            </w:r>
            <w:r/>
          </w:p>
        </w:tc>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 </w:t>
            </w:r>
            <w:r/>
          </w:p>
        </w:tc>
        <w:tc>
          <w:tcPr>
            <w:vMerge w:val="continue"/>
            <w:textDirection w:val="lrTb"/>
            <w:noWrap w:val="false"/>
          </w:tcPr>
          <w:p>
            <w:r/>
            <w:r/>
          </w:p>
        </w:tc>
      </w:tr>
      <w:tr>
        <w:trPr>
          <w:gridAfter w:val="4"/>
          <w:trHeight w:val="23"/>
        </w:trPr>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监测设备运维及监测数据分析服务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城市生命线一期6座桥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一期6座桥梁监测设备运维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2年4个月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45.20 </w:t>
            </w:r>
            <w:r/>
          </w:p>
        </w:tc>
      </w:tr>
      <w:tr>
        <w:trPr>
          <w:gridAfter w:val="4"/>
          <w:trHeight w:val="23"/>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 </w:t>
            </w:r>
            <w:r/>
          </w:p>
        </w:tc>
      </w:tr>
      <w:tr>
        <w:trPr>
          <w:gridAfter w:val="4"/>
          <w:trHeight w:val="23"/>
        </w:trPr>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城市生命线二期5座桥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二期5座桥梁监测设备运维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23.27 </w:t>
            </w:r>
            <w:r/>
          </w:p>
        </w:tc>
      </w:tr>
      <w:tr>
        <w:trPr>
          <w:gridAfter w:val="4"/>
          <w:trHeight w:val="23"/>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报警处置闭环、数据分析报告（二期97个监测点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6.87 </w:t>
            </w:r>
            <w:r/>
          </w:p>
        </w:tc>
      </w:tr>
    </w:tbl>
    <w:p>
      <w:pPr>
        <w:ind w:left="0" w:right="31"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注：本项目核心设备：振动传感器数据采集仪。</w:t>
      </w:r>
      <w:r/>
    </w:p>
    <w:p>
      <w:pPr>
        <w:ind w:left="0" w:right="31"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产品技术要求：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
        <w:gridCol w:w="1234"/>
        <w:gridCol w:w="7137"/>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灵敏度≤5%FS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带宽(Hz)0~100Hz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 IP65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最高采样率：50Hz（单个靶标）；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分辨率：1/100000 FOV（视场范围）；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★最大测试距离：400 米（超出范围可定制）；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★测量精度：0~50 米：±0.2mm；50~200 米：±1mm；200~400 米：±1.5mm；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红外光源目标靶：产品主要用于桥梁动挠度目标标靶，参数：波长（850nm），功耗（15 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★防护等级（IP65）。 </w:t>
              <w:br/>
              <w:t xml:space="preserve">工业级无线路由器：产品主要用于桥梁动挠度数据采集，包括 WAN/LAN 自适应接口、LAN 接口、DC 供电端子和圆形电源口,支持直流 5-35V 电压，具备防反接和防浪涌特性。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应变测量范围：±1000με。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应变测量精度：0.5%F·S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r>
    </w:tbl>
    <w:p>
      <w:pPr>
        <w:ind w:left="0" w:right="31"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1、基准系统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（1）平面坐标系统：2000国家大地坐标系，苏州2000坐标系。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（2）高程系统：1985国家高程基准。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（3）时间基准：日期采用公元纪年，时间采用北京时间。</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2、实施依据</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《关于推广城市生命线安全工程经验做法切实加强城市安全风险防范工作的通知》（安委办〔2021〕6号）；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《城市安全风险综合监测预警平台建设指南（2023版）》，国务院安全生产委员会办公室，2023年；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《江苏省城市生命线安全工程建设指南》（江苏省住建厅）；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《江苏省城市生命线安全工程建设技术指导书》（江苏省住建厅）；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《江苏省城市生命线安全建设一期工程技术指导书（试行）》，江苏省住房和城乡建设厅，2022年；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《江苏省城市生命线安全建设一期工程——城市基础设施安全运行智慧监管系统省市数据对接规范（修订版）》（苏生命线办发〔2024〕3号）；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《城市生命线安全工程—城市基础设施安全运行智慧监管系统数据标准（试行）》（苏生命线办发〔2022〕2号）；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《苏州市城市生命线安全工程试点建设工作方案》（苏府办〔2022〕136号）；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《关于推进苏州市城市生命线安全工程试点建设风险评估工作的通知》，苏州市城市生命线安全工程试点建设推进工作领导小组办公室，2023年3月；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《测绘成果质量检查与验收》（GB/T 24356-2023）</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《地下管线数据获取规程》（GB/T 35644-2017）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《国家基本比例尺地图图式第1 部分：1:500 1:1000 1:2000 地形图图式》（GB/T 20257.1-2017）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《卫星导航定位基准站网络实时动态测量（RTK）规范》（GB/T 39616-2020）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《城市地下管线探测技术规程》（CJJ 61-2017）；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《城市测量规范》（CJJ/T 8-2011）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《城市工程地球物理探测标准》（CJJ/T 7-2017）；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《江苏省普通国省道桥梁轻量化监测系统建设指南（试行》）（苏交公养〔2022〕257号）；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《江苏省城市桥梁安全风险评估指南（试行）》（苏生命线办发〔2023〕14号）；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《江苏省城市生命线安全工程桥梁智慧监测技术指南（试行）》（苏生命线办发〔2024〕2号）；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《苏州市城市桥梁安全风险评估指南（试行）》，苏州市城管委，2023年11月；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《苏州市城市桥梁监测技术指南（试行）》，苏州市城管委，2023年11月；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《市政桥梁结构监测技术标准》（DB22/T 5035-2020）；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《桥梁结构健康监测系统设计规范》（DB 32/T 3562-2019）；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《桥梁结构监测系统技术规程》（DG/TJ 08-2194-2016）；</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《城市桥梁设计规范》（CJJ 11-2019）；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《城市桥梁检测与评定技术规范》（CJJ/T 233-2015）；</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《城市桥梁养护技术标准》（CJJ 99-2017）；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《公路桥涵养护规范》JTG 5120-2021；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《公路桥梁健康监测系统数据库架构设计规范》DB32/T 3940-2020；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《城市生命线工程安全运行监测技术标准》（DB34 /T 4021-2021）；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《公路桥梁结构监测技术规范》（JT/T 1037-2022）；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《可量测实景影像》（CH/Z 1002-2009）；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《三维地理信息模型数据产品规范》（CH/T 9015－2012）；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《三维地理信息模型生产规范》（CH/T 9016－2012）；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《三维地理信息模型数据库规范》（CH/T 9017－2012）；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《三维地理信息模型数据产品质量检查与验收》（CH/T 9024-2014）；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《数字表面模型航天摄影测量生产技术规程》（CH/T 3013-2014）；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《城市信息模型基础平台技术标准》（CJJ/T 315-2022）；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《数字测绘成果质量要求》（GB/T 17941-2008）。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上述实施依据涉及的各项文件在合同期间如遇修改或调整的或有更高或更严标准规范文件出台的，乙方提供合同服务应当按照修改或调整后的文件、更高或更严标准规范文件执行。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3、桥梁倒塌场景建设要求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3.1资料收集整理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桥梁倒塌风险评估和风险管理为建设目标，以全国第一次自然灾害风险普查、城市地下市政基础设施普查、桥梁养护检测等桥梁基础数据和相关安全数据为基础，完善桥梁工程数据库。收集资料内容主要包括桥梁基础数据、行业监管数据及动态监测数据。</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3.2“一桥一策”传感器监测部署及联网建设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试点桥梁风险评估情况，按照“一桥一策”原则，制定合理的监测方案，通过布设位移监测、应力监测、挠度监测、温湿度监测、加速度监测等监测设备实现桥梁动态监测，相关监测数据需接入市级监管平台。</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桥梁三维建模要求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三维模型建设应采用现势性较强的基础地理信息数据，包括但不限于竣工图资料、高分辨率航空摄影测量影像、近景摄影测量影像等数据，以保证桥梁模型的精度要求。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1、几何精度要求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（1）桥梁三维模型的平面坐标应与实际测量值一致，平面精度不低于0.3米；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（2）桥梁三维模型的高度精度与实际桥梁高度误差不大于0.5米；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（3）桥梁各组成部分的相对位置应真实准确；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（4）桥梁的精细构件（如吊索等）应精细建模表示；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（5）桥梁底部、桥墩等构造应详细表达。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2、模型复杂度和纹理精细度要求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所有模型在建模过程中严格按照《三维地理信息模型产品规范》CH/ 9015-2012和《三维地理信息模型生产规范》 CH/ 9016-2012中的I级要求执行。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3、模型成果要求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入库成果应满足桥梁倒塌专题场景信息化平台数据标准及传感器监测载体需求。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3.4数据汇交与集成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监测数据汇集和成果展示，并将符合《城市生命线安全工程——城市基础设施安全运行智慧监管系统数据标准（试行）》、《江苏省城市生命线安全建设一期工程——城市基础设施安全运行智慧监管系统省市数据对接规范（修订版）》规定的监测数据及应用成果接入区、市级生命线平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4、桥梁倒塌场景运维要求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4.1监测值守服务要求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提供7*24小时监测系统值守服务，主要包括系统监测报警上报、系统故障基本分析、系统报警和运行数据统计，从而确保监测设备的在线率，持续给市、区平台推送监测数据。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4.1.1设备硬件巡查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为保证在线监测系统正常运转，需建立有效的硬件系统维保机制，包括定期巡查、设备保养、信号传输检查三部分。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（1）建立定期巡查制度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以月为单位，建立人工定期巡查制度，以保障各监测点位传感器正常工作。若遭到破坏，应及时进行复原或更换，以保证监测的连续性、完整性。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（2）传感器维护保养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以季为单位，开展传感器设备的维护保养，主要内容如下：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①传感器外观检查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a.检查器件是否缺损、受潮；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b.确认各端子连接器连接可靠；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c.确认器件安装无松动现象；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②电源检查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确认数据采集箱等通电设备的电压状态正常；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③传感器精度检测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检查传感器反馈值与实际计量仪器表测量值的一致性；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④器件清洁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在不影响传感器工作的前提下，对传感器设备内外进行清洁处理。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（3）信号传输功能检查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对现场布设的线缆、控制台、存储器等进行定期检查，保证传感器与控制器直接的通讯联络正常。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4.1.2监测系统运维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监测系统值守：安排值班人员7*24小时关注监测系统运行状态，确保监测设备的在线率。对于突发掉线情况，立即通知巡视人员进行现场确认，安排施工人员进行抢修。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监测数据建库：针对实时监测数据，不断更新、维护、完善专题数据库内容。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信息推送：依托智慧住建平台，将报警信息生成信息、核实完成信息、消警信息及各环节完成信息推送给各值班人员。为了提高报警处置率，在报警核实和报警处置要求时间节点前30分钟和前15分钟再次值班人员发送短信提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设备掉线提醒推送：依托智慧住建平台，实时关注设备在线率，一旦设备离线，立即将离线信息推送给运维部门、外业核查人员。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报警处置周报推送：依托智慧住建平台，统计本周监测设备在线率、报警数量和报警处置率，编制成报告推送给给业主单位。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控制：在数据信息推送共享过程中，可能会存在数据信息的泄露、数据信息不一致、数据信息滥用的情况，可通过建立健全数据安全制度、强化数据安全技术保障、完善数据共享审核机制并且加强数据安全教育培训等方式，及时发现和解决各类风险问题。</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4.2监测数据分析服务要求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能够提供监测设备报警阈值优化、建立耦合关联报警、系统报警处置闭环、监测数据分析等服务。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4.2.1优化阈值设置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优化报警阈值设定主要通过姑苏区智慧住建平台对监测数据进行预处理，分为过滤瞬时报警信息、优化长期报警信息和建立耦合关联报警三个方面。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1）过滤瞬时报警信息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类设备推送频率，对监测数据进行研判，默认把超过阈值的的数据视为异常数据（如图3-1所示），如果异常数据前后采集数据均在报警阈值范围内，则判定该数据产生的报警信息为瞬时报警信息，过滤此条数据；如果异常数据前后采集数据也存在超过阈值的情况，则判定该数据产生的报警信息为持续报警信息，正常推送此条数据。各类监测设备推送频率与判断时间的关系如表3-2所示。</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表3-2 监测设备推送频率与判断时间关系表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0"/>
        <w:gridCol w:w="3410"/>
        <w:gridCol w:w="2147"/>
        <w:gridCol w:w="225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推送间隔时间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判断时间</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倾角传感器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6小时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直接推送</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新市桥光电挠度仪（北侧）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直接推送</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新市桥光电挠度仪（南侧）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4分钟</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相门桥光电挠度仪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6分钟</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糖坊湾桥光电挠度仪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2分30秒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5分钟</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其他（应变、振动、索力等）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2分钟</w:t>
            </w:r>
            <w:r/>
          </w:p>
        </w:tc>
      </w:tr>
    </w:tbl>
    <w:p>
      <w:pPr>
        <w:ind w:left="0" w:right="0" w:firstLine="480"/>
        <w:jc w:val="center"/>
        <w:spacing w:before="12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095750" cy="29051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56158" name=""/>
                        <pic:cNvPicPr>
                          <a:picLocks noChangeAspect="1"/>
                        </pic:cNvPicPr>
                        <pic:nvPr/>
                      </pic:nvPicPr>
                      <pic:blipFill>
                        <a:blip/>
                        <a:stretch/>
                      </pic:blipFill>
                      <pic:spPr bwMode="auto">
                        <a:xfrm>
                          <a:off x="0" y="0"/>
                          <a:ext cx="4095749" cy="2905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2.5pt;height:228.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图3-1 异常数据图</w:t>
      </w:r>
      <w:r/>
    </w:p>
    <w:p>
      <w:pPr>
        <w:ind w:left="0" w:right="0" w:firstLine="480"/>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2）优化长期报警信息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结合长期监测数据，选取长期报警设备监测数据有效最大值和最小值，作为设备三级报警的最新阈值，步骤如下：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整理分析长期报警信息（如图3-2所示），查看监测数据变化趋势，调取有效报警数据的最大值和最小值。</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67200" cy="21907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98246" name=""/>
                        <pic:cNvPicPr>
                          <a:picLocks noChangeAspect="1"/>
                        </pic:cNvPicPr>
                        <pic:nvPr/>
                      </pic:nvPicPr>
                      <pic:blipFill>
                        <a:blip/>
                        <a:stretch/>
                      </pic:blipFill>
                      <pic:spPr bwMode="auto">
                        <a:xfrm>
                          <a:off x="0" y="0"/>
                          <a:ext cx="4267199" cy="2190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6.0pt;height:172.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图3-2 监测数据示意图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（2）会议研讨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在季度监测数据分析会议上，将监测数据及变化趋势同步给管养单位，会议讨论监测数据变化趋势及病害处置方式，对暂时无法处置的病害的考虑进行阈值优化，确定优化系数，并做好会议记录，形成会议纪要。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（3）阈值优化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基于姑苏区智慧住建平台，在保留原始记录的情况下，通过给监测数据赋值系数进行优化，随即推送给市级平台，减少市平台系统报警频率。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3）建立耦合关联报警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建立多设备的的耦合关联，如桥梁同侧的挠度仪和应变计，过滤单一的三级报警信息，减少误报，一、二级报警信息正常报警。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4.1.2报警分级处置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州市城市生命线桥梁场景安全风险分级防控导则》要求，报警的类型分为一级报警（严重）、二级报警（一般）、三级（轻微）三类，报警核实的时间分别为4小时、8小时和10小时，处置流程如图3-3所示。</w:t>
      </w:r>
      <w:r/>
    </w:p>
    <w:p>
      <w:pPr>
        <w:ind w:left="48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38625" cy="51339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65089" name=""/>
                        <pic:cNvPicPr>
                          <a:picLocks noChangeAspect="1"/>
                        </pic:cNvPicPr>
                        <pic:nvPr/>
                      </pic:nvPicPr>
                      <pic:blipFill>
                        <a:blip/>
                        <a:stretch/>
                      </pic:blipFill>
                      <pic:spPr bwMode="auto">
                        <a:xfrm>
                          <a:off x="0" y="0"/>
                          <a:ext cx="4238624" cy="5133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33.8pt;height:404.2pt;mso-wrap-distance-left:0.0pt;mso-wrap-distance-top:0.0pt;mso-wrap-distance-right:0.0pt;mso-wrap-distance-bottom:0.0pt;" stroked="false">
                <v:path textboxrect="0,0,0,0"/>
              </v:shape>
            </w:pict>
          </mc:Fallback>
        </mc:AlternateConten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图3-3 分级报警处置流程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（1）内业报警核实</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一级报警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结合视频监控、监测数据研判是否为真实报警，如果是真实报警，立刻通知外业人员前往现场核实，并告知桥梁权属单位及主管部门，启动应急预案；如果不是真实报警，则通知外业人员前往现场进一步核实取证，并编制情况说明，阐述产生误报的原因。</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二级报警、三级报警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内业人员结合视频监控、监测数据研判是否为真实报警，如果是真实报警则通知外业人员进行现场核实并拍照取证；如果不是真实报警，则调取监控视频作为佐证材料。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（2）外业现场核实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在接收到报警消息后，外业人员需在规定报警核实时间内到达现场核实桥梁运行、监测设备运行、周围环境等情况。核实完成后，现场拍照取证，并将核实结果反馈至内业人员。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（3）系统消警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内业人员需在规定时间内，在市级平台系统进行报警信息消警，包括上传现场核实照片或者视频截图，描述报警原因，具体内容如图3-4所示。</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48200" cy="21907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0639" name=""/>
                        <pic:cNvPicPr>
                          <a:picLocks noChangeAspect="1"/>
                        </pic:cNvPicPr>
                        <pic:nvPr/>
                      </pic:nvPicPr>
                      <pic:blipFill>
                        <a:blip/>
                        <a:stretch/>
                      </pic:blipFill>
                      <pic:spPr bwMode="auto">
                        <a:xfrm>
                          <a:off x="0" y="0"/>
                          <a:ext cx="4648199" cy="2190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6.0pt;height:172.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图3-4 市级平台填报内容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（4）处置闭环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内业人员整理报警信息，填写报警信息记录卡，报警处置信息卡详见附表D。</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4.1.3数据分析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桥梁监测数据分析主要包括：</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根据桥梁类型、结构特点、服役年限等分析结果，对监测数据进行分析，判读监测数据周期规律及发展趋势；</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对报警信息逐条分析其产生原因，并提供数据支持，形成历史台账。</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根据中长期监测数据对比，结合桥梁报警信息，分析桥梁结构运行状态，预测数据变化趋势，每季度提交一次季度分析报告，每年提交一次年度分析报告。</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4.3监测服务提升要求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在桥梁周边绿化内架设太阳能监控设备，通过监控视频回溯的方式分析了解监测报警的原因，为报警处置进行辅助佐证。</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城市生命线桥梁倒塌场景试点建设仅在石湖桥安装了1个桥面监控，其余9座桥梁以接入桥梁周边“雪亮工程”监控视频作为替代。通过对近两年的生命线系统运维监管，发现“雪亮”工程提供的视频存在以下缺陷：</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访问路径受限制：“雪亮”工程视频的访问需要在政务网固定IP查阅。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观察视角不符：“雪亮”工程视频仅布设在桥梁周边，监控视角无法完全满足桥梁监测回溯需求。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在缺少视频回溯辅助的情况下判断对报警信息的真实性缺少证据支持，无法真实、客观的反映桥梁运行情况，故拟对人民桥、竹辉桥、齐门桥、索山桥、寒山桥等9座桥梁各增设1-2处桥面监控。通过对桥面运行状态的实时监控，实现实现对发生报警信息时桥梁运行状态的回溯，满足报警发生时调取桥面状况视频的需求。</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选点布设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在桥梁周边绿化内架设太阳能监控设备，该类监控设备可无线传输监控视频数据，其优点是可布设点位选择性多，缺点是阴雨天气电源不稳定，传输不稳定。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4.4监测设备运维</w:t>
      </w:r>
      <w:r/>
    </w:p>
    <w:p>
      <w:pPr>
        <w:ind w:left="0" w:right="0" w:firstLine="47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监测设备由于受城市建设改造、第三方施工拆点、迁移等影响破坏的，不属于质保售后内容，本运维项目提供重新施工安装、人工恢复处置业务，具体工作量以实际发生为准。</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1、桥梁倒塌场景建设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（3）质量检验报告；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（4）验收意见。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（1）城市桥梁安全工程数据库；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（2）4座桥梁在线监测数据接口。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2、桥梁倒塌场景运维</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（1）桥梁监测专题数据库；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3）运维其他成果产出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1）监测值守服务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完成打卡巡视、设备保养，保障设备稳定在线。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（2）监测数据分析服务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提供季度数据分析报告，为桥梁管养提供数据支持。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（3）监测服务提升</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完成视频监测设备安装及调试。</w:t>
      </w:r>
      <w:r/>
    </w:p>
    <w:p>
      <w:pPr>
        <w:pStyle w:val="65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b/>
          <w:color w:val="000000"/>
          <w:sz w:val="24"/>
          <w:u w:val="none"/>
        </w:rPr>
        <w:t xml:space="preserve">考核指标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根据考核表要求包含但以下几点要求（考核内容为暂行方案，后续如有新要求则按最新要求执行）：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（1）监测设备在线率95%以上。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（2）报警处置完成率100%，报警处置及时率90%。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（3）服务人员及人员技术能力符合要求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（4）按照要求填写设备运行情况巡视记录表（每周巡查一次）、设备保养情况表（每月保养一次）；如有设备更换或报警处置按要求填写相关表格。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（5）监测数据月度分析报告（系统软件、数据合理性、数据传输等运维日志）。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运维费根据考核结果按月核算。当月考核总得分达到90分(含90分)为达标，则全额支付当月服务费用:达不到90分的，每扣1分，扣减当月运维费用1个百分点，以此类推。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7"/>
        <w:gridCol w:w="1000"/>
        <w:gridCol w:w="3866"/>
        <w:gridCol w:w="1270"/>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生命线运维考核表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监测设备在线率95%以上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要求每月监测设备在线率在95%以上，每少1%，扣2分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报警处置完成率100%，报警处置及时率90%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要求报警处置完成率100%，一次未完成扣10分，本项共计10分。报警处置及时率90%以上，一次未及时处置扣10分，本项共计10分。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服务人员及人员技术能力符合要求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服务人员人数需符合招投标要求，每少一人扣2分；服务人员资质不符要求，每发现一次扣2分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按照要求填写设备运行情况巡视记录表（每周巡查一次），设备保养记录表、设备运行记录表（每月保养一次）；如有设备更换或报警处置按要求填写相关表格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设备巡查、保养、运行情况表每缺一次扣2分，本项共计10分；设备更换记录或报警处置记录缺一次扣5分，本项共计10分。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监测数据月度分析报告（系统软件、数据合理性、数据传输等运维日志），上级考核等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每月上报月度分析报告，一次未完成扣10分，本项共计10分；如被上级相关部门通报一次扣10分，本项共计10分。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附表A 设备运行情况巡视记录表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0"/>
        <w:gridCol w:w="2200"/>
        <w:gridCol w:w="1100"/>
        <w:gridCol w:w="1100"/>
        <w:gridCol w:w="2200"/>
      </w:tblGrid>
      <w:tr>
        <w:trPr>
          <w:trHeight w:val="51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巡查基本信息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巡查设施名称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天气状况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设备运行情况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良好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异常</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发现的主要问题</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紧急处置措施</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（如发现问题立即采取的措施）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问题上报</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已立即上报至</w:t>
            </w:r>
            <w:r>
              <w:rPr>
                <w:rFonts w:ascii="SimSun" w:hAnsi="SimSun" w:eastAsia="SimSun" w:cs="SimSun"/>
                <w:color w:val="000000"/>
                <w:sz w:val="24"/>
                <w:u w:val="single"/>
              </w:rPr>
              <w:t xml:space="preserve">        </w:t>
            </w:r>
            <w:r/>
          </w:p>
        </w:tc>
      </w:tr>
      <w:tr>
        <w:trPr>
          <w:trHeight w:val="51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无需上报，以现场处理</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处理建议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处置及复核信息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处理责任人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计划完成日期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问题已解决</w:t>
            </w:r>
            <w:r/>
          </w:p>
        </w:tc>
      </w:tr>
      <w:tr>
        <w:trPr>
          <w:trHeight w:val="38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部分解决，需继续跟进，说明：</w:t>
            </w:r>
            <w:r/>
          </w:p>
        </w:tc>
      </w:tr>
      <w:tr>
        <w:trPr>
          <w:trHeight w:val="9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未解决，原因：</w:t>
            </w:r>
            <w:r/>
          </w:p>
        </w:tc>
      </w:tr>
    </w:tbl>
    <w:p>
      <w:pPr>
        <w:ind w:left="0" w:right="0" w:firstLine="422"/>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：如设备运行良好，则无需填写复核信息。</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附表B1 设备保养记录表（可接触）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9"/>
        <w:gridCol w:w="597"/>
        <w:gridCol w:w="1669"/>
        <w:gridCol w:w="2129"/>
        <w:gridCol w:w="992"/>
        <w:gridCol w:w="1780"/>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保养设备类型及数量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现场照片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计划下次保养日期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整体保养项目执行后情况</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设备编号</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设备表面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无油污、无粉尘、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检查关键部位螺栓、螺母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无松动、无缺失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安全防护装置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功能完好，可靠有效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线缆敷设情况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接口完好，线路完好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电源稳定、采集设备正常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传输稳定、数据正常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问题记录与处理</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发现的问题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严重等级</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处理措施</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1、南侧倾斜仪线缆破损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bl>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附表B2 设备运行记录表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1"/>
        <w:gridCol w:w="2126"/>
        <w:gridCol w:w="1985"/>
        <w:gridCol w:w="2914"/>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检查运行周期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异常设备编号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设备运行情况</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是否正常</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运行状态图谱</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问题记录与处理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发现的问题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处理措施</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1、南侧倾斜仪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bl>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附表C 设备更换清单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2268"/>
        <w:gridCol w:w="1843"/>
        <w:gridCol w:w="246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更换前设备型号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更换后设备型号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更换原因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更换作业照片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更换后照片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数据暂停传输时间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调试完成时间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数据恢复传输时间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附表D 报警处置信息卡</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6"/>
        <w:gridCol w:w="2094"/>
        <w:gridCol w:w="2200"/>
        <w:gridCol w:w="220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报警设备位置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报警生成时间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报警核实时间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报警核实人员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是否误报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现场核实照片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或监控照片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报警成因分析</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处置措施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报警消除时间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安全第一、预防为主的方针，中标单位要认真遵守国家法规、规范和制度，严格遵守各项施工作业、安全运营规定，落实相应的安全责任人，完善安全生产条件，强化安全生产教育培训，加强安全生产管理，确保安全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在开展工作过程中，中标单位要严格遵守各项成果保密管理规定，妥善保管各类成果资料，加强验收前成果的保密管理，确保不发生成果泄密事件。</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保障本项目普查成果的完整性、客观性、准确性，要求中标单位必须对本项目实行全面的质量管理。服务有效期内，投标人根据采购人需求及监理单位开展事前事中事后全过程质量管理，严格执行国家、省普查技术规程和质量检查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1）过程质量控制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程质量控制是质量管理中最为重要的一项内容，过程质量控制应该贯穿于生产实施的全过程，要求中标单位必须建立项目质量管理组织机构，严格执行“两级检查，一级验收”制度，做好对数据建库、模型建设、传感器监测数据准确性的质量检查，制定质量检查计划、质量检查评分表等文档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2）质量检查验收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项目中标单位提交的最终成果需满足规范要求。经质检合格后提交正式成果，由采购单位组织验收。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整体验收合格之日起，投标人所提供的产品质量保证期限和免费维护质保期自验收完毕起不低于1年。质量保证期内，投标人须做好项目运维、故障修复、系统巡检、重要事件保障服务、应急恢复服务等维护及保障工作。</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按照甲方及苏州市城市生命线安全工程相关要求，完成数据成果汇交和系统对接相关工作。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桥梁倒塌场景建设：</w:t>
      </w:r>
      <w:r>
        <w:rPr>
          <w:rFonts w:ascii="SimSun" w:hAnsi="SimSun" w:eastAsia="SimSun" w:cs="SimSun"/>
          <w:color w:val="000000"/>
          <w:sz w:val="24"/>
        </w:rPr>
        <w:t xml:space="preserve">后期服务期为2年，在服务期内，实施单位应对监测设备进行常规维护，包含设备的校准、检查、维修等；保持监测数据与市、区级平台正常对接；持续优化阈值设置、报警处置机制和报警预处理。</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期限：桥梁倒塌场景三期建设项目在2026年8月30日前全部建设完成，并保障验收后至2028年8月底的运维；桥梁场景一期运维从2026年4月24日起至2028年8月底结束，桥梁场景二期运维从2027年3月5日起至2028年8月底结束(需提前与一、二期建设单位做好交接工作）。</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投标单位须投入相关的专业服务人员进行本项目实施工作，专职人员工作须认真负责。</w:t>
      </w:r>
      <w:r>
        <w:rPr>
          <w:rFonts w:ascii="SimSun" w:hAnsi="SimSun" w:eastAsia="SimSun" w:cs="SimSun"/>
          <w:b/>
          <w:color w:val="000000"/>
          <w:sz w:val="24"/>
        </w:rPr>
        <w:t xml:space="preserve">项目服务人员不得低于10人。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技术复杂、涉及面较大，为能保证在规定时间内完成项目建设，需提供专业的技术团队。包括项目经理、技术负责人及其他项目组成员。项目经理需要具备项目管理经验及信息安全服务能力，其他项目组成员需具有满足本项目的服务能力，能为本项目提供安全保障的专业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项目组成员含项目经理、项目技术负责人、质量负责人及其他项目组成员。其中运维值守人员（不得少于6人）配备要求详见表3-1。数据分析人员（不得少于1人）要求详见表3-3。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表3-1 值守人员要求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1517"/>
        <w:gridCol w:w="2016"/>
      </w:tblGrid>
      <w:tr>
        <w:trPr>
          <w:trHeight w:val="4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值守人员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人员不少于4人</w:t>
            </w:r>
            <w:r/>
          </w:p>
        </w:tc>
      </w:tr>
      <w:tr>
        <w:trP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值守负责人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人员不少于2人</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表3-3 数据分析人员要求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5"/>
        <w:gridCol w:w="2143"/>
      </w:tblGrid>
      <w:tr>
        <w:trPr>
          <w:trHeight w:val="4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数据分析人员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人员不少于1人</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拟投入本项目经理、项目技术负责人、质量负责人未经采购单位书面同意，不作调换和撤离，完全按项目进度及时到位。采购单位有权要求成交单位撤换工作不负责任、管理不力、贻误工期和造成严重的安全事故和项目质量事故、违法乱纪的专业技术、管理人员及项目经理，直至采购单位满意为止。如项目经理及相应能力的专业技术人员未按要求到位，视作违约，采购单位有权单方面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1、供应商所提供的服务能够至少达到以上要求，同时明确详细的服务方案。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总报价一次报定，报价应投标报价包括完成相应工作任务涉及的一切人工、机械、保险、劳保、各种税费等综合服务工作。采购人不再支付其他款项。报价已充分考虑项目完成的政策性调整、各种市场价格的浮动等因素造成的价格变动，项目完成期内的合同价格不再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3、供应商应对所投项目的全部服务内容进行报价，只投其中部分内容者，其响应文件将被拒绝。供应商对服务缺陷不予更正，采购方有权另请其他单位更正，所发生的费用由供应商承担。</w:t>
      </w:r>
      <w:r/>
    </w:p>
    <w:p>
      <w:pPr>
        <w:ind w:left="0" w:right="10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中、小企业：根据《关于印发&lt;苏州市政府采购促进中小企业发展实施意见&gt;的通知》（苏财购[2022]16号）规定：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rPr>
        <w:t xml:space="preserve">本项目属于</w:t>
      </w:r>
      <w:r>
        <w:rPr>
          <w:rFonts w:ascii="SimSun" w:hAnsi="SimSun" w:eastAsia="SimSun" w:cs="SimSun"/>
          <w:b/>
          <w:color w:val="000000"/>
          <w:sz w:val="24"/>
          <w:u w:val="single"/>
        </w:rPr>
        <w:t xml:space="preserve">专门面向中小企业采购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1.3本项目采购标的对应的中小企业划分标准所属行业为：工业。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1.4中小企业参加政府采购活动，应当出具《关于印发&lt;苏州市政府采购促进中小企业发展实施意见&gt;的通知》（苏财购[2022]16号）规定的《中小企业声明函》，否则不得享受相关中小企业扶持政策。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1.6若供应商提供的《中小企业声明函》为虚假声明则视同提供虚假材料，按政府采购相关规定处理并报请政府监管部门给予行政处罚。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四、关于对参与供应商信用记录的政府采购要求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1、采购代理机构会在接收投标文件截止时间后，登录信用中国网站（www.creditchina.gov.cn/）和中国政府采购网（www.ccgp.gov.cn/）查询供应商的信用记录，并将查询结果递交评标委员会。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4、对存在失信信息的供应商，由失信供应商进行确认。同时，采购代理机构工作人员应根据评标委员会确认的失信信息，登录到相关来源网站页面进行复核并打印，作为证据留存</w:t>
      </w:r>
      <w:r>
        <w:rPr>
          <w:rFonts w:ascii="SimSun" w:hAnsi="SimSun" w:eastAsia="SimSun" w:cs="SimSun"/>
          <w:color w:val="000000"/>
          <w:sz w:val="24"/>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五、政府采购中实施本国产品标准及相关政策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（一）本项目对采购本国产品给予政策支持，具体内容见招标文件“评标方法与评标标准”。</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合同及主要条款</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根据《中华人民共和国民法典》、《中华人民共和国政府采购法》等相关法律法规的规定以及政府采购编号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号采购文件及乙方的投标文件和中标通知书，甲乙双方就此次中标</w:t>
      </w:r>
      <w:r>
        <w:rPr>
          <w:rFonts w:ascii="KaiTi" w:hAnsi="KaiTi" w:eastAsia="KaiTi" w:cs="KaiTi"/>
          <w:color w:val="000000"/>
          <w:sz w:val="24"/>
          <w:u w:val="single"/>
        </w:rPr>
        <w:t xml:space="preserve">2025年姑苏区城市生命线工程桥梁场景监测实施及运维服务</w:t>
      </w:r>
      <w:r>
        <w:rPr>
          <w:rFonts w:ascii="SimSun" w:hAnsi="SimSun" w:eastAsia="SimSun" w:cs="SimSun"/>
          <w:color w:val="000000"/>
          <w:sz w:val="24"/>
        </w:rPr>
        <w:t xml:space="preserve">的购销事宜，签订本合同书，以兹共同遵守。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w:t>
      </w:r>
      <w:r>
        <w:rPr>
          <w:rFonts w:ascii="KaiTi" w:hAnsi="KaiTi" w:eastAsia="KaiTi" w:cs="KaiTi"/>
          <w:color w:val="000000"/>
          <w:sz w:val="24"/>
        </w:rPr>
        <w:t xml:space="preserve">2025年姑苏区城市生命线工程桥梁场景监测实施及运维服务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二、服务地点：</w:t>
      </w:r>
      <w:r>
        <w:rPr>
          <w:rFonts w:ascii="KaiTi" w:hAnsi="KaiTi" w:eastAsia="KaiTi" w:cs="KaiTi"/>
          <w:color w:val="000000"/>
          <w:sz w:val="24"/>
        </w:rPr>
        <w:t xml:space="preserve">甲方</w:t>
      </w:r>
      <w:r>
        <w:rPr>
          <w:rFonts w:ascii="SimSun" w:hAnsi="SimSun" w:eastAsia="SimSun" w:cs="SimSun"/>
          <w:color w:val="000000"/>
          <w:sz w:val="24"/>
        </w:rPr>
        <w:t xml:space="preserve">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服务质量要求：项目</w:t>
      </w:r>
      <w:r>
        <w:rPr>
          <w:rFonts w:ascii="KaiTi" w:hAnsi="KaiTi" w:eastAsia="KaiTi" w:cs="KaiTi"/>
          <w:color w:val="000000"/>
          <w:sz w:val="24"/>
        </w:rPr>
        <w:t xml:space="preserve">乙方</w:t>
      </w:r>
      <w:r>
        <w:rPr>
          <w:rFonts w:ascii="SimSun" w:hAnsi="SimSun" w:eastAsia="SimSun" w:cs="SimSun"/>
          <w:color w:val="000000"/>
          <w:sz w:val="24"/>
        </w:rPr>
        <w:t xml:space="preserve">提交的最终成果需满足规范要求。经质检合格后提交正式成果，由甲方组织验收。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整体验收合格之日起，投标人所提供的产品质量保证期限和免费维护质保期自验收完毕起不低于1年。质量保证期内，投标人须做好项目运维、故障修复、系统巡检、重要事件保障服务、应急恢复服务等维护及保障工作。</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三、服务内容及要求：</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项目范围及内容</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1、桥梁倒塌场景三期建设</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姑苏区4座桥：姑胥桥、南环桥、寒山HS线桥和寒山HN线桥。</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桥梁倒塌场景三期建设内容包括以下4项工作：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在技术方案的基础上，结合实施单位自身监测技术、设备等情况，编制姑胥桥、南环桥、寒山HS线桥和寒山HN线桥4座桥梁的实施方案。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根据实施方案及技术方案要求，完成设备安装与调试。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（3）完成数据对接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实施单位完成桥梁监测数据汇集和展示，并按照省、市级生命线数据标准和相关要求，完成监测数据与市、区级平台的对接。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（4）监测数据应用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根据桥梁类型、结构特点、服役年限等分析结果，完成监测阈值设定，对报警信息进行预处理，及时推送报警信息；提供监测数据季度分析报告，分析桥梁结构状态，预测数据变化趋势。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（5）场景后期运维</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项目竣工验收后保障至2028年</w:t>
      </w:r>
      <w:r>
        <w:rPr>
          <w:rFonts w:ascii="Times New Roman" w:hAnsi="Times New Roman" w:eastAsia="Times New Roman" w:cs="Times New Roman"/>
          <w:color w:val="000000"/>
          <w:sz w:val="28"/>
        </w:rPr>
        <w:t xml:space="preserve">8</w:t>
      </w:r>
      <w:r>
        <w:rPr>
          <w:rFonts w:ascii="KaiTi" w:hAnsi="KaiTi" w:eastAsia="KaiTi" w:cs="KaiTi"/>
          <w:color w:val="000000"/>
          <w:sz w:val="28"/>
        </w:rPr>
        <w:t xml:space="preserve">月底的运维工作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2、桥梁倒塌场景一、二期运维</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桥梁倒塌场景一二期运维的对象为一期建设完成的竹辉桥、石湖大桥、寒山桥、齐门桥、人民桥和索山桥6座桥梁，二期建设完成的相门桥、狮山桥、人民桥廊桥、塘坊湾桥和新市桥5座桥梁。</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对姑苏区城市生命线一期桥梁倒塌场景建设的6座桥梁（人民桥、石湖桥、竹辉桥、索山桥、齐门桥、寒山桥）和二期建设的5座桥梁（人民桥廊桥、新市桥、相门桥、狮山桥、糖坊湾桥）实施运维管理，一期项目服务期28个月(2026年4月24日起至2028年8月底结束)，二期服务期1</w:t>
      </w:r>
      <w:r>
        <w:rPr>
          <w:rFonts w:ascii="KaiTi" w:hAnsi="KaiTi" w:eastAsia="KaiTi" w:cs="KaiTi"/>
          <w:color w:val="000000"/>
          <w:sz w:val="24"/>
        </w:rPr>
        <w:t xml:space="preserve">7</w:t>
      </w:r>
      <w:r>
        <w:rPr>
          <w:rFonts w:ascii="SimSun" w:hAnsi="SimSun" w:eastAsia="SimSun" w:cs="SimSun"/>
          <w:color w:val="000000"/>
          <w:sz w:val="24"/>
        </w:rPr>
        <w:t xml:space="preserve">个月(2027年3月5日起至2028年8月底)。在服务期内，对监测设备进行常规维护，包含设备的校准、检查、维修、更换等工作；保证监测数据与市、区级平台正常对接，优化阈值设置，完善报警处置机制等有关工作。</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1、基准系统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（1）平面坐标系统：2000国家大地坐标系，苏州2000坐标系。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（2）高程系统：1985国家高程基准。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（3）时间基准：日期采用公元纪年，时间采用北京时间。</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2、实施依据</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《关于推广城市生命线安全工程经验做法切实加强城市安全风险防范工作的通知》（安委办〔2021〕6号）；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《城市安全风险综合监测预警平台建设指南（2023版）》，国务院安全生产委员会办公室，2023年；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《江苏省城市生命线安全工程建设指南》（江苏省住建厅）；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《江苏省城市生命线安全工程建设技术指导书》（江苏省住建厅）；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《江苏省城市生命线安全建设一期工程技术指导书（试行）》，江苏省住房和城乡建设厅，2022年；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《江苏省城市生命线安全建设一期工程——城市基础设施安全运行智慧监管系统省市数据对接规范（修订版）》（苏生命线办发〔2024〕3号）；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《城市生命线安全工程—城市基础设施安全运行智慧监管系统数据标准（试行）》（苏生命线办发〔2022〕2号）；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《苏州市城市生命线安全工程试点建设工作方案》（苏府办〔2022〕136号）；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《关于推进苏州市城市生命线安全工程试点建设风险评估工作的通知》，苏州市城市生命线安全工程试点建设推进工作领导小组办公室，2023年3月；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《测绘成果质量检查与验收》（GB/T 24356-2023）</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《地下管线数据获取规程》（GB/T 35644-2017）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《国家基本比例尺地图图式第1 部分：1:500 1:1000 1:2000 地形图图式》（GB/T 20257.1-2017）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《卫星导航定位基准站网络实时动态测量（RTK）规范》（GB/T 39616-2020）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《城市地下管线探测技术规程》（CJJ 61-2017）；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《城市测量规范》（CJJ/T 8-2011）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《城市工程地球物理探测标准》（CJJ/T 7-2017）；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《江苏省普通国省道桥梁轻量化监测系统建设指南（试行》）（苏交公养〔2022〕257号）；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《江苏省城市桥梁安全风险评估指南（试行）》（苏生命线办发〔2023〕14号）；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《江苏省城市生命线安全工程桥梁智慧监测技术指南（试行）》（苏生命线办发〔2024〕2号）；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《苏州市城市桥梁安全风险评估指南（试行）》，苏州市城管委，2023年11月；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《苏州市城市桥梁监测技术指南（试行）》，苏州市城管委，2023年11月；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《市政桥梁结构监测技术标准》（DB22/T 5035-2020）；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《桥梁结构健康监测系统设计规范》（DB 32/T 3562-2019）；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《桥梁结构监测系统技术规程》（DG/TJ 08-2194-2016）；</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《城市桥梁设计规范》（CJJ 11-2019）；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《城市桥梁检测与评定技术规范》（CJJ/T 233-2015）；</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《城市桥梁养护技术标准》（CJJ 99-2017）；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《公路桥涵养护规范》JTG 5120-2021；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《公路桥梁健康监测系统数据库架构设计规范》DB32/T 3940-2020；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《城市生命线工程安全运行监测技术标准》（DB34 /T 4021-2021）；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《公路桥梁结构监测技术规范》（JT/T 1037-2022）；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《可量测实景影像》（CH/Z 1002-2009）；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《三维地理信息模型数据产品规范》（CH/T 9015－2012）；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《三维地理信息模型生产规范》（CH/T 9016－2012）；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《三维地理信息模型数据库规范》（CH/T 9017－2012）；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《三维地理信息模型数据产品质量检查与验收》（CH/T 9024-2014）；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《数字表面模型航天摄影测量生产技术规程》（CH/T 3013-2014）；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《城市信息模型基础平台技术标准》（CJJ/T 315-2022）；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《数字测绘成果质量要求》（GB/T 17941-2008）。</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上述实施依据涉及的各项文件在合同期间如遇修改或调整的或有更高或更严标准规范文件出台的，乙方提供合同服务应当按照修改或调整后的文件、更高或更严标准规范文件执行。</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3、桥梁倒塌场景建设要求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3.1资料收集整理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桥梁倒塌风险评估和风险管理为建设目标，以全国第一次自然灾害风险普查、城市地下市政基础设施普查、桥梁养护检测等桥梁基础数据和相关安全数据为基础，完善桥梁工程数据库。收集资料内容主要包括桥梁基础数据、行业监管数据及动态监测数据。</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3.2“一桥一策”传感器监测部署及联网建设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试点桥梁风险评估情况，按照“一桥一策”原则，制定合理的监测方案，通过布设位移监测、应力监测、挠度监测、温湿度监测、加速度监测等监测设备实现桥梁动态监测，相关监测数据需接入市级监管平台。</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桥梁三维建模要求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三维模型建设应采用现势性较强的基础地理信息数据，包括但不限于竣工图资料、高分辨率航空摄影测量影像、近景摄影测量影像等数据，以保证桥梁模型的精度要求。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1、几何精度要求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（1）桥梁三维模型的平面坐标应与实际测量值一致，平面精度不低于0.3米；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（2）桥梁三维模型的高度精度与实际桥梁高度误差不大于0.5米；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（3）桥梁各组成部分的相对位置应真实准确；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（4）桥梁的精细构件（如吊索等）应精细建模表示；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（5）桥梁底部、桥墩等构造应详细表达。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2、模型复杂度和纹理精细度要求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所有模型在建模过程中严格按照《三维地理信息模型产品规范》CH/ 9015-2012和《三维地理信息模型生产规范》 CH/ 9016-2012中的I级要求执行。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3、模型成果要求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入库成果应满足桥梁倒塌专题场景信息化平台数据标准及传感器监测载体需求。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3.4数据汇交与集成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监测数据汇集和成果展示，并将符合《城市生命线安全工程——城市基础设施安全运行智慧监管系统数据标准（试行）》、《江苏省城市生命线安全建设一期工程——城市基础设施安全运行智慧监管系统省市数据对接规范（修订版）》规定的监测数据及应用成果接入区、市级生命线平台。</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4、桥梁倒塌场景运维要求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4.1监测值守服务要求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提供7*24小时监测系统值守服务，主要包括系统监测报警上报、系统故障基本分析、系统报警和运行数据统计，从而确保监测设备的在线率，持续给市、区平台推送监测数据。</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4.2监测数据分析服务要求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能够提供监测设备报警阈值优化、建立耦合关联报警、系统报警处置闭环、监测数据分析等服务。</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4.3监测服务提升要求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在桥梁周边绿化内架设太阳能监控设备，通过监控视频回溯的方式分析了解监测报警的原因，为报警处置进行辅助佐证。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4.4监测设备运维</w:t>
      </w:r>
      <w:r/>
    </w:p>
    <w:p>
      <w:pPr>
        <w:ind w:left="0" w:right="0" w:firstLine="47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监测设备由于受城市建设改造、第三方施工拆点、迁移等影响破坏的，不属于质保售后内容，本运维项目提供重新施工安装、人工恢复处置业务，具体工作量以实际发生为准。</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1、桥梁倒塌场景建设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（3）质量检验报告；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（4）验收意见。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（1）城市桥梁安全工程数据库；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（2）4座桥梁在线监测数据接口。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2、桥梁倒塌场景运维</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（1）桥梁监测专题数据库；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（2）数据分析报告。</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安全第一、预防为主的方针，中标单位要认真遵守国家法规、规范和制度，严格遵守各项施工作业、安全运营规定，落实相应的安全责任人，完善安全生产条件，强化安全生产教育培训，加强安全生产管理，确保安全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在开展工作过程中，中标单位要严格遵守各项成果保密管理规定，妥善保管各类成果资料，加强验收前成果的保密管理，确保不发生成果泄密事件。</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保障本项目普查成果的完整性、客观性、准确性，要求中标单位必须对本项目实行全面的质量管理。服务有效期内，投标人根据采购人需求及监理单位开展事前事中事后全过程质量管理，严格执行国家、省普查技术规程和质量检查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1）过程质量控制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程质量控制是质量管理中最为重要的一项内容，过程质量控制应该贯穿于生产实施的全过程，要求中标单位必须建立项目质量管理组织机构，严格执行“两级检查，一级验收”制度，做好对数据建库、模型建设、传感器监测数据准确性的质量检查，制定质量检查计划、质量检查评分表等文档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2）质量检查验收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项目中标单位提交的最终成果需满足规范要求。经质检合格后提交正式成果，由采购单位组织验收。</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按照甲方及苏州市城市生命线安全工程相关要求，完成数据成果汇交和系统对接相关工作。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桥梁倒塌场景建设：</w:t>
      </w:r>
      <w:r>
        <w:rPr>
          <w:rFonts w:ascii="SimSun" w:hAnsi="SimSun" w:eastAsia="SimSun" w:cs="SimSun"/>
          <w:color w:val="000000"/>
          <w:sz w:val="24"/>
        </w:rPr>
        <w:t xml:space="preserve">在服务期内，实施单位应对监测设备进行常规维护，包含设备的校准、检查、维修等；保持监测数据与市、区级平台正常对接；持续优化阈值设置、报警处置机制和报警预处理。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服务日期、地点、方式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1、服务期限：桥梁倒塌场景三期建设项目在2026年8月30日前全部建设完成，</w:t>
      </w:r>
      <w:r>
        <w:rPr>
          <w:rFonts w:ascii="KaiTi" w:hAnsi="KaiTi" w:eastAsia="KaiTi" w:cs="KaiTi"/>
          <w:color w:val="000000"/>
          <w:sz w:val="24"/>
        </w:rPr>
        <w:t xml:space="preserve">并保障验收后至2028年</w:t>
      </w:r>
      <w:r>
        <w:rPr>
          <w:rFonts w:ascii="SimSun" w:hAnsi="SimSun" w:eastAsia="SimSun" w:cs="SimSun"/>
          <w:color w:val="000000"/>
          <w:sz w:val="24"/>
        </w:rPr>
        <w:t xml:space="preserve">8</w:t>
      </w:r>
      <w:r>
        <w:rPr>
          <w:rFonts w:ascii="KaiTi" w:hAnsi="KaiTi" w:eastAsia="KaiTi" w:cs="KaiTi"/>
          <w:color w:val="000000"/>
          <w:sz w:val="24"/>
        </w:rPr>
        <w:t xml:space="preserve">月底的运维</w:t>
      </w:r>
      <w:r>
        <w:rPr>
          <w:rFonts w:ascii="SimSun" w:hAnsi="SimSun" w:eastAsia="SimSun" w:cs="SimSun"/>
          <w:color w:val="000000"/>
          <w:sz w:val="24"/>
        </w:rPr>
        <w:t xml:space="preserve">；桥梁场景一期运维从2026年4月24日起至2028年8月底结束，桥梁场景二期运维从2027年3月5日起至2028年8月底结束</w:t>
      </w:r>
      <w:r>
        <w:rPr>
          <w:rFonts w:ascii="KaiTi" w:hAnsi="KaiTi" w:eastAsia="KaiTi" w:cs="KaiTi"/>
          <w:color w:val="000000"/>
          <w:sz w:val="24"/>
        </w:rPr>
        <w:t xml:space="preserve">(需提前与一、二期建设单位做好交接工作）</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w:t>
      </w:r>
      <w:r>
        <w:rPr>
          <w:rFonts w:ascii="KaiTi" w:hAnsi="KaiTi" w:eastAsia="KaiTi" w:cs="KaiTi"/>
          <w:color w:val="000000"/>
          <w:sz w:val="24"/>
        </w:rPr>
        <w:t xml:space="preserve">甲方</w:t>
      </w:r>
      <w:r>
        <w:rPr>
          <w:rFonts w:ascii="SimSun" w:hAnsi="SimSun" w:eastAsia="SimSun" w:cs="SimSun"/>
          <w:color w:val="000000"/>
          <w:sz w:val="24"/>
        </w:rPr>
        <w:t xml:space="preserve">指定。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3、乙方项目负责人：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在项目启动前向甲方提供服务计划，经甲方书面审核确认后，乙方应当按服务计划提供后续的服务工作。服务时间自合同签订后，在协议有效期内一方不得擅自变更或中止此项协议，如未经双方同意，擅自变更或中止此项的一方要负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1、合同价格按此次中标价格执行，合同价为人民币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元整，合同总价包括完成相应工作任务涉及的一切人工、机械、保险、劳保、各种税费等综合服务工作。</w:t>
      </w:r>
      <w:r>
        <w:rPr>
          <w:rFonts w:ascii="KaiTi" w:hAnsi="KaiTi" w:eastAsia="KaiTi" w:cs="KaiTi"/>
          <w:color w:val="000000"/>
          <w:sz w:val="24"/>
        </w:rPr>
        <w:t xml:space="preserve">甲方</w:t>
      </w:r>
      <w:r>
        <w:rPr>
          <w:rFonts w:ascii="SimSun" w:hAnsi="SimSun" w:eastAsia="SimSun" w:cs="SimSun"/>
          <w:color w:val="000000"/>
          <w:sz w:val="24"/>
        </w:rPr>
        <w:t xml:space="preserve">不再支付其他款项。报价已充分考虑项目完成的政策性调整、各种市场价格的浮动等因素造成的价格变动，项目完成期内的合同价格不再调整。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0"/>
        <w:gridCol w:w="734"/>
        <w:gridCol w:w="647"/>
        <w:gridCol w:w="788"/>
        <w:gridCol w:w="1132"/>
        <w:gridCol w:w="467"/>
        <w:gridCol w:w="1786"/>
        <w:gridCol w:w="467"/>
        <w:gridCol w:w="467"/>
        <w:gridCol w:w="500"/>
        <w:gridCol w:w="716"/>
        <w:gridCol w:w="683"/>
      </w:tblGrid>
      <w:tr>
        <w:trPr>
          <w:trHeight w:val="1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监测桥梁</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监测内容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监测设备选型建议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品牌、型号、生产厂家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设备数量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单项费用（万元）</w:t>
            </w:r>
            <w:r/>
          </w:p>
        </w:tc>
      </w:tr>
      <w:tr>
        <w:trPr>
          <w:trHeight w:val="1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场景建设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南环桥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 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2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DengXian" w:hAnsi="DengXian" w:eastAsia="DengXian" w:cs="DengXian"/>
                <w:color w:val="000000"/>
                <w:sz w:val="21"/>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1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应变测量范围：±</w:t>
            </w:r>
            <w:r>
              <w:rPr>
                <w:rFonts w:ascii="Times New Roman" w:hAnsi="Times New Roman" w:eastAsia="Times New Roman" w:cs="Times New Roman"/>
                <w:color w:val="000000"/>
                <w:sz w:val="21"/>
              </w:rPr>
              <w:t xml:space="preserve">1000</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应变测量精度：</w:t>
            </w:r>
            <w:r>
              <w:rPr>
                <w:rFonts w:ascii="Times New Roman" w:hAnsi="Times New Roman" w:eastAsia="Times New Roman" w:cs="Times New Roman"/>
                <w:color w:val="000000"/>
                <w:sz w:val="21"/>
              </w:rPr>
              <w:t xml:space="preserve">0.5%F</w:t>
            </w:r>
            <w:r>
              <w:rPr>
                <w:rFonts w:ascii="DengXian" w:hAnsi="DengXian" w:eastAsia="DengXian" w:cs="DengXian"/>
                <w:color w:val="000000"/>
                <w:sz w:val="21"/>
              </w:rPr>
              <w:t xml:space="preserve">·</w:t>
            </w:r>
            <w:r>
              <w:rPr>
                <w:rFonts w:ascii="Times New Roman" w:hAnsi="Times New Roman" w:eastAsia="Times New Roman" w:cs="Times New Roman"/>
                <w:color w:val="000000"/>
                <w:sz w:val="21"/>
              </w:rPr>
              <w:t xml:space="preserve">S </w:t>
            </w:r>
            <w:r>
              <w:rPr>
                <w:rFonts w:ascii="DengXian" w:hAnsi="DengXian" w:eastAsia="DengXian" w:cs="DengXian"/>
                <w:color w:val="000000"/>
                <w:sz w:val="21"/>
              </w:rPr>
              <w:t xml:space="preserve">应变分辨率：</w:t>
            </w:r>
            <w:r>
              <w:rPr>
                <w:rFonts w:ascii="Times New Roman" w:hAnsi="Times New Roman" w:eastAsia="Times New Roman" w:cs="Times New Roman"/>
                <w:color w:val="000000"/>
                <w:sz w:val="21"/>
              </w:rPr>
              <w:t xml:space="preserve">1</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长度：</w:t>
            </w:r>
            <w:r>
              <w:rPr>
                <w:rFonts w:ascii="Times New Roman" w:hAnsi="Times New Roman" w:eastAsia="Times New Roman" w:cs="Times New Roman"/>
                <w:color w:val="000000"/>
                <w:sz w:val="21"/>
              </w:rPr>
              <w:t xml:space="preserve">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43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结构裂缝检测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物理量：裂缝宽度 量程：100mm 分辨率 0.005mm 精度：0.02mm 供电电压：DC9～48V 测点功耗：0.5W 通讯方式：RS485 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3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视频监控/高清摄像机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041"/>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含机箱、导轨插座、断路器、电源电涌保护器、电源开关、直流电源、4G模块及物联网卡、包年流量等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78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姑胥桥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光纤MEMS振动传感器（含保护罩</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6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1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应变测量范围：±</w:t>
            </w:r>
            <w:r>
              <w:rPr>
                <w:rFonts w:ascii="Times New Roman" w:hAnsi="Times New Roman" w:eastAsia="Times New Roman" w:cs="Times New Roman"/>
                <w:color w:val="000000"/>
                <w:sz w:val="21"/>
              </w:rPr>
              <w:t xml:space="preserve">1000</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应变测量精度：</w:t>
            </w:r>
            <w:r>
              <w:rPr>
                <w:rFonts w:ascii="Times New Roman" w:hAnsi="Times New Roman" w:eastAsia="Times New Roman" w:cs="Times New Roman"/>
                <w:color w:val="000000"/>
                <w:sz w:val="21"/>
              </w:rPr>
              <w:t xml:space="preserve">0.5%F</w:t>
            </w:r>
            <w:r>
              <w:rPr>
                <w:rFonts w:ascii="DengXian" w:hAnsi="DengXian" w:eastAsia="DengXian" w:cs="DengXian"/>
                <w:color w:val="000000"/>
                <w:sz w:val="21"/>
              </w:rPr>
              <w:t xml:space="preserve">·</w:t>
            </w:r>
            <w:r>
              <w:rPr>
                <w:rFonts w:ascii="Times New Roman" w:hAnsi="Times New Roman" w:eastAsia="Times New Roman" w:cs="Times New Roman"/>
                <w:color w:val="000000"/>
                <w:sz w:val="21"/>
              </w:rPr>
              <w:t xml:space="preserve">S </w:t>
            </w:r>
            <w:r>
              <w:rPr>
                <w:rFonts w:ascii="DengXian" w:hAnsi="DengXian" w:eastAsia="DengXian" w:cs="DengXian"/>
                <w:color w:val="000000"/>
                <w:sz w:val="21"/>
              </w:rPr>
              <w:t xml:space="preserve">应变分辨率：</w:t>
            </w:r>
            <w:r>
              <w:rPr>
                <w:rFonts w:ascii="Times New Roman" w:hAnsi="Times New Roman" w:eastAsia="Times New Roman" w:cs="Times New Roman"/>
                <w:color w:val="000000"/>
                <w:sz w:val="21"/>
              </w:rPr>
              <w:t xml:space="preserve">1</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长度：</w:t>
            </w:r>
            <w:r>
              <w:rPr>
                <w:rFonts w:ascii="Times New Roman" w:hAnsi="Times New Roman" w:eastAsia="Times New Roman" w:cs="Times New Roman"/>
                <w:color w:val="000000"/>
                <w:sz w:val="21"/>
              </w:rPr>
              <w:t xml:space="preserve">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44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22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基础参数，传感器类型：1/2.8＂ progressive scan CMOS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13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67"/>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2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视频数据存储</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寒山HN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结构温度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光纤MEMS振动传感器（含保护罩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88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DengXian" w:hAnsi="DengXian" w:eastAsia="DengXian" w:cs="DengXian"/>
                <w:color w:val="000000"/>
                <w:sz w:val="21"/>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混凝土主梁静态应变监测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58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1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应变测量范围：±1000με 应变测量精度：0.5%F·S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应变分辨率：1με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9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16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1）供电方式：市电 220V AC；2）输出电压：DC 12V，DC 24V； 3）本地通讯：RJ45；4）远程通讯：4G； 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70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55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寒山 HS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849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DengXian" w:hAnsi="DengXian" w:eastAsia="DengXian" w:cs="DengXian"/>
                <w:color w:val="000000"/>
                <w:sz w:val="21"/>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应变测量范围：±</w:t>
            </w:r>
            <w:r>
              <w:rPr>
                <w:rFonts w:ascii="Times New Roman" w:hAnsi="Times New Roman" w:eastAsia="Times New Roman" w:cs="Times New Roman"/>
                <w:color w:val="000000"/>
                <w:sz w:val="21"/>
              </w:rPr>
              <w:t xml:space="preserve">1000</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应变测量精度：</w:t>
            </w:r>
            <w:r>
              <w:rPr>
                <w:rFonts w:ascii="Times New Roman" w:hAnsi="Times New Roman" w:eastAsia="Times New Roman" w:cs="Times New Roman"/>
                <w:color w:val="000000"/>
                <w:sz w:val="21"/>
              </w:rPr>
              <w:t xml:space="preserve">0.5%F</w:t>
            </w:r>
            <w:r>
              <w:rPr>
                <w:rFonts w:ascii="DengXian" w:hAnsi="DengXian" w:eastAsia="DengXian" w:cs="DengXian"/>
                <w:color w:val="000000"/>
                <w:sz w:val="21"/>
              </w:rPr>
              <w:t xml:space="preserve">·</w:t>
            </w:r>
            <w:r>
              <w:rPr>
                <w:rFonts w:ascii="Times New Roman" w:hAnsi="Times New Roman" w:eastAsia="Times New Roman" w:cs="Times New Roman"/>
                <w:color w:val="000000"/>
                <w:sz w:val="21"/>
              </w:rPr>
              <w:t xml:space="preserve">S </w:t>
            </w:r>
            <w:r>
              <w:rPr>
                <w:rFonts w:ascii="DengXian" w:hAnsi="DengXian" w:eastAsia="DengXian" w:cs="DengXian"/>
                <w:color w:val="000000"/>
                <w:sz w:val="21"/>
              </w:rPr>
              <w:t xml:space="preserve">应变分辨率：</w:t>
            </w:r>
            <w:r>
              <w:rPr>
                <w:rFonts w:ascii="Times New Roman" w:hAnsi="Times New Roman" w:eastAsia="Times New Roman" w:cs="Times New Roman"/>
                <w:color w:val="000000"/>
                <w:sz w:val="21"/>
              </w:rPr>
              <w:t xml:space="preserve">1</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长度：</w:t>
            </w:r>
            <w:r>
              <w:rPr>
                <w:rFonts w:ascii="Times New Roman" w:hAnsi="Times New Roman" w:eastAsia="Times New Roman" w:cs="Times New Roman"/>
                <w:color w:val="000000"/>
                <w:sz w:val="21"/>
              </w:rPr>
              <w:t xml:space="preserve">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1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34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98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光纤光栅动应变采集仪</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振动传感器数据采集仪</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3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视频抓拍（一、二期11座桥梁按实际情况增设视频监控）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9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安装实施集成费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安装实施集成费，部分设备安装吊装（工程机械、车辆租赁费、一桥一策实施方案）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47"/>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电源线、网线、PVC套管等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8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场景运维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监测数据管理与更新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监测数据对接及应用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对基础资料、运管资料等资料建库处理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0.0726万元/人工天</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94"/>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三维模型建设及建库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vMerge w:val="continue"/>
            <w:textDirection w:val="lrTb"/>
            <w:noWrap w:val="false"/>
          </w:tcPr>
          <w:p>
            <w:r/>
            <w:r/>
          </w:p>
        </w:tc>
        <w:tc>
          <w:tcPr>
            <w:vMerge w:val="continue"/>
            <w:textDirection w:val="lrTb"/>
            <w:noWrap w:val="false"/>
          </w:tcPr>
          <w:p>
            <w:r/>
            <w:r/>
          </w:p>
        </w:tc>
      </w:tr>
      <w:tr>
        <w:trPr>
          <w:trHeight w:val="329"/>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数据对接、处理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运行监测场景数据分析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监测设备运维及监测数据分析服务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城市生命线一期6座桥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一期6座桥梁监测设备运维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2年4个月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0.05万元/每个/每年</w:t>
            </w:r>
            <w:r/>
          </w:p>
        </w:tc>
        <w:tc>
          <w:tcPr>
            <w:gridSpan w:val="2"/>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城市生命线二期5座桥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二期5座桥梁监测设备运维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1年5个月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052"/>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报警处置闭环、数据分析报告（二期97个监测点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0.05万元/每个/每年</w:t>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合同价格形式：工作量按实结算，最终以验收核算金额作为结算价，付款不超过分项最高限价及合同总价。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付款步骤：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费用：合同生效以及具备实施条件后7个工作日内，甲方预付场景建设费用的30％预付款；乙方三期建设完毕并通过甲方（专家）验收后，甲方向乙方支付至场景建设费（按实际完成量并经过监理单位审核后）的90%，运维期结束后支付至场景建设费用的100%（扣除预付款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场景运维费用：先做后付，按月度进行考核，每六个月支付一次。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备注：每次付款前，乙方需开具合格发票。根据财力情况，在财政资金不足的情况下，可适当降低付款额度，具体按规定再协商处置。所有款项均为数字人民币转帐支付。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3、乙方提请甲方付款前应向甲方提供以下单据，如乙方未按约定提供下列单据导致甲方迟延付款的，甲方不承担逾期付款的违约责任：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（1）合法有效且符合甲方要求的发票；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（2）由甲乙双方盖章的《政府采购合同履行验收报告》；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4、乙方钱包ID和钱包名称为：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钱包ID：</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钱包名称：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六、甲、乙双方责任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1、乙方在从事服务工作中应当做到文明工作，采取必要的安全防范措施，合同期内若发生安全事故全部由乙方承担，与甲方无关。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2、乙方应及时调整不适应工作需求的工作人员。如甲方认为该员工不能胜任本职工作的，乙方必须调整。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3、乙方应经常对员工进行岗位职责和安全教育，加强岗位责任考核。因管理不当、违规操作发生事故对甲方造成损失的，乙方需承担全部的赔偿责任。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履行期间，甲方若因自身原因，要求终止或解除合同，本合同自甲方通知送达之日提前终止，乙方未开始履约工作的，甲方与乙方不再结算付款；已开始履约工作的，甲方应根据乙方已进行的实际工作量进行结算。甲方若因乙方原因，要求终止或解除合同的，有权不向乙方支付任何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因自身原因未按照本合同约定的期限或甲方通知的期限提交或完成符合本合同规定及甲方要求并经甲方验收或专家评审验收通过的任一项服务成果或履行本合同规定的其他义务，每延误一天，则乙方应按照合同总金额万分之二支付违约金。若乙方延迟履行合同任何规定或者履行任何义务不符合约定的或未达到甲方所要求的服务质量目标的，超过十天未主动整改纠正的，甲方有权解除本合同，有权要求乙方按照合同总金额的5%支付违约金。无论甲方是否通知解除合同，如因乙方原因造成甲方损失的，乙方仍需赔偿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3、合同生效后，乙方因自身原因要求终止或解除合同，应向甲方提出申请并协商。未经同意单方面终止或解除合同，则应按照合同总金额的5%向甲方支付违约金。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无论验收前的服务工作或验收后的服务成果是否经甲方最终验收，或者经过甲方考核扣分处理，任何时候若甲方发现服务成果存在任何数据不实或侵犯他人知识产权或有不符合本合同规定情形的，甲方有权要求乙方按照合同总价款的10%承担违约金并要求乙方对乙方造成的损失等后果承担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（四）争议解决方式：本合同存续期间，甲乙双方因合同履行发生争议的，应该先友好协商解决，协商不成的，争议双方应向甲方所在地人民法院提起诉讼。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（1）成立验收小组：验收小组成员含甲方工作人员、项目监理单位、相关领域专业技术专家。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（2）验收时间(预计):乙方应将合同服务成果在2026年8月30日前向甲方先行提交验收申请，若甲方另行通知在2026年8月30日之后组织验收，按照甲方实际通知日期为准，但是乙方提交合同服务成果的时间不延迟。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（3）验收范围及验收内容：采购内容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验收标准：符合采购文件要求中所列明的政府采购合同约定、法律法规以及国家强制性标准、行业标准、专业标准等。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程序：听取甲方、乙方对项目实施的情况汇报；查看城市生命线工程桥梁探测及评估服务形成的主要成果，包含数据成果、图件成果及相关文档成果；审阅专项风险评估报告；审阅项目相关资料；验收小组成员发表评价意见，形成书面验收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（5）甲方、乙方应对验收小组出具的验收意见进行确认，并形成《政府采购履约验收书》。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（6）验收资料整理完善归档。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（7）如相关成果未达到要求，乙方应及时进行修改，由此增加的工期和相应的费用由乙方承担。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运维考核管理办法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根据考核表要求包含但以下几点要求（考核内容为暂行方案，后续如有新要求则按最新要求执行）：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（1）监测设备在线率95%以上。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（2）报警处置完成率100%，报警处置及时率90%。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（3）服务人员及人员技术能力符合要求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（4）按照要求填写设备运行情况巡视记录表（每周巡查一次）、设备保养情况表（每月保养一次）；如有设备更换或报警处置按要求填写相关表格。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（5）监测数据月度分析报告（系统软件、数据合理性、数据传输等运维日志）。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运维费根据考核结果按月核算。当月考核总得分达到90分(含90分)为达标，则全额支付当月服务费用:达不到90分的，每扣1分，扣减当月</w:t>
      </w:r>
      <w:r>
        <w:rPr>
          <w:rFonts w:ascii="KaiTi" w:hAnsi="KaiTi" w:eastAsia="KaiTi" w:cs="KaiTi"/>
          <w:color w:val="000000"/>
          <w:sz w:val="24"/>
        </w:rPr>
        <w:t xml:space="preserve">运维</w:t>
      </w:r>
      <w:r>
        <w:rPr>
          <w:rFonts w:ascii="SimSun" w:hAnsi="SimSun" w:eastAsia="SimSun" w:cs="SimSun"/>
          <w:color w:val="000000"/>
          <w:sz w:val="24"/>
        </w:rPr>
        <w:t xml:space="preserve">费用1个百分点，以此类推。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66"/>
        <w:gridCol w:w="963"/>
        <w:gridCol w:w="3344"/>
        <w:gridCol w:w="1270"/>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生命线运维考核表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监测设备在线率95%以上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要求每月监测设备在线率在95%以上，每少1%，扣2分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报警处置完成率100%，报警处置及时率90%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要求报警处置完成率100%，一次未完成扣10分，本项共计10分。报警处置及时率90%以上，一次未及时处置扣10分，本项共计10分。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服务人员及人员技术能力符合要求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服务人员人数需符合招投标要求，每少一人扣2分；服务人员资质不符要求，每发现一次扣2分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按照要求填写设备运行情况巡视记录表（每周巡查一次），设备保养记录表、设备运行记录表（每月保养一次）；如有设备更换或报警处置按要求填写相关表格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设备巡查、保养、运行情况表每缺一次扣2分，本项共计10分；设备更换记录或报警处置记录缺一次扣5分，本项共计10分。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监测数据月度分析报告（系统软件、数据合理性、数据传输等运维日志），上级考核等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每月上报月度分析报告，一次未完成扣10分，本项共计10分；如被上级相关部门通报一次扣10分，本项共计10分。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附表A 设备运行情况巡视记录表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0"/>
        <w:gridCol w:w="2200"/>
        <w:gridCol w:w="1100"/>
        <w:gridCol w:w="1100"/>
        <w:gridCol w:w="2200"/>
      </w:tblGrid>
      <w:tr>
        <w:trPr>
          <w:trHeight w:val="51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巡查基本信息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巡查设施名称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天气状况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设备运行情况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良好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异常</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发现的主要问题</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紧急处置措施</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（如发现问题立即采取的措施）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问题上报</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已立即上报至</w:t>
            </w:r>
            <w:r>
              <w:rPr>
                <w:rFonts w:ascii="KaiTi" w:hAnsi="KaiTi" w:eastAsia="KaiTi" w:cs="KaiTi"/>
                <w:color w:val="000000"/>
                <w:sz w:val="21"/>
                <w:u w:val="single"/>
              </w:rPr>
              <w:t xml:space="preserve"> </w:t>
            </w:r>
            <w:r>
              <w:rPr>
                <w:rFonts w:ascii="SimSun" w:hAnsi="SimSun" w:eastAsia="SimSun" w:cs="SimSun"/>
                <w:color w:val="000000"/>
                <w:sz w:val="21"/>
                <w:u w:val="single"/>
              </w:rPr>
              <w:t xml:space="preserve">       </w:t>
            </w:r>
            <w:r/>
          </w:p>
        </w:tc>
      </w:tr>
      <w:tr>
        <w:trPr>
          <w:trHeight w:val="51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无需上报，以现场处理</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处理建议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处置及复核信息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处理责任人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计划完成日期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问题已解决</w:t>
            </w:r>
            <w:r/>
          </w:p>
        </w:tc>
      </w:tr>
      <w:tr>
        <w:trPr>
          <w:trHeight w:val="38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部分解决，需继续跟进，说明：</w:t>
            </w:r>
            <w:r/>
          </w:p>
        </w:tc>
      </w:tr>
      <w:tr>
        <w:trPr>
          <w:trHeight w:val="9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未解决，原因：</w:t>
            </w:r>
            <w:r/>
          </w:p>
        </w:tc>
      </w:tr>
    </w:tbl>
    <w:p>
      <w:pPr>
        <w:ind w:left="0" w:right="0" w:firstLine="422"/>
        <w:spacing w:before="12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备注</w:t>
      </w:r>
      <w:r>
        <w:rPr>
          <w:rFonts w:ascii="KaiTi" w:hAnsi="KaiTi" w:eastAsia="KaiTi" w:cs="KaiTi"/>
          <w:color w:val="000000"/>
          <w:sz w:val="21"/>
        </w:rPr>
        <w:t xml:space="preserve">：如设备运行良好，则无需填写复核信息。</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附表B1 设备保养记录表（可接触）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1"/>
        <w:gridCol w:w="624"/>
        <w:gridCol w:w="1746"/>
        <w:gridCol w:w="2227"/>
        <w:gridCol w:w="1037"/>
        <w:gridCol w:w="1863"/>
      </w:tblGrid>
      <w:tr>
        <w:trPr>
          <w:trHeight w:val="8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桥梁名称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保养设备类型及数量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现场照片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本次保养日期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计划下次保养日期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保养负责人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整体保养项目执行后情况</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保养项目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标准</w:t>
            </w:r>
            <w:r>
              <w:rPr>
                <w:rFonts w:ascii="SimSun" w:hAnsi="SimSun" w:eastAsia="SimSun" w:cs="SimSun"/>
                <w:color w:val="000000"/>
                <w:sz w:val="21"/>
              </w:rPr>
              <w:t xml:space="preserve">/</w:t>
            </w:r>
            <w:r>
              <w:rPr>
                <w:rFonts w:ascii="KaiTi" w:hAnsi="KaiTi" w:eastAsia="KaiTi" w:cs="KaiTi"/>
                <w:color w:val="000000"/>
                <w:sz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不达标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设备编号</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设备表面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无油污、无粉尘、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无杂物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紧固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检查关键部位螺栓、螺母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无松动、无缺失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安全防护装置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功能完好，可靠有效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线缆敷设情况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接口完好，线路完好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控制柜情况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电源稳定、采集设备正常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测试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传输性能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传输稳定、数据正常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问题记录与处理</w:t>
            </w:r>
            <w:r/>
          </w:p>
        </w:tc>
      </w:tr>
      <w:tr>
        <w:trPr>
          <w:trHeight w:val="46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发现的问题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严重等级</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处理措施</w:t>
            </w:r>
            <w:r/>
          </w:p>
        </w:tc>
      </w:tr>
      <w:tr>
        <w:trPr>
          <w:trHeight w:val="9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1、南侧倾斜仪线缆破损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5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5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6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KaiTi" w:hAnsi="KaiTi" w:eastAsia="KaiTi" w:cs="KaiT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bl>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附表B2 设备运行记录表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7"/>
        <w:gridCol w:w="2203"/>
        <w:gridCol w:w="2057"/>
        <w:gridCol w:w="3020"/>
      </w:tblGrid>
      <w:tr>
        <w:trPr>
          <w:trHeight w:val="8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检查运行周期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异常设备编号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设备运行情况</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是否正常</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运行状态图谱</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问题记录与处理</w:t>
            </w:r>
            <w:r/>
          </w:p>
        </w:tc>
      </w:tr>
      <w:tr>
        <w:trPr>
          <w:trHeight w:val="4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发现的问题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处理措施</w:t>
            </w:r>
            <w:r/>
          </w:p>
        </w:tc>
      </w:tr>
      <w:tr>
        <w:trPr>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1、南侧倾斜仪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KaiTi" w:hAnsi="KaiTi" w:eastAsia="KaiTi" w:cs="KaiTi"/>
                <w:color w:val="000000"/>
                <w:sz w:val="21"/>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4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bl>
    <w:p>
      <w:pPr>
        <w:ind w:left="0" w:right="0" w:firstLine="0"/>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附表C 设备更换清单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2268"/>
        <w:gridCol w:w="1843"/>
        <w:gridCol w:w="246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更换前设备型号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更换后设备型号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更换原因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更换作业照片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更换后照片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数据暂停传输时间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调试完成时间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数据恢复传输时间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附表D 报警处置信息卡</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6"/>
        <w:gridCol w:w="2094"/>
        <w:gridCol w:w="2200"/>
        <w:gridCol w:w="220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报警设备位置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报警生成时间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报警核实时间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报警核实人员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是否误报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现场核实照片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或监控照片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报警成因分析</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处置措施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报警消除时间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对在本合同签订、履行过程中知悉的对方资料和信息，除该方做出相反的书面说明外，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合同经甲乙双方代表签字并加盖公章（或合同章）后即生效。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及该文件的投标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在案，作为本合同的附件与本合同具有同等效力，但需要向采购代理方提交二份备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2、乙方除应为相关人员提供必要的劳动保护条件外，还应为其办理人身安全保险和意外伤害险。一切安全责任事故均由乙方负责（保险种类由乙方自行选择）。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3、乙方应做好职工的安全生产教育，并配备一定的劳动保护必需品以供使用。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4、双方所确认的负责人、联系方式及法律文书送达地址，如发生变更的，应当于变更之日起3日内书面通知另一方，未通知的自行承担由此引起的不利后果。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本合同一式陆份，甲乙双方各执贰份，招标代理机构壹份，政府采购管理部门壹份。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本合同未尽事宜应按《中华人民共和国民法典》、《中华人民共和国政府采购法》以及其他相关法律、法规之规定解释。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政府采购履约验收书参考样本(货物类)</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6"/>
        <w:gridCol w:w="1057"/>
        <w:gridCol w:w="1199"/>
        <w:gridCol w:w="1257"/>
        <w:gridCol w:w="377"/>
        <w:gridCol w:w="1126"/>
        <w:gridCol w:w="1507"/>
        <w:gridCol w:w="168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项目及合同编号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分期（段）验收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分期（段）情况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共分   期（段），此为第   期（段）验收</w:t>
            </w:r>
            <w:r/>
          </w:p>
        </w:tc>
      </w:tr>
      <w:tr>
        <w:trPr>
          <w:trHeight w:val="8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验收组织形式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□自行简易验收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□验收小组验收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□采购代理机构验收</w:t>
            </w:r>
            <w:r/>
          </w:p>
        </w:tc>
      </w:tr>
      <w:tr>
        <w:trPr>
          <w:trHeight w:val="39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服务进度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人员、设备 配备情况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行业、安全标准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项目需求、服务承诺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合同履约时间、 地点、方式</w:t>
            </w:r>
            <w:r/>
          </w:p>
        </w:tc>
      </w:tr>
      <w:tr>
        <w:trPr>
          <w:trHeight w:val="8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  时□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不按时□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r>
      <w:tr>
        <w:trPr>
          <w:trHeight w:val="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专业检测机构情况说明</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存在问题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和改进意见</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最终结论</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验收小组成员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采购代理机构意见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采购人意见</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负责人：           （采购代理机构公章）</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负责人：               （采购人公章）</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（单位公章或授权代表签字）</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说明：1.该表为服务类项目履约验收的参考样表，采购人或采购代理机构可以根据工作实际进行调整。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2.未委托采购代理机构开展履约验收工作的，无需填写“采购代理机构意见”。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附件</w:t>
      </w:r>
      <w:r/>
    </w:p>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政府采购履约验收通知单（参考样本）</w:t>
      </w:r>
      <w:r/>
    </w:p>
    <w:p>
      <w:pPr>
        <w:ind w:left="118" w:right="0" w:firstLine="0"/>
        <w:spacing w:before="6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供应商：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9"/>
        <w:gridCol w:w="1962"/>
        <w:gridCol w:w="2141"/>
        <w:gridCol w:w="2607"/>
      </w:tblGrid>
      <w:tr>
        <w:trPr>
          <w:trHeight w:val="54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履约验收方案及工作要求</w:t>
            </w:r>
            <w:r/>
          </w:p>
        </w:tc>
      </w:tr>
      <w:tr>
        <w:trPr>
          <w:trHeight w:val="757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45" w:right="1890" w:hanging="561"/>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5545" w:right="1890" w:hanging="561"/>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140" w:right="1890" w:firstLine="5192"/>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单位公章</w:t>
            </w:r>
            <w:r/>
          </w:p>
          <w:p>
            <w:pPr>
              <w:ind w:left="5545" w:right="1890" w:hanging="561"/>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pacing w:val="-10"/>
                <w:sz w:val="24"/>
              </w:rPr>
              <w:t xml:space="preserve">年</w:t>
            </w:r>
            <w:r>
              <w:rPr>
                <w:rFonts w:ascii="SimSun" w:hAnsi="SimSun" w:eastAsia="SimSun" w:cs="SimSun"/>
                <w:color w:val="000000"/>
                <w:spacing w:val="8"/>
                <w:sz w:val="24"/>
              </w:rPr>
              <w:t xml:space="preserve">  </w:t>
            </w:r>
            <w:r>
              <w:rPr>
                <w:rFonts w:ascii="SimSun" w:hAnsi="SimSun" w:eastAsia="SimSun" w:cs="SimSun"/>
                <w:color w:val="000000"/>
                <w:spacing w:val="-10"/>
                <w:sz w:val="24"/>
              </w:rPr>
              <w:t xml:space="preserve">月</w:t>
            </w:r>
            <w:r>
              <w:rPr>
                <w:rFonts w:ascii="SimSun" w:hAnsi="SimSun" w:eastAsia="SimSun" w:cs="SimSun"/>
                <w:color w:val="000000"/>
                <w:spacing w:val="28"/>
                <w:sz w:val="24"/>
              </w:rPr>
              <w:t xml:space="preserve">  </w:t>
            </w:r>
            <w:r>
              <w:rPr>
                <w:rFonts w:ascii="SimSun" w:hAnsi="SimSun" w:eastAsia="SimSun" w:cs="SimSun"/>
                <w:color w:val="000000"/>
                <w:spacing w:val="-10"/>
                <w:sz w:val="24"/>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评标方法、评标标准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1、本次评标办法采用综合评分法。即在满足招标文件实质性要求的前提下，按照招标文件中规定的评分标准和各项因素进行综合评审，以评标总得分最高的投标人作为中标单位。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人的标书的技术部分以打分的形式进行评审和评价。对评委的评分（除价格分外）进行统计汇总，直接算术平均计算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3、如出现评标总得分最高的投标人有两个或两个以上的，以投标报价较低者优先作为中标单位，如果投标报价也相同的，则由代理机构组织以抽签方式确定中标单位。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二、政府采购政策：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1.1本项目属于预留份额专门面向中小企业采购的项目。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1.3本项目采购标的对应的中小企业划分标准所属行业：</w:t>
      </w:r>
      <w:r>
        <w:rPr>
          <w:rFonts w:ascii="SimSun" w:hAnsi="SimSun" w:eastAsia="SimSun" w:cs="SimSun"/>
          <w:b/>
          <w:color w:val="000000"/>
          <w:sz w:val="24"/>
        </w:rPr>
        <w:t xml:space="preserve">工业</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1.4中小企业参加政府采购活动，应当出具《政府采购促进中小企业发展管理办法》附件规定《中小企业声明函》，否则不得享受相关中小企业扶持政策。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1.5本项目中，供应商提供的货物由中小企业制造，即货物由中小企业生产且使用该中小企业商号或者注册商标，才可享受规定的中小企业扶持政策。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1.6若供应商提供的《中小企业声明函》为虚假声明则视同提供虚假材料，按政府采购相关规定处理并报请政府监管部门给予行政处罚。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w:t>
      </w:r>
      <w:r>
        <w:rPr>
          <w:rFonts w:ascii="KaiTi" w:hAnsi="KaiTi" w:eastAsia="KaiTi" w:cs="KaiTi"/>
          <w:color w:val="000000"/>
          <w:sz w:val="24"/>
        </w:rPr>
        <w:t xml:space="preserve">3</w:t>
      </w:r>
      <w:r>
        <w:rPr>
          <w:rFonts w:ascii="SimSun" w:hAnsi="SimSun" w:eastAsia="SimSun" w:cs="SimSun"/>
          <w:color w:val="000000"/>
          <w:sz w:val="24"/>
        </w:rPr>
        <w:t xml:space="preserve">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第一步：投标报价低于或等于财政预算价格（或最高限价）的，为有效投标报价。超财政预算（或最高限价）的投标报价为无效投标报价。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第二步：在所有有效投标报价中满足招标文件要求，且投标价格最低的投标报价为评标基准价，其他投标人的价格分按照下列公式计算（计算结果四舍五入保留两位小数）。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（二）技术评审（45分）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1.技术指标符合性（12分）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单位就采购需求中注“★”的技术指标进行应答，技术指标可提供检测报告的，每一项得2分，最高得12分。带“★”项需提供具备检验检测资质的第三方检测机构出具的合格检验报告书复印件并加盖投标单位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桥梁倒塌场景建设技术方案：内容阐述详尽、科学合理、可操作性强的得8分；方案内容较详细、合理性较好、可操作性较好得6分；方案内容基本完整、合理、可操作性一般的得4分；方案内容简单、合理性一般、可操作性较差得2分；未提供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服务方案（8分）根据项目的建设内容，建设位置、桥梁解构的等方向，阐述监测内容、监测点位设计、监测方案的实施要求，整个项目进度计划、质量、风险管理、问题管理、工作机制等方面，提供全面、合理的项目实施方案。方案内容详细、科学合理、可操作性强得8分；方案内容较详细、合理性较好、可操作性较好得6分；案内容基本完整、合理、可操作性一般的得4分；内容不够详细、合理性一般或较差、可操作性一般或较差得2分；未提供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桥梁倒塌场景一、二期运维方案（7分）：方案内容详细、科学合理、可操作性强得7分；方案内容较详细、合理性较好、可操作性较好得5分；案内容基本完整、合理、可操作性一般的得3分；内容不够详细、合理性一般或较差、可操作性一般或较差得1分；未提供不得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桥梁倒塌场景建设售后保障服务方案（5分）含售后保障服务方案（售后服务团队、电话服务等）等。方案内容详细、科学合理、可操作性强得5分；方案内容较详细、合理性较好、可操作性较好得3分；案内容基本完整、合理、可操作性一般的得1分；未提供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本项目的安全保密措施（5分），根据投标人投标文件中安全责任制度是否明确、突发事故应急预案与处理能力，数据资料保密制度、数据资料专人负责管理等内容评定：措施明确、制度详尽完整、可行性强的得5分；措施较明确、制度较详尽完整、可行性较强的得3分；措施基本明确、制度基本完整、可行性一般的得1分；未提供不得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（三）人员配备（9分）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1、项目经理、技术负责人、质量负责人具备注册测绘师资格证书、有一个得1分，满分3分。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2、项目经理、技术负责人、质量负责人具备中级职称证书的得1分，高级职称证书的得2分，最高得6分。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（1）项目经理、技术负责人、质量负责人不得为同一人，均不可兼任。</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（2）投标文件中须提供对应证书复印件，投标人为所投入人员缴纳的社保缴费证明材料复印件，未提供则不得分。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（四）履约能力（最高为16分）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1.投标单位或生产制造商具有有效的质量管理体系认证、环境管理体系认证、职业健康安全管理体系认证、信息安全管理体系认证证书，每提供一个得2分，最高得8分。提供有效证明材料复印件。</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2.投标单位类似业绩（最高为8分）投标单位自2022年1月1日至今（以合同签订日期为准）具有类似本项目业绩经验的，每提供一个案例得2分，最高为8分。提供业绩合同证明资料复印件。</w:t>
      </w:r>
      <w:r/>
    </w:p>
    <w:p>
      <w:pPr>
        <w:ind w:left="0" w:right="0" w:firstLine="2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Hei">
    <w:panose1 w:val="02010609060101010101"/>
  </w:font>
  <w:font w:name="DengXia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2"/>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2"/>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215"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quot;&quot;"/>
      <w:lvlJc w:val="left"/>
      <w:pPr>
        <w:ind w:left="842" w:hanging="420"/>
      </w:pPr>
      <w:rPr>
        <w:rFonts w:hint="default" w:ascii="Wingdings" w:hAnsi="Wingdings" w:eastAsia="Wingdings" w:cs="Wingdings"/>
      </w:rPr>
    </w:lvl>
    <w:lvl w:ilvl="1">
      <w:start w:val="1"/>
      <w:numFmt w:val="bullet"/>
      <w:isLgl w:val="false"/>
      <w:suff w:val="tab"/>
      <w:lvlText w:val="&quot;&quot;"/>
      <w:lvlJc w:val="left"/>
      <w:pPr>
        <w:ind w:left="1262" w:hanging="420"/>
      </w:pPr>
      <w:rPr>
        <w:rFonts w:hint="default" w:ascii="Wingdings" w:hAnsi="Wingdings" w:eastAsia="Wingdings" w:cs="Wingdings"/>
      </w:rPr>
    </w:lvl>
    <w:lvl w:ilvl="2">
      <w:start w:val="1"/>
      <w:numFmt w:val="bullet"/>
      <w:isLgl w:val="false"/>
      <w:suff w:val="tab"/>
      <w:lvlText w:val="&quot;&quot;"/>
      <w:lvlJc w:val="left"/>
      <w:pPr>
        <w:ind w:left="1682" w:hanging="420"/>
      </w:pPr>
      <w:rPr>
        <w:rFonts w:hint="default" w:ascii="Wingdings" w:hAnsi="Wingdings" w:eastAsia="Wingdings" w:cs="Wingdings"/>
      </w:rPr>
    </w:lvl>
    <w:lvl w:ilvl="3">
      <w:start w:val="1"/>
      <w:numFmt w:val="bullet"/>
      <w:isLgl w:val="false"/>
      <w:suff w:val="tab"/>
      <w:lvlText w:val="&quot;&quot;"/>
      <w:lvlJc w:val="left"/>
      <w:pPr>
        <w:ind w:left="2102" w:hanging="420"/>
      </w:pPr>
      <w:rPr>
        <w:rFonts w:hint="default" w:ascii="Wingdings" w:hAnsi="Wingdings" w:eastAsia="Wingdings" w:cs="Wingdings"/>
      </w:rPr>
    </w:lvl>
    <w:lvl w:ilvl="4">
      <w:start w:val="1"/>
      <w:numFmt w:val="bullet"/>
      <w:isLgl w:val="false"/>
      <w:suff w:val="tab"/>
      <w:lvlText w:val="&quot;&quot;"/>
      <w:lvlJc w:val="left"/>
      <w:pPr>
        <w:ind w:left="2522" w:hanging="420"/>
      </w:pPr>
      <w:rPr>
        <w:rFonts w:hint="default" w:ascii="Wingdings" w:hAnsi="Wingdings" w:eastAsia="Wingdings" w:cs="Wingdings"/>
      </w:rPr>
    </w:lvl>
    <w:lvl w:ilvl="5">
      <w:start w:val="1"/>
      <w:numFmt w:val="bullet"/>
      <w:isLgl w:val="false"/>
      <w:suff w:val="tab"/>
      <w:lvlText w:val="&quot;&quot;"/>
      <w:lvlJc w:val="left"/>
      <w:pPr>
        <w:ind w:left="2942" w:hanging="420"/>
      </w:pPr>
      <w:rPr>
        <w:rFonts w:hint="default" w:ascii="Wingdings" w:hAnsi="Wingdings" w:eastAsia="Wingdings" w:cs="Wingdings"/>
      </w:rPr>
    </w:lvl>
    <w:lvl w:ilvl="6">
      <w:start w:val="1"/>
      <w:numFmt w:val="bullet"/>
      <w:isLgl w:val="false"/>
      <w:suff w:val="tab"/>
      <w:lvlText w:val="&quot;&quot;"/>
      <w:lvlJc w:val="left"/>
      <w:pPr>
        <w:ind w:left="3362" w:hanging="420"/>
      </w:pPr>
      <w:rPr>
        <w:rFonts w:hint="default" w:ascii="Wingdings" w:hAnsi="Wingdings" w:eastAsia="Wingdings" w:cs="Wingdings"/>
      </w:rPr>
    </w:lvl>
    <w:lvl w:ilvl="7">
      <w:start w:val="1"/>
      <w:numFmt w:val="bullet"/>
      <w:isLgl w:val="false"/>
      <w:suff w:val="tab"/>
      <w:lvlText w:val="&quot;&quot;"/>
      <w:lvlJc w:val="left"/>
      <w:pPr>
        <w:ind w:left="3782" w:hanging="420"/>
      </w:pPr>
      <w:rPr>
        <w:rFonts w:hint="default" w:ascii="Wingdings" w:hAnsi="Wingdings" w:eastAsia="Wingdings" w:cs="Wingdings"/>
      </w:rPr>
    </w:lvl>
    <w:lvl w:ilvl="8">
      <w:start w:val="1"/>
      <w:numFmt w:val="bullet"/>
      <w:isLgl w:val="false"/>
      <w:suff w:val="tab"/>
      <w:lvlText w:val="&quot;&quot;"/>
      <w:lvlJc w:val="left"/>
      <w:pPr>
        <w:ind w:left="4202" w:hanging="42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
      <w:lvlJc w:val="left"/>
      <w:pPr>
        <w:ind w:left="425" w:hanging="425"/>
      </w:pPr>
      <w:rPr>
        <w:rFonts w:ascii="SimSun" w:hAnsi="SimSun" w:eastAsia="SimSun" w:cs="SimSun"/>
      </w:rPr>
    </w:lvl>
    <w:lvl w:ilvl="1">
      <w:start w:val="1"/>
      <w:numFmt w:val="decimal"/>
      <w:isLgl w:val="false"/>
      <w:suff w:val="tab"/>
      <w:lvlText w:val="%1.%2 "/>
      <w:lvlJc w:val="left"/>
      <w:pPr>
        <w:ind w:left="0" w:firstLine="0"/>
      </w:pPr>
      <w:rPr>
        <w:rFonts w:ascii="SimSun" w:hAnsi="SimSun" w:eastAsia="SimSun" w:cs="SimSun"/>
      </w:rPr>
    </w:lvl>
    <w:lvl w:ilvl="2">
      <w:start w:val="1"/>
      <w:numFmt w:val="decimal"/>
      <w:isLgl w:val="false"/>
      <w:suff w:val="tab"/>
      <w:lvlText w:val="%1.%2.%3 "/>
      <w:lvlJc w:val="left"/>
      <w:pPr>
        <w:ind w:left="851" w:hanging="567"/>
      </w:pPr>
      <w:rPr>
        <w:rFonts w:ascii="SimSun" w:hAnsi="SimSun" w:eastAsia="SimSun" w:cs="SimSun"/>
      </w:rPr>
    </w:lvl>
    <w:lvl w:ilvl="3">
      <w:start w:val="1"/>
      <w:numFmt w:val="decimal"/>
      <w:isLgl w:val="false"/>
      <w:suff w:val="tab"/>
      <w:lvlText w:val="%1.%2.%3.%4 "/>
      <w:lvlJc w:val="left"/>
      <w:pPr>
        <w:ind w:left="0" w:firstLine="0"/>
      </w:pPr>
      <w:rPr>
        <w:rFonts w:ascii="SimSun" w:hAnsi="SimSun" w:eastAsia="SimSun" w:cs="SimSun"/>
      </w:rPr>
    </w:lvl>
    <w:lvl w:ilvl="4">
      <w:start w:val="1"/>
      <w:numFmt w:val="decimal"/>
      <w:isLgl w:val="false"/>
      <w:suff w:val="tab"/>
      <w:lvlText w:val="%5."/>
      <w:lvlJc w:val="left"/>
      <w:pPr>
        <w:ind w:left="0" w:firstLine="0"/>
      </w:pPr>
      <w:rPr>
        <w:rFonts w:ascii="SimSun" w:hAnsi="SimSun" w:eastAsia="SimSun" w:cs="SimSun"/>
      </w:rPr>
    </w:lvl>
    <w:lvl w:ilvl="5">
      <w:start w:val="1"/>
      <w:numFmt w:val="decimal"/>
      <w:isLgl w:val="false"/>
      <w:suff w:val="tab"/>
      <w:lvlText w:val="%6）"/>
      <w:lvlJc w:val="left"/>
      <w:pPr>
        <w:ind w:left="0" w:firstLine="0"/>
      </w:pPr>
      <w:rPr>
        <w:rFonts w:ascii="SimSun" w:hAnsi="SimSun" w:eastAsia="SimSun" w:cs="SimSun"/>
      </w:rPr>
    </w:lvl>
    <w:lvl w:ilvl="6">
      <w:start w:val="1"/>
      <w:numFmt w:val="decimal"/>
      <w:isLgl w:val="false"/>
      <w:suff w:val="tab"/>
      <w:lvlText w:val="（%7）"/>
      <w:lvlJc w:val="left"/>
      <w:pPr>
        <w:ind w:left="1844" w:hanging="1276"/>
      </w:pPr>
      <w:rPr>
        <w:rFonts w:ascii="SimSun" w:hAnsi="SimSun" w:eastAsia="SimSun" w:cs="SimSun"/>
        <w:sz w:val="24"/>
      </w:rPr>
    </w:lvl>
    <w:lvl w:ilvl="7">
      <w:start w:val="1"/>
      <w:numFmt w:val="decimal"/>
      <w:isLgl w:val="false"/>
      <w:suff w:val="tab"/>
      <w:lvlText w:val="%1.%2.%3.%4.%5.%6.%7.%8"/>
      <w:lvlJc w:val="left"/>
      <w:pPr>
        <w:ind w:left="4394" w:hanging="1418"/>
      </w:pPr>
      <w:rPr>
        <w:rFonts w:ascii="SimSun" w:hAnsi="SimSun" w:eastAsia="SimSun" w:cs="SimSun"/>
      </w:rPr>
    </w:lvl>
    <w:lvl w:ilvl="8">
      <w:start w:val="1"/>
      <w:numFmt w:val="decimal"/>
      <w:isLgl w:val="false"/>
      <w:suff w:val="tab"/>
      <w:lvlText w:val="%1.%2.%3.%4.%5.%6.%7.%8.%9"/>
      <w:lvlJc w:val="left"/>
      <w:pPr>
        <w:ind w:left="5102" w:hanging="17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杨营</cp:lastModifiedBy>
  <cp:revision>4</cp:revision>
  <dcterms:created xsi:type="dcterms:W3CDTF">2026-04-28T01:30:15Z</dcterms:created>
  <dcterms:modified xsi:type="dcterms:W3CDTF">2026-05-14T04:57:26Z</dcterms:modified>
</cp:coreProperties>
</file>