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pStyle w:val="935"/>
      </w:pPr>
      <w:r/>
      <w:r/>
    </w:p>
    <w:p>
      <w:pPr>
        <w:pStyle w:val="946"/>
        <w:jc w:val="center"/>
        <w:rPr>
          <w:rFonts w:eastAsia="黑体"/>
          <w:b/>
          <w:bCs/>
          <w:sz w:val="84"/>
        </w:rPr>
      </w:pPr>
      <w:r>
        <w:rPr>
          <w:rFonts w:hint="eastAsia" w:eastAsia="黑体"/>
          <w:b/>
          <w:bCs/>
          <w:sz w:val="84"/>
        </w:rPr>
        <w:t xml:space="preserve">招　标　文　件</w:t>
      </w:r>
      <w:r/>
    </w:p>
    <w:p>
      <w:pPr>
        <w:ind w:firstLine="1506"/>
        <w:rPr>
          <w:b/>
          <w:sz w:val="30"/>
          <w:szCs w:val="30"/>
          <w:u w:val="single"/>
        </w:rPr>
      </w:pPr>
      <w:r>
        <w:rPr>
          <w:rFonts w:hint="eastAsia"/>
          <w:b/>
          <w:sz w:val="30"/>
          <w:szCs w:val="30"/>
        </w:rPr>
        <w:t xml:space="preserve">项目名称：</w:t>
      </w:r>
      <w:r>
        <w:rPr>
          <w:rFonts w:hint="eastAsia"/>
          <w:b/>
          <w:sz w:val="32"/>
          <w:szCs w:val="32"/>
        </w:rPr>
        <w:t xml:space="preserve">湖熟街道丹桂社区丹桂农事服务中心项目（大米加工项目）</w:t>
      </w:r>
      <w:r>
        <w:rPr>
          <w:rFonts w:hint="eastAsia"/>
          <w:b/>
          <w:sz w:val="32"/>
          <w:szCs w:val="32"/>
        </w:rPr>
        <w:t xml:space="preserve"> </w:t>
      </w:r>
      <w:r/>
    </w:p>
    <w:p>
      <w:pPr>
        <w:ind w:firstLine="1506"/>
        <w:rPr>
          <w:b/>
          <w:sz w:val="30"/>
          <w:szCs w:val="30"/>
        </w:rPr>
      </w:pPr>
      <w:r>
        <w:rPr>
          <w:rFonts w:hint="eastAsia"/>
          <w:b/>
          <w:sz w:val="30"/>
          <w:szCs w:val="30"/>
        </w:rPr>
        <w:t xml:space="preserve">项目编号：</w:t>
      </w:r>
      <w:r>
        <w:rPr>
          <w:rFonts w:hint="eastAsia"/>
          <w:b/>
          <w:sz w:val="32"/>
          <w:szCs w:val="32"/>
        </w:rPr>
        <w:t xml:space="preserve">JSZC-320115-JYCS-G2026-0003</w:t>
      </w:r>
      <w:r>
        <w:rPr>
          <w:rFonts w:hint="eastAsia"/>
          <w:b/>
          <w:sz w:val="30"/>
          <w:szCs w:val="30"/>
        </w:rPr>
        <w:t xml:space="preserve">              </w:t>
      </w:r>
      <w:r/>
    </w:p>
    <w:p>
      <w:pPr>
        <w:jc w:val="center"/>
        <w:rPr>
          <w:b/>
          <w:color w:val="ff0000"/>
          <w:sz w:val="30"/>
          <w:szCs w:val="30"/>
        </w:rPr>
      </w:pPr>
      <w:r>
        <w:rPr>
          <w:b/>
          <w:color w:val="ff0000"/>
          <w:sz w:val="30"/>
          <w:szCs w:val="30"/>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704"/>
        <w:rPr>
          <w:rFonts w:hint="eastAsia"/>
        </w:rPr>
      </w:pPr>
      <w:r>
        <w:rPr>
          <w:rFonts w:hint="eastAsia"/>
        </w:rPr>
      </w:r>
      <w:r/>
    </w:p>
    <w:p>
      <w:r/>
      <w:r/>
    </w:p>
    <w:p>
      <w:pPr>
        <w:pStyle w:val="704"/>
        <w:rPr>
          <w:rFonts w:hint="eastAsia"/>
        </w:rPr>
      </w:pPr>
      <w:r>
        <w:rPr>
          <w:rFonts w:hint="eastAsia"/>
        </w:rPr>
      </w:r>
      <w:r/>
    </w:p>
    <w:p>
      <w:pPr>
        <w:pStyle w:val="704"/>
        <w:rPr>
          <w:rFonts w:hint="eastAsia"/>
        </w:rPr>
      </w:pPr>
      <w:r>
        <w:rPr>
          <w:rFonts w:hint="eastAsia"/>
        </w:rPr>
      </w:r>
      <w:r/>
    </w:p>
    <w:p>
      <w:r/>
      <w:r/>
    </w:p>
    <w:p>
      <w:pPr>
        <w:pStyle w:val="704"/>
        <w:rPr>
          <w:rFonts w:hint="eastAsia"/>
        </w:rPr>
      </w:pPr>
      <w:r>
        <w:rPr>
          <w:rFonts w:hint="eastAsia"/>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946"/>
        <w:ind w:firstLine="0"/>
        <w:jc w:val="center"/>
        <w:rPr>
          <w:b/>
          <w:bCs/>
          <w:sz w:val="32"/>
        </w:rPr>
      </w:pPr>
      <w:r>
        <w:rPr>
          <w:rFonts w:hint="eastAsia"/>
          <w:b/>
          <w:bCs/>
          <w:sz w:val="32"/>
        </w:rPr>
        <w:t xml:space="preserve">江苏金永诚建设投资管理咨询有限公司</w:t>
      </w:r>
      <w:r/>
    </w:p>
    <w:p>
      <w:pPr>
        <w:jc w:val="center"/>
        <w:rPr>
          <w:b/>
          <w:sz w:val="32"/>
          <w:szCs w:val="32"/>
        </w:rPr>
      </w:pPr>
      <w:r>
        <w:rPr>
          <w:rFonts w:hint="eastAsia"/>
          <w:b/>
          <w:sz w:val="32"/>
          <w:szCs w:val="32"/>
        </w:rPr>
        <w:t xml:space="preserve">20</w:t>
      </w:r>
      <w:r>
        <w:rPr>
          <w:b/>
          <w:sz w:val="32"/>
          <w:szCs w:val="32"/>
        </w:rPr>
        <w:t xml:space="preserve">2</w:t>
      </w:r>
      <w:r>
        <w:rPr>
          <w:rFonts w:hint="eastAsia"/>
          <w:b/>
          <w:sz w:val="32"/>
          <w:szCs w:val="32"/>
        </w:rPr>
        <w:t xml:space="preserve">6</w:t>
      </w:r>
      <w:r>
        <w:rPr>
          <w:rFonts w:hint="eastAsia"/>
          <w:b/>
          <w:sz w:val="32"/>
          <w:szCs w:val="32"/>
        </w:rPr>
        <w:t xml:space="preserve">年</w:t>
      </w:r>
      <w:r>
        <w:rPr>
          <w:b/>
          <w:sz w:val="32"/>
          <w:szCs w:val="32"/>
        </w:rPr>
        <w:t xml:space="preserve">0</w:t>
      </w:r>
      <w:r>
        <w:rPr>
          <w:rFonts w:hint="eastAsia"/>
          <w:b/>
          <w:sz w:val="32"/>
          <w:szCs w:val="32"/>
        </w:rPr>
        <w:t xml:space="preserve">4</w:t>
      </w:r>
      <w:r>
        <w:rPr>
          <w:rFonts w:hint="eastAsia"/>
          <w:b/>
          <w:sz w:val="32"/>
          <w:szCs w:val="32"/>
        </w:rPr>
        <w:t xml:space="preserve">月</w:t>
      </w:r>
      <w:r/>
    </w:p>
    <w:p>
      <w:pPr>
        <w:jc w:val="left"/>
        <w:spacing w:before="120" w:after="120" w:line="360" w:lineRule="auto"/>
        <w:rPr>
          <w:rFonts w:ascii="Arial" w:hAnsi="Arial"/>
          <w:sz w:val="24"/>
          <w:szCs w:val="24"/>
        </w:rPr>
      </w:pPr>
      <w:r>
        <w:rPr>
          <w:rFonts w:hint="eastAsia" w:ascii="Arial" w:hAnsi="Arial"/>
          <w:sz w:val="24"/>
          <w:szCs w:val="24"/>
        </w:rPr>
        <w:t xml:space="preserve">                        </w:t>
      </w:r>
      <w:r/>
    </w:p>
    <w:p>
      <w:pPr>
        <w:pStyle w:val="704"/>
        <w:rPr>
          <w:rFonts w:hint="eastAsia"/>
          <w:u w:val="single"/>
        </w:rPr>
      </w:pPr>
      <w:r>
        <w:br w:type="page" w:clear="all"/>
      </w:r>
      <w:r/>
    </w:p>
    <w:p>
      <w:pPr>
        <w:jc w:val="center"/>
        <w:spacing w:line="360" w:lineRule="auto"/>
        <w:rPr>
          <w:rFonts w:ascii="黑体" w:hAnsi="Arial" w:eastAsia="黑体"/>
          <w:b/>
          <w:sz w:val="44"/>
          <w:szCs w:val="21"/>
        </w:rPr>
        <w:outlineLvl w:val="0"/>
      </w:pPr>
      <w:r/>
      <w:bookmarkStart w:id="0" w:name="_Toc120614210"/>
      <w:r/>
      <w:bookmarkStart w:id="1" w:name="_Toc513029200"/>
      <w:r/>
      <w:bookmarkStart w:id="2" w:name="_Toc479757206"/>
      <w:r/>
      <w:bookmarkStart w:id="3" w:name="_Toc523127445"/>
      <w:r/>
      <w:bookmarkStart w:id="4" w:name="_Toc20823272"/>
      <w:r/>
      <w:bookmarkStart w:id="5" w:name="_Toc16938516"/>
      <w:r>
        <w:rPr>
          <w:rFonts w:hint="eastAsia" w:ascii="黑体" w:hAnsi="Arial" w:eastAsia="黑体"/>
          <w:b/>
          <w:sz w:val="44"/>
          <w:szCs w:val="21"/>
        </w:rPr>
        <w:t xml:space="preserve">总  目  录</w:t>
      </w:r>
      <w:r/>
    </w:p>
    <w:p>
      <w:pPr>
        <w:spacing w:line="360" w:lineRule="auto"/>
        <w:rPr>
          <w:rFonts w:ascii="仿宋_GB2312" w:hAnsi="Arial" w:eastAsia="仿宋_GB2312"/>
          <w:b/>
          <w:sz w:val="28"/>
          <w:szCs w:val="21"/>
        </w:rPr>
      </w:pPr>
      <w:r>
        <w:rPr>
          <w:rFonts w:ascii="仿宋_GB2312" w:hAnsi="Arial" w:eastAsia="仿宋_GB2312"/>
          <w:b/>
          <w:sz w:val="28"/>
          <w:szCs w:val="21"/>
        </w:rPr>
      </w:r>
      <w:r/>
    </w:p>
    <w:p>
      <w:pPr>
        <w:numPr>
          <w:ilvl w:val="0"/>
          <w:numId w:val="4"/>
        </w:numPr>
        <w:jc w:val="center"/>
        <w:spacing w:line="360" w:lineRule="auto"/>
        <w:rPr>
          <w:rFonts w:hint="eastAsia" w:ascii="黑体" w:hAnsi="宋体" w:eastAsia="黑体"/>
          <w:sz w:val="36"/>
          <w:szCs w:val="21"/>
        </w:rPr>
        <w:outlineLvl w:val="0"/>
      </w:pPr>
      <w:r>
        <w:rPr>
          <w:rFonts w:hint="eastAsia" w:ascii="黑体" w:hAnsi="宋体" w:eastAsia="黑体"/>
          <w:sz w:val="36"/>
          <w:szCs w:val="21"/>
        </w:rPr>
        <w:t xml:space="preserve">投标邀请…………………………………… </w:t>
      </w:r>
      <w:r>
        <w:rPr>
          <w:rFonts w:hint="eastAsia" w:ascii="黑体" w:hAnsi="宋体" w:eastAsia="黑体"/>
          <w:sz w:val="36"/>
          <w:szCs w:val="21"/>
        </w:rPr>
        <w:t xml:space="preserve">3</w:t>
      </w:r>
      <w:r/>
    </w:p>
    <w:p>
      <w:pPr>
        <w:numPr>
          <w:ilvl w:val="0"/>
          <w:numId w:val="4"/>
        </w:numPr>
        <w:jc w:val="center"/>
        <w:spacing w:line="360" w:lineRule="auto"/>
        <w:rPr>
          <w:rFonts w:hint="eastAsia" w:ascii="黑体" w:hAnsi="宋体" w:eastAsia="黑体"/>
          <w:sz w:val="36"/>
          <w:szCs w:val="21"/>
        </w:rPr>
        <w:outlineLvl w:val="0"/>
      </w:pPr>
      <w:r>
        <w:rPr>
          <w:rFonts w:hint="eastAsia" w:ascii="黑体" w:hAnsi="宋体" w:eastAsia="黑体"/>
          <w:sz w:val="36"/>
          <w:szCs w:val="21"/>
        </w:rPr>
        <w:t xml:space="preserve">投标人须知………………………………… </w:t>
      </w:r>
      <w:r>
        <w:rPr>
          <w:rFonts w:hint="eastAsia" w:ascii="黑体" w:hAnsi="宋体" w:eastAsia="黑体"/>
          <w:sz w:val="36"/>
          <w:szCs w:val="21"/>
        </w:rPr>
        <w:t xml:space="preserve">7</w:t>
      </w:r>
      <w:r/>
    </w:p>
    <w:p>
      <w:pPr>
        <w:numPr>
          <w:ilvl w:val="0"/>
          <w:numId w:val="4"/>
        </w:numPr>
        <w:jc w:val="center"/>
        <w:spacing w:line="360" w:lineRule="auto"/>
        <w:rPr>
          <w:rFonts w:hint="eastAsia" w:ascii="黑体" w:hAnsi="宋体" w:eastAsia="黑体"/>
          <w:sz w:val="36"/>
          <w:szCs w:val="21"/>
        </w:rPr>
        <w:outlineLvl w:val="0"/>
      </w:pPr>
      <w:r>
        <w:rPr>
          <w:rFonts w:hint="eastAsia" w:ascii="黑体" w:hAnsi="宋体" w:eastAsia="黑体"/>
          <w:sz w:val="36"/>
          <w:szCs w:val="21"/>
        </w:rPr>
        <w:t xml:space="preserve">合同文本……………………………………</w:t>
      </w:r>
      <w:r>
        <w:rPr>
          <w:rFonts w:ascii="黑体" w:hAnsi="宋体" w:eastAsia="黑体"/>
          <w:sz w:val="36"/>
          <w:szCs w:val="21"/>
        </w:rPr>
        <w:t xml:space="preserve">1</w:t>
      </w:r>
      <w:r>
        <w:rPr>
          <w:rFonts w:hint="eastAsia" w:ascii="黑体" w:hAnsi="宋体" w:eastAsia="黑体"/>
          <w:sz w:val="36"/>
          <w:szCs w:val="21"/>
        </w:rPr>
        <w:t xml:space="preserve">8</w:t>
      </w:r>
      <w:r/>
    </w:p>
    <w:p>
      <w:pPr>
        <w:numPr>
          <w:ilvl w:val="0"/>
          <w:numId w:val="4"/>
        </w:numPr>
        <w:jc w:val="center"/>
        <w:spacing w:line="360" w:lineRule="auto"/>
        <w:rPr>
          <w:rFonts w:hint="eastAsia" w:ascii="黑体" w:hAnsi="宋体" w:eastAsia="黑体"/>
          <w:sz w:val="36"/>
          <w:szCs w:val="21"/>
        </w:rPr>
        <w:outlineLvl w:val="0"/>
      </w:pPr>
      <w:r>
        <w:rPr>
          <w:rFonts w:hint="eastAsia" w:ascii="黑体" w:hAnsi="宋体" w:eastAsia="黑体"/>
          <w:sz w:val="36"/>
          <w:szCs w:val="21"/>
        </w:rPr>
        <w:t xml:space="preserve">采购需求……………………………………</w:t>
      </w:r>
      <w:r>
        <w:rPr>
          <w:rFonts w:hint="eastAsia" w:ascii="黑体" w:hAnsi="宋体" w:eastAsia="黑体"/>
          <w:sz w:val="36"/>
          <w:szCs w:val="21"/>
        </w:rPr>
        <w:t xml:space="preserve">2</w:t>
      </w:r>
      <w:r>
        <w:rPr>
          <w:rFonts w:ascii="黑体" w:hAnsi="宋体" w:eastAsia="黑体"/>
          <w:sz w:val="36"/>
          <w:szCs w:val="21"/>
        </w:rPr>
        <w:t xml:space="preserve">9</w:t>
      </w:r>
      <w:r/>
    </w:p>
    <w:p>
      <w:pPr>
        <w:numPr>
          <w:ilvl w:val="0"/>
          <w:numId w:val="4"/>
        </w:numPr>
        <w:jc w:val="center"/>
        <w:spacing w:line="360" w:lineRule="auto"/>
        <w:rPr>
          <w:rFonts w:hint="eastAsia" w:ascii="黑体" w:hAnsi="宋体" w:eastAsia="黑体"/>
          <w:sz w:val="36"/>
          <w:szCs w:val="21"/>
        </w:rPr>
        <w:outlineLvl w:val="0"/>
      </w:pPr>
      <w:r>
        <w:rPr>
          <w:rFonts w:hint="eastAsia" w:ascii="黑体" w:hAnsi="宋体" w:eastAsia="黑体"/>
          <w:sz w:val="36"/>
          <w:szCs w:val="21"/>
        </w:rPr>
        <w:t xml:space="preserve">评标方法与评标标准………………………</w:t>
      </w:r>
      <w:r>
        <w:rPr>
          <w:rFonts w:hint="eastAsia" w:ascii="黑体" w:hAnsi="宋体" w:eastAsia="黑体"/>
          <w:sz w:val="36"/>
          <w:szCs w:val="21"/>
        </w:rPr>
        <w:t xml:space="preserve">49</w:t>
      </w:r>
      <w:r/>
    </w:p>
    <w:p>
      <w:pPr>
        <w:numPr>
          <w:ilvl w:val="0"/>
          <w:numId w:val="4"/>
        </w:numPr>
        <w:jc w:val="center"/>
        <w:spacing w:line="360" w:lineRule="auto"/>
        <w:rPr>
          <w:rFonts w:hint="eastAsia" w:ascii="黑体" w:hAnsi="宋体" w:eastAsia="黑体"/>
          <w:sz w:val="36"/>
          <w:szCs w:val="21"/>
        </w:rPr>
        <w:outlineLvl w:val="0"/>
      </w:pPr>
      <w:r>
        <w:rPr>
          <w:rFonts w:hint="eastAsia" w:ascii="黑体" w:hAnsi="宋体" w:eastAsia="黑体"/>
          <w:sz w:val="36"/>
          <w:szCs w:val="21"/>
        </w:rPr>
        <w:t xml:space="preserve">投标文件格式………………………………</w:t>
      </w:r>
      <w:r>
        <w:rPr>
          <w:rFonts w:hint="eastAsia" w:ascii="黑体" w:hAnsi="宋体" w:eastAsia="黑体"/>
          <w:sz w:val="36"/>
          <w:szCs w:val="21"/>
        </w:rPr>
        <w:t xml:space="preserve">52</w:t>
      </w:r>
      <w:r/>
    </w:p>
    <w:p>
      <w:pPr>
        <w:rPr>
          <w:rFonts w:ascii="黑体" w:hAnsi="Arial" w:eastAsia="黑体"/>
          <w:b/>
          <w:sz w:val="44"/>
          <w:szCs w:val="21"/>
        </w:rPr>
      </w:pPr>
      <w:r>
        <w:rPr>
          <w:rFonts w:ascii="黑体" w:hAnsi="Arial" w:eastAsia="黑体"/>
          <w:b/>
          <w:sz w:val="44"/>
          <w:szCs w:val="21"/>
        </w:rPr>
      </w:r>
      <w:r/>
    </w:p>
    <w:p>
      <w:pPr>
        <w:pStyle w:val="704"/>
        <w:rPr>
          <w:rFonts w:hint="eastAsia"/>
        </w:rPr>
      </w:pPr>
      <w:r>
        <w:rPr>
          <w:rFonts w:hint="eastAsia"/>
        </w:rPr>
      </w:r>
      <w:bookmarkEnd w:id="0"/>
      <w:r/>
    </w:p>
    <w:p>
      <w:pPr>
        <w:ind w:right="840"/>
        <w:jc w:val="center"/>
        <w:rPr>
          <w:rFonts w:hint="eastAsia"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第一章  投标邀请</w:t>
      </w:r>
      <w:r/>
    </w:p>
    <w:p>
      <w:pPr>
        <w:ind w:firstLine="480"/>
        <w:spacing w:line="264" w:lineRule="auto"/>
        <w:rPr>
          <w:rFonts w:hint="eastAsia" w:ascii="宋体" w:hAnsi="宋体"/>
          <w:sz w:val="24"/>
          <w:szCs w:val="24"/>
        </w:rPr>
      </w:pPr>
      <w:r>
        <w:rPr>
          <w:rFonts w:hint="eastAsia" w:ascii="宋体" w:hAnsi="宋体"/>
          <w:sz w:val="24"/>
          <w:szCs w:val="24"/>
        </w:rPr>
      </w:r>
      <w:r/>
    </w:p>
    <w:p>
      <w:pPr>
        <w:ind w:firstLine="480"/>
        <w:spacing w:line="264" w:lineRule="auto"/>
        <w:rPr>
          <w:rFonts w:hint="eastAsia" w:ascii="宋体" w:hAnsi="宋体"/>
          <w:sz w:val="24"/>
          <w:szCs w:val="24"/>
        </w:rPr>
      </w:pPr>
      <w:r/>
      <w:bookmarkStart w:id="6" w:name="_Toc28359002"/>
      <w:r/>
      <w:bookmarkStart w:id="7" w:name="_Toc35393621"/>
      <w:r/>
      <w:bookmarkStart w:id="8" w:name="_Toc28359079"/>
      <w:r/>
      <w:bookmarkStart w:id="9" w:name="_Toc35393790"/>
      <w:r/>
      <w:bookmarkStart w:id="10" w:name="_Toc38985263"/>
      <w:r/>
      <w:bookmarkStart w:id="11" w:name="_Hlk24379207"/>
      <w:r>
        <w:rPr>
          <w:rFonts w:hint="eastAsia" w:ascii="宋体" w:hAnsi="宋体"/>
          <w:sz w:val="24"/>
          <w:szCs w:val="24"/>
        </w:rPr>
        <w:t xml:space="preserve">受</w:t>
      </w:r>
      <w:r>
        <w:rPr>
          <w:rFonts w:hint="eastAsia" w:ascii="宋体" w:hAnsi="宋体"/>
          <w:color w:val="ff0000"/>
          <w:sz w:val="24"/>
          <w:szCs w:val="24"/>
        </w:rPr>
        <w:t xml:space="preserve">南京市江宁区人民政府湖熟街道办事处</w:t>
      </w:r>
      <w:r>
        <w:rPr>
          <w:rFonts w:hint="eastAsia" w:ascii="宋体" w:hAnsi="宋体"/>
          <w:color w:val="ff0000"/>
          <w:sz w:val="24"/>
          <w:szCs w:val="24"/>
        </w:rPr>
        <w:t xml:space="preserve">、</w:t>
      </w:r>
      <w:r>
        <w:rPr>
          <w:rFonts w:hint="eastAsia" w:ascii="宋体" w:hAnsi="宋体"/>
          <w:color w:val="ff0000"/>
          <w:sz w:val="24"/>
          <w:szCs w:val="24"/>
        </w:rPr>
        <w:t xml:space="preserve">南京市江宁区湖熟街道丹桂村村民委员会</w:t>
      </w:r>
      <w:r>
        <w:rPr>
          <w:rFonts w:hint="eastAsia" w:ascii="宋体" w:hAnsi="宋体"/>
          <w:color w:val="ff0000"/>
          <w:sz w:val="24"/>
          <w:szCs w:val="24"/>
        </w:rPr>
        <w:t xml:space="preserve">（采购单位</w:t>
      </w:r>
      <w:r>
        <w:rPr>
          <w:rFonts w:hint="eastAsia" w:ascii="宋体" w:hAnsi="宋体"/>
          <w:sz w:val="24"/>
          <w:szCs w:val="24"/>
        </w:rPr>
        <w:t xml:space="preserve">）委托，江苏金永诚建设投资管理咨询有限公司（以下简称“代理机构”）就</w:t>
      </w:r>
      <w:r>
        <w:rPr>
          <w:rFonts w:hint="eastAsia" w:ascii="宋体" w:hAnsi="宋体"/>
          <w:sz w:val="24"/>
          <w:szCs w:val="24"/>
        </w:rPr>
        <w:t xml:space="preserve">湖熟街道丹桂社区丹桂农事服务中心项目（大米加工项目）</w:t>
      </w:r>
      <w:r>
        <w:rPr>
          <w:rFonts w:hint="eastAsia" w:ascii="宋体" w:hAnsi="宋体"/>
          <w:sz w:val="24"/>
          <w:szCs w:val="24"/>
        </w:rPr>
        <w:t xml:space="preserve">（项目名称）进行公开招标采购，欢迎符合条件的供应商投标。</w:t>
      </w:r>
      <w:r/>
    </w:p>
    <w:p>
      <w:pPr>
        <w:pStyle w:val="694"/>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r/>
    </w:p>
    <w:p>
      <w:pPr>
        <w:ind w:firstLine="480"/>
        <w:spacing w:line="264" w:lineRule="auto"/>
        <w:rPr>
          <w:rFonts w:hint="eastAsia" w:ascii="宋体" w:hAnsi="宋体"/>
          <w:sz w:val="24"/>
          <w:szCs w:val="24"/>
        </w:rPr>
      </w:pPr>
      <w:r/>
      <w:bookmarkStart w:id="12" w:name="_Toc38985264"/>
      <w:r/>
      <w:bookmarkStart w:id="13" w:name="_Toc28359080"/>
      <w:r/>
      <w:bookmarkStart w:id="14" w:name="_Toc35393791"/>
      <w:r/>
      <w:bookmarkStart w:id="15" w:name="_Toc35393622"/>
      <w:r/>
      <w:bookmarkStart w:id="16" w:name="_Toc28359003"/>
      <w:r/>
      <w:bookmarkEnd w:id="11"/>
      <w:r>
        <w:rPr>
          <w:rFonts w:hint="eastAsia" w:ascii="宋体" w:hAnsi="宋体"/>
          <w:sz w:val="24"/>
          <w:szCs w:val="24"/>
        </w:rPr>
        <w:t xml:space="preserve">1.项目编号：</w:t>
      </w:r>
      <w:r>
        <w:rPr>
          <w:rFonts w:hint="eastAsia" w:ascii="宋体" w:hAnsi="宋体"/>
          <w:sz w:val="24"/>
          <w:szCs w:val="24"/>
        </w:rPr>
        <w:t xml:space="preserve">JSZC-320115-JYCS-G2026-0003</w:t>
      </w:r>
      <w:r/>
    </w:p>
    <w:p>
      <w:pPr>
        <w:ind w:firstLine="480"/>
        <w:spacing w:line="264" w:lineRule="auto"/>
        <w:rPr>
          <w:rFonts w:hint="eastAsia"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湖熟街道丹桂社区丹桂农事服务中心项目（大米加工项目）</w:t>
      </w:r>
      <w:r/>
    </w:p>
    <w:p>
      <w:pPr>
        <w:ind w:firstLine="480"/>
        <w:spacing w:line="264" w:lineRule="auto"/>
        <w:rPr>
          <w:rFonts w:hint="eastAsia" w:ascii="宋体" w:hAnsi="宋体"/>
          <w:color w:val="ff0000"/>
          <w:sz w:val="24"/>
          <w:szCs w:val="24"/>
        </w:rPr>
      </w:pPr>
      <w:r>
        <w:rPr>
          <w:rFonts w:hint="eastAsia" w:ascii="宋体" w:hAnsi="宋体"/>
          <w:sz w:val="24"/>
          <w:szCs w:val="24"/>
        </w:rPr>
        <w:t xml:space="preserve">3.预算金额：</w:t>
      </w:r>
      <w:r>
        <w:rPr>
          <w:rFonts w:hint="eastAsia" w:ascii="宋体" w:hAnsi="宋体"/>
          <w:color w:val="ff0000"/>
          <w:sz w:val="24"/>
          <w:szCs w:val="24"/>
        </w:rPr>
        <w:t xml:space="preserve">2</w:t>
      </w:r>
      <w:r>
        <w:rPr>
          <w:rFonts w:hint="eastAsia" w:ascii="宋体" w:hAnsi="宋体"/>
          <w:color w:val="ff0000"/>
          <w:sz w:val="24"/>
          <w:szCs w:val="24"/>
        </w:rPr>
        <w:t xml:space="preserve">3</w:t>
      </w:r>
      <w:r>
        <w:rPr>
          <w:rFonts w:hint="eastAsia" w:ascii="宋体" w:hAnsi="宋体"/>
          <w:color w:val="ff0000"/>
          <w:sz w:val="24"/>
          <w:szCs w:val="24"/>
        </w:rPr>
        <w:t xml:space="preserve">0万元</w:t>
      </w:r>
      <w:r/>
    </w:p>
    <w:p>
      <w:pPr>
        <w:ind w:firstLine="480"/>
        <w:spacing w:line="264" w:lineRule="auto"/>
        <w:rPr>
          <w:rFonts w:hint="eastAsia" w:ascii="宋体" w:hAnsi="宋体"/>
          <w:sz w:val="24"/>
          <w:szCs w:val="24"/>
        </w:rPr>
      </w:pPr>
      <w:r>
        <w:rPr>
          <w:rFonts w:hint="eastAsia" w:ascii="宋体" w:hAnsi="宋体"/>
          <w:color w:val="ff0000"/>
          <w:sz w:val="24"/>
          <w:szCs w:val="24"/>
        </w:rPr>
        <w:t xml:space="preserve">4.最高限价：215</w:t>
      </w:r>
      <w:r>
        <w:rPr>
          <w:rFonts w:hint="eastAsia" w:ascii="宋体" w:hAnsi="宋体"/>
          <w:color w:val="ff0000"/>
          <w:sz w:val="24"/>
          <w:szCs w:val="24"/>
        </w:rPr>
        <w:t xml:space="preserve">.12</w:t>
      </w:r>
      <w:r>
        <w:rPr>
          <w:rFonts w:hint="eastAsia" w:ascii="宋体" w:hAnsi="宋体"/>
          <w:color w:val="ff0000"/>
          <w:sz w:val="24"/>
          <w:szCs w:val="24"/>
        </w:rPr>
        <w:t xml:space="preserve">万元（</w:t>
      </w:r>
      <w:r>
        <w:rPr>
          <w:rFonts w:hint="eastAsia" w:ascii="宋体" w:hAnsi="宋体"/>
          <w:color w:val="ff0000"/>
          <w:sz w:val="24"/>
          <w:szCs w:val="24"/>
        </w:rPr>
        <w:t xml:space="preserve">投标报价超过最高限价作无效标处理）</w:t>
      </w:r>
      <w:r/>
    </w:p>
    <w:p>
      <w:pPr>
        <w:ind w:firstLine="480"/>
        <w:spacing w:line="264" w:lineRule="auto"/>
        <w:rPr>
          <w:rFonts w:hint="eastAsia" w:ascii="宋体" w:hAnsi="宋体"/>
          <w:sz w:val="24"/>
          <w:szCs w:val="24"/>
          <w:u w:val="single"/>
        </w:rPr>
      </w:pPr>
      <w:r>
        <w:rPr>
          <w:rFonts w:hint="eastAsia" w:ascii="宋体" w:hAnsi="宋体"/>
          <w:sz w:val="24"/>
          <w:szCs w:val="24"/>
        </w:rPr>
        <w:t xml:space="preserve">5.采购需求（简介）：</w:t>
      </w:r>
      <w:bookmarkStart w:id="17" w:name="OLE_LINK11"/>
      <w:r>
        <w:rPr>
          <w:rFonts w:hint="eastAsia" w:ascii="宋体" w:hAnsi="宋体"/>
          <w:sz w:val="24"/>
          <w:szCs w:val="24"/>
        </w:rPr>
        <w:t xml:space="preserve">湖熟街道丹桂社区丹桂农事服务中心项目（大米加工项目）</w:t>
      </w:r>
      <w:r>
        <w:rPr>
          <w:rFonts w:hint="eastAsia" w:ascii="宋体" w:hAnsi="宋体"/>
          <w:sz w:val="24"/>
          <w:szCs w:val="24"/>
        </w:rPr>
        <w:t xml:space="preserve">，</w:t>
      </w:r>
      <w:r>
        <w:rPr>
          <w:rFonts w:hint="eastAsia" w:ascii="宋体" w:hAnsi="宋体"/>
          <w:sz w:val="24"/>
          <w:szCs w:val="24"/>
        </w:rPr>
        <w:t xml:space="preserve">详细内容见本招标文件第四章</w:t>
      </w:r>
      <w:r>
        <w:rPr>
          <w:rFonts w:hint="eastAsia" w:ascii="宋体" w:hAnsi="宋体"/>
          <w:sz w:val="24"/>
          <w:szCs w:val="24"/>
        </w:rPr>
        <w:t xml:space="preserve">。</w:t>
      </w:r>
      <w:bookmarkEnd w:id="17"/>
      <w:r/>
      <w:r/>
    </w:p>
    <w:p>
      <w:pPr>
        <w:ind w:firstLine="480"/>
        <w:spacing w:line="264" w:lineRule="auto"/>
        <w:rPr>
          <w:rFonts w:hint="eastAsia" w:ascii="宋体" w:hAnsi="宋体"/>
          <w:sz w:val="24"/>
          <w:szCs w:val="24"/>
        </w:rPr>
      </w:pPr>
      <w:r>
        <w:rPr>
          <w:rFonts w:hint="eastAsia" w:ascii="宋体" w:hAnsi="宋体"/>
          <w:sz w:val="24"/>
          <w:szCs w:val="24"/>
        </w:rPr>
        <w:t xml:space="preserve">6.合同履行期限：</w:t>
      </w:r>
      <w:bookmarkStart w:id="18" w:name="OLE_LINK12"/>
      <w:r>
        <w:rPr>
          <w:rFonts w:hint="eastAsia" w:ascii="宋体" w:hAnsi="宋体"/>
          <w:sz w:val="24"/>
          <w:szCs w:val="24"/>
        </w:rPr>
        <w:t xml:space="preserve">合同签订后3</w:t>
      </w:r>
      <w:r>
        <w:rPr>
          <w:rFonts w:hint="eastAsia" w:ascii="宋体" w:hAnsi="宋体"/>
          <w:sz w:val="24"/>
          <w:szCs w:val="24"/>
        </w:rPr>
        <w:t xml:space="preserve">0天</w:t>
      </w:r>
      <w:r>
        <w:rPr>
          <w:rFonts w:hint="eastAsia" w:ascii="宋体" w:hAnsi="宋体"/>
          <w:sz w:val="24"/>
          <w:szCs w:val="24"/>
        </w:rPr>
        <w:t xml:space="preserve">内交货</w:t>
      </w:r>
      <w:bookmarkEnd w:id="18"/>
      <w:r>
        <w:rPr>
          <w:rFonts w:hint="eastAsia" w:ascii="宋体" w:hAnsi="宋体"/>
          <w:sz w:val="24"/>
          <w:szCs w:val="24"/>
        </w:rPr>
        <w:t xml:space="preserve">。</w:t>
      </w:r>
      <w:r/>
    </w:p>
    <w:p>
      <w:pPr>
        <w:ind w:firstLine="480"/>
        <w:spacing w:line="264" w:lineRule="auto"/>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w:t>
      </w:r>
      <w:r>
        <w:rPr>
          <w:rFonts w:hint="eastAsia" w:ascii="宋体" w:hAnsi="宋体" w:cs="宋体"/>
          <w:sz w:val="24"/>
          <w:szCs w:val="24"/>
        </w:rPr>
        <w:t xml:space="preserve">本项目不接受联合体投标。</w:t>
      </w:r>
      <w:r/>
    </w:p>
    <w:p>
      <w:pPr>
        <w:pStyle w:val="694"/>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
    </w:p>
    <w:p>
      <w:pPr>
        <w:ind w:firstLine="480"/>
        <w:spacing w:line="264" w:lineRule="auto"/>
        <w:rPr>
          <w:rFonts w:hint="eastAsia" w:ascii="宋体" w:hAnsi="宋体" w:cs="宋体"/>
          <w:sz w:val="24"/>
          <w:szCs w:val="24"/>
        </w:rPr>
      </w:pPr>
      <w:r/>
      <w:bookmarkStart w:id="19" w:name="_Toc35393792"/>
      <w:r/>
      <w:bookmarkStart w:id="20" w:name="_Toc28359004"/>
      <w:r/>
      <w:bookmarkStart w:id="21" w:name="_Toc35393623"/>
      <w:r/>
      <w:bookmarkStart w:id="22" w:name="_Toc38985265"/>
      <w:r/>
      <w:bookmarkStart w:id="23" w:name="_Toc28359081"/>
      <w:r>
        <w:rPr>
          <w:rFonts w:hint="eastAsia" w:ascii="宋体" w:hAnsi="宋体" w:cs="宋体"/>
          <w:sz w:val="24"/>
          <w:szCs w:val="24"/>
        </w:rPr>
        <w:t xml:space="preserve">（一）通用资格要求</w:t>
      </w:r>
      <w:r/>
    </w:p>
    <w:p>
      <w:pPr>
        <w:ind w:firstLine="200"/>
        <w:jc w:val="left"/>
        <w:spacing w:line="440" w:lineRule="exact"/>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p>
    <w:p>
      <w:pPr>
        <w:ind w:firstLine="200"/>
        <w:jc w:val="left"/>
        <w:spacing w:line="440" w:lineRule="exact"/>
        <w:rPr>
          <w:rFonts w:hint="eastAsia" w:ascii="宋体" w:hAnsi="宋体"/>
          <w:sz w:val="24"/>
          <w:szCs w:val="24"/>
        </w:rPr>
      </w:pPr>
      <w:r>
        <w:rPr>
          <w:rFonts w:hint="eastAsia" w:ascii="宋体" w:hAnsi="宋体"/>
          <w:sz w:val="24"/>
          <w:szCs w:val="24"/>
        </w:rPr>
        <w:t xml:space="preserve">（1）</w:t>
      </w:r>
      <w:bookmarkStart w:id="24" w:name="OLE_LINK7"/>
      <w:r>
        <w:rPr>
          <w:rFonts w:hint="eastAsia" w:ascii="宋体" w:hAnsi="宋体"/>
          <w:sz w:val="24"/>
          <w:szCs w:val="24"/>
        </w:rPr>
        <w:t xml:space="preserve">具有独立承担民事责任的能力（提供法人或者其他组织的营业执照，供应商为自然人的提供自然人的身份证）；</w:t>
      </w:r>
      <w:bookmarkEnd w:id="24"/>
      <w:r/>
      <w:r/>
    </w:p>
    <w:p>
      <w:pPr>
        <w:ind w:firstLine="200"/>
        <w:jc w:val="left"/>
        <w:spacing w:line="440" w:lineRule="exact"/>
        <w:rPr>
          <w:rFonts w:hint="eastAsia" w:ascii="宋体" w:hAnsi="宋体"/>
          <w:sz w:val="24"/>
          <w:szCs w:val="24"/>
        </w:rPr>
      </w:pPr>
      <w:r>
        <w:rPr>
          <w:rFonts w:hint="eastAsia" w:ascii="宋体" w:hAnsi="宋体"/>
          <w:sz w:val="24"/>
          <w:szCs w:val="24"/>
        </w:rPr>
        <w:t xml:space="preserve">（2）具有良好的商业信誉和健全的财务会计制度（提供参加本次采购活动前的会计报表）；</w:t>
      </w:r>
      <w:r/>
    </w:p>
    <w:p>
      <w:pPr>
        <w:ind w:firstLine="200"/>
        <w:jc w:val="left"/>
        <w:spacing w:line="440" w:lineRule="exact"/>
        <w:rPr>
          <w:rFonts w:hint="eastAsia" w:ascii="宋体" w:hAnsi="宋体"/>
          <w:sz w:val="24"/>
          <w:szCs w:val="24"/>
        </w:rPr>
      </w:pPr>
      <w:r>
        <w:rPr>
          <w:rFonts w:hint="eastAsia" w:ascii="宋体" w:hAnsi="宋体"/>
          <w:sz w:val="24"/>
          <w:szCs w:val="24"/>
        </w:rPr>
        <w:t xml:space="preserve">（3）具有履行合同所必需的设备和专业技术能力（根据项目需求提供履行合同所必需的设备和专业技术能力的声明）；</w:t>
      </w:r>
      <w:r/>
    </w:p>
    <w:p>
      <w:pPr>
        <w:ind w:firstLine="200"/>
        <w:jc w:val="left"/>
        <w:spacing w:line="440" w:lineRule="exact"/>
        <w:rPr>
          <w:rFonts w:hint="eastAsia" w:ascii="宋体" w:hAnsi="宋体"/>
          <w:sz w:val="24"/>
          <w:szCs w:val="24"/>
        </w:rPr>
      </w:pPr>
      <w:r>
        <w:rPr>
          <w:rFonts w:hint="eastAsia" w:ascii="宋体" w:hAnsi="宋体"/>
          <w:sz w:val="24"/>
          <w:szCs w:val="24"/>
        </w:rPr>
        <w:t xml:space="preserve">（4）有依法缴纳税收和社会保障资金的良好记录（提供参加本次政府采购活动前一年内（至少一个月）依法缴纳税收和社会保障资金的相关材料）；</w:t>
      </w:r>
      <w:r/>
    </w:p>
    <w:p>
      <w:pPr>
        <w:ind w:firstLine="200"/>
        <w:jc w:val="left"/>
        <w:spacing w:line="440" w:lineRule="exact"/>
        <w:rPr>
          <w:rFonts w:hint="eastAsia" w:ascii="宋体" w:hAnsi="宋体"/>
          <w:sz w:val="24"/>
          <w:szCs w:val="24"/>
          <w:lang w:val="zh-CN"/>
        </w:rPr>
      </w:pPr>
      <w:r>
        <w:rPr>
          <w:rFonts w:hint="eastAsia" w:ascii="宋体" w:hAnsi="宋体"/>
          <w:sz w:val="24"/>
          <w:szCs w:val="24"/>
        </w:rPr>
        <w:t xml:space="preserve">（5）参加政府采购活动前三年内，在经营活动中没有重大违法记录（提供参加本次政府采购活动前3年内在经营活动中没有重大违法记录的书面声明）</w:t>
      </w:r>
      <w:r>
        <w:rPr>
          <w:rFonts w:hint="eastAsia" w:ascii="宋体" w:hAnsi="宋体"/>
          <w:sz w:val="24"/>
          <w:szCs w:val="24"/>
          <w:lang w:val="zh-CN"/>
        </w:rPr>
        <w:t xml:space="preserve">。</w:t>
      </w:r>
      <w:r/>
    </w:p>
    <w:p>
      <w:pPr>
        <w:ind w:firstLine="480"/>
        <w:spacing w:line="264" w:lineRule="auto"/>
        <w:rPr>
          <w:rFonts w:hint="eastAsia" w:ascii="宋体" w:hAnsi="宋体"/>
          <w:sz w:val="24"/>
          <w:szCs w:val="24"/>
          <w:lang w:val="zh-CN"/>
        </w:rPr>
      </w:pPr>
      <w:r>
        <w:rPr>
          <w:rFonts w:hint="eastAsia" w:ascii="宋体" w:hAnsi="宋体"/>
          <w:sz w:val="24"/>
          <w:szCs w:val="24"/>
        </w:rPr>
        <w:t xml:space="preserve">2.落实政府采购政策需满足的资格要求：</w:t>
      </w:r>
      <w:r/>
    </w:p>
    <w:p>
      <w:pPr>
        <w:ind w:firstLine="480"/>
        <w:spacing w:line="264" w:lineRule="auto"/>
        <w:rPr>
          <w:rFonts w:hint="eastAsia" w:ascii="宋体" w:hAnsi="宋体"/>
          <w:color w:val="ff0000"/>
          <w:sz w:val="24"/>
          <w:szCs w:val="24"/>
          <w:lang w:val="zh-CN"/>
        </w:rPr>
      </w:pPr>
      <w:r/>
      <w:bookmarkStart w:id="25" w:name="OLE_LINK13"/>
      <w:r>
        <w:rPr>
          <w:rFonts w:hint="eastAsia" w:ascii="宋体" w:hAnsi="宋体"/>
          <w:color w:val="ff0000"/>
          <w:sz w:val="24"/>
          <w:szCs w:val="24"/>
          <w:lang w:val="zh-CN"/>
        </w:rPr>
        <w:t xml:space="preserve">如属于专门面向中小企业采购的项目，供应商应为中小微企业、监狱企业、残疾人福利性单位</w:t>
      </w:r>
      <w:r/>
    </w:p>
    <w:p>
      <w:pPr>
        <w:ind w:firstLine="480"/>
        <w:spacing w:line="264" w:lineRule="auto"/>
        <w:rPr>
          <w:rFonts w:hint="eastAsia" w:ascii="宋体" w:hAnsi="宋体"/>
          <w:color w:val="ff0000"/>
          <w:sz w:val="24"/>
          <w:szCs w:val="24"/>
          <w:lang w:val="zh-CN"/>
        </w:rPr>
      </w:pPr>
      <w:r>
        <w:rPr>
          <w:rFonts w:hint="eastAsia" w:ascii="宋体" w:hAnsi="宋体"/>
          <w:color w:val="ff0000"/>
          <w:sz w:val="24"/>
          <w:szCs w:val="24"/>
          <w:lang w:val="zh-CN"/>
        </w:rPr>
        <w:t xml:space="preserve">本项目按照采用以下第( 1 )种方式落实政府采购促进中小企业发展的要求:</w:t>
      </w:r>
      <w:r/>
    </w:p>
    <w:p>
      <w:pPr>
        <w:ind w:firstLine="480"/>
        <w:spacing w:line="264" w:lineRule="auto"/>
        <w:rPr>
          <w:rFonts w:hint="eastAsia" w:ascii="宋体" w:hAnsi="宋体"/>
          <w:color w:val="ff0000"/>
          <w:sz w:val="24"/>
          <w:szCs w:val="24"/>
          <w:lang w:val="zh-CN"/>
        </w:rPr>
      </w:pPr>
      <w:r>
        <w:rPr>
          <w:rFonts w:hint="eastAsia" w:ascii="宋体" w:hAnsi="宋体"/>
          <w:color w:val="ff0000"/>
          <w:sz w:val="24"/>
          <w:szCs w:val="24"/>
          <w:lang w:val="zh-CN"/>
        </w:rPr>
        <w:t xml:space="preserve">（1）本项目整体专门面向中小企业采购。</w:t>
      </w:r>
      <w:r/>
    </w:p>
    <w:p>
      <w:pPr>
        <w:ind w:firstLine="480"/>
        <w:spacing w:line="264" w:lineRule="auto"/>
        <w:rPr>
          <w:rFonts w:hint="eastAsia" w:ascii="宋体" w:hAnsi="宋体"/>
          <w:color w:val="ff0000"/>
          <w:sz w:val="24"/>
          <w:szCs w:val="24"/>
          <w:lang w:val="zh-CN"/>
        </w:rPr>
      </w:pPr>
      <w:r>
        <w:rPr>
          <w:rFonts w:hint="eastAsia" w:ascii="宋体" w:hAnsi="宋体"/>
          <w:color w:val="ff0000"/>
          <w:sz w:val="24"/>
          <w:szCs w:val="24"/>
          <w:lang w:val="zh-CN"/>
        </w:rPr>
        <w:t xml:space="preserve">（2）本项目整体专门面向小微企业采购。</w:t>
      </w:r>
      <w:r/>
    </w:p>
    <w:p>
      <w:pPr>
        <w:ind w:firstLine="480"/>
        <w:spacing w:line="264" w:lineRule="auto"/>
        <w:rPr>
          <w:rFonts w:hint="eastAsia" w:ascii="宋体" w:hAnsi="宋体"/>
          <w:color w:val="ff0000"/>
          <w:sz w:val="24"/>
          <w:szCs w:val="24"/>
          <w:lang w:val="zh-CN"/>
        </w:rPr>
      </w:pPr>
      <w:r>
        <w:rPr>
          <w:rFonts w:hint="eastAsia" w:ascii="宋体" w:hAnsi="宋体"/>
          <w:color w:val="ff0000"/>
          <w:sz w:val="24"/>
          <w:szCs w:val="24"/>
          <w:lang w:val="zh-CN"/>
        </w:rPr>
        <w:t xml:space="preserve">（3）本项目通过以下第种方式预留部分采购份额采购中小企业服务:①本项目要求供应商以联合体形式参加，企业合同金额应当达到的比例为%。②本项目要求供应商进行合同分包，企业合同金额应当达到的比例为%。</w:t>
      </w:r>
      <w:r/>
    </w:p>
    <w:p>
      <w:pPr>
        <w:ind w:firstLine="480"/>
        <w:spacing w:line="264" w:lineRule="auto"/>
        <w:rPr>
          <w:rFonts w:hint="eastAsia" w:ascii="宋体" w:hAnsi="宋体"/>
          <w:color w:val="ff0000"/>
          <w:sz w:val="24"/>
          <w:szCs w:val="24"/>
          <w:lang w:val="zh-CN"/>
        </w:rPr>
      </w:pPr>
      <w:r>
        <w:rPr>
          <w:rFonts w:hint="eastAsia" w:ascii="宋体" w:hAnsi="宋体"/>
          <w:color w:val="ff0000"/>
          <w:sz w:val="24"/>
          <w:szCs w:val="24"/>
          <w:lang w:val="zh-CN"/>
        </w:rPr>
        <w:t xml:space="preserve">（4）本项目为非预留份额的采购项目或采购包，执行价格扣除优惠政策，具体详见采购文件。</w:t>
      </w:r>
      <w:r/>
    </w:p>
    <w:p>
      <w:pPr>
        <w:ind w:firstLine="480"/>
        <w:spacing w:line="264" w:lineRule="auto"/>
        <w:rPr>
          <w:rFonts w:hint="eastAsia" w:ascii="宋体" w:hAnsi="宋体"/>
          <w:sz w:val="24"/>
          <w:szCs w:val="24"/>
          <w:lang w:val="zh-CN"/>
        </w:rPr>
      </w:pPr>
      <w:r/>
      <w:bookmarkStart w:id="26" w:name="OLE_LINK14"/>
      <w:r/>
      <w:bookmarkEnd w:id="25"/>
      <w:r>
        <w:rPr>
          <w:rFonts w:hint="eastAsia" w:ascii="宋体" w:hAnsi="宋体"/>
          <w:sz w:val="24"/>
          <w:szCs w:val="24"/>
          <w:lang w:val="zh-CN"/>
        </w:rPr>
        <w:t xml:space="preserve">本项目采购标的对应的中小企业划分标准所属行业为：工业。</w:t>
      </w:r>
      <w:bookmarkEnd w:id="26"/>
      <w:r/>
    </w:p>
    <w:p>
      <w:pPr>
        <w:ind w:firstLine="480"/>
        <w:spacing w:line="264" w:lineRule="auto"/>
        <w:rPr>
          <w:rFonts w:hint="eastAsia" w:ascii="宋体" w:hAnsi="宋体"/>
          <w:sz w:val="24"/>
          <w:szCs w:val="24"/>
        </w:rPr>
      </w:pPr>
      <w:r>
        <w:rPr>
          <w:rFonts w:hint="eastAsia" w:ascii="宋体" w:hAnsi="宋体" w:cs="宋体"/>
          <w:sz w:val="24"/>
          <w:szCs w:val="24"/>
        </w:rPr>
        <w:t xml:space="preserve">（二）本项目特定资格要求：无</w:t>
      </w:r>
      <w:r>
        <w:rPr>
          <w:rFonts w:hint="eastAsia" w:ascii="宋体" w:hAnsi="宋体"/>
          <w:sz w:val="24"/>
          <w:szCs w:val="24"/>
        </w:rPr>
        <w:t xml:space="preserve">。</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（三）拒绝下述供应商参加本次采购活动</w:t>
      </w:r>
      <w:r/>
    </w:p>
    <w:p>
      <w:pPr>
        <w:ind w:firstLine="480"/>
        <w:spacing w:line="264" w:lineRule="auto"/>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ind w:firstLine="480"/>
        <w:spacing w:line="264" w:lineRule="auto"/>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ind w:firstLine="200"/>
        <w:jc w:val="left"/>
        <w:spacing w:line="440" w:lineRule="exact"/>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p>
    <w:p>
      <w:pPr>
        <w:pStyle w:val="694"/>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9"/>
      <w:r/>
      <w:bookmarkEnd w:id="20"/>
      <w:r/>
      <w:bookmarkEnd w:id="21"/>
      <w:r/>
      <w:bookmarkEnd w:id="22"/>
      <w:r/>
      <w:bookmarkEnd w:id="23"/>
      <w:r/>
      <w:r/>
    </w:p>
    <w:p>
      <w:pPr>
        <w:ind w:firstLine="480"/>
        <w:spacing w:line="264" w:lineRule="auto"/>
        <w:rPr>
          <w:rFonts w:hint="eastAsia" w:ascii="宋体" w:hAnsi="宋体" w:cs="宋体"/>
          <w:sz w:val="24"/>
          <w:szCs w:val="24"/>
        </w:rPr>
      </w:pPr>
      <w:r/>
      <w:bookmarkStart w:id="27" w:name="_Toc28359082"/>
      <w:r/>
      <w:bookmarkStart w:id="28" w:name="_Toc28359005"/>
      <w:r/>
      <w:bookmarkStart w:id="29" w:name="_Toc38985266"/>
      <w:r/>
      <w:bookmarkStart w:id="30" w:name="_Toc35393624"/>
      <w:r/>
      <w:bookmarkStart w:id="31" w:name="_Toc35393793"/>
      <w:r>
        <w:rPr>
          <w:rFonts w:hint="eastAsia" w:ascii="宋体" w:hAnsi="宋体" w:cs="宋体"/>
          <w:sz w:val="24"/>
          <w:szCs w:val="24"/>
        </w:rPr>
        <w:t xml:space="preserve">1.时间：自招标文件公告发布之日起5工作日。</w:t>
      </w:r>
      <w:r/>
    </w:p>
    <w:p>
      <w:pPr>
        <w:ind w:firstLine="480"/>
        <w:spacing w:line="264" w:lineRule="auto"/>
        <w:rPr>
          <w:rFonts w:hint="eastAsia" w:ascii="宋体" w:hAnsi="宋体" w:cs="宋体"/>
          <w:sz w:val="24"/>
          <w:szCs w:val="24"/>
          <w:u w:val="single"/>
        </w:rPr>
      </w:pPr>
      <w:r>
        <w:rPr>
          <w:rFonts w:hint="eastAsia" w:ascii="宋体" w:hAnsi="宋体" w:cs="宋体"/>
          <w:sz w:val="24"/>
          <w:szCs w:val="24"/>
        </w:rPr>
        <w:t xml:space="preserve">2.方式：在“江苏政府采购网”免费下载。</w:t>
      </w:r>
      <w:r/>
    </w:p>
    <w:p>
      <w:pPr>
        <w:pStyle w:val="694"/>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7"/>
      <w:r/>
      <w:bookmarkEnd w:id="28"/>
      <w:r>
        <w:rPr>
          <w:rFonts w:hint="eastAsia" w:ascii="方正黑体_GBK" w:hAnsi="方正黑体_GBK" w:eastAsia="方正黑体_GBK" w:cs="方正黑体_GBK"/>
          <w:b w:val="0"/>
          <w:bCs w:val="0"/>
          <w:sz w:val="30"/>
          <w:szCs w:val="30"/>
        </w:rPr>
        <w:t xml:space="preserve">截止时间、开标时间和地点</w:t>
      </w:r>
      <w:bookmarkEnd w:id="29"/>
      <w:r/>
      <w:bookmarkEnd w:id="30"/>
      <w:r/>
      <w:bookmarkEnd w:id="31"/>
      <w:r/>
      <w:r/>
    </w:p>
    <w:p>
      <w:pPr>
        <w:ind w:firstLine="480"/>
        <w:spacing w:line="264" w:lineRule="auto"/>
        <w:rPr>
          <w:rFonts w:hint="eastAsia" w:ascii="宋体" w:hAnsi="宋体"/>
          <w:bCs/>
          <w:sz w:val="24"/>
          <w:szCs w:val="24"/>
          <w:u w:val="single"/>
        </w:rPr>
      </w:pPr>
      <w:r/>
      <w:bookmarkStart w:id="32" w:name="_Toc28359007"/>
      <w:r/>
      <w:bookmarkStart w:id="33" w:name="_Toc38985267"/>
      <w:r/>
      <w:bookmarkStart w:id="34" w:name="_Toc28359084"/>
      <w:r/>
      <w:bookmarkStart w:id="35" w:name="_Toc35393625"/>
      <w:r/>
      <w:bookmarkStart w:id="36" w:name="_Toc35393794"/>
      <w:r>
        <w:rPr>
          <w:rFonts w:hint="eastAsia" w:ascii="宋体" w:hAnsi="宋体" w:cs="宋体"/>
          <w:sz w:val="24"/>
          <w:szCs w:val="24"/>
        </w:rPr>
        <w:t xml:space="preserve">1.提交投标文件截止时间、开标时间：</w:t>
      </w:r>
      <w:r>
        <w:rPr>
          <w:rFonts w:hint="eastAsia" w:ascii="宋体" w:hAnsi="宋体" w:cs="宋体"/>
          <w:bCs/>
          <w:sz w:val="24"/>
          <w:szCs w:val="24"/>
        </w:rPr>
        <w:t xml:space="preserve">20</w:t>
      </w:r>
      <w:r>
        <w:rPr>
          <w:rFonts w:hint="eastAsia" w:ascii="宋体" w:hAnsi="宋体" w:cs="宋体"/>
          <w:sz w:val="24"/>
          <w:szCs w:val="24"/>
        </w:rPr>
        <w:t xml:space="preserve">26</w:t>
      </w:r>
      <w:r>
        <w:rPr>
          <w:rFonts w:hint="eastAsia" w:ascii="宋体" w:hAnsi="宋体"/>
          <w:bCs/>
          <w:sz w:val="24"/>
          <w:szCs w:val="24"/>
        </w:rPr>
        <w:t xml:space="preserve">年</w:t>
      </w:r>
      <w:r>
        <w:rPr>
          <w:rFonts w:hint="eastAsia" w:ascii="宋体" w:hAnsi="宋体" w:cs="宋体"/>
          <w:sz w:val="24"/>
          <w:szCs w:val="24"/>
        </w:rPr>
        <w:t xml:space="preserve">05</w:t>
      </w:r>
      <w:r>
        <w:rPr>
          <w:rFonts w:hint="eastAsia" w:ascii="宋体" w:hAnsi="宋体"/>
          <w:bCs/>
          <w:sz w:val="24"/>
          <w:szCs w:val="24"/>
        </w:rPr>
        <w:t xml:space="preserve">月</w:t>
      </w:r>
      <w:r>
        <w:rPr>
          <w:rFonts w:hint="eastAsia" w:ascii="宋体" w:hAnsi="宋体"/>
          <w:bCs/>
          <w:sz w:val="24"/>
          <w:szCs w:val="24"/>
        </w:rPr>
        <w:t xml:space="preserve">1</w:t>
      </w:r>
      <w:r>
        <w:rPr>
          <w:rFonts w:hint="eastAsia" w:ascii="宋体" w:hAnsi="宋体"/>
          <w:bCs/>
          <w:sz w:val="24"/>
          <w:szCs w:val="24"/>
        </w:rPr>
        <w:t xml:space="preserve">9</w:t>
      </w:r>
      <w:r>
        <w:rPr>
          <w:rFonts w:hint="eastAsia" w:ascii="宋体" w:hAnsi="宋体"/>
          <w:bCs/>
          <w:sz w:val="24"/>
          <w:szCs w:val="24"/>
        </w:rPr>
        <w:t xml:space="preserve">日</w:t>
      </w:r>
      <w:r>
        <w:rPr>
          <w:rFonts w:ascii="宋体" w:hAnsi="宋体" w:cs="宋体"/>
          <w:sz w:val="24"/>
          <w:szCs w:val="24"/>
        </w:rPr>
        <w:t xml:space="preserve">14</w:t>
      </w:r>
      <w:r>
        <w:rPr>
          <w:rFonts w:hint="eastAsia"/>
          <w:bCs/>
          <w:sz w:val="24"/>
          <w:szCs w:val="24"/>
        </w:rPr>
        <w:t xml:space="preserve">时</w:t>
      </w:r>
      <w:r>
        <w:rPr>
          <w:rFonts w:ascii="宋体" w:hAnsi="宋体" w:cs="宋体"/>
          <w:sz w:val="24"/>
          <w:szCs w:val="24"/>
        </w:rPr>
        <w:t xml:space="preserve">30</w:t>
      </w:r>
      <w:r>
        <w:rPr>
          <w:rFonts w:hint="eastAsia" w:ascii="宋体" w:hAnsi="宋体"/>
          <w:bCs/>
          <w:sz w:val="24"/>
          <w:szCs w:val="24"/>
        </w:rPr>
        <w:t xml:space="preserve">分（北京时间）。</w:t>
      </w:r>
      <w:r/>
    </w:p>
    <w:p>
      <w:pPr>
        <w:ind w:firstLine="480"/>
        <w:spacing w:line="264"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694"/>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32"/>
      <w:r/>
      <w:bookmarkEnd w:id="33"/>
      <w:r/>
      <w:bookmarkEnd w:id="34"/>
      <w:r/>
      <w:bookmarkEnd w:id="35"/>
      <w:r/>
      <w:bookmarkEnd w:id="36"/>
      <w:r/>
      <w:r/>
    </w:p>
    <w:p>
      <w:pPr>
        <w:ind w:firstLine="480"/>
        <w:spacing w:line="264" w:lineRule="auto"/>
        <w:rPr>
          <w:rFonts w:hint="eastAsia" w:ascii="宋体" w:hAnsi="宋体" w:cs="宋体"/>
          <w:sz w:val="24"/>
          <w:szCs w:val="24"/>
        </w:rPr>
      </w:pPr>
      <w:r/>
      <w:bookmarkStart w:id="37" w:name="_Toc35393795"/>
      <w:r/>
      <w:bookmarkStart w:id="38" w:name="_Toc38985268"/>
      <w:r/>
      <w:bookmarkStart w:id="39" w:name="_Toc35393626"/>
      <w:r>
        <w:rPr>
          <w:rFonts w:hint="eastAsia" w:ascii="宋体" w:hAnsi="宋体" w:cs="宋体"/>
          <w:sz w:val="24"/>
          <w:szCs w:val="24"/>
        </w:rPr>
        <w:t xml:space="preserve">公告期限为自本公告发布之日起5个工作日。</w:t>
      </w:r>
      <w:r/>
    </w:p>
    <w:p>
      <w:pPr>
        <w:pStyle w:val="694"/>
        <w:ind w:firstLine="498"/>
        <w:spacing w:before="145" w:after="145" w:line="264" w:lineRule="auto"/>
      </w:pPr>
      <w:r>
        <w:rPr>
          <w:rFonts w:hint="eastAsia"/>
        </w:rPr>
        <w:t xml:space="preserve">六、其他事宜</w:t>
      </w:r>
      <w:bookmarkEnd w:id="37"/>
      <w:r/>
      <w:bookmarkEnd w:id="38"/>
      <w:r/>
      <w:bookmarkEnd w:id="39"/>
      <w:r/>
      <w:r/>
    </w:p>
    <w:p>
      <w:pPr>
        <w:ind w:firstLine="480"/>
        <w:spacing w:line="264" w:lineRule="auto"/>
        <w:tabs>
          <w:tab w:val="left" w:pos="900" w:leader="none"/>
        </w:tabs>
        <w:rPr>
          <w:rFonts w:hint="eastAsia" w:ascii="宋体" w:hAnsi="宋体"/>
          <w:bCs/>
          <w:sz w:val="24"/>
          <w:szCs w:val="24"/>
        </w:rPr>
      </w:pPr>
      <w:r/>
      <w:bookmarkStart w:id="40" w:name="_Toc35393796"/>
      <w:r/>
      <w:bookmarkStart w:id="41" w:name="_Toc35393627"/>
      <w:r/>
      <w:bookmarkStart w:id="42" w:name="_Toc38985269"/>
      <w:r/>
      <w:bookmarkStart w:id="43" w:name="_Toc28359008"/>
      <w:r/>
      <w:bookmarkStart w:id="44" w:name="_Toc28359085"/>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64"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本项目不组织集中</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w:t>
      </w:r>
      <w:r>
        <w:rPr>
          <w:rFonts w:hint="eastAsia" w:ascii="仿宋" w:hAnsi="仿宋" w:eastAsia="仿宋"/>
          <w:color w:val="000000"/>
          <w:sz w:val="28"/>
          <w:szCs w:val="28"/>
          <w:shd w:val="clear" w:color="auto" w:fill="ffffff"/>
        </w:rPr>
        <w:t xml:space="preserve"> </w:t>
      </w:r>
      <w:r>
        <w:rPr>
          <w:rFonts w:hint="eastAsia" w:ascii="宋体" w:hAnsi="宋体" w:cs="宋体"/>
          <w:sz w:val="24"/>
          <w:szCs w:val="24"/>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hyperlink r:id="rId13" w:tooltip="http://www.ccgp-jiangsu.gov.cn/jiangsu/zlxz/ee/ee3a4bc5a3454aa2b0d9312230633ce9.html" w:history="1">
        <w:r>
          <w:rPr>
            <w:rStyle w:val="748"/>
            <w:rFonts w:hint="eastAsia" w:ascii="宋体" w:hAnsi="宋体" w:cs="宋体"/>
            <w:sz w:val="24"/>
            <w:szCs w:val="24"/>
          </w:rPr>
          <w:t xml:space="preserve">下载地址</w:t>
        </w:r>
      </w:hyperlink>
      <w:r>
        <w:rPr>
          <w:rFonts w:hint="eastAsia" w:ascii="宋体" w:hAnsi="宋体" w:cs="宋体"/>
          <w:sz w:val="24"/>
          <w:szCs w:val="24"/>
        </w:rPr>
        <w:t xml:space="preserve">（CTRL+鼠标左键）</w:t>
      </w:r>
      <w:r>
        <w:rPr>
          <w:rFonts w:hint="eastAsia" w:ascii="宋体" w:hAnsi="宋体" w:cs="宋体"/>
          <w:sz w:val="24"/>
          <w:szCs w:val="24"/>
        </w:rPr>
        <w:t xml:space="preserve">。</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w:t>
      </w:r>
      <w:r>
        <w:rPr>
          <w:rFonts w:hint="eastAsia" w:ascii="宋体" w:hAnsi="宋体" w:cs="宋体"/>
          <w:sz w:val="24"/>
          <w:szCs w:val="24"/>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宋体" w:hAnsi="宋体" w:cs="宋体"/>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p>
    <w:p>
      <w:pPr>
        <w:pStyle w:val="704"/>
        <w:ind w:firstLine="480"/>
        <w:rPr>
          <w:rFonts w:hint="eastAsia" w:cs="宋体"/>
          <w:sz w:val="24"/>
          <w:szCs w:val="24"/>
        </w:rPr>
      </w:pPr>
      <w:r>
        <w:rPr>
          <w:rFonts w:hint="eastAsia" w:cs="宋体"/>
          <w:sz w:val="24"/>
          <w:szCs w:val="24"/>
        </w:rPr>
        <w:t xml:space="preserve">在政府采购资格审查环节，供应商只需提供书面《南京市政府采购供应商信用记录表暨信用承诺书》，即可替代以下证明材料： </w:t>
      </w:r>
      <w:r/>
    </w:p>
    <w:p>
      <w:pPr>
        <w:pStyle w:val="704"/>
        <w:ind w:firstLine="480"/>
        <w:rPr>
          <w:rFonts w:hint="eastAsia" w:cs="宋体"/>
          <w:sz w:val="24"/>
          <w:szCs w:val="24"/>
        </w:rPr>
      </w:pPr>
      <w:r>
        <w:rPr>
          <w:rFonts w:hint="eastAsia" w:cs="宋体"/>
          <w:sz w:val="24"/>
          <w:szCs w:val="24"/>
        </w:rPr>
        <w:t xml:space="preserve">（1）符合国家相关规定的财务状况报告； </w:t>
      </w:r>
      <w:r/>
    </w:p>
    <w:p>
      <w:pPr>
        <w:pStyle w:val="704"/>
        <w:ind w:firstLine="480"/>
        <w:rPr>
          <w:rFonts w:hint="eastAsia" w:cs="宋体"/>
          <w:sz w:val="24"/>
          <w:szCs w:val="24"/>
        </w:rPr>
      </w:pPr>
      <w:r>
        <w:rPr>
          <w:rFonts w:hint="eastAsia" w:cs="宋体"/>
          <w:sz w:val="24"/>
          <w:szCs w:val="24"/>
        </w:rPr>
        <w:t xml:space="preserve">（2）依法缴纳税收的证明材料； </w:t>
      </w:r>
      <w:r/>
    </w:p>
    <w:p>
      <w:pPr>
        <w:pStyle w:val="704"/>
        <w:ind w:firstLine="480"/>
        <w:rPr>
          <w:rFonts w:hint="eastAsia" w:cs="宋体"/>
          <w:sz w:val="24"/>
          <w:szCs w:val="24"/>
        </w:rPr>
      </w:pPr>
      <w:r>
        <w:rPr>
          <w:rFonts w:hint="eastAsia" w:cs="宋体"/>
          <w:sz w:val="24"/>
          <w:szCs w:val="24"/>
        </w:rPr>
        <w:t xml:space="preserve">（3）依法缴纳社会保障资金的证明材料； </w:t>
      </w:r>
      <w:r/>
    </w:p>
    <w:p>
      <w:pPr>
        <w:pStyle w:val="704"/>
        <w:ind w:firstLine="480"/>
        <w:rPr>
          <w:rFonts w:hint="eastAsia" w:cs="宋体"/>
          <w:sz w:val="24"/>
          <w:szCs w:val="24"/>
        </w:rPr>
      </w:pPr>
      <w:r>
        <w:rPr>
          <w:rFonts w:hint="eastAsia" w:cs="宋体"/>
          <w:sz w:val="24"/>
          <w:szCs w:val="24"/>
        </w:rPr>
        <w:t xml:space="preserve">（4）具备履行政府采购合同所必需的设备和专业技术能力的证明材料； </w:t>
      </w:r>
      <w:r/>
    </w:p>
    <w:p>
      <w:pPr>
        <w:pStyle w:val="704"/>
        <w:ind w:firstLine="480"/>
        <w:rPr>
          <w:rFonts w:hint="eastAsia" w:cs="宋体"/>
          <w:sz w:val="24"/>
          <w:szCs w:val="24"/>
        </w:rPr>
      </w:pPr>
      <w:r>
        <w:rPr>
          <w:rFonts w:hint="eastAsia" w:cs="宋体"/>
          <w:sz w:val="24"/>
          <w:szCs w:val="24"/>
        </w:rPr>
        <w:t xml:space="preserve">（5）参加政府采购活动前三年内在经营活动中没有重大违法记录的证明材料； </w:t>
      </w:r>
      <w:r/>
    </w:p>
    <w:p>
      <w:pPr>
        <w:pStyle w:val="704"/>
        <w:ind w:firstLine="480"/>
        <w:rPr>
          <w:rFonts w:hint="eastAsia" w:cs="宋体"/>
          <w:sz w:val="24"/>
          <w:szCs w:val="24"/>
        </w:rPr>
      </w:pPr>
      <w:r>
        <w:rPr>
          <w:rFonts w:hint="eastAsia" w:cs="宋体"/>
          <w:sz w:val="24"/>
          <w:szCs w:val="24"/>
        </w:rPr>
        <w:t xml:space="preserve">（6）未被列入失信被执行人、重大税收违法失信主体、政府采购严重违法失信行为记录名单的证明材料。 供应商在中标（成交）后，应按采购文件要求，将上述由信用承诺书替代的证明材料提交采购人或采购代理机构核验。经核验无误后，由采购人或采购代理机构发出中标（成交）通知书。 供应商涉及以下情形的，不适用信用承诺： </w:t>
      </w:r>
      <w:r/>
    </w:p>
    <w:p>
      <w:pPr>
        <w:pStyle w:val="704"/>
        <w:ind w:firstLine="480"/>
        <w:rPr>
          <w:rFonts w:hint="eastAsia" w:cs="宋体"/>
          <w:sz w:val="24"/>
          <w:szCs w:val="24"/>
        </w:rPr>
      </w:pPr>
      <w:r>
        <w:rPr>
          <w:rFonts w:hint="eastAsia" w:cs="宋体"/>
          <w:sz w:val="24"/>
          <w:szCs w:val="24"/>
        </w:rPr>
        <w:t xml:space="preserve">（1）供应商被列入严重失信主体名单； </w:t>
      </w:r>
      <w:r/>
    </w:p>
    <w:p>
      <w:pPr>
        <w:pStyle w:val="704"/>
        <w:ind w:firstLine="480"/>
        <w:rPr>
          <w:rFonts w:hint="eastAsia" w:cs="宋体"/>
          <w:sz w:val="24"/>
          <w:szCs w:val="24"/>
        </w:rPr>
      </w:pPr>
      <w:r>
        <w:rPr>
          <w:rFonts w:hint="eastAsia" w:cs="宋体"/>
          <w:sz w:val="24"/>
          <w:szCs w:val="24"/>
        </w:rPr>
        <w:t xml:space="preserve">（2）被相关监管部门作出行政处罚且尚在处罚有效期内； </w:t>
      </w:r>
      <w:r/>
    </w:p>
    <w:p>
      <w:pPr>
        <w:pStyle w:val="704"/>
        <w:ind w:firstLine="480"/>
        <w:rPr>
          <w:rFonts w:hint="eastAsia" w:cs="宋体"/>
          <w:sz w:val="24"/>
          <w:szCs w:val="24"/>
        </w:rPr>
      </w:pPr>
      <w:r>
        <w:rPr>
          <w:rFonts w:hint="eastAsia" w:cs="宋体"/>
          <w:sz w:val="24"/>
          <w:szCs w:val="24"/>
        </w:rPr>
        <w:t xml:space="preserve">（3）其他法律、行政法规规定的不适用信用承诺的情形。 供应商对信用承诺内容的真实性、合法性、有效性负责。如作出虚假信用承诺，视同为“提供虚假材料谋取中标、成交”的违法行为。</w:t>
      </w:r>
      <w:r>
        <w:rPr>
          <w:rFonts w:hint="eastAsia" w:cs="宋体"/>
          <w:sz w:val="24"/>
          <w:szCs w:val="24"/>
        </w:rPr>
      </w:r>
      <w:r/>
    </w:p>
    <w:p>
      <w:pPr>
        <w:pStyle w:val="694"/>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40"/>
      <w:r/>
      <w:bookmarkEnd w:id="41"/>
      <w:r/>
      <w:bookmarkEnd w:id="42"/>
      <w:r/>
      <w:bookmarkEnd w:id="43"/>
      <w:r/>
      <w:bookmarkEnd w:id="44"/>
      <w:r/>
      <w:r/>
    </w:p>
    <w:p>
      <w:pPr>
        <w:ind w:firstLine="480"/>
        <w:spacing w:line="360" w:lineRule="auto"/>
        <w:rPr>
          <w:rFonts w:hint="eastAsia" w:ascii="宋体" w:hAnsi="宋体"/>
          <w:sz w:val="24"/>
          <w:szCs w:val="24"/>
        </w:rPr>
      </w:pPr>
      <w:r>
        <w:rPr>
          <w:rFonts w:hint="eastAsia" w:ascii="宋体" w:hAnsi="宋体"/>
          <w:sz w:val="24"/>
          <w:szCs w:val="24"/>
        </w:rPr>
        <w:t xml:space="preserve">1.采购人</w:t>
      </w:r>
      <w:r/>
    </w:p>
    <w:p>
      <w:pPr>
        <w:ind w:firstLine="480"/>
        <w:spacing w:line="360" w:lineRule="auto"/>
        <w:rPr>
          <w:rFonts w:hint="eastAsia" w:ascii="宋体" w:hAnsi="宋体"/>
          <w:sz w:val="24"/>
          <w:szCs w:val="24"/>
        </w:rPr>
      </w:pPr>
      <w:r>
        <w:rPr>
          <w:rFonts w:hint="eastAsia" w:ascii="宋体" w:hAnsi="宋体"/>
          <w:sz w:val="24"/>
          <w:szCs w:val="24"/>
        </w:rPr>
        <w:t xml:space="preserve">名  称：</w:t>
      </w:r>
      <w:r>
        <w:rPr>
          <w:rFonts w:hint="eastAsia" w:ascii="宋体" w:hAnsi="宋体"/>
          <w:color w:val="ff0000"/>
          <w:sz w:val="24"/>
          <w:szCs w:val="24"/>
        </w:rPr>
        <w:t xml:space="preserve">南京市江宁区人民政府湖熟街道办事处</w:t>
      </w:r>
      <w:r>
        <w:rPr>
          <w:rFonts w:hint="eastAsia" w:ascii="宋体" w:hAnsi="宋体"/>
          <w:color w:val="ff0000"/>
          <w:sz w:val="24"/>
          <w:szCs w:val="24"/>
        </w:rPr>
        <w:t xml:space="preserve">、</w:t>
      </w:r>
      <w:r>
        <w:rPr>
          <w:rFonts w:hint="eastAsia" w:ascii="宋体" w:hAnsi="宋体"/>
          <w:color w:val="ff0000"/>
          <w:sz w:val="24"/>
          <w:szCs w:val="24"/>
        </w:rPr>
        <w:t xml:space="preserve">南京市江宁区湖熟街道丹桂村</w:t>
      </w:r>
      <w:r>
        <w:rPr>
          <w:rFonts w:hint="eastAsia" w:ascii="宋体" w:hAnsi="宋体"/>
          <w:color w:val="ff0000"/>
          <w:sz w:val="24"/>
          <w:szCs w:val="24"/>
        </w:rPr>
        <w:t xml:space="preserve">村民委员会</w:t>
      </w:r>
      <w:r>
        <w:rPr>
          <w:rFonts w:hint="eastAsia" w:ascii="宋体" w:hAnsi="宋体"/>
          <w:color w:val="ff0000"/>
          <w:sz w:val="24"/>
          <w:szCs w:val="24"/>
        </w:rPr>
        <w:t xml:space="preserve"> </w:t>
      </w:r>
      <w:r>
        <w:rPr>
          <w:rFonts w:hint="eastAsia" w:ascii="宋体" w:hAnsi="宋体"/>
          <w:sz w:val="24"/>
          <w:szCs w:val="24"/>
        </w:rPr>
        <w:t xml:space="preserve">       </w:t>
      </w:r>
      <w:r/>
    </w:p>
    <w:p>
      <w:pPr>
        <w:ind w:firstLine="480"/>
        <w:spacing w:line="360" w:lineRule="auto"/>
        <w:rPr>
          <w:rFonts w:hint="eastAsia" w:ascii="宋体" w:hAnsi="宋体" w:cs="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南京市江宁区湖熟街道</w:t>
      </w:r>
      <w:r>
        <w:rPr>
          <w:rFonts w:hint="eastAsia" w:ascii="宋体" w:hAnsi="宋体"/>
          <w:sz w:val="24"/>
          <w:szCs w:val="24"/>
        </w:rPr>
        <w:t xml:space="preserve"> </w:t>
      </w:r>
      <w:r/>
    </w:p>
    <w:p>
      <w:pPr>
        <w:ind w:firstLine="480"/>
        <w:spacing w:line="360" w:lineRule="auto"/>
        <w:rPr>
          <w:rFonts w:hint="eastAsia" w:ascii="宋体" w:hAnsi="宋体"/>
          <w:sz w:val="24"/>
          <w:szCs w:val="24"/>
        </w:rPr>
      </w:pPr>
      <w:r>
        <w:rPr>
          <w:rFonts w:hint="eastAsia" w:ascii="宋体" w:hAnsi="宋体"/>
          <w:sz w:val="24"/>
          <w:szCs w:val="24"/>
        </w:rPr>
        <w:t xml:space="preserve">联系人：侯工</w:t>
      </w:r>
      <w:r/>
    </w:p>
    <w:p>
      <w:pPr>
        <w:ind w:firstLine="480"/>
        <w:spacing w:line="360" w:lineRule="auto"/>
        <w:rPr>
          <w:rFonts w:hint="eastAsia" w:ascii="宋体" w:hAnsi="宋体"/>
          <w:sz w:val="24"/>
          <w:szCs w:val="24"/>
        </w:rPr>
      </w:pPr>
      <w:r>
        <w:rPr>
          <w:rFonts w:hint="eastAsia" w:ascii="宋体" w:hAnsi="宋体"/>
          <w:sz w:val="24"/>
          <w:szCs w:val="24"/>
        </w:rPr>
        <w:t xml:space="preserve">联系电话：</w:t>
      </w:r>
      <w:bookmarkStart w:id="45" w:name="_Toc28359086"/>
      <w:r/>
      <w:bookmarkStart w:id="46" w:name="_Toc28359009"/>
      <w:r>
        <w:rPr>
          <w:rFonts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2.代理机构</w:t>
      </w:r>
      <w:bookmarkEnd w:id="45"/>
      <w:r/>
      <w:bookmarkEnd w:id="46"/>
      <w:r/>
      <w:r/>
    </w:p>
    <w:p>
      <w:pPr>
        <w:ind w:firstLine="480"/>
        <w:spacing w:line="360" w:lineRule="auto"/>
        <w:rPr>
          <w:rFonts w:hint="eastAsia" w:ascii="宋体" w:hAnsi="宋体"/>
          <w:sz w:val="24"/>
          <w:szCs w:val="24"/>
        </w:rPr>
      </w:pPr>
      <w:r>
        <w:rPr>
          <w:rFonts w:hint="eastAsia" w:ascii="宋体" w:hAnsi="宋体"/>
          <w:sz w:val="24"/>
          <w:szCs w:val="24"/>
        </w:rPr>
        <w:t xml:space="preserve">名  称：江苏金永诚建设投资管理咨询有限公司</w:t>
      </w:r>
      <w:r/>
    </w:p>
    <w:p>
      <w:pPr>
        <w:ind w:firstLine="480"/>
        <w:spacing w:line="360" w:lineRule="auto"/>
        <w:rPr>
          <w:rFonts w:hint="eastAsia" w:ascii="宋体" w:hAnsi="宋体"/>
          <w:sz w:val="24"/>
          <w:szCs w:val="24"/>
        </w:rPr>
      </w:pPr>
      <w:r>
        <w:rPr>
          <w:rFonts w:hint="eastAsia" w:ascii="宋体" w:hAnsi="宋体"/>
          <w:sz w:val="24"/>
          <w:szCs w:val="24"/>
        </w:rPr>
        <w:t xml:space="preserve">地　址：</w:t>
      </w:r>
      <w:r>
        <w:rPr>
          <w:rFonts w:ascii="宋体" w:hAnsi="宋体"/>
          <w:sz w:val="24"/>
          <w:szCs w:val="24"/>
        </w:rPr>
        <w:t xml:space="preserve">南京市江宁区万安东路28号金建大厦1206室</w:t>
      </w:r>
      <w:r>
        <w:rPr>
          <w:rFonts w:hint="eastAsia" w:ascii="宋体" w:hAnsi="宋体"/>
          <w:sz w:val="24"/>
          <w:szCs w:val="24"/>
        </w:rPr>
        <w:t xml:space="preserve"> </w:t>
      </w:r>
      <w:r/>
    </w:p>
    <w:p>
      <w:pPr>
        <w:ind w:firstLine="480"/>
        <w:spacing w:line="360" w:lineRule="auto"/>
        <w:rPr>
          <w:rFonts w:hint="eastAsia" w:ascii="宋体" w:hAnsi="宋体"/>
          <w:sz w:val="24"/>
          <w:szCs w:val="24"/>
        </w:rPr>
      </w:pPr>
      <w:r>
        <w:rPr>
          <w:rFonts w:hint="eastAsia" w:ascii="宋体" w:hAnsi="宋体"/>
          <w:sz w:val="24"/>
          <w:szCs w:val="24"/>
        </w:rPr>
        <w:t xml:space="preserve">联系人：夏工</w:t>
      </w:r>
      <w:r/>
    </w:p>
    <w:p>
      <w:pPr>
        <w:ind w:firstLine="480"/>
        <w:spacing w:line="360" w:lineRule="auto"/>
        <w:rPr>
          <w:rFonts w:hint="eastAsia" w:ascii="宋体" w:hAnsi="宋体"/>
          <w:sz w:val="24"/>
          <w:szCs w:val="24"/>
        </w:rPr>
      </w:pPr>
      <w:r>
        <w:rPr>
          <w:rFonts w:hint="eastAsia" w:ascii="宋体" w:hAnsi="宋体"/>
          <w:sz w:val="24"/>
          <w:szCs w:val="24"/>
        </w:rPr>
        <w:t xml:space="preserve">联系电话：</w:t>
      </w:r>
      <w:r>
        <w:rPr>
          <w:rFonts w:ascii="宋体" w:hAnsi="宋体"/>
          <w:sz w:val="24"/>
          <w:szCs w:val="24"/>
        </w:rPr>
        <w:t xml:space="preserve">15651036188</w:t>
      </w:r>
      <w:r>
        <w:rPr>
          <w:rFonts w:hint="eastAsia" w:ascii="宋体" w:hAnsi="宋体"/>
          <w:sz w:val="24"/>
          <w:szCs w:val="24"/>
        </w:rPr>
        <w:t xml:space="preserve"> </w:t>
      </w:r>
      <w:r/>
    </w:p>
    <w:p>
      <w:pPr>
        <w:ind w:right="840"/>
        <w:jc w:val="center"/>
        <w:rPr>
          <w:rFonts w:hint="eastAsia" w:ascii="方正小标宋简体" w:hAnsi="方正小标宋简体" w:eastAsia="方正小标宋简体" w:cs="方正小标宋简体"/>
          <w:sz w:val="36"/>
          <w:szCs w:val="36"/>
        </w:rPr>
      </w:pPr>
      <w:r/>
      <w:bookmarkStart w:id="47" w:name="_Toc120614211"/>
      <w:r/>
      <w:bookmarkEnd w:id="1"/>
      <w:r/>
      <w:bookmarkEnd w:id="2"/>
      <w:r/>
      <w:bookmarkEnd w:id="3"/>
      <w:r/>
      <w:bookmarkEnd w:id="4"/>
      <w:r/>
      <w:bookmarkEnd w:id="5"/>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第二章  </w:t>
      </w:r>
      <w:bookmarkStart w:id="48" w:name="_Toc513029202"/>
      <w:r/>
      <w:bookmarkStart w:id="49" w:name="_Toc120614213"/>
      <w:r/>
      <w:bookmarkStart w:id="50" w:name="_Toc16938518"/>
      <w:r/>
      <w:bookmarkStart w:id="51" w:name="_Toc20823274"/>
      <w:r/>
      <w:bookmarkEnd w:id="47"/>
      <w:r>
        <w:rPr>
          <w:rFonts w:hint="eastAsia" w:ascii="方正小标宋简体" w:hAnsi="方正小标宋简体" w:eastAsia="方正小标宋简体" w:cs="方正小标宋简体"/>
          <w:sz w:val="36"/>
          <w:szCs w:val="36"/>
        </w:rPr>
        <w:t xml:space="preserve">投标人须知</w:t>
      </w:r>
      <w:bookmarkEnd w:id="48"/>
      <w:r/>
      <w:bookmarkEnd w:id="49"/>
      <w:r/>
      <w:bookmarkEnd w:id="50"/>
      <w:r/>
      <w:bookmarkEnd w:id="51"/>
      <w:r/>
      <w:r/>
    </w:p>
    <w:p>
      <w:pPr>
        <w:pStyle w:val="694"/>
        <w:ind w:firstLine="465"/>
        <w:spacing w:before="145" w:after="145" w:line="240" w:lineRule="auto"/>
        <w:rPr>
          <w:rFonts w:hint="eastAsia" w:ascii="方正黑体_GBK" w:hAnsi="方正黑体_GBK" w:eastAsia="方正黑体_GBK" w:cs="方正黑体_GBK"/>
          <w:b w:val="0"/>
          <w:bCs w:val="0"/>
          <w:sz w:val="30"/>
          <w:szCs w:val="30"/>
        </w:rPr>
      </w:pPr>
      <w:r/>
      <w:bookmarkStart w:id="52" w:name="_Toc513029203"/>
      <w:r/>
      <w:bookmarkStart w:id="53" w:name="_Toc20823275"/>
      <w:r/>
      <w:bookmarkStart w:id="54" w:name="_Toc16938519"/>
      <w:r/>
      <w:bookmarkStart w:id="55" w:name="_Toc120614214"/>
      <w:r/>
      <w:bookmarkStart w:id="56" w:name="_Toc513029242"/>
      <w:r/>
      <w:bookmarkStart w:id="57" w:name="_Toc479757207"/>
      <w:r/>
      <w:bookmarkStart w:id="58" w:name="_Toc120614221"/>
      <w:r/>
      <w:bookmarkStart w:id="59" w:name="_Toc16938558"/>
      <w:r/>
      <w:bookmarkStart w:id="60" w:name="_Toc20823314"/>
      <w:r>
        <w:rPr>
          <w:rFonts w:hint="eastAsia" w:ascii="方正黑体_GBK" w:hAnsi="方正黑体_GBK" w:eastAsia="方正黑体_GBK" w:cs="方正黑体_GBK"/>
          <w:b w:val="0"/>
          <w:bCs w:val="0"/>
          <w:sz w:val="30"/>
          <w:szCs w:val="30"/>
        </w:rPr>
        <w:t xml:space="preserve">一、总则</w:t>
      </w:r>
      <w:bookmarkEnd w:id="52"/>
      <w:r/>
      <w:bookmarkEnd w:id="53"/>
      <w:r/>
      <w:bookmarkEnd w:id="54"/>
      <w:r/>
      <w:bookmarkEnd w:id="55"/>
      <w:r/>
      <w:r/>
    </w:p>
    <w:p>
      <w:pPr>
        <w:pStyle w:val="695"/>
        <w:ind w:firstLine="420"/>
        <w:spacing w:before="0" w:after="0" w:line="240" w:lineRule="auto"/>
        <w:rPr>
          <w:rFonts w:hint="eastAsia" w:ascii="方正楷体_GBK" w:hAnsi="方正楷体_GBK" w:eastAsia="方正楷体_GBK" w:cs="方正楷体_GBK"/>
        </w:rPr>
      </w:pPr>
      <w:r/>
      <w:bookmarkStart w:id="61" w:name="_Hlt16619475"/>
      <w:r/>
      <w:bookmarkStart w:id="62" w:name="_Toc458694821"/>
      <w:r/>
      <w:bookmarkStart w:id="63" w:name="_Toc513029204"/>
      <w:r/>
      <w:bookmarkStart w:id="64" w:name="_Toc20823276"/>
      <w:r/>
      <w:bookmarkStart w:id="65" w:name="_Toc16938520"/>
      <w:r/>
      <w:bookmarkEnd w:id="61"/>
      <w:r>
        <w:rPr>
          <w:rFonts w:hint="eastAsia" w:ascii="方正楷体_GBK" w:hAnsi="方正楷体_GBK" w:eastAsia="方正楷体_GBK" w:cs="方正楷体_GBK"/>
        </w:rPr>
        <w:t xml:space="preserve">1</w:t>
      </w:r>
      <w:bookmarkEnd w:id="62"/>
      <w:r>
        <w:rPr>
          <w:rFonts w:hint="eastAsia" w:ascii="方正楷体_GBK" w:hAnsi="方正楷体_GBK" w:eastAsia="方正楷体_GBK" w:cs="方正楷体_GBK"/>
        </w:rPr>
        <w:t xml:space="preserve">.招标方式</w:t>
      </w:r>
      <w:bookmarkEnd w:id="63"/>
      <w:r/>
      <w:bookmarkEnd w:id="64"/>
      <w:r/>
      <w:bookmarkEnd w:id="65"/>
      <w:r/>
      <w:r/>
    </w:p>
    <w:p>
      <w:pPr>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695"/>
        <w:ind w:firstLine="420"/>
        <w:spacing w:before="0" w:after="0" w:line="240" w:lineRule="auto"/>
        <w:rPr>
          <w:rFonts w:hint="eastAsia" w:ascii="方正楷体_GBK" w:hAnsi="方正楷体_GBK" w:eastAsia="方正楷体_GBK" w:cs="方正楷体_GBK"/>
        </w:rPr>
      </w:pPr>
      <w:r/>
      <w:bookmarkStart w:id="66" w:name="_Toc16938521"/>
      <w:r/>
      <w:bookmarkStart w:id="67" w:name="_Toc20823277"/>
      <w:r/>
      <w:bookmarkStart w:id="68" w:name="_Toc513029205"/>
      <w:r>
        <w:rPr>
          <w:rFonts w:hint="eastAsia" w:ascii="方正楷体_GBK" w:hAnsi="方正楷体_GBK" w:eastAsia="方正楷体_GBK" w:cs="方正楷体_GBK"/>
        </w:rPr>
        <w:t xml:space="preserve">2.合格的投标人</w:t>
      </w:r>
      <w:bookmarkEnd w:id="66"/>
      <w:r/>
      <w:bookmarkEnd w:id="67"/>
      <w:r/>
      <w:bookmarkEnd w:id="68"/>
      <w:r/>
      <w:r/>
    </w:p>
    <w:p>
      <w:pPr>
        <w:ind w:firstLine="420"/>
        <w:rPr>
          <w:rFonts w:hint="eastAsia" w:ascii="宋体" w:hAnsi="宋体"/>
          <w:sz w:val="24"/>
        </w:rPr>
      </w:pPr>
      <w:r>
        <w:rPr>
          <w:rFonts w:hint="eastAsia" w:ascii="宋体" w:hAnsi="宋体"/>
          <w:sz w:val="24"/>
        </w:rPr>
        <w:t xml:space="preserve">2.1 满足招标公告对供应商资格要求的规定。</w:t>
      </w:r>
      <w:r/>
    </w:p>
    <w:p>
      <w:pPr>
        <w:ind w:firstLine="420"/>
        <w:rPr>
          <w:rFonts w:hint="eastAsia" w:ascii="宋体" w:hAnsi="宋体"/>
          <w:sz w:val="24"/>
        </w:rPr>
      </w:pPr>
      <w:r>
        <w:rPr>
          <w:rFonts w:hint="eastAsia" w:ascii="宋体" w:hAnsi="宋体"/>
          <w:sz w:val="24"/>
        </w:rPr>
        <w:t xml:space="preserve">2.2 满足招标文件规定的实质性要求和条件。</w:t>
      </w:r>
      <w:r/>
    </w:p>
    <w:p>
      <w:pPr>
        <w:pStyle w:val="695"/>
        <w:ind w:firstLine="420"/>
        <w:spacing w:before="0" w:after="0" w:line="240" w:lineRule="auto"/>
        <w:rPr>
          <w:rFonts w:hint="eastAsia" w:ascii="方正楷体_GBK" w:hAnsi="方正楷体_GBK" w:eastAsia="方正楷体_GBK" w:cs="方正楷体_GBK"/>
        </w:rPr>
      </w:pPr>
      <w:r/>
      <w:bookmarkStart w:id="69" w:name="_Toc513029206"/>
      <w:r/>
      <w:bookmarkStart w:id="70" w:name="_Toc16938522"/>
      <w:r/>
      <w:bookmarkStart w:id="71" w:name="_Toc20823278"/>
      <w:r>
        <w:rPr>
          <w:rFonts w:hint="eastAsia" w:ascii="方正楷体_GBK" w:hAnsi="方正楷体_GBK" w:eastAsia="方正楷体_GBK" w:cs="方正楷体_GBK"/>
        </w:rPr>
        <w:t xml:space="preserve">3.适用法律</w:t>
      </w:r>
      <w:bookmarkEnd w:id="69"/>
      <w:r/>
      <w:bookmarkEnd w:id="70"/>
      <w:r/>
      <w:bookmarkEnd w:id="71"/>
      <w:r/>
      <w:r/>
    </w:p>
    <w:p>
      <w:pPr>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695"/>
        <w:ind w:firstLine="420"/>
        <w:spacing w:before="0" w:after="0" w:line="240" w:lineRule="auto"/>
        <w:rPr>
          <w:rFonts w:hint="eastAsia" w:ascii="方正楷体_GBK" w:hAnsi="方正楷体_GBK" w:eastAsia="方正楷体_GBK" w:cs="方正楷体_GBK"/>
        </w:rPr>
      </w:pPr>
      <w:r/>
      <w:bookmarkStart w:id="72" w:name="_Toc16938523"/>
      <w:r/>
      <w:bookmarkStart w:id="73" w:name="_Toc462564067"/>
      <w:r/>
      <w:bookmarkStart w:id="74" w:name="_Toc20823279"/>
      <w:r/>
      <w:bookmarkStart w:id="75" w:name="_Toc513029207"/>
      <w:r>
        <w:rPr>
          <w:rFonts w:hint="eastAsia" w:ascii="方正楷体_GBK" w:hAnsi="方正楷体_GBK" w:eastAsia="方正楷体_GBK" w:cs="方正楷体_GBK"/>
        </w:rPr>
        <w:t xml:space="preserve">4.投标费用</w:t>
      </w:r>
      <w:bookmarkEnd w:id="72"/>
      <w:r/>
      <w:bookmarkEnd w:id="73"/>
      <w:r/>
      <w:bookmarkEnd w:id="74"/>
      <w:r/>
      <w:bookmarkEnd w:id="75"/>
      <w:r/>
      <w:r/>
    </w:p>
    <w:p>
      <w:pPr>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投标人应自行承担所有与参加投标有关的费用，无论投标过程中的做法和结果如何，代理机构在任何情况下均无义务和责任承担这些费用。</w:t>
      </w:r>
      <w:r/>
    </w:p>
    <w:p>
      <w:pPr>
        <w:ind w:firstLine="420"/>
        <w:rPr>
          <w:rFonts w:hint="eastAsia" w:ascii="宋体" w:hAnsi="宋体"/>
          <w:sz w:val="24"/>
        </w:rPr>
      </w:pPr>
      <w:r>
        <w:rPr>
          <w:rFonts w:hint="eastAsia" w:ascii="宋体" w:hAnsi="宋体"/>
          <w:sz w:val="24"/>
        </w:rPr>
        <w:t xml:space="preserve">4.2 招标代理服务费以中标金额为基数，按计价格（2002）1980号文标准费率60%计算；编制工程量清单及控制价按苏价服（2004）383号文标准的60%计算；不足4000元按4000元计取；上述费用均由成交供应商一次性支付。无论是否将该费用在报价中列明，均视为已含在总价中。</w:t>
      </w:r>
      <w:r/>
    </w:p>
    <w:p>
      <w:pPr>
        <w:pStyle w:val="69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694"/>
        <w:ind w:firstLine="465"/>
        <w:spacing w:before="145" w:after="145" w:line="240" w:lineRule="auto"/>
        <w:rPr>
          <w:rFonts w:hint="eastAsia" w:ascii="方正黑体_GBK" w:hAnsi="方正黑体_GBK" w:eastAsia="方正黑体_GBK" w:cs="方正黑体_GBK"/>
          <w:b w:val="0"/>
          <w:bCs w:val="0"/>
          <w:sz w:val="30"/>
          <w:szCs w:val="30"/>
        </w:rPr>
      </w:pPr>
      <w:r/>
      <w:bookmarkStart w:id="76" w:name="_Toc20823281"/>
      <w:r/>
      <w:bookmarkStart w:id="77" w:name="_Toc16938525"/>
      <w:r/>
      <w:bookmarkStart w:id="78" w:name="_Toc120614215"/>
      <w:r/>
      <w:bookmarkStart w:id="79" w:name="_Toc513029209"/>
      <w:r>
        <w:rPr>
          <w:rFonts w:hint="eastAsia" w:ascii="方正黑体_GBK" w:hAnsi="方正黑体_GBK" w:eastAsia="方正黑体_GBK" w:cs="方正黑体_GBK"/>
          <w:b w:val="0"/>
          <w:bCs w:val="0"/>
          <w:sz w:val="30"/>
          <w:szCs w:val="30"/>
        </w:rPr>
        <w:t xml:space="preserve">二、招标文件</w:t>
      </w:r>
      <w:bookmarkEnd w:id="76"/>
      <w:r/>
      <w:bookmarkEnd w:id="77"/>
      <w:r/>
      <w:bookmarkEnd w:id="78"/>
      <w:r/>
      <w:bookmarkEnd w:id="79"/>
      <w:r/>
      <w:r/>
    </w:p>
    <w:p>
      <w:pPr>
        <w:pStyle w:val="695"/>
        <w:ind w:firstLine="420"/>
        <w:spacing w:before="0" w:after="0" w:line="240" w:lineRule="auto"/>
        <w:rPr>
          <w:rFonts w:hint="eastAsia" w:ascii="方正楷体_GBK" w:hAnsi="方正楷体_GBK" w:eastAsia="方正楷体_GBK" w:cs="方正楷体_GBK"/>
        </w:rPr>
      </w:pPr>
      <w:r/>
      <w:bookmarkStart w:id="80" w:name="_Toc513029210"/>
      <w:r/>
      <w:bookmarkStart w:id="81" w:name="_Toc20823282"/>
      <w:r/>
      <w:bookmarkStart w:id="82" w:name="_Toc16938526"/>
      <w:r>
        <w:rPr>
          <w:rFonts w:hint="eastAsia" w:ascii="方正楷体_GBK" w:hAnsi="方正楷体_GBK" w:eastAsia="方正楷体_GBK" w:cs="方正楷体_GBK"/>
        </w:rPr>
        <w:t xml:space="preserve">6.招标文件构成</w:t>
      </w:r>
      <w:bookmarkEnd w:id="80"/>
      <w:r/>
      <w:bookmarkEnd w:id="81"/>
      <w:r/>
      <w:bookmarkEnd w:id="82"/>
      <w:r/>
      <w:r/>
    </w:p>
    <w:p>
      <w:pPr>
        <w:ind w:firstLine="420"/>
        <w:rPr>
          <w:rFonts w:hint="eastAsia" w:ascii="宋体" w:hAnsi="宋体"/>
          <w:sz w:val="24"/>
        </w:rPr>
      </w:pPr>
      <w:r>
        <w:rPr>
          <w:rFonts w:hint="eastAsia" w:ascii="宋体" w:hAnsi="宋体"/>
          <w:sz w:val="24"/>
        </w:rPr>
        <w:t xml:space="preserve">6.1 招标文件由以下部分组成：</w:t>
      </w:r>
      <w:r/>
    </w:p>
    <w:p>
      <w:pPr>
        <w:ind w:firstLine="420"/>
        <w:rPr>
          <w:rFonts w:hint="eastAsia" w:ascii="宋体" w:hAnsi="宋体"/>
          <w:sz w:val="24"/>
        </w:rPr>
      </w:pPr>
      <w:r>
        <w:rPr>
          <w:rFonts w:hint="eastAsia" w:ascii="宋体" w:hAnsi="宋体"/>
          <w:sz w:val="24"/>
        </w:rPr>
        <w:t xml:space="preserve">（1）投标邀请</w:t>
      </w:r>
      <w:r/>
    </w:p>
    <w:p>
      <w:pPr>
        <w:ind w:firstLine="420"/>
        <w:rPr>
          <w:rFonts w:hint="eastAsia" w:ascii="宋体" w:hAnsi="宋体"/>
          <w:sz w:val="24"/>
        </w:rPr>
      </w:pPr>
      <w:r>
        <w:rPr>
          <w:rFonts w:hint="eastAsia" w:ascii="宋体" w:hAnsi="宋体"/>
          <w:sz w:val="24"/>
        </w:rPr>
        <w:t xml:space="preserve">（2）投标人须知</w:t>
      </w:r>
      <w:r/>
    </w:p>
    <w:p>
      <w:pPr>
        <w:ind w:firstLine="420"/>
        <w:rPr>
          <w:rFonts w:hint="eastAsia" w:ascii="宋体" w:hAnsi="宋体"/>
          <w:sz w:val="24"/>
        </w:rPr>
      </w:pPr>
      <w:r>
        <w:rPr>
          <w:rFonts w:hint="eastAsia" w:ascii="宋体" w:hAnsi="宋体"/>
          <w:sz w:val="24"/>
        </w:rPr>
        <w:t xml:space="preserve">（3）合同文本</w:t>
      </w:r>
      <w:r/>
    </w:p>
    <w:p>
      <w:pPr>
        <w:ind w:firstLine="420"/>
        <w:rPr>
          <w:rFonts w:hint="eastAsia" w:ascii="宋体" w:hAnsi="宋体"/>
          <w:sz w:val="24"/>
        </w:rPr>
      </w:pPr>
      <w:r>
        <w:rPr>
          <w:rFonts w:hint="eastAsia" w:ascii="宋体" w:hAnsi="宋体"/>
          <w:sz w:val="24"/>
        </w:rPr>
        <w:t xml:space="preserve">（4）采购需求</w:t>
      </w:r>
      <w:r/>
    </w:p>
    <w:p>
      <w:pPr>
        <w:ind w:firstLine="420"/>
        <w:rPr>
          <w:rFonts w:hint="eastAsia" w:ascii="宋体" w:hAnsi="宋体"/>
          <w:sz w:val="24"/>
        </w:rPr>
      </w:pPr>
      <w:r>
        <w:rPr>
          <w:rFonts w:hint="eastAsia" w:ascii="宋体" w:hAnsi="宋体"/>
          <w:sz w:val="24"/>
        </w:rPr>
        <w:t xml:space="preserve">（5）评标方法与评标标准</w:t>
      </w:r>
      <w:r/>
    </w:p>
    <w:p>
      <w:pPr>
        <w:ind w:firstLine="420"/>
        <w:rPr>
          <w:rFonts w:hint="eastAsia" w:ascii="宋体" w:hAnsi="宋体"/>
          <w:sz w:val="24"/>
        </w:rPr>
      </w:pPr>
      <w:r>
        <w:rPr>
          <w:rFonts w:hint="eastAsia" w:ascii="宋体" w:hAnsi="宋体"/>
          <w:sz w:val="24"/>
        </w:rPr>
        <w:t xml:space="preserve">（6）投标文件格式</w:t>
      </w:r>
      <w:r/>
    </w:p>
    <w:p>
      <w:pPr>
        <w:ind w:firstLine="420"/>
        <w:rPr>
          <w:rFonts w:hint="eastAsia" w:ascii="宋体" w:hAnsi="宋体"/>
          <w:sz w:val="24"/>
        </w:rPr>
      </w:pPr>
      <w:r>
        <w:rPr>
          <w:rFonts w:hint="eastAsia" w:ascii="宋体" w:hAnsi="宋体"/>
          <w:sz w:val="24"/>
        </w:rPr>
        <w:t xml:space="preserve">投标人应仔细检查招标文件是否齐全，如有缺漏请立即与代理机构联系。</w:t>
      </w:r>
      <w:r/>
    </w:p>
    <w:p>
      <w:pPr>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5"/>
        <w:ind w:firstLine="420"/>
        <w:spacing w:before="0" w:after="0" w:line="240" w:lineRule="auto"/>
        <w:rPr>
          <w:rFonts w:hint="eastAsia" w:ascii="方正楷体_GBK" w:hAnsi="方正楷体_GBK" w:eastAsia="方正楷体_GBK" w:cs="方正楷体_GBK"/>
        </w:rPr>
      </w:pPr>
      <w:r/>
      <w:bookmarkStart w:id="83" w:name="_Toc20823283"/>
      <w:r/>
      <w:bookmarkStart w:id="84" w:name="_Toc462564070"/>
      <w:r/>
      <w:bookmarkStart w:id="85" w:name="_Toc16938527"/>
      <w:r/>
      <w:bookmarkStart w:id="86" w:name="_Toc513029211"/>
      <w:r>
        <w:rPr>
          <w:rFonts w:hint="eastAsia" w:ascii="方正楷体_GBK" w:hAnsi="方正楷体_GBK" w:eastAsia="方正楷体_GBK" w:cs="方正楷体_GBK"/>
        </w:rPr>
        <w:t xml:space="preserve">7.招标文件的澄清</w:t>
      </w:r>
      <w:bookmarkEnd w:id="83"/>
      <w:r/>
      <w:bookmarkEnd w:id="84"/>
      <w:r/>
      <w:bookmarkEnd w:id="85"/>
      <w:r/>
      <w:bookmarkEnd w:id="86"/>
      <w:r/>
      <w:r/>
    </w:p>
    <w:p>
      <w:pPr>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任何要求对招标文件进行澄清的投标人，应在投标截止期十日前按招标公告中的通讯地址，以书面形式通知代理机构。</w:t>
      </w:r>
      <w:r/>
    </w:p>
    <w:p>
      <w:pPr>
        <w:pStyle w:val="695"/>
        <w:ind w:firstLine="420"/>
        <w:spacing w:before="0" w:after="0" w:line="240" w:lineRule="auto"/>
        <w:rPr>
          <w:rFonts w:hint="eastAsia" w:ascii="方正楷体_GBK" w:hAnsi="方正楷体_GBK" w:eastAsia="方正楷体_GBK" w:cs="方正楷体_GBK"/>
        </w:rPr>
      </w:pPr>
      <w:r/>
      <w:bookmarkStart w:id="87" w:name="_Toc16938528"/>
      <w:r/>
      <w:bookmarkStart w:id="88" w:name="_Toc513029212"/>
      <w:r/>
      <w:bookmarkStart w:id="89" w:name="_Toc20823284"/>
      <w:r/>
      <w:bookmarkStart w:id="90" w:name="_Toc462564071"/>
      <w:r>
        <w:rPr>
          <w:rFonts w:hint="eastAsia" w:ascii="方正楷体_GBK" w:hAnsi="方正楷体_GBK" w:eastAsia="方正楷体_GBK" w:cs="方正楷体_GBK"/>
        </w:rPr>
        <w:t xml:space="preserve">8.招标文件的修改</w:t>
      </w:r>
      <w:bookmarkEnd w:id="87"/>
      <w:r/>
      <w:bookmarkEnd w:id="88"/>
      <w:r/>
      <w:bookmarkEnd w:id="89"/>
      <w:r/>
      <w:bookmarkEnd w:id="90"/>
      <w:r/>
      <w:r/>
    </w:p>
    <w:p>
      <w:pPr>
        <w:ind w:firstLine="420"/>
        <w:rPr>
          <w:rFonts w:hint="eastAsia" w:ascii="宋体" w:hAnsi="宋体"/>
          <w:sz w:val="24"/>
        </w:rPr>
      </w:pPr>
      <w:r/>
      <w:bookmarkStart w:id="91" w:name="_Toc20823285"/>
      <w:r/>
      <w:bookmarkStart w:id="92" w:name="_Toc120614216"/>
      <w:r/>
      <w:bookmarkStart w:id="93" w:name="_Toc462564072"/>
      <w:r/>
      <w:bookmarkStart w:id="94" w:name="_Toc16938529"/>
      <w:r/>
      <w:bookmarkStart w:id="95" w:name="_Toc513029213"/>
      <w:r>
        <w:rPr>
          <w:rFonts w:hint="eastAsia" w:ascii="宋体" w:hAnsi="宋体"/>
          <w:sz w:val="24"/>
        </w:rPr>
        <w:t xml:space="preserve">8.1 在投标截止时间前，代理机构可以对招标文件进行修改。招标文件的修改将在原公告媒体发布更正公告，更正内容将作为招标文件的组成部分，并对投标人具有约束力。</w:t>
      </w:r>
      <w:r/>
    </w:p>
    <w:p>
      <w:pPr>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w:t>
      </w:r>
      <w:r>
        <w:rPr>
          <w:rFonts w:hint="eastAsia" w:ascii="宋体" w:hAnsi="宋体"/>
          <w:sz w:val="24"/>
        </w:rPr>
        <w:t xml:space="preserve">告，根据更正公告内容自行决定是否需要重新制作和提交投标文件，并承担由此产生的相应责任。</w:t>
      </w:r>
      <w:r/>
    </w:p>
    <w:p>
      <w:pPr>
        <w:ind w:firstLine="420"/>
        <w:rPr>
          <w:rFonts w:hint="eastAsia" w:ascii="宋体" w:hAnsi="宋体"/>
          <w:sz w:val="24"/>
        </w:rPr>
      </w:pPr>
      <w:r>
        <w:rPr>
          <w:rFonts w:hint="eastAsia" w:ascii="宋体" w:hAnsi="宋体"/>
          <w:sz w:val="24"/>
        </w:rPr>
        <w:t xml:space="preserve">8.3 代理机构有权按照法定的要求推迟投标截止日期和开标日期，并在原公告媒体发布更正公告。</w:t>
      </w:r>
      <w:r/>
    </w:p>
    <w:p>
      <w:pPr>
        <w:pStyle w:val="69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91"/>
      <w:r/>
      <w:bookmarkEnd w:id="92"/>
      <w:r/>
      <w:bookmarkEnd w:id="93"/>
      <w:r/>
      <w:bookmarkEnd w:id="94"/>
      <w:r/>
      <w:bookmarkEnd w:id="95"/>
      <w:r/>
      <w:r/>
    </w:p>
    <w:p>
      <w:pPr>
        <w:pStyle w:val="695"/>
        <w:ind w:firstLine="420"/>
        <w:spacing w:before="0" w:after="0" w:line="240" w:lineRule="auto"/>
        <w:rPr>
          <w:rFonts w:hint="eastAsia" w:ascii="方正楷体_GBK" w:hAnsi="方正楷体_GBK" w:eastAsia="方正楷体_GBK" w:cs="方正楷体_GBK"/>
        </w:rPr>
      </w:pPr>
      <w:r/>
      <w:bookmarkStart w:id="96" w:name="_Toc513029214"/>
      <w:r/>
      <w:bookmarkStart w:id="97" w:name="_Toc462564073"/>
      <w:r/>
      <w:bookmarkStart w:id="98" w:name="_Toc16938530"/>
      <w:r/>
      <w:bookmarkStart w:id="99" w:name="_Toc20823286"/>
      <w:r>
        <w:rPr>
          <w:rFonts w:hint="eastAsia" w:ascii="方正楷体_GBK" w:hAnsi="方正楷体_GBK" w:eastAsia="方正楷体_GBK" w:cs="方正楷体_GBK"/>
        </w:rPr>
        <w:t xml:space="preserve">9.投标文件的语言及度量衡单位</w:t>
      </w:r>
      <w:bookmarkEnd w:id="96"/>
      <w:r/>
      <w:bookmarkEnd w:id="97"/>
      <w:r/>
      <w:bookmarkEnd w:id="98"/>
      <w:r/>
      <w:bookmarkEnd w:id="99"/>
      <w:r/>
      <w:r/>
    </w:p>
    <w:p>
      <w:pPr>
        <w:ind w:firstLine="420"/>
        <w:rPr>
          <w:rFonts w:hint="eastAsia" w:ascii="宋体" w:hAnsi="宋体"/>
          <w:sz w:val="24"/>
        </w:rPr>
      </w:pPr>
      <w:r>
        <w:rPr>
          <w:rFonts w:hint="eastAsia" w:ascii="宋体" w:hAnsi="宋体"/>
          <w:sz w:val="24"/>
        </w:rPr>
        <w:t xml:space="preserve">9.1 投标人提交的投标文件以及投标人与代理机构就有关投标的所有来往通知、函件和文件均应使用简体中文。</w:t>
      </w:r>
      <w:r/>
    </w:p>
    <w:p>
      <w:pPr>
        <w:ind w:firstLine="420"/>
        <w:rPr>
          <w:rFonts w:hint="eastAsia" w:ascii="宋体" w:hAnsi="宋体"/>
          <w:sz w:val="24"/>
        </w:rPr>
      </w:pPr>
      <w:r>
        <w:rPr>
          <w:rFonts w:hint="eastAsia" w:ascii="宋体" w:hAnsi="宋体"/>
          <w:sz w:val="24"/>
        </w:rPr>
        <w:t xml:space="preserve">9.2 除技术性能另有规定外，投标文件所使用的度量衡单位，均须采用国家法定计量单位。</w:t>
      </w:r>
      <w:r/>
    </w:p>
    <w:p>
      <w:pPr>
        <w:pStyle w:val="695"/>
        <w:ind w:firstLine="420"/>
        <w:spacing w:before="0" w:after="0" w:line="240" w:lineRule="auto"/>
        <w:rPr>
          <w:rFonts w:hint="eastAsia" w:ascii="方正楷体_GBK" w:hAnsi="方正楷体_GBK" w:eastAsia="方正楷体_GBK" w:cs="方正楷体_GBK"/>
        </w:rPr>
      </w:pPr>
      <w:r/>
      <w:bookmarkStart w:id="100" w:name="_Toc462564074"/>
      <w:r/>
      <w:bookmarkStart w:id="101" w:name="_Toc513029215"/>
      <w:r/>
      <w:bookmarkStart w:id="102" w:name="_Toc16938531"/>
      <w:r/>
      <w:bookmarkStart w:id="103" w:name="_Toc20823287"/>
      <w:r>
        <w:rPr>
          <w:rFonts w:hint="eastAsia" w:ascii="方正楷体_GBK" w:hAnsi="方正楷体_GBK" w:eastAsia="方正楷体_GBK" w:cs="方正楷体_GBK"/>
        </w:rPr>
        <w:t xml:space="preserve">10.投标文件构成</w:t>
      </w:r>
      <w:bookmarkEnd w:id="100"/>
      <w:r/>
      <w:bookmarkEnd w:id="101"/>
      <w:r/>
      <w:bookmarkEnd w:id="102"/>
      <w:r/>
      <w:bookmarkEnd w:id="103"/>
      <w:r/>
      <w:r/>
    </w:p>
    <w:p>
      <w:pPr>
        <w:ind w:firstLine="420"/>
        <w:rPr>
          <w:rFonts w:hint="eastAsia"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695"/>
        <w:ind w:firstLine="420"/>
        <w:spacing w:before="0" w:after="0" w:line="240" w:lineRule="auto"/>
        <w:rPr>
          <w:rFonts w:hint="eastAsia" w:ascii="方正楷体_GBK" w:hAnsi="方正楷体_GBK" w:eastAsia="方正楷体_GBK" w:cs="方正楷体_GBK"/>
        </w:rPr>
      </w:pPr>
      <w:r/>
      <w:bookmarkStart w:id="104" w:name="_Hlt26668975"/>
      <w:r/>
      <w:bookmarkStart w:id="105" w:name="_Hlt26954838"/>
      <w:r/>
      <w:bookmarkStart w:id="106" w:name="_Hlt26670360"/>
      <w:r/>
      <w:bookmarkStart w:id="107" w:name="_Toc49090509"/>
      <w:r/>
      <w:bookmarkStart w:id="108" w:name="_Toc513029219"/>
      <w:r/>
      <w:bookmarkStart w:id="109" w:name="_Toc14577357"/>
      <w:r/>
      <w:bookmarkStart w:id="110" w:name="_Toc49090507"/>
      <w:r/>
      <w:bookmarkStart w:id="111" w:name="_Toc14577354"/>
      <w:r/>
      <w:bookmarkStart w:id="112" w:name="_Toc513029216"/>
      <w:r/>
      <w:bookmarkEnd w:id="104"/>
      <w:r/>
      <w:bookmarkEnd w:id="105"/>
      <w:r/>
      <w:bookmarkEnd w:id="106"/>
      <w:r>
        <w:rPr>
          <w:rFonts w:hint="eastAsia" w:ascii="方正楷体_GBK" w:hAnsi="方正楷体_GBK" w:eastAsia="方正楷体_GBK" w:cs="方正楷体_GBK"/>
        </w:rPr>
        <w:t xml:space="preserve">11.证明投标人及投标标的符合招标文件规定的文件</w:t>
      </w:r>
      <w:bookmarkEnd w:id="107"/>
      <w:r/>
      <w:bookmarkEnd w:id="108"/>
      <w:r/>
      <w:bookmarkEnd w:id="109"/>
      <w:r/>
      <w:r/>
    </w:p>
    <w:p>
      <w:pPr>
        <w:ind w:firstLine="420"/>
        <w:rPr>
          <w:rFonts w:hint="eastAsia" w:ascii="宋体" w:hAnsi="宋体"/>
          <w:sz w:val="24"/>
        </w:rPr>
      </w:pPr>
      <w:r/>
      <w:bookmarkStart w:id="113" w:name="_Toc14577355"/>
      <w:r/>
      <w:bookmarkStart w:id="114" w:name="_Toc49090508"/>
      <w:r/>
      <w:bookmarkEnd w:id="110"/>
      <w:r/>
      <w:bookmarkEnd w:id="111"/>
      <w:r/>
      <w:bookmarkEnd w:id="112"/>
      <w:r>
        <w:rPr>
          <w:rFonts w:hint="eastAsia" w:ascii="宋体" w:hAnsi="宋体"/>
          <w:sz w:val="24"/>
        </w:rPr>
        <w:t xml:space="preserve">11.1 投标人应按照法律、法规、规章和规范性文件以及招标文件要求提交证明文件，证明其投标标的符合招标文件规定。</w:t>
      </w:r>
      <w:r/>
    </w:p>
    <w:p>
      <w:pPr>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69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12.投标分项报价</w:t>
      </w:r>
      <w:bookmarkStart w:id="115" w:name="_Hlt26670373"/>
      <w:r/>
      <w:bookmarkEnd w:id="113"/>
      <w:r/>
      <w:bookmarkEnd w:id="115"/>
      <w:r>
        <w:rPr>
          <w:rFonts w:hint="eastAsia" w:ascii="方正楷体_GBK" w:hAnsi="方正楷体_GBK" w:eastAsia="方正楷体_GBK" w:cs="方正楷体_GBK"/>
        </w:rPr>
        <w:t xml:space="preserve">表</w:t>
      </w:r>
      <w:bookmarkEnd w:id="114"/>
      <w:r>
        <w:rPr>
          <w:rFonts w:hint="eastAsia" w:ascii="方正楷体_GBK" w:hAnsi="方正楷体_GBK" w:eastAsia="方正楷体_GBK" w:cs="方正楷体_GBK"/>
        </w:rPr>
        <w:t xml:space="preserve">（如有）</w:t>
      </w:r>
      <w:r/>
    </w:p>
    <w:p>
      <w:pPr>
        <w:ind w:firstLine="420"/>
        <w:rPr>
          <w:rFonts w:hint="eastAsia" w:ascii="宋体" w:hAnsi="宋体"/>
          <w:sz w:val="24"/>
        </w:rPr>
      </w:pPr>
      <w:r>
        <w:rPr>
          <w:rFonts w:hint="eastAsia" w:ascii="宋体" w:hAnsi="宋体"/>
          <w:sz w:val="24"/>
        </w:rPr>
        <w:t xml:space="preserve">12.1 投</w:t>
      </w:r>
      <w:bookmarkStart w:id="116" w:name="_Hlt26954840"/>
      <w:r/>
      <w:bookmarkEnd w:id="116"/>
      <w:r>
        <w:rPr>
          <w:rFonts w:hint="eastAsia" w:ascii="宋体" w:hAnsi="宋体"/>
          <w:sz w:val="24"/>
        </w:rPr>
        <w:t xml:space="preserve">标人应按照招标文件规定格式填报投标分项报价表</w:t>
      </w:r>
      <w:bookmarkStart w:id="117" w:name="_Hlt26670399"/>
      <w:r/>
      <w:bookmarkEnd w:id="117"/>
      <w:r>
        <w:rPr>
          <w:rFonts w:hint="eastAsia" w:ascii="宋体" w:hAnsi="宋体"/>
          <w:sz w:val="24"/>
        </w:rPr>
        <w:t xml:space="preserve">。</w:t>
      </w:r>
      <w:r/>
    </w:p>
    <w:p>
      <w:pPr>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695"/>
        <w:ind w:firstLine="420"/>
        <w:spacing w:before="0" w:after="0" w:line="240" w:lineRule="auto"/>
        <w:rPr>
          <w:rFonts w:hint="eastAsia" w:ascii="方正楷体_GBK" w:hAnsi="方正楷体_GBK" w:eastAsia="方正楷体_GBK" w:cs="方正楷体_GBK"/>
        </w:rPr>
      </w:pPr>
      <w:r/>
      <w:bookmarkStart w:id="118" w:name="_Hlt26670403"/>
      <w:r/>
      <w:bookmarkStart w:id="119" w:name="_Hlt26670482"/>
      <w:r/>
      <w:bookmarkStart w:id="120" w:name="_Hlt26954846"/>
      <w:r/>
      <w:bookmarkStart w:id="121" w:name="_Hlt26954731"/>
      <w:r/>
      <w:bookmarkStart w:id="122" w:name="_Hlt26954842"/>
      <w:r/>
      <w:bookmarkStart w:id="123" w:name="_Hlt26954844"/>
      <w:r/>
      <w:bookmarkStart w:id="124" w:name="_Hlt26954848"/>
      <w:r/>
      <w:bookmarkStart w:id="125" w:name="_Hlt26670486"/>
      <w:r/>
      <w:bookmarkStart w:id="126" w:name="_Hlt26670425"/>
      <w:r/>
      <w:bookmarkStart w:id="127" w:name="_Hlt26668983"/>
      <w:r/>
      <w:bookmarkEnd w:id="118"/>
      <w:r/>
      <w:bookmarkEnd w:id="119"/>
      <w:r/>
      <w:bookmarkEnd w:id="120"/>
      <w:r/>
      <w:bookmarkEnd w:id="121"/>
      <w:r/>
      <w:bookmarkEnd w:id="122"/>
      <w:r/>
      <w:bookmarkEnd w:id="123"/>
      <w:r/>
      <w:bookmarkEnd w:id="124"/>
      <w:r/>
      <w:bookmarkEnd w:id="125"/>
      <w:r/>
      <w:bookmarkEnd w:id="126"/>
      <w:r/>
      <w:bookmarkEnd w:id="127"/>
      <w:r>
        <w:rPr>
          <w:rFonts w:hint="eastAsia" w:ascii="方正楷体_GBK" w:hAnsi="方正楷体_GBK" w:eastAsia="方正楷体_GBK" w:cs="方正楷体_GBK"/>
        </w:rPr>
        <w:t xml:space="preserve">13.响应及偏离表</w:t>
      </w:r>
      <w:r/>
    </w:p>
    <w:p>
      <w:pPr>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投标人需对招标文件中的技术要求与商务要求逐项作出响应或偏离说明。</w:t>
      </w:r>
      <w:r/>
    </w:p>
    <w:p>
      <w:pPr>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695"/>
        <w:ind w:firstLine="420"/>
        <w:spacing w:before="0" w:after="0" w:line="240" w:lineRule="auto"/>
        <w:rPr>
          <w:rFonts w:hint="eastAsia" w:ascii="方正楷体_GBK" w:hAnsi="方正楷体_GBK" w:eastAsia="方正楷体_GBK" w:cs="方正楷体_GBK"/>
        </w:rPr>
      </w:pPr>
      <w:r/>
      <w:bookmarkStart w:id="128" w:name="_Toc14577359"/>
      <w:r/>
      <w:bookmarkStart w:id="129" w:name="_Toc49090510"/>
      <w:r>
        <w:rPr>
          <w:rFonts w:hint="eastAsia" w:ascii="方正楷体_GBK" w:hAnsi="方正楷体_GBK" w:eastAsia="方正楷体_GBK" w:cs="方正楷体_GBK"/>
        </w:rPr>
        <w:t xml:space="preserve">14.投标函和开标一览表及核心产品品牌一览表</w:t>
      </w:r>
      <w:r/>
    </w:p>
    <w:p>
      <w:pPr>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投标人应按照招标文件规定格式完整、正确填报投标函、开标一览表及核心产品品牌一览表。</w:t>
      </w:r>
      <w:r/>
    </w:p>
    <w:p>
      <w:pPr>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ind w:firstLine="420"/>
        <w:rPr>
          <w:rFonts w:hint="eastAsia" w:ascii="宋体" w:hAnsi="宋体"/>
          <w:sz w:val="24"/>
          <w:lang w:val="zh-CN"/>
        </w:rPr>
      </w:pPr>
      <w:r>
        <w:rPr>
          <w:rFonts w:hint="eastAsia" w:ascii="宋体" w:hAnsi="宋体"/>
          <w:sz w:val="24"/>
          <w:lang w:val="zh-CN"/>
        </w:rPr>
        <w:t xml:space="preserve">14.3 核心产品品牌一览表中所投核心产品品牌缺项的将视为无效投标。</w:t>
      </w:r>
      <w:r/>
    </w:p>
    <w:p>
      <w:pPr>
        <w:pStyle w:val="695"/>
        <w:ind w:firstLine="420"/>
        <w:spacing w:before="0" w:after="0" w:line="240" w:lineRule="auto"/>
        <w:rPr>
          <w:rFonts w:hint="eastAsia" w:ascii="方正楷体_GBK" w:hAnsi="方正楷体_GBK" w:eastAsia="方正楷体_GBK" w:cs="方正楷体_GBK"/>
        </w:rPr>
      </w:pPr>
      <w:r/>
      <w:bookmarkStart w:id="130" w:name="_Hlt26954734"/>
      <w:r/>
      <w:bookmarkStart w:id="131" w:name="_Hlt26954850"/>
      <w:r/>
      <w:bookmarkStart w:id="132" w:name="_Hlt26670489"/>
      <w:r/>
      <w:bookmarkStart w:id="133" w:name="_Toc14577360"/>
      <w:r/>
      <w:bookmarkStart w:id="134" w:name="_Toc49090511"/>
      <w:r/>
      <w:bookmarkEnd w:id="128"/>
      <w:r/>
      <w:bookmarkEnd w:id="129"/>
      <w:r/>
      <w:bookmarkEnd w:id="130"/>
      <w:r/>
      <w:bookmarkEnd w:id="131"/>
      <w:r/>
      <w:bookmarkEnd w:id="132"/>
      <w:r>
        <w:rPr>
          <w:rFonts w:hint="eastAsia" w:ascii="方正楷体_GBK" w:hAnsi="方正楷体_GBK" w:eastAsia="方正楷体_GBK" w:cs="方正楷体_GBK"/>
        </w:rPr>
        <w:t xml:space="preserve">15.投标有效期</w:t>
      </w:r>
      <w:bookmarkEnd w:id="133"/>
      <w:r/>
      <w:bookmarkEnd w:id="134"/>
      <w:r/>
      <w:r/>
    </w:p>
    <w:p>
      <w:pPr>
        <w:ind w:firstLine="420"/>
        <w:rPr>
          <w:rFonts w:hint="eastAsia"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69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p>
    <w:p>
      <w:pPr>
        <w:ind w:firstLine="420"/>
        <w:rPr>
          <w:rFonts w:hint="eastAsia" w:ascii="宋体" w:hAnsi="宋体"/>
          <w:sz w:val="24"/>
          <w:lang w:val="zh-CN"/>
        </w:rPr>
      </w:pPr>
      <w:r>
        <w:rPr>
          <w:rFonts w:hint="eastAsia" w:ascii="宋体" w:hAnsi="宋体"/>
          <w:sz w:val="24"/>
          <w:lang w:val="zh-CN"/>
        </w:rPr>
        <w:t xml:space="preserve">16.1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r/>
    </w:p>
    <w:p>
      <w:pPr>
        <w:pStyle w:val="694"/>
        <w:ind w:firstLine="465"/>
        <w:spacing w:before="145" w:after="145" w:line="240" w:lineRule="auto"/>
        <w:rPr>
          <w:rFonts w:hint="eastAsia" w:ascii="方正黑体_GBK" w:hAnsi="方正黑体_GBK" w:eastAsia="方正黑体_GBK" w:cs="方正黑体_GBK"/>
          <w:b w:val="0"/>
          <w:bCs w:val="0"/>
          <w:sz w:val="30"/>
          <w:szCs w:val="30"/>
        </w:rPr>
      </w:pPr>
      <w:r/>
      <w:bookmarkStart w:id="135" w:name="_Hlt26954739"/>
      <w:r/>
      <w:bookmarkStart w:id="136" w:name="_Hlt26954852"/>
      <w:r/>
      <w:bookmarkStart w:id="137" w:name="_Toc20823296"/>
      <w:r/>
      <w:bookmarkStart w:id="138" w:name="_Toc16938540"/>
      <w:r/>
      <w:bookmarkStart w:id="139" w:name="_Toc513029224"/>
      <w:r/>
      <w:bookmarkStart w:id="140" w:name="_Toc120614217"/>
      <w:r/>
      <w:bookmarkEnd w:id="135"/>
      <w:r/>
      <w:bookmarkEnd w:id="136"/>
      <w:r>
        <w:rPr>
          <w:rFonts w:hint="eastAsia" w:ascii="方正黑体_GBK" w:hAnsi="方正黑体_GBK" w:eastAsia="方正黑体_GBK" w:cs="方正黑体_GBK"/>
          <w:b w:val="0"/>
          <w:bCs w:val="0"/>
          <w:sz w:val="30"/>
          <w:szCs w:val="30"/>
        </w:rPr>
        <w:t xml:space="preserve">四、投标文件的递交</w:t>
      </w:r>
      <w:bookmarkEnd w:id="137"/>
      <w:r/>
      <w:bookmarkEnd w:id="138"/>
      <w:r/>
      <w:bookmarkEnd w:id="139"/>
      <w:r/>
      <w:bookmarkEnd w:id="140"/>
      <w:r/>
      <w:r/>
    </w:p>
    <w:p>
      <w:pPr>
        <w:pStyle w:val="695"/>
        <w:ind w:firstLine="420"/>
        <w:spacing w:before="0" w:after="0" w:line="240" w:lineRule="auto"/>
        <w:rPr>
          <w:rFonts w:hint="eastAsia" w:ascii="方正楷体_GBK" w:hAnsi="方正楷体_GBK" w:eastAsia="方正楷体_GBK" w:cs="方正楷体_GBK"/>
        </w:rPr>
      </w:pPr>
      <w:r/>
      <w:bookmarkStart w:id="141" w:name="_Toc16938541"/>
      <w:r/>
      <w:bookmarkStart w:id="142" w:name="_Toc462564084"/>
      <w:r/>
      <w:bookmarkStart w:id="143" w:name="_Toc20823297"/>
      <w:r/>
      <w:bookmarkStart w:id="144" w:name="_Toc513029225"/>
      <w:r>
        <w:rPr>
          <w:rFonts w:hint="eastAsia" w:ascii="方正楷体_GBK" w:hAnsi="方正楷体_GBK" w:eastAsia="方正楷体_GBK" w:cs="方正楷体_GBK"/>
        </w:rPr>
        <w:t xml:space="preserve">17.投标文件</w:t>
      </w:r>
      <w:bookmarkEnd w:id="141"/>
      <w:r/>
      <w:bookmarkEnd w:id="142"/>
      <w:r/>
      <w:bookmarkEnd w:id="143"/>
      <w:r/>
      <w:bookmarkEnd w:id="144"/>
      <w:r>
        <w:rPr>
          <w:rFonts w:hint="eastAsia" w:ascii="方正楷体_GBK" w:hAnsi="方正楷体_GBK" w:eastAsia="方正楷体_GBK" w:cs="方正楷体_GBK"/>
        </w:rPr>
        <w:t xml:space="preserve">的递交</w:t>
      </w:r>
      <w:r/>
    </w:p>
    <w:p>
      <w:pPr>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5" w:name="_Toc513029226"/>
      <w:r/>
      <w:bookmarkStart w:id="146" w:name="_Toc16938542"/>
      <w:r/>
      <w:bookmarkStart w:id="147" w:name="_Toc20823298"/>
      <w:r/>
      <w:bookmarkEnd w:id="145"/>
      <w:bookmarkEnd w:id="146"/>
      <w:bookmarkEnd w:id="147"/>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代理机构可以按照规定，通过修改招标文件酌情延长投标截止时间，在此情况下，投标人的所有权利和义务均以延长后新的截止时间为准。</w:t>
      </w:r>
      <w:r/>
    </w:p>
    <w:p>
      <w:pPr>
        <w:pStyle w:val="695"/>
        <w:ind w:firstLine="420"/>
        <w:spacing w:before="0" w:after="0" w:line="240" w:lineRule="auto"/>
        <w:rPr>
          <w:rFonts w:hint="eastAsia" w:ascii="方正楷体_GBK" w:hAnsi="方正楷体_GBK" w:eastAsia="方正楷体_GBK" w:cs="方正楷体_GBK"/>
        </w:rPr>
      </w:pPr>
      <w:r/>
      <w:bookmarkStart w:id="148" w:name="_Toc513029227"/>
      <w:r/>
      <w:bookmarkStart w:id="149" w:name="_Toc20823299"/>
      <w:r/>
      <w:bookmarkStart w:id="150" w:name="_Toc16938543"/>
      <w:r>
        <w:rPr>
          <w:rFonts w:hint="eastAsia" w:ascii="方正楷体_GBK" w:hAnsi="方正楷体_GBK" w:eastAsia="方正楷体_GBK" w:cs="方正楷体_GBK"/>
        </w:rPr>
        <w:t xml:space="preserve">18.投标文件</w:t>
      </w:r>
      <w:bookmarkEnd w:id="148"/>
      <w:r/>
      <w:bookmarkEnd w:id="149"/>
      <w:r/>
      <w:bookmarkEnd w:id="150"/>
      <w:r>
        <w:rPr>
          <w:rFonts w:hint="eastAsia" w:ascii="方正楷体_GBK" w:hAnsi="方正楷体_GBK" w:eastAsia="方正楷体_GBK" w:cs="方正楷体_GBK"/>
        </w:rPr>
        <w:t xml:space="preserve">的拒收</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695"/>
        <w:ind w:firstLine="420"/>
        <w:spacing w:before="0" w:after="0" w:line="240" w:lineRule="auto"/>
        <w:rPr>
          <w:rFonts w:hint="eastAsia" w:ascii="方正楷体_GBK" w:hAnsi="方正楷体_GBK" w:eastAsia="方正楷体_GBK" w:cs="方正楷体_GBK"/>
        </w:rPr>
      </w:pPr>
      <w:r/>
      <w:bookmarkStart w:id="151" w:name="_Toc513029228"/>
      <w:r/>
      <w:bookmarkStart w:id="152" w:name="_Toc16938544"/>
      <w:r/>
      <w:bookmarkStart w:id="153" w:name="_Toc20823300"/>
      <w:r>
        <w:rPr>
          <w:rFonts w:hint="eastAsia" w:ascii="方正楷体_GBK" w:hAnsi="方正楷体_GBK" w:eastAsia="方正楷体_GBK" w:cs="方正楷体_GBK"/>
        </w:rPr>
        <w:t xml:space="preserve">19.投标文件的撤回和修改</w:t>
      </w:r>
      <w:bookmarkEnd w:id="151"/>
      <w:r/>
      <w:bookmarkEnd w:id="152"/>
      <w:r/>
      <w:bookmarkEnd w:id="153"/>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4" w:name="_Toc120614218"/>
      <w:r/>
      <w:bookmarkStart w:id="155" w:name="_Toc16938545"/>
      <w:r/>
      <w:bookmarkStart w:id="156" w:name="_Toc20823301"/>
      <w:r/>
      <w:bookmarkStart w:id="157" w:name="_Toc513029229"/>
      <w:r/>
      <w:r/>
    </w:p>
    <w:p>
      <w:pPr>
        <w:pStyle w:val="69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54"/>
      <w:r/>
      <w:bookmarkEnd w:id="155"/>
      <w:r/>
      <w:bookmarkEnd w:id="156"/>
      <w:r/>
      <w:bookmarkEnd w:id="157"/>
      <w:r/>
      <w:r/>
    </w:p>
    <w:p>
      <w:pPr>
        <w:pStyle w:val="695"/>
        <w:ind w:firstLine="420"/>
        <w:spacing w:before="0" w:after="0" w:line="240" w:lineRule="auto"/>
        <w:rPr>
          <w:rFonts w:hint="eastAsia" w:ascii="方正楷体_GBK" w:hAnsi="方正楷体_GBK" w:eastAsia="方正楷体_GBK" w:cs="方正楷体_GBK"/>
        </w:rPr>
      </w:pPr>
      <w:r/>
      <w:bookmarkStart w:id="158" w:name="_Toc16938546"/>
      <w:r/>
      <w:bookmarkStart w:id="159" w:name="_Toc513029230"/>
      <w:r/>
      <w:bookmarkStart w:id="160" w:name="_Toc20823302"/>
      <w:r>
        <w:rPr>
          <w:rFonts w:hint="eastAsia" w:ascii="方正楷体_GBK" w:hAnsi="方正楷体_GBK" w:eastAsia="方正楷体_GBK" w:cs="方正楷体_GBK"/>
        </w:rPr>
        <w:t xml:space="preserve">20.开标</w:t>
      </w:r>
      <w:bookmarkEnd w:id="158"/>
      <w:r/>
      <w:bookmarkEnd w:id="159"/>
      <w:r/>
      <w:bookmarkEnd w:id="160"/>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695"/>
        <w:ind w:firstLine="420"/>
        <w:spacing w:before="0" w:after="0" w:line="240" w:lineRule="auto"/>
        <w:rPr>
          <w:rFonts w:hint="eastAsia" w:ascii="方正楷体_GBK" w:hAnsi="方正楷体_GBK" w:eastAsia="方正楷体_GBK" w:cs="方正楷体_GBK"/>
        </w:rPr>
      </w:pPr>
      <w:r/>
      <w:bookmarkStart w:id="161" w:name="_Toc20823303"/>
      <w:r/>
      <w:bookmarkStart w:id="162" w:name="_Toc16938547"/>
      <w:r/>
      <w:bookmarkStart w:id="163" w:name="_Toc513029231"/>
      <w:r>
        <w:rPr>
          <w:rFonts w:hint="eastAsia" w:ascii="方正楷体_GBK" w:hAnsi="方正楷体_GBK" w:eastAsia="方正楷体_GBK" w:cs="方正楷体_GBK"/>
        </w:rPr>
        <w:t xml:space="preserve">21.评标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评委会由采购人代表和有关技术、经济或法律等方面的专家组成，且人员构成符合政府采购有关规定。</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69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bookmarkEnd w:id="161"/>
      <w:bookmarkEnd w:id="162"/>
      <w:bookmarkEnd w:id="163"/>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凡是与审查、澄清、评价和比较投标的有关资料以及授标建议等，采购人、评委、代理机构均不得向投标人或与评标无关的其他人员透露。</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代理机构和评委会不向未中标的投标人解释未中标原因，也不公布评标过程中的相关细节。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p>
    <w:p>
      <w:pPr>
        <w:pStyle w:val="695"/>
        <w:ind w:firstLine="420"/>
        <w:spacing w:before="0" w:after="0" w:line="240" w:lineRule="auto"/>
        <w:rPr>
          <w:rFonts w:hint="eastAsia" w:ascii="方正楷体_GBK" w:hAnsi="方正楷体_GBK" w:eastAsia="方正楷体_GBK" w:cs="方正楷体_GBK"/>
        </w:rPr>
      </w:pPr>
      <w:r/>
      <w:bookmarkStart w:id="164" w:name="_Toc513029232"/>
      <w:r/>
      <w:bookmarkStart w:id="165" w:name="_Toc16938548"/>
      <w:r/>
      <w:bookmarkStart w:id="166" w:name="_Toc20823304"/>
      <w:r>
        <w:rPr>
          <w:rFonts w:hint="eastAsia" w:ascii="方正楷体_GBK" w:hAnsi="方正楷体_GBK" w:eastAsia="方正楷体_GBK" w:cs="方正楷体_GBK"/>
        </w:rPr>
        <w:t xml:space="preserve">23.投标文件的澄清</w:t>
      </w:r>
      <w:bookmarkEnd w:id="164"/>
      <w:r/>
      <w:bookmarkEnd w:id="165"/>
      <w:r/>
      <w:bookmarkEnd w:id="166"/>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p>
    <w:p>
      <w:pPr>
        <w:pStyle w:val="695"/>
        <w:ind w:firstLine="420"/>
        <w:spacing w:before="0" w:after="0" w:line="240" w:lineRule="auto"/>
        <w:rPr>
          <w:rFonts w:hint="eastAsia" w:ascii="方正楷体_GBK" w:hAnsi="方正楷体_GBK" w:eastAsia="方正楷体_GBK" w:cs="方正楷体_GBK"/>
        </w:rPr>
      </w:pPr>
      <w:r/>
      <w:bookmarkStart w:id="167" w:name="_Toc20823305"/>
      <w:r/>
      <w:bookmarkStart w:id="168" w:name="_Toc513029233"/>
      <w:r/>
      <w:bookmarkStart w:id="169" w:name="_Toc16938549"/>
      <w:r>
        <w:rPr>
          <w:rFonts w:hint="eastAsia" w:ascii="方正楷体_GBK" w:hAnsi="方正楷体_GBK" w:eastAsia="方正楷体_GBK" w:cs="方正楷体_GBK"/>
        </w:rPr>
        <w:t xml:space="preserve">24.投标文件的</w:t>
      </w:r>
      <w:bookmarkEnd w:id="167"/>
      <w:r/>
      <w:bookmarkEnd w:id="168"/>
      <w:r/>
      <w:bookmarkEnd w:id="169"/>
      <w:r>
        <w:rPr>
          <w:rFonts w:hint="eastAsia" w:ascii="方正楷体_GBK" w:hAnsi="方正楷体_GBK" w:eastAsia="方正楷体_GBK" w:cs="方正楷体_GBK"/>
        </w:rPr>
        <w:t xml:space="preserve">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投标文件审查分为资格审查和符合性审查。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未通过资格审查或符合性审查的投标人，代理机构将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sz w:val="24"/>
          <w:lang w:val="zh-CN"/>
        </w:rPr>
      </w:pPr>
      <w:r/>
      <w:bookmarkStart w:id="170" w:name="_Toc16938550"/>
      <w:r/>
      <w:bookmarkStart w:id="171" w:name="_Toc513029234"/>
      <w:r/>
      <w:bookmarkStart w:id="172" w:name="_Toc20823306"/>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投标人在开、评标全过程中应保持通讯畅通，及时登录苏采云系统查阅、答复相关信息，并安排专人与代理机构及评委会联系。</w:t>
      </w:r>
      <w:r/>
    </w:p>
    <w:p>
      <w:pPr>
        <w:pStyle w:val="69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70"/>
      <w:r/>
      <w:bookmarkEnd w:id="171"/>
      <w:r/>
      <w:bookmarkEnd w:id="172"/>
      <w:r>
        <w:rPr>
          <w:rFonts w:hint="eastAsia" w:ascii="方正楷体_GBK" w:hAnsi="方正楷体_GBK" w:eastAsia="方正楷体_GBK" w:cs="方正楷体_GBK"/>
        </w:rPr>
        <w:t xml:space="preserve">5.无效投标和废标</w:t>
      </w:r>
      <w:r/>
    </w:p>
    <w:p>
      <w:pPr>
        <w:ind w:firstLine="420"/>
        <w:rPr>
          <w:rFonts w:hint="eastAsia" w:ascii="宋体" w:hAnsi="宋体"/>
          <w:sz w:val="24"/>
          <w:lang w:val="zh-CN"/>
        </w:rPr>
      </w:pPr>
      <w:r/>
      <w:bookmarkStart w:id="173" w:name="_Toc16938551"/>
      <w:r/>
      <w:bookmarkStart w:id="174" w:name="_Toc513029235"/>
      <w:r/>
      <w:bookmarkStart w:id="175" w:name="_Toc20823307"/>
      <w:r/>
      <w:bookmarkStart w:id="176" w:name="_Toc120614219"/>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w:t>
      </w:r>
      <w:r>
        <w:rPr>
          <w:rFonts w:hint="eastAsia" w:ascii="宋体" w:hAnsi="宋体"/>
          <w:sz w:val="24"/>
        </w:rPr>
        <w:t xml:space="preserve">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b/>
          <w:bCs/>
          <w:sz w:val="24"/>
          <w:lang w:val="zh-CN"/>
        </w:rPr>
        <w:t xml:space="preserve">本文件中斜体且有下划线部分，或者打“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评委会认为投标人的报价明显低于其他通过符合性审查投标人的报价，有可能影响</w:t>
      </w:r>
      <w:r>
        <w:rPr>
          <w:rFonts w:hint="eastAsia" w:ascii="宋体" w:hAnsi="宋体"/>
          <w:sz w:val="24"/>
        </w:rPr>
        <w:t xml:space="preserve">服务</w:t>
      </w:r>
      <w:r>
        <w:rPr>
          <w:rFonts w:hint="eastAsia" w:ascii="宋体" w:hAnsi="宋体"/>
          <w:sz w:val="24"/>
          <w:lang w:val="zh-CN"/>
        </w:rPr>
        <w:t xml:space="preserve">质量或者不能诚信履约的，将通过苏采云系统要求其在合理的时间内提供说明，必要时提交相关证明材料。投标人不能证明其报价合理性的，评委会应当将其作为无效投标处理。</w:t>
      </w:r>
      <w:r/>
    </w:p>
    <w:p>
      <w:pPr>
        <w:ind w:firstLine="420"/>
        <w:rPr>
          <w:rFonts w:hint="eastAsia"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w:t>
      </w:r>
      <w:r>
        <w:rPr>
          <w:rFonts w:hint="eastAsia" w:ascii="宋体" w:hAnsi="宋体"/>
          <w:sz w:val="24"/>
        </w:rPr>
        <w:t xml:space="preserve">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ind w:firstLine="420"/>
        <w:rPr>
          <w:rFonts w:hint="eastAsia" w:ascii="宋体" w:hAnsi="宋体"/>
          <w:sz w:val="24"/>
          <w:lang w:val="zh-CN"/>
        </w:rPr>
      </w:pPr>
      <w:r>
        <w:rPr>
          <w:rFonts w:hint="eastAsia" w:ascii="宋体" w:hAnsi="宋体"/>
          <w:sz w:val="24"/>
          <w:lang w:val="zh-CN"/>
        </w:rPr>
        <w:t xml:space="preserve">25.4 </w:t>
      </w:r>
      <w:r>
        <w:rPr>
          <w:rFonts w:ascii="宋体" w:hAnsi="宋体"/>
          <w:sz w:val="24"/>
          <w:lang w:val="zh-CN"/>
        </w:rPr>
        <w:t xml:space="preserve">本项目执行财库〔2026〕2号《关于推动解决政府采购异常低价问题相关工作的通知》的相关规定。</w:t>
      </w:r>
      <w:r/>
    </w:p>
    <w:p>
      <w:pPr>
        <w:ind w:firstLine="420"/>
        <w:rPr>
          <w:rFonts w:hint="eastAsia" w:ascii="宋体" w:hAnsi="宋体"/>
          <w:bCs/>
          <w:sz w:val="24"/>
        </w:rPr>
      </w:pPr>
      <w:r>
        <w:rPr>
          <w:rFonts w:ascii="宋体" w:hAnsi="宋体"/>
          <w:bCs/>
          <w:sz w:val="24"/>
        </w:rPr>
        <w:t xml:space="preserve">2</w:t>
      </w:r>
      <w:r>
        <w:rPr>
          <w:rFonts w:hint="eastAsia" w:ascii="宋体" w:hAnsi="宋体"/>
          <w:bCs/>
          <w:sz w:val="24"/>
        </w:rPr>
        <w:t xml:space="preserve">5.4</w:t>
      </w:r>
      <w:r>
        <w:rPr>
          <w:rFonts w:ascii="宋体" w:hAnsi="宋体"/>
          <w:bCs/>
          <w:sz w:val="24"/>
        </w:rPr>
        <w:t xml:space="preserve">.1 评审中出现下列情形之一的，评审委员会应当启动异常低价投标（响应）审查程序： </w:t>
      </w:r>
      <w:r/>
    </w:p>
    <w:p>
      <w:pPr>
        <w:ind w:firstLine="420"/>
        <w:rPr>
          <w:rFonts w:hint="eastAsia" w:ascii="宋体" w:hAnsi="宋体"/>
          <w:bCs/>
          <w:sz w:val="24"/>
        </w:rPr>
      </w:pPr>
      <w:r>
        <w:rPr>
          <w:rFonts w:ascii="宋体" w:hAnsi="宋体"/>
          <w:bCs/>
          <w:sz w:val="24"/>
        </w:rPr>
        <w:t xml:space="preserve">（1）投标（响应）报价低于全部通过符合性审查供应商投标（响应）报价平均值50%的，即投标（响应）报价&lt;全部通过符合性审查供应商投标（响应）报价平均值×50%； </w:t>
      </w:r>
      <w:r/>
    </w:p>
    <w:p>
      <w:pPr>
        <w:ind w:firstLine="420"/>
        <w:rPr>
          <w:rFonts w:hint="eastAsia" w:ascii="宋体" w:hAnsi="宋体"/>
          <w:bCs/>
          <w:sz w:val="24"/>
        </w:rPr>
      </w:pPr>
      <w:r>
        <w:rPr>
          <w:rFonts w:ascii="宋体" w:hAnsi="宋体"/>
          <w:bCs/>
          <w:sz w:val="24"/>
        </w:rPr>
        <w:t xml:space="preserve">（2）投标（响应）报价低于通过符合性审查的次低报价供应商投标（响应）报价50%的，即投标（响应）报价&lt;通过符合性审查的次低报价供应商投标（响应）报价×50%； </w:t>
      </w:r>
      <w:r/>
    </w:p>
    <w:p>
      <w:pPr>
        <w:ind w:firstLine="420"/>
        <w:rPr>
          <w:rFonts w:hint="eastAsia" w:ascii="宋体" w:hAnsi="宋体"/>
          <w:bCs/>
          <w:sz w:val="24"/>
        </w:rPr>
      </w:pPr>
      <w:r>
        <w:rPr>
          <w:rFonts w:ascii="宋体" w:hAnsi="宋体"/>
          <w:bCs/>
          <w:sz w:val="24"/>
        </w:rPr>
        <w:t xml:space="preserve">（3）投标（响应）报价低于采购项目最高限价65%的，即投标（响应）报价&lt;采购项目最高限价×65%； </w:t>
      </w:r>
      <w:r/>
    </w:p>
    <w:p>
      <w:pPr>
        <w:ind w:firstLine="420"/>
        <w:rPr>
          <w:rFonts w:hint="eastAsia" w:ascii="宋体" w:hAnsi="宋体"/>
          <w:bCs/>
          <w:sz w:val="24"/>
        </w:rPr>
      </w:pPr>
      <w:r>
        <w:rPr>
          <w:rFonts w:ascii="宋体" w:hAnsi="宋体"/>
          <w:bCs/>
          <w:sz w:val="24"/>
        </w:rPr>
        <w:t xml:space="preserve">（4）评审委员会基于专业判断，认为供应商报价过低，有可能影响产品质量或者不能诚信履约的其他情形。 </w:t>
      </w:r>
      <w:r/>
    </w:p>
    <w:p>
      <w:pPr>
        <w:ind w:firstLine="420"/>
        <w:rPr>
          <w:rFonts w:hint="eastAsia" w:ascii="宋体" w:hAnsi="宋体"/>
          <w:bCs/>
          <w:sz w:val="24"/>
        </w:rPr>
      </w:pPr>
      <w:r>
        <w:rPr>
          <w:rFonts w:ascii="宋体" w:hAnsi="宋体"/>
          <w:bCs/>
          <w:sz w:val="24"/>
        </w:rPr>
        <w:t xml:space="preserve">相关法律法规对供应商报价有规定的，从其规定。 </w:t>
      </w:r>
      <w:r/>
    </w:p>
    <w:p>
      <w:pPr>
        <w:ind w:firstLine="420"/>
        <w:rPr>
          <w:rFonts w:hint="eastAsia" w:ascii="宋体" w:hAnsi="宋体"/>
          <w:bCs/>
          <w:sz w:val="24"/>
        </w:rPr>
      </w:pPr>
      <w:r>
        <w:rPr>
          <w:rFonts w:ascii="宋体" w:hAnsi="宋体"/>
          <w:bCs/>
          <w:sz w:val="24"/>
        </w:rPr>
        <w:t xml:space="preserve">2</w:t>
      </w:r>
      <w:r>
        <w:rPr>
          <w:rFonts w:hint="eastAsia" w:ascii="宋体" w:hAnsi="宋体"/>
          <w:bCs/>
          <w:sz w:val="24"/>
        </w:rPr>
        <w:t xml:space="preserve">5.4</w:t>
      </w:r>
      <w:r>
        <w:rPr>
          <w:rFonts w:ascii="宋体" w:hAnsi="宋体"/>
          <w:bCs/>
          <w:sz w:val="24"/>
        </w:rPr>
        <w:t xml:space="preserve">.2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w:t>
      </w:r>
      <w:r>
        <w:rPr>
          <w:rFonts w:ascii="宋体" w:hAnsi="宋体"/>
          <w:sz w:val="24"/>
        </w:rPr>
        <w:t xml:space="preserve">原材料及人工成本明细说明及相关证明材料；最后报价与首次报价差额的原因分析明细、具体可落实环节和理由（包括综合单价的合理性分析、成本的计算公式、材料市场价格分析及相关证明资料）；后期的履约保证措施</w:t>
      </w:r>
      <w:r>
        <w:rPr>
          <w:rFonts w:ascii="宋体" w:hAnsi="宋体"/>
          <w:bCs/>
          <w:sz w:val="24"/>
        </w:rPr>
        <w:t xml:space="preserve">等，给予相关供应商的合理时间一般不少于30分钟。 </w:t>
      </w:r>
      <w:r/>
    </w:p>
    <w:p>
      <w:pPr>
        <w:ind w:firstLine="420"/>
        <w:rPr>
          <w:rFonts w:hint="eastAsia" w:ascii="宋体" w:hAnsi="宋体"/>
          <w:sz w:val="24"/>
          <w:lang w:val="zh-CN"/>
        </w:rPr>
      </w:pPr>
      <w:r>
        <w:rPr>
          <w:rFonts w:ascii="宋体" w:hAnsi="宋体"/>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9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73"/>
      <w:r/>
      <w:bookmarkEnd w:id="174"/>
      <w:r/>
      <w:bookmarkEnd w:id="175"/>
      <w:r>
        <w:rPr>
          <w:rFonts w:hint="eastAsia" w:ascii="方正黑体_GBK" w:hAnsi="方正黑体_GBK" w:eastAsia="方正黑体_GBK" w:cs="方正黑体_GBK"/>
          <w:b w:val="0"/>
          <w:bCs w:val="0"/>
          <w:sz w:val="30"/>
          <w:szCs w:val="30"/>
        </w:rPr>
        <w:t xml:space="preserve">定标</w:t>
      </w:r>
      <w:bookmarkEnd w:id="176"/>
      <w:r/>
      <w:r/>
    </w:p>
    <w:p>
      <w:pPr>
        <w:pStyle w:val="695"/>
        <w:ind w:firstLine="420"/>
        <w:spacing w:before="0" w:after="0" w:line="240" w:lineRule="auto"/>
        <w:rPr>
          <w:rFonts w:hint="eastAsia" w:ascii="方正楷体_GBK" w:hAnsi="方正楷体_GBK" w:eastAsia="方正楷体_GBK" w:cs="方正楷体_GBK"/>
        </w:rPr>
      </w:pPr>
      <w:r/>
      <w:bookmarkStart w:id="177" w:name="_Toc513029238"/>
      <w:r/>
      <w:bookmarkStart w:id="178" w:name="_Toc16938554"/>
      <w:r/>
      <w:bookmarkStart w:id="179" w:name="_Toc20823310"/>
      <w:r>
        <w:rPr>
          <w:rFonts w:hint="eastAsia" w:ascii="方正楷体_GBK" w:hAnsi="方正楷体_GBK" w:eastAsia="方正楷体_GBK" w:cs="方正楷体_GBK"/>
        </w:rPr>
        <w:t xml:space="preserve">2</w:t>
      </w:r>
      <w:bookmarkEnd w:id="177"/>
      <w:r>
        <w:rPr>
          <w:rFonts w:hint="eastAsia" w:ascii="方正楷体_GBK" w:hAnsi="方正楷体_GBK" w:eastAsia="方正楷体_GBK" w:cs="方正楷体_GBK"/>
        </w:rPr>
        <w:t xml:space="preserve">6.确定</w:t>
      </w:r>
      <w:bookmarkEnd w:id="178"/>
      <w:r/>
      <w:bookmarkEnd w:id="179"/>
      <w:r>
        <w:rPr>
          <w:rFonts w:hint="eastAsia" w:ascii="方正楷体_GBK" w:hAnsi="方正楷体_GBK" w:eastAsia="方正楷体_GBK" w:cs="方正楷体_GBK"/>
        </w:rPr>
        <w:t xml:space="preserve">中标单位</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按以下第（2）种方式确定中标人：</w:t>
      </w:r>
      <w:r/>
    </w:p>
    <w:p>
      <w:pPr>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按第二种方式确定中标人的，代理机构自评审结束之日起两个工作日内将评审报告送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代理机构将在“江苏政府采购网”发布中标公告，公告期限为1个工作日。</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向评审专家、采购人或代理机构工作人员行贿或者提供其他不正当利益。</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w:t>
      </w:r>
      <w:r>
        <w:rPr>
          <w:rFonts w:hint="eastAsia" w:ascii="宋体" w:hAnsi="宋体"/>
          <w:sz w:val="24"/>
        </w:rPr>
        <w:t xml:space="preserve"> </w:t>
      </w:r>
      <w:r>
        <w:rPr>
          <w:rFonts w:hint="eastAsia" w:ascii="宋体" w:hAnsi="宋体"/>
          <w:sz w:val="24"/>
          <w:lang w:val="zh-CN"/>
        </w:rPr>
        <w:t xml:space="preserve">与其他供应商、评审专家、采购人或代理机构工作人员恶意串通。</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采取不正当手段诋毁、排挤其他供应商。</w:t>
      </w:r>
      <w:r/>
    </w:p>
    <w:p>
      <w:pPr>
        <w:ind w:firstLine="420"/>
        <w:rPr>
          <w:rFonts w:hint="eastAsia" w:ascii="宋体" w:hAnsi="宋体"/>
          <w:b/>
          <w:bCs/>
          <w:sz w:val="24"/>
          <w:lang w:val="zh-CN"/>
        </w:rPr>
      </w:pPr>
      <w:r/>
      <w:bookmarkStart w:id="180"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bookmarkEnd w:id="180"/>
      <w:r/>
    </w:p>
    <w:p>
      <w:pPr>
        <w:pStyle w:val="69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27.中标通知书</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中标结果确定后，代理机构将向中标人发出《中标通知书》。中标人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694"/>
        <w:ind w:firstLine="465"/>
        <w:spacing w:before="145" w:after="145" w:line="240" w:lineRule="auto"/>
        <w:rPr>
          <w:rFonts w:hint="eastAsia" w:ascii="方正黑体_GBK" w:hAnsi="方正黑体_GBK" w:eastAsia="方正黑体_GBK" w:cs="方正黑体_GBK"/>
          <w:b w:val="0"/>
          <w:bCs w:val="0"/>
          <w:sz w:val="30"/>
          <w:szCs w:val="30"/>
        </w:rPr>
      </w:pPr>
      <w:r/>
      <w:bookmarkStart w:id="181" w:name="_Toc120614220"/>
      <w:r/>
      <w:bookmarkStart w:id="182" w:name="_Toc20823308"/>
      <w:r/>
      <w:bookmarkStart w:id="183" w:name="_Toc16938552"/>
      <w:r/>
      <w:bookmarkStart w:id="184" w:name="_Toc513029236"/>
      <w:r>
        <w:rPr>
          <w:rFonts w:hint="eastAsia" w:ascii="方正黑体_GBK" w:hAnsi="方正黑体_GBK" w:eastAsia="方正黑体_GBK" w:cs="方正黑体_GBK"/>
          <w:b w:val="0"/>
          <w:bCs w:val="0"/>
          <w:sz w:val="30"/>
          <w:szCs w:val="30"/>
        </w:rPr>
        <w:t xml:space="preserve">七、授予合同</w:t>
      </w:r>
      <w:bookmarkEnd w:id="181"/>
      <w:r/>
      <w:r/>
    </w:p>
    <w:p>
      <w:pPr>
        <w:pStyle w:val="695"/>
        <w:ind w:firstLine="420"/>
        <w:spacing w:before="0" w:after="0" w:line="240" w:lineRule="auto"/>
        <w:rPr>
          <w:rFonts w:hint="eastAsia" w:ascii="方正楷体_GBK" w:hAnsi="方正楷体_GBK" w:eastAsia="方正楷体_GBK" w:cs="方正楷体_GBK"/>
        </w:rPr>
      </w:pPr>
      <w:r/>
      <w:bookmarkStart w:id="185" w:name="_Toc513029237"/>
      <w:r/>
      <w:bookmarkStart w:id="186" w:name="_Toc20823309"/>
      <w:r/>
      <w:bookmarkStart w:id="187" w:name="_Toc16938553"/>
      <w:r/>
      <w:bookmarkEnd w:id="182"/>
      <w:r/>
      <w:bookmarkEnd w:id="183"/>
      <w:r/>
      <w:bookmarkEnd w:id="184"/>
      <w:r>
        <w:rPr>
          <w:rFonts w:hint="eastAsia" w:ascii="方正楷体_GBK" w:hAnsi="方正楷体_GBK" w:eastAsia="方正楷体_GBK" w:cs="方正楷体_GBK"/>
        </w:rPr>
        <w:t xml:space="preserve">28.签订合同</w:t>
      </w:r>
      <w:r/>
    </w:p>
    <w:p>
      <w:pPr>
        <w:ind w:firstLine="420"/>
        <w:rPr>
          <w:rFonts w:hint="eastAsia" w:ascii="宋体" w:hAnsi="宋体"/>
          <w:sz w:val="24"/>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中标人应当在《中标通知书》发出之日起三十日内，按照招标文件确定的事项与采购人签订政府采购合同。采购人于合同签订后2个工作日内通过苏采云系统进行公示。</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69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bookmarkEnd w:id="185"/>
      <w:bookmarkEnd w:id="186"/>
      <w:bookmarkEnd w:id="187"/>
      <w:r/>
    </w:p>
    <w:p>
      <w:pPr>
        <w:pStyle w:val="69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ind w:firstLine="420"/>
        <w:rPr>
          <w:rFonts w:hint="eastAsia" w:ascii="宋体" w:hAnsi="宋体"/>
          <w:sz w:val="24"/>
          <w:lang w:val="zh-CN"/>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sz w:val="24"/>
          <w:lang w:val="zh-CN"/>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规定以书面形式向采购人或代理机构提出质疑。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供应商应当在法定质疑期内一次性提出针对同一采购程序环节的质疑。供应商如在法定期限内对同一采购程序环节提出多次质疑的，代理机构或采购人将只对供应商第一次质疑作出答复。</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供应商提出质疑应提交《质疑函》原件，且尽可能通过邮寄方式送达，代理机构和采购人不接受无运单的快件。《质疑函》应按照本招标文件中《质疑函范本》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p>
    <w:p>
      <w:pPr>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rPr>
          <w:rFonts w:hint="eastAsia" w:ascii="宋体" w:hAnsi="宋体"/>
          <w:sz w:val="24"/>
          <w:lang w:val="zh-CN"/>
        </w:rPr>
      </w:pPr>
      <w:r>
        <w:rPr>
          <w:rFonts w:hint="eastAsia" w:ascii="宋体" w:hAnsi="宋体"/>
          <w:sz w:val="24"/>
        </w:rPr>
        <w:t xml:space="preserve">35.</w:t>
      </w:r>
      <w:r>
        <w:rPr>
          <w:rFonts w:hint="eastAsia" w:ascii="宋体" w:hAnsi="宋体"/>
          <w:b/>
          <w:bCs/>
          <w:sz w:val="24"/>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sz w:val="24"/>
          <w:lang w:val="zh-CN"/>
        </w:rPr>
        <w:t xml:space="preserve">供应商对除上述事项以外其他事项的询问、质疑向代理机构提出，由代理机构负责答复。</w:t>
      </w:r>
      <w:r/>
    </w:p>
    <w:p>
      <w:pPr>
        <w:ind w:firstLine="422"/>
        <w:rPr>
          <w:rFonts w:hint="eastAsia" w:ascii="宋体" w:hAnsi="宋体"/>
          <w:b/>
          <w:bCs/>
          <w:sz w:val="24"/>
          <w:lang w:val="zh-CN"/>
        </w:rPr>
      </w:pPr>
      <w:r>
        <w:rPr>
          <w:rFonts w:hint="eastAsia" w:ascii="宋体" w:hAnsi="宋体"/>
          <w:b/>
          <w:bCs/>
          <w:sz w:val="24"/>
          <w:lang w:val="zh-CN"/>
        </w:rPr>
        <w:t xml:space="preserve">采购人《质疑函》接收人及联系方式见</w:t>
      </w:r>
      <w:r>
        <w:rPr>
          <w:rFonts w:hint="eastAsia" w:ascii="宋体" w:hAnsi="宋体"/>
          <w:b/>
          <w:bCs/>
          <w:sz w:val="24"/>
        </w:rPr>
        <w:t xml:space="preserve">招标</w:t>
      </w:r>
      <w:r>
        <w:rPr>
          <w:rFonts w:hint="eastAsia" w:ascii="宋体" w:hAnsi="宋体"/>
          <w:b/>
          <w:bCs/>
          <w:sz w:val="24"/>
          <w:lang w:val="zh-CN"/>
        </w:rPr>
        <w:t xml:space="preserve">文件第一章。</w:t>
      </w:r>
      <w:r/>
    </w:p>
    <w:p>
      <w:pPr>
        <w:ind w:firstLine="420"/>
        <w:rPr>
          <w:rFonts w:hint="eastAsia" w:ascii="宋体" w:hAnsi="宋体"/>
          <w:sz w:val="24"/>
        </w:rPr>
      </w:pPr>
      <w:r>
        <w:rPr>
          <w:rFonts w:hint="eastAsia" w:ascii="宋体" w:hAnsi="宋体"/>
          <w:sz w:val="24"/>
          <w:lang w:val="zh-CN"/>
        </w:rPr>
        <w:t xml:space="preserve">代理机构《质疑函》接收部门为采购代理部。收件人：江苏金永诚建设投资管理咨询有限公司政府采购部，地址：南京市江宁区府前东路9号万达广场E座1</w:t>
      </w:r>
      <w:r>
        <w:rPr>
          <w:rFonts w:ascii="宋体" w:hAnsi="宋体"/>
          <w:sz w:val="24"/>
          <w:lang w:val="zh-CN"/>
        </w:rPr>
        <w:t xml:space="preserve">217</w:t>
      </w:r>
      <w:r>
        <w:rPr>
          <w:rFonts w:hint="eastAsia" w:ascii="宋体" w:hAnsi="宋体"/>
          <w:sz w:val="24"/>
          <w:lang w:val="zh-CN"/>
        </w:rPr>
        <w:t xml:space="preserve">室，联系电话：025-</w:t>
      </w:r>
      <w:r>
        <w:rPr>
          <w:rFonts w:ascii="宋体" w:hAnsi="宋体"/>
          <w:sz w:val="24"/>
          <w:lang w:val="zh-CN"/>
        </w:rPr>
        <w:t xml:space="preserve">51195811</w:t>
      </w:r>
      <w:r>
        <w:rPr>
          <w:rFonts w:hint="eastAsia" w:ascii="宋体" w:hAnsi="宋体"/>
          <w:sz w:val="24"/>
          <w:lang w:val="zh-CN"/>
        </w:rPr>
        <w:t xml:space="preserve">。</w:t>
      </w:r>
      <w:r>
        <w:rPr>
          <w:rFonts w:hint="eastAsia" w:ascii="宋体" w:hAnsi="宋体"/>
          <w:sz w:val="24"/>
        </w:rPr>
        <w:t xml:space="preserve">  </w:t>
      </w:r>
      <w:r/>
    </w:p>
    <w:p>
      <w:pPr>
        <w:ind w:firstLine="422"/>
        <w:rPr>
          <w:rFonts w:hint="eastAsia" w:ascii="宋体" w:hAnsi="宋体"/>
          <w:b/>
          <w:bCs/>
          <w:sz w:val="24"/>
          <w:lang w:val="zh-CN"/>
        </w:rPr>
      </w:pPr>
      <w:r>
        <w:rPr>
          <w:rFonts w:hint="eastAsia" w:ascii="宋体" w:hAnsi="宋体"/>
          <w:b/>
          <w:bCs/>
          <w:sz w:val="24"/>
        </w:rPr>
        <w:t xml:space="preserve">由采购人负责答复的质疑，采购人将《质疑答复函》抄送代理机构。</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内容不符合《政府采购质疑和投诉办法》第十二条规定的质疑。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超出政府采购法定期限的质疑。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以传真、电子邮件等方式递交的非原件形式的质疑。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6.4 未参加采购活动或在采购活动中自身权益未受到损害的供应商所提出的质疑。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6.5 供应商组成联合体参加采购活动，联合体中任何一方或多方未按要求签字</w:t>
      </w:r>
      <w:r>
        <w:rPr>
          <w:rFonts w:hint="eastAsia" w:ascii="宋体" w:hAnsi="宋体"/>
          <w:sz w:val="24"/>
        </w:rPr>
        <w:t xml:space="preserve">或签章</w:t>
      </w:r>
      <w:r>
        <w:rPr>
          <w:rFonts w:hint="eastAsia" w:ascii="宋体" w:hAnsi="宋体"/>
          <w:sz w:val="24"/>
          <w:lang w:val="zh-CN"/>
        </w:rPr>
        <w:t xml:space="preserve">、加盖公章的质疑。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pStyle w:val="69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695"/>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ind w:firstLine="420"/>
        <w:rPr>
          <w:rFonts w:hint="eastAsia" w:ascii="宋体" w:hAnsi="宋体"/>
          <w:color w:val="ff0000"/>
          <w:sz w:val="24"/>
          <w:lang w:val="zh-CN"/>
        </w:rPr>
      </w:pPr>
      <w:r>
        <w:rPr>
          <w:rFonts w:hint="eastAsia" w:ascii="宋体" w:hAnsi="宋体"/>
          <w:color w:val="ff0000"/>
          <w:sz w:val="24"/>
        </w:rPr>
        <w:t xml:space="preserve">38.1 </w:t>
      </w:r>
      <w:r>
        <w:rPr>
          <w:rFonts w:hint="eastAsia" w:ascii="宋体" w:hAnsi="宋体"/>
          <w:color w:val="ff0000"/>
          <w:sz w:val="24"/>
        </w:rPr>
        <w:t xml:space="preserve">本项目整体专门面向中小企业采购</w:t>
      </w:r>
      <w:r>
        <w:rPr>
          <w:rFonts w:hint="eastAsia" w:ascii="宋体" w:hAnsi="宋体"/>
          <w:color w:val="ff0000"/>
          <w:sz w:val="24"/>
          <w:lang w:val="zh-CN"/>
        </w:rPr>
        <w:t xml:space="preserve">。</w:t>
      </w:r>
      <w:r/>
    </w:p>
    <w:p>
      <w:pPr>
        <w:ind w:firstLine="420"/>
        <w:rPr>
          <w:rFonts w:hint="eastAsia" w:ascii="宋体" w:hAnsi="宋体"/>
          <w:color w:val="ff0000"/>
          <w:sz w:val="24"/>
          <w:lang w:val="zh-CN"/>
        </w:rPr>
      </w:pPr>
      <w:r>
        <w:rPr>
          <w:rFonts w:hint="eastAsia" w:ascii="宋体" w:hAnsi="宋体"/>
          <w:color w:val="ff0000"/>
          <w:sz w:val="24"/>
        </w:rPr>
        <w:t xml:space="preserve">38.2 </w:t>
      </w:r>
      <w:r>
        <w:rPr>
          <w:rFonts w:hint="eastAsia" w:ascii="宋体" w:hAnsi="宋体"/>
          <w:color w:val="ff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color w:val="ff0000"/>
          <w:sz w:val="24"/>
          <w:lang w:val="zh-CN"/>
        </w:rPr>
      </w:pPr>
      <w:r>
        <w:rPr>
          <w:rFonts w:hint="eastAsia" w:ascii="宋体" w:hAnsi="宋体"/>
          <w:color w:val="ff0000"/>
          <w:sz w:val="24"/>
        </w:rPr>
        <w:t xml:space="preserve">38.3 </w:t>
      </w:r>
      <w:r>
        <w:rPr>
          <w:rFonts w:hint="eastAsia" w:ascii="宋体" w:hAnsi="宋体"/>
          <w:color w:val="ff0000"/>
          <w:sz w:val="24"/>
          <w:lang w:val="zh-CN"/>
        </w:rPr>
        <w:t xml:space="preserve">中小企业参加政府采购活动，应当出具《中小企业声明函》。</w:t>
      </w:r>
      <w:r/>
    </w:p>
    <w:p>
      <w:pPr>
        <w:ind w:firstLine="420"/>
        <w:rPr>
          <w:rFonts w:hint="eastAsia" w:ascii="宋体" w:hAnsi="宋体"/>
          <w:color w:val="ff0000"/>
          <w:sz w:val="24"/>
          <w:lang w:val="zh-CN"/>
        </w:rPr>
      </w:pPr>
      <w:r>
        <w:rPr>
          <w:rFonts w:hint="eastAsia" w:ascii="宋体" w:hAnsi="宋体"/>
          <w:color w:val="ff0000"/>
          <w:sz w:val="24"/>
        </w:rPr>
        <w:t xml:space="preserve">38.4 </w:t>
      </w:r>
      <w:r>
        <w:rPr>
          <w:rFonts w:hint="eastAsia" w:ascii="宋体" w:hAnsi="宋体"/>
          <w:color w:val="ff0000"/>
          <w:sz w:val="24"/>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color w:val="ff0000"/>
          <w:sz w:val="24"/>
          <w:lang w:val="zh-CN"/>
        </w:rPr>
      </w:pPr>
      <w:r>
        <w:rPr>
          <w:rFonts w:hint="eastAsia" w:ascii="宋体" w:hAnsi="宋体"/>
          <w:color w:val="ff0000"/>
          <w:sz w:val="24"/>
          <w:lang w:val="zh-CN"/>
        </w:rPr>
        <w:t xml:space="preserve">3</w:t>
      </w:r>
      <w:r>
        <w:rPr>
          <w:rFonts w:hint="eastAsia" w:ascii="宋体" w:hAnsi="宋体"/>
          <w:color w:val="ff0000"/>
          <w:sz w:val="24"/>
        </w:rPr>
        <w:t xml:space="preserve">8</w:t>
      </w:r>
      <w:r>
        <w:rPr>
          <w:rFonts w:hint="eastAsia" w:ascii="宋体" w:hAnsi="宋体"/>
          <w:color w:val="ff0000"/>
          <w:sz w:val="24"/>
          <w:lang w:val="zh-CN"/>
        </w:rPr>
        <w:t xml:space="preserve">.</w:t>
      </w:r>
      <w:r>
        <w:rPr>
          <w:rFonts w:hint="eastAsia" w:ascii="宋体" w:hAnsi="宋体"/>
          <w:color w:val="ff0000"/>
          <w:sz w:val="24"/>
        </w:rPr>
        <w:t xml:space="preserve">5</w:t>
      </w:r>
      <w:r>
        <w:rPr>
          <w:rFonts w:hint="eastAsia" w:ascii="宋体" w:hAnsi="宋体"/>
          <w:color w:val="ff0000"/>
          <w:sz w:val="24"/>
          <w:lang w:val="zh-CN"/>
        </w:rPr>
        <w:t xml:space="preserve"> </w:t>
      </w:r>
      <w:r>
        <w:rPr>
          <w:rFonts w:hint="eastAsia" w:ascii="宋体" w:hAnsi="宋体" w:cs="宋体"/>
          <w:color w:val="ff0000"/>
          <w:sz w:val="24"/>
          <w:szCs w:val="24"/>
        </w:rPr>
        <w:t xml:space="preserve">监狱和戒毒企业（简称监狱企业）视同小型、微型企业</w:t>
      </w:r>
      <w:r>
        <w:rPr>
          <w:rFonts w:hint="eastAsia" w:ascii="宋体" w:hAnsi="宋体"/>
          <w:color w:val="ff0000"/>
          <w:sz w:val="24"/>
          <w:lang w:val="zh-CN"/>
        </w:rPr>
        <w:t xml:space="preserve">。</w:t>
      </w:r>
      <w:r>
        <w:rPr>
          <w:rFonts w:hint="eastAsia" w:ascii="宋体" w:hAnsi="宋体"/>
          <w:color w:val="ff0000"/>
          <w:sz w:val="24"/>
        </w:rPr>
        <w:t xml:space="preserve">按照</w:t>
      </w:r>
      <w:r>
        <w:rPr>
          <w:rFonts w:hint="eastAsia" w:ascii="宋体" w:hAnsi="宋体"/>
          <w:color w:val="ff0000"/>
          <w:sz w:val="24"/>
          <w:lang w:val="zh-CN"/>
        </w:rPr>
        <w:t xml:space="preserve">《关于政府采购支持监狱企业发展有关问题的通知》（财库〔2014〕68号）</w:t>
      </w:r>
      <w:r>
        <w:rPr>
          <w:rFonts w:hint="eastAsia" w:ascii="宋体" w:hAnsi="宋体"/>
          <w:color w:val="ff0000"/>
          <w:sz w:val="24"/>
        </w:rPr>
        <w:t xml:space="preserve">规定，</w:t>
      </w:r>
      <w:r>
        <w:rPr>
          <w:rFonts w:hint="eastAsia" w:ascii="宋体" w:hAnsi="宋体"/>
          <w:color w:val="ff0000"/>
          <w:sz w:val="24"/>
          <w:lang w:val="zh-CN"/>
        </w:rPr>
        <w:t xml:space="preserve">监狱企业需提供由省级以上监狱管理局、戒毒管理局(含新疆生产建设兵团)出具的属于监狱企业的证明文件。</w:t>
      </w:r>
      <w:r/>
    </w:p>
    <w:p>
      <w:pPr>
        <w:ind w:firstLine="420"/>
        <w:rPr>
          <w:rFonts w:hint="eastAsia" w:ascii="宋体" w:hAnsi="宋体"/>
          <w:color w:val="ff0000"/>
          <w:sz w:val="24"/>
          <w:lang w:val="zh-CN"/>
        </w:rPr>
      </w:pPr>
      <w:r>
        <w:rPr>
          <w:rFonts w:hint="eastAsia" w:ascii="宋体" w:hAnsi="宋体"/>
          <w:color w:val="ff0000"/>
          <w:sz w:val="24"/>
          <w:lang w:val="zh-CN"/>
        </w:rPr>
        <w:t xml:space="preserve">3</w:t>
      </w:r>
      <w:r>
        <w:rPr>
          <w:rFonts w:hint="eastAsia" w:ascii="宋体" w:hAnsi="宋体"/>
          <w:color w:val="ff0000"/>
          <w:sz w:val="24"/>
        </w:rPr>
        <w:t xml:space="preserve">8</w:t>
      </w:r>
      <w:r>
        <w:rPr>
          <w:rFonts w:hint="eastAsia" w:ascii="宋体" w:hAnsi="宋体"/>
          <w:color w:val="ff0000"/>
          <w:sz w:val="24"/>
          <w:lang w:val="zh-CN"/>
        </w:rPr>
        <w:t xml:space="preserve">.</w:t>
      </w:r>
      <w:r>
        <w:rPr>
          <w:rFonts w:hint="eastAsia" w:ascii="宋体" w:hAnsi="宋体"/>
          <w:color w:val="ff0000"/>
          <w:sz w:val="24"/>
        </w:rPr>
        <w:t xml:space="preserve">6</w:t>
      </w:r>
      <w:r>
        <w:rPr>
          <w:rFonts w:hint="eastAsia" w:ascii="宋体" w:hAnsi="宋体"/>
          <w:color w:val="ff0000"/>
          <w:sz w:val="24"/>
          <w:lang w:val="zh-CN"/>
        </w:rPr>
        <w:t xml:space="preserve"> 残疾人福利性单位</w:t>
      </w:r>
      <w:r>
        <w:rPr>
          <w:rFonts w:hint="eastAsia" w:ascii="宋体" w:hAnsi="宋体" w:cs="宋体"/>
          <w:color w:val="ff0000"/>
          <w:sz w:val="24"/>
          <w:szCs w:val="24"/>
        </w:rPr>
        <w:t xml:space="preserve">视同小型、微型企业</w:t>
      </w:r>
      <w:r>
        <w:rPr>
          <w:rFonts w:hint="eastAsia" w:ascii="宋体" w:hAnsi="宋体"/>
          <w:color w:val="ff0000"/>
          <w:sz w:val="24"/>
          <w:lang w:val="zh-CN"/>
        </w:rPr>
        <w:t xml:space="preserve">。</w:t>
      </w:r>
      <w:r>
        <w:rPr>
          <w:rFonts w:hint="eastAsia" w:ascii="宋体" w:hAnsi="宋体"/>
          <w:color w:val="ff0000"/>
          <w:sz w:val="24"/>
        </w:rPr>
        <w:t xml:space="preserve">按照《关于促进残疾人就业政府采购政策的通知》（财库〔2017〕141号）规定，</w:t>
      </w:r>
      <w:r>
        <w:rPr>
          <w:rFonts w:hint="eastAsia" w:ascii="宋体" w:hAnsi="宋体" w:cs="宋体"/>
          <w:color w:val="ff0000"/>
          <w:sz w:val="24"/>
          <w:szCs w:val="24"/>
        </w:rPr>
        <w:t xml:space="preserve">残疾人福利单位</w:t>
      </w:r>
      <w:r>
        <w:rPr>
          <w:rFonts w:hint="eastAsia" w:ascii="宋体" w:hAnsi="宋体"/>
          <w:color w:val="ff0000"/>
          <w:sz w:val="24"/>
        </w:rPr>
        <w:t xml:space="preserve">需</w:t>
      </w:r>
      <w:r>
        <w:rPr>
          <w:rFonts w:hint="eastAsia" w:ascii="宋体" w:hAnsi="宋体"/>
          <w:color w:val="ff0000"/>
          <w:sz w:val="24"/>
          <w:lang w:val="zh-CN"/>
        </w:rPr>
        <w:t xml:space="preserve">提供《残疾人福利性单位声明函》。</w:t>
      </w:r>
      <w:r/>
    </w:p>
    <w:p>
      <w:pPr>
        <w:pStyle w:val="69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69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《商品包装政府采购需求标准（试行）》《快递包装政府采购需求标准（试行）》（财办库〔2020〕123号）、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69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69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p>
    <w:p>
      <w:pPr>
        <w:ind w:firstLine="420"/>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w:t>
      </w:r>
      <w:r>
        <w:rPr>
          <w:rFonts w:hint="eastAsia" w:ascii="宋体" w:hAnsi="宋体"/>
          <w:sz w:val="24"/>
          <w:lang w:val="zh-CN"/>
        </w:rPr>
        <w:t xml:space="preserve">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firstLine="420"/>
        <w:rPr>
          <w:rFonts w:hint="eastAsia" w:ascii="方正楷体_GBK" w:hAnsi="方正楷体_GBK" w:eastAsia="方正楷体_GBK" w:cs="方正楷体_GBK"/>
          <w:b/>
          <w:bCs/>
          <w:sz w:val="28"/>
          <w:szCs w:val="28"/>
          <w:lang w:val="zh-CN"/>
        </w:rPr>
      </w:pPr>
      <w:r>
        <w:rPr>
          <w:rFonts w:ascii="方正楷体_GBK" w:hAnsi="方正楷体_GBK" w:eastAsia="方正楷体_GBK" w:cs="方正楷体_GBK"/>
          <w:b/>
          <w:bCs/>
          <w:sz w:val="28"/>
          <w:szCs w:val="28"/>
          <w:lang w:val="zh-CN"/>
        </w:rPr>
        <w:t xml:space="preserve">43.实施本国产品标准及相关政策</w:t>
      </w:r>
      <w:r/>
    </w:p>
    <w:p>
      <w:pPr>
        <w:ind w:firstLine="420"/>
        <w:rPr>
          <w:rFonts w:hint="eastAsia" w:ascii="宋体" w:hAnsi="宋体"/>
          <w:sz w:val="24"/>
          <w:lang w:val="zh-CN"/>
        </w:rPr>
      </w:pPr>
      <w:r>
        <w:rPr>
          <w:rFonts w:ascii="宋体" w:hAnsi="宋体"/>
          <w:sz w:val="24"/>
          <w:lang w:val="zh-CN"/>
        </w:rPr>
        <w:t xml:space="preserve">43.1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p>
    <w:p>
      <w:pPr>
        <w:ind w:firstLine="420"/>
        <w:rPr>
          <w:rFonts w:hint="eastAsia" w:ascii="宋体" w:hAnsi="宋体"/>
          <w:sz w:val="24"/>
          <w:lang w:val="zh-CN"/>
        </w:rPr>
      </w:pPr>
      <w:r>
        <w:rPr>
          <w:rFonts w:ascii="宋体" w:hAnsi="宋体"/>
          <w:sz w:val="24"/>
          <w:lang w:val="zh-CN"/>
        </w:rPr>
        <w:t xml:space="preserve">43.2本国产品应当符合以下条件：</w:t>
      </w:r>
      <w:r/>
    </w:p>
    <w:p>
      <w:pPr>
        <w:ind w:firstLine="420"/>
        <w:rPr>
          <w:rFonts w:hint="eastAsia" w:ascii="宋体" w:hAnsi="宋体"/>
          <w:sz w:val="24"/>
          <w:lang w:val="zh-CN"/>
        </w:rPr>
      </w:pPr>
      <w:r>
        <w:rPr>
          <w:rFonts w:ascii="宋体" w:hAnsi="宋体"/>
          <w:sz w:val="24"/>
          <w:lang w:val="zh-CN"/>
        </w:rPr>
        <w:t xml:space="preserve">（1）在中国境内生产</w:t>
      </w:r>
      <w:r/>
    </w:p>
    <w:p>
      <w:pPr>
        <w:ind w:firstLine="420"/>
        <w:rPr>
          <w:rFonts w:hint="eastAsia" w:ascii="宋体" w:hAnsi="宋体"/>
          <w:sz w:val="24"/>
          <w:lang w:val="zh-CN"/>
        </w:rPr>
      </w:pPr>
      <w:r>
        <w:rPr>
          <w:rFonts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sz w:val="24"/>
          <w:lang w:val="zh-CN"/>
        </w:rPr>
      </w:pPr>
      <w:r>
        <w:rPr>
          <w:rFonts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lang w:val="zh-CN"/>
        </w:rPr>
      </w:pPr>
      <w:r>
        <w:rPr>
          <w:rFonts w:ascii="宋体" w:hAnsi="宋体"/>
          <w:sz w:val="24"/>
          <w:lang w:val="zh-CN"/>
        </w:rPr>
        <w:t xml:space="preserve">（2）在中国境内生产的组件成本占比达到规定比例</w:t>
      </w:r>
      <w:r/>
    </w:p>
    <w:p>
      <w:pPr>
        <w:ind w:firstLine="420"/>
        <w:rPr>
          <w:rFonts w:hint="eastAsia" w:ascii="宋体" w:hAnsi="宋体"/>
          <w:sz w:val="24"/>
          <w:lang w:val="zh-CN"/>
        </w:rPr>
      </w:pPr>
      <w:r>
        <w:rPr>
          <w:rFonts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sz w:val="24"/>
          <w:lang w:val="zh-CN"/>
        </w:rPr>
      </w:pPr>
      <w:r>
        <w:rPr>
          <w:rFonts w:ascii="宋体" w:hAnsi="宋体"/>
          <w:sz w:val="24"/>
          <w:lang w:val="zh-CN"/>
        </w:rPr>
        <w:t xml:space="preserve">（3）特定产品的关键组件、关键工序符合相关要求</w:t>
      </w:r>
      <w:r/>
    </w:p>
    <w:p>
      <w:pPr>
        <w:ind w:firstLine="420"/>
        <w:rPr>
          <w:rFonts w:hint="eastAsia" w:ascii="宋体" w:hAnsi="宋体"/>
          <w:sz w:val="24"/>
          <w:lang w:val="zh-CN"/>
        </w:rPr>
      </w:pPr>
      <w:r>
        <w:rPr>
          <w:rFonts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lang w:val="zh-CN"/>
        </w:rPr>
      </w:pPr>
      <w:r>
        <w:rPr>
          <w:rFonts w:ascii="宋体" w:hAnsi="宋体"/>
          <w:sz w:val="24"/>
          <w:lang w:val="zh-CN"/>
        </w:rPr>
        <w:t xml:space="preserve">43.3本国产品标准的适用范围</w:t>
      </w:r>
      <w:r/>
    </w:p>
    <w:p>
      <w:pPr>
        <w:ind w:firstLine="420"/>
        <w:rPr>
          <w:rFonts w:hint="eastAsia" w:ascii="宋体" w:hAnsi="宋体"/>
          <w:sz w:val="24"/>
          <w:lang w:val="zh-CN"/>
        </w:rPr>
      </w:pPr>
      <w:r>
        <w:rPr>
          <w:rFonts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sz w:val="24"/>
          <w:lang w:val="zh-CN"/>
        </w:rPr>
      </w:pPr>
      <w:r>
        <w:rPr>
          <w:rFonts w:ascii="宋体" w:hAnsi="宋体"/>
          <w:sz w:val="24"/>
          <w:lang w:val="zh-CN"/>
        </w:rPr>
        <w:t xml:space="preserve">43.4对本国产品的支持政策</w:t>
      </w:r>
      <w:r/>
    </w:p>
    <w:p>
      <w:pPr>
        <w:ind w:firstLine="420"/>
        <w:rPr>
          <w:rFonts w:hint="eastAsia" w:ascii="宋体" w:hAnsi="宋体"/>
          <w:b/>
          <w:bCs/>
          <w:sz w:val="24"/>
        </w:rPr>
      </w:pPr>
      <w:r>
        <w:rPr>
          <w:rFonts w:ascii="宋体" w:hAnsi="宋体"/>
          <w:b/>
          <w:bCs/>
          <w:sz w:val="24"/>
        </w:rPr>
        <w:t xml:space="preserve">本项目如</w:t>
      </w:r>
      <w:r>
        <w:rPr>
          <w:rFonts w:ascii="宋体" w:hAnsi="宋体"/>
          <w:b/>
          <w:bCs/>
          <w:sz w:val="24"/>
          <w:lang w:val="zh-CN"/>
        </w:rPr>
        <w:t xml:space="preserve">既有本国产品又有非本国产品参与竞争，依法对本国产品给予价格评审优惠，</w:t>
      </w:r>
      <w:r>
        <w:rPr>
          <w:rFonts w:ascii="宋体" w:hAnsi="宋体"/>
          <w:b/>
          <w:bCs/>
          <w:sz w:val="24"/>
        </w:rPr>
        <w:t xml:space="preserve">具体详见第三章。</w:t>
      </w:r>
      <w:r/>
    </w:p>
    <w:p>
      <w:pPr>
        <w:ind w:firstLine="420"/>
        <w:rPr>
          <w:rFonts w:hint="eastAsia" w:ascii="宋体" w:hAnsi="宋体"/>
          <w:sz w:val="24"/>
        </w:rPr>
      </w:pPr>
      <w:r>
        <w:rPr>
          <w:rFonts w:ascii="宋体" w:hAnsi="宋体"/>
          <w:sz w:val="24"/>
        </w:rPr>
        <w:t xml:space="preserve">43.5政策执行要求</w:t>
      </w:r>
      <w:r/>
    </w:p>
    <w:p>
      <w:pPr>
        <w:ind w:firstLine="420"/>
        <w:rPr>
          <w:rFonts w:hint="eastAsia" w:ascii="宋体" w:hAnsi="宋体"/>
          <w:sz w:val="24"/>
        </w:rPr>
      </w:pPr>
      <w:r>
        <w:rPr>
          <w:rFonts w:ascii="宋体" w:hAnsi="宋体"/>
          <w:sz w:val="24"/>
          <w:lang w:val="zh-CN"/>
        </w:rPr>
        <w:t xml:space="preserve">（</w:t>
      </w:r>
      <w:r>
        <w:rPr>
          <w:rFonts w:ascii="宋体" w:hAnsi="宋体"/>
          <w:sz w:val="24"/>
        </w:rPr>
        <w:t xml:space="preserve">1</w:t>
      </w:r>
      <w:r>
        <w:rPr>
          <w:rFonts w:ascii="宋体" w:hAnsi="宋体"/>
          <w:sz w:val="24"/>
          <w:lang w:val="zh-CN"/>
        </w:rPr>
        <w:t xml:space="preserve">）产品在中国境内生产的组件成本核算规则。产品在中国境内生产的组件成</w:t>
      </w:r>
      <w:r>
        <w:rPr>
          <w:rFonts w:ascii="宋体" w:hAnsi="宋体"/>
          <w:sz w:val="24"/>
          <w:lang w:val="zh-CN"/>
        </w:rPr>
        <w:t xml:space="preserve">本，按照《中国境内生产的组件成本核算基本规则》计算，</w:t>
      </w:r>
      <w:r>
        <w:rPr>
          <w:rFonts w:ascii="宋体" w:hAnsi="宋体"/>
          <w:sz w:val="24"/>
        </w:rPr>
        <w:t xml:space="preserve">详见《国务院办公厅关于在政府采购中实施本国产品标准及相关政策的通知》（国办发〔2025〕34号）规定。</w:t>
      </w:r>
      <w:r/>
    </w:p>
    <w:p>
      <w:pPr>
        <w:ind w:firstLine="420"/>
        <w:rPr>
          <w:rFonts w:hint="eastAsia" w:ascii="宋体" w:hAnsi="宋体"/>
          <w:b/>
          <w:bCs/>
          <w:sz w:val="24"/>
        </w:rPr>
      </w:pPr>
      <w:r>
        <w:rPr>
          <w:rFonts w:ascii="宋体" w:hAnsi="宋体"/>
          <w:sz w:val="24"/>
          <w:lang w:val="zh-CN"/>
        </w:rPr>
        <w:t xml:space="preserve">（2）有关证明文件。</w:t>
      </w:r>
      <w:r>
        <w:rPr>
          <w:rFonts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sz w:val="24"/>
          <w:lang w:val="zh-CN"/>
        </w:rPr>
      </w:pPr>
      <w:r>
        <w:rPr>
          <w:rFonts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935"/>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sz w:val="24"/>
          <w:lang w:val="zh-CN"/>
        </w:rPr>
      </w:pPr>
      <w:r>
        <w:rPr>
          <w:rFonts w:hint="eastAsia" w:ascii="宋体" w:hAnsi="宋体"/>
          <w:sz w:val="24"/>
          <w:lang w:val="zh-CN"/>
        </w:rPr>
      </w:r>
      <w:r/>
    </w:p>
    <w:p>
      <w:pPr>
        <w:pStyle w:val="935"/>
        <w:rPr>
          <w:rFonts w:hint="eastAsia" w:ascii="宋体" w:hAnsi="宋体" w:eastAsia="宋体" w:cs="Times New Roman"/>
          <w:sz w:val="24"/>
        </w:rPr>
      </w:pPr>
      <w:r>
        <w:rPr>
          <w:rFonts w:hint="eastAsia" w:ascii="宋体" w:hAnsi="宋体" w:eastAsia="宋体" w:cs="Times New Roman"/>
          <w:sz w:val="24"/>
        </w:rPr>
      </w:r>
      <w:r/>
    </w:p>
    <w:p>
      <w:pPr>
        <w:pStyle w:val="935"/>
        <w:ind w:left="0"/>
        <w:jc w:val="center"/>
        <w:rPr>
          <w:rFonts w:ascii="黑体" w:hAnsi="Times New Roman" w:eastAsia="黑体" w:cs="Times New Roman"/>
          <w:sz w:val="44"/>
          <w:szCs w:val="44"/>
        </w:rPr>
      </w:pPr>
      <w:r>
        <w:rPr>
          <w:rFonts w:ascii="方正小标宋简体" w:hAnsi="方正小标宋简体" w:eastAsia="方正小标宋简体" w:cs="方正小标宋简体"/>
          <w:sz w:val="36"/>
          <w:szCs w:val="36"/>
          <w:lang w:val="en-US"/>
        </w:rPr>
        <w:br w:type="page" w:clear="all"/>
      </w:r>
      <w:r>
        <w:rPr>
          <w:rFonts w:hint="eastAsia" w:ascii="方正小标宋简体" w:hAnsi="方正小标宋简体" w:eastAsia="方正小标宋简体" w:cs="方正小标宋简体"/>
          <w:sz w:val="36"/>
          <w:szCs w:val="36"/>
          <w:lang w:val="en-US"/>
        </w:rPr>
        <w:t xml:space="preserve">第三章  合同</w:t>
      </w:r>
      <w:bookmarkEnd w:id="56"/>
      <w:r/>
      <w:bookmarkEnd w:id="57"/>
      <w:r/>
      <w:bookmarkEnd w:id="58"/>
      <w:r/>
      <w:bookmarkEnd w:id="59"/>
      <w:r/>
      <w:bookmarkEnd w:id="60"/>
      <w:r>
        <w:rPr>
          <w:rFonts w:hint="eastAsia" w:ascii="方正小标宋简体" w:hAnsi="方正小标宋简体" w:eastAsia="方正小标宋简体" w:cs="方正小标宋简体"/>
          <w:sz w:val="36"/>
          <w:szCs w:val="36"/>
          <w:lang w:val="en-US"/>
        </w:rPr>
        <w:t xml:space="preserve">文本</w:t>
      </w:r>
      <w:r/>
    </w:p>
    <w:p>
      <w:pPr>
        <w:ind w:left="420"/>
        <w:jc w:val="center"/>
        <w:spacing w:before="90" w:line="560" w:lineRule="exact"/>
        <w:widowControl/>
        <w:rPr>
          <w:rFonts w:eastAsia="方正小标宋简体"/>
          <w:color w:val="000000"/>
          <w:spacing w:val="-3"/>
          <w:sz w:val="40"/>
          <w:szCs w:val="40"/>
        </w:rPr>
      </w:pPr>
      <w:r/>
      <w:bookmarkStart w:id="188" w:name="_Hlt16619350"/>
      <w:r/>
      <w:bookmarkStart w:id="189" w:name="_Toc20823346"/>
      <w:r/>
      <w:bookmarkStart w:id="190" w:name="_Toc120614244"/>
      <w:r/>
      <w:bookmarkStart w:id="191" w:name="_Toc16938590"/>
      <w:r/>
      <w:bookmarkStart w:id="192" w:name="_Toc479757211"/>
      <w:r/>
      <w:bookmarkStart w:id="193" w:name="_Toc462564139"/>
      <w:r>
        <w:rPr>
          <w:rFonts w:hint="eastAsia" w:eastAsia="方正小标宋简体"/>
          <w:color w:val="000000"/>
          <w:spacing w:val="-3"/>
          <w:sz w:val="40"/>
          <w:szCs w:val="40"/>
        </w:rPr>
        <w:t xml:space="preserve">湖熟街道丹桂社区丹桂农事服务中心项目（大米加工项目）</w:t>
      </w:r>
      <w:r>
        <w:rPr>
          <w:rFonts w:eastAsia="方正小标宋简体"/>
          <w:color w:val="000000"/>
          <w:spacing w:val="-3"/>
          <w:sz w:val="40"/>
          <w:szCs w:val="40"/>
        </w:rPr>
        <w:t xml:space="preserve">采购合同</w:t>
      </w:r>
      <w:r/>
    </w:p>
    <w:p>
      <w:pPr>
        <w:ind w:left="420"/>
        <w:jc w:val="left"/>
        <w:spacing w:before="133" w:line="560" w:lineRule="exact"/>
        <w:widowControl/>
        <w:rPr>
          <w:rFonts w:hint="eastAsia" w:ascii="宋体" w:hAnsi="宋体"/>
          <w:b/>
          <w:bCs/>
          <w:color w:val="000000"/>
          <w:spacing w:val="-9"/>
          <w:sz w:val="28"/>
          <w:szCs w:val="28"/>
        </w:rPr>
      </w:pPr>
      <w:r>
        <w:rPr>
          <w:rFonts w:ascii="宋体" w:hAnsi="宋体"/>
          <w:color w:val="000000"/>
          <w:spacing w:val="-9"/>
          <w:sz w:val="28"/>
          <w:szCs w:val="28"/>
        </w:rPr>
        <w:t xml:space="preserve">甲</w:t>
      </w:r>
      <w:r>
        <w:rPr>
          <w:rFonts w:ascii="宋体" w:hAnsi="宋体"/>
          <w:color w:val="000000"/>
          <w:spacing w:val="7"/>
          <w:sz w:val="28"/>
          <w:szCs w:val="28"/>
        </w:rPr>
        <w:t xml:space="preserve">    </w:t>
      </w:r>
      <w:r>
        <w:rPr>
          <w:rFonts w:ascii="宋体" w:hAnsi="宋体"/>
          <w:color w:val="000000"/>
          <w:spacing w:val="-9"/>
          <w:sz w:val="28"/>
          <w:szCs w:val="28"/>
        </w:rPr>
        <w:t xml:space="preserve">方</w:t>
      </w:r>
      <w:r>
        <w:rPr>
          <w:rFonts w:hint="eastAsia" w:ascii="宋体" w:hAnsi="宋体"/>
          <w:color w:val="000000"/>
          <w:spacing w:val="-9"/>
          <w:sz w:val="28"/>
          <w:szCs w:val="28"/>
        </w:rPr>
        <w:t xml:space="preserve">1</w:t>
      </w:r>
      <w:r>
        <w:rPr>
          <w:rFonts w:ascii="宋体" w:hAnsi="宋体"/>
          <w:color w:val="000000"/>
          <w:spacing w:val="-9"/>
          <w:sz w:val="28"/>
          <w:szCs w:val="28"/>
        </w:rPr>
        <w:t xml:space="preserve">：</w:t>
      </w:r>
      <w:r>
        <w:rPr>
          <w:rFonts w:ascii="宋体" w:hAnsi="宋体"/>
          <w:b/>
          <w:bCs/>
          <w:color w:val="000000"/>
          <w:spacing w:val="-9"/>
          <w:sz w:val="28"/>
          <w:szCs w:val="28"/>
        </w:rPr>
        <w:t xml:space="preserve">南京市江宁区人民政府湖熟街道办事处</w:t>
      </w:r>
      <w:r/>
    </w:p>
    <w:p>
      <w:pPr>
        <w:ind w:left="420"/>
        <w:jc w:val="left"/>
        <w:spacing w:before="133" w:line="560" w:lineRule="exact"/>
        <w:widowControl/>
        <w:rPr>
          <w:rFonts w:hint="eastAsia" w:ascii="宋体" w:hAnsi="宋体"/>
          <w:color w:val="000000"/>
          <w:sz w:val="28"/>
          <w:szCs w:val="28"/>
        </w:rPr>
      </w:pPr>
      <w:r>
        <w:rPr>
          <w:rFonts w:ascii="宋体" w:hAnsi="宋体"/>
          <w:color w:val="000000"/>
          <w:spacing w:val="-9"/>
          <w:sz w:val="28"/>
          <w:szCs w:val="28"/>
        </w:rPr>
        <w:t xml:space="preserve">甲</w:t>
      </w:r>
      <w:r>
        <w:rPr>
          <w:rFonts w:ascii="宋体" w:hAnsi="宋体"/>
          <w:color w:val="000000"/>
          <w:spacing w:val="7"/>
          <w:sz w:val="28"/>
          <w:szCs w:val="28"/>
        </w:rPr>
        <w:t xml:space="preserve">    </w:t>
      </w:r>
      <w:r>
        <w:rPr>
          <w:rFonts w:ascii="宋体" w:hAnsi="宋体"/>
          <w:color w:val="000000"/>
          <w:spacing w:val="-9"/>
          <w:sz w:val="28"/>
          <w:szCs w:val="28"/>
        </w:rPr>
        <w:t xml:space="preserve">方</w:t>
      </w:r>
      <w:r>
        <w:rPr>
          <w:rFonts w:hint="eastAsia" w:ascii="宋体" w:hAnsi="宋体"/>
          <w:color w:val="000000"/>
          <w:spacing w:val="-9"/>
          <w:sz w:val="28"/>
          <w:szCs w:val="28"/>
        </w:rPr>
        <w:t xml:space="preserve">2</w:t>
      </w:r>
      <w:r>
        <w:rPr>
          <w:rFonts w:ascii="宋体" w:hAnsi="宋体"/>
          <w:color w:val="000000"/>
          <w:spacing w:val="-9"/>
          <w:sz w:val="28"/>
          <w:szCs w:val="28"/>
        </w:rPr>
        <w:t xml:space="preserve">：</w:t>
      </w:r>
      <w:r>
        <w:rPr>
          <w:rFonts w:hint="eastAsia" w:ascii="宋体" w:hAnsi="宋体"/>
          <w:b/>
          <w:bCs/>
          <w:color w:val="000000"/>
          <w:spacing w:val="-9"/>
          <w:sz w:val="28"/>
          <w:szCs w:val="28"/>
        </w:rPr>
        <w:t xml:space="preserve">南京市江宁区湖熟街道丹桂村村民委员会</w:t>
      </w:r>
      <w:r/>
    </w:p>
    <w:p>
      <w:pPr>
        <w:ind w:left="420"/>
        <w:jc w:val="left"/>
        <w:spacing w:before="218" w:line="560" w:lineRule="exact"/>
        <w:widowControl/>
        <w:rPr>
          <w:rFonts w:hint="eastAsia" w:ascii="宋体" w:hAnsi="宋体"/>
          <w:b/>
          <w:bCs/>
          <w:color w:val="000000"/>
          <w:spacing w:val="-6"/>
          <w:sz w:val="28"/>
          <w:szCs w:val="28"/>
        </w:rPr>
      </w:pPr>
      <w:r>
        <w:rPr>
          <w:rFonts w:ascii="宋体" w:hAnsi="宋体"/>
          <w:color w:val="000000"/>
          <w:spacing w:val="-6"/>
          <w:sz w:val="28"/>
          <w:szCs w:val="28"/>
        </w:rPr>
        <w:t xml:space="preserve">乙</w:t>
      </w:r>
      <w:r>
        <w:rPr>
          <w:rFonts w:ascii="宋体" w:hAnsi="宋体"/>
          <w:color w:val="000000"/>
          <w:spacing w:val="7"/>
          <w:sz w:val="28"/>
          <w:szCs w:val="28"/>
        </w:rPr>
        <w:t xml:space="preserve">    </w:t>
      </w:r>
      <w:r>
        <w:rPr>
          <w:rFonts w:ascii="宋体" w:hAnsi="宋体"/>
          <w:color w:val="000000"/>
          <w:spacing w:val="-6"/>
          <w:sz w:val="28"/>
          <w:szCs w:val="28"/>
        </w:rPr>
        <w:t xml:space="preserve">方：</w:t>
      </w:r>
      <w:bookmarkStart w:id="194" w:name="_Toc15718"/>
      <w:r>
        <w:rPr>
          <w:rFonts w:hint="eastAsia" w:ascii="宋体" w:hAnsi="宋体"/>
          <w:b/>
          <w:bCs/>
          <w:color w:val="000000"/>
          <w:spacing w:val="-6"/>
          <w:sz w:val="28"/>
          <w:szCs w:val="28"/>
        </w:rPr>
        <w:t xml:space="preserve"> </w:t>
      </w:r>
      <w:r/>
    </w:p>
    <w:p>
      <w:pPr>
        <w:ind w:firstLine="440"/>
        <w:jc w:val="left"/>
        <w:spacing w:before="218" w:line="560" w:lineRule="exact"/>
        <w:widowControl/>
        <w:rPr>
          <w:rFonts w:hint="eastAsia" w:ascii="宋体" w:hAnsi="宋体"/>
          <w:b/>
          <w:bCs/>
          <w:color w:val="000000"/>
          <w:spacing w:val="-6"/>
          <w:sz w:val="28"/>
          <w:szCs w:val="28"/>
        </w:rPr>
      </w:pPr>
      <w:r>
        <w:rPr>
          <w:rFonts w:ascii="宋体" w:hAnsi="宋体" w:cs="宋体"/>
          <w:sz w:val="22"/>
          <w:szCs w:val="21"/>
        </w:rPr>
        <w:t xml:space="preserve">根据《中华人民共和国民法典》的相关规定，由</w:t>
      </w:r>
      <w:r>
        <w:rPr>
          <w:rFonts w:hint="eastAsia" w:ascii="宋体" w:hAnsi="宋体" w:cs="宋体"/>
          <w:sz w:val="22"/>
          <w:szCs w:val="21"/>
        </w:rPr>
        <w:t xml:space="preserve">湖熟</w:t>
      </w:r>
      <w:r>
        <w:rPr>
          <w:rFonts w:ascii="宋体" w:hAnsi="宋体" w:cs="宋体"/>
          <w:sz w:val="22"/>
          <w:szCs w:val="21"/>
        </w:rPr>
        <w:t xml:space="preserve">街道办事处（甲方）委托</w:t>
      </w:r>
      <w:r>
        <w:rPr>
          <w:rFonts w:hint="eastAsia" w:ascii="宋体" w:hAnsi="宋体" w:cs="宋体"/>
          <w:sz w:val="22"/>
          <w:szCs w:val="21"/>
        </w:rPr>
        <w:t xml:space="preserve">       </w:t>
      </w:r>
      <w:r>
        <w:rPr>
          <w:rFonts w:ascii="宋体" w:hAnsi="宋体" w:cs="宋体"/>
          <w:sz w:val="22"/>
          <w:szCs w:val="21"/>
        </w:rPr>
        <w:t xml:space="preserve">（乙方）承担本合同规定内容。经双方友好协商，签订本合同。</w:t>
      </w:r>
      <w:bookmarkEnd w:id="194"/>
      <w:r/>
      <w:r/>
    </w:p>
    <w:p>
      <w:pPr>
        <w:ind w:left="420" w:firstLine="240"/>
        <w:jc w:val="left"/>
        <w:spacing w:before="123" w:line="560" w:lineRule="exact"/>
        <w:widowControl/>
        <w:rPr>
          <w:rFonts w:hint="eastAsia" w:ascii="宋体" w:hAnsi="宋体" w:cs="宋体"/>
          <w:sz w:val="22"/>
          <w:szCs w:val="21"/>
        </w:rPr>
      </w:pPr>
      <w:r>
        <w:rPr>
          <w:rFonts w:ascii="宋体" w:hAnsi="宋体" w:cs="宋体"/>
          <w:sz w:val="22"/>
          <w:szCs w:val="21"/>
        </w:rPr>
        <w:t xml:space="preserve">第一条合同生效</w:t>
      </w:r>
      <w:r/>
    </w:p>
    <w:p>
      <w:pPr>
        <w:jc w:val="left"/>
        <w:spacing w:before="218" w:line="560" w:lineRule="exact"/>
        <w:widowControl/>
        <w:rPr>
          <w:rFonts w:hint="eastAsia" w:ascii="宋体" w:hAnsi="宋体" w:cs="宋体"/>
          <w:sz w:val="22"/>
          <w:szCs w:val="21"/>
        </w:rPr>
      </w:pPr>
      <w:r>
        <w:rPr>
          <w:rFonts w:ascii="宋体" w:hAnsi="宋体" w:cs="宋体"/>
          <w:sz w:val="22"/>
          <w:szCs w:val="21"/>
        </w:rPr>
        <w:t xml:space="preserve">1.1合同经甲、乙双方盖章后生效。</w:t>
      </w:r>
      <w:r/>
    </w:p>
    <w:p>
      <w:pPr>
        <w:ind w:left="420" w:firstLine="240"/>
        <w:jc w:val="left"/>
        <w:spacing w:before="123" w:line="560" w:lineRule="exact"/>
        <w:widowControl/>
        <w:rPr>
          <w:rFonts w:hint="eastAsia" w:ascii="宋体" w:hAnsi="宋体" w:cs="宋体"/>
          <w:sz w:val="22"/>
          <w:szCs w:val="21"/>
        </w:rPr>
      </w:pPr>
      <w:r>
        <w:rPr>
          <w:rFonts w:ascii="宋体" w:hAnsi="宋体" w:cs="宋体"/>
          <w:sz w:val="22"/>
          <w:szCs w:val="21"/>
        </w:rPr>
        <w:t xml:space="preserve">第二条价格</w:t>
      </w:r>
      <w:r/>
    </w:p>
    <w:p>
      <w:pPr>
        <w:jc w:val="left"/>
        <w:spacing w:before="162" w:line="560" w:lineRule="exact"/>
        <w:widowControl/>
        <w:rPr>
          <w:rFonts w:hint="eastAsia" w:ascii="宋体" w:hAnsi="宋体" w:cs="宋体"/>
          <w:sz w:val="22"/>
          <w:szCs w:val="21"/>
        </w:rPr>
      </w:pPr>
      <w:r>
        <w:rPr>
          <w:rFonts w:ascii="宋体" w:hAnsi="宋体" w:cs="宋体"/>
          <w:sz w:val="22"/>
          <w:szCs w:val="21"/>
        </w:rPr>
        <w:t xml:space="preserve">2.1合同金额</w:t>
      </w:r>
      <w:r>
        <w:rPr>
          <w:rFonts w:hint="eastAsia" w:ascii="宋体" w:hAnsi="宋体" w:cs="宋体"/>
          <w:sz w:val="22"/>
          <w:szCs w:val="21"/>
        </w:rPr>
        <w:t xml:space="preserve">暂计</w:t>
      </w:r>
      <w:r>
        <w:rPr>
          <w:rFonts w:ascii="宋体" w:hAnsi="宋体" w:cs="宋体"/>
          <w:sz w:val="22"/>
          <w:szCs w:val="21"/>
        </w:rPr>
        <w:t xml:space="preserve">：人民币(小写) </w:t>
      </w:r>
      <w:r>
        <w:rPr>
          <w:rFonts w:hint="eastAsia" w:ascii="宋体" w:hAnsi="宋体" w:cs="宋体"/>
          <w:sz w:val="22"/>
          <w:szCs w:val="21"/>
          <w:u w:val="single"/>
        </w:rPr>
        <w:t xml:space="preserve">        </w:t>
      </w:r>
      <w:r>
        <w:rPr>
          <w:rFonts w:ascii="宋体" w:hAnsi="宋体" w:cs="宋体"/>
          <w:sz w:val="22"/>
          <w:szCs w:val="21"/>
        </w:rPr>
        <w:t xml:space="preserve">，大写：人民币</w:t>
      </w:r>
      <w:r>
        <w:rPr>
          <w:rFonts w:ascii="宋体" w:hAnsi="宋体" w:cs="宋体"/>
          <w:sz w:val="22"/>
          <w:szCs w:val="21"/>
          <w:u w:val="single"/>
        </w:rPr>
        <w:t xml:space="preserve"> </w:t>
      </w:r>
      <w:r>
        <w:rPr>
          <w:rFonts w:hint="eastAsia" w:ascii="宋体" w:hAnsi="宋体" w:cs="宋体"/>
          <w:sz w:val="22"/>
          <w:szCs w:val="21"/>
          <w:u w:val="single"/>
        </w:rPr>
        <w:t xml:space="preserve">      </w:t>
      </w:r>
      <w:r>
        <w:rPr>
          <w:rFonts w:ascii="宋体" w:hAnsi="宋体" w:cs="宋体"/>
          <w:sz w:val="22"/>
          <w:szCs w:val="21"/>
        </w:rPr>
        <w:t xml:space="preserve">。</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本项目合同金额的确定，将以审计部门出具的最终审定价进行最终结算。</w:t>
      </w:r>
      <w:r/>
    </w:p>
    <w:p>
      <w:pPr>
        <w:ind w:left="420" w:firstLine="240"/>
        <w:jc w:val="left"/>
        <w:spacing w:before="123" w:line="560" w:lineRule="exact"/>
        <w:widowControl/>
        <w:rPr>
          <w:rFonts w:hint="eastAsia" w:ascii="宋体" w:hAnsi="宋体" w:cs="宋体"/>
          <w:sz w:val="22"/>
          <w:szCs w:val="21"/>
        </w:rPr>
      </w:pPr>
      <w:r>
        <w:rPr>
          <w:rFonts w:ascii="宋体" w:hAnsi="宋体" w:cs="宋体"/>
          <w:sz w:val="22"/>
          <w:szCs w:val="21"/>
        </w:rPr>
        <w:t xml:space="preserve">第三条组成本合同的有关文件</w:t>
      </w:r>
      <w:r/>
    </w:p>
    <w:p>
      <w:pPr>
        <w:jc w:val="left"/>
        <w:spacing w:before="123" w:line="560" w:lineRule="exact"/>
        <w:widowControl/>
        <w:rPr>
          <w:rFonts w:hint="eastAsia" w:ascii="宋体" w:hAnsi="宋体" w:cs="宋体"/>
          <w:sz w:val="22"/>
          <w:szCs w:val="21"/>
        </w:rPr>
      </w:pPr>
      <w:r>
        <w:rPr>
          <w:rFonts w:ascii="宋体" w:hAnsi="宋体" w:cs="宋体"/>
          <w:sz w:val="22"/>
          <w:szCs w:val="21"/>
        </w:rPr>
        <w:t xml:space="preserve">3.1招标文件和有关附件是本合同不可分割的组成部分，与本合同具有同等法律效力。</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3.2乙方在投标</w:t>
      </w:r>
      <w:r>
        <w:rPr>
          <w:rFonts w:hint="eastAsia" w:ascii="宋体" w:hAnsi="宋体" w:cs="宋体"/>
          <w:sz w:val="22"/>
          <w:szCs w:val="21"/>
        </w:rPr>
        <w:t xml:space="preserve">后</w:t>
      </w:r>
      <w:r>
        <w:rPr>
          <w:rFonts w:ascii="宋体" w:hAnsi="宋体" w:cs="宋体"/>
          <w:sz w:val="22"/>
          <w:szCs w:val="21"/>
        </w:rPr>
        <w:t xml:space="preserve">对招标人提供工程量清单进行复核确认，如</w:t>
      </w:r>
      <w:r>
        <w:rPr>
          <w:rFonts w:hint="eastAsia" w:ascii="宋体" w:hAnsi="宋体" w:cs="宋体"/>
          <w:sz w:val="22"/>
          <w:szCs w:val="21"/>
        </w:rPr>
        <w:t xml:space="preserve">未</w:t>
      </w:r>
      <w:r>
        <w:rPr>
          <w:rFonts w:ascii="宋体" w:hAnsi="宋体" w:cs="宋体"/>
          <w:sz w:val="22"/>
          <w:szCs w:val="21"/>
        </w:rPr>
        <w:t xml:space="preserve">完全实现项目的使用功能，增加的</w:t>
      </w:r>
      <w:r>
        <w:rPr>
          <w:rFonts w:hint="eastAsia" w:ascii="宋体" w:hAnsi="宋体" w:cs="宋体"/>
          <w:sz w:val="22"/>
          <w:szCs w:val="21"/>
        </w:rPr>
        <w:t xml:space="preserve">工作量</w:t>
      </w:r>
      <w:r>
        <w:rPr>
          <w:rFonts w:ascii="宋体" w:hAnsi="宋体" w:cs="宋体"/>
          <w:sz w:val="22"/>
          <w:szCs w:val="21"/>
        </w:rPr>
        <w:t xml:space="preserve">，视为乙方对甲方的优惠，结算时一律不予增加相关费用。</w:t>
      </w:r>
      <w:r/>
    </w:p>
    <w:p>
      <w:pPr>
        <w:ind w:left="420" w:firstLine="240"/>
        <w:jc w:val="left"/>
        <w:spacing w:before="123" w:line="560" w:lineRule="exact"/>
        <w:widowControl/>
        <w:rPr>
          <w:rFonts w:hint="eastAsia" w:ascii="宋体" w:hAnsi="宋体" w:cs="宋体"/>
          <w:sz w:val="22"/>
          <w:szCs w:val="21"/>
        </w:rPr>
      </w:pPr>
      <w:r>
        <w:rPr>
          <w:rFonts w:ascii="宋体" w:hAnsi="宋体" w:cs="宋体"/>
          <w:sz w:val="22"/>
          <w:szCs w:val="21"/>
        </w:rPr>
        <w:t xml:space="preserve">第四条权利保证</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4.1乙方应保证为甲方提供货物和服务任何一部分时，不受第三方提出侵犯其专利权、版权、商标权或其他权利的起诉。一旦出现侵权，乙方应承担全部责任。</w:t>
      </w:r>
      <w:r/>
    </w:p>
    <w:p>
      <w:pPr>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4.2</w:t>
      </w:r>
      <w:r>
        <w:rPr>
          <w:rFonts w:ascii="宋体" w:hAnsi="宋体" w:cs="宋体"/>
          <w:sz w:val="22"/>
          <w:szCs w:val="21"/>
        </w:rPr>
        <w:t xml:space="preserve">乙方保证产品</w:t>
      </w:r>
      <w:r>
        <w:rPr>
          <w:rFonts w:hint="eastAsia" w:ascii="宋体" w:hAnsi="宋体" w:cs="宋体"/>
          <w:sz w:val="22"/>
          <w:szCs w:val="21"/>
        </w:rPr>
        <w:t xml:space="preserve">、</w:t>
      </w:r>
      <w:r>
        <w:rPr>
          <w:rFonts w:ascii="宋体" w:hAnsi="宋体" w:cs="宋体"/>
          <w:sz w:val="22"/>
          <w:szCs w:val="21"/>
        </w:rPr>
        <w:t xml:space="preserve">服务完全符合甲方需要，绝无设计、制作及材料瑕疵，并具备约定之品质。</w:t>
      </w:r>
      <w:r/>
    </w:p>
    <w:p>
      <w:pPr>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4.3</w:t>
      </w:r>
      <w:r>
        <w:rPr>
          <w:rFonts w:ascii="宋体" w:hAnsi="宋体" w:cs="宋体"/>
          <w:sz w:val="22"/>
          <w:szCs w:val="21"/>
        </w:rPr>
        <w:t xml:space="preserve">如乙方提供产品</w:t>
      </w:r>
      <w:r>
        <w:rPr>
          <w:rFonts w:hint="eastAsia" w:ascii="宋体" w:hAnsi="宋体" w:cs="宋体"/>
          <w:sz w:val="22"/>
          <w:szCs w:val="21"/>
        </w:rPr>
        <w:t xml:space="preserve">、</w:t>
      </w:r>
      <w:r>
        <w:rPr>
          <w:rFonts w:ascii="宋体" w:hAnsi="宋体" w:cs="宋体"/>
          <w:sz w:val="22"/>
          <w:szCs w:val="21"/>
        </w:rPr>
        <w:t xml:space="preserve">服务不合格而需另行交付物品</w:t>
      </w:r>
      <w:r>
        <w:rPr>
          <w:rFonts w:hint="eastAsia" w:ascii="宋体" w:hAnsi="宋体" w:cs="宋体"/>
          <w:sz w:val="22"/>
          <w:szCs w:val="21"/>
        </w:rPr>
        <w:t xml:space="preserve">、</w:t>
      </w:r>
      <w:r>
        <w:rPr>
          <w:rFonts w:ascii="宋体" w:hAnsi="宋体" w:cs="宋体"/>
          <w:sz w:val="22"/>
          <w:szCs w:val="21"/>
        </w:rPr>
        <w:t xml:space="preserve">服务的，乙方应负担所发生之一切费用，另行交付物品亦负本条担保责任。</w:t>
      </w:r>
      <w:r/>
    </w:p>
    <w:p>
      <w:pPr>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4.4</w:t>
      </w:r>
      <w:r>
        <w:rPr>
          <w:rFonts w:ascii="宋体" w:hAnsi="宋体" w:cs="宋体"/>
          <w:sz w:val="22"/>
          <w:szCs w:val="21"/>
        </w:rPr>
        <w:t xml:space="preserve">乙方担保提供的产品或其它从物等绝无侵害他人专利权、著作权、商标权、商业秘密及其它知识产权之事由。</w:t>
      </w:r>
      <w:r/>
    </w:p>
    <w:p>
      <w:pPr>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4.5</w:t>
      </w:r>
      <w:r>
        <w:rPr>
          <w:rFonts w:ascii="宋体" w:hAnsi="宋体" w:cs="宋体"/>
          <w:sz w:val="22"/>
          <w:szCs w:val="21"/>
        </w:rPr>
        <w:t xml:space="preserve">乙方担保产品</w:t>
      </w:r>
      <w:r>
        <w:rPr>
          <w:rFonts w:hint="eastAsia" w:ascii="宋体" w:hAnsi="宋体" w:cs="宋体"/>
          <w:sz w:val="22"/>
          <w:szCs w:val="21"/>
        </w:rPr>
        <w:t xml:space="preserve">、</w:t>
      </w:r>
      <w:r>
        <w:rPr>
          <w:rFonts w:ascii="宋体" w:hAnsi="宋体" w:cs="宋体"/>
          <w:sz w:val="22"/>
          <w:szCs w:val="21"/>
        </w:rPr>
        <w:t xml:space="preserve">服务无安全或卫生上之危险。</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乙方违反本条之约定，导致甲方损失的，乙方应当予以承担；如致第三人向甲方主张任何权利时，甲方可暂停支付货款，且乙方应立即出面负责解决，并应赔偿甲方因此所受之损害，包括但不限于：赔偿费、权利金、诉讼费、律师费、交通等费用。</w:t>
      </w:r>
      <w:r/>
    </w:p>
    <w:p>
      <w:pPr>
        <w:ind w:firstLine="440"/>
        <w:jc w:val="left"/>
        <w:spacing w:before="161" w:line="560" w:lineRule="exact"/>
        <w:widowControl/>
        <w:rPr>
          <w:rFonts w:hint="eastAsia" w:ascii="宋体" w:hAnsi="宋体" w:cs="宋体"/>
          <w:sz w:val="22"/>
          <w:szCs w:val="21"/>
        </w:rPr>
      </w:pPr>
      <w:r>
        <w:rPr>
          <w:rFonts w:ascii="宋体" w:hAnsi="宋体" w:cs="宋体"/>
          <w:sz w:val="22"/>
          <w:szCs w:val="21"/>
        </w:rPr>
        <w:t xml:space="preserve">第五条质量保证</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5.1乙方提供的产品、服务必须达到采购文件各项要求，国家或行业规定的，还要符合甲方相应规定。质量保证期为终验验收合格后</w:t>
      </w:r>
      <w:r>
        <w:rPr>
          <w:rFonts w:hint="eastAsia" w:ascii="宋体" w:hAnsi="宋体" w:cs="宋体"/>
          <w:sz w:val="22"/>
          <w:szCs w:val="21"/>
        </w:rPr>
        <w:t xml:space="preserve">的</w:t>
      </w:r>
      <w:r>
        <w:rPr>
          <w:rFonts w:ascii="宋体" w:hAnsi="宋体" w:cs="宋体"/>
          <w:sz w:val="22"/>
          <w:szCs w:val="21"/>
        </w:rPr>
        <w:t xml:space="preserve">三十六个月。</w:t>
      </w:r>
      <w:r/>
    </w:p>
    <w:p>
      <w:pPr>
        <w:jc w:val="left"/>
        <w:spacing w:before="162" w:line="560" w:lineRule="exact"/>
        <w:widowControl/>
        <w:rPr>
          <w:rFonts w:hint="eastAsia" w:ascii="宋体" w:hAnsi="宋体" w:cs="宋体"/>
          <w:sz w:val="22"/>
          <w:szCs w:val="21"/>
        </w:rPr>
      </w:pPr>
      <w:r>
        <w:rPr>
          <w:rFonts w:ascii="宋体" w:hAnsi="宋体" w:cs="宋体"/>
          <w:sz w:val="22"/>
          <w:szCs w:val="21"/>
        </w:rPr>
        <w:t xml:space="preserve">5.2在质量保修期内，除责任事故外，货物实行“三包”，免费质量保修期为三年(产品属于国家规定“三包”范围的，其产品的质量保证期不得低于“三包”规定。乙方的质量保证期承诺优于国家“三包”规定的，按乙方实际承诺执行)；乙方对货物出现的各类故障应及时提供免费维护服务，对非人为破坏造成的零部件损坏，应及时免费更换。</w:t>
      </w:r>
      <w:r/>
    </w:p>
    <w:p>
      <w:pPr>
        <w:jc w:val="left"/>
        <w:spacing w:before="162" w:line="560" w:lineRule="exact"/>
        <w:widowControl/>
        <w:rPr>
          <w:rFonts w:hint="eastAsia" w:ascii="宋体" w:hAnsi="宋体" w:cs="宋体"/>
          <w:sz w:val="22"/>
          <w:szCs w:val="21"/>
        </w:rPr>
      </w:pPr>
      <w:r>
        <w:rPr>
          <w:rFonts w:ascii="宋体" w:hAnsi="宋体" w:cs="宋体"/>
          <w:sz w:val="22"/>
          <w:szCs w:val="21"/>
        </w:rPr>
        <w:t xml:space="preserve">5.3所有货物、器材、材料及配件，必须是</w:t>
      </w:r>
      <w:r>
        <w:rPr>
          <w:rFonts w:hint="eastAsia" w:ascii="宋体" w:hAnsi="宋体" w:cs="宋体"/>
          <w:sz w:val="22"/>
          <w:szCs w:val="21"/>
        </w:rPr>
        <w:t xml:space="preserve">合格品以上</w:t>
      </w:r>
      <w:r>
        <w:rPr>
          <w:rFonts w:ascii="宋体" w:hAnsi="宋体" w:cs="宋体"/>
          <w:sz w:val="22"/>
          <w:szCs w:val="21"/>
        </w:rPr>
        <w:t xml:space="preserve">，要求有厂家出具的质量合格证（或权威部门检测报告）和证明书。</w:t>
      </w:r>
      <w:r/>
    </w:p>
    <w:p>
      <w:pPr>
        <w:jc w:val="left"/>
        <w:spacing w:before="162" w:line="560" w:lineRule="exact"/>
        <w:widowControl/>
        <w:rPr>
          <w:rFonts w:hint="eastAsia" w:ascii="宋体" w:hAnsi="宋体" w:cs="宋体"/>
          <w:sz w:val="22"/>
          <w:szCs w:val="21"/>
        </w:rPr>
      </w:pPr>
      <w:r>
        <w:rPr>
          <w:rFonts w:ascii="宋体" w:hAnsi="宋体" w:cs="宋体"/>
          <w:sz w:val="22"/>
          <w:szCs w:val="21"/>
        </w:rPr>
        <w:t xml:space="preserve">5.4在质量保修期内，如发现乙方提供的货物有缺陷，不符合合同规定时，则甲方有权向乙方提出索赔。乙方在接到甲方索赔文件后，应立即修复或更换货物，最长不超过两周，并承担由此产生的货物费、安装费（含运费）、保险费等一切费用和按合同有关条款的规定进行赔偿。</w:t>
      </w:r>
      <w:r/>
    </w:p>
    <w:p>
      <w:pPr>
        <w:jc w:val="left"/>
        <w:spacing w:before="162" w:line="560" w:lineRule="exact"/>
        <w:widowControl/>
        <w:rPr>
          <w:rFonts w:hint="eastAsia" w:ascii="宋体" w:hAnsi="宋体" w:cs="宋体"/>
          <w:sz w:val="22"/>
          <w:szCs w:val="21"/>
        </w:rPr>
      </w:pPr>
      <w:r>
        <w:rPr>
          <w:rFonts w:ascii="宋体" w:hAnsi="宋体" w:cs="宋体"/>
          <w:sz w:val="22"/>
          <w:szCs w:val="21"/>
        </w:rPr>
        <w:t xml:space="preserve">5.5为甲方的技术人员、操作人员及维护保养人员免费提供技术培训，并免费提供详细的培训资料。</w:t>
      </w:r>
      <w:r/>
    </w:p>
    <w:p>
      <w:pPr>
        <w:jc w:val="left"/>
        <w:spacing w:before="162" w:line="560" w:lineRule="exact"/>
        <w:widowControl/>
        <w:rPr>
          <w:rFonts w:hint="eastAsia" w:ascii="宋体" w:hAnsi="宋体" w:cs="宋体"/>
          <w:sz w:val="22"/>
          <w:szCs w:val="21"/>
        </w:rPr>
      </w:pPr>
      <w:r>
        <w:rPr>
          <w:rFonts w:ascii="宋体" w:hAnsi="宋体" w:cs="宋体"/>
          <w:sz w:val="22"/>
          <w:szCs w:val="21"/>
        </w:rPr>
        <w:t xml:space="preserve">5.6为了保证项目的质量，提高投资经济效益，乙方可对本项目设计不合理的部分做优化设计，但优化方案和价格均需征得甲方同意和认可。</w:t>
      </w:r>
      <w:r/>
    </w:p>
    <w:p>
      <w:pPr>
        <w:jc w:val="left"/>
        <w:spacing w:before="162" w:line="560" w:lineRule="exact"/>
        <w:widowControl/>
        <w:rPr>
          <w:rFonts w:hint="eastAsia" w:ascii="宋体" w:hAnsi="宋体" w:cs="宋体"/>
          <w:sz w:val="22"/>
          <w:szCs w:val="21"/>
        </w:rPr>
      </w:pPr>
      <w:r>
        <w:rPr>
          <w:rFonts w:ascii="宋体" w:hAnsi="宋体" w:cs="宋体"/>
          <w:sz w:val="22"/>
          <w:szCs w:val="21"/>
        </w:rPr>
        <w:t xml:space="preserve">5.7货物供应到现场后，经甲方验收合格后，方可安装。甲方有权取样送检，如检测不合格，乙方应无条件退场，乙方承担一切经济损失和检测费用。</w:t>
      </w:r>
      <w:r/>
    </w:p>
    <w:p>
      <w:pPr>
        <w:jc w:val="left"/>
        <w:spacing w:before="162" w:line="560" w:lineRule="exact"/>
        <w:widowControl/>
        <w:rPr>
          <w:rFonts w:hint="eastAsia" w:ascii="宋体" w:hAnsi="宋体" w:cs="宋体"/>
          <w:sz w:val="22"/>
          <w:szCs w:val="21"/>
        </w:rPr>
      </w:pPr>
      <w:r>
        <w:rPr>
          <w:rFonts w:ascii="宋体" w:hAnsi="宋体" w:cs="宋体"/>
          <w:sz w:val="22"/>
          <w:szCs w:val="21"/>
        </w:rPr>
        <w:t xml:space="preserve">5.8乙方免费派遣有工作经验、身体健康和称职的技术人员到现场提供技术服务，并安排甲方技术人员、操作人员及维护保养人员在货物运行地点、安装和调试现场进行技术培训（包括操作、保养、维护等）。</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5.9乙方在接到甲方书面通知之日起三日内，派有关技术人员勘测本合同项目的货物安装现场并将相关技术文件提供给甲方。</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知识产权和保密条款</w:t>
      </w:r>
      <w:r>
        <w:rPr>
          <w:rFonts w:hint="eastAsia" w:ascii="宋体" w:hAnsi="宋体" w:cs="宋体"/>
          <w:sz w:val="22"/>
          <w:szCs w:val="21"/>
        </w:rPr>
        <w:t xml:space="preserve">：</w:t>
      </w:r>
      <w:r/>
    </w:p>
    <w:p>
      <w:pPr>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（1）</w:t>
      </w:r>
      <w:r>
        <w:rPr>
          <w:rFonts w:ascii="宋体" w:hAnsi="宋体" w:cs="宋体"/>
          <w:sz w:val="22"/>
          <w:szCs w:val="21"/>
        </w:rPr>
        <w:t xml:space="preserve">甲方提供的产品图纸、图样、图形及产品LOGO等，其相关知识产权均属于甲方，乙方可按照本合同约定及甲方要求进行使用。</w:t>
      </w:r>
      <w:r/>
    </w:p>
    <w:p>
      <w:pPr>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（2）</w:t>
      </w:r>
      <w:r>
        <w:rPr>
          <w:rFonts w:ascii="宋体" w:hAnsi="宋体" w:cs="宋体"/>
          <w:sz w:val="22"/>
          <w:szCs w:val="21"/>
        </w:rPr>
        <w:t xml:space="preserve">乙方应保证甲方在使用本采购合同项下的货物或其任何一部分时，免受第三方提出的侵犯其商标权、工业设计权、专有技术、商业秘密等知识产权或其他任何权利的起诉。</w:t>
      </w:r>
      <w:r/>
    </w:p>
    <w:p>
      <w:pPr>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（3）</w:t>
      </w:r>
      <w:r>
        <w:rPr>
          <w:rFonts w:ascii="宋体" w:hAnsi="宋体" w:cs="宋体"/>
          <w:sz w:val="22"/>
          <w:szCs w:val="21"/>
        </w:rPr>
        <w:t xml:space="preserve"> 乙方应保证提供货物的商标、专利等知识产权归乙方所有，对于非乙方所有知识产权的货物，乙方有义务提供给甲方正规渠道证明。</w:t>
      </w:r>
      <w:r/>
    </w:p>
    <w:p>
      <w:pPr>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（4</w:t>
      </w:r>
      <w:r>
        <w:rPr>
          <w:rFonts w:ascii="宋体" w:hAnsi="宋体" w:cs="宋体"/>
          <w:sz w:val="22"/>
          <w:szCs w:val="21"/>
        </w:rPr>
        <w:t xml:space="preserve">）甲方不对乙方提供的货物的商标、专利是否侵犯他人的权利负责，如因乙方提供货物引发争议或违法导致甲方受损的，乙方应赔偿。如致第三人向甲方主张任何权利时</w:t>
      </w:r>
      <w:r>
        <w:rPr>
          <w:rFonts w:hint="eastAsia" w:ascii="宋体" w:hAnsi="宋体" w:cs="宋体"/>
          <w:sz w:val="22"/>
          <w:szCs w:val="21"/>
        </w:rPr>
        <w:t xml:space="preserve">造成设备不可使用</w:t>
      </w:r>
      <w:r>
        <w:rPr>
          <w:rFonts w:ascii="宋体" w:hAnsi="宋体" w:cs="宋体"/>
          <w:sz w:val="22"/>
          <w:szCs w:val="21"/>
        </w:rPr>
        <w:t xml:space="preserve">，甲方可暂停支付货款，且乙方应立即出面负责解决，并应赔偿甲方因此所受之损害，包括但不限于：赔偿费、权利金、诉讼费、律师费、交通等费用。</w:t>
      </w:r>
      <w:r>
        <w:rPr>
          <w:rFonts w:hint="eastAsia" w:ascii="宋体" w:hAnsi="宋体" w:cs="宋体"/>
          <w:sz w:val="22"/>
          <w:szCs w:val="21"/>
        </w:rPr>
        <w:t xml:space="preserve"> </w:t>
      </w:r>
      <w:r/>
    </w:p>
    <w:p>
      <w:pPr>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（5）</w:t>
      </w:r>
      <w:r>
        <w:rPr>
          <w:rFonts w:ascii="宋体" w:hAnsi="宋体" w:cs="宋体"/>
          <w:sz w:val="22"/>
          <w:szCs w:val="21"/>
        </w:rPr>
        <w:t xml:space="preserve">甲乙双方应对因履行本合同知悉的对方的</w:t>
      </w:r>
      <w:r>
        <w:rPr>
          <w:rFonts w:hint="eastAsia" w:ascii="宋体" w:hAnsi="宋体" w:cs="宋体"/>
          <w:sz w:val="22"/>
          <w:szCs w:val="21"/>
        </w:rPr>
        <w:t xml:space="preserve">对方未公开的</w:t>
      </w:r>
      <w:r>
        <w:rPr>
          <w:rFonts w:ascii="宋体" w:hAnsi="宋体" w:cs="宋体"/>
          <w:sz w:val="22"/>
          <w:szCs w:val="21"/>
        </w:rPr>
        <w:t xml:space="preserve">信息予以保密。</w:t>
      </w:r>
      <w:r/>
    </w:p>
    <w:p>
      <w:pPr>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（6）</w:t>
      </w:r>
      <w:r>
        <w:rPr>
          <w:rFonts w:ascii="宋体" w:hAnsi="宋体" w:cs="宋体"/>
          <w:sz w:val="22"/>
          <w:szCs w:val="21"/>
        </w:rPr>
        <w:t xml:space="preserve">甲乙双方承诺仅为本合同目的使用保密信息，不得以未经对方书面同意的方式使用保密信息。甲乙双方应对保密信息采取合理、谨慎的措施予以妥善保存，不得复制或仿造或向任何第三方（包括媒体）公开、披露该保密信息，并应像保护自己的商业秘密一样合理、谨慎地对该类信息采取保密措施，且任何情形下该等保护措施不得低于合理程度。</w:t>
      </w:r>
      <w:r/>
    </w:p>
    <w:p>
      <w:pPr>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（7）</w:t>
      </w:r>
      <w:r>
        <w:rPr>
          <w:rFonts w:ascii="宋体" w:hAnsi="宋体" w:cs="宋体"/>
          <w:sz w:val="22"/>
          <w:szCs w:val="21"/>
        </w:rPr>
        <w:t xml:space="preserve">甲乙双方仅可将保密信息披露给其有必要参与合同履行的员工，前提是在员工知悉保密信息前，应要求该员工签署书面保密承诺，保证该员工承担了不低于本合同约定的保密义务。</w:t>
      </w:r>
      <w:r/>
    </w:p>
    <w:p>
      <w:pPr>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（8）</w:t>
      </w:r>
      <w:r>
        <w:rPr>
          <w:rFonts w:ascii="宋体" w:hAnsi="宋体" w:cs="宋体"/>
          <w:sz w:val="22"/>
          <w:szCs w:val="21"/>
        </w:rPr>
        <w:t xml:space="preserve">应对方要求，另一方应在5日内将含有保密信息的资料、文件及其他信息载体归还给对方，或者按照对方的指示予以销毁并提供相应的销毁证明。上述行为并不免除双方的保密义务。</w:t>
      </w:r>
      <w:r/>
    </w:p>
    <w:p>
      <w:pPr>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（9）</w:t>
      </w:r>
      <w:r>
        <w:rPr>
          <w:rFonts w:ascii="宋体" w:hAnsi="宋体" w:cs="宋体"/>
          <w:sz w:val="22"/>
          <w:szCs w:val="21"/>
        </w:rPr>
        <w:t xml:space="preserve">双方的保密义务自接收</w:t>
      </w:r>
      <w:r>
        <w:rPr>
          <w:rFonts w:hint="eastAsia" w:ascii="宋体" w:hAnsi="宋体" w:cs="宋体"/>
          <w:sz w:val="22"/>
          <w:szCs w:val="21"/>
        </w:rPr>
        <w:t xml:space="preserve">未公开的</w:t>
      </w:r>
      <w:r>
        <w:rPr>
          <w:rFonts w:ascii="宋体" w:hAnsi="宋体" w:cs="宋体"/>
          <w:sz w:val="22"/>
          <w:szCs w:val="21"/>
        </w:rPr>
        <w:t xml:space="preserve">信息之日起，至</w:t>
      </w:r>
      <w:r>
        <w:rPr>
          <w:rFonts w:hint="eastAsia" w:ascii="宋体" w:hAnsi="宋体" w:cs="宋体"/>
          <w:sz w:val="22"/>
          <w:szCs w:val="21"/>
        </w:rPr>
        <w:t xml:space="preserve">未公开的信息</w:t>
      </w:r>
      <w:r>
        <w:rPr>
          <w:rFonts w:ascii="宋体" w:hAnsi="宋体" w:cs="宋体"/>
          <w:sz w:val="22"/>
          <w:szCs w:val="21"/>
        </w:rPr>
        <w:t xml:space="preserve">被合法公开为止。</w:t>
      </w:r>
      <w:r/>
    </w:p>
    <w:p>
      <w:pPr>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（10）</w:t>
      </w:r>
      <w:r>
        <w:rPr>
          <w:rFonts w:ascii="宋体" w:hAnsi="宋体" w:cs="宋体"/>
          <w:sz w:val="22"/>
          <w:szCs w:val="21"/>
        </w:rPr>
        <w:t xml:space="preserve">一方违反本条约定的，应赔偿由此给对方造成的损失。该损失包括但不限于实际损失、诉讼费、律师费、调查取证费等。</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产品的技术标准（包含质量要求）</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乙方产品应符合国家、地方相关法律法规及行业标准规定的性能、质量标准以及甲乙双方约定的技术标准等要求（前述标准不一致的，以标准较高者或甲方选择为准）；符合产品说明书、随机手册及乙方在产品介绍中和本合同及其他附录、附件、资料中承诺的质量及标准；符合产品应具有的通用性能；符合国家环境保护方面的法律法规、规章及国家、行业标准。如果有测试样品，乙方保证产品品质不低于前述标准及测试样品的品质。</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产品的包装标准和包装物的供应与回收</w:t>
      </w:r>
      <w:r/>
    </w:p>
    <w:p>
      <w:pPr>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（1）</w:t>
      </w:r>
      <w:r>
        <w:rPr>
          <w:rFonts w:ascii="宋体" w:hAnsi="宋体" w:cs="宋体"/>
          <w:sz w:val="22"/>
          <w:szCs w:val="21"/>
        </w:rPr>
        <w:t xml:space="preserve">乙方对提供的产品应按国家、国际惯例等保护措施的标准进行包装，包装不符合标准或约定或相关法律法规，产品造成毁损灭失或其他后果的，由乙方承担相应的风险。</w:t>
      </w:r>
      <w:r/>
    </w:p>
    <w:p>
      <w:pPr>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（2）</w:t>
      </w:r>
      <w:r>
        <w:rPr>
          <w:rFonts w:ascii="宋体" w:hAnsi="宋体" w:cs="宋体"/>
          <w:sz w:val="22"/>
          <w:szCs w:val="21"/>
        </w:rPr>
        <w:t xml:space="preserve">包装物上须施加合格的货物标签，表明品名、规格、包装量、生产日期、批号、制造商名称、产品标准标识、检验状态等信息。</w:t>
      </w:r>
      <w:r/>
    </w:p>
    <w:p>
      <w:pPr>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（3）</w:t>
      </w:r>
      <w:r>
        <w:rPr>
          <w:rFonts w:ascii="宋体" w:hAnsi="宋体" w:cs="宋体"/>
          <w:sz w:val="22"/>
          <w:szCs w:val="21"/>
        </w:rPr>
        <w:t xml:space="preserve">乙方负责提供包装物，并负责处理、回收等工作。</w:t>
      </w:r>
      <w:r/>
    </w:p>
    <w:p>
      <w:pPr>
        <w:ind w:firstLine="440"/>
        <w:jc w:val="left"/>
        <w:spacing w:before="123" w:line="560" w:lineRule="exact"/>
        <w:widowControl/>
        <w:rPr>
          <w:rFonts w:hint="eastAsia" w:ascii="宋体" w:hAnsi="宋体" w:cs="宋体"/>
          <w:sz w:val="22"/>
          <w:szCs w:val="21"/>
        </w:rPr>
      </w:pPr>
      <w:r>
        <w:rPr>
          <w:rFonts w:ascii="宋体" w:hAnsi="宋体" w:cs="宋体"/>
          <w:sz w:val="22"/>
          <w:szCs w:val="21"/>
        </w:rPr>
        <w:t xml:space="preserve">第六条交付使用、安装及验收</w:t>
      </w:r>
      <w:r/>
    </w:p>
    <w:p>
      <w:pPr>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6</w:t>
      </w:r>
      <w:r>
        <w:rPr>
          <w:rFonts w:ascii="宋体" w:hAnsi="宋体" w:cs="宋体"/>
          <w:sz w:val="22"/>
          <w:szCs w:val="21"/>
        </w:rPr>
        <w:t xml:space="preserve">.交货时间、地方及方式</w:t>
      </w:r>
      <w:r/>
    </w:p>
    <w:p>
      <w:pPr>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6.</w:t>
      </w:r>
      <w:r>
        <w:rPr>
          <w:rFonts w:ascii="宋体" w:hAnsi="宋体" w:cs="宋体"/>
          <w:sz w:val="22"/>
          <w:szCs w:val="21"/>
        </w:rPr>
        <w:t xml:space="preserve">1交货时间：合同签订生效后</w:t>
      </w:r>
      <w:r>
        <w:rPr>
          <w:rFonts w:hint="eastAsia" w:ascii="宋体" w:hAnsi="宋体" w:cs="宋体"/>
          <w:sz w:val="22"/>
          <w:szCs w:val="21"/>
          <w:u w:val="single"/>
        </w:rPr>
        <w:t xml:space="preserve">      </w:t>
      </w:r>
      <w:r>
        <w:rPr>
          <w:rFonts w:ascii="宋体" w:hAnsi="宋体" w:cs="宋体"/>
          <w:sz w:val="22"/>
          <w:szCs w:val="21"/>
        </w:rPr>
        <w:t xml:space="preserve">日</w:t>
      </w:r>
      <w:r>
        <w:rPr>
          <w:rFonts w:hint="eastAsia" w:ascii="宋体" w:hAnsi="宋体" w:cs="宋体"/>
          <w:sz w:val="22"/>
          <w:szCs w:val="21"/>
        </w:rPr>
        <w:t xml:space="preserve">交货，并于   年   月   日前调试完毕，向甲方交付合格且能正常运行的设备。</w:t>
      </w:r>
      <w:r/>
    </w:p>
    <w:p>
      <w:pPr>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6.</w:t>
      </w:r>
      <w:r>
        <w:rPr>
          <w:rFonts w:ascii="宋体" w:hAnsi="宋体" w:cs="宋体"/>
          <w:sz w:val="22"/>
          <w:szCs w:val="21"/>
        </w:rPr>
        <w:t xml:space="preserve">2交货地点：</w:t>
      </w:r>
      <w:r/>
    </w:p>
    <w:p>
      <w:pPr>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6</w:t>
      </w:r>
      <w:r>
        <w:rPr>
          <w:rFonts w:ascii="宋体" w:hAnsi="宋体" w:cs="宋体"/>
          <w:sz w:val="22"/>
          <w:szCs w:val="21"/>
        </w:rPr>
        <w:t xml:space="preserve">.3交货方式：本合同项下的产品由乙方送至甲方指定的交货地点</w:t>
      </w:r>
      <w:r/>
    </w:p>
    <w:p>
      <w:pPr>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6</w:t>
      </w:r>
      <w:r>
        <w:rPr>
          <w:rFonts w:ascii="宋体" w:hAnsi="宋体" w:cs="宋体"/>
          <w:sz w:val="22"/>
          <w:szCs w:val="21"/>
        </w:rPr>
        <w:t xml:space="preserve">.4乙方每批发货应包括一份载明产品明细和所有订购产品清单的装箱单或送货单</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运输方式、费用及风险承担</w:t>
      </w:r>
      <w:r/>
    </w:p>
    <w:p>
      <w:pPr>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（1）</w:t>
      </w:r>
      <w:r>
        <w:rPr>
          <w:rFonts w:ascii="宋体" w:hAnsi="宋体" w:cs="宋体"/>
          <w:sz w:val="22"/>
          <w:szCs w:val="21"/>
        </w:rPr>
        <w:t xml:space="preserve">乙方负责将合同项下产品运送至甲方指定的交货地点，并承担运费及其他杂费。</w:t>
      </w:r>
      <w:r/>
    </w:p>
    <w:p>
      <w:pPr>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（2）</w:t>
      </w:r>
      <w:r>
        <w:rPr>
          <w:rFonts w:ascii="宋体" w:hAnsi="宋体" w:cs="宋体"/>
          <w:sz w:val="22"/>
          <w:szCs w:val="21"/>
        </w:rPr>
        <w:t xml:space="preserve">产品在途运输过程中，发生毁损灭失或其他后果的，由乙方承担相应风险，因乙方原因造成的，不免除乙方应承担的违约责任。</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6.</w:t>
      </w:r>
      <w:r>
        <w:rPr>
          <w:rFonts w:hint="eastAsia" w:ascii="宋体" w:hAnsi="宋体" w:cs="宋体"/>
          <w:sz w:val="22"/>
          <w:szCs w:val="21"/>
        </w:rPr>
        <w:t xml:space="preserve">5</w:t>
      </w:r>
      <w:r>
        <w:rPr>
          <w:rFonts w:ascii="宋体" w:hAnsi="宋体" w:cs="宋体"/>
          <w:sz w:val="22"/>
          <w:szCs w:val="21"/>
        </w:rPr>
        <w:t xml:space="preserve">乙方应当在合同签订后根据项目进度完成采购文件规定的项目并交付甲方使用。采购文件有约定的，从其约定。</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6.</w:t>
      </w:r>
      <w:r>
        <w:rPr>
          <w:rFonts w:hint="eastAsia" w:ascii="宋体" w:hAnsi="宋体" w:cs="宋体"/>
          <w:sz w:val="22"/>
          <w:szCs w:val="21"/>
        </w:rPr>
        <w:t xml:space="preserve">6</w:t>
      </w:r>
      <w:r>
        <w:rPr>
          <w:rFonts w:ascii="宋体" w:hAnsi="宋体" w:cs="宋体"/>
          <w:sz w:val="22"/>
          <w:szCs w:val="21"/>
        </w:rPr>
        <w:t xml:space="preserve">甲方于</w:t>
      </w:r>
      <w:r>
        <w:rPr>
          <w:rFonts w:hint="eastAsia" w:ascii="宋体" w:hAnsi="宋体" w:cs="宋体"/>
          <w:sz w:val="22"/>
          <w:szCs w:val="21"/>
        </w:rPr>
        <w:t xml:space="preserve">乙方</w:t>
      </w:r>
      <w:r>
        <w:rPr>
          <w:rFonts w:ascii="宋体" w:hAnsi="宋体" w:cs="宋体"/>
          <w:sz w:val="22"/>
          <w:szCs w:val="21"/>
        </w:rPr>
        <w:t xml:space="preserve">安装完毕后待现场符合验收条件时自行组织或视情邀请相关专家或国家认可的质量检测机构参加验收。</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6.</w:t>
      </w:r>
      <w:r>
        <w:rPr>
          <w:rFonts w:hint="eastAsia" w:ascii="宋体" w:hAnsi="宋体" w:cs="宋体"/>
          <w:sz w:val="22"/>
          <w:szCs w:val="21"/>
        </w:rPr>
        <w:t xml:space="preserve">7</w:t>
      </w:r>
      <w:r>
        <w:rPr>
          <w:rFonts w:ascii="宋体" w:hAnsi="宋体" w:cs="宋体"/>
          <w:sz w:val="22"/>
          <w:szCs w:val="21"/>
        </w:rPr>
        <w:t xml:space="preserve">在交货前，乙方应对货物的质量、性能、规格型号、技术要求、品牌、数量等进行详细而全面的检验，并出具一份能说明货物符合合同规定的证明。</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6.</w:t>
      </w:r>
      <w:r>
        <w:rPr>
          <w:rFonts w:hint="eastAsia" w:ascii="宋体" w:hAnsi="宋体" w:cs="宋体"/>
          <w:sz w:val="22"/>
          <w:szCs w:val="21"/>
        </w:rPr>
        <w:t xml:space="preserve">8</w:t>
      </w:r>
      <w:r>
        <w:rPr>
          <w:rFonts w:ascii="宋体" w:hAnsi="宋体" w:cs="宋体"/>
          <w:sz w:val="22"/>
          <w:szCs w:val="21"/>
        </w:rPr>
        <w:t xml:space="preserve">货物运抵现场后，甲方将对货物的质量、性能</w:t>
      </w:r>
      <w:r>
        <w:rPr>
          <w:rFonts w:ascii="宋体" w:hAnsi="宋体" w:cs="宋体"/>
          <w:sz w:val="22"/>
          <w:szCs w:val="21"/>
        </w:rPr>
        <w:t xml:space="preserve">、规格型号、技术要求、品牌、数量等进行初步检验（或取样送检），如发现货物的质量、性能、规格型号、技术要求、品牌、数量等与招标文件要求及投标承诺、国家现行的相关规范标准及有关部门最新颁布的相应的最新标准不符时（或检测不合格时），乙方应按甲方规定的时间内将货物运出安装场地，重新采购符合要求的货物，并承担由此发生的一切损失和责任，由此延误的工期不予顺延【如乙方不服从或拒绝按甲方要求的时间运出安装场地，甲方有权单独采购符合要求的货物，其一切费用均在乙方款项中扣除】。甲方根据当地质检部门出具的检验证书向乙方提出索赔。</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6.</w:t>
      </w:r>
      <w:r>
        <w:rPr>
          <w:rFonts w:hint="eastAsia" w:ascii="宋体" w:hAnsi="宋体" w:cs="宋体"/>
          <w:sz w:val="22"/>
          <w:szCs w:val="21"/>
        </w:rPr>
        <w:t xml:space="preserve">9</w:t>
      </w:r>
      <w:r>
        <w:rPr>
          <w:rFonts w:ascii="宋体" w:hAnsi="宋体" w:cs="宋体"/>
          <w:sz w:val="22"/>
          <w:szCs w:val="21"/>
        </w:rPr>
        <w:t xml:space="preserve">货物到现场，甲方如认为质量不合格，可委托具备该货物检测能力的检测机构对其质量进行检测。</w:t>
      </w:r>
      <w:r>
        <w:rPr>
          <w:rFonts w:hint="eastAsia" w:ascii="宋体" w:hAnsi="宋体" w:cs="宋体"/>
          <w:sz w:val="22"/>
          <w:szCs w:val="21"/>
        </w:rPr>
        <w:t xml:space="preserve">检测费用由乙方承担，</w:t>
      </w:r>
      <w:r>
        <w:rPr>
          <w:rFonts w:ascii="宋体" w:hAnsi="宋体" w:cs="宋体"/>
          <w:sz w:val="22"/>
          <w:szCs w:val="21"/>
        </w:rPr>
        <w:t xml:space="preserve">如检测结果不合格，同时乙方承担本合同规定的其他责任。</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6.</w:t>
      </w:r>
      <w:r>
        <w:rPr>
          <w:rFonts w:hint="eastAsia" w:ascii="宋体" w:hAnsi="宋体" w:cs="宋体"/>
          <w:sz w:val="22"/>
          <w:szCs w:val="21"/>
        </w:rPr>
        <w:t xml:space="preserve">10</w:t>
      </w:r>
      <w:r>
        <w:rPr>
          <w:rFonts w:ascii="宋体" w:hAnsi="宋体" w:cs="宋体"/>
          <w:sz w:val="22"/>
          <w:szCs w:val="21"/>
        </w:rPr>
        <w:t xml:space="preserve">货物的最终验收待项目安装、调试完毕，由甲方组织有关单位和部门共同负责验收工作。</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6.</w:t>
      </w:r>
      <w:r>
        <w:rPr>
          <w:rFonts w:hint="eastAsia" w:ascii="宋体" w:hAnsi="宋体" w:cs="宋体"/>
          <w:sz w:val="22"/>
          <w:szCs w:val="21"/>
        </w:rPr>
        <w:t xml:space="preserve">11</w:t>
      </w:r>
      <w:r>
        <w:rPr>
          <w:rFonts w:ascii="宋体" w:hAnsi="宋体" w:cs="宋体"/>
          <w:sz w:val="22"/>
          <w:szCs w:val="21"/>
        </w:rPr>
        <w:t xml:space="preserve">验收标准：按招标文件要求及投标承诺、国家现行的相关规范标准及有关部门最新颁布的相应的最新标准执行。质量达到设计技术要求，安装、调试各项指标符合技术要求并通过相关部门的检验。</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初验及试运行：安装、调试完毕后，乙方应对货物的整体性能和功能进行自检，自检结果必须符合招标文件要求及投标承诺、国家现行的相关规范标准及有关部门最新颁布的相应的最新标准及合同中的相关条款。终验：货物试运行结束后，乙方应向甲方提交试运行记录</w:t>
      </w:r>
      <w:r>
        <w:rPr>
          <w:rFonts w:hint="eastAsia" w:ascii="宋体" w:hAnsi="宋体" w:cs="宋体"/>
          <w:sz w:val="22"/>
          <w:szCs w:val="21"/>
        </w:rPr>
        <w:t xml:space="preserve">，设备调试合格运行一周无故障</w:t>
      </w:r>
      <w:r>
        <w:rPr>
          <w:rFonts w:ascii="宋体" w:hAnsi="宋体" w:cs="宋体"/>
          <w:sz w:val="22"/>
          <w:szCs w:val="21"/>
        </w:rPr>
        <w:t xml:space="preserve">。如试运行期货物运行正常，达到甲方要求，则</w:t>
      </w:r>
      <w:r>
        <w:rPr>
          <w:rFonts w:hint="eastAsia" w:ascii="宋体" w:hAnsi="宋体" w:cs="宋体"/>
          <w:sz w:val="22"/>
          <w:szCs w:val="21"/>
        </w:rPr>
        <w:t xml:space="preserve">甲</w:t>
      </w:r>
      <w:r>
        <w:rPr>
          <w:rFonts w:ascii="宋体" w:hAnsi="宋体" w:cs="宋体"/>
          <w:sz w:val="22"/>
          <w:szCs w:val="21"/>
        </w:rPr>
        <w:t xml:space="preserve">方在试运行期后组织验收。</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6.</w:t>
      </w:r>
      <w:r>
        <w:rPr>
          <w:rFonts w:hint="eastAsia" w:ascii="宋体" w:hAnsi="宋体" w:cs="宋体"/>
          <w:sz w:val="22"/>
          <w:szCs w:val="21"/>
        </w:rPr>
        <w:t xml:space="preserve">12</w:t>
      </w:r>
      <w:r>
        <w:rPr>
          <w:rFonts w:ascii="宋体" w:hAnsi="宋体" w:cs="宋体"/>
          <w:sz w:val="22"/>
          <w:szCs w:val="21"/>
        </w:rPr>
        <w:t xml:space="preserve">安装、调试完毕后，</w:t>
      </w:r>
      <w:r>
        <w:rPr>
          <w:rFonts w:hint="eastAsia" w:ascii="宋体" w:hAnsi="宋体" w:cs="宋体"/>
          <w:sz w:val="22"/>
          <w:szCs w:val="21"/>
        </w:rPr>
        <w:t xml:space="preserve">乙方</w:t>
      </w:r>
      <w:r>
        <w:rPr>
          <w:rFonts w:ascii="宋体" w:hAnsi="宋体" w:cs="宋体"/>
          <w:sz w:val="22"/>
          <w:szCs w:val="21"/>
        </w:rPr>
        <w:t xml:space="preserve">提供安装、调试报告，报告中要有各项检测数据和详细的验收标准、验收手册，乙方无偿借用验收仪器。</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6.</w:t>
      </w:r>
      <w:r>
        <w:rPr>
          <w:rFonts w:hint="eastAsia" w:ascii="宋体" w:hAnsi="宋体" w:cs="宋体"/>
          <w:sz w:val="22"/>
          <w:szCs w:val="21"/>
        </w:rPr>
        <w:t xml:space="preserve">13</w:t>
      </w:r>
      <w:r>
        <w:rPr>
          <w:rFonts w:ascii="宋体" w:hAnsi="宋体" w:cs="宋体"/>
          <w:sz w:val="22"/>
          <w:szCs w:val="21"/>
        </w:rPr>
        <w:t xml:space="preserve">乙方提供竣工资料的约定：乙方在竣工验收合格后15日内，向甲方提供竣工资料叁套（含电子</w:t>
      </w:r>
      <w:r>
        <w:rPr>
          <w:rFonts w:hint="eastAsia" w:ascii="宋体" w:hAnsi="宋体" w:cs="宋体"/>
          <w:sz w:val="22"/>
          <w:szCs w:val="21"/>
        </w:rPr>
        <w:t xml:space="preserve">U盘、</w:t>
      </w:r>
      <w:r>
        <w:rPr>
          <w:rFonts w:ascii="宋体" w:hAnsi="宋体" w:cs="宋体"/>
          <w:sz w:val="22"/>
          <w:szCs w:val="21"/>
        </w:rPr>
        <w:t xml:space="preserve">光盘）。</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注：乙方提供的书面竣工资料应能满足确保货物正常运行所需的运行、维护及管理有关的全套文件资料，乙方提供的技术文件资料至少应包括：</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（1）需求分析及设计文档；</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（2）相关技术解决方案；</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（3）测试报告；</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（4）用户使用手册；</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（5）货物运行维护手册；</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（6）标配</w:t>
      </w:r>
      <w:r>
        <w:rPr>
          <w:rFonts w:hint="eastAsia" w:ascii="宋体" w:hAnsi="宋体" w:cs="宋体"/>
          <w:sz w:val="22"/>
          <w:szCs w:val="21"/>
        </w:rPr>
        <w:t xml:space="preserve">U盘、</w:t>
      </w:r>
      <w:r>
        <w:rPr>
          <w:rFonts w:ascii="宋体" w:hAnsi="宋体" w:cs="宋体"/>
          <w:sz w:val="22"/>
          <w:szCs w:val="21"/>
        </w:rPr>
        <w:t xml:space="preserve">光盘；</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（7）要求的其他文件资料。</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所提供的竣工文件资料其内容必须与所提供的货物相一致，在甲、乙双方商定的某一时期内由于货物的修改而导致文件的任何修改，乙方均应按合同提供修改更正或补充的印刷文件。</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外观验收：到货后，甲方对产品的型号、规格、数量、外观质量和包装进行验收，如与合同约定不符，甲方可在外观验收后向乙方提出异议，要求乙方补货、换货。甲方要求乙方补货或换货的，在甲方未收到补发货物之前，甲方有权拒付这部分货物的货款。外观验收不等同于货物全面验收，甲方在异议内使用设备如发现质量问题的，乙方仍应当承担相应责任。</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质量验收：收货后，甲方经安装/调试使用，发现产品质量不符合合同约定的标准，甲方通知乙方维修、换货</w:t>
      </w:r>
      <w:r>
        <w:rPr>
          <w:rFonts w:hint="eastAsia" w:ascii="宋体" w:hAnsi="宋体" w:cs="宋体"/>
          <w:sz w:val="22"/>
          <w:szCs w:val="21"/>
        </w:rPr>
        <w:t xml:space="preserve">，</w:t>
      </w:r>
      <w:r>
        <w:rPr>
          <w:rFonts w:ascii="宋体" w:hAnsi="宋体" w:cs="宋体"/>
          <w:sz w:val="22"/>
          <w:szCs w:val="21"/>
        </w:rPr>
        <w:t xml:space="preserve">乙方在接到书面通知后</w:t>
      </w:r>
      <w:r>
        <w:rPr>
          <w:rFonts w:hint="eastAsia" w:ascii="宋体" w:hAnsi="宋体" w:cs="宋体"/>
          <w:sz w:val="22"/>
          <w:szCs w:val="21"/>
        </w:rPr>
        <w:t xml:space="preserve">10</w:t>
      </w:r>
      <w:r>
        <w:rPr>
          <w:rFonts w:ascii="宋体" w:hAnsi="宋体" w:cs="宋体"/>
          <w:sz w:val="22"/>
          <w:szCs w:val="21"/>
        </w:rPr>
        <w:t xml:space="preserve">日内应按甲方要求予以维修、换货。如乙方未能在本条规定的日期内维修、换货或退货，则视为逾期交货，乙方应当承担相应的违约责任。</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如果原材料(含包装)及直接生产(检测）用的设备被虫害污染，经质量部门调查评估后，视情况要求</w:t>
      </w:r>
      <w:r>
        <w:rPr>
          <w:rFonts w:hint="eastAsia" w:ascii="宋体" w:hAnsi="宋体" w:cs="宋体"/>
          <w:sz w:val="22"/>
          <w:szCs w:val="21"/>
        </w:rPr>
        <w:t xml:space="preserve">乙方</w:t>
      </w:r>
      <w:r>
        <w:rPr>
          <w:rFonts w:ascii="宋体" w:hAnsi="宋体" w:cs="宋体"/>
          <w:sz w:val="22"/>
          <w:szCs w:val="21"/>
        </w:rPr>
        <w:t xml:space="preserve">清除污染物、召回产品。</w:t>
      </w:r>
      <w:r/>
    </w:p>
    <w:p>
      <w:pPr>
        <w:ind w:left="420" w:firstLine="240"/>
        <w:jc w:val="left"/>
        <w:spacing w:before="123" w:line="560" w:lineRule="exact"/>
        <w:widowControl/>
        <w:rPr>
          <w:rFonts w:hint="eastAsia" w:ascii="宋体" w:hAnsi="宋体" w:cs="宋体"/>
          <w:sz w:val="22"/>
          <w:szCs w:val="21"/>
        </w:rPr>
      </w:pPr>
      <w:r>
        <w:rPr>
          <w:rFonts w:ascii="宋体" w:hAnsi="宋体" w:cs="宋体"/>
          <w:sz w:val="22"/>
          <w:szCs w:val="21"/>
        </w:rPr>
        <w:t xml:space="preserve">第七条安装与调试</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7.1安装地点：</w:t>
      </w:r>
      <w:r>
        <w:rPr>
          <w:rFonts w:hint="eastAsia" w:ascii="宋体" w:hAnsi="宋体" w:cs="宋体"/>
          <w:sz w:val="22"/>
          <w:szCs w:val="21"/>
          <w:u w:val="single"/>
        </w:rPr>
        <w:t xml:space="preserve">   湖熟街道丹桂村      </w:t>
      </w:r>
      <w:r>
        <w:rPr>
          <w:rFonts w:ascii="宋体" w:hAnsi="宋体" w:cs="宋体"/>
          <w:sz w:val="22"/>
          <w:szCs w:val="21"/>
        </w:rPr>
        <w:t xml:space="preserve">。</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7.2安装人员：由乙方直接派相关人员组织安装。</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7.3乙方应在准备部署本货物1周前，向甲方提供安装、调试的进度计划表和安装作业措施计划</w:t>
      </w:r>
      <w:r>
        <w:rPr>
          <w:rFonts w:hint="eastAsia" w:ascii="宋体" w:hAnsi="宋体" w:cs="宋体"/>
          <w:sz w:val="22"/>
          <w:szCs w:val="21"/>
        </w:rPr>
        <w:t xml:space="preserve">经甲方同意后实施</w:t>
      </w:r>
      <w:r>
        <w:rPr>
          <w:rFonts w:ascii="宋体" w:hAnsi="宋体" w:cs="宋体"/>
          <w:sz w:val="22"/>
          <w:szCs w:val="21"/>
        </w:rPr>
        <w:t xml:space="preserve">。</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7.4安装、调试期间，乙方负责组织专业技术人员进行货物安装、调试，甲方将提供必</w:t>
      </w:r>
      <w:r>
        <w:rPr>
          <w:rFonts w:hint="eastAsia" w:ascii="宋体" w:hAnsi="宋体" w:cs="宋体"/>
          <w:sz w:val="22"/>
          <w:szCs w:val="21"/>
        </w:rPr>
        <w:t xml:space="preserve">要的协助</w:t>
      </w:r>
      <w:r>
        <w:rPr>
          <w:rFonts w:ascii="宋体" w:hAnsi="宋体" w:cs="宋体"/>
          <w:sz w:val="22"/>
          <w:szCs w:val="21"/>
        </w:rPr>
        <w:t xml:space="preserve">，保证各项安装工作顺利进行。</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7.5乙方负责货物的安装，承担与安装项目相关的一切费用（包括食宿等费用）。</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7.6安装完毕的货物及其环境应清理干净。</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7.7乙方详细进行技术交底，详细讲解图纸、工艺流程、操作规程、货物性能及有关注意事项等</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7.8乙方应保证所提供的货物、材料是完整的、全新的、未使用过的、技术上先进和成熟的、是用一流的工艺和</w:t>
      </w:r>
      <w:r>
        <w:rPr>
          <w:rFonts w:hint="eastAsia" w:ascii="宋体" w:hAnsi="宋体" w:cs="宋体"/>
          <w:sz w:val="22"/>
          <w:szCs w:val="21"/>
        </w:rPr>
        <w:t xml:space="preserve">优质</w:t>
      </w:r>
      <w:r>
        <w:rPr>
          <w:rFonts w:ascii="宋体" w:hAnsi="宋体" w:cs="宋体"/>
          <w:sz w:val="22"/>
          <w:szCs w:val="21"/>
        </w:rPr>
        <w:t xml:space="preserve">材料制造而成的，并完全符合招标文件要求及投标承诺、国家现行的相关规范标准、有关部门最新颁布的相应的最新标准及合同规定的质量、性能、规格型号、技术要求、品牌的要求。乙方应保证所提供的货物经正确安装、正常运行和保养在其使用寿命期内应具有满意的性能。在质量保修期乙方应对由于货物的工艺、材料和制造原因产生的缺陷而发生的任何不足或故障负责。</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7.9如果货物的质量、性能、规格型号、技术要求、品牌、数量等与合同不符，或在规定的质量保修期内证实货物是有缺陷的，包括潜在的缺陷或使用不符合要求的材料等，甲方应尽快以书面形式通知乙方，并提出索赔。</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7.10乙方须具备较高的售后服务能力，货物出现故障时，乙方须积极响应。在质量保修期内，乙方须建立24小时报修电话。如果出现质量、技术问题，甲方通过电话通知乙方，乙方</w:t>
      </w:r>
      <w:r>
        <w:rPr>
          <w:rFonts w:ascii="宋体" w:hAnsi="宋体" w:cs="宋体"/>
          <w:sz w:val="22"/>
          <w:szCs w:val="21"/>
        </w:rPr>
        <w:t xml:space="preserve">接到报修电话后，派遣有经验的维修工程师到现场提供免费维修服务，并尽快修复故障。一般问题应在6小时内解决，重大故障应启动应急备用方案，最长不超过</w:t>
      </w:r>
      <w:r>
        <w:rPr>
          <w:rFonts w:hint="eastAsia" w:ascii="宋体" w:hAnsi="宋体" w:cs="宋体"/>
          <w:sz w:val="22"/>
          <w:szCs w:val="21"/>
        </w:rPr>
        <w:t xml:space="preserve">36</w:t>
      </w:r>
      <w:r>
        <w:rPr>
          <w:rFonts w:ascii="宋体" w:hAnsi="宋体" w:cs="宋体"/>
          <w:sz w:val="22"/>
          <w:szCs w:val="21"/>
        </w:rPr>
        <w:t xml:space="preserve">小时解决。</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注：在质量保修期内，乙方应免费向甲方提供所有货物维保的服务，在货物维保时，乙方应派遣专业技术人员到现场提供服务；在质量保修期满后，实行有偿终身上门维保，可合理收取相关费用（乙方和甲方将在双方的合作情况的基础上协商确定）。</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7.11乙方在竣工验收之前所有货物及材料的自行保护。乙方不得擅自外运任何置于工地现场或周转场地的货物及材料，否则由此造成的一切损失及后果均由乙方承担。</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7.12乙方在安装过程中必须确保安全，如造成各种人身伤害、财产损失或其他事故，均由乙方负责处理和经济赔偿，甲方不承担任何责任。</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7.13乙方进场后，必须服从甲方的统一调度和指挥。如出现不服从管理现象的，甲方将视情节轻重认定乙方是否违约，并根据情况要求乙方承担违约责任，支付违约金。</w:t>
      </w:r>
      <w:r/>
    </w:p>
    <w:p>
      <w:pPr>
        <w:ind w:left="420" w:firstLine="240"/>
        <w:jc w:val="left"/>
        <w:spacing w:before="123" w:line="560" w:lineRule="exact"/>
        <w:widowControl/>
        <w:rPr>
          <w:rFonts w:hint="eastAsia" w:ascii="宋体" w:hAnsi="宋体" w:cs="宋体"/>
          <w:sz w:val="22"/>
          <w:szCs w:val="21"/>
        </w:rPr>
      </w:pPr>
      <w:r>
        <w:rPr>
          <w:rFonts w:ascii="宋体" w:hAnsi="宋体" w:cs="宋体"/>
          <w:sz w:val="22"/>
          <w:szCs w:val="21"/>
        </w:rPr>
        <w:t xml:space="preserve">第八条合同款支付</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8.1本合同项下所有款项均以人民币转账支付。</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8.2本合同项下的采购资金由甲方自行支付，乙方向甲方开具发票。</w:t>
      </w:r>
      <w:r/>
    </w:p>
    <w:p>
      <w:pPr>
        <w:ind w:left="660" w:hanging="660"/>
        <w:jc w:val="left"/>
        <w:spacing w:before="123" w:line="560" w:lineRule="exact"/>
        <w:widowControl/>
        <w:rPr>
          <w:rFonts w:hint="eastAsia" w:ascii="宋体" w:hAnsi="宋体" w:cs="宋体"/>
          <w:color w:val="ff0000"/>
          <w:sz w:val="22"/>
          <w:szCs w:val="21"/>
        </w:rPr>
      </w:pPr>
      <w:r>
        <w:rPr>
          <w:rFonts w:ascii="宋体" w:hAnsi="宋体" w:cs="宋体"/>
          <w:sz w:val="22"/>
          <w:szCs w:val="21"/>
        </w:rPr>
        <w:t xml:space="preserve">8.3付款</w:t>
      </w:r>
      <w:r>
        <w:rPr>
          <w:rFonts w:hint="eastAsia" w:ascii="宋体" w:hAnsi="宋体" w:cs="宋体"/>
          <w:sz w:val="22"/>
          <w:szCs w:val="21"/>
        </w:rPr>
        <w:t xml:space="preserve">进度</w:t>
      </w:r>
      <w:r>
        <w:rPr>
          <w:rFonts w:ascii="宋体" w:hAnsi="宋体" w:cs="宋体"/>
          <w:sz w:val="22"/>
          <w:szCs w:val="21"/>
        </w:rPr>
        <w:t xml:space="preserve">及时间：</w:t>
      </w:r>
      <w:r>
        <w:rPr>
          <w:sz w:val="22"/>
          <w:szCs w:val="21"/>
        </w:rPr>
        <w:t xml:space="preserve">​</w:t>
      </w:r>
      <w:r>
        <w:rPr>
          <w:rFonts w:ascii="宋体" w:hAnsi="宋体" w:cs="宋体"/>
          <w:sz w:val="22"/>
          <w:szCs w:val="21"/>
        </w:rPr>
        <w:br w:type="textWrapping" w:clear="all"/>
      </w:r>
      <w:r>
        <w:rPr>
          <w:rFonts w:hint="eastAsia" w:ascii="宋体" w:hAnsi="宋体" w:cs="宋体"/>
          <w:color w:val="ff0000"/>
          <w:sz w:val="22"/>
          <w:szCs w:val="21"/>
        </w:rPr>
        <w:t xml:space="preserve">合同标的物交付甲方正常使用并办理验收手续后支付合同价款的60%，经审计部门结算</w:t>
      </w:r>
      <w:r/>
    </w:p>
    <w:p>
      <w:pPr>
        <w:ind w:left="660" w:hanging="660"/>
        <w:jc w:val="left"/>
        <w:spacing w:before="123" w:line="560" w:lineRule="exact"/>
        <w:widowControl/>
        <w:rPr>
          <w:rFonts w:hint="eastAsia" w:ascii="宋体" w:hAnsi="宋体" w:cs="宋体"/>
          <w:sz w:val="22"/>
          <w:szCs w:val="21"/>
        </w:rPr>
      </w:pPr>
      <w:r>
        <w:rPr>
          <w:rFonts w:hint="eastAsia" w:ascii="宋体" w:hAnsi="宋体" w:cs="宋体"/>
          <w:color w:val="ff0000"/>
          <w:sz w:val="22"/>
          <w:szCs w:val="21"/>
        </w:rPr>
        <w:t xml:space="preserve">审计满半年后付清尾款。</w:t>
      </w:r>
      <w:r>
        <w:rPr>
          <w:rFonts w:hint="eastAsia" w:ascii="宋体" w:hAnsi="宋体" w:cs="宋体"/>
          <w:color w:val="ff0000"/>
          <w:sz w:val="22"/>
          <w:szCs w:val="21"/>
        </w:rPr>
        <w:br w:type="textWrapping" w:clear="all"/>
      </w:r>
      <w:r>
        <w:rPr>
          <w:rFonts w:ascii="宋体" w:hAnsi="宋体" w:cs="宋体"/>
          <w:sz w:val="22"/>
          <w:szCs w:val="21"/>
        </w:rPr>
        <w:t xml:space="preserve">第九条违约责任</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9.2如乙方不能交货的，乙方应向甲方支付合同总价的</w:t>
      </w:r>
      <w:r>
        <w:rPr>
          <w:rFonts w:hint="eastAsia" w:ascii="宋体" w:hAnsi="宋体" w:cs="宋体"/>
          <w:sz w:val="22"/>
          <w:szCs w:val="21"/>
        </w:rPr>
        <w:t xml:space="preserve">10</w:t>
      </w:r>
      <w:r>
        <w:rPr>
          <w:rFonts w:ascii="宋体" w:hAnsi="宋体" w:cs="宋体"/>
          <w:sz w:val="22"/>
          <w:szCs w:val="21"/>
        </w:rPr>
        <w:t xml:space="preserve">%</w:t>
      </w:r>
      <w:r>
        <w:rPr>
          <w:rFonts w:hint="eastAsia" w:ascii="宋体" w:hAnsi="宋体" w:cs="宋体"/>
          <w:sz w:val="22"/>
          <w:szCs w:val="21"/>
        </w:rPr>
        <w:t xml:space="preserve">作为</w:t>
      </w:r>
      <w:r>
        <w:rPr>
          <w:rFonts w:ascii="宋体" w:hAnsi="宋体" w:cs="宋体"/>
          <w:sz w:val="22"/>
          <w:szCs w:val="21"/>
        </w:rPr>
        <w:t xml:space="preserve">违约金。</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9.3乙方逾期交付的，每逾期1天，乙方向甲方偿付合同总价万分之三的违约金</w:t>
      </w:r>
      <w:r>
        <w:rPr>
          <w:rFonts w:hint="eastAsia" w:ascii="宋体" w:hAnsi="宋体" w:cs="宋体"/>
          <w:sz w:val="22"/>
          <w:szCs w:val="21"/>
        </w:rPr>
        <w:t xml:space="preserve">。</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若乙方有下列情形之一的，甲方有权解除合同并要求乙方承担合同价款</w:t>
      </w:r>
      <w:r>
        <w:rPr>
          <w:rFonts w:hint="eastAsia" w:ascii="宋体" w:hAnsi="宋体" w:cs="宋体"/>
          <w:sz w:val="22"/>
          <w:szCs w:val="21"/>
        </w:rPr>
        <w:t xml:space="preserve">10</w:t>
      </w:r>
      <w:r>
        <w:rPr>
          <w:rFonts w:ascii="宋体" w:hAnsi="宋体" w:cs="宋体"/>
          <w:sz w:val="22"/>
          <w:szCs w:val="21"/>
        </w:rPr>
        <w:t xml:space="preserve">%的违约金。甲方已经支付的费用，乙方应当予以退还；未支付的费用，不再支付：</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（1）不能交货</w:t>
      </w:r>
      <w:r>
        <w:rPr>
          <w:rFonts w:hint="eastAsia" w:ascii="宋体" w:hAnsi="宋体" w:cs="宋体"/>
          <w:sz w:val="22"/>
          <w:szCs w:val="21"/>
        </w:rPr>
        <w:t xml:space="preserve">或提供服务</w:t>
      </w:r>
      <w:r>
        <w:rPr>
          <w:rFonts w:ascii="宋体" w:hAnsi="宋体" w:cs="宋体"/>
          <w:sz w:val="22"/>
          <w:szCs w:val="21"/>
        </w:rPr>
        <w:t xml:space="preserve">的；</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（2）逾期交货</w:t>
      </w:r>
      <w:r>
        <w:rPr>
          <w:rFonts w:hint="eastAsia" w:ascii="宋体" w:hAnsi="宋体" w:cs="宋体"/>
          <w:sz w:val="22"/>
          <w:szCs w:val="21"/>
        </w:rPr>
        <w:t xml:space="preserve">或提供服务</w:t>
      </w:r>
      <w:r>
        <w:rPr>
          <w:rFonts w:ascii="宋体" w:hAnsi="宋体" w:cs="宋体"/>
          <w:sz w:val="22"/>
          <w:szCs w:val="21"/>
        </w:rPr>
        <w:t xml:space="preserve">达</w:t>
      </w:r>
      <w:r>
        <w:rPr>
          <w:rFonts w:hint="eastAsia" w:ascii="宋体" w:hAnsi="宋体" w:cs="宋体"/>
          <w:sz w:val="22"/>
          <w:szCs w:val="21"/>
          <w:u w:val="single"/>
        </w:rPr>
        <w:t xml:space="preserve">30</w:t>
      </w:r>
      <w:r>
        <w:rPr>
          <w:rFonts w:ascii="宋体" w:hAnsi="宋体" w:cs="宋体"/>
          <w:sz w:val="22"/>
          <w:szCs w:val="21"/>
        </w:rPr>
        <w:t xml:space="preserve">天的；</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（3）货物</w:t>
      </w:r>
      <w:r>
        <w:rPr>
          <w:rFonts w:hint="eastAsia" w:ascii="宋体" w:hAnsi="宋体" w:cs="宋体"/>
          <w:sz w:val="22"/>
          <w:szCs w:val="21"/>
        </w:rPr>
        <w:t xml:space="preserve">、服务</w:t>
      </w:r>
      <w:r>
        <w:rPr>
          <w:rFonts w:ascii="宋体" w:hAnsi="宋体" w:cs="宋体"/>
          <w:sz w:val="22"/>
          <w:szCs w:val="21"/>
        </w:rPr>
        <w:t xml:space="preserve">质量不符合合同约定，更换一次后仍不合格的；</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（4）乙方所交产品品种、型号、规格</w:t>
      </w:r>
      <w:r>
        <w:rPr>
          <w:rFonts w:hint="eastAsia" w:ascii="宋体" w:hAnsi="宋体" w:cs="宋体"/>
          <w:sz w:val="22"/>
          <w:szCs w:val="21"/>
        </w:rPr>
        <w:t xml:space="preserve">或提供服务</w:t>
      </w:r>
      <w:r>
        <w:rPr>
          <w:rFonts w:ascii="宋体" w:hAnsi="宋体" w:cs="宋体"/>
          <w:sz w:val="22"/>
          <w:szCs w:val="21"/>
        </w:rPr>
        <w:t xml:space="preserve">等不符合约定，甲方不同意使用的；</w:t>
      </w:r>
      <w:r/>
    </w:p>
    <w:p>
      <w:pPr>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（5）经调试后产品不能通过验收的；</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w:t>
      </w:r>
      <w:r>
        <w:rPr>
          <w:rFonts w:hint="eastAsia" w:ascii="宋体" w:hAnsi="宋体" w:cs="宋体"/>
          <w:sz w:val="22"/>
          <w:szCs w:val="21"/>
        </w:rPr>
        <w:t xml:space="preserve">6</w:t>
      </w:r>
      <w:r>
        <w:rPr>
          <w:rFonts w:ascii="宋体" w:hAnsi="宋体" w:cs="宋体"/>
          <w:sz w:val="22"/>
          <w:szCs w:val="21"/>
        </w:rPr>
        <w:t xml:space="preserve">）合同约定的或者其他应当解除合同的情形。</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当乙方违约时，甲方采取维权措施时所产生的费用，包括不限于调查费、诉讼费、律师费、交通费等有关的一切费用，由乙方承担。</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甲方违约的，应当赔偿由此给乙方造成的损失，但此损失不能超过甲方在订立合同时应当预见的损失。</w:t>
      </w:r>
      <w:r/>
    </w:p>
    <w:p>
      <w:pPr>
        <w:ind w:left="420" w:firstLine="240"/>
        <w:jc w:val="left"/>
        <w:spacing w:before="123" w:line="560" w:lineRule="exact"/>
        <w:widowControl/>
        <w:rPr>
          <w:rFonts w:hint="eastAsia" w:ascii="宋体" w:hAnsi="宋体" w:cs="宋体"/>
          <w:sz w:val="22"/>
          <w:szCs w:val="21"/>
        </w:rPr>
      </w:pPr>
      <w:r>
        <w:rPr>
          <w:rFonts w:ascii="宋体" w:hAnsi="宋体" w:cs="宋体"/>
          <w:sz w:val="22"/>
          <w:szCs w:val="21"/>
        </w:rPr>
        <w:t xml:space="preserve">第十条合同的变更和终止</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10.1本合同一经签订，甲乙双方不得擅自变更、中止或终止合同。</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10.2除发生法律规定的不能预见、不能避免并不能克服的客观情况外，甲乙双方不得放弃或拒绝履行合同。</w:t>
      </w:r>
      <w:r/>
    </w:p>
    <w:p>
      <w:pPr>
        <w:ind w:left="420" w:firstLine="240"/>
        <w:jc w:val="left"/>
        <w:spacing w:before="123" w:line="560" w:lineRule="exact"/>
        <w:widowControl/>
        <w:rPr>
          <w:rFonts w:hint="eastAsia" w:ascii="宋体" w:hAnsi="宋体" w:cs="宋体"/>
          <w:sz w:val="22"/>
          <w:szCs w:val="21"/>
        </w:rPr>
      </w:pPr>
      <w:r>
        <w:rPr>
          <w:rFonts w:ascii="宋体" w:hAnsi="宋体" w:cs="宋体"/>
          <w:sz w:val="22"/>
          <w:szCs w:val="21"/>
        </w:rPr>
        <w:t xml:space="preserve">第十一条争议的解决</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11.1因履行本合同引起的或与本合同有关的争议，甲、乙双方应首先通过友好协商解决，如果协商不能解决争议，向</w:t>
      </w:r>
      <w:r>
        <w:rPr>
          <w:rFonts w:hint="eastAsia" w:ascii="宋体" w:hAnsi="宋体" w:cs="宋体"/>
          <w:sz w:val="22"/>
          <w:szCs w:val="21"/>
        </w:rPr>
        <w:t xml:space="preserve">甲方所在</w:t>
      </w:r>
      <w:r>
        <w:rPr>
          <w:rFonts w:ascii="宋体" w:hAnsi="宋体" w:cs="宋体"/>
          <w:sz w:val="22"/>
          <w:szCs w:val="21"/>
        </w:rPr>
        <w:t xml:space="preserve">地人民法院提起诉讼；</w:t>
      </w:r>
      <w:r/>
    </w:p>
    <w:p>
      <w:pPr>
        <w:ind w:left="420" w:firstLine="240"/>
        <w:jc w:val="left"/>
        <w:spacing w:before="123" w:line="560" w:lineRule="exact"/>
        <w:widowControl/>
        <w:rPr>
          <w:rFonts w:hint="eastAsia" w:ascii="宋体" w:hAnsi="宋体" w:cs="宋体"/>
          <w:sz w:val="22"/>
          <w:szCs w:val="21"/>
        </w:rPr>
      </w:pPr>
      <w:r>
        <w:rPr>
          <w:rFonts w:ascii="宋体" w:hAnsi="宋体" w:cs="宋体"/>
          <w:sz w:val="22"/>
          <w:szCs w:val="21"/>
        </w:rPr>
        <w:t xml:space="preserve">第十二条诚实信用</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12.1乙方应诚实信用，严格按照采购文件要求和承诺履行合同，不向甲方进行商业贿赂或者提供不正当利益。</w:t>
      </w:r>
      <w:r/>
    </w:p>
    <w:p>
      <w:pPr>
        <w:ind w:left="420" w:firstLine="240"/>
        <w:jc w:val="left"/>
        <w:spacing w:before="123" w:line="560" w:lineRule="exact"/>
        <w:widowControl/>
        <w:rPr>
          <w:rFonts w:hint="eastAsia" w:ascii="宋体" w:hAnsi="宋体" w:cs="宋体"/>
          <w:sz w:val="22"/>
          <w:szCs w:val="21"/>
        </w:rPr>
      </w:pPr>
      <w:r>
        <w:rPr>
          <w:rFonts w:ascii="宋体" w:hAnsi="宋体" w:cs="宋体"/>
          <w:sz w:val="22"/>
          <w:szCs w:val="21"/>
        </w:rPr>
        <w:t xml:space="preserve">第十三条合同生效及其他</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13.1本合同自签订之日起生效。</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13.2本合同一式陆份，甲方执五份，乙方执一份。</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本合同所列双方地址均为有效地址，如有变更,须书面通知对方;如无书面的变更通知,则按原地址发出的通知视为有效送达。</w:t>
      </w:r>
      <w:r/>
    </w:p>
    <w:p>
      <w:pPr>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（以下为签署页，无正文）</w:t>
      </w:r>
      <w:r/>
    </w:p>
    <w:tbl>
      <w:tblPr>
        <w:tblW w:w="9522" w:type="dxa"/>
        <w:jc w:val="center"/>
        <w:tblLayout w:type="fixed"/>
        <w:tblLook w:val="04A0" w:firstRow="1" w:lastRow="0" w:firstColumn="1" w:lastColumn="0" w:noHBand="0" w:noVBand="1"/>
      </w:tblPr>
      <w:tblGrid>
        <w:gridCol w:w="3174"/>
        <w:gridCol w:w="3174"/>
        <w:gridCol w:w="3174"/>
      </w:tblGrid>
      <w:tr>
        <w:trPr>
          <w:jc w:val="center"/>
          <w:trHeight w:val="231"/>
        </w:trPr>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甲方</w:t>
            </w:r>
            <w:r>
              <w:rPr>
                <w:rFonts w:hint="eastAsia" w:ascii="宋体" w:hAnsi="宋体" w:cs="宋体"/>
                <w:sz w:val="22"/>
                <w:szCs w:val="21"/>
              </w:rPr>
              <w:t xml:space="preserve">1</w:t>
            </w:r>
            <w:r>
              <w:rPr>
                <w:rFonts w:ascii="宋体" w:hAnsi="宋体" w:cs="宋体"/>
                <w:sz w:val="22"/>
                <w:szCs w:val="21"/>
              </w:rPr>
              <w:t xml:space="preserve">（委托方）：（盖章）</w:t>
            </w: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甲方</w:t>
            </w:r>
            <w:r>
              <w:rPr>
                <w:rFonts w:hint="eastAsia" w:ascii="宋体" w:hAnsi="宋体" w:cs="宋体"/>
                <w:sz w:val="22"/>
                <w:szCs w:val="21"/>
              </w:rPr>
              <w:t xml:space="preserve">2</w:t>
            </w:r>
            <w:r>
              <w:rPr>
                <w:rFonts w:ascii="宋体" w:hAnsi="宋体" w:cs="宋体"/>
                <w:sz w:val="22"/>
                <w:szCs w:val="21"/>
              </w:rPr>
              <w:t xml:space="preserve">（委托方）：（盖章）</w:t>
            </w: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乙方：（盖章）</w:t>
            </w:r>
            <w:r/>
          </w:p>
        </w:tc>
      </w:tr>
      <w:tr>
        <w:trPr>
          <w:jc w:val="center"/>
          <w:trHeight w:val="325"/>
        </w:trPr>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法定或委托代表人：</w:t>
            </w: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法定或委托代表人：</w:t>
            </w: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法定或委托代表人：</w:t>
            </w:r>
            <w:r/>
          </w:p>
        </w:tc>
      </w:tr>
      <w:tr>
        <w:trPr>
          <w:jc w:val="center"/>
          <w:trHeight w:val="226"/>
        </w:trPr>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地址：</w:t>
            </w: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地址：</w:t>
            </w: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地址：</w:t>
            </w:r>
            <w:r/>
          </w:p>
        </w:tc>
      </w:tr>
      <w:tr>
        <w:trPr>
          <w:jc w:val="center"/>
          <w:trHeight w:val="226"/>
        </w:trPr>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电话：</w:t>
            </w: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电话：</w:t>
            </w: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电话：</w:t>
            </w:r>
            <w:r/>
          </w:p>
        </w:tc>
      </w:tr>
      <w:tr>
        <w:trPr>
          <w:jc w:val="center"/>
          <w:trHeight w:val="254"/>
        </w:trPr>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开户银行：</w:t>
            </w: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开户银行：</w:t>
            </w: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开户银行： </w:t>
            </w:r>
            <w:r/>
          </w:p>
        </w:tc>
      </w:tr>
      <w:tr>
        <w:trPr>
          <w:jc w:val="center"/>
          <w:trHeight w:val="283"/>
        </w:trPr>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账号：</w:t>
            </w: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账号：</w:t>
            </w: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账号：</w:t>
            </w:r>
            <w:r/>
          </w:p>
        </w:tc>
      </w:tr>
      <w:tr>
        <w:trPr>
          <w:jc w:val="center"/>
          <w:trHeight w:val="515"/>
        </w:trPr>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日期：    年   月   日</w:t>
            </w: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日期：    年   月   日</w:t>
            </w: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日期：    年   月   日</w:t>
            </w:r>
            <w:r/>
          </w:p>
        </w:tc>
      </w:tr>
    </w:tbl>
    <w:p>
      <w:pPr>
        <w:jc w:val="center"/>
        <w:rPr>
          <w:rFonts w:hint="eastAsia" w:ascii="宋体" w:hAnsi="宋体" w:cs="方正小标宋简体"/>
          <w:sz w:val="32"/>
          <w:szCs w:val="32"/>
        </w:rPr>
      </w:pPr>
      <w:r>
        <w:rPr>
          <w:rFonts w:hint="eastAsia" w:ascii="宋体" w:hAnsi="宋体" w:cs="方正小标宋简体"/>
          <w:sz w:val="32"/>
          <w:szCs w:val="32"/>
        </w:rPr>
      </w:r>
      <w:r/>
    </w:p>
    <w:p>
      <w:pPr>
        <w:pStyle w:val="704"/>
        <w:jc w:val="center"/>
        <w:rPr>
          <w:rFonts w:hint="eastAsia" w:ascii="Malgun Gothic" w:hAnsi="Malgun Gothic" w:eastAsia="等线" w:cs="Malgun Gothic"/>
        </w:rPr>
      </w:pPr>
      <w:r>
        <w:br w:type="page" w:clear="all"/>
      </w:r>
      <w:bookmarkStart w:id="195" w:name="_Toc26554093"/>
      <w:r/>
      <w:bookmarkStart w:id="196" w:name="_Toc49090575"/>
      <w:r/>
      <w:bookmarkEnd w:id="188"/>
      <w:r/>
      <w:bookmarkEnd w:id="189"/>
      <w:r/>
      <w:bookmarkEnd w:id="190"/>
      <w:r/>
      <w:bookmarkEnd w:id="191"/>
      <w:r>
        <w:rPr>
          <w:rFonts w:hint="eastAsia" w:ascii="方正小标宋简体" w:hAnsi="方正小标宋简体" w:eastAsia="方正小标宋简体" w:cs="方正小标宋简体"/>
          <w:sz w:val="36"/>
          <w:szCs w:val="36"/>
        </w:rPr>
        <w:t xml:space="preserve">第四章  供货清单及使用说明</w:t>
      </w:r>
      <w:r/>
    </w:p>
    <w:p>
      <w:pPr>
        <w:jc w:val="left"/>
        <w:spacing w:before="100" w:beforeAutospacing="1" w:after="100" w:afterAutospacing="1"/>
        <w:widowControl/>
        <w:rPr>
          <w:rFonts w:hint="eastAsia" w:ascii="Noto Sans SC" w:hAnsi="Noto Sans SC" w:eastAsia="Noto Sans SC" w:cs="宋体"/>
          <w:color w:val="000000"/>
          <w:sz w:val="27"/>
          <w:szCs w:val="27"/>
        </w:rPr>
      </w:pPr>
      <w:r>
        <w:rPr>
          <w:rFonts w:hint="eastAsia" w:ascii="Noto Sans SC" w:hAnsi="Noto Sans SC" w:eastAsia="Noto Sans SC" w:cs="宋体"/>
          <w:color w:val="000000"/>
          <w:sz w:val="27"/>
          <w:szCs w:val="27"/>
        </w:rPr>
        <w:t xml:space="preserve">一、项目属性</w:t>
      </w:r>
      <w:r/>
    </w:p>
    <w:p>
      <w:pPr>
        <w:jc w:val="left"/>
        <w:spacing w:before="100" w:beforeAutospacing="1" w:after="100" w:afterAutospacing="1"/>
        <w:widowControl/>
        <w:rPr>
          <w:rFonts w:hint="eastAsia" w:ascii="宋体" w:hAnsi="宋体" w:cs="宋体"/>
          <w:sz w:val="22"/>
          <w:szCs w:val="24"/>
        </w:rPr>
      </w:pPr>
      <w:r>
        <w:rPr>
          <w:rFonts w:hint="eastAsia" w:ascii="宋体" w:hAnsi="宋体" w:cs="宋体"/>
          <w:sz w:val="22"/>
          <w:szCs w:val="24"/>
        </w:rPr>
        <w:t xml:space="preserve">货物类项目。</w:t>
      </w:r>
      <w:r/>
    </w:p>
    <w:p>
      <w:pPr>
        <w:jc w:val="left"/>
        <w:spacing w:before="100" w:beforeAutospacing="1" w:after="100" w:afterAutospacing="1"/>
        <w:widowControl/>
        <w:rPr>
          <w:rFonts w:hint="eastAsia" w:ascii="Noto Sans SC" w:hAnsi="Noto Sans SC" w:eastAsia="Noto Sans SC" w:cs="宋体"/>
          <w:color w:val="000000"/>
          <w:sz w:val="27"/>
          <w:szCs w:val="27"/>
        </w:rPr>
      </w:pPr>
      <w:r>
        <w:rPr>
          <w:rFonts w:hint="eastAsia" w:ascii="Noto Sans SC" w:hAnsi="Noto Sans SC" w:eastAsia="Noto Sans SC" w:cs="宋体"/>
          <w:color w:val="000000"/>
          <w:sz w:val="27"/>
          <w:szCs w:val="27"/>
        </w:rPr>
        <w:t xml:space="preserve">二、项目概况</w:t>
      </w:r>
      <w:r/>
    </w:p>
    <w:p>
      <w:pPr>
        <w:jc w:val="left"/>
        <w:spacing w:before="100" w:beforeAutospacing="1" w:after="100" w:afterAutospacing="1"/>
        <w:widowControl/>
        <w:rPr>
          <w:rFonts w:hint="eastAsia" w:ascii="宋体" w:hAnsi="宋体" w:cs="宋体"/>
          <w:sz w:val="22"/>
          <w:szCs w:val="24"/>
        </w:rPr>
      </w:pPr>
      <w:r>
        <w:rPr>
          <w:rFonts w:hint="eastAsia" w:ascii="宋体" w:hAnsi="宋体" w:cs="宋体"/>
          <w:sz w:val="22"/>
          <w:szCs w:val="24"/>
        </w:rPr>
        <w:t xml:space="preserve">湖熟街道丹桂社区丹桂农事服务中心项目（大米加工项目）。</w:t>
      </w:r>
      <w:r/>
    </w:p>
    <w:p>
      <w:pPr>
        <w:jc w:val="left"/>
        <w:spacing w:before="100" w:beforeAutospacing="1" w:after="100" w:afterAutospacing="1"/>
        <w:widowControl/>
        <w:rPr>
          <w:rFonts w:hint="eastAsia" w:ascii="Noto Sans SC" w:hAnsi="Noto Sans SC" w:eastAsia="Noto Sans SC" w:cs="宋体"/>
          <w:color w:val="000000"/>
          <w:sz w:val="27"/>
          <w:szCs w:val="27"/>
        </w:rPr>
      </w:pPr>
      <w:r>
        <w:rPr>
          <w:rFonts w:hint="eastAsia" w:ascii="Noto Sans SC" w:hAnsi="Noto Sans SC" w:eastAsia="Noto Sans SC" w:cs="宋体"/>
          <w:color w:val="000000"/>
          <w:sz w:val="27"/>
          <w:szCs w:val="27"/>
        </w:rPr>
        <w:t xml:space="preserve">三、项目清单</w:t>
      </w:r>
      <w:r/>
    </w:p>
    <w:tbl>
      <w:tblPr>
        <w:tblW w:w="104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76"/>
        <w:gridCol w:w="1046"/>
        <w:gridCol w:w="1599"/>
        <w:gridCol w:w="4187"/>
        <w:gridCol w:w="696"/>
        <w:gridCol w:w="549"/>
        <w:gridCol w:w="1532"/>
      </w:tblGrid>
      <w:tr>
        <w:trPr>
          <w:jc w:val="center"/>
          <w:trHeight w:val="480"/>
        </w:trPr>
        <w:tc>
          <w:tcPr>
            <w:tcW w:w="876" w:type="dxa"/>
            <w:vAlign w:val="center"/>
            <w:textDirection w:val="lrTb"/>
            <w:noWrap/>
          </w:tcPr>
          <w:p>
            <w:pPr>
              <w:jc w:val="center"/>
              <w:widowControl/>
              <w:rPr>
                <w:rFonts w:hint="eastAsia" w:ascii="宋体" w:hAnsi="宋体" w:cs="宋体"/>
                <w:sz w:val="22"/>
                <w:szCs w:val="24"/>
              </w:rPr>
            </w:pPr>
            <w:r/>
            <w:bookmarkStart w:id="197" w:name="OLE_LINK3"/>
            <w:r>
              <w:rPr>
                <w:rFonts w:hint="eastAsia" w:ascii="宋体" w:hAnsi="宋体" w:cs="宋体"/>
                <w:sz w:val="22"/>
                <w:szCs w:val="24"/>
              </w:rPr>
              <w:t xml:space="preserve">序号</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t xml:space="preserve">名称</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t xml:space="preserve">规格型号</w:t>
            </w:r>
            <w:r/>
          </w:p>
        </w:tc>
        <w:tc>
          <w:tcPr>
            <w:tcW w:w="4187"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t xml:space="preserve">技术参数</w:t>
            </w:r>
            <w:r/>
          </w:p>
        </w:tc>
        <w:tc>
          <w:tcPr>
            <w:tcW w:w="696"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数量</w:t>
            </w:r>
            <w:r/>
          </w:p>
        </w:tc>
        <w:tc>
          <w:tcPr>
            <w:tcW w:w="549"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单位</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t xml:space="preserve">备注</w:t>
            </w:r>
            <w:r/>
          </w:p>
        </w:tc>
      </w:tr>
      <w:tr>
        <w:trPr>
          <w:jc w:val="center"/>
          <w:trHeight w:val="480"/>
        </w:trPr>
        <w:tc>
          <w:tcPr>
            <w:gridSpan w:val="7"/>
            <w:tcW w:w="10485"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大米车间</w:t>
            </w:r>
            <w:r/>
          </w:p>
        </w:tc>
      </w:tr>
      <w:tr>
        <w:trPr>
          <w:jc w:val="center"/>
          <w:trHeight w:val="480"/>
        </w:trPr>
        <w:tc>
          <w:tcPr>
            <w:gridSpan w:val="7"/>
            <w:tcW w:w="10485" w:type="dxa"/>
            <w:vAlign w:val="center"/>
            <w:textDirection w:val="lrTb"/>
            <w:noWrap/>
          </w:tcPr>
          <w:p>
            <w:pPr>
              <w:jc w:val="left"/>
              <w:widowControl/>
              <w:rPr>
                <w:rFonts w:hint="eastAsia" w:ascii="宋体" w:hAnsi="宋体" w:cs="宋体"/>
                <w:sz w:val="22"/>
                <w:szCs w:val="24"/>
              </w:rPr>
            </w:pPr>
            <w:r>
              <w:rPr>
                <w:rFonts w:hint="eastAsia" w:ascii="宋体" w:hAnsi="宋体" w:cs="宋体"/>
                <w:sz w:val="22"/>
                <w:szCs w:val="24"/>
              </w:rPr>
              <w:t xml:space="preserve">一、原粮接收</w:t>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1</w:t>
            </w:r>
            <w:r/>
          </w:p>
        </w:tc>
        <w:tc>
          <w:tcPr>
            <w:tcW w:w="1046"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小型吸粮机</w:t>
            </w:r>
            <w:r/>
          </w:p>
        </w:tc>
        <w:tc>
          <w:tcPr>
            <w:tcW w:w="1599"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JL160型</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1、管径规格：6寸管，长度15米，功率5.5KW；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2、外管材质：耐磨牛筋管；</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▲3、螺旋叶片材质：猛钢；</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4、移动灵活，便于转场作业。</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1、设备整体就位；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2、空载试机及调试；</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3、报价包含现场安装费、人工费、材料费、机械费、管理费、利润、措施项目费、规费、质保费及税金。</w:t>
            </w:r>
            <w:r/>
          </w:p>
        </w:tc>
        <w:tc>
          <w:tcPr>
            <w:tcW w:w="696" w:type="dxa"/>
            <w:vAlign w:val="center"/>
            <w:textDirection w:val="lrTb"/>
            <w:noWrap/>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549" w:type="dxa"/>
            <w:vAlign w:val="center"/>
            <w:textDirection w:val="lrTb"/>
            <w:noWrap/>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t xml:space="preserve">核心产品</w:t>
            </w:r>
            <w:r/>
          </w:p>
        </w:tc>
      </w:tr>
      <w:tr>
        <w:trPr>
          <w:jc w:val="center"/>
          <w:trHeight w:val="480"/>
        </w:trPr>
        <w:tc>
          <w:tcPr>
            <w:gridSpan w:val="7"/>
            <w:tcW w:w="10485"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t xml:space="preserve">二、稻谷清理工段</w:t>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1</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原粮仓</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10T</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▲1、容量：≥10吨；</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2、支撑结构：采用100×100mm方管立柱；</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3、下椎体：厚度≥4mm碳钢板制作；</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4、仓板：厚度≥2mm碳钢板；</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5、表面处理：除锈后喷塑，颜色由招标人指定。</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1、仓体现场拼装、焊接、就位；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2、含配套手动闸门安装；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3、报价包含现场安装费、人工费、材料费、机械费、管理费、利润、措施项目费、规费、税金。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2</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提升机</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TDTG20/13</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▲1、产量：3-4t/h（稻谷）；</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2、高度：≥7米；</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3、配套动力：≥1.1KW；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4、畚斗型号：DS1311，材质为聚乙烯；</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5、机筒材质：≥1.8mm冷轧钢板。</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1、设备吊装、就位、垂直度校正；</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3</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提升机</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TDTGW3</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▲1、产量：3-4t/h；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2、线速度：≤0.6m/s（低速防破碎）；</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3、高度：≥7米；</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4、配套动力：≥0.75KW；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5、畚斗型号：DM1010，材质为聚乙烯；</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6、配置自动皮带张紧装置。</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2、电机接线及张紧装置调试；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4</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毛稻斗+围栏</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1、材质：碳钢，板材厚度≥1.5mm；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2、制作安装严格按设计施工图及规范要求；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3、焊缝饱满，无虚焊、漏焊；</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4、表面喷塑处理。</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1、现场制作、焊接、安装；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5</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组合清理去石机</w:t>
            </w:r>
            <w:r/>
          </w:p>
        </w:tc>
        <w:tc>
          <w:tcPr>
            <w:tcW w:w="15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TQLQ56</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▲1、产量：1.5-2t/h；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2、功率：3.3kw；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3、吸风量：45m³/min；</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4、振幅：3-5mm；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5、含防护罩和面板；</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6、去石效率：≥98%。</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2、与风网管道连接；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4、报价包含安装费、人工费、材料费、机械费、管理费、利润、措施项目费、规费、税金。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t xml:space="preserve">核心产品</w:t>
            </w:r>
            <w:r/>
          </w:p>
        </w:tc>
      </w:tr>
      <w:tr>
        <w:trPr>
          <w:jc w:val="center"/>
          <w:trHeight w:val="480"/>
        </w:trPr>
        <w:tc>
          <w:tcPr>
            <w:gridSpan w:val="7"/>
            <w:tcW w:w="10485"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t xml:space="preserve">三、砻谷清理工段</w:t>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砻谷机</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MLGT20</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1、结构型式：橡胶滚筒式，含防护罩；</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2、橡胶辊尺寸：ø225*200mm；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▲3、产量：1.4-2t/h（稻谷）；</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4、脱壳率：≥85%；</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5、破碎率增值：≤2%；</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6、功率：5.5kw；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7、主要部件材质：箱体采用钢板焊接，厚度≥2mm，表面喷塑处理。</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1、砻谷机本体吊装、就位；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2、配套电机及防护罩安装；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3、设备调试及试运转；</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4、报价包含现场安装费、人工费、材料费、机械费、管理费、利润、措施项目费、规费、税金。</w:t>
            </w:r>
            <w:r/>
          </w:p>
        </w:tc>
        <w:tc>
          <w:tcPr>
            <w:tcW w:w="696" w:type="dxa"/>
            <w:vAlign w:val="center"/>
            <w:textDirection w:val="lrTb"/>
            <w:noWrap/>
          </w:tcPr>
          <w:p>
            <w:pPr>
              <w:jc w:val="center"/>
            </w:pPr>
            <w:r>
              <w:rPr>
                <w:rFonts w:hint="eastAsia"/>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t xml:space="preserve">核心产品</w:t>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2</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谷糙分离筛</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MGCZ70×6</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▲1、产量：≥2.0t/h；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2、分离板安装倾角：横向6-6.5°，纵向14-18°；</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3、主轴转速：≥258rpm；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4、含防护罩、围板。</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W w:w="696" w:type="dxa"/>
            <w:vAlign w:val="center"/>
            <w:textDirection w:val="lrTb"/>
            <w:noWrap/>
          </w:tcPr>
          <w:p>
            <w:pPr>
              <w:jc w:val="center"/>
            </w:pPr>
            <w:r>
              <w:rPr>
                <w:rFonts w:hint="eastAsia"/>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t xml:space="preserve">核心产品</w:t>
            </w:r>
            <w:r/>
          </w:p>
        </w:tc>
      </w:tr>
      <w:tr>
        <w:trPr>
          <w:jc w:val="center"/>
          <w:trHeight w:val="480"/>
        </w:trPr>
        <w:tc>
          <w:tcPr>
            <w:gridSpan w:val="7"/>
            <w:tcW w:w="10485" w:type="dxa"/>
            <w:vAlign w:val="center"/>
            <w:textDirection w:val="lrTb"/>
            <w:noWrap/>
          </w:tcPr>
          <w:p>
            <w:pPr>
              <w:widowControl/>
              <w:tabs>
                <w:tab w:val="left" w:pos="1101" w:leader="none"/>
              </w:tabs>
              <w:rPr>
                <w:rFonts w:hint="eastAsia" w:ascii="宋体" w:hAnsi="宋体" w:cs="宋体"/>
                <w:sz w:val="22"/>
                <w:szCs w:val="24"/>
              </w:rPr>
            </w:pPr>
            <w:r>
              <w:rPr>
                <w:rFonts w:hint="eastAsia" w:ascii="宋体" w:hAnsi="宋体" w:cs="宋体"/>
                <w:sz w:val="22"/>
                <w:szCs w:val="24"/>
              </w:rPr>
              <w:t xml:space="preserve">四、碾米工段</w:t>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砂辊碾米机</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MNMS15F</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1、结构型式：含电机架和防护罩；</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▲2、产量：1.5-2t/h；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3、破碎率增值：≤15%；</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4、配套动力：15-22kw；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5、主轴转速：≈1400rpm；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6、砂辊尺寸：≥Φ150*400mm；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7、自带风机风量：≥1200m3/h，风机电机功率：≥1.1kw；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8、材质要求：机架采用厚壁方管焊接，表面喷塑；与米粒接触部位采用不锈钢或经防腐处理。</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1、碾米机本体及自带风机就位安装；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3、报价包含现场安装费、人工费、材料费、机械费、管理费、利润、措施项目费、规费、税金。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2</w:t>
            </w:r>
            <w:r/>
          </w:p>
        </w:tc>
        <w:tc>
          <w:tcPr>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t xml:space="preserve">核心产品</w:t>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2</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砂铁辊两用米机</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TQN128</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▲1、产量：1-1.5t/h；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2、动力：15-22kw；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3、主轴转速：≥900rpm；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4、辊筒尺寸：≥Φ122×350mm。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3</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白米分级筛</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MMJP63*3</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▲1、进机流量：≥1.25t/h；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2、筛面层数：≥3层；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3、偏心距：≥40mm；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4、转速：150±15rpm；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5、筛面倾角：≥1.2°；</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6、含白米筛分配器。</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2、分配器及溜管连接；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4、报价包含安装费、人工费、材料费、机械费、管理费、利润、措施项目费、规费、税金。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t xml:space="preserve">核心产品</w:t>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4</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提升机</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TDTGW3</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▲1、产量：3-4t/h；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2、线速度：≤0.6m/s（低速防破碎）；</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3、高度：≥6米；</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4、配套动力：≥0.75KW；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5、畚斗型号：DM1010，材质聚乙烯；</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6、配置自动皮带张紧装置。</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6</w:t>
            </w:r>
            <w:r/>
          </w:p>
        </w:tc>
        <w:tc>
          <w:tcPr>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7"/>
            <w:tcW w:w="10485"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t xml:space="preserve">五、色选、抛光工段</w:t>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大米抛光机</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MPGW15</w:t>
            </w:r>
            <w:r/>
          </w:p>
        </w:tc>
        <w:tc>
          <w:tcPr>
            <w:tcW w:w="4187" w:type="dxa"/>
            <w:vAlign w:val="center"/>
            <w:textDirection w:val="lrTb"/>
            <w:noWrap w:val="false"/>
          </w:tcPr>
          <w:p>
            <w:pPr>
              <w:jc w:val="left"/>
              <w:widowControl/>
              <w:rPr>
                <w:rFonts w:hint="eastAsia" w:ascii="宋体" w:hAnsi="宋体" w:cs="宋体"/>
                <w:color w:val="000000"/>
                <w:sz w:val="20"/>
                <w:szCs w:val="20"/>
                <w:lang w:bidi="ar"/>
              </w:rPr>
            </w:pPr>
            <w:r>
              <w:rPr>
                <w:rFonts w:ascii="宋体" w:hAnsi="宋体" w:cs="宋体"/>
                <w:color w:val="000000"/>
                <w:sz w:val="20"/>
                <w:szCs w:val="20"/>
                <w:lang w:bidi="ar"/>
              </w:rPr>
              <w:t xml:space="preserve">一、技术要求</w:t>
            </w:r>
            <w:r/>
          </w:p>
          <w:p>
            <w:pPr>
              <w:jc w:val="left"/>
              <w:widowControl/>
              <w:rPr>
                <w:rFonts w:hint="eastAsia" w:ascii="宋体" w:hAnsi="宋体" w:cs="宋体"/>
                <w:color w:val="000000"/>
                <w:sz w:val="20"/>
                <w:szCs w:val="20"/>
                <w:lang w:bidi="ar"/>
              </w:rPr>
            </w:pPr>
            <w:r>
              <w:rPr>
                <w:rFonts w:ascii="宋体" w:hAnsi="宋体" w:cs="宋体"/>
                <w:color w:val="000000"/>
                <w:sz w:val="20"/>
                <w:szCs w:val="20"/>
                <w:lang w:bidi="ar"/>
              </w:rPr>
              <w:t xml:space="preserve">▲1、额定产量：1.5-2t/h；</w:t>
            </w:r>
            <w:r/>
          </w:p>
          <w:p>
            <w:pPr>
              <w:jc w:val="left"/>
              <w:widowControl/>
              <w:rPr>
                <w:rFonts w:hint="eastAsia" w:ascii="宋体" w:hAnsi="宋体" w:cs="宋体"/>
                <w:color w:val="000000"/>
                <w:sz w:val="20"/>
                <w:szCs w:val="20"/>
                <w:lang w:bidi="ar"/>
              </w:rPr>
            </w:pPr>
            <w:r>
              <w:rPr>
                <w:rFonts w:ascii="宋体" w:hAnsi="宋体" w:cs="宋体"/>
                <w:color w:val="000000"/>
                <w:sz w:val="20"/>
                <w:szCs w:val="20"/>
                <w:lang w:bidi="ar"/>
              </w:rPr>
              <w:t xml:space="preserve">2、主轴转速：≥750r/min；</w:t>
            </w:r>
            <w:r/>
          </w:p>
          <w:p>
            <w:pPr>
              <w:jc w:val="left"/>
              <w:widowControl/>
              <w:rPr>
                <w:rFonts w:hint="eastAsia" w:ascii="宋体" w:hAnsi="宋体" w:cs="宋体"/>
                <w:color w:val="000000"/>
                <w:sz w:val="20"/>
                <w:szCs w:val="20"/>
                <w:lang w:bidi="ar"/>
              </w:rPr>
            </w:pPr>
            <w:r>
              <w:rPr>
                <w:rFonts w:ascii="宋体" w:hAnsi="宋体" w:cs="宋体"/>
                <w:color w:val="000000"/>
                <w:sz w:val="20"/>
                <w:szCs w:val="20"/>
                <w:lang w:bidi="ar"/>
              </w:rPr>
              <w:t xml:space="preserve">3、额定吸风量：≥1200m³/h，风压2500Pa。</w:t>
            </w:r>
            <w:r/>
          </w:p>
          <w:p>
            <w:pPr>
              <w:jc w:val="left"/>
              <w:widowControl/>
              <w:rPr>
                <w:rFonts w:hint="eastAsia" w:ascii="宋体" w:hAnsi="宋体" w:cs="宋体"/>
                <w:color w:val="000000"/>
                <w:sz w:val="20"/>
                <w:szCs w:val="20"/>
                <w:lang w:bidi="ar"/>
              </w:rPr>
            </w:pPr>
            <w:r>
              <w:rPr>
                <w:rFonts w:ascii="宋体" w:hAnsi="宋体" w:cs="宋体"/>
                <w:color w:val="000000"/>
                <w:sz w:val="20"/>
                <w:szCs w:val="20"/>
                <w:lang w:bidi="ar"/>
              </w:rPr>
              <w:t xml:space="preserve">二、工作内容及报价范围</w:t>
            </w:r>
            <w:r/>
          </w:p>
          <w:p>
            <w:pPr>
              <w:jc w:val="left"/>
              <w:widowControl/>
              <w:rPr>
                <w:rFonts w:hint="eastAsia" w:ascii="宋体" w:hAnsi="宋体" w:cs="宋体"/>
                <w:color w:val="000000"/>
                <w:sz w:val="20"/>
                <w:szCs w:val="20"/>
                <w:lang w:bidi="ar"/>
              </w:rPr>
            </w:pPr>
            <w:r>
              <w:rPr>
                <w:rFonts w:ascii="宋体" w:hAnsi="宋体" w:cs="宋体"/>
                <w:color w:val="000000"/>
                <w:sz w:val="20"/>
                <w:szCs w:val="20"/>
                <w:lang w:bidi="ar"/>
              </w:rPr>
              <w:t xml:space="preserve">1、设备吊装就位；</w:t>
            </w:r>
            <w:r/>
          </w:p>
          <w:p>
            <w:pPr>
              <w:jc w:val="left"/>
              <w:widowControl/>
              <w:rPr>
                <w:rFonts w:hint="eastAsia" w:ascii="宋体" w:hAnsi="宋体" w:cs="宋体"/>
                <w:color w:val="000000"/>
                <w:sz w:val="20"/>
                <w:szCs w:val="20"/>
                <w:lang w:bidi="ar"/>
              </w:rPr>
            </w:pPr>
            <w:r>
              <w:rPr>
                <w:rFonts w:ascii="宋体" w:hAnsi="宋体" w:cs="宋体"/>
                <w:color w:val="000000"/>
                <w:sz w:val="20"/>
                <w:szCs w:val="20"/>
                <w:lang w:bidi="ar"/>
              </w:rPr>
              <w:t xml:space="preserve">2、与风网管道连接；</w:t>
            </w:r>
            <w:r/>
          </w:p>
          <w:p>
            <w:pPr>
              <w:jc w:val="left"/>
              <w:widowControl/>
              <w:rPr>
                <w:rFonts w:hint="eastAsia" w:ascii="宋体" w:hAnsi="宋体" w:cs="宋体"/>
                <w:color w:val="000000"/>
                <w:sz w:val="20"/>
                <w:szCs w:val="20"/>
                <w:lang w:bidi="ar"/>
              </w:rPr>
            </w:pPr>
            <w:r>
              <w:rPr>
                <w:rFonts w:ascii="宋体" w:hAnsi="宋体" w:cs="宋体"/>
                <w:color w:val="000000"/>
                <w:sz w:val="20"/>
                <w:szCs w:val="20"/>
                <w:lang w:bidi="ar"/>
              </w:rPr>
              <w:t xml:space="preserve">3、电机接线及调试；</w:t>
            </w:r>
            <w:r/>
          </w:p>
          <w:p>
            <w:pPr>
              <w:jc w:val="left"/>
              <w:widowControl/>
              <w:rPr>
                <w:rFonts w:hint="eastAsia" w:ascii="宋体" w:hAnsi="宋体" w:cs="宋体"/>
                <w:sz w:val="22"/>
                <w:szCs w:val="24"/>
              </w:rPr>
            </w:pPr>
            <w:r>
              <w:rPr>
                <w:rFonts w:ascii="宋体" w:hAnsi="宋体" w:cs="宋体"/>
                <w:color w:val="000000"/>
                <w:sz w:val="20"/>
                <w:szCs w:val="20"/>
                <w:lang w:bidi="ar"/>
              </w:rPr>
              <w:t xml:space="preserve">4、报价包含安装费、人工费、材料费、机械费、管理费、利润、措施项目费、规费、税金。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t xml:space="preserve">核心产品</w:t>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2</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提升机</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TDTGW3</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▲1、产量：3-4t/h；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2、线速度：≤0.6m/s；</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3、高度：≥6米；</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4、配套动力：≥0.75KW；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5、畚斗：DM1010聚乙烯畚斗，自动皮带张紧装置。</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3</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不锈钢气动三通</w:t>
            </w:r>
            <w:r/>
          </w:p>
        </w:tc>
        <w:tc>
          <w:tcPr>
            <w:tcW w:w="1599" w:type="dxa"/>
            <w:vAlign w:val="center"/>
            <w:textDirection w:val="lrTb"/>
            <w:noWrap w:val="false"/>
          </w:tcPr>
          <w:p>
            <w:pPr>
              <w:jc w:val="center"/>
              <w:rPr>
                <w:rFonts w:hint="eastAsia" w:ascii="宋体" w:hAnsi="宋体" w:cs="宋体"/>
                <w:sz w:val="22"/>
                <w:szCs w:val="24"/>
              </w:rPr>
            </w:pPr>
            <w:r>
              <w:rPr>
                <w:rFonts w:hint="eastAsia" w:ascii="宋体" w:hAnsi="宋体" w:cs="宋体"/>
                <w:sz w:val="22"/>
                <w:szCs w:val="24"/>
              </w:rPr>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1、控制方式：气动控制，双电磁阀及行程开关，控制电压24V；</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2、材质：不锈钢；</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▲3、电磁阀、气缸品牌：亚德客、SMC、诺冠或同等及以上品牌；（建议去掉）</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4、密封可靠，不漏料。</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1、三通本体及气动元件安装；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2、气路及电路连接；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3、调试及密封检查；</w:t>
            </w:r>
            <w:r/>
          </w:p>
          <w:p>
            <w:pPr>
              <w:jc w:val="left"/>
              <w:widowControl/>
              <w:rPr>
                <w:rFonts w:hint="eastAsia" w:ascii="宋体" w:hAnsi="宋体" w:cs="宋体"/>
                <w:sz w:val="22"/>
                <w:szCs w:val="24"/>
              </w:rPr>
            </w:pPr>
            <w:r>
              <w:rPr>
                <w:rFonts w:hint="eastAsia" w:ascii="宋体" w:hAnsi="宋体" w:cs="宋体"/>
                <w:sz w:val="20"/>
                <w:szCs w:val="20"/>
                <w:lang w:bidi="ar"/>
              </w:rPr>
              <w:t xml:space="preserve">4、报价包含安装费、人工费、材料费、机械费、管理费、利润、措施项目费、规费、税金。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3</w:t>
            </w:r>
            <w:r/>
          </w:p>
        </w:tc>
        <w:tc>
          <w:tcPr>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4</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大米色选机</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MSXC-160</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▲1、产量：1.5-2t/h；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2、结构型式：溜板式，槽式溜板；</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3、总执行单元数：160；</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4、传感器型式：彩色线阵CCD；</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5、色选精度：≥99.9%，带出比：≤5:1。</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2、与空压机气路连接、电气接线；</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3、光学系统调试及色选参数设定；</w:t>
            </w:r>
            <w:r/>
          </w:p>
          <w:p>
            <w:pPr>
              <w:jc w:val="left"/>
              <w:widowControl/>
              <w:rPr>
                <w:rFonts w:hint="eastAsia" w:ascii="宋体" w:hAnsi="宋体" w:cs="宋体"/>
                <w:sz w:val="22"/>
                <w:szCs w:val="24"/>
              </w:rPr>
            </w:pPr>
            <w:r>
              <w:rPr>
                <w:rFonts w:hint="eastAsia" w:ascii="宋体" w:hAnsi="宋体" w:cs="宋体"/>
                <w:sz w:val="20"/>
                <w:szCs w:val="20"/>
                <w:lang w:bidi="ar"/>
              </w:rPr>
              <w:t xml:space="preserve">4、报价包含安装费、人工费、材料费、机械费、管理费、利润、措施项目费、规费、税金。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t xml:space="preserve">核心产品</w:t>
            </w:r>
            <w:r/>
          </w:p>
        </w:tc>
      </w:tr>
      <w:tr>
        <w:trPr>
          <w:jc w:val="center"/>
          <w:trHeight w:val="480"/>
        </w:trPr>
        <w:tc>
          <w:tcPr>
            <w:gridSpan w:val="7"/>
            <w:tcW w:w="10485"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t xml:space="preserve">六、成品打包工段</w:t>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两面六面真空一体机</w:t>
            </w:r>
            <w:r/>
          </w:p>
        </w:tc>
        <w:tc>
          <w:tcPr>
            <w:tcW w:w="15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ZK-Y</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1、称重范围：两面1-5kg，六面0.5-5kg；</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▲2、包装速度：两面≥220包/h，六面≥260包/h；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3、准确度等级：X（0.2）；</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4、分度值：2g。</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2、电气接线及气路连接；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3、计量校准及包装试机；</w:t>
            </w:r>
            <w:r/>
          </w:p>
          <w:p>
            <w:pPr>
              <w:jc w:val="left"/>
              <w:widowControl/>
              <w:rPr>
                <w:rFonts w:hint="eastAsia" w:ascii="宋体" w:hAnsi="宋体" w:cs="宋体"/>
                <w:sz w:val="20"/>
                <w:szCs w:val="20"/>
              </w:rPr>
            </w:pPr>
            <w:r>
              <w:rPr>
                <w:rFonts w:hint="eastAsia" w:ascii="宋体" w:hAnsi="宋体" w:cs="宋体"/>
                <w:sz w:val="20"/>
                <w:szCs w:val="20"/>
                <w:lang w:bidi="ar"/>
              </w:rPr>
              <w:t xml:space="preserve">4、报价包含安装费、人工费、材料费、机械费、管理费、利润、措施项目费、规费、税金。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t xml:space="preserve">核心产品</w:t>
            </w:r>
            <w:r/>
          </w:p>
        </w:tc>
      </w:tr>
      <w:tr>
        <w:trPr>
          <w:jc w:val="center"/>
          <w:trHeight w:val="480"/>
        </w:trPr>
        <w:tc>
          <w:tcPr>
            <w:gridSpan w:val="7"/>
            <w:tcW w:w="10485"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t xml:space="preserve">七、风网</w:t>
            </w:r>
            <w:r/>
          </w:p>
        </w:tc>
      </w:tr>
      <w:tr>
        <w:trPr>
          <w:jc w:val="center"/>
          <w:trHeight w:val="524"/>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（一）</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粉碎机及风网部分</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W w:w="4187"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W w:w="696" w:type="dxa"/>
            <w:vAlign w:val="center"/>
            <w:textDirection w:val="lrTb"/>
            <w:noWrap/>
          </w:tcPr>
          <w:p>
            <w:pPr>
              <w:jc w:val="center"/>
            </w:pPr>
            <w:r/>
            <w:r/>
          </w:p>
        </w:tc>
        <w:tc>
          <w:tcPr>
            <w:tcW w:w="549" w:type="dxa"/>
            <w:vAlign w:val="center"/>
            <w:textDirection w:val="lrTb"/>
            <w:noWrap/>
          </w:tcPr>
          <w:p>
            <w:pPr>
              <w:jc w:val="center"/>
            </w:pPr>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粉碎机</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9FQ50-40</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1、配用动力：22kw；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2、主轴转速：3440rpm；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3、转子工作直径：500mm；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4、锤片数量：24片；</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5、粉碎室宽度：400mm。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3、与风网管道连接；</w:t>
            </w:r>
            <w:r/>
          </w:p>
          <w:p>
            <w:pPr>
              <w:jc w:val="left"/>
              <w:widowControl/>
              <w:rPr>
                <w:rFonts w:hint="eastAsia" w:ascii="宋体" w:hAnsi="宋体" w:cs="宋体"/>
                <w:sz w:val="22"/>
                <w:szCs w:val="24"/>
              </w:rPr>
            </w:pPr>
            <w:r>
              <w:rPr>
                <w:rFonts w:hint="eastAsia" w:ascii="宋体" w:hAnsi="宋体" w:cs="宋体"/>
                <w:sz w:val="20"/>
                <w:szCs w:val="20"/>
                <w:lang w:bidi="ar"/>
              </w:rPr>
              <w:t xml:space="preserve">4、报价包含安装费、人工费、材料费、机械费、管理费、利润、措施项目费、规费、税金。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2</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粉碎糠仓</w:t>
            </w:r>
            <w:r/>
          </w:p>
        </w:tc>
        <w:tc>
          <w:tcPr>
            <w:tcW w:w="1599" w:type="dxa"/>
            <w:vAlign w:val="center"/>
            <w:textDirection w:val="lrTb"/>
            <w:noWrap w:val="false"/>
          </w:tcPr>
          <w:p>
            <w:pPr>
              <w:jc w:val="center"/>
              <w:rPr>
                <w:rFonts w:hint="eastAsia" w:ascii="宋体" w:hAnsi="宋体" w:cs="宋体"/>
                <w:sz w:val="22"/>
                <w:szCs w:val="24"/>
              </w:rPr>
            </w:pPr>
            <w:r>
              <w:rPr>
                <w:rFonts w:hint="eastAsia" w:ascii="宋体" w:hAnsi="宋体" w:cs="宋体"/>
                <w:sz w:val="22"/>
                <w:szCs w:val="24"/>
              </w:rPr>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1、规格尺寸：1.5×1.5×4米；</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2、材质：碳钢结构，钢板厚度≥2mm；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3、表面喷塑处理。</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1、现场拼装、焊接、就位；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3</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下糠器</w:t>
            </w:r>
            <w:r/>
          </w:p>
        </w:tc>
        <w:tc>
          <w:tcPr>
            <w:tcW w:w="1599" w:type="dxa"/>
            <w:vAlign w:val="center"/>
            <w:textDirection w:val="lrTb"/>
            <w:noWrap w:val="false"/>
          </w:tcPr>
          <w:p>
            <w:pPr>
              <w:jc w:val="center"/>
              <w:rPr>
                <w:rFonts w:hint="eastAsia" w:ascii="宋体" w:hAnsi="宋体" w:cs="宋体"/>
                <w:sz w:val="22"/>
                <w:szCs w:val="24"/>
              </w:rPr>
            </w:pPr>
            <w:r>
              <w:rPr>
                <w:rFonts w:hint="eastAsia" w:ascii="宋体" w:hAnsi="宋体" w:cs="宋体"/>
                <w:sz w:val="22"/>
                <w:szCs w:val="24"/>
              </w:rPr>
            </w:r>
            <w:r/>
          </w:p>
        </w:tc>
        <w:tc>
          <w:tcPr>
            <w:tcW w:w="4187" w:type="dxa"/>
            <w:vAlign w:val="center"/>
            <w:textDirection w:val="lrTb"/>
            <w:noWrap w:val="false"/>
          </w:tcPr>
          <w:p>
            <w:pPr>
              <w:jc w:val="left"/>
              <w:rPr>
                <w:rFonts w:hint="eastAsia" w:ascii="宋体" w:hAnsi="宋体" w:cs="宋体"/>
                <w:sz w:val="22"/>
                <w:szCs w:val="24"/>
              </w:rPr>
            </w:pPr>
            <w:r>
              <w:rPr>
                <w:rFonts w:hint="eastAsia" w:ascii="宋体" w:hAnsi="宋体" w:cs="宋体"/>
                <w:sz w:val="22"/>
                <w:szCs w:val="24"/>
              </w:rPr>
              <w:t xml:space="preserve">一、技术要求</w:t>
            </w:r>
            <w:r/>
          </w:p>
          <w:p>
            <w:pPr>
              <w:jc w:val="left"/>
              <w:rPr>
                <w:rFonts w:hint="eastAsia" w:ascii="宋体" w:hAnsi="宋体" w:cs="宋体"/>
                <w:sz w:val="22"/>
                <w:szCs w:val="24"/>
              </w:rPr>
            </w:pPr>
            <w:r>
              <w:rPr>
                <w:rFonts w:hint="eastAsia" w:ascii="宋体" w:hAnsi="宋体" w:cs="宋体"/>
                <w:sz w:val="22"/>
                <w:szCs w:val="24"/>
              </w:rPr>
              <w:t xml:space="preserve">1、满足粉碎糠仓均匀下料要求；</w:t>
            </w:r>
            <w:r/>
          </w:p>
          <w:p>
            <w:pPr>
              <w:jc w:val="left"/>
              <w:rPr>
                <w:rFonts w:hint="eastAsia" w:ascii="宋体" w:hAnsi="宋体" w:cs="宋体"/>
                <w:sz w:val="22"/>
                <w:szCs w:val="24"/>
              </w:rPr>
            </w:pPr>
            <w:r>
              <w:rPr>
                <w:rFonts w:hint="eastAsia" w:ascii="宋体" w:hAnsi="宋体" w:cs="宋体"/>
                <w:sz w:val="22"/>
                <w:szCs w:val="24"/>
              </w:rPr>
              <w:t xml:space="preserve">2、材质：碳钢。</w:t>
            </w:r>
            <w:r/>
          </w:p>
          <w:p>
            <w:pPr>
              <w:jc w:val="left"/>
              <w:rPr>
                <w:rFonts w:hint="eastAsia" w:ascii="宋体" w:hAnsi="宋体" w:cs="宋体"/>
                <w:sz w:val="22"/>
                <w:szCs w:val="24"/>
              </w:rPr>
            </w:pPr>
            <w:r>
              <w:rPr>
                <w:rFonts w:hint="eastAsia" w:ascii="宋体" w:hAnsi="宋体" w:cs="宋体"/>
                <w:sz w:val="22"/>
                <w:szCs w:val="24"/>
              </w:rPr>
              <w:t xml:space="preserve">二、工作内容及报价范围</w:t>
            </w:r>
            <w:r/>
          </w:p>
          <w:p>
            <w:pPr>
              <w:jc w:val="left"/>
              <w:rPr>
                <w:rFonts w:hint="eastAsia" w:ascii="宋体" w:hAnsi="宋体" w:cs="宋体"/>
                <w:sz w:val="22"/>
                <w:szCs w:val="24"/>
              </w:rPr>
            </w:pPr>
            <w:r>
              <w:rPr>
                <w:rFonts w:hint="eastAsia" w:ascii="宋体" w:hAnsi="宋体" w:cs="宋体"/>
                <w:sz w:val="22"/>
                <w:szCs w:val="24"/>
              </w:rPr>
              <w:t xml:space="preserve">1、本体安装及与仓体连接；</w:t>
            </w:r>
            <w:r/>
          </w:p>
          <w:p>
            <w:pPr>
              <w:jc w:val="left"/>
              <w:rPr>
                <w:rFonts w:hint="eastAsia" w:ascii="宋体" w:hAnsi="宋体" w:cs="宋体"/>
                <w:sz w:val="22"/>
                <w:szCs w:val="24"/>
              </w:rPr>
            </w:pPr>
            <w:r>
              <w:rPr>
                <w:rFonts w:hint="eastAsia" w:ascii="宋体" w:hAnsi="宋体" w:cs="宋体"/>
                <w:sz w:val="22"/>
                <w:szCs w:val="24"/>
              </w:rPr>
              <w:t xml:space="preserve">2、报价包含安装费、人工费、材料费、机械费、管理费、利润、措施项目费、规费、税金。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只</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4</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玻璃刹克龙</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50</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1、使用寿命：≥10年；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2、钢板厚度：≥1.5mm，内贴5mm玻璃；</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3、设置观察窗；</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4、满足杂质沉降要求。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2、与风网管道连接；</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只</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(二)</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清理去石风网</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W w:w="4187"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W w:w="696" w:type="dxa"/>
            <w:vAlign w:val="center"/>
            <w:textDirection w:val="lrTb"/>
            <w:noWrap/>
          </w:tcPr>
          <w:p>
            <w:pPr>
              <w:jc w:val="center"/>
            </w:pPr>
            <w:r/>
            <w:r/>
          </w:p>
        </w:tc>
        <w:tc>
          <w:tcPr>
            <w:tcW w:w="549" w:type="dxa"/>
            <w:vAlign w:val="center"/>
            <w:textDirection w:val="lrTb"/>
            <w:noWrap/>
          </w:tcPr>
          <w:p>
            <w:pPr>
              <w:jc w:val="center"/>
            </w:pPr>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风网及管道</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1、工厂预制，冷板焊接制成；</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2、表面喷塑处理，颜色一致；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3、无漏涂、剥落、起泡、皱纹、透锈缺陷；</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4、管道厚度符合行业标准。</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1、管道及管件安装；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2、支吊架制作安装；</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2</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离心通风机</w:t>
            </w:r>
            <w:r/>
          </w:p>
        </w:tc>
        <w:tc>
          <w:tcPr>
            <w:tcW w:w="15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4-72-3.6A</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▲1、流量：2664-5268m³/h；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2、风压：989-1578Pa；</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3、功率：3kw；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4、转速：2900rpm。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1、风机本体及减震台座安装；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2、与风管软连接；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4、报价包含安装费、人工费、材料费、机械费、管理费、利润、措施项目费、规费、税金。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只</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（三）</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稻壳玻璃风网</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W w:w="4187"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W w:w="696" w:type="dxa"/>
            <w:vAlign w:val="center"/>
            <w:textDirection w:val="lrTb"/>
            <w:noWrap/>
          </w:tcPr>
          <w:p>
            <w:pPr>
              <w:jc w:val="center"/>
            </w:pPr>
            <w:r/>
            <w:r/>
          </w:p>
        </w:tc>
        <w:tc>
          <w:tcPr>
            <w:tcW w:w="549" w:type="dxa"/>
            <w:vAlign w:val="center"/>
            <w:textDirection w:val="lrTb"/>
            <w:noWrap/>
          </w:tcPr>
          <w:p>
            <w:pPr>
              <w:jc w:val="center"/>
            </w:pPr>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104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稻壳玻璃风网</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1、工厂预制，冷板焊接；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2、表面喷塑处理；</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3、内贴耐磨玻璃，满足稻壳输送要求。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1、管道及管件安装；</w:t>
            </w:r>
            <w:r/>
          </w:p>
          <w:p>
            <w:pPr>
              <w:jc w:val="left"/>
              <w:widowControl/>
              <w:rPr>
                <w:rFonts w:hint="eastAsia" w:ascii="宋体" w:hAnsi="宋体" w:cs="宋体"/>
                <w:sz w:val="20"/>
                <w:szCs w:val="20"/>
              </w:rPr>
            </w:pPr>
            <w:r>
              <w:rPr>
                <w:rFonts w:hint="eastAsia" w:ascii="宋体" w:hAnsi="宋体" w:cs="宋体"/>
                <w:sz w:val="20"/>
                <w:szCs w:val="20"/>
                <w:lang w:bidi="ar"/>
              </w:rPr>
              <w:t xml:space="preserve">2、报价包含安装费、人工费、材料费、机械费、管理费、利润、措施项目费、规费、税金。</w:t>
            </w:r>
            <w:r/>
          </w:p>
        </w:tc>
        <w:tc>
          <w:tcPr>
            <w:tcW w:w="696" w:type="dxa"/>
            <w:vAlign w:val="center"/>
            <w:textDirection w:val="lrTb"/>
            <w:noWrap/>
          </w:tcPr>
          <w:p>
            <w:pPr>
              <w:jc w:val="center"/>
            </w:pPr>
            <w:r>
              <w:rPr>
                <w:rFonts w:hint="eastAsia"/>
              </w:rPr>
              <w:t xml:space="preserve">1</w:t>
            </w:r>
            <w:r/>
          </w:p>
        </w:tc>
        <w:tc>
          <w:tcPr>
            <w:tcW w:w="54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套</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(四)</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三路细糠风网</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W w:w="4187"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W w:w="696" w:type="dxa"/>
            <w:vAlign w:val="center"/>
            <w:textDirection w:val="lrTb"/>
            <w:noWrap/>
          </w:tcPr>
          <w:p>
            <w:pPr>
              <w:jc w:val="center"/>
            </w:pPr>
            <w:r/>
            <w:r/>
          </w:p>
        </w:tc>
        <w:tc>
          <w:tcPr>
            <w:tcW w:w="549" w:type="dxa"/>
            <w:vAlign w:val="center"/>
            <w:textDirection w:val="lrTb"/>
            <w:noWrap/>
          </w:tcPr>
          <w:p>
            <w:pPr>
              <w:jc w:val="center"/>
              <w:widowControl/>
            </w:pPr>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下旋沙克龙</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Φ750</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1、钢板厚度：≥1.5mm；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2、设置观察窗；</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3、满足细糠沉降要求。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2、与风网管道连接；</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W w:w="696" w:type="dxa"/>
            <w:vAlign w:val="center"/>
            <w:textDirection w:val="lrTb"/>
            <w:noWrap/>
          </w:tcPr>
          <w:p>
            <w:pPr>
              <w:jc w:val="center"/>
            </w:pPr>
            <w:r>
              <w:rPr>
                <w:rFonts w:hint="eastAsia"/>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2</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管道</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Φ150</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1、工厂预制，冷板焊接；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2、表面喷塑处理；</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3、无漏涂、剥落、起泡、皱纹等缺陷。</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1、管道及管件安装；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2、报价包含安装费、人工费、材料费、机械费、管理费、利润、措施项目费、规费、税金。</w:t>
            </w:r>
            <w:r/>
          </w:p>
        </w:tc>
        <w:tc>
          <w:tcPr>
            <w:tcW w:w="696" w:type="dxa"/>
            <w:vAlign w:val="center"/>
            <w:textDirection w:val="lrTb"/>
            <w:noWrap/>
          </w:tcPr>
          <w:p>
            <w:pPr>
              <w:jc w:val="center"/>
            </w:pPr>
            <w:r>
              <w:rPr>
                <w:rFonts w:hint="eastAsia"/>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3</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管道</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Φ200</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1、工厂预制，冷板焊接；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2、表面喷塑处理；</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3、无漏涂、剥落、起泡、皱纹等缺陷。</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1、管道及管件安装；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2、报价包含安装费、人工费、材料费、机械费、管理费、利润、措施项目费、规费、税金。</w:t>
            </w:r>
            <w:r/>
          </w:p>
        </w:tc>
        <w:tc>
          <w:tcPr>
            <w:tcW w:w="696" w:type="dxa"/>
            <w:vAlign w:val="center"/>
            <w:textDirection w:val="lrTb"/>
            <w:noWrap/>
          </w:tcPr>
          <w:p>
            <w:pPr>
              <w:jc w:val="center"/>
            </w:pPr>
            <w:r>
              <w:rPr>
                <w:rFonts w:hint="eastAsia"/>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4</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管道</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Φ260</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1、工厂预制，冷板焊接；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2、表面喷塑处理；</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3、无漏涂、剥落、起泡、皱纹等缺陷。</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1、管道及管件安装；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2、报价包含安装费、人工费、材料费、机械费、管理费、利润、措施项目费、规费、税金。</w:t>
            </w:r>
            <w:r/>
          </w:p>
        </w:tc>
        <w:tc>
          <w:tcPr>
            <w:tcW w:w="696" w:type="dxa"/>
            <w:vAlign w:val="center"/>
            <w:textDirection w:val="lrTb"/>
            <w:noWrap/>
          </w:tcPr>
          <w:p>
            <w:pPr>
              <w:jc w:val="center"/>
            </w:pPr>
            <w:r>
              <w:rPr>
                <w:rFonts w:hint="eastAsia"/>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5</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管道</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Φ300</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1、工厂预制，冷板焊接；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2、表面喷塑处理；</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3、无漏涂、剥落、起泡、皱纹等缺陷。</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1、管道及管件安装；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2、报价包含安装费、人工费、材料费、机械费、管理费、利润、措施项目费、规费、税金。</w:t>
            </w:r>
            <w:r/>
          </w:p>
        </w:tc>
        <w:tc>
          <w:tcPr>
            <w:tcW w:w="696" w:type="dxa"/>
            <w:vAlign w:val="center"/>
            <w:textDirection w:val="lrTb"/>
            <w:noWrap/>
          </w:tcPr>
          <w:p>
            <w:pPr>
              <w:jc w:val="center"/>
            </w:pPr>
            <w:r>
              <w:rPr>
                <w:rFonts w:hint="eastAsia"/>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6</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管道；转向器及沙克龙支架</w:t>
            </w:r>
            <w:r/>
          </w:p>
        </w:tc>
        <w:tc>
          <w:tcPr>
            <w:tcW w:w="1599" w:type="dxa"/>
            <w:vAlign w:val="center"/>
            <w:textDirection w:val="lrTb"/>
            <w:noWrap w:val="false"/>
          </w:tcPr>
          <w:p>
            <w:pPr>
              <w:jc w:val="center"/>
              <w:rPr>
                <w:rFonts w:hint="eastAsia" w:ascii="宋体" w:hAnsi="宋体" w:cs="宋体"/>
                <w:sz w:val="22"/>
                <w:szCs w:val="24"/>
              </w:rPr>
            </w:pPr>
            <w:r>
              <w:rPr>
                <w:rFonts w:hint="eastAsia" w:ascii="宋体" w:hAnsi="宋体" w:cs="宋体"/>
                <w:sz w:val="22"/>
                <w:szCs w:val="24"/>
              </w:rPr>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1、碳钢骨架；</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2、表面喷塑处理，颜色与车间风格一致；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3、制造偏差≤1mm/m。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1、支架制作、安装；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2、转向器及管道连接；</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W w:w="696" w:type="dxa"/>
            <w:vAlign w:val="center"/>
            <w:textDirection w:val="lrTb"/>
            <w:noWrap/>
          </w:tcPr>
          <w:p>
            <w:pPr>
              <w:jc w:val="center"/>
            </w:pPr>
            <w:r>
              <w:rPr>
                <w:rFonts w:hint="eastAsia"/>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7</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离心通风机</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6-30-5.5A</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▲1、流量：2981-6356m³/h；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2、风压：3960-5420Pa；</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3、功率：≥11kw；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4、转速：≥2930rpm。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1、风机及减震台座安装；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W w:w="696" w:type="dxa"/>
            <w:vAlign w:val="center"/>
            <w:textDirection w:val="lrTb"/>
            <w:noWrap/>
          </w:tcPr>
          <w:p>
            <w:pPr>
              <w:jc w:val="center"/>
            </w:pPr>
            <w:r>
              <w:rPr>
                <w:rFonts w:hint="eastAsia"/>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只</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8</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防堵关风机</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7L</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1、容积：≥7L；</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2、结构：叶轮关风器，摆线减速器直联传动；</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3、叶轮尺寸：≥ø280×215mm；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4、功率：≥1.1kw；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5、具备防堵功能。</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1、设备安装及与沙克龙出口连接；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W w:w="696" w:type="dxa"/>
            <w:vAlign w:val="center"/>
            <w:textDirection w:val="lrTb"/>
            <w:noWrap/>
          </w:tcPr>
          <w:p>
            <w:pPr>
              <w:jc w:val="center"/>
            </w:pPr>
            <w:r>
              <w:rPr>
                <w:rFonts w:hint="eastAsia"/>
              </w:rPr>
              <w:t xml:space="preserve">1</w:t>
            </w:r>
            <w:r/>
          </w:p>
        </w:tc>
        <w:tc>
          <w:tcPr>
            <w:tcW w:w="549" w:type="dxa"/>
            <w:vAlign w:val="center"/>
            <w:textDirection w:val="lrTb"/>
            <w:noWrap/>
          </w:tcPr>
          <w:p>
            <w:pPr>
              <w:jc w:val="center"/>
            </w:pPr>
            <w:r>
              <w:rPr>
                <w:rFonts w:hint="eastAsia"/>
              </w:rPr>
              <w:t xml:space="preserve">只</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（五）</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t xml:space="preserve">色选机风网</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W w:w="4187"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W w:w="696" w:type="dxa"/>
            <w:vAlign w:val="center"/>
            <w:textDirection w:val="lrTb"/>
            <w:noWrap/>
          </w:tcPr>
          <w:p>
            <w:pPr>
              <w:jc w:val="center"/>
            </w:pPr>
            <w:r/>
            <w:r/>
          </w:p>
        </w:tc>
        <w:tc>
          <w:tcPr>
            <w:tcW w:w="549" w:type="dxa"/>
            <w:vAlign w:val="center"/>
            <w:textDirection w:val="lrTb"/>
            <w:noWrap/>
          </w:tcPr>
          <w:p>
            <w:pPr>
              <w:jc w:val="center"/>
            </w:pPr>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离心通风机</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9-19-4.5A</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▲1、流量：2269-2817m3/h；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2、风压：4000-4450Pa；</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3、功率：5.5kw；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4、转速：2900rpm；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5、材质与工艺：机壳及叶轮采用Q235钢材，表面喷塑处理；机座配置减震器。</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1、风机本体及减震台座安装；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2、与风网管道软连接；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4、报价包含安装费、人工费、材料费、机械费、管理费、利润、措施项目费、规费、税金。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2</w:t>
            </w:r>
            <w:r/>
          </w:p>
        </w:tc>
        <w:tc>
          <w:tcPr>
            <w:tcW w:w="549" w:type="dxa"/>
            <w:vAlign w:val="center"/>
            <w:textDirection w:val="lrTb"/>
            <w:noWrap/>
          </w:tcPr>
          <w:p>
            <w:pPr>
              <w:jc w:val="center"/>
            </w:pPr>
            <w:r>
              <w:rPr>
                <w:rFonts w:hint="eastAsia"/>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2</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沙克龙</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Φ600</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1、材料剪切平整，磨去锐边；</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2、油漆均匀，无漏涂、剥落、起泡等缺陷。</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2、与管道连接；</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2</w:t>
            </w:r>
            <w:r/>
          </w:p>
        </w:tc>
        <w:tc>
          <w:tcPr>
            <w:tcW w:w="549" w:type="dxa"/>
            <w:vAlign w:val="center"/>
            <w:textDirection w:val="lrTb"/>
            <w:noWrap/>
          </w:tcPr>
          <w:p>
            <w:pPr>
              <w:jc w:val="center"/>
            </w:pPr>
            <w:r>
              <w:rPr>
                <w:rFonts w:hint="eastAsia"/>
              </w:rPr>
              <w:t xml:space="preserve">套</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3</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管道</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Φ150</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1、碳钢骨架，表面喷塑；</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2、颜色与车间协调。</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1、管道安装；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4</w:t>
            </w:r>
            <w:r/>
          </w:p>
        </w:tc>
        <w:tc>
          <w:tcPr>
            <w:tcW w:w="549" w:type="dxa"/>
            <w:vAlign w:val="center"/>
            <w:textDirection w:val="lrTb"/>
            <w:noWrap/>
          </w:tcPr>
          <w:p>
            <w:pPr>
              <w:jc w:val="center"/>
            </w:pPr>
            <w:r>
              <w:rPr>
                <w:rFonts w:hint="eastAsia"/>
              </w:rPr>
              <w:t xml:space="preserve">套</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4</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弯头</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90°</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1、碳钢材质，厚度≥1.5mm；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2、数量满足工艺要求。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1、弯头安装；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2</w:t>
            </w:r>
            <w:r/>
          </w:p>
        </w:tc>
        <w:tc>
          <w:tcPr>
            <w:tcW w:w="549" w:type="dxa"/>
            <w:vAlign w:val="center"/>
            <w:textDirection w:val="lrTb"/>
            <w:noWrap/>
          </w:tcPr>
          <w:p>
            <w:pPr>
              <w:jc w:val="center"/>
            </w:pPr>
            <w:r>
              <w:rPr>
                <w:rFonts w:hint="eastAsia"/>
              </w:rPr>
              <w:t xml:space="preserve">套</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5</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沙克龙支架</w:t>
            </w:r>
            <w:r/>
          </w:p>
        </w:tc>
        <w:tc>
          <w:tcPr>
            <w:tcW w:w="1599" w:type="dxa"/>
            <w:vAlign w:val="center"/>
            <w:textDirection w:val="lrTb"/>
            <w:noWrap w:val="false"/>
          </w:tcPr>
          <w:p>
            <w:pPr>
              <w:jc w:val="center"/>
              <w:rPr>
                <w:rFonts w:hint="eastAsia" w:ascii="宋体" w:hAnsi="宋体" w:cs="宋体"/>
                <w:sz w:val="22"/>
                <w:szCs w:val="24"/>
              </w:rPr>
            </w:pPr>
            <w:r>
              <w:rPr>
                <w:rFonts w:hint="eastAsia" w:ascii="宋体" w:hAnsi="宋体" w:cs="宋体"/>
                <w:sz w:val="22"/>
                <w:szCs w:val="24"/>
              </w:rPr>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1、碳钢骨架，表面喷塑；</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2、颜色协调，无缺陷。</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1、支架制作、安装；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2</w:t>
            </w:r>
            <w:r/>
          </w:p>
        </w:tc>
        <w:tc>
          <w:tcPr>
            <w:tcW w:w="549" w:type="dxa"/>
            <w:vAlign w:val="center"/>
            <w:textDirection w:val="lrTb"/>
            <w:noWrap/>
          </w:tcPr>
          <w:p>
            <w:pPr>
              <w:jc w:val="center"/>
            </w:pPr>
            <w:r>
              <w:rPr>
                <w:rFonts w:hint="eastAsia"/>
              </w:rPr>
              <w:t xml:space="preserve">套</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6</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管道</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Φ125</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1、工厂预制，冷板焊接；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2、表面喷塑处理；</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3、无漏涂、剥落、起泡、皱纹等缺陷。</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1、管道及管件安装；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8</w:t>
            </w:r>
            <w:r/>
          </w:p>
        </w:tc>
        <w:tc>
          <w:tcPr>
            <w:tcW w:w="549" w:type="dxa"/>
            <w:vAlign w:val="center"/>
            <w:textDirection w:val="lrTb"/>
            <w:noWrap/>
          </w:tcPr>
          <w:p>
            <w:pPr>
              <w:jc w:val="center"/>
            </w:pPr>
            <w:r>
              <w:rPr>
                <w:rFonts w:hint="eastAsia"/>
              </w:rPr>
              <w:t xml:space="preserve">套</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7"/>
            <w:tcW w:w="10485"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t xml:space="preserve">八、压缩空气系统</w:t>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螺杆式空压机</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JMY-20AZ</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1、功率：15kw；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▲2、排气量：≥1.7m³/min；</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3、工作压力：0.7-1.2Mpa；</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4、配套组成：含储气罐（1.0m³）、冷干机、精密过滤器；</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5、储气罐配置：配备自动排水装置、安全阀、压力表及排污阀。</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1、机组整体吊装就位；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2、储气罐、冷干机、过滤器安装；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3、机组间管道连接；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4、电气接线及系统调试；</w:t>
            </w:r>
            <w:r/>
          </w:p>
          <w:p>
            <w:pPr>
              <w:jc w:val="left"/>
              <w:widowControl/>
              <w:rPr>
                <w:rFonts w:hint="eastAsia" w:ascii="宋体" w:hAnsi="宋体" w:cs="宋体"/>
                <w:sz w:val="22"/>
                <w:szCs w:val="24"/>
              </w:rPr>
            </w:pPr>
            <w:r>
              <w:rPr>
                <w:rFonts w:hint="eastAsia" w:ascii="宋体" w:hAnsi="宋体" w:cs="宋体"/>
                <w:sz w:val="20"/>
                <w:szCs w:val="20"/>
                <w:lang w:bidi="ar"/>
              </w:rPr>
              <w:t xml:space="preserve">5、报价包含安装费、人工费、材料费、机械费、管理费、利润、措施项目费、规费、税金。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pPr>
            <w:r>
              <w:rPr>
                <w:rFonts w:hint="eastAsia"/>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2</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提升机</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TDTGw3</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▲1、产量：3-4t/h；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2、线速度：≤0.6m/s；</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3、高度：≥6米；</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4、配套动力：≥0.75KW；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5、畚斗：DM1010聚乙烯畚斗，自动皮带张紧装置。</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3</w:t>
            </w:r>
            <w:r/>
          </w:p>
        </w:tc>
        <w:tc>
          <w:tcPr>
            <w:tcW w:w="549" w:type="dxa"/>
            <w:vAlign w:val="center"/>
            <w:textDirection w:val="lrTb"/>
            <w:noWrap/>
          </w:tcPr>
          <w:p>
            <w:pPr>
              <w:jc w:val="center"/>
            </w:pPr>
            <w:r>
              <w:rPr>
                <w:rFonts w:hint="eastAsia"/>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7"/>
            <w:tcW w:w="10485"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t xml:space="preserve">九、其他</w:t>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（一）</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t xml:space="preserve">电控部分</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W w:w="4187"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W w:w="696" w:type="dxa"/>
            <w:vAlign w:val="center"/>
            <w:textDirection w:val="lrTb"/>
            <w:noWrap/>
          </w:tcPr>
          <w:p>
            <w:pPr>
              <w:jc w:val="center"/>
            </w:pPr>
            <w:r/>
            <w:r/>
          </w:p>
        </w:tc>
        <w:tc>
          <w:tcPr>
            <w:tcW w:w="549" w:type="dxa"/>
            <w:vAlign w:val="center"/>
            <w:textDirection w:val="lrTb"/>
            <w:noWrap/>
          </w:tcPr>
          <w:p>
            <w:pPr>
              <w:jc w:val="center"/>
            </w:pPr>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92"/>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主机设备控制柜</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1、配备符合国家标准的电气元件；</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2、电气元件品牌：正泰、德力西或同等及以上；</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3、集成热机保护系统；</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4、模拟显示屏。</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1、控制柜本体安装；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2、底座制作安装；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3、电气接线及调试；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4、报价包含安装费、人工费、材料费、机械费、管理费、利润、措施项目费、规费、税金。</w:t>
            </w:r>
            <w:r/>
          </w:p>
        </w:tc>
        <w:tc>
          <w:tcPr>
            <w:tcW w:w="696" w:type="dxa"/>
            <w:vAlign w:val="center"/>
            <w:textDirection w:val="lrTb"/>
            <w:noWrap/>
          </w:tcPr>
          <w:p>
            <w:pPr>
              <w:jc w:val="center"/>
            </w:pPr>
            <w:r>
              <w:rPr>
                <w:rFonts w:hint="eastAsia"/>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2</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电线</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1、规格：10平方、6平方、4平方、1.5平方等；</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2、国标线缆；</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3、数量满足工艺要求。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1、线缆敷设；</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2、线管及桥架安装；</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W w:w="696" w:type="dxa"/>
            <w:vAlign w:val="center"/>
            <w:textDirection w:val="lrTb"/>
            <w:noWrap/>
          </w:tcPr>
          <w:p>
            <w:pPr>
              <w:jc w:val="center"/>
            </w:pPr>
            <w:r>
              <w:rPr>
                <w:rFonts w:hint="eastAsia"/>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（二）</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t xml:space="preserve">其它部分</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W w:w="4187"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W w:w="696" w:type="dxa"/>
            <w:vAlign w:val="center"/>
            <w:textDirection w:val="lrTb"/>
            <w:noWrap/>
          </w:tcPr>
          <w:p>
            <w:pPr>
              <w:jc w:val="center"/>
            </w:pPr>
            <w:r/>
            <w:r/>
          </w:p>
        </w:tc>
        <w:tc>
          <w:tcPr>
            <w:tcW w:w="549" w:type="dxa"/>
            <w:vAlign w:val="center"/>
            <w:textDirection w:val="lrTb"/>
            <w:noWrap/>
          </w:tcPr>
          <w:p>
            <w:pPr>
              <w:jc w:val="center"/>
            </w:pPr>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标准件、耗材</w:t>
            </w:r>
            <w:r/>
          </w:p>
        </w:tc>
        <w:tc>
          <w:tcPr>
            <w:tcW w:w="1599" w:type="dxa"/>
            <w:vAlign w:val="center"/>
            <w:textDirection w:val="lrTb"/>
            <w:noWrap w:val="false"/>
          </w:tcPr>
          <w:p>
            <w:pPr>
              <w:jc w:val="center"/>
              <w:rPr>
                <w:rFonts w:hint="eastAsia" w:ascii="宋体" w:hAnsi="宋体" w:cs="宋体"/>
                <w:sz w:val="22"/>
                <w:szCs w:val="24"/>
              </w:rPr>
            </w:pPr>
            <w:r>
              <w:rPr>
                <w:rFonts w:hint="eastAsia" w:ascii="宋体" w:hAnsi="宋体" w:cs="宋体"/>
                <w:sz w:val="22"/>
                <w:szCs w:val="24"/>
              </w:rPr>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1、含电焊条、切割片、螺丝等五金件；</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2、优先考虑采用国内品牌件。</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1、满足安装过程中标准件及耗材需求；</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2、报价包含材料费及税金。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2</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不锈钢溜管</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Φ102</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1、材质：201不锈钢，厚度1.0mm；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2、总长度满足生产线所有工艺需求；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3、连接严格按行业标准实施。</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1、溜管现场量尺、制作、安装；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3</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不锈钢弯头，抱箍</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Φ102</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1、不锈钢材质，厚度≥1.5mm；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2、弯头角度15°，数量满足工艺要求。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1、管件安装；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150</w:t>
            </w:r>
            <w:r/>
          </w:p>
        </w:tc>
        <w:tc>
          <w:tcPr>
            <w:tcW w:w="549" w:type="dxa"/>
            <w:vAlign w:val="center"/>
            <w:textDirection w:val="lrTb"/>
            <w:noWrap/>
          </w:tcPr>
          <w:p>
            <w:pPr>
              <w:jc w:val="center"/>
              <w:widowControl/>
            </w:pPr>
            <w:r>
              <w:rPr>
                <w:rFonts w:hint="eastAsia" w:ascii="宋体" w:hAnsi="宋体" w:cs="宋体"/>
                <w:sz w:val="20"/>
                <w:szCs w:val="20"/>
                <w:lang w:bidi="ar"/>
              </w:rPr>
              <w:t xml:space="preserve">只</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4</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20磁选器</w:t>
            </w:r>
            <w:r/>
          </w:p>
        </w:tc>
        <w:tc>
          <w:tcPr>
            <w:tcW w:w="1599" w:type="dxa"/>
            <w:vAlign w:val="center"/>
            <w:textDirection w:val="lrTb"/>
            <w:noWrap w:val="false"/>
          </w:tcPr>
          <w:p>
            <w:pPr>
              <w:jc w:val="center"/>
              <w:rPr>
                <w:rFonts w:hint="eastAsia" w:ascii="宋体" w:hAnsi="宋体" w:cs="宋体"/>
                <w:sz w:val="22"/>
                <w:szCs w:val="24"/>
              </w:rPr>
            </w:pPr>
            <w:r>
              <w:rPr>
                <w:rFonts w:hint="eastAsia" w:ascii="宋体" w:hAnsi="宋体" w:cs="宋体"/>
                <w:sz w:val="22"/>
                <w:szCs w:val="24"/>
              </w:rPr>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1、材质：不锈钢；</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2、磁感应强度满足除铁要求。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1、设备安装于溜管指定位置；</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6</w:t>
            </w:r>
            <w:r/>
          </w:p>
        </w:tc>
        <w:tc>
          <w:tcPr>
            <w:tcW w:w="549" w:type="dxa"/>
            <w:vAlign w:val="center"/>
            <w:textDirection w:val="lrTb"/>
            <w:noWrap/>
          </w:tcPr>
          <w:p>
            <w:pPr>
              <w:jc w:val="center"/>
              <w:widowControl/>
            </w:pPr>
            <w:r>
              <w:rPr>
                <w:rFonts w:hint="eastAsia" w:ascii="宋体" w:hAnsi="宋体" w:cs="宋体"/>
                <w:sz w:val="20"/>
                <w:szCs w:val="20"/>
                <w:lang w:bidi="ar"/>
              </w:rPr>
              <w:t xml:space="preserve">只</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5</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米仓（含手动闸门）</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2-3T</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1、容量：2-3吨；</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2、自然通风结构；</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3、材质：碳钢，含手动闸门。</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1、仓体现场拼装、焊接；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2、手动闸门安装；</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只</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6</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塑料托盘</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1200*1000*150</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1、结构：网格田字型，8根钢管加强；</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2、四面进叉，适配叉车和液压车；</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3、静荷载：≥6吨，动荷载：≥1.2吨，货架荷载：≥1.2吨；</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4、主材：HDPE高密度聚乙烯+钢管，全新材料；</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5、颜色：蓝色，无毒无味。</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二、报价范围</w:t>
            </w:r>
            <w:r/>
          </w:p>
          <w:p>
            <w:pPr>
              <w:jc w:val="left"/>
              <w:widowControl/>
              <w:rPr>
                <w:rFonts w:hint="eastAsia" w:ascii="宋体" w:hAnsi="宋体" w:cs="宋体"/>
                <w:sz w:val="22"/>
                <w:szCs w:val="24"/>
              </w:rPr>
            </w:pPr>
            <w:r>
              <w:rPr>
                <w:rFonts w:hint="eastAsia" w:ascii="宋体" w:hAnsi="宋体" w:cs="宋体"/>
                <w:sz w:val="20"/>
                <w:szCs w:val="20"/>
                <w:lang w:bidi="ar"/>
              </w:rPr>
              <w:t xml:space="preserve">报价包含货物本身、运输费及税金。</w:t>
            </w:r>
            <w:r/>
          </w:p>
        </w:tc>
        <w:tc>
          <w:tcPr>
            <w:tcW w:w="696" w:type="dxa"/>
            <w:vAlign w:val="center"/>
            <w:textDirection w:val="lrTb"/>
            <w:noWrap/>
          </w:tcPr>
          <w:p>
            <w:pPr>
              <w:jc w:val="center"/>
              <w:widowControl/>
            </w:pPr>
            <w:r>
              <w:rPr>
                <w:rFonts w:hint="eastAsia" w:ascii="宋体" w:hAnsi="宋体" w:cs="宋体"/>
                <w:sz w:val="20"/>
                <w:szCs w:val="20"/>
                <w:lang w:bidi="ar"/>
              </w:rPr>
              <w:t xml:space="preserve">20</w:t>
            </w:r>
            <w:r/>
          </w:p>
        </w:tc>
        <w:tc>
          <w:tcPr>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7</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提升机</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TDTGW3</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▲1、产量：3-4t/h；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2、线速度：≤0.6m/s；</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3、高度：≥6米；</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4、配套动力：≥0.75KW；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5、畚斗：DM1010聚乙烯畚斗，自动皮带张紧装置。</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8</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缓冲斗</w:t>
            </w:r>
            <w:r/>
          </w:p>
        </w:tc>
        <w:tc>
          <w:tcPr>
            <w:tcW w:w="1599" w:type="dxa"/>
            <w:vAlign w:val="center"/>
            <w:textDirection w:val="lrTb"/>
            <w:noWrap w:val="false"/>
          </w:tcPr>
          <w:p>
            <w:pPr>
              <w:jc w:val="center"/>
              <w:rPr>
                <w:rFonts w:hint="eastAsia" w:ascii="宋体" w:hAnsi="宋体" w:cs="宋体"/>
                <w:sz w:val="22"/>
                <w:szCs w:val="24"/>
              </w:rPr>
            </w:pPr>
            <w:r>
              <w:rPr>
                <w:rFonts w:hint="eastAsia" w:ascii="宋体" w:hAnsi="宋体" w:cs="宋体"/>
                <w:sz w:val="22"/>
                <w:szCs w:val="24"/>
              </w:rPr>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1、材质：碳钢，冷轧钢板厚度2mm，内贴5mm玻璃；</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2、表面喷塑处理，颜色协调；</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3、磨去锐边，无缺陷。</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1、现场制作、安装；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11</w:t>
            </w:r>
            <w:r/>
          </w:p>
        </w:tc>
        <w:tc>
          <w:tcPr>
            <w:tcW w:w="549" w:type="dxa"/>
            <w:vAlign w:val="center"/>
            <w:textDirection w:val="lrTb"/>
            <w:noWrap/>
          </w:tcPr>
          <w:p>
            <w:pPr>
              <w:jc w:val="center"/>
              <w:widowControl/>
            </w:pPr>
            <w:r>
              <w:rPr>
                <w:rFonts w:hint="eastAsia" w:ascii="宋体" w:hAnsi="宋体" w:cs="宋体"/>
                <w:sz w:val="20"/>
                <w:szCs w:val="20"/>
                <w:lang w:bidi="ar"/>
              </w:rPr>
              <w:t xml:space="preserve">个</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（三）</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t xml:space="preserve">主机钢架平台部分</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W w:w="4187"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W w:w="696" w:type="dxa"/>
            <w:vAlign w:val="center"/>
            <w:textDirection w:val="lrTb"/>
            <w:noWrap/>
          </w:tcPr>
          <w:p>
            <w:pPr>
              <w:jc w:val="center"/>
            </w:pPr>
            <w:r/>
            <w:r/>
          </w:p>
        </w:tc>
        <w:tc>
          <w:tcPr>
            <w:tcW w:w="549" w:type="dxa"/>
            <w:vAlign w:val="center"/>
            <w:textDirection w:val="lrTb"/>
            <w:noWrap/>
          </w:tcPr>
          <w:p>
            <w:pPr>
              <w:jc w:val="center"/>
            </w:pPr>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主机钢架</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1、整体高度：≥2000mm；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2、平台立柱：≥100×100mm方管；</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3、表面喷塑处理，颜色协调；</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4、焊缝平整，无缺陷。</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1、钢架现场制作、焊接、安装；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2、除锈、喷涂；</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2</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操作平台（带不锈钢护栏）</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1、平台面板：≥2.5mm花纹板；</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2、护栏：201不锈钢，厚度≥1.2mm；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3、楼梯宽度≥0.7米，不少于一处；</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4、满足GB4503安全要求。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1、平台及楼梯制作、安装；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2、护栏制作、安装；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3、除锈、喷涂；</w:t>
            </w:r>
            <w:r/>
          </w:p>
          <w:p>
            <w:pPr>
              <w:jc w:val="left"/>
              <w:widowControl/>
              <w:rPr>
                <w:rFonts w:hint="eastAsia" w:ascii="宋体" w:hAnsi="宋体" w:cs="宋体"/>
                <w:sz w:val="22"/>
                <w:szCs w:val="24"/>
              </w:rPr>
            </w:pPr>
            <w:r>
              <w:rPr>
                <w:rFonts w:hint="eastAsia" w:ascii="宋体" w:hAnsi="宋体" w:cs="宋体"/>
                <w:sz w:val="20"/>
                <w:szCs w:val="20"/>
                <w:lang w:bidi="ar"/>
              </w:rPr>
              <w:t xml:space="preserve">4、报价包含安装费、人工费、材料费、机械费、管理费、利润、措施项目费、规费、税金。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3</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提升机检修平台</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1、栏杆扶手：焊管制作，表面喷塑；</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2、踢脚线：钢板制作；</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3、无锐边、无缺陷。</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1、平台制作、安装；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4</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脉冲除尘器</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1、钢骨架，布袋长度2400mm，顶部更换布袋；</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2、喷吹形式：高压脉冲直喷式；</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3、除尘效率：≥99%；</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4、出口粉尘浓度：≤50mg/m³；</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5、过滤风速：3-4m/min；</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6、漏风率：≤5%；</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7、功率：1.5kw。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2、与风网管道连接；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3、电气接线及脉冲控制系统调试；</w:t>
            </w:r>
            <w:r/>
          </w:p>
          <w:p>
            <w:pPr>
              <w:jc w:val="left"/>
              <w:widowControl/>
              <w:rPr>
                <w:rFonts w:hint="eastAsia" w:ascii="宋体" w:hAnsi="宋体" w:cs="宋体"/>
                <w:sz w:val="22"/>
                <w:szCs w:val="24"/>
              </w:rPr>
            </w:pPr>
            <w:r>
              <w:rPr>
                <w:rFonts w:hint="eastAsia" w:ascii="宋体" w:hAnsi="宋体" w:cs="宋体"/>
                <w:sz w:val="20"/>
                <w:szCs w:val="20"/>
                <w:lang w:bidi="ar"/>
              </w:rPr>
              <w:t xml:space="preserve">4、报价包含安装费、人工费、材料费、机械费、管理费、利润、措施项目费、规费、税金。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4</w:t>
            </w:r>
            <w:r/>
          </w:p>
        </w:tc>
        <w:tc>
          <w:tcPr>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7"/>
            <w:tcW w:w="10485"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平房仓</w:t>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不锈钢通风口（含门）</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900*900</w:t>
            </w:r>
            <w:r/>
          </w:p>
        </w:tc>
        <w:tc>
          <w:tcPr>
            <w:tcW w:w="4187" w:type="dxa"/>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1、结构：双层，外方内圆，外方900×900，内圆φ500；</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2、密封门两道，胶条三元乙丙材质，嵌装方式；</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3、外层方形保温门，门扇厚度40mm；内层圆形保温门φ540，保温层&gt;40mm阻燃挤塑板；</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4、材质：SUS304，壁厚≥1.5mm。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1、通风口及门体安装；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2、密封性检查；</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3、报价包含安装费、人工费、材料费、机械费、管理费、利润、措施项目费、规费、质保费及税金。</w:t>
            </w:r>
            <w:r/>
          </w:p>
        </w:tc>
        <w:tc>
          <w:tcPr>
            <w:tcW w:w="696" w:type="dxa"/>
            <w:vAlign w:val="center"/>
            <w:textDirection w:val="lrTb"/>
            <w:noWrap/>
          </w:tcPr>
          <w:p>
            <w:pPr>
              <w:jc w:val="center"/>
              <w:widowControl/>
            </w:pPr>
            <w:r>
              <w:rPr>
                <w:rFonts w:hint="eastAsia" w:ascii="宋体" w:hAnsi="宋体" w:cs="宋体"/>
                <w:sz w:val="20"/>
                <w:szCs w:val="20"/>
                <w:lang w:bidi="ar"/>
              </w:rPr>
              <w:t xml:space="preserve">2</w:t>
            </w:r>
            <w:r/>
          </w:p>
        </w:tc>
        <w:tc>
          <w:tcPr>
            <w:tcW w:w="549" w:type="dxa"/>
            <w:vAlign w:val="center"/>
            <w:textDirection w:val="lrTb"/>
            <w:noWrap/>
          </w:tcPr>
          <w:p>
            <w:pPr>
              <w:jc w:val="center"/>
              <w:widowControl/>
            </w:pPr>
            <w:r>
              <w:rPr>
                <w:rFonts w:hint="eastAsia" w:ascii="宋体" w:hAnsi="宋体" w:cs="宋体"/>
                <w:sz w:val="20"/>
                <w:szCs w:val="20"/>
                <w:lang w:bidi="ar"/>
              </w:rPr>
              <w:t xml:space="preserve">樘</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2</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空气分配箱</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D500*2.5mm</w:t>
            </w:r>
            <w:r/>
          </w:p>
        </w:tc>
        <w:tc>
          <w:tcPr>
            <w:tcW w:w="4187" w:type="dxa"/>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1、结构：倒U管，长度1米，一通二；</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2、板材：冷轧钢板≥3.0mm；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3、焊接连续无气孔；</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4、承压：可承受6.5m粮高不变形。</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1、分配箱现场安装；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2、与通风口及地上笼连接；</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3、报价包含安装费、人工费、材料费、机械费、管理费、利润、措施项目费、规费、质保费及税金。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个</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3</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地上笼</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D500*2.5mm</w:t>
            </w:r>
            <w:r/>
          </w:p>
        </w:tc>
        <w:tc>
          <w:tcPr>
            <w:tcW w:w="4187" w:type="dxa"/>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1、结构：倒U型，单节长1000mm；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2、材质：冷轧钢板≥2.5mm，热镀锌≥80μm；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3、开孔率：25%-35%，孔宽≤2mm不漏粮；</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4、承压：满足设计装粮高度压力。</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1、地上笼现场拼装、就位；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2、接缝密封处理；</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3、报价包含安装费、人工费、材料费、机械费、管理费、利润、措施项目费、规费、质保费及税金。</w:t>
            </w:r>
            <w:r/>
          </w:p>
        </w:tc>
        <w:tc>
          <w:tcPr>
            <w:tcW w:w="696" w:type="dxa"/>
            <w:vAlign w:val="center"/>
            <w:textDirection w:val="lrTb"/>
            <w:noWrap/>
          </w:tcPr>
          <w:p>
            <w:pPr>
              <w:jc w:val="center"/>
              <w:widowControl/>
            </w:pPr>
            <w:r>
              <w:rPr>
                <w:rFonts w:hint="eastAsia" w:ascii="宋体" w:hAnsi="宋体" w:cs="宋体"/>
                <w:sz w:val="20"/>
                <w:szCs w:val="20"/>
                <w:lang w:bidi="ar"/>
              </w:rPr>
              <w:t xml:space="preserve">76</w:t>
            </w:r>
            <w:r/>
          </w:p>
        </w:tc>
        <w:tc>
          <w:tcPr>
            <w:tcW w:w="549" w:type="dxa"/>
            <w:vAlign w:val="center"/>
            <w:textDirection w:val="lrTb"/>
            <w:noWrap/>
          </w:tcPr>
          <w:p>
            <w:pPr>
              <w:jc w:val="center"/>
              <w:widowControl/>
            </w:pPr>
            <w:r>
              <w:rPr>
                <w:rFonts w:hint="eastAsia" w:ascii="宋体" w:hAnsi="宋体" w:cs="宋体"/>
                <w:sz w:val="20"/>
                <w:szCs w:val="20"/>
                <w:lang w:bidi="ar"/>
              </w:rPr>
              <w:t xml:space="preserve">米</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4</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90°弯头</w:t>
            </w:r>
            <w:r/>
          </w:p>
        </w:tc>
        <w:tc>
          <w:tcPr>
            <w:tcW w:w="1599" w:type="dxa"/>
            <w:vAlign w:val="center"/>
            <w:textDirection w:val="lrTb"/>
            <w:noWrap w:val="false"/>
          </w:tcPr>
          <w:p>
            <w:pPr>
              <w:jc w:val="center"/>
              <w:rPr>
                <w:rFonts w:hint="eastAsia" w:ascii="宋体" w:hAnsi="宋体" w:cs="宋体"/>
                <w:sz w:val="22"/>
                <w:szCs w:val="24"/>
              </w:rPr>
            </w:pPr>
            <w:r>
              <w:rPr>
                <w:rFonts w:hint="eastAsia" w:ascii="宋体" w:hAnsi="宋体" w:cs="宋体"/>
                <w:sz w:val="22"/>
                <w:szCs w:val="24"/>
              </w:rPr>
            </w:r>
            <w:r/>
          </w:p>
        </w:tc>
        <w:tc>
          <w:tcPr>
            <w:tcW w:w="4187" w:type="dxa"/>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1、材质：冷轧钢板≥2.5mm，热镀锌≥80μm。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1、管件安装；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2、报价包含安装费、人工费、材料费、机械费、管理费、利润、措施项目费、规费、质保费及税金。</w:t>
            </w:r>
            <w:r/>
          </w:p>
        </w:tc>
        <w:tc>
          <w:tcPr>
            <w:tcW w:w="696" w:type="dxa"/>
            <w:vAlign w:val="center"/>
            <w:textDirection w:val="lrTb"/>
            <w:noWrap/>
          </w:tcPr>
          <w:p>
            <w:pPr>
              <w:jc w:val="center"/>
              <w:widowControl/>
            </w:pPr>
            <w:r>
              <w:rPr>
                <w:rFonts w:hint="eastAsia" w:ascii="宋体" w:hAnsi="宋体" w:cs="宋体"/>
                <w:sz w:val="20"/>
                <w:szCs w:val="20"/>
                <w:lang w:bidi="ar"/>
              </w:rPr>
              <w:t xml:space="preserve">4</w:t>
            </w:r>
            <w:r/>
          </w:p>
        </w:tc>
        <w:tc>
          <w:tcPr>
            <w:tcW w:w="549" w:type="dxa"/>
            <w:vAlign w:val="center"/>
            <w:textDirection w:val="lrTb"/>
            <w:noWrap/>
          </w:tcPr>
          <w:p>
            <w:pPr>
              <w:jc w:val="center"/>
              <w:widowControl/>
            </w:pPr>
            <w:r>
              <w:rPr>
                <w:rFonts w:hint="eastAsia" w:ascii="宋体" w:hAnsi="宋体" w:cs="宋体"/>
                <w:sz w:val="20"/>
                <w:szCs w:val="20"/>
                <w:lang w:bidi="ar"/>
              </w:rPr>
              <w:t xml:space="preserve">个</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5</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堵头</w:t>
            </w:r>
            <w:r/>
          </w:p>
        </w:tc>
        <w:tc>
          <w:tcPr>
            <w:tcW w:w="1599" w:type="dxa"/>
            <w:vAlign w:val="center"/>
            <w:textDirection w:val="lrTb"/>
            <w:noWrap w:val="false"/>
          </w:tcPr>
          <w:p>
            <w:pPr>
              <w:jc w:val="center"/>
              <w:rPr>
                <w:rFonts w:hint="eastAsia" w:ascii="宋体" w:hAnsi="宋体" w:cs="宋体"/>
                <w:sz w:val="22"/>
                <w:szCs w:val="24"/>
              </w:rPr>
            </w:pPr>
            <w:r>
              <w:rPr>
                <w:rFonts w:hint="eastAsia" w:ascii="宋体" w:hAnsi="宋体" w:cs="宋体"/>
                <w:sz w:val="22"/>
                <w:szCs w:val="24"/>
              </w:rPr>
            </w:r>
            <w:r/>
          </w:p>
        </w:tc>
        <w:tc>
          <w:tcPr>
            <w:tcW w:w="4187" w:type="dxa"/>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1、材质：冷轧钢板≥2.5mm，热镀锌≥80μm。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1、管件安装；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2、报价包含安装费、人工费、材料费、机械费、管理费、利润、措施项目费、规费、质保费及税金。</w:t>
            </w:r>
            <w:r/>
          </w:p>
        </w:tc>
        <w:tc>
          <w:tcPr>
            <w:tcW w:w="696" w:type="dxa"/>
            <w:vAlign w:val="center"/>
            <w:textDirection w:val="lrTb"/>
            <w:noWrap/>
          </w:tcPr>
          <w:p>
            <w:pPr>
              <w:jc w:val="center"/>
              <w:widowControl/>
            </w:pPr>
            <w:r>
              <w:rPr>
                <w:rFonts w:hint="eastAsia" w:ascii="宋体" w:hAnsi="宋体" w:cs="宋体"/>
                <w:sz w:val="20"/>
                <w:szCs w:val="20"/>
                <w:lang w:bidi="ar"/>
              </w:rPr>
              <w:t xml:space="preserve">4</w:t>
            </w:r>
            <w:r/>
          </w:p>
        </w:tc>
        <w:tc>
          <w:tcPr>
            <w:tcW w:w="549" w:type="dxa"/>
            <w:vAlign w:val="center"/>
            <w:textDirection w:val="lrTb"/>
            <w:noWrap/>
          </w:tcPr>
          <w:p>
            <w:pPr>
              <w:jc w:val="center"/>
              <w:widowControl/>
            </w:pPr>
            <w:r>
              <w:rPr>
                <w:rFonts w:hint="eastAsia" w:ascii="宋体" w:hAnsi="宋体" w:cs="宋体"/>
                <w:sz w:val="20"/>
                <w:szCs w:val="20"/>
                <w:lang w:bidi="ar"/>
              </w:rPr>
              <w:t xml:space="preserve">个</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6</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防爆轴流风机</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BT35-11N05.6</w:t>
            </w:r>
            <w:r/>
          </w:p>
        </w:tc>
        <w:tc>
          <w:tcPr>
            <w:tcW w:w="4187" w:type="dxa"/>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▲1、风量：L=12812m³/h；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2、风压：H=237Pa；</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3、功率：N=1.1kw。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1、风机本体安装；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3、报价包含安装费、人工费、材料费、机械费、管理费、利润、措施项目费、规费、质保费及税金。</w:t>
            </w:r>
            <w:r/>
          </w:p>
        </w:tc>
        <w:tc>
          <w:tcPr>
            <w:tcW w:w="696" w:type="dxa"/>
            <w:vAlign w:val="center"/>
            <w:textDirection w:val="lrTb"/>
            <w:noWrap/>
          </w:tcPr>
          <w:p>
            <w:pPr>
              <w:jc w:val="center"/>
              <w:widowControl/>
            </w:pPr>
            <w:r>
              <w:rPr>
                <w:rFonts w:hint="eastAsia" w:ascii="宋体" w:hAnsi="宋体" w:cs="宋体"/>
                <w:sz w:val="20"/>
                <w:szCs w:val="20"/>
                <w:lang w:bidi="ar"/>
              </w:rPr>
              <w:t xml:space="preserve">2</w:t>
            </w:r>
            <w:r/>
          </w:p>
        </w:tc>
        <w:tc>
          <w:tcPr>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7</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移动通风机</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7.5kw</w:t>
            </w:r>
            <w:r/>
          </w:p>
        </w:tc>
        <w:tc>
          <w:tcPr>
            <w:tcW w:w="4187" w:type="dxa"/>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1、功率：7.5Kw，转速1800rpm；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2、风机型号：4-72No6C；</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3、风量：15370m³/h，风压：1291Pa；</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4、带移动小车，含帆布袋≥1.5m。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1、设备整体就位；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3、报价包含安装费、人工费、材料费、机械费、管理费、利润、措施项目费、规费、质保费及税金。</w:t>
            </w:r>
            <w:r/>
          </w:p>
        </w:tc>
        <w:tc>
          <w:tcPr>
            <w:tcW w:w="696" w:type="dxa"/>
            <w:vAlign w:val="center"/>
            <w:textDirection w:val="lrTb"/>
            <w:noWrap/>
          </w:tcPr>
          <w:p>
            <w:pPr>
              <w:jc w:val="center"/>
              <w:widowControl/>
            </w:pPr>
            <w:r>
              <w:rPr>
                <w:rFonts w:hint="eastAsia" w:ascii="宋体" w:hAnsi="宋体" w:cs="宋体"/>
                <w:sz w:val="20"/>
                <w:szCs w:val="20"/>
                <w:lang w:bidi="ar"/>
              </w:rPr>
              <w:t xml:space="preserve">2</w:t>
            </w:r>
            <w:r/>
          </w:p>
        </w:tc>
        <w:tc>
          <w:tcPr>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8</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粮面空调</w:t>
            </w:r>
            <w:r/>
          </w:p>
        </w:tc>
        <w:tc>
          <w:tcPr>
            <w:tcW w:w="1599" w:type="dxa"/>
            <w:vAlign w:val="center"/>
            <w:textDirection w:val="lrTb"/>
            <w:noWrap w:val="false"/>
          </w:tcPr>
          <w:p>
            <w:pPr>
              <w:jc w:val="center"/>
              <w:rPr>
                <w:rFonts w:hint="eastAsia" w:ascii="宋体" w:hAnsi="宋体" w:cs="宋体"/>
                <w:sz w:val="22"/>
                <w:szCs w:val="24"/>
              </w:rPr>
            </w:pPr>
            <w:r>
              <w:rPr>
                <w:rFonts w:hint="eastAsia" w:ascii="宋体" w:hAnsi="宋体" w:cs="宋体"/>
                <w:sz w:val="22"/>
                <w:szCs w:val="24"/>
              </w:rPr>
            </w:r>
            <w:r/>
          </w:p>
        </w:tc>
        <w:tc>
          <w:tcPr>
            <w:tcW w:w="4187" w:type="dxa"/>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▲1、制冷量：Q冷=15kw；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2、功率：N=4.4kw；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3、风量：3000m³/h，变频控制；</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4、可在手操器显示和设定温度。</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1、空调机组吊装就位；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2、电气接线及调试；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3、报价包含安装费、人工费、材料费、机械费、管理费、利润、措施项目费、规费、质保费及税金。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9</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保温密闭门</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2400*2600</w:t>
            </w:r>
            <w:r/>
          </w:p>
        </w:tc>
        <w:tc>
          <w:tcPr>
            <w:tcW w:w="4187" w:type="dxa"/>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1、门扇：50mm岩棉保温夹芯板，双面覆膜彩钢板厚0.6mm；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2、门扇边框：56×40×2.5mm定拉槽壳，热镀锌；</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3、锁紧机构：集装箱专用锁头锁座；</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4、密封胶条：“J”型防鼠咬三元乙丙橡胶条；</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5、所有铁件热镀锌，锌层≥65μm。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1、门体及门框安装；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2、密封性调试；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3、报价包含安装费、人工费、材料费、机械费、管理费、利润、措施项目费、规费、质保费及税金。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樘</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10</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三角形挡粮门（带盖）</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2400*2600</w:t>
            </w:r>
            <w:r/>
          </w:p>
        </w:tc>
        <w:tc>
          <w:tcPr>
            <w:tcW w:w="4187" w:type="dxa"/>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1、骨架：50×50×3mm矩形方管；</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2、面板：2.0mm镀锌钢板，焊接固定；</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3、填充：50mm聚苯乙烯保温板；</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4、出粮口规格：300×300mm；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5、三角拱高：500-600mm。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1、挡粮门现场安装；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2、启闭灵活性调试；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3、报价包含安装费、人工费、材料费、机械费、管理费、利润、措施项目费、规费、质保费及税金。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樘</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11</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密闭窗（带防雀网）</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1200*1100</w:t>
            </w:r>
            <w:r/>
          </w:p>
        </w:tc>
        <w:tc>
          <w:tcPr>
            <w:tcW w:w="4187" w:type="dxa"/>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1、外框：L70×40×3.0mm不等边角钢，热镀锌；</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2、窗扇：50mm聚苯乙烯泡沫保温板，双面彩钢板0.6mm，颜色由甲方指定；</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3、密封条：三元乙丙“P”型密封皮条，内衬钢丝；</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4、防雀网与窗户一体式，双扇平开。</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1、窗户及防雀网安装；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2、密封性检查；</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3、报价包含安装费、人工费、材料费、机械费、管理费、利润、措施项目费、规费、质保费及税金。</w:t>
            </w:r>
            <w:r/>
          </w:p>
        </w:tc>
        <w:tc>
          <w:tcPr>
            <w:tcW w:w="696" w:type="dxa"/>
            <w:vAlign w:val="center"/>
            <w:textDirection w:val="lrTb"/>
            <w:noWrap/>
          </w:tcPr>
          <w:p>
            <w:pPr>
              <w:jc w:val="center"/>
              <w:widowControl/>
            </w:pPr>
            <w:r>
              <w:rPr>
                <w:rFonts w:hint="eastAsia" w:ascii="宋体" w:hAnsi="宋体" w:cs="宋体"/>
                <w:sz w:val="20"/>
                <w:szCs w:val="20"/>
                <w:lang w:bidi="ar"/>
              </w:rPr>
              <w:t xml:space="preserve">2</w:t>
            </w:r>
            <w:r/>
          </w:p>
        </w:tc>
        <w:tc>
          <w:tcPr>
            <w:tcW w:w="549" w:type="dxa"/>
            <w:vAlign w:val="center"/>
            <w:textDirection w:val="lrTb"/>
            <w:noWrap/>
          </w:tcPr>
          <w:p>
            <w:pPr>
              <w:jc w:val="center"/>
              <w:widowControl/>
            </w:pPr>
            <w:r>
              <w:rPr>
                <w:rFonts w:hint="eastAsia" w:ascii="宋体" w:hAnsi="宋体" w:cs="宋体"/>
                <w:sz w:val="20"/>
                <w:szCs w:val="20"/>
                <w:lang w:bidi="ar"/>
              </w:rPr>
              <w:t xml:space="preserve">樘</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12</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密闭风机窗（带防雀网）</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800*800</w:t>
            </w:r>
            <w:r/>
          </w:p>
        </w:tc>
        <w:tc>
          <w:tcPr>
            <w:tcW w:w="4187" w:type="dxa"/>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1、外框：L70×40×3.0mm不等边角钢，热镀锌；</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2、窗扇：50mm聚苯乙烯泡沫保温板，双面彩钢板0.6mm，颜色由甲方指定；</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3、密封条：三元乙丙“P”型密封皮条，内衬钢丝；</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4、防雀网与窗户一体式，双扇平开。</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1、窗户及防雀网安装；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2、密封性检查；</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3、报价包含安装费、人工费、材料费、机械费、管理费、利润、措施项目费、规费、质保费及税金。</w:t>
            </w:r>
            <w:r/>
          </w:p>
        </w:tc>
        <w:tc>
          <w:tcPr>
            <w:tcW w:w="696" w:type="dxa"/>
            <w:vAlign w:val="center"/>
            <w:textDirection w:val="lrTb"/>
            <w:noWrap/>
          </w:tcPr>
          <w:p>
            <w:pPr>
              <w:jc w:val="center"/>
              <w:widowControl/>
            </w:pPr>
            <w:r>
              <w:rPr>
                <w:rFonts w:hint="eastAsia" w:ascii="宋体" w:hAnsi="宋体" w:cs="宋体"/>
                <w:sz w:val="20"/>
                <w:szCs w:val="20"/>
                <w:lang w:bidi="ar"/>
              </w:rPr>
              <w:t xml:space="preserve">2</w:t>
            </w:r>
            <w:r/>
          </w:p>
        </w:tc>
        <w:tc>
          <w:tcPr>
            <w:tcW w:w="549" w:type="dxa"/>
            <w:vAlign w:val="center"/>
            <w:textDirection w:val="lrTb"/>
            <w:noWrap/>
          </w:tcPr>
          <w:p>
            <w:pPr>
              <w:jc w:val="center"/>
              <w:widowControl/>
            </w:pPr>
            <w:r>
              <w:rPr>
                <w:rFonts w:hint="eastAsia" w:ascii="宋体" w:hAnsi="宋体" w:cs="宋体"/>
                <w:sz w:val="20"/>
                <w:szCs w:val="20"/>
                <w:lang w:bidi="ar"/>
              </w:rPr>
              <w:t xml:space="preserve">樘</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13</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转抛输送机</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JL650-12米</w:t>
            </w:r>
            <w:r/>
          </w:p>
        </w:tc>
        <w:tc>
          <w:tcPr>
            <w:tcW w:w="4187" w:type="dxa"/>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1、带宽：650mm；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2、头尾轮距离：12m；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3、线速度：≤2.5m/s；</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4、主动力：4KW，升降动力：1.5KW；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5、升降范围：2.6-4.8m，带抛粮头。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1、设备整体就位；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3、报价包含安装费、人工费、材料费、机械费、管理费、利润、措施项目费、规费、质保费及税金。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14</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卸粮机</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JL650-8+4米</w:t>
            </w:r>
            <w:r/>
          </w:p>
        </w:tc>
        <w:tc>
          <w:tcPr>
            <w:tcW w:w="4187" w:type="dxa"/>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1、带宽：650mm；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2、长度：8+4m；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3、带速：≤2.8m/s；</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4、输送动力：4kw；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5、处理量：70t/h；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6、移动料斗：4000×1250×950mm。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1、设备整体就位；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3、报价包含安装费、人工费、材料费、机械费、管理费、利润、措施项目费、规费、质保费及税金。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15</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小型吸粮机</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JL160型</w:t>
            </w:r>
            <w:r/>
          </w:p>
        </w:tc>
        <w:tc>
          <w:tcPr>
            <w:tcW w:w="4187" w:type="dxa"/>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1、管径规格：6寸管，长度15米，功率5.5KW；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2、外管材质：耐磨牛筋管；</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▲3、螺旋叶片材质：猛钢；</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4、移动灵活，便于转场作业。</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1、设备整体就位；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2、空载试机及调试；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3、报价包含现场安装费、人工费、材料费、机械费、管理费、利润、措施项目费、规费、质保费及税金。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pPr>
            <w:r>
              <w:rPr>
                <w:rFonts w:hint="eastAsia"/>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7"/>
            <w:tcW w:w="10485"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电动叉车</w:t>
            </w:r>
            <w:r/>
          </w:p>
        </w:tc>
      </w:tr>
      <w:tr>
        <w:trPr>
          <w:jc w:val="center"/>
          <w:trHeight w:val="480"/>
        </w:trPr>
        <w:tc>
          <w:tcPr>
            <w:tcW w:w="876" w:type="dxa"/>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104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电动叉车</w:t>
            </w:r>
            <w:r/>
          </w:p>
        </w:tc>
        <w:tc>
          <w:tcPr>
            <w:tcW w:w="15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CPD35</w:t>
            </w:r>
            <w:r/>
          </w:p>
        </w:tc>
        <w:tc>
          <w:tcPr>
            <w:tcW w:w="4187"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t xml:space="preserve">一、技术要求</w:t>
            </w:r>
            <w:r/>
          </w:p>
          <w:p>
            <w:pPr>
              <w:widowControl/>
              <w:rPr>
                <w:rFonts w:hint="eastAsia" w:ascii="宋体" w:hAnsi="宋体" w:cs="宋体"/>
                <w:sz w:val="22"/>
                <w:szCs w:val="24"/>
              </w:rPr>
            </w:pPr>
            <w:r>
              <w:rPr>
                <w:rFonts w:hint="eastAsia" w:ascii="宋体" w:hAnsi="宋体" w:cs="宋体"/>
                <w:sz w:val="22"/>
                <w:szCs w:val="24"/>
              </w:rPr>
              <w:t xml:space="preserve">▲1、额定载重：3500KG；</w:t>
            </w:r>
            <w:r/>
          </w:p>
          <w:p>
            <w:pPr>
              <w:widowControl/>
              <w:rPr>
                <w:rFonts w:hint="eastAsia" w:ascii="宋体" w:hAnsi="宋体" w:cs="宋体"/>
                <w:sz w:val="22"/>
                <w:szCs w:val="24"/>
              </w:rPr>
            </w:pPr>
            <w:r>
              <w:rPr>
                <w:rFonts w:hint="eastAsia" w:ascii="宋体" w:hAnsi="宋体" w:cs="宋体"/>
                <w:sz w:val="22"/>
                <w:szCs w:val="24"/>
              </w:rPr>
              <w:t xml:space="preserve">2、载荷中心距：500mm；</w:t>
            </w:r>
            <w:r/>
          </w:p>
          <w:p>
            <w:pPr>
              <w:widowControl/>
              <w:rPr>
                <w:rFonts w:hint="eastAsia" w:ascii="宋体" w:hAnsi="宋体" w:cs="宋体"/>
                <w:sz w:val="22"/>
                <w:szCs w:val="24"/>
              </w:rPr>
            </w:pPr>
            <w:r>
              <w:rPr>
                <w:rFonts w:hint="eastAsia" w:ascii="宋体" w:hAnsi="宋体" w:cs="宋体"/>
                <w:sz w:val="22"/>
                <w:szCs w:val="24"/>
              </w:rPr>
              <w:t xml:space="preserve">3、起升高度：3000mm，两级门架；</w:t>
            </w:r>
            <w:r/>
          </w:p>
          <w:p>
            <w:pPr>
              <w:widowControl/>
              <w:rPr>
                <w:rFonts w:hint="eastAsia" w:ascii="宋体" w:hAnsi="宋体" w:cs="宋体"/>
                <w:sz w:val="22"/>
                <w:szCs w:val="24"/>
              </w:rPr>
            </w:pPr>
            <w:r>
              <w:rPr>
                <w:rFonts w:hint="eastAsia" w:ascii="宋体" w:hAnsi="宋体" w:cs="宋体"/>
                <w:sz w:val="22"/>
                <w:szCs w:val="24"/>
              </w:rPr>
              <w:t xml:space="preserve">4、电池：80V 230AH锂电池，65A外置充电器；</w:t>
            </w:r>
            <w:r/>
          </w:p>
          <w:p>
            <w:pPr>
              <w:widowControl/>
              <w:rPr>
                <w:rFonts w:hint="eastAsia" w:ascii="宋体" w:hAnsi="宋体" w:cs="宋体"/>
                <w:sz w:val="22"/>
                <w:szCs w:val="24"/>
              </w:rPr>
            </w:pPr>
            <w:r>
              <w:rPr>
                <w:rFonts w:hint="eastAsia" w:ascii="宋体" w:hAnsi="宋体" w:cs="宋体"/>
                <w:sz w:val="22"/>
                <w:szCs w:val="24"/>
              </w:rPr>
              <w:t xml:space="preserve">5、驱动/起升电机功率：15/24KW；</w:t>
            </w:r>
            <w:r/>
          </w:p>
          <w:p>
            <w:pPr>
              <w:widowControl/>
              <w:rPr>
                <w:rFonts w:hint="eastAsia" w:ascii="宋体" w:hAnsi="宋体" w:cs="宋体"/>
                <w:sz w:val="22"/>
                <w:szCs w:val="24"/>
              </w:rPr>
            </w:pPr>
            <w:r>
              <w:rPr>
                <w:rFonts w:hint="eastAsia" w:ascii="宋体" w:hAnsi="宋体" w:cs="宋体"/>
                <w:sz w:val="22"/>
                <w:szCs w:val="24"/>
              </w:rPr>
              <w:t xml:space="preserve">6、轮胎：四轮充气胎；</w:t>
            </w:r>
            <w:r/>
          </w:p>
          <w:p>
            <w:pPr>
              <w:widowControl/>
              <w:rPr>
                <w:rFonts w:hint="eastAsia" w:ascii="宋体" w:hAnsi="宋体" w:cs="宋体"/>
                <w:sz w:val="22"/>
                <w:szCs w:val="24"/>
              </w:rPr>
            </w:pPr>
            <w:r>
              <w:rPr>
                <w:rFonts w:hint="eastAsia" w:ascii="宋体" w:hAnsi="宋体" w:cs="宋体"/>
                <w:sz w:val="22"/>
                <w:szCs w:val="24"/>
              </w:rPr>
              <w:t xml:space="preserve">7、质保：整车壹年，锂电池陆年或12000H。</w:t>
            </w:r>
            <w:r/>
          </w:p>
          <w:p>
            <w:pPr>
              <w:widowControl/>
              <w:rPr>
                <w:rFonts w:hint="eastAsia" w:ascii="宋体" w:hAnsi="宋体" w:cs="宋体"/>
                <w:sz w:val="22"/>
                <w:szCs w:val="24"/>
              </w:rPr>
            </w:pPr>
            <w:r>
              <w:rPr>
                <w:rFonts w:hint="eastAsia" w:ascii="宋体" w:hAnsi="宋体" w:cs="宋体"/>
                <w:sz w:val="22"/>
                <w:szCs w:val="24"/>
              </w:rPr>
              <w:t xml:space="preserve">二、报价范围</w:t>
            </w:r>
            <w:r/>
          </w:p>
          <w:p>
            <w:pPr>
              <w:widowControl/>
              <w:rPr>
                <w:rFonts w:hint="eastAsia" w:ascii="宋体" w:hAnsi="宋体" w:cs="宋体"/>
                <w:sz w:val="22"/>
                <w:szCs w:val="24"/>
              </w:rPr>
            </w:pPr>
            <w:r>
              <w:rPr>
                <w:rFonts w:hint="eastAsia" w:ascii="宋体" w:hAnsi="宋体" w:cs="宋体"/>
                <w:sz w:val="22"/>
                <w:szCs w:val="24"/>
              </w:rPr>
              <w:t xml:space="preserve">报价包含设备本体、运输、首次充电调试、培训及税金。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pPr>
            <w:r>
              <w:rPr>
                <w:rFonts w:hint="eastAsia"/>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7"/>
            <w:tcW w:w="10485"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地磅</w:t>
            </w:r>
            <w:r/>
          </w:p>
        </w:tc>
      </w:tr>
      <w:tr>
        <w:trPr>
          <w:jc w:val="center"/>
          <w:trHeight w:val="480"/>
        </w:trPr>
        <w:tc>
          <w:tcPr>
            <w:tcW w:w="876" w:type="dxa"/>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104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地磅</w:t>
            </w:r>
            <w:r/>
          </w:p>
        </w:tc>
        <w:tc>
          <w:tcPr>
            <w:tcW w:w="1599"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3×12米</w:t>
            </w:r>
            <w:r/>
          </w:p>
        </w:tc>
        <w:tc>
          <w:tcPr>
            <w:tcW w:w="4187"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t xml:space="preserve">一、技术要求</w:t>
            </w:r>
            <w:r/>
          </w:p>
          <w:p>
            <w:pPr>
              <w:widowControl/>
              <w:rPr>
                <w:rFonts w:hint="eastAsia" w:ascii="宋体" w:hAnsi="宋体" w:cs="宋体"/>
                <w:sz w:val="22"/>
                <w:szCs w:val="24"/>
              </w:rPr>
            </w:pPr>
            <w:r>
              <w:rPr>
                <w:rFonts w:hint="eastAsia" w:ascii="宋体" w:hAnsi="宋体" w:cs="宋体"/>
                <w:sz w:val="22"/>
                <w:szCs w:val="24"/>
              </w:rPr>
              <w:t xml:space="preserve">▲1、传感器： 高精度粮食系统专用数字式30t，数量6只，表面镀铬镍防腐蚀，桥式结构。额定输出2.000mv/v，综合精度±0.02%F.S，蠕变（30分钟）±0.02%F.S，温度系数±0.02%F.S/10℃，最大传输距离16米，安全温度范围-30℃～70℃。配合专用仪表可迅速监测受损传感器，降低维修成本。</w:t>
            </w:r>
            <w:r/>
          </w:p>
          <w:p>
            <w:pPr>
              <w:widowControl/>
              <w:rPr>
                <w:rFonts w:hint="eastAsia" w:ascii="宋体" w:hAnsi="宋体" w:cs="宋体"/>
                <w:sz w:val="22"/>
                <w:szCs w:val="24"/>
              </w:rPr>
            </w:pPr>
            <w:r>
              <w:rPr>
                <w:rFonts w:hint="eastAsia" w:ascii="宋体" w:hAnsi="宋体" w:cs="宋体"/>
                <w:sz w:val="22"/>
                <w:szCs w:val="24"/>
              </w:rPr>
              <w:t xml:space="preserve">2、称体： 3×12米模块式全钢秤台2块拼接，12mm面板，30号槽钢大梁5根，8mm横筋板50cm一档，20mm端板，5mm封底板4道。纵向双限位螺栓+横向链条拉杆，确保称台在±50mm位移内稳定工作。安全过载150%FS（瞬时），极限过载200%FS（5秒内）。按60t承载设计，适用高频率使用场景。</w:t>
            </w:r>
            <w:r/>
          </w:p>
          <w:p>
            <w:pPr>
              <w:widowControl/>
              <w:rPr>
                <w:rFonts w:hint="eastAsia" w:ascii="宋体" w:hAnsi="宋体" w:cs="宋体"/>
                <w:sz w:val="22"/>
                <w:szCs w:val="24"/>
              </w:rPr>
            </w:pPr>
            <w:r>
              <w:rPr>
                <w:rFonts w:hint="eastAsia" w:ascii="宋体" w:hAnsi="宋体" w:cs="宋体"/>
                <w:sz w:val="22"/>
                <w:szCs w:val="24"/>
              </w:rPr>
              <w:t xml:space="preserve">3、称重仪表： DS-8型粮食系统专用汽车衡仪表1台，VFD段码显示，数字式单片机。具备换表免标定功能（输入原表参数即可），支持远程升级与改制，可查看单路传感器输出信号、自动/手动修正四角偏差、自动检测各传感器工作状态，可选配RS232/RS485通讯协议。</w:t>
            </w:r>
            <w:r/>
          </w:p>
          <w:p>
            <w:pPr>
              <w:widowControl/>
              <w:rPr>
                <w:rFonts w:hint="eastAsia" w:ascii="宋体" w:hAnsi="宋体" w:cs="宋体"/>
                <w:sz w:val="22"/>
                <w:szCs w:val="24"/>
              </w:rPr>
            </w:pPr>
            <w:r>
              <w:rPr>
                <w:rFonts w:hint="eastAsia" w:ascii="宋体" w:hAnsi="宋体" w:cs="宋体"/>
                <w:sz w:val="22"/>
                <w:szCs w:val="24"/>
              </w:rPr>
              <w:t xml:space="preserve">4、台面全焊接，表面喷漆防腐。 漆膜厚实耐磨，防腐能力强，整体结构比市场通用型更牢固耐用。</w:t>
            </w:r>
            <w:r/>
          </w:p>
          <w:p>
            <w:pPr>
              <w:widowControl/>
              <w:rPr>
                <w:rFonts w:hint="eastAsia" w:ascii="宋体" w:hAnsi="宋体" w:cs="宋体"/>
                <w:sz w:val="22"/>
                <w:szCs w:val="24"/>
              </w:rPr>
            </w:pPr>
            <w:r>
              <w:rPr>
                <w:rFonts w:hint="eastAsia" w:ascii="宋体" w:hAnsi="宋体" w:cs="宋体"/>
                <w:sz w:val="22"/>
                <w:szCs w:val="24"/>
              </w:rPr>
              <w:t xml:space="preserve">5、配套附件：6芯电子结合箱：1只；爱普生汽车衡专用打印机：1台；50×50预埋件：6套；1.2米电脑桌椅：1套；信号线根据现场施工需要配置。</w:t>
            </w:r>
            <w:r/>
          </w:p>
          <w:p>
            <w:pPr>
              <w:widowControl/>
              <w:rPr>
                <w:rFonts w:hint="eastAsia" w:ascii="宋体" w:hAnsi="宋体" w:cs="宋体"/>
                <w:sz w:val="22"/>
                <w:szCs w:val="24"/>
              </w:rPr>
            </w:pPr>
            <w:r>
              <w:rPr>
                <w:rFonts w:hint="eastAsia" w:ascii="宋体" w:hAnsi="宋体" w:cs="宋体"/>
                <w:sz w:val="22"/>
                <w:szCs w:val="24"/>
              </w:rPr>
              <w:t xml:space="preserve">二、工作内容及报价范围</w:t>
            </w:r>
            <w:r/>
          </w:p>
          <w:p>
            <w:pPr>
              <w:widowControl/>
              <w:rPr>
                <w:rFonts w:hint="eastAsia" w:ascii="宋体" w:hAnsi="宋体" w:cs="宋体"/>
                <w:sz w:val="22"/>
                <w:szCs w:val="24"/>
              </w:rPr>
            </w:pPr>
            <w:r>
              <w:rPr>
                <w:rFonts w:hint="eastAsia" w:ascii="宋体" w:hAnsi="宋体" w:cs="宋体"/>
                <w:sz w:val="22"/>
                <w:szCs w:val="24"/>
              </w:rPr>
              <w:t xml:space="preserve">地磅基础验收： 检查土建基础尺寸、水平度及预埋件位置标高，清理基础表面杂物，确保符合安装条件。</w:t>
            </w:r>
            <w:r/>
          </w:p>
          <w:p>
            <w:pPr>
              <w:widowControl/>
              <w:rPr>
                <w:rFonts w:hint="eastAsia" w:ascii="宋体" w:hAnsi="宋体" w:cs="宋体"/>
                <w:sz w:val="22"/>
                <w:szCs w:val="24"/>
              </w:rPr>
            </w:pPr>
            <w:r>
              <w:rPr>
                <w:rFonts w:hint="eastAsia" w:ascii="宋体" w:hAnsi="宋体" w:cs="宋体"/>
                <w:sz w:val="22"/>
                <w:szCs w:val="24"/>
              </w:rPr>
              <w:t xml:space="preserve">秤台吊装、拼接、就位： 动用汽车吊将两块模块式秤台吊运至基坑上方，完成纵向搭接、螺栓紧固及限位装置安装，精确调整秤台平整度与间隙。</w:t>
            </w:r>
            <w:r/>
          </w:p>
          <w:p>
            <w:pPr>
              <w:widowControl/>
              <w:rPr>
                <w:rFonts w:hint="eastAsia" w:ascii="宋体" w:hAnsi="宋体" w:cs="宋体"/>
                <w:sz w:val="22"/>
                <w:szCs w:val="24"/>
              </w:rPr>
            </w:pPr>
            <w:r>
              <w:rPr>
                <w:rFonts w:hint="eastAsia" w:ascii="宋体" w:hAnsi="宋体" w:cs="宋体"/>
                <w:sz w:val="22"/>
                <w:szCs w:val="24"/>
              </w:rPr>
              <w:t xml:space="preserve">传感器及仪表安装接线： 安装6只30t数字传感器，连接6芯结合箱，敷设信号</w:t>
            </w:r>
            <w:r>
              <w:rPr>
                <w:rFonts w:hint="eastAsia" w:ascii="宋体" w:hAnsi="宋体" w:cs="宋体"/>
                <w:sz w:val="22"/>
                <w:szCs w:val="24"/>
              </w:rPr>
              <w:t xml:space="preserve">线至称重仪表DS-8，安装打印机及电脑桌椅。</w:t>
            </w:r>
            <w:r/>
          </w:p>
          <w:p>
            <w:pPr>
              <w:widowControl/>
              <w:rPr>
                <w:rFonts w:hint="eastAsia" w:ascii="宋体" w:hAnsi="宋体" w:cs="宋体"/>
                <w:sz w:val="22"/>
                <w:szCs w:val="24"/>
              </w:rPr>
            </w:pPr>
            <w:r>
              <w:rPr>
                <w:rFonts w:hint="eastAsia" w:ascii="宋体" w:hAnsi="宋体" w:cs="宋体"/>
                <w:sz w:val="22"/>
                <w:szCs w:val="24"/>
              </w:rPr>
              <w:t xml:space="preserve">计量校准及检定配合： 系统通电调试，进行四角误差修正与标定，配合法定计量机构完成现场检定测试。</w:t>
            </w:r>
            <w:r/>
          </w:p>
          <w:p>
            <w:pPr>
              <w:widowControl/>
              <w:rPr>
                <w:rFonts w:hint="eastAsia" w:ascii="宋体" w:hAnsi="宋体" w:cs="宋体"/>
                <w:sz w:val="22"/>
                <w:szCs w:val="24"/>
              </w:rPr>
            </w:pPr>
            <w:r>
              <w:rPr>
                <w:rFonts w:hint="eastAsia" w:ascii="宋体" w:hAnsi="宋体" w:cs="宋体"/>
                <w:sz w:val="22"/>
                <w:szCs w:val="24"/>
              </w:rPr>
              <w:t xml:space="preserve">报价包含： 安装费、人工费、材料费、机械费（含吊装机械）、管理费、利润、措施项目费、规费、质保费及税金。</w:t>
            </w:r>
            <w:r/>
          </w:p>
        </w:tc>
        <w:tc>
          <w:tcPr>
            <w:tcW w:w="696" w:type="dxa"/>
            <w:vAlign w:val="center"/>
            <w:textDirection w:val="lrTb"/>
            <w:noWrap/>
          </w:tcPr>
          <w:p>
            <w:pPr>
              <w:jc w:val="center"/>
            </w:pPr>
            <w:r>
              <w:rPr>
                <w:rFonts w:hint="eastAsia"/>
              </w:rPr>
              <w:t xml:space="preserve">1</w:t>
            </w:r>
            <w:r/>
          </w:p>
        </w:tc>
        <w:tc>
          <w:tcPr>
            <w:tcW w:w="549" w:type="dxa"/>
            <w:vAlign w:val="center"/>
            <w:textDirection w:val="lrTb"/>
            <w:noWrap/>
          </w:tcPr>
          <w:p>
            <w:pPr>
              <w:jc w:val="center"/>
            </w:pPr>
            <w:r>
              <w:rPr>
                <w:rFonts w:hint="eastAsia"/>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t xml:space="preserve">核心产品</w:t>
            </w:r>
            <w:r/>
          </w:p>
        </w:tc>
      </w:tr>
      <w:tr>
        <w:trPr>
          <w:jc w:val="center"/>
          <w:trHeight w:val="480"/>
        </w:trPr>
        <w:tc>
          <w:tcPr>
            <w:gridSpan w:val="7"/>
            <w:tcW w:w="10485"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bookmarkEnd w:id="197"/>
            <w:r/>
          </w:p>
        </w:tc>
      </w:tr>
    </w:tbl>
    <w:p>
      <w:pPr>
        <w:widowControl/>
        <w:rPr>
          <w:rFonts w:hint="eastAsia" w:ascii="宋体" w:hAnsi="宋体" w:cs="宋体"/>
          <w:sz w:val="24"/>
        </w:rPr>
      </w:pPr>
      <w:r>
        <w:rPr>
          <w:rFonts w:hint="eastAsia" w:ascii="Noto Sans SC" w:hAnsi="Noto Sans SC" w:eastAsia="Noto Sans SC" w:cs="宋体"/>
          <w:color w:val="000000"/>
          <w:sz w:val="27"/>
          <w:szCs w:val="27"/>
        </w:rPr>
        <w:t xml:space="preserve">四、商务要求</w:t>
      </w:r>
      <w:r/>
    </w:p>
    <w:p>
      <w:pPr>
        <w:widowControl/>
        <w:rPr>
          <w:rFonts w:hint="eastAsia" w:ascii="宋体" w:hAnsi="宋体" w:cs="宋体"/>
          <w:sz w:val="24"/>
        </w:rPr>
      </w:pPr>
      <w:r>
        <w:rPr>
          <w:rFonts w:hint="eastAsia" w:ascii="宋体" w:hAnsi="宋体" w:cs="宋体"/>
          <w:sz w:val="24"/>
        </w:rPr>
        <w:t xml:space="preserve">1.报价要求</w:t>
      </w:r>
      <w:r/>
    </w:p>
    <w:p>
      <w:pPr>
        <w:widowControl/>
        <w:rPr>
          <w:rFonts w:hint="eastAsia" w:ascii="宋体" w:hAnsi="宋体" w:cs="宋体"/>
          <w:sz w:val="24"/>
        </w:rPr>
      </w:pPr>
      <w:r>
        <w:rPr>
          <w:rFonts w:hint="eastAsia" w:ascii="宋体" w:hAnsi="宋体" w:cs="宋体"/>
          <w:sz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widowControl/>
        <w:rPr>
          <w:rFonts w:hint="eastAsia" w:ascii="宋体" w:hAnsi="宋体" w:cs="宋体"/>
          <w:sz w:val="24"/>
        </w:rPr>
      </w:pPr>
      <w:r>
        <w:rPr>
          <w:rFonts w:hint="eastAsia" w:ascii="宋体" w:hAnsi="宋体" w:cs="宋体"/>
          <w:sz w:val="24"/>
        </w:rPr>
        <w:t xml:space="preserve">（2）供应商的任何错漏、优惠、竞争性报价不得作为减轻责任、减少服务、增加收费、降低服务质量的理由。</w:t>
      </w:r>
      <w:r/>
    </w:p>
    <w:p>
      <w:pPr>
        <w:widowControl/>
        <w:rPr>
          <w:rFonts w:hint="eastAsia" w:ascii="宋体" w:hAnsi="宋体" w:cs="宋体"/>
          <w:sz w:val="24"/>
        </w:rPr>
      </w:pPr>
      <w:r>
        <w:rPr>
          <w:rFonts w:hint="eastAsia" w:ascii="宋体" w:hAnsi="宋体" w:cs="宋体"/>
          <w:sz w:val="24"/>
        </w:rPr>
        <w:t xml:space="preserve">（3）供应商报价除包含招标文件中列明的项目外，还应包括保障产品正常使用应当具有的物资和服务，对产品正常使用应当具有的物资和服务理解不一致的以采购单位理解为准。</w:t>
      </w:r>
      <w:r/>
    </w:p>
    <w:p>
      <w:pPr>
        <w:widowControl/>
        <w:rPr>
          <w:rFonts w:hint="eastAsia" w:ascii="宋体" w:hAnsi="宋体" w:cs="宋体"/>
          <w:b/>
          <w:sz w:val="24"/>
        </w:rPr>
      </w:pPr>
      <w:r>
        <w:rPr>
          <w:rFonts w:hint="eastAsia" w:ascii="宋体" w:hAnsi="宋体" w:cs="宋体"/>
          <w:sz w:val="24"/>
        </w:rPr>
        <w:t xml:space="preserve">（4）</w:t>
      </w:r>
      <w:r>
        <w:rPr>
          <w:rFonts w:ascii="宋体" w:hAnsi="宋体" w:cs="宋体"/>
          <w:bCs/>
          <w:sz w:val="24"/>
        </w:rPr>
        <w:t xml:space="preserve">本项目执行财库〔2026〕2号《关于推动解决政府采购异常低价问题相关工作的通知》的相关规定。</w:t>
      </w:r>
      <w:r/>
    </w:p>
    <w:p>
      <w:pPr>
        <w:widowControl/>
        <w:rPr>
          <w:rFonts w:hint="eastAsia" w:ascii="宋体" w:hAnsi="宋体" w:cs="宋体"/>
          <w:bCs/>
          <w:sz w:val="24"/>
        </w:rPr>
      </w:pPr>
      <w:r>
        <w:rPr>
          <w:rFonts w:hint="eastAsia" w:ascii="宋体" w:hAnsi="宋体" w:cs="宋体"/>
          <w:bCs/>
          <w:sz w:val="24"/>
        </w:rPr>
        <w:t xml:space="preserve">4</w:t>
      </w:r>
      <w:r>
        <w:rPr>
          <w:rFonts w:ascii="宋体" w:hAnsi="宋体" w:cs="宋体"/>
          <w:bCs/>
          <w:sz w:val="24"/>
        </w:rPr>
        <w:t xml:space="preserve">.1 评审中出现下列情形之一的，评审委员会应当启动异常低价投标（响应）审查程序： </w:t>
      </w:r>
      <w:r/>
    </w:p>
    <w:p>
      <w:pPr>
        <w:widowControl/>
        <w:rPr>
          <w:rFonts w:hint="eastAsia" w:ascii="宋体" w:hAnsi="宋体" w:cs="宋体"/>
          <w:bCs/>
          <w:sz w:val="24"/>
        </w:rPr>
      </w:pPr>
      <w:r>
        <w:rPr>
          <w:rFonts w:ascii="宋体" w:hAnsi="宋体" w:cs="宋体"/>
          <w:bCs/>
          <w:sz w:val="24"/>
        </w:rPr>
        <w:t xml:space="preserve">（1）投标（响应）报价低于全部通过符合性审查供应商投标（响应）报价平均值50%的，即投标（响应）报价&lt;全部通过符合性审查供应商投标（响应）报价平均值×50%； </w:t>
      </w:r>
      <w:r/>
    </w:p>
    <w:p>
      <w:pPr>
        <w:widowControl/>
        <w:rPr>
          <w:rFonts w:hint="eastAsia" w:ascii="宋体" w:hAnsi="宋体" w:cs="宋体"/>
          <w:bCs/>
          <w:sz w:val="24"/>
        </w:rPr>
      </w:pPr>
      <w:r>
        <w:rPr>
          <w:rFonts w:ascii="宋体" w:hAnsi="宋体" w:cs="宋体"/>
          <w:bCs/>
          <w:sz w:val="24"/>
        </w:rPr>
        <w:t xml:space="preserve">（2）投标（响应）报价低于通过符合性审查的次低报价供应商投标（响应）报价50%的，即投标（响应）报价&lt;通过符合性审查的次低报价供应商投标（响应）报价×50%； </w:t>
      </w:r>
      <w:r/>
    </w:p>
    <w:p>
      <w:pPr>
        <w:widowControl/>
        <w:rPr>
          <w:rFonts w:hint="eastAsia" w:ascii="宋体" w:hAnsi="宋体" w:cs="宋体"/>
          <w:bCs/>
          <w:sz w:val="24"/>
        </w:rPr>
      </w:pPr>
      <w:r>
        <w:rPr>
          <w:rFonts w:ascii="宋体" w:hAnsi="宋体" w:cs="宋体"/>
          <w:bCs/>
          <w:sz w:val="24"/>
        </w:rPr>
        <w:t xml:space="preserve">（3）投标（响应）报价低于采购项目最高限价65%的，即投标（响应）报价&lt;采购项目最高限价×65%； </w:t>
      </w:r>
      <w:r/>
    </w:p>
    <w:p>
      <w:pPr>
        <w:widowControl/>
        <w:rPr>
          <w:rFonts w:hint="eastAsia" w:ascii="宋体" w:hAnsi="宋体" w:cs="宋体"/>
          <w:bCs/>
          <w:sz w:val="24"/>
        </w:rPr>
      </w:pPr>
      <w:r>
        <w:rPr>
          <w:rFonts w:ascii="宋体" w:hAnsi="宋体" w:cs="宋体"/>
          <w:bCs/>
          <w:sz w:val="24"/>
        </w:rPr>
        <w:t xml:space="preserve">（4）评审委员会基于专业判断，认为供应商报价过低，有可能影响产品质量或者不能诚信履约的其他情形。 </w:t>
      </w:r>
      <w:r/>
    </w:p>
    <w:p>
      <w:pPr>
        <w:widowControl/>
        <w:rPr>
          <w:rFonts w:hint="eastAsia" w:ascii="宋体" w:hAnsi="宋体" w:cs="宋体"/>
          <w:sz w:val="24"/>
        </w:rPr>
      </w:pPr>
      <w:r>
        <w:rPr>
          <w:rFonts w:ascii="宋体" w:hAnsi="宋体" w:cs="宋体"/>
          <w:bCs/>
          <w:sz w:val="24"/>
        </w:rPr>
        <w:t xml:space="preserve">相关法律法规对供应商报价有规定的，从其规定。</w:t>
      </w:r>
      <w:r/>
    </w:p>
    <w:p>
      <w:pPr>
        <w:widowControl/>
        <w:rPr>
          <w:rFonts w:hint="eastAsia" w:ascii="宋体" w:hAnsi="宋体" w:cs="宋体"/>
          <w:sz w:val="24"/>
        </w:rPr>
      </w:pPr>
      <w:r>
        <w:rPr>
          <w:rFonts w:hint="eastAsia" w:ascii="宋体" w:hAnsi="宋体" w:cs="宋体"/>
          <w:sz w:val="24"/>
        </w:rPr>
        <w:t xml:space="preserve">2.实施要求</w:t>
      </w:r>
      <w:r/>
    </w:p>
    <w:p>
      <w:pPr>
        <w:widowControl/>
        <w:rPr>
          <w:rFonts w:hint="eastAsia" w:ascii="宋体" w:hAnsi="宋体" w:cs="宋体"/>
          <w:sz w:val="24"/>
        </w:rPr>
      </w:pPr>
      <w:r>
        <w:rPr>
          <w:rFonts w:hint="eastAsia" w:ascii="宋体" w:hAnsi="宋体" w:cs="宋体"/>
          <w:sz w:val="24"/>
        </w:rPr>
        <w:t xml:space="preserve">（1）总体要求 该项目以采购人功能实现为目标，对于设备清单中未列出的，为实现</w:t>
      </w:r>
      <w:r/>
    </w:p>
    <w:p>
      <w:pPr>
        <w:widowControl/>
        <w:rPr>
          <w:rFonts w:hint="eastAsia" w:ascii="宋体" w:hAnsi="宋体" w:cs="宋体"/>
          <w:sz w:val="24"/>
        </w:rPr>
      </w:pPr>
      <w:r>
        <w:rPr>
          <w:rFonts w:hint="eastAsia" w:ascii="宋体" w:hAnsi="宋体" w:cs="宋体"/>
          <w:sz w:val="24"/>
        </w:rPr>
        <w:t xml:space="preserve">系统功能所必需的其他各项设备及附件、各种连接件及辅材等均包含在投标报价中不再增加预算。</w:t>
      </w:r>
      <w:r/>
    </w:p>
    <w:p>
      <w:pPr>
        <w:widowControl/>
        <w:rPr>
          <w:rFonts w:hint="eastAsia" w:ascii="宋体" w:hAnsi="宋体" w:cs="宋体"/>
          <w:sz w:val="24"/>
        </w:rPr>
      </w:pPr>
      <w:r>
        <w:rPr>
          <w:rFonts w:hint="eastAsia" w:ascii="宋体" w:hAnsi="宋体" w:cs="宋体"/>
          <w:sz w:val="24"/>
        </w:rPr>
        <w:t xml:space="preserve">（2）质量要求 </w:t>
      </w:r>
      <w:r/>
    </w:p>
    <w:p>
      <w:pPr>
        <w:widowControl/>
        <w:rPr>
          <w:rFonts w:hint="eastAsia" w:ascii="宋体" w:hAnsi="宋体" w:cs="宋体"/>
          <w:sz w:val="24"/>
        </w:rPr>
      </w:pPr>
      <w:r>
        <w:rPr>
          <w:rFonts w:hint="eastAsia" w:ascii="宋体" w:hAnsi="宋体" w:cs="宋体"/>
          <w:sz w:val="24"/>
        </w:rPr>
        <w:t xml:space="preserve">① 供应商中标后应提供主要设备完整的质量证明文件（包括但不限于出厂合格证、检验报告、主要外购件品牌证明等），确保设备及材料来源可追溯。</w:t>
      </w:r>
      <w:r/>
    </w:p>
    <w:p>
      <w:pPr>
        <w:widowControl/>
        <w:rPr>
          <w:rFonts w:hint="eastAsia" w:ascii="宋体" w:hAnsi="宋体" w:cs="宋体"/>
          <w:sz w:val="24"/>
        </w:rPr>
      </w:pPr>
      <w:r>
        <w:rPr>
          <w:rFonts w:hint="eastAsia" w:ascii="宋体" w:hAnsi="宋体" w:cs="宋体"/>
          <w:sz w:val="24"/>
        </w:rPr>
        <w:t xml:space="preserve">② 质量保证期：</w:t>
      </w:r>
      <w:r/>
    </w:p>
    <w:p>
      <w:pPr>
        <w:widowControl/>
        <w:rPr>
          <w:rFonts w:hint="eastAsia" w:ascii="宋体" w:hAnsi="宋体" w:cs="宋体"/>
          <w:sz w:val="24"/>
        </w:rPr>
      </w:pPr>
      <w:r>
        <w:rPr>
          <w:rFonts w:hint="eastAsia" w:ascii="宋体" w:hAnsi="宋体" w:cs="宋体"/>
          <w:sz w:val="24"/>
        </w:rPr>
        <w:t xml:space="preserve">本项目所供设备、材料及安装的质量保证期自最终验收合格之日起计算，不低于3年。供应商应评估由此产生的成本并包含在投标报价中。</w:t>
      </w:r>
      <w:r/>
    </w:p>
    <w:p>
      <w:pPr>
        <w:widowControl/>
        <w:rPr>
          <w:rFonts w:hint="eastAsia" w:ascii="宋体" w:hAnsi="宋体" w:cs="宋体"/>
          <w:sz w:val="24"/>
        </w:rPr>
      </w:pPr>
      <w:r>
        <w:rPr>
          <w:rFonts w:hint="eastAsia" w:ascii="宋体" w:hAnsi="宋体" w:cs="宋体"/>
          <w:sz w:val="24"/>
        </w:rPr>
        <w:t xml:space="preserve">质量保证期内，因设备自身设计、制造、材料或安装质量原因导致的任何故障或损坏，供应商应免费维修或更换，并承担由此产生的一切费用（包括但不限于人工费、材料费、运输费、差旅费等）。</w:t>
      </w:r>
      <w:r/>
    </w:p>
    <w:p>
      <w:pPr>
        <w:widowControl/>
        <w:rPr>
          <w:rFonts w:hint="eastAsia" w:ascii="宋体" w:hAnsi="宋体" w:cs="宋体"/>
          <w:sz w:val="24"/>
        </w:rPr>
      </w:pPr>
      <w:r>
        <w:rPr>
          <w:rFonts w:hint="eastAsia" w:ascii="宋体" w:hAnsi="宋体" w:cs="宋体"/>
          <w:sz w:val="24"/>
        </w:rPr>
        <w:t xml:space="preserve">主要部件（包括但不限于砻谷机胶辊及变速箱、碾米机砂辊及主轴、色选机传感器及喷阀、提升机头轮尾轮及减速机、空压机主机头、抛光机主轴及轴承等）在质量保证期内发生质量问题的，更换后的部件质保期自更换之日起重新计算。</w:t>
      </w:r>
      <w:r/>
    </w:p>
    <w:p>
      <w:pPr>
        <w:widowControl/>
        <w:rPr>
          <w:rFonts w:hint="eastAsia" w:ascii="宋体" w:hAnsi="宋体" w:cs="宋体"/>
          <w:sz w:val="24"/>
        </w:rPr>
      </w:pPr>
      <w:r>
        <w:rPr>
          <w:rFonts w:hint="eastAsia" w:ascii="宋体" w:hAnsi="宋体" w:cs="宋体"/>
          <w:sz w:val="24"/>
        </w:rPr>
        <w:t xml:space="preserve">③ 质保期内的服务响应：</w:t>
      </w:r>
      <w:r/>
    </w:p>
    <w:p>
      <w:pPr>
        <w:widowControl/>
        <w:rPr>
          <w:rFonts w:hint="eastAsia" w:ascii="宋体" w:hAnsi="宋体" w:cs="宋体"/>
          <w:sz w:val="24"/>
        </w:rPr>
      </w:pPr>
      <w:r>
        <w:rPr>
          <w:rFonts w:hint="eastAsia" w:ascii="宋体" w:hAnsi="宋体" w:cs="宋体"/>
          <w:sz w:val="24"/>
        </w:rPr>
        <w:t xml:space="preserve">供应商须在接到采购人报修通知后2小时内作出响应，24小时内派技术人员到达现场处理一般故障，48小时内解决故障。如无法在规定时间内修复，供应商须提供备用设备或应急方案，确保采购人生产不受重大影响。</w:t>
      </w:r>
      <w:r/>
    </w:p>
    <w:p>
      <w:pPr>
        <w:widowControl/>
        <w:rPr>
          <w:rFonts w:hint="eastAsia" w:ascii="宋体" w:hAnsi="宋体" w:cs="宋体"/>
          <w:sz w:val="24"/>
        </w:rPr>
      </w:pPr>
      <w:r>
        <w:rPr>
          <w:rFonts w:hint="eastAsia" w:ascii="宋体" w:hAnsi="宋体" w:cs="宋体"/>
          <w:sz w:val="24"/>
        </w:rPr>
      </w:r>
      <w:r/>
    </w:p>
    <w:p>
      <w:pPr>
        <w:widowControl/>
        <w:rPr>
          <w:rFonts w:hint="eastAsia" w:ascii="宋体" w:hAnsi="宋体" w:cs="宋体"/>
          <w:sz w:val="24"/>
        </w:rPr>
      </w:pPr>
      <w:r>
        <w:rPr>
          <w:rFonts w:hint="eastAsia" w:ascii="宋体" w:hAnsi="宋体" w:cs="宋体"/>
          <w:sz w:val="24"/>
        </w:rPr>
        <w:t xml:space="preserve">质量保证期内，供应商每年应提供不少于2次的免费设备巡检和保养服务，并出具书面巡检报告。</w:t>
      </w:r>
      <w:r/>
    </w:p>
    <w:p>
      <w:pPr>
        <w:widowControl/>
        <w:rPr>
          <w:rFonts w:hint="eastAsia" w:ascii="宋体" w:hAnsi="宋体" w:cs="宋体"/>
          <w:sz w:val="24"/>
        </w:rPr>
      </w:pPr>
      <w:r>
        <w:rPr>
          <w:rFonts w:hint="eastAsia" w:ascii="宋体" w:hAnsi="宋体" w:cs="宋体"/>
          <w:sz w:val="24"/>
        </w:rPr>
        <w:t xml:space="preserve">④ 备品备件供应：</w:t>
      </w:r>
      <w:r/>
    </w:p>
    <w:p>
      <w:pPr>
        <w:widowControl/>
        <w:rPr>
          <w:rFonts w:hint="eastAsia" w:ascii="宋体" w:hAnsi="宋体" w:cs="宋体"/>
          <w:sz w:val="24"/>
        </w:rPr>
      </w:pPr>
      <w:r>
        <w:rPr>
          <w:rFonts w:hint="eastAsia" w:ascii="宋体" w:hAnsi="宋体" w:cs="宋体"/>
          <w:sz w:val="24"/>
        </w:rPr>
        <w:t xml:space="preserve">供应商须在投标文件中提供主要易损件清单（包括胶辊、砂辊、筛片、畚斗、脉冲布袋、色选机喷阀等）及报价，并承诺在质保期内及质保期满后10年内以优惠价格供应原厂正品备件。</w:t>
      </w:r>
      <w:r/>
    </w:p>
    <w:p>
      <w:pPr>
        <w:widowControl/>
        <w:rPr>
          <w:rFonts w:hint="eastAsia" w:ascii="宋体" w:hAnsi="宋体" w:cs="宋体"/>
          <w:sz w:val="24"/>
        </w:rPr>
      </w:pPr>
      <w:r>
        <w:rPr>
          <w:rFonts w:hint="eastAsia" w:ascii="宋体" w:hAnsi="宋体" w:cs="宋体"/>
          <w:sz w:val="24"/>
        </w:rPr>
        <w:t xml:space="preserve">质保期内因设备质量问题更换的易损件，费用由供应商承担。</w:t>
      </w:r>
      <w:r/>
    </w:p>
    <w:p>
      <w:pPr>
        <w:widowControl/>
        <w:rPr>
          <w:rFonts w:hint="eastAsia" w:ascii="宋体" w:hAnsi="宋体" w:cs="宋体"/>
          <w:sz w:val="24"/>
        </w:rPr>
      </w:pPr>
      <w:r>
        <w:rPr>
          <w:rFonts w:hint="eastAsia" w:ascii="宋体" w:hAnsi="宋体" w:cs="宋体"/>
          <w:sz w:val="24"/>
        </w:rPr>
        <w:t xml:space="preserve">⑤ 所有钢结构件（平台、支架、风管）焊接后必须进行彻底除锈处理，表面喷塑/喷涂要求：涂层应平整光滑、无裂纹、起泡、流挂或脱落，漆膜厚度均匀，颜色由招标人指定。</w:t>
      </w:r>
      <w:r/>
    </w:p>
    <w:p>
      <w:pPr>
        <w:widowControl/>
        <w:rPr>
          <w:rFonts w:hint="eastAsia" w:ascii="宋体" w:hAnsi="宋体" w:cs="宋体"/>
          <w:sz w:val="24"/>
        </w:rPr>
      </w:pPr>
      <w:r>
        <w:rPr>
          <w:rFonts w:hint="eastAsia" w:ascii="宋体" w:hAnsi="宋体" w:cs="宋体"/>
          <w:sz w:val="24"/>
        </w:rPr>
        <w:t xml:space="preserve">⑥ 主机设备控制柜及现场控制箱内电气元件（交流接触器、断路器、热继电器等）应采用正泰、德力西或同等及以上品牌产品。</w:t>
      </w:r>
      <w:r/>
    </w:p>
    <w:p>
      <w:pPr>
        <w:widowControl/>
        <w:rPr>
          <w:rFonts w:hint="eastAsia" w:ascii="宋体" w:hAnsi="宋体" w:cs="宋体"/>
          <w:sz w:val="24"/>
        </w:rPr>
      </w:pPr>
      <w:r>
        <w:rPr>
          <w:rFonts w:hint="eastAsia" w:ascii="宋体" w:hAnsi="宋体" w:cs="宋体"/>
          <w:sz w:val="24"/>
        </w:rPr>
        <w:t xml:space="preserve">⑦ 所有溜管、缓冲斗内部与粮食接触面必须内贴耐磨玻璃或采用不锈钢材质，角度需保证物料依靠自重顺畅滑落，无残留死角。</w:t>
      </w:r>
      <w:r/>
    </w:p>
    <w:p>
      <w:pPr>
        <w:widowControl/>
        <w:rPr>
          <w:rFonts w:hint="eastAsia" w:ascii="宋体" w:hAnsi="宋体" w:cs="宋体"/>
          <w:sz w:val="24"/>
        </w:rPr>
      </w:pPr>
      <w:r>
        <w:rPr>
          <w:rFonts w:hint="eastAsia" w:ascii="宋体" w:hAnsi="宋体" w:cs="宋体"/>
          <w:sz w:val="24"/>
        </w:rPr>
        <w:t xml:space="preserve">⑧ 质保期后的服务承诺：供应商须承诺质保期满后继续提供维修服务，服务响应时间与质保期内一致，维修费用按优惠价格收取，并提供长期技术支持。</w:t>
      </w:r>
      <w:r/>
    </w:p>
    <w:p>
      <w:pPr>
        <w:widowControl/>
        <w:rPr>
          <w:rFonts w:hint="eastAsia" w:ascii="宋体" w:hAnsi="宋体" w:cs="宋体"/>
          <w:sz w:val="24"/>
        </w:rPr>
      </w:pPr>
      <w:r>
        <w:rPr>
          <w:rFonts w:hint="eastAsia" w:ascii="宋体" w:hAnsi="宋体" w:cs="宋体"/>
          <w:sz w:val="24"/>
        </w:rPr>
        <w:t xml:space="preserve">（3）验收要求 采购人有权委托依法取得检测、认证资质的机构进行检测、认证；采购人有权委托第三方监理负责或协助采购人全程参与验收过程，对供应商的实施过程和实施结果进行专业验收；采购人有权邀请参与竞标的其他供应商参与验收。 </w:t>
      </w:r>
      <w:r/>
    </w:p>
    <w:p>
      <w:pPr>
        <w:widowControl/>
        <w:rPr>
          <w:rFonts w:hint="eastAsia" w:ascii="宋体" w:hAnsi="宋体" w:cs="宋体"/>
          <w:sz w:val="24"/>
        </w:rPr>
      </w:pPr>
      <w:r>
        <w:rPr>
          <w:rFonts w:hint="eastAsia" w:ascii="宋体" w:hAnsi="宋体" w:cs="宋体"/>
          <w:sz w:val="24"/>
        </w:rPr>
        <w:t xml:space="preserve">①验收标准 符合国家标准、行业标准或本文件约定的技术参数。  </w:t>
      </w:r>
      <w:r/>
    </w:p>
    <w:p>
      <w:pPr>
        <w:widowControl/>
        <w:rPr>
          <w:rFonts w:hint="eastAsia" w:ascii="宋体" w:hAnsi="宋体" w:cs="宋体"/>
          <w:sz w:val="24"/>
        </w:rPr>
      </w:pPr>
      <w:r>
        <w:rPr>
          <w:rFonts w:hint="eastAsia" w:ascii="宋体" w:hAnsi="宋体" w:cs="宋体"/>
          <w:sz w:val="24"/>
        </w:rPr>
        <w:t xml:space="preserve">②验收结果 合格确认：在全面评估履约效果，确保符合所有技术和服务要求，验收通过后签署《验收报告》，作为付款依据（如合同设备在考核中达到或视为达到技术性能考核指标，则采购人与供应商双方应在考核完成后7日内或专用合同条款另行约定的时间内签署合同设备验收证书一式二份，双方各持一份）。 不合格处理：供应商须限期整改，在7–15日内修复问题并重新验收。 违约责任：整改后仍不合格的，采购人可要求降价、换货、解除合同或索赔（合同总额15%–20%的违约金）并要求供应商承担采购人的一切损失。</w:t>
      </w:r>
      <w:r/>
    </w:p>
    <w:p>
      <w:pPr>
        <w:widowControl/>
        <w:rPr>
          <w:rFonts w:hint="eastAsia" w:ascii="宋体" w:hAnsi="宋体" w:cs="宋体"/>
          <w:sz w:val="24"/>
        </w:rPr>
      </w:pPr>
      <w:r>
        <w:rPr>
          <w:rFonts w:hint="eastAsia" w:ascii="宋体" w:hAnsi="宋体" w:cs="宋体"/>
          <w:sz w:val="24"/>
        </w:rPr>
        <w:t xml:space="preserve">③付款条件</w:t>
      </w:r>
      <w:r/>
    </w:p>
    <w:p>
      <w:pPr>
        <w:widowControl/>
        <w:rPr>
          <w:rFonts w:hint="eastAsia" w:ascii="宋体" w:hAnsi="宋体" w:cs="宋体"/>
          <w:sz w:val="24"/>
        </w:rPr>
      </w:pPr>
      <w:r>
        <w:rPr>
          <w:rFonts w:hint="eastAsia" w:ascii="宋体" w:hAnsi="宋体" w:cs="宋体"/>
          <w:sz w:val="24"/>
        </w:rPr>
        <w:t xml:space="preserve">以第三章合同文本内容为准。</w:t>
      </w:r>
      <w:r/>
    </w:p>
    <w:p>
      <w:pPr>
        <w:widowControl/>
        <w:rPr>
          <w:rFonts w:hint="eastAsia" w:ascii="宋体" w:hAnsi="宋体" w:cs="宋体"/>
          <w:sz w:val="24"/>
        </w:rPr>
      </w:pPr>
      <w:r>
        <w:rPr>
          <w:rFonts w:ascii="宋体" w:hAnsi="宋体" w:cs="宋体"/>
          <w:sz w:val="24"/>
        </w:rPr>
        <w:t xml:space="preserve">④</w:t>
      </w:r>
      <w:r>
        <w:rPr>
          <w:rFonts w:hint="eastAsia" w:ascii="宋体" w:hAnsi="宋体" w:cs="宋体"/>
          <w:sz w:val="24"/>
        </w:rPr>
        <w:t xml:space="preserve">交付时间及地点</w:t>
      </w:r>
      <w:r/>
    </w:p>
    <w:p>
      <w:pPr>
        <w:widowControl/>
        <w:rPr>
          <w:rFonts w:hint="eastAsia" w:ascii="宋体" w:hAnsi="宋体" w:cs="宋体"/>
          <w:sz w:val="24"/>
        </w:rPr>
      </w:pPr>
      <w:r>
        <w:rPr>
          <w:rFonts w:hint="eastAsia" w:ascii="宋体" w:hAnsi="宋体" w:cs="宋体"/>
          <w:sz w:val="24"/>
        </w:rPr>
        <w:t xml:space="preserve">（1）交付时间：合同签订后</w:t>
      </w:r>
      <w:r>
        <w:rPr>
          <w:rFonts w:ascii="宋体" w:hAnsi="宋体" w:cs="宋体"/>
          <w:sz w:val="24"/>
        </w:rPr>
        <w:t xml:space="preserve">30</w:t>
      </w:r>
      <w:r>
        <w:rPr>
          <w:rFonts w:hint="eastAsia" w:ascii="宋体" w:hAnsi="宋体" w:cs="宋体"/>
          <w:sz w:val="24"/>
        </w:rPr>
        <w:t xml:space="preserve">天内完成货物交付。</w:t>
      </w:r>
      <w:r/>
    </w:p>
    <w:p>
      <w:pPr>
        <w:widowControl/>
        <w:rPr>
          <w:rFonts w:hint="eastAsia" w:ascii="宋体" w:hAnsi="宋体" w:cs="宋体"/>
          <w:sz w:val="24"/>
        </w:rPr>
      </w:pPr>
      <w:r>
        <w:rPr>
          <w:rFonts w:hint="eastAsia" w:ascii="宋体" w:hAnsi="宋体" w:cs="宋体"/>
          <w:sz w:val="24"/>
        </w:rPr>
        <w:t xml:space="preserve">（2）交付地点：采购人指定地点。供应商负责将货物运到上述地点，货物安全和由此产生的费用由供应商负责。</w:t>
      </w:r>
      <w:r/>
    </w:p>
    <w:p>
      <w:pPr>
        <w:widowControl/>
        <w:rPr>
          <w:rFonts w:hint="eastAsia" w:ascii="宋体" w:hAnsi="宋体" w:cs="宋体"/>
          <w:sz w:val="24"/>
        </w:rPr>
      </w:pPr>
      <w:r>
        <w:rPr>
          <w:rFonts w:hint="eastAsia" w:ascii="宋体" w:hAnsi="宋体" w:cs="宋体"/>
          <w:sz w:val="24"/>
        </w:rPr>
        <w:t xml:space="preserve">⑤其他要求</w:t>
      </w:r>
      <w:r/>
    </w:p>
    <w:p>
      <w:pPr>
        <w:widowControl/>
        <w:rPr>
          <w:rFonts w:hint="eastAsia" w:ascii="宋体" w:hAnsi="宋体" w:cs="宋体"/>
          <w:sz w:val="24"/>
        </w:rPr>
      </w:pPr>
      <w:r>
        <w:rPr>
          <w:rFonts w:hint="eastAsia" w:ascii="宋体" w:hAnsi="宋体" w:cs="宋体"/>
          <w:sz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widowControl/>
        <w:rPr>
          <w:rFonts w:hint="eastAsia" w:ascii="宋体" w:hAnsi="宋体" w:cs="宋体"/>
          <w:sz w:val="24"/>
        </w:rPr>
      </w:pPr>
      <w:r>
        <w:rPr>
          <w:rFonts w:hint="eastAsia" w:ascii="宋体" w:hAnsi="宋体" w:cs="宋体"/>
          <w:sz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right="840"/>
        <w:jc w:val="center"/>
        <w:rPr>
          <w:rFonts w:ascii="黑体" w:eastAsia="黑体"/>
          <w:b/>
          <w:sz w:val="32"/>
          <w:szCs w:val="36"/>
        </w:rPr>
      </w:pPr>
      <w:r>
        <w:rPr>
          <w:rFonts w:ascii="黑体" w:eastAsia="黑体"/>
          <w:b/>
          <w:sz w:val="32"/>
          <w:szCs w:val="36"/>
        </w:rPr>
      </w:r>
      <w:r/>
    </w:p>
    <w:p>
      <w:pPr>
        <w:ind w:right="840"/>
      </w:pPr>
      <w:r/>
      <w:r/>
    </w:p>
    <w:p>
      <w:pPr>
        <w:pStyle w:val="704"/>
        <w:ind w:firstLine="0"/>
        <w:rPr>
          <w:rFonts w:hint="eastAsia" w:cs="宋体"/>
          <w:sz w:val="24"/>
        </w:rPr>
      </w:pPr>
      <w:r>
        <w:rPr>
          <w:rFonts w:hint="eastAsia" w:cs="宋体"/>
          <w:sz w:val="24"/>
        </w:rPr>
        <w:t xml:space="preserve"> </w:t>
      </w:r>
      <w:r/>
    </w:p>
    <w:p>
      <w:pPr>
        <w:ind w:right="840"/>
        <w:jc w:val="center"/>
        <w:rPr>
          <w:rFonts w:ascii="黑体" w:eastAsia="黑体"/>
          <w:b/>
          <w:sz w:val="32"/>
          <w:szCs w:val="36"/>
        </w:rPr>
      </w:pPr>
      <w:r/>
      <w:bookmarkStart w:id="198" w:name="_Toc120614281"/>
      <w:r/>
      <w:r/>
    </w:p>
    <w:p>
      <w:pPr>
        <w:ind w:right="840"/>
        <w:jc w:val="center"/>
        <w:rPr>
          <w:rFonts w:hint="eastAsia" w:ascii="方正小标宋简体" w:hAnsi="方正小标宋简体" w:eastAsia="方正小标宋简体" w:cs="方正小标宋简体"/>
          <w:sz w:val="36"/>
          <w:szCs w:val="36"/>
        </w:rPr>
      </w:pPr>
      <w:r>
        <w:rPr>
          <w:rFonts w:ascii="黑体" w:eastAsia="黑体"/>
          <w:b/>
          <w:sz w:val="32"/>
          <w:szCs w:val="36"/>
        </w:rPr>
        <w:br w:type="page" w:clear="all"/>
      </w:r>
      <w:r>
        <w:rPr>
          <w:rFonts w:hint="eastAsia" w:ascii="方正小标宋简体" w:hAnsi="方正小标宋简体" w:eastAsia="方正小标宋简体" w:cs="方正小标宋简体"/>
          <w:sz w:val="36"/>
          <w:szCs w:val="36"/>
        </w:rPr>
        <w:t xml:space="preserve">第五章  评标方法与评标标准</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一、评标方法</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1.采用综合评分法，评标结果按评审后得分由高到低顺序排列。得分相同的，按投标报价由低到高顺序排列。得分且投标报价相同的，按“三、评标标准中</w:t>
      </w:r>
      <w:r>
        <w:rPr>
          <w:rFonts w:ascii="宋体" w:hAnsi="宋体"/>
          <w:sz w:val="24"/>
          <w:szCs w:val="24"/>
        </w:rPr>
        <w:t xml:space="preserve">2</w:t>
      </w:r>
      <w:r>
        <w:rPr>
          <w:rFonts w:hint="eastAsia" w:ascii="宋体" w:hAnsi="宋体"/>
          <w:sz w:val="24"/>
          <w:szCs w:val="24"/>
        </w:rPr>
        <w:t xml:space="preserve">服务项</w:t>
      </w:r>
      <w:r>
        <w:rPr>
          <w:rFonts w:hint="eastAsia" w:ascii="宋体" w:hAnsi="宋体" w:cs="宋体"/>
          <w:sz w:val="24"/>
          <w:szCs w:val="24"/>
        </w:rPr>
        <w:t xml:space="preserve">”得分由高到低顺序排列。在投标文件满足招标文件全部实质性要求的供应商中，按照评审得分由高到低推荐</w:t>
      </w:r>
      <w:r>
        <w:rPr>
          <w:rFonts w:ascii="宋体" w:hAnsi="宋体"/>
          <w:sz w:val="24"/>
          <w:szCs w:val="24"/>
        </w:rPr>
        <w:t xml:space="preserve">1</w:t>
      </w:r>
      <w:r>
        <w:rPr>
          <w:rFonts w:hint="eastAsia" w:ascii="宋体" w:hAnsi="宋体"/>
          <w:sz w:val="24"/>
          <w:szCs w:val="24"/>
        </w:rPr>
        <w:t xml:space="preserve">名</w:t>
      </w:r>
      <w:r>
        <w:rPr>
          <w:rFonts w:hint="eastAsia" w:ascii="宋体" w:hAnsi="宋体" w:cs="宋体"/>
          <w:sz w:val="24"/>
          <w:szCs w:val="24"/>
        </w:rPr>
        <w:t xml:space="preserve">中标候选人。</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2.核心产品评审。多家供应商提供的核心产品品牌相同的，按一家供应商计算，评审后得分最高的同品牌供应商获得中标人推荐资格。</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二、小微企业价格扣除</w:t>
      </w:r>
      <w:r/>
    </w:p>
    <w:p>
      <w:pPr>
        <w:ind w:firstLine="480"/>
        <w:spacing w:line="264" w:lineRule="auto"/>
        <w:rPr>
          <w:rFonts w:hint="eastAsia" w:ascii="宋体" w:hAnsi="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本项目全部货物制造商为小微企业的，</w:t>
      </w:r>
      <w:r>
        <w:rPr>
          <w:rFonts w:hint="eastAsia" w:ascii="宋体" w:hAnsi="宋体" w:cs="宋体"/>
          <w:sz w:val="24"/>
          <w:szCs w:val="24"/>
        </w:rPr>
        <w:t xml:space="preserve">对报价给予</w:t>
      </w:r>
      <w:r>
        <w:rPr>
          <w:rFonts w:hint="eastAsia" w:ascii="宋体" w:hAnsi="宋体"/>
          <w:sz w:val="24"/>
          <w:szCs w:val="24"/>
          <w:lang w:val="zh-CN"/>
        </w:rPr>
        <w:t xml:space="preserve">10%</w:t>
      </w:r>
      <w:r>
        <w:rPr>
          <w:rFonts w:hint="eastAsia" w:ascii="宋体" w:hAnsi="宋体" w:cs="宋体"/>
          <w:sz w:val="24"/>
          <w:szCs w:val="24"/>
        </w:rPr>
        <w:t xml:space="preserve">的扣除，用扣除后的价格参与评审。</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ind w:firstLine="482"/>
        <w:spacing w:line="264" w:lineRule="auto"/>
        <w:rPr>
          <w:rFonts w:hint="eastAsia" w:ascii="宋体" w:hAnsi="宋体" w:cs="宋体"/>
          <w:sz w:val="24"/>
          <w:szCs w:val="24"/>
        </w:rPr>
      </w:pPr>
      <w:r>
        <w:rPr>
          <w:rFonts w:hint="eastAsia" w:ascii="宋体" w:hAnsi="宋体" w:cs="宋体"/>
          <w:b/>
          <w:bCs/>
          <w:sz w:val="24"/>
          <w:szCs w:val="24"/>
        </w:rPr>
        <w:t xml:space="preserve">3.上述价格扣除政策仅适用于“非专门面向中小企业采购项目”</w:t>
      </w:r>
      <w:r>
        <w:rPr>
          <w:rFonts w:hint="eastAsia" w:ascii="宋体" w:hAnsi="宋体" w:cs="宋体"/>
          <w:sz w:val="24"/>
          <w:szCs w:val="24"/>
        </w:rPr>
        <w:t xml:space="preserve">。</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备注：</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（1）本项目如专门面向中小企业采购，则不执行价格扣除政策，</w:t>
      </w:r>
      <w:r>
        <w:rPr>
          <w:rFonts w:hint="eastAsia" w:ascii="宋体" w:hAnsi="宋体" w:cs="宋体"/>
          <w:sz w:val="24"/>
          <w:szCs w:val="24"/>
          <w:lang w:val="zh-CN"/>
        </w:rPr>
        <w:t xml:space="preserve">供应商应为中小微企业、监狱企业、残疾人福利性单位。</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本项目如允许联合体参加投标或允许分包履行合同，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4%/6%</w:t>
      </w:r>
      <w:r>
        <w:rPr>
          <w:rFonts w:hint="eastAsia" w:ascii="宋体" w:hAnsi="宋体"/>
          <w:sz w:val="24"/>
          <w:szCs w:val="24"/>
        </w:rPr>
        <w:t xml:space="preserve">的扣除（500万元（含）以上的项目为4%，500万元以内的项目为6%），</w:t>
      </w:r>
      <w:r>
        <w:rPr>
          <w:rFonts w:hint="eastAsia" w:ascii="宋体" w:hAnsi="宋体" w:cs="宋体"/>
          <w:sz w:val="24"/>
          <w:szCs w:val="24"/>
        </w:rPr>
        <w:t xml:space="preserve">用扣除后的价格参与评审。</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（3）联合体各方均为小型、微型企业（或残疾人福利性单位、监狱企业）的，给予与小微企业相同的价格扣除，用扣除后的价格参与评审。</w:t>
      </w:r>
      <w:r/>
    </w:p>
    <w:p>
      <w:pPr>
        <w:ind w:firstLine="480"/>
        <w:spacing w:line="264" w:lineRule="auto"/>
      </w:pPr>
      <w:r>
        <w:rPr>
          <w:rFonts w:hint="eastAsia" w:ascii="黑体" w:hAnsi="黑体" w:eastAsia="黑体" w:cs="黑体"/>
          <w:sz w:val="24"/>
          <w:szCs w:val="24"/>
        </w:rPr>
        <w:t xml:space="preserve">三、评标标准</w:t>
      </w:r>
      <w:r/>
    </w:p>
    <w:tbl>
      <w:tblPr>
        <w:tblW w:w="5247" w:type="pct"/>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854"/>
        <w:gridCol w:w="7513"/>
        <w:gridCol w:w="669"/>
      </w:tblGrid>
      <w:tr>
        <w:trPr/>
        <w:tc>
          <w:tcPr>
            <w:tcBorders>
              <w:top w:val="single" w:color="000000" w:sz="4" w:space="0"/>
              <w:left w:val="single" w:color="000000" w:sz="4" w:space="0"/>
              <w:bottom w:val="single" w:color="000000" w:sz="4" w:space="0"/>
              <w:right w:val="single" w:color="000000" w:sz="4" w:space="0"/>
            </w:tcBorders>
            <w:tcW w:w="364" w:type="pct"/>
            <w:textDirection w:val="lrTb"/>
            <w:noWrap/>
          </w:tcPr>
          <w:p>
            <w:pPr>
              <w:rPr>
                <w:sz w:val="22"/>
                <w:szCs w:val="28"/>
              </w:rPr>
            </w:pPr>
            <w:r>
              <w:rPr>
                <w:rFonts w:hint="eastAsia"/>
                <w:szCs w:val="28"/>
              </w:rPr>
              <w:t xml:space="preserve">序号</w:t>
            </w:r>
            <w:r/>
          </w:p>
        </w:tc>
        <w:tc>
          <w:tcPr>
            <w:tcBorders>
              <w:top w:val="single" w:color="000000" w:sz="4" w:space="0"/>
              <w:left w:val="single" w:color="000000" w:sz="4" w:space="0"/>
              <w:bottom w:val="single" w:color="000000" w:sz="4" w:space="0"/>
              <w:right w:val="single" w:color="000000" w:sz="4" w:space="0"/>
            </w:tcBorders>
            <w:tcW w:w="438" w:type="pct"/>
            <w:textDirection w:val="lrTb"/>
            <w:noWrap/>
          </w:tcPr>
          <w:p>
            <w:pPr>
              <w:jc w:val="center"/>
              <w:rPr>
                <w:szCs w:val="28"/>
              </w:rPr>
            </w:pPr>
            <w:r>
              <w:rPr>
                <w:rFonts w:hint="eastAsia"/>
                <w:szCs w:val="28"/>
              </w:rPr>
              <w:t xml:space="preserve">评审因素</w:t>
            </w:r>
            <w:r/>
          </w:p>
        </w:tc>
        <w:tc>
          <w:tcPr>
            <w:tcBorders>
              <w:top w:val="single" w:color="000000" w:sz="4" w:space="0"/>
              <w:left w:val="single" w:color="000000" w:sz="4" w:space="0"/>
              <w:bottom w:val="single" w:color="000000" w:sz="4" w:space="0"/>
              <w:right w:val="single" w:color="000000" w:sz="4" w:space="0"/>
            </w:tcBorders>
            <w:tcW w:w="3855" w:type="pct"/>
            <w:textDirection w:val="lrTb"/>
            <w:noWrap/>
          </w:tcPr>
          <w:p>
            <w:pPr>
              <w:jc w:val="center"/>
              <w:rPr>
                <w:szCs w:val="28"/>
              </w:rPr>
            </w:pPr>
            <w:r>
              <w:rPr>
                <w:rFonts w:hint="eastAsia"/>
                <w:szCs w:val="28"/>
              </w:rPr>
              <w:t xml:space="preserve">评审细则</w:t>
            </w:r>
            <w:r/>
          </w:p>
        </w:tc>
        <w:tc>
          <w:tcPr>
            <w:tcBorders>
              <w:top w:val="single" w:color="000000" w:sz="4" w:space="0"/>
              <w:left w:val="single" w:color="000000" w:sz="4" w:space="0"/>
              <w:bottom w:val="single" w:color="000000" w:sz="4" w:space="0"/>
              <w:right w:val="single" w:color="000000" w:sz="4" w:space="0"/>
            </w:tcBorders>
            <w:tcW w:w="343" w:type="pct"/>
            <w:textDirection w:val="lrTb"/>
            <w:noWrap/>
          </w:tcPr>
          <w:p>
            <w:pPr>
              <w:jc w:val="center"/>
              <w:rPr>
                <w:szCs w:val="28"/>
              </w:rPr>
            </w:pPr>
            <w:r>
              <w:rPr>
                <w:rFonts w:hint="eastAsia"/>
                <w:szCs w:val="28"/>
              </w:rPr>
              <w:t xml:space="preserve">分值</w:t>
            </w:r>
            <w:r/>
          </w:p>
        </w:tc>
      </w:tr>
      <w:tr>
        <w:trPr/>
        <w:tc>
          <w:tcPr>
            <w:gridSpan w:val="4"/>
            <w:tcBorders>
              <w:top w:val="single" w:color="000000" w:sz="4" w:space="0"/>
              <w:left w:val="single" w:color="000000" w:sz="4" w:space="0"/>
              <w:bottom w:val="single" w:color="000000" w:sz="4" w:space="0"/>
              <w:right w:val="single" w:color="000000" w:sz="4" w:space="0"/>
            </w:tcBorders>
            <w:tcW w:w="5000" w:type="pct"/>
            <w:textDirection w:val="lrTb"/>
            <w:noWrap/>
          </w:tcPr>
          <w:p>
            <w:pPr>
              <w:rPr>
                <w:szCs w:val="24"/>
              </w:rPr>
            </w:pPr>
            <w:r>
              <w:rPr>
                <w:szCs w:val="28"/>
              </w:rPr>
              <w:t xml:space="preserve">1.</w:t>
            </w:r>
            <w:r>
              <w:rPr>
                <w:rFonts w:hint="eastAsia"/>
                <w:szCs w:val="28"/>
              </w:rPr>
              <w:t xml:space="preserve">价格</w:t>
            </w:r>
            <w:r/>
          </w:p>
        </w:tc>
      </w:tr>
      <w:tr>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pPr>
            <w:r>
              <w:t xml:space="preserve">1.1</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pPr>
            <w:r>
              <w:rPr>
                <w:rFonts w:hint="eastAsia"/>
              </w:rPr>
              <w:t xml:space="preserve">价格分</w:t>
            </w:r>
            <w:r/>
          </w:p>
        </w:tc>
        <w:tc>
          <w:tcPr>
            <w:tcBorders>
              <w:top w:val="single" w:color="000000" w:sz="4" w:space="0"/>
              <w:left w:val="single" w:color="000000" w:sz="4" w:space="0"/>
              <w:bottom w:val="single" w:color="000000" w:sz="4" w:space="0"/>
              <w:right w:val="single" w:color="000000" w:sz="4" w:space="0"/>
            </w:tcBorders>
            <w:tcW w:w="3855" w:type="pct"/>
            <w:textDirection w:val="lrTb"/>
            <w:noWrap/>
          </w:tcPr>
          <w:p>
            <w:r>
              <w:rPr>
                <w:rFonts w:hint="eastAsia"/>
              </w:rPr>
              <w:t xml:space="preserve">价格分应当采用低价优先法计算，即满足招标文件要求且投标价格最低的投标报价为评标基准价，其价格分为满分。其他投标人的价格分统一按照下列公式计算：</w:t>
            </w:r>
            <w:r/>
          </w:p>
          <w:p>
            <w:r>
              <w:rPr>
                <w:rFonts w:hint="eastAsia"/>
              </w:rPr>
              <w:t xml:space="preserve">投标报价得分</w:t>
            </w:r>
            <w:r>
              <w:rPr>
                <w:rFonts w:hint="eastAsia"/>
              </w:rPr>
              <w:t xml:space="preserve">=(</w:t>
            </w:r>
            <w:r>
              <w:rPr>
                <w:rFonts w:hint="eastAsia"/>
              </w:rPr>
              <w:t xml:space="preserve">评标基准价／投标报价</w:t>
            </w:r>
            <w:r>
              <w:rPr>
                <w:rFonts w:hint="eastAsia"/>
              </w:rPr>
              <w:t xml:space="preserve">)</w:t>
            </w:r>
            <w:r>
              <w:rPr>
                <w:rFonts w:hint="eastAsia"/>
              </w:rPr>
              <w:t xml:space="preserve">×</w:t>
            </w:r>
            <w:r>
              <w:t xml:space="preserve">30</w:t>
            </w:r>
            <w:r>
              <w:rPr>
                <w:rFonts w:hint="eastAsia"/>
              </w:rPr>
              <w:t xml:space="preserve">分。（计算分数时四舍五入取小数点后两位）</w:t>
            </w:r>
            <w:r/>
          </w:p>
          <w:p>
            <w:r>
              <w:rPr>
                <w:b/>
                <w:bCs/>
              </w:rPr>
              <w:t xml:space="preserve">本项目执行财库〔</w:t>
            </w:r>
            <w:r>
              <w:rPr>
                <w:b/>
                <w:bCs/>
              </w:rPr>
              <w:t xml:space="preserve">2026</w:t>
            </w:r>
            <w:r>
              <w:rPr>
                <w:b/>
                <w:bCs/>
              </w:rPr>
              <w:t xml:space="preserve">〕</w:t>
            </w:r>
            <w:r>
              <w:rPr>
                <w:b/>
                <w:bCs/>
              </w:rPr>
              <w:t xml:space="preserve">2</w:t>
            </w:r>
            <w:r>
              <w:rPr>
                <w:b/>
                <w:bCs/>
              </w:rPr>
              <w:t xml:space="preserve">号《关于推动解决政府采购异常低价问题相关工作的通知》的相关规定，具体详见第二章</w:t>
            </w:r>
            <w:r>
              <w:rPr>
                <w:b/>
                <w:bCs/>
              </w:rPr>
              <w:t xml:space="preserve">2</w:t>
            </w:r>
            <w:r>
              <w:rPr>
                <w:rFonts w:hint="eastAsia"/>
                <w:b/>
                <w:bCs/>
              </w:rPr>
              <w:t xml:space="preserve">5.4</w:t>
            </w:r>
            <w:r>
              <w:rPr>
                <w:b/>
                <w:bCs/>
              </w:rPr>
              <w:t xml:space="preserve">要求。</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pPr>
            <w:r>
              <w:t xml:space="preserve">30</w:t>
            </w:r>
            <w:r/>
          </w:p>
        </w:tc>
      </w:tr>
      <w:tr>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r>
              <w:t xml:space="preserve">2.</w:t>
            </w:r>
            <w:r>
              <w:rPr>
                <w:rFonts w:hint="eastAsia"/>
              </w:rPr>
              <w:t xml:space="preserve">技术</w:t>
            </w:r>
            <w:r/>
          </w:p>
        </w:tc>
      </w:tr>
      <w:tr>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pPr>
            <w:r>
              <w:t xml:space="preserve">2.1</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pPr>
            <w:r>
              <w:rPr>
                <w:rFonts w:hint="eastAsia"/>
              </w:rPr>
              <w:t xml:space="preserve">技术参数响应性</w:t>
            </w:r>
            <w:r/>
          </w:p>
        </w:tc>
        <w:tc>
          <w:tcPr>
            <w:tcBorders>
              <w:top w:val="single" w:color="000000" w:sz="4" w:space="0"/>
              <w:left w:val="single" w:color="000000" w:sz="4" w:space="0"/>
              <w:bottom w:val="single" w:color="000000" w:sz="4" w:space="0"/>
              <w:right w:val="single" w:color="000000" w:sz="4" w:space="0"/>
            </w:tcBorders>
            <w:tcW w:w="3855" w:type="pct"/>
            <w:textDirection w:val="lrTb"/>
            <w:noWrap/>
          </w:tcPr>
          <w:p>
            <w:r>
              <w:rPr>
                <w:rFonts w:hint="eastAsia"/>
              </w:rPr>
              <w:t xml:space="preserve">所投设备技术指标配置要求均满足技术规范要求，并且使用稳定、安全可靠；从产品整机性能、产品安全性能、干燥速率、产品设计和使用性能等进行打分。标▲参数为重要参数，每有</w:t>
            </w:r>
            <w:r>
              <w:rPr>
                <w:rFonts w:hint="eastAsia"/>
              </w:rPr>
              <w:t xml:space="preserve"> 1 </w:t>
            </w:r>
            <w:r>
              <w:rPr>
                <w:rFonts w:hint="eastAsia"/>
              </w:rPr>
              <w:t xml:space="preserve">项负偏离扣</w:t>
            </w:r>
            <w:r>
              <w:rPr>
                <w:rFonts w:hint="eastAsia"/>
              </w:rPr>
              <w:t xml:space="preserve"> </w:t>
            </w:r>
            <w:r>
              <w:rPr>
                <w:rFonts w:hint="eastAsia"/>
              </w:rPr>
              <w:t xml:space="preserve">1</w:t>
            </w:r>
            <w:r>
              <w:rPr>
                <w:rFonts w:hint="eastAsia"/>
              </w:rPr>
              <w:t xml:space="preserve"> </w:t>
            </w:r>
            <w:r>
              <w:rPr>
                <w:rFonts w:hint="eastAsia"/>
              </w:rPr>
              <w:t xml:space="preserve">分；其他参数每有</w:t>
            </w:r>
            <w:r>
              <w:rPr>
                <w:rFonts w:hint="eastAsia"/>
              </w:rPr>
              <w:t xml:space="preserve"> 1 </w:t>
            </w:r>
            <w:r>
              <w:rPr>
                <w:rFonts w:hint="eastAsia"/>
              </w:rPr>
              <w:t xml:space="preserve">项负偏离扣</w:t>
            </w:r>
            <w:r>
              <w:rPr>
                <w:rFonts w:hint="eastAsia"/>
              </w:rPr>
              <w:t xml:space="preserve"> </w:t>
            </w:r>
            <w:r>
              <w:rPr>
                <w:rFonts w:hint="eastAsia"/>
              </w:rPr>
              <w:t xml:space="preserve">0.5</w:t>
            </w:r>
            <w:r>
              <w:rPr>
                <w:rFonts w:hint="eastAsia"/>
              </w:rPr>
              <w:t xml:space="preserve"> </w:t>
            </w:r>
            <w:r>
              <w:rPr>
                <w:rFonts w:hint="eastAsia"/>
              </w:rPr>
              <w:t xml:space="preserve">分；最高</w:t>
            </w:r>
            <w:r>
              <w:rPr>
                <w:rFonts w:hint="eastAsia"/>
              </w:rPr>
              <w:t xml:space="preserve">2</w:t>
            </w:r>
            <w:r>
              <w:rPr>
                <w:rFonts w:hint="eastAsia"/>
              </w:rPr>
              <w:t xml:space="preserve">4</w:t>
            </w:r>
            <w:r>
              <w:rPr>
                <w:rFonts w:hint="eastAsia"/>
              </w:rPr>
              <w:t xml:space="preserve">分。清单内有具体要求提供证明材料的，需按要求提</w:t>
            </w:r>
            <w:r>
              <w:rPr>
                <w:rFonts w:hint="eastAsia"/>
              </w:rPr>
              <w:t xml:space="preserve">供，否则视为负偏离。</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pPr>
            <w:r>
              <w:t xml:space="preserve">2</w:t>
            </w:r>
            <w:r>
              <w:rPr>
                <w:rFonts w:hint="eastAsia"/>
              </w:rPr>
              <w:t xml:space="preserve">4</w:t>
            </w:r>
            <w:r/>
          </w:p>
        </w:tc>
      </w:tr>
      <w:tr>
        <w:trPr>
          <w:trHeight w:val="370"/>
        </w:trPr>
        <w:tc>
          <w:tcPr>
            <w:gridSpan w:val="4"/>
            <w:tcBorders>
              <w:top w:val="single" w:color="000000" w:sz="4" w:space="0"/>
              <w:left w:val="single" w:color="000000" w:sz="4" w:space="0"/>
              <w:right w:val="single" w:color="000000" w:sz="4" w:space="0"/>
            </w:tcBorders>
            <w:tcW w:w="5000" w:type="pct"/>
            <w:vAlign w:val="center"/>
            <w:textDirection w:val="lrTb"/>
            <w:noWrap/>
          </w:tcPr>
          <w:p>
            <w:pPr>
              <w:rPr>
                <w:color w:val="000000"/>
              </w:rPr>
            </w:pPr>
            <w:r>
              <w:rPr>
                <w:rFonts w:hint="eastAsia"/>
                <w:color w:val="000000"/>
              </w:rPr>
              <w:t xml:space="preserve">3</w:t>
            </w:r>
            <w:r>
              <w:rPr>
                <w:color w:val="000000"/>
              </w:rPr>
              <w:t xml:space="preserve">.</w:t>
            </w:r>
            <w:r>
              <w:rPr>
                <w:rFonts w:hint="eastAsia"/>
                <w:color w:val="000000"/>
              </w:rPr>
              <w:t xml:space="preserve">项目方案</w:t>
            </w:r>
            <w:r/>
          </w:p>
        </w:tc>
      </w:tr>
      <w:tr>
        <w:trPr>
          <w:trHeight w:val="1220"/>
        </w:trPr>
        <w:tc>
          <w:tcPr>
            <w:tcBorders>
              <w:top w:val="single" w:color="000000" w:sz="4" w:space="0"/>
              <w:left w:val="single" w:color="000000" w:sz="4" w:space="0"/>
              <w:right w:val="single" w:color="000000" w:sz="4" w:space="0"/>
            </w:tcBorders>
            <w:tcW w:w="364" w:type="pct"/>
            <w:vAlign w:val="center"/>
            <w:textDirection w:val="lrTb"/>
            <w:noWrap/>
          </w:tcPr>
          <w:p>
            <w:pPr>
              <w:jc w:val="center"/>
            </w:pPr>
            <w:r>
              <w:t xml:space="preserve">3.1</w:t>
            </w:r>
            <w:r/>
          </w:p>
        </w:tc>
        <w:tc>
          <w:tcPr>
            <w:tcBorders>
              <w:top w:val="single" w:color="000000" w:sz="4" w:space="0"/>
              <w:left w:val="single" w:color="000000" w:sz="4" w:space="0"/>
              <w:right w:val="single" w:color="000000" w:sz="4" w:space="0"/>
            </w:tcBorders>
            <w:tcW w:w="438" w:type="pct"/>
            <w:vAlign w:val="center"/>
            <w:textDirection w:val="lrTb"/>
            <w:noWrap/>
          </w:tcPr>
          <w:p>
            <w:pPr>
              <w:jc w:val="center"/>
            </w:pPr>
            <w:r>
              <w:rPr>
                <w:rFonts w:hint="eastAsia"/>
              </w:rPr>
              <w:t xml:space="preserve">实施计划</w:t>
            </w:r>
            <w:r/>
          </w:p>
        </w:tc>
        <w:tc>
          <w:tcPr>
            <w:tcBorders>
              <w:top w:val="single" w:color="000000" w:sz="4" w:space="0"/>
              <w:left w:val="single" w:color="000000" w:sz="4" w:space="0"/>
              <w:right w:val="single" w:color="000000" w:sz="4" w:space="0"/>
            </w:tcBorders>
            <w:tcW w:w="3855" w:type="pct"/>
            <w:textDirection w:val="lrTb"/>
            <w:noWrap/>
          </w:tcPr>
          <w:p>
            <w:r/>
            <w:bookmarkStart w:id="199" w:name="OLE_LINK2"/>
            <w:r>
              <w:rPr>
                <w:rFonts w:hint="eastAsia"/>
              </w:rPr>
              <w:t xml:space="preserve">根据供应商对于项目的实施计划，</w:t>
            </w:r>
            <w:r>
              <w:rPr>
                <w:rFonts w:hint="eastAsia"/>
              </w:rPr>
              <w:t xml:space="preserve">包括但不限于：技术施工组织方案、人员配置计划、进度计划、安全措施等。实施计划包含上述全部内容，且满足以下条件：①有详细的施工进度横道图或网络图，明确各工段（清理、砻谷、碾米、色选、打包等）安装时间节点；②人员配置中有明确的项目负责人、技术负责人、安全员及各自资质说明；③安全措施针对粮食加工车间粉尘环境有专项防爆、防火方案；④计划内容优于采购需求，如承诺提前完工或增加安装班组</w:t>
            </w:r>
            <w:r>
              <w:rPr>
                <w:rFonts w:hint="eastAsia"/>
              </w:rPr>
              <w:t xml:space="preserve">得</w:t>
            </w:r>
            <w:r>
              <w:t xml:space="preserve">8</w:t>
            </w:r>
            <w:r>
              <w:rPr>
                <w:rFonts w:hint="eastAsia"/>
              </w:rPr>
              <w:t xml:space="preserve">分；</w:t>
            </w:r>
            <w:r>
              <w:rPr>
                <w:rFonts w:hint="eastAsia"/>
              </w:rPr>
              <w:t xml:space="preserve">实施计划包含上述全部或大部分内容，进度安排基本合理，人员配置明确，安全措施满足基本要求，能够满足采购需求</w:t>
            </w:r>
            <w:r>
              <w:rPr>
                <w:rFonts w:hint="eastAsia"/>
              </w:rPr>
              <w:t xml:space="preserve">得</w:t>
            </w:r>
            <w:r>
              <w:t xml:space="preserve">5</w:t>
            </w:r>
            <w:r>
              <w:rPr>
                <w:rFonts w:hint="eastAsia"/>
              </w:rPr>
              <w:t xml:space="preserve">分；</w:t>
            </w:r>
            <w:r>
              <w:rPr>
                <w:rFonts w:hint="eastAsia"/>
              </w:rPr>
              <w:t xml:space="preserve">实施计划内容不够全面，方案笼统，但承诺经优化后可实现采购需求</w:t>
            </w:r>
            <w:r>
              <w:rPr>
                <w:rFonts w:hint="eastAsia"/>
              </w:rPr>
              <w:t xml:space="preserve">得</w:t>
            </w:r>
            <w:r>
              <w:rPr>
                <w:rFonts w:hint="eastAsia"/>
              </w:rPr>
              <w:t xml:space="preserve">3</w:t>
            </w:r>
            <w:r>
              <w:rPr>
                <w:rFonts w:hint="eastAsia"/>
              </w:rPr>
              <w:t xml:space="preserve">分，未提供不得分。</w:t>
            </w:r>
            <w:bookmarkEnd w:id="199"/>
            <w:r/>
            <w:r/>
          </w:p>
        </w:tc>
        <w:tc>
          <w:tcPr>
            <w:tcBorders>
              <w:top w:val="single" w:color="000000" w:sz="4" w:space="0"/>
              <w:left w:val="single" w:color="000000" w:sz="4" w:space="0"/>
              <w:right w:val="single" w:color="000000" w:sz="4" w:space="0"/>
            </w:tcBorders>
            <w:tcW w:w="343" w:type="pct"/>
            <w:vAlign w:val="center"/>
            <w:textDirection w:val="lrTb"/>
            <w:noWrap/>
          </w:tcPr>
          <w:p>
            <w:pPr>
              <w:jc w:val="center"/>
            </w:pPr>
            <w:r>
              <w:rPr>
                <w:color w:val="000000"/>
              </w:rPr>
              <w:t xml:space="preserve">8</w:t>
            </w:r>
            <w:r/>
          </w:p>
        </w:tc>
      </w:tr>
      <w:tr>
        <w:trPr>
          <w:trHeight w:val="1220"/>
        </w:trPr>
        <w:tc>
          <w:tcPr>
            <w:tcBorders>
              <w:top w:val="single" w:color="000000" w:sz="4" w:space="0"/>
              <w:left w:val="single" w:color="000000" w:sz="4" w:space="0"/>
              <w:right w:val="single" w:color="000000" w:sz="4" w:space="0"/>
            </w:tcBorders>
            <w:tcW w:w="364" w:type="pct"/>
            <w:vAlign w:val="center"/>
            <w:textDirection w:val="lrTb"/>
            <w:noWrap/>
          </w:tcPr>
          <w:p>
            <w:pPr>
              <w:jc w:val="center"/>
            </w:pPr>
            <w:r>
              <w:rPr>
                <w:rFonts w:hint="eastAsia"/>
              </w:rPr>
              <w:t xml:space="preserve">3</w:t>
            </w:r>
            <w:r>
              <w:t xml:space="preserve">.2</w:t>
            </w:r>
            <w:r/>
          </w:p>
        </w:tc>
        <w:tc>
          <w:tcPr>
            <w:tcBorders>
              <w:top w:val="single" w:color="000000" w:sz="4" w:space="0"/>
              <w:left w:val="single" w:color="000000" w:sz="4" w:space="0"/>
              <w:right w:val="single" w:color="000000" w:sz="4" w:space="0"/>
            </w:tcBorders>
            <w:tcW w:w="438" w:type="pct"/>
            <w:vAlign w:val="center"/>
            <w:textDirection w:val="lrTb"/>
            <w:noWrap/>
          </w:tcPr>
          <w:p>
            <w:pPr>
              <w:jc w:val="center"/>
            </w:pPr>
            <w:r>
              <w:rPr>
                <w:rFonts w:hint="eastAsia"/>
              </w:rPr>
              <w:t xml:space="preserve">设计方案</w:t>
            </w:r>
            <w:r/>
          </w:p>
        </w:tc>
        <w:tc>
          <w:tcPr>
            <w:tcBorders>
              <w:top w:val="single" w:color="000000" w:sz="4" w:space="0"/>
              <w:left w:val="single" w:color="000000" w:sz="4" w:space="0"/>
              <w:right w:val="single" w:color="000000" w:sz="4" w:space="0"/>
            </w:tcBorders>
            <w:tcW w:w="3855" w:type="pct"/>
            <w:textDirection w:val="lrTb"/>
            <w:noWrap/>
          </w:tcPr>
          <w:p>
            <w:r>
              <w:rPr>
                <w:rFonts w:hint="eastAsia"/>
              </w:rPr>
              <w:t xml:space="preserve">根据供应商对于项目的设计方案，</w:t>
            </w:r>
            <w:r>
              <w:rPr>
                <w:rFonts w:hint="eastAsia"/>
              </w:rPr>
              <w:t xml:space="preserve">包括但不限于：工艺流程图、设备布置图、节能设计说明、质量保证体系等</w:t>
            </w:r>
            <w:r>
              <w:rPr>
                <w:rFonts w:hint="eastAsia"/>
              </w:rPr>
              <w:t xml:space="preserve">。</w:t>
            </w:r>
            <w:r>
              <w:rPr>
                <w:rFonts w:hint="eastAsia"/>
              </w:rPr>
              <w:t xml:space="preserve">设计方案包含上述全部内容，且满足以下条件：①提供完整的工艺流程图和设备平面布置图，各设备衔接合理；②有专门的节能设计说明（如提升机低速防破碎、风网负压设计、空压机变频控制等）；③质量保证体系完整，有明确的设备出厂检验、进场验收、安装过程质量控制措施；④方案明显优于采购需求</w:t>
            </w:r>
            <w:r>
              <w:rPr>
                <w:rFonts w:hint="eastAsia"/>
              </w:rPr>
              <w:t xml:space="preserve">得</w:t>
            </w:r>
            <w:r>
              <w:t xml:space="preserve">8</w:t>
            </w:r>
            <w:r>
              <w:rPr>
                <w:rFonts w:hint="eastAsia"/>
              </w:rPr>
              <w:t xml:space="preserve">分；</w:t>
            </w:r>
            <w:r>
              <w:rPr>
                <w:rFonts w:hint="eastAsia"/>
              </w:rPr>
              <w:t xml:space="preserve">设计方案内容较完整，工艺流程和设备布置基本合理，有质量保证措施，能够满足采购需求</w:t>
            </w:r>
            <w:r>
              <w:rPr>
                <w:rFonts w:hint="eastAsia"/>
              </w:rPr>
              <w:t xml:space="preserve">得</w:t>
            </w:r>
            <w:r>
              <w:t xml:space="preserve">5</w:t>
            </w:r>
            <w:r>
              <w:rPr>
                <w:rFonts w:hint="eastAsia"/>
              </w:rPr>
              <w:t xml:space="preserve">分；</w:t>
            </w:r>
            <w:r>
              <w:rPr>
                <w:rFonts w:hint="eastAsia"/>
              </w:rPr>
              <w:t xml:space="preserve">设计方案内容不够全面，缺少图纸或关键说明，但承诺经优化后可实现采购需求</w:t>
            </w:r>
            <w:r>
              <w:rPr>
                <w:rFonts w:hint="eastAsia"/>
              </w:rPr>
              <w:t xml:space="preserve">得</w:t>
            </w:r>
            <w:r>
              <w:rPr>
                <w:rFonts w:hint="eastAsia"/>
              </w:rPr>
              <w:t xml:space="preserve">3</w:t>
            </w:r>
            <w:r>
              <w:rPr>
                <w:rFonts w:hint="eastAsia"/>
              </w:rPr>
              <w:t xml:space="preserve">分，未提供不得分。</w:t>
            </w:r>
            <w:r/>
          </w:p>
        </w:tc>
        <w:tc>
          <w:tcPr>
            <w:tcBorders>
              <w:top w:val="single" w:color="000000" w:sz="4" w:space="0"/>
              <w:left w:val="single" w:color="000000" w:sz="4" w:space="0"/>
              <w:right w:val="single" w:color="000000" w:sz="4" w:space="0"/>
            </w:tcBorders>
            <w:tcW w:w="343" w:type="pct"/>
            <w:vAlign w:val="center"/>
            <w:textDirection w:val="lrTb"/>
            <w:noWrap/>
          </w:tcPr>
          <w:p>
            <w:pPr>
              <w:jc w:val="center"/>
              <w:rPr>
                <w:color w:val="000000"/>
              </w:rPr>
            </w:pPr>
            <w:r>
              <w:rPr>
                <w:color w:val="000000"/>
              </w:rPr>
              <w:t xml:space="preserve">8</w:t>
            </w:r>
            <w:r/>
          </w:p>
        </w:tc>
      </w:tr>
      <w:tr>
        <w:trPr>
          <w:trHeight w:val="1220"/>
        </w:trPr>
        <w:tc>
          <w:tcPr>
            <w:tcBorders>
              <w:top w:val="single" w:color="000000" w:sz="4" w:space="0"/>
              <w:left w:val="single" w:color="000000" w:sz="4" w:space="0"/>
              <w:right w:val="single" w:color="000000" w:sz="4" w:space="0"/>
            </w:tcBorders>
            <w:tcW w:w="364" w:type="pct"/>
            <w:vAlign w:val="center"/>
            <w:textDirection w:val="lrTb"/>
            <w:noWrap/>
          </w:tcPr>
          <w:p>
            <w:pPr>
              <w:jc w:val="center"/>
            </w:pPr>
            <w:r>
              <w:rPr>
                <w:rFonts w:hint="eastAsia"/>
              </w:rPr>
              <w:t xml:space="preserve">3</w:t>
            </w:r>
            <w:r>
              <w:t xml:space="preserve">.3</w:t>
            </w:r>
            <w:r/>
          </w:p>
        </w:tc>
        <w:tc>
          <w:tcPr>
            <w:tcBorders>
              <w:top w:val="single" w:color="000000" w:sz="4" w:space="0"/>
              <w:left w:val="single" w:color="000000" w:sz="4" w:space="0"/>
              <w:right w:val="single" w:color="000000" w:sz="4" w:space="0"/>
            </w:tcBorders>
            <w:tcW w:w="438" w:type="pct"/>
            <w:vAlign w:val="center"/>
            <w:textDirection w:val="lrTb"/>
            <w:noWrap/>
          </w:tcPr>
          <w:p>
            <w:pPr>
              <w:jc w:val="center"/>
            </w:pPr>
            <w:r>
              <w:rPr>
                <w:rFonts w:hint="eastAsia"/>
              </w:rPr>
              <w:t xml:space="preserve">供货方案</w:t>
            </w:r>
            <w:r/>
          </w:p>
        </w:tc>
        <w:tc>
          <w:tcPr>
            <w:tcBorders>
              <w:top w:val="single" w:color="000000" w:sz="4" w:space="0"/>
              <w:left w:val="single" w:color="000000" w:sz="4" w:space="0"/>
              <w:right w:val="single" w:color="000000" w:sz="4" w:space="0"/>
            </w:tcBorders>
            <w:tcW w:w="3855" w:type="pct"/>
            <w:textDirection w:val="lrTb"/>
            <w:noWrap/>
          </w:tcPr>
          <w:p>
            <w:r>
              <w:rPr>
                <w:rFonts w:hint="eastAsia"/>
              </w:rPr>
              <w:t xml:space="preserve">根据供应商对于项目的供货方案，</w:t>
            </w:r>
            <w:r>
              <w:rPr>
                <w:rFonts w:hint="eastAsia"/>
              </w:rPr>
              <w:t xml:space="preserve">包括但不限于：设备采购来源、生产周期、运输方式、到货验收计划、与安装进度的衔接安排等。供货方案包含上述全部内容，且满足以下条件：①明确主要设备（砻谷机、碾米机、色选机、打包机等）的品牌来源及生产周期；②有详细的到货计划，与安装进度紧密衔接；③有完善的设备进场验收标准和流程；④承诺主要设备提供出厂合格证及第三方检测报告（如有▲条款要求）</w:t>
            </w:r>
            <w:r>
              <w:rPr>
                <w:rFonts w:hint="eastAsia"/>
              </w:rPr>
              <w:t xml:space="preserve">得</w:t>
            </w:r>
            <w:r>
              <w:t xml:space="preserve">8</w:t>
            </w:r>
            <w:r>
              <w:rPr>
                <w:rFonts w:hint="eastAsia"/>
              </w:rPr>
              <w:t xml:space="preserve">分；</w:t>
            </w:r>
            <w:r>
              <w:rPr>
                <w:rFonts w:hint="eastAsia"/>
              </w:rPr>
              <w:t xml:space="preserve">供货方案内容较完整，有到货计划，设备来源基本明确，能够满足采购需求</w:t>
            </w:r>
            <w:r>
              <w:rPr>
                <w:rFonts w:hint="eastAsia"/>
              </w:rPr>
              <w:t xml:space="preserve">得</w:t>
            </w:r>
            <w:r>
              <w:t xml:space="preserve">5</w:t>
            </w:r>
            <w:r>
              <w:rPr>
                <w:rFonts w:hint="eastAsia"/>
              </w:rPr>
              <w:t xml:space="preserve">分；</w:t>
            </w:r>
            <w:r>
              <w:rPr>
                <w:rFonts w:hint="eastAsia"/>
              </w:rPr>
              <w:t xml:space="preserve">供货方案内容不够全面，计划笼统，但承诺经优化后可实现采购需求</w:t>
            </w:r>
            <w:r>
              <w:rPr>
                <w:rFonts w:hint="eastAsia"/>
              </w:rPr>
              <w:t xml:space="preserve">得</w:t>
            </w:r>
            <w:r>
              <w:rPr>
                <w:rFonts w:hint="eastAsia"/>
              </w:rPr>
              <w:t xml:space="preserve">3</w:t>
            </w:r>
            <w:r>
              <w:rPr>
                <w:rFonts w:hint="eastAsia"/>
              </w:rPr>
              <w:t xml:space="preserve">分，未提供不得分。</w:t>
            </w:r>
            <w:r/>
          </w:p>
        </w:tc>
        <w:tc>
          <w:tcPr>
            <w:tcBorders>
              <w:top w:val="single" w:color="000000" w:sz="4" w:space="0"/>
              <w:left w:val="single" w:color="000000" w:sz="4" w:space="0"/>
              <w:right w:val="single" w:color="000000" w:sz="4" w:space="0"/>
            </w:tcBorders>
            <w:tcW w:w="343" w:type="pct"/>
            <w:vAlign w:val="center"/>
            <w:textDirection w:val="lrTb"/>
            <w:noWrap/>
          </w:tcPr>
          <w:p>
            <w:pPr>
              <w:jc w:val="center"/>
              <w:rPr>
                <w:color w:val="000000"/>
              </w:rPr>
            </w:pPr>
            <w:r>
              <w:rPr>
                <w:color w:val="000000"/>
              </w:rPr>
              <w:t xml:space="preserve">8</w:t>
            </w:r>
            <w:r/>
          </w:p>
        </w:tc>
      </w:tr>
      <w:tr>
        <w:trPr>
          <w:trHeight w:val="1220"/>
        </w:trPr>
        <w:tc>
          <w:tcPr>
            <w:tcBorders>
              <w:top w:val="single" w:color="000000" w:sz="4" w:space="0"/>
              <w:left w:val="single" w:color="000000" w:sz="4" w:space="0"/>
              <w:right w:val="single" w:color="000000" w:sz="4" w:space="0"/>
            </w:tcBorders>
            <w:tcW w:w="364" w:type="pct"/>
            <w:vAlign w:val="center"/>
            <w:textDirection w:val="lrTb"/>
            <w:noWrap/>
          </w:tcPr>
          <w:p>
            <w:pPr>
              <w:jc w:val="center"/>
            </w:pPr>
            <w:r>
              <w:rPr>
                <w:rFonts w:hint="eastAsia"/>
              </w:rPr>
              <w:t xml:space="preserve">3</w:t>
            </w:r>
            <w:r>
              <w:t xml:space="preserve">.4</w:t>
            </w:r>
            <w:r/>
          </w:p>
        </w:tc>
        <w:tc>
          <w:tcPr>
            <w:tcBorders>
              <w:top w:val="single" w:color="000000" w:sz="4" w:space="0"/>
              <w:left w:val="single" w:color="000000" w:sz="4" w:space="0"/>
              <w:right w:val="single" w:color="000000" w:sz="4" w:space="0"/>
            </w:tcBorders>
            <w:tcW w:w="438" w:type="pct"/>
            <w:vAlign w:val="center"/>
            <w:textDirection w:val="lrTb"/>
            <w:noWrap/>
          </w:tcPr>
          <w:p>
            <w:pPr>
              <w:jc w:val="center"/>
            </w:pPr>
            <w:r>
              <w:rPr>
                <w:rFonts w:hint="eastAsia"/>
              </w:rPr>
              <w:t xml:space="preserve">安装方案</w:t>
            </w:r>
            <w:r/>
          </w:p>
        </w:tc>
        <w:tc>
          <w:tcPr>
            <w:tcBorders>
              <w:top w:val="single" w:color="000000" w:sz="4" w:space="0"/>
              <w:left w:val="single" w:color="000000" w:sz="4" w:space="0"/>
              <w:right w:val="single" w:color="000000" w:sz="4" w:space="0"/>
            </w:tcBorders>
            <w:tcW w:w="3855" w:type="pct"/>
            <w:textDirection w:val="lrTb"/>
            <w:noWrap/>
          </w:tcPr>
          <w:p>
            <w:r>
              <w:rPr>
                <w:rFonts w:hint="eastAsia"/>
              </w:rPr>
              <w:t xml:space="preserve">根据供应商对于项目的安装方案，</w:t>
            </w:r>
            <w:r>
              <w:rPr>
                <w:rFonts w:hint="eastAsia"/>
              </w:rPr>
              <w:t xml:space="preserve">包括但不限于：安装工艺流程、吊装方案、调试方案、安全文明施工措施、粉尘控制措施等</w:t>
            </w:r>
            <w:r>
              <w:rPr>
                <w:rFonts w:hint="eastAsia"/>
              </w:rPr>
              <w:t xml:space="preserve">。</w:t>
            </w:r>
            <w:r>
              <w:rPr>
                <w:rFonts w:hint="eastAsia"/>
              </w:rPr>
              <w:t xml:space="preserve">安装方案包含上述全部内容，且满足以下条件：①有针对主要设备（如提升机垂直度校正、碾米机水平找正、风网管道密封等）的专项安装工艺说明；②有详细的单机试车和联动调试方案；③针对粮食加工车间有粉尘防爆专项措施；④方案优于采购需求，如承诺增加调试周期或派驻更多技术人员</w:t>
            </w:r>
            <w:r>
              <w:rPr>
                <w:rFonts w:hint="eastAsia"/>
              </w:rPr>
              <w:t xml:space="preserve">得</w:t>
            </w:r>
            <w:r>
              <w:t xml:space="preserve">8</w:t>
            </w:r>
            <w:r>
              <w:rPr>
                <w:rFonts w:hint="eastAsia"/>
              </w:rPr>
              <w:t xml:space="preserve">分；</w:t>
            </w:r>
            <w:r>
              <w:rPr>
                <w:rFonts w:hint="eastAsia"/>
              </w:rPr>
              <w:t xml:space="preserve">安装方案内容较完整，有基本的吊装和调试安排，安全措施满足要求，能够满足采购需求</w:t>
            </w:r>
            <w:r>
              <w:rPr>
                <w:rFonts w:hint="eastAsia"/>
              </w:rPr>
              <w:t xml:space="preserve">得</w:t>
            </w:r>
            <w:r>
              <w:t xml:space="preserve">5</w:t>
            </w:r>
            <w:r>
              <w:rPr>
                <w:rFonts w:hint="eastAsia"/>
              </w:rPr>
              <w:t xml:space="preserve">分；</w:t>
            </w:r>
            <w:r>
              <w:rPr>
                <w:rFonts w:hint="eastAsia"/>
              </w:rPr>
              <w:t xml:space="preserve">安装方案内容不够全面，方案笼统，但承诺经优化后可实现采购需求</w:t>
            </w:r>
            <w:r>
              <w:rPr>
                <w:rFonts w:hint="eastAsia"/>
              </w:rPr>
              <w:t xml:space="preserve">得</w:t>
            </w:r>
            <w:r>
              <w:rPr>
                <w:rFonts w:hint="eastAsia"/>
              </w:rPr>
              <w:t xml:space="preserve">3</w:t>
            </w:r>
            <w:r>
              <w:rPr>
                <w:rFonts w:hint="eastAsia"/>
              </w:rPr>
              <w:t xml:space="preserve">分，未提供不得分。</w:t>
            </w:r>
            <w:r/>
          </w:p>
        </w:tc>
        <w:tc>
          <w:tcPr>
            <w:tcBorders>
              <w:top w:val="single" w:color="000000" w:sz="4" w:space="0"/>
              <w:left w:val="single" w:color="000000" w:sz="4" w:space="0"/>
              <w:right w:val="single" w:color="000000" w:sz="4" w:space="0"/>
            </w:tcBorders>
            <w:tcW w:w="343" w:type="pct"/>
            <w:vAlign w:val="center"/>
            <w:textDirection w:val="lrTb"/>
            <w:noWrap/>
          </w:tcPr>
          <w:p>
            <w:pPr>
              <w:jc w:val="center"/>
              <w:rPr>
                <w:color w:val="000000"/>
              </w:rPr>
            </w:pPr>
            <w:r>
              <w:rPr>
                <w:color w:val="000000"/>
              </w:rPr>
              <w:t xml:space="preserve">8</w:t>
            </w:r>
            <w:r/>
          </w:p>
        </w:tc>
      </w:tr>
      <w:tr>
        <w:trPr>
          <w:trHeight w:val="1220"/>
        </w:trPr>
        <w:tc>
          <w:tcPr>
            <w:tcBorders>
              <w:top w:val="single" w:color="000000" w:sz="4" w:space="0"/>
              <w:left w:val="single" w:color="000000" w:sz="4" w:space="0"/>
              <w:right w:val="single" w:color="000000" w:sz="4" w:space="0"/>
            </w:tcBorders>
            <w:tcW w:w="364" w:type="pct"/>
            <w:vAlign w:val="center"/>
            <w:textDirection w:val="lrTb"/>
            <w:noWrap/>
          </w:tcPr>
          <w:p>
            <w:pPr>
              <w:jc w:val="center"/>
            </w:pPr>
            <w:r>
              <w:rPr>
                <w:rFonts w:hint="eastAsia"/>
              </w:rPr>
              <w:t xml:space="preserve">3</w:t>
            </w:r>
            <w:r>
              <w:t xml:space="preserve">.5</w:t>
            </w:r>
            <w:r/>
          </w:p>
        </w:tc>
        <w:tc>
          <w:tcPr>
            <w:tcBorders>
              <w:top w:val="single" w:color="000000" w:sz="4" w:space="0"/>
              <w:left w:val="single" w:color="000000" w:sz="4" w:space="0"/>
              <w:right w:val="single" w:color="000000" w:sz="4" w:space="0"/>
            </w:tcBorders>
            <w:tcW w:w="438" w:type="pct"/>
            <w:vAlign w:val="center"/>
            <w:textDirection w:val="lrTb"/>
            <w:noWrap/>
          </w:tcPr>
          <w:p>
            <w:pPr>
              <w:jc w:val="center"/>
            </w:pPr>
            <w:r>
              <w:rPr>
                <w:rFonts w:hint="eastAsia"/>
              </w:rPr>
              <w:t xml:space="preserve">售后服务方案</w:t>
            </w:r>
            <w:r/>
          </w:p>
        </w:tc>
        <w:tc>
          <w:tcPr>
            <w:tcBorders>
              <w:top w:val="single" w:color="000000" w:sz="4" w:space="0"/>
              <w:left w:val="single" w:color="000000" w:sz="4" w:space="0"/>
              <w:right w:val="single" w:color="000000" w:sz="4" w:space="0"/>
            </w:tcBorders>
            <w:tcW w:w="3855" w:type="pct"/>
            <w:textDirection w:val="lrTb"/>
            <w:noWrap/>
          </w:tcPr>
          <w:p>
            <w:r/>
            <w:bookmarkStart w:id="200" w:name="OLE_LINK10"/>
            <w:r>
              <w:rPr>
                <w:rFonts w:hint="eastAsia"/>
              </w:rPr>
              <w:t xml:space="preserve">根据供应商对于项目的</w:t>
            </w:r>
            <w:r>
              <w:rPr>
                <w:rFonts w:hint="eastAsia"/>
              </w:rPr>
              <w:t xml:space="preserve">售后服务</w:t>
            </w:r>
            <w:r>
              <w:rPr>
                <w:rFonts w:hint="eastAsia"/>
              </w:rPr>
              <w:t xml:space="preserve">方案</w:t>
            </w:r>
            <w:bookmarkEnd w:id="200"/>
            <w:r>
              <w:rPr>
                <w:rFonts w:hint="eastAsia"/>
              </w:rPr>
              <w:t xml:space="preserve">，</w:t>
            </w:r>
            <w:r>
              <w:rPr>
                <w:rFonts w:hint="eastAsia"/>
              </w:rPr>
              <w:t xml:space="preserve">包括但不限于：质保期承诺、响应时间、上门时间、应急处理方案、备品备件供应、培训计划、本地化服务团队等。售后服务方案包含上述全部内容，且满足以下条件：①质保期承诺不低于</w:t>
            </w:r>
            <w:r>
              <w:rPr>
                <w:rFonts w:hint="eastAsia"/>
              </w:rPr>
              <w:t xml:space="preserve">3</w:t>
            </w:r>
            <w:r>
              <w:rPr>
                <w:rFonts w:hint="eastAsia"/>
              </w:rPr>
              <w:t xml:space="preserve">年（与采购需求一致或更优）；②明确响应时间（如≤</w:t>
            </w:r>
            <w:r>
              <w:rPr>
                <w:rFonts w:hint="eastAsia"/>
              </w:rPr>
              <w:t xml:space="preserve">2</w:t>
            </w:r>
            <w:r>
              <w:rPr>
                <w:rFonts w:hint="eastAsia"/>
              </w:rPr>
              <w:t xml:space="preserve">小时）和上门时间（如≤</w:t>
            </w:r>
            <w:r>
              <w:rPr>
                <w:rFonts w:hint="eastAsia"/>
              </w:rPr>
              <w:t xml:space="preserve">24</w:t>
            </w:r>
            <w:r>
              <w:rPr>
                <w:rFonts w:hint="eastAsia"/>
              </w:rPr>
              <w:t xml:space="preserve">小时）；③提供主要易损件（胶辊、砂辊、畚斗、筛片、脉冲布袋等）的备品备件清单及供应保障承诺；④有详细的设备操作和维保培训计划；⑤在项目所在地有服务网点或承诺派驻售后人员</w:t>
            </w:r>
            <w:r>
              <w:rPr>
                <w:rFonts w:hint="eastAsia"/>
              </w:rPr>
              <w:t xml:space="preserve">得</w:t>
            </w:r>
            <w:r>
              <w:rPr>
                <w:rFonts w:hint="eastAsia"/>
              </w:rPr>
              <w:t xml:space="preserve"> </w:t>
            </w:r>
            <w:r>
              <w:t xml:space="preserve">8</w:t>
            </w:r>
            <w:r>
              <w:rPr>
                <w:rFonts w:hint="eastAsia"/>
              </w:rPr>
              <w:t xml:space="preserve">分，</w:t>
            </w:r>
            <w:r>
              <w:rPr>
                <w:rFonts w:hint="eastAsia"/>
              </w:rPr>
              <w:t xml:space="preserve">售后服务方案内容较完整，质保期符合要求，有基本响应时间和培训安排，能够满足采购需求</w:t>
            </w:r>
            <w:r>
              <w:rPr>
                <w:rFonts w:hint="eastAsia"/>
              </w:rPr>
              <w:t xml:space="preserve">得</w:t>
            </w:r>
            <w:r>
              <w:t xml:space="preserve">5</w:t>
            </w:r>
            <w:r>
              <w:rPr>
                <w:rFonts w:hint="eastAsia"/>
              </w:rPr>
              <w:t xml:space="preserve">分，</w:t>
            </w:r>
            <w:r>
              <w:rPr>
                <w:rFonts w:hint="eastAsia"/>
              </w:rPr>
              <w:t xml:space="preserve">售后服务方案内容不够全面，缺少具体承诺，但承诺经优化后可实现采购需求</w:t>
            </w:r>
            <w:r>
              <w:rPr>
                <w:rFonts w:hint="eastAsia"/>
              </w:rPr>
              <w:t xml:space="preserve">得</w:t>
            </w:r>
            <w:r>
              <w:t xml:space="preserve">3</w:t>
            </w:r>
            <w:r>
              <w:rPr>
                <w:rFonts w:hint="eastAsia"/>
              </w:rPr>
              <w:t xml:space="preserve">分，未提供不得分。</w:t>
            </w:r>
            <w:r/>
          </w:p>
        </w:tc>
        <w:tc>
          <w:tcPr>
            <w:tcBorders>
              <w:top w:val="single" w:color="000000" w:sz="4" w:space="0"/>
              <w:left w:val="single" w:color="000000" w:sz="4" w:space="0"/>
              <w:right w:val="single" w:color="000000" w:sz="4" w:space="0"/>
            </w:tcBorders>
            <w:tcW w:w="343" w:type="pct"/>
            <w:vAlign w:val="center"/>
            <w:textDirection w:val="lrTb"/>
            <w:noWrap/>
          </w:tcPr>
          <w:p>
            <w:pPr>
              <w:jc w:val="center"/>
              <w:rPr>
                <w:color w:val="000000"/>
              </w:rPr>
            </w:pPr>
            <w:r>
              <w:rPr>
                <w:color w:val="000000"/>
              </w:rPr>
              <w:t xml:space="preserve">8</w:t>
            </w:r>
            <w:r/>
          </w:p>
        </w:tc>
      </w:tr>
      <w:tr>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r>
              <w:t xml:space="preserve">4.</w:t>
            </w:r>
            <w:r>
              <w:rPr>
                <w:rFonts w:hint="eastAsia"/>
              </w:rPr>
              <w:t xml:space="preserve">业绩</w:t>
            </w:r>
            <w:r/>
          </w:p>
        </w:tc>
      </w:tr>
      <w:tr>
        <w:trPr>
          <w:trHeight w:val="1214"/>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pPr>
            <w:r>
              <w:t xml:space="preserve">4.1</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pPr>
            <w:r/>
            <w:bookmarkStart w:id="201" w:name="OLE_LINK8"/>
            <w:r>
              <w:rPr>
                <w:rFonts w:hint="eastAsia"/>
              </w:rPr>
              <w:t xml:space="preserve">企业业绩</w:t>
            </w:r>
            <w:bookmarkEnd w:id="201"/>
            <w:r/>
            <w:r/>
          </w:p>
        </w:tc>
        <w:tc>
          <w:tcPr>
            <w:tcBorders>
              <w:top w:val="single" w:color="000000" w:sz="4" w:space="0"/>
              <w:left w:val="single" w:color="000000" w:sz="4" w:space="0"/>
              <w:bottom w:val="single" w:color="000000" w:sz="4" w:space="0"/>
              <w:right w:val="single" w:color="000000" w:sz="4" w:space="0"/>
            </w:tcBorders>
            <w:tcW w:w="3855" w:type="pct"/>
            <w:textDirection w:val="lrTb"/>
            <w:noWrap/>
          </w:tcPr>
          <w:p>
            <w:pPr>
              <w:pBdr>
                <w:top w:val="none" w:color="000000" w:sz="0" w:space="0"/>
                <w:left w:val="none" w:color="000000" w:sz="0" w:space="0"/>
                <w:bottom w:val="none" w:color="000000" w:sz="0" w:space="0"/>
                <w:right w:val="none" w:color="000000" w:sz="0" w:space="0"/>
              </w:pBdr>
            </w:pPr>
            <w:r/>
            <w:bookmarkStart w:id="202" w:name="OLE_LINK1"/>
            <w:r>
              <w:rPr>
                <w:rFonts w:hint="eastAsia" w:ascii="宋体" w:hAnsi="宋体" w:cs="宋体"/>
                <w:color w:val="000000"/>
              </w:rPr>
              <w:t xml:space="preserve">投标人自202</w:t>
            </w:r>
            <w:r>
              <w:rPr>
                <w:rFonts w:hint="eastAsia" w:ascii="宋体" w:hAnsi="宋体" w:cs="宋体"/>
                <w:color w:val="000000"/>
              </w:rPr>
              <w:t xml:space="preserve">3</w:t>
            </w:r>
            <w:r>
              <w:rPr>
                <w:rFonts w:hint="eastAsia" w:ascii="宋体" w:hAnsi="宋体" w:cs="宋体"/>
                <w:color w:val="000000"/>
              </w:rPr>
              <w:t xml:space="preserve">年</w:t>
            </w:r>
            <w:r>
              <w:rPr>
                <w:rFonts w:hint="eastAsia" w:ascii="宋体" w:hAnsi="宋体" w:cs="宋体"/>
                <w:color w:val="000000"/>
              </w:rPr>
              <w:t xml:space="preserve">4</w:t>
            </w:r>
            <w:r>
              <w:rPr>
                <w:rFonts w:hint="eastAsia" w:ascii="宋体" w:hAnsi="宋体" w:cs="宋体"/>
                <w:color w:val="000000"/>
              </w:rPr>
              <w:t xml:space="preserve">月1日以来（以合同签订时间为准）承担过烘干设备或加工成套设备供货及安装项目业绩，每提供一个有效业绩得3分</w:t>
            </w:r>
            <w:r>
              <w:rPr>
                <w:rFonts w:hint="eastAsia" w:ascii="宋体" w:hAnsi="宋体" w:cs="宋体"/>
                <w:color w:val="000000"/>
              </w:rPr>
              <w:t xml:space="preserve">，</w:t>
            </w:r>
            <w:r>
              <w:rPr>
                <w:rFonts w:ascii="宋体" w:hAnsi="宋体" w:cs="宋体"/>
                <w:color w:val="000000"/>
              </w:rPr>
              <w:t xml:space="preserve">业绩分最高为</w:t>
            </w:r>
            <w:r>
              <w:rPr>
                <w:rFonts w:hint="eastAsia"/>
                <w:color w:val="000000"/>
              </w:rPr>
              <w:t xml:space="preserve">6</w:t>
            </w:r>
            <w:r>
              <w:rPr>
                <w:rFonts w:ascii="宋体" w:hAnsi="宋体" w:cs="宋体"/>
                <w:color w:val="000000"/>
              </w:rPr>
              <w:t xml:space="preserve">分。（注：业绩内容包含采购合同原件扫描件、采购合同的发票原件扫描件</w:t>
            </w:r>
            <w:r>
              <w:rPr>
                <w:rFonts w:hint="eastAsia" w:ascii="宋体" w:hAnsi="宋体" w:cs="宋体"/>
                <w:color w:val="000000"/>
              </w:rPr>
              <w:t xml:space="preserve">。</w:t>
            </w:r>
            <w:r>
              <w:rPr>
                <w:rFonts w:ascii="宋体" w:hAnsi="宋体" w:cs="宋体"/>
                <w:color w:val="000000"/>
              </w:rPr>
              <w:t xml:space="preserve">合同原件扫描件，发票扫描件，缺一不可。具体日期以合同签订时间为准）</w:t>
            </w:r>
            <w:bookmarkEnd w:id="202"/>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pPr>
            <w:r>
              <w:rPr>
                <w:rFonts w:hint="eastAsia"/>
              </w:rPr>
              <w:t xml:space="preserve">6</w:t>
            </w:r>
            <w:r/>
          </w:p>
        </w:tc>
      </w:tr>
      <w:tr>
        <w:trPr/>
        <w:tc>
          <w:tcPr>
            <w:gridSpan w:val="3"/>
            <w:tcBorders>
              <w:top w:val="single" w:color="000000" w:sz="4" w:space="0"/>
              <w:left w:val="single" w:color="000000" w:sz="4" w:space="0"/>
              <w:bottom w:val="single" w:color="000000" w:sz="4" w:space="0"/>
              <w:right w:val="single" w:color="000000" w:sz="4" w:space="0"/>
            </w:tcBorders>
            <w:tcW w:w="4657" w:type="pct"/>
            <w:vAlign w:val="center"/>
            <w:textDirection w:val="lrTb"/>
            <w:noWrap/>
          </w:tcPr>
          <w:p>
            <w:r>
              <w:rPr>
                <w:rFonts w:hint="eastAsia"/>
              </w:rPr>
              <w:t xml:space="preserve">合计</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pPr>
            <w:r>
              <w:t xml:space="preserve">100</w:t>
            </w:r>
            <w:r/>
          </w:p>
        </w:tc>
      </w:tr>
    </w:tbl>
    <w:p>
      <w:pPr>
        <w:ind w:right="840"/>
        <w:jc w:val="center"/>
        <w:rPr>
          <w:rFonts w:hint="eastAsia"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第六章  投标</w:t>
      </w:r>
      <w:bookmarkEnd w:id="195"/>
      <w:r/>
      <w:bookmarkEnd w:id="196"/>
      <w:r/>
      <w:bookmarkEnd w:id="198"/>
      <w:r>
        <w:rPr>
          <w:rFonts w:hint="eastAsia" w:ascii="方正小标宋简体" w:hAnsi="方正小标宋简体" w:eastAsia="方正小标宋简体" w:cs="方正小标宋简体"/>
          <w:sz w:val="36"/>
          <w:szCs w:val="36"/>
        </w:rPr>
        <w:t xml:space="preserve">文件格式 </w:t>
      </w:r>
      <w:r/>
    </w:p>
    <w:p>
      <w:pPr>
        <w:jc w:val="center"/>
        <w:rPr>
          <w:rFonts w:hint="eastAsia" w:ascii="宋体" w:hAnsi="宋体"/>
          <w:b/>
          <w:sz w:val="72"/>
          <w:szCs w:val="21"/>
        </w:rPr>
      </w:pPr>
      <w:r/>
      <w:bookmarkStart w:id="203" w:name="_Hlt26955039"/>
      <w:r/>
      <w:bookmarkStart w:id="204" w:name="_Hlt26671244"/>
      <w:r/>
      <w:bookmarkStart w:id="205" w:name="_Toc120614282"/>
      <w:r/>
      <w:bookmarkStart w:id="206" w:name="_Toc49090576"/>
      <w:r/>
      <w:bookmarkStart w:id="207" w:name="_Toc26554094"/>
      <w:r/>
      <w:bookmarkEnd w:id="203"/>
      <w:r/>
      <w:bookmarkEnd w:id="204"/>
      <w:r/>
      <w:r/>
    </w:p>
    <w:p>
      <w:pPr>
        <w:jc w:val="center"/>
        <w:rPr>
          <w:rFonts w:hint="eastAsia" w:ascii="宋体" w:hAnsi="宋体"/>
          <w:b/>
          <w:sz w:val="72"/>
          <w:szCs w:val="21"/>
        </w:rPr>
      </w:pPr>
      <w:r>
        <w:rPr>
          <w:rFonts w:hint="eastAsia" w:ascii="宋体" w:hAnsi="宋体"/>
          <w:b/>
          <w:sz w:val="72"/>
          <w:szCs w:val="21"/>
        </w:rPr>
        <w:t xml:space="preserve">投  标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（加盖电子公章）   </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Cs w:val="21"/>
        </w:rPr>
      </w:pPr>
      <w:r>
        <w:rPr>
          <w:rFonts w:hint="eastAsia" w:ascii="宋体" w:hAnsi="宋体"/>
          <w:szCs w:val="21"/>
        </w:rPr>
      </w:r>
      <w:r/>
    </w:p>
    <w:p>
      <w:pPr>
        <w:jc w:val="center"/>
        <w:rPr>
          <w:rFonts w:hint="eastAsia" w:ascii="方正黑体_GBK" w:hAnsi="方正黑体_GBK" w:eastAsia="方正黑体_GBK" w:cs="方正黑体_GBK"/>
          <w:sz w:val="32"/>
          <w:szCs w:val="32"/>
        </w:rPr>
      </w:pPr>
      <w:r>
        <w:rPr>
          <w:rFonts w:ascii="宋体" w:hAnsi="宋体"/>
          <w:b/>
          <w:sz w:val="36"/>
          <w:szCs w:val="21"/>
          <w:u w:val="single"/>
        </w:rPr>
        <w:br w:type="page" w:clear="all"/>
      </w:r>
      <w:bookmarkEnd w:id="192"/>
      <w:r/>
      <w:bookmarkEnd w:id="193"/>
      <w:r/>
      <w:bookmarkEnd w:id="205"/>
      <w:r/>
      <w:bookmarkEnd w:id="206"/>
      <w:r/>
      <w:bookmarkEnd w:id="207"/>
      <w:r>
        <w:rPr>
          <w:rFonts w:hint="eastAsia" w:ascii="方正黑体_GBK" w:hAnsi="方正黑体_GBK" w:eastAsia="方正黑体_GBK" w:cs="方正黑体_GBK"/>
          <w:sz w:val="32"/>
          <w:szCs w:val="32"/>
        </w:rPr>
        <w:t xml:space="preserve">投标文件目录</w:t>
      </w:r>
      <w:r/>
    </w:p>
    <w:p>
      <w:pPr>
        <w:ind w:firstLine="560"/>
        <w:spacing w:line="600" w:lineRule="exact"/>
        <w:rPr>
          <w:rFonts w:hint="eastAsia" w:ascii="宋体" w:hAnsi="宋体" w:cs="宋体"/>
          <w:sz w:val="28"/>
          <w:szCs w:val="28"/>
        </w:rPr>
      </w:pPr>
      <w:r/>
      <w:bookmarkStart w:id="208" w:name="_Toc120614284"/>
      <w:r>
        <w:rPr>
          <w:rFonts w:hint="eastAsia" w:ascii="宋体" w:hAnsi="宋体" w:cs="宋体"/>
          <w:sz w:val="28"/>
          <w:szCs w:val="28"/>
        </w:rPr>
        <w:t xml:space="preserve">一、资格证明文件</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六、核心产品品牌一览表（如有）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七、投标分项报价表（如有）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十一、残疾人福利性单位声明函（如有）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十二、联合体协议（如有）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十三、供应商资格承诺函</w:t>
      </w:r>
      <w:r/>
    </w:p>
    <w:p>
      <w:pPr>
        <w:ind w:firstLine="560"/>
        <w:spacing w:line="600" w:lineRule="exact"/>
        <w:rPr>
          <w:rFonts w:hint="eastAsia" w:ascii="宋体" w:hAnsi="宋体" w:cs="宋体"/>
          <w:bCs/>
          <w:sz w:val="28"/>
          <w:szCs w:val="28"/>
        </w:rPr>
      </w:pPr>
      <w:r>
        <w:rPr>
          <w:rFonts w:hint="eastAsia" w:ascii="宋体" w:hAnsi="宋体" w:cs="宋体"/>
          <w:bCs/>
          <w:sz w:val="28"/>
          <w:szCs w:val="28"/>
        </w:rPr>
        <w:t xml:space="preserve">十四：质保及售后服务承诺书</w:t>
      </w:r>
      <w:r/>
    </w:p>
    <w:p>
      <w:pPr>
        <w:ind w:firstLine="560"/>
        <w:spacing w:line="600" w:lineRule="exact"/>
        <w:rPr>
          <w:rFonts w:hint="eastAsia" w:ascii="宋体" w:hAnsi="宋体" w:cs="宋体"/>
          <w:bCs/>
          <w:sz w:val="28"/>
          <w:szCs w:val="28"/>
        </w:rPr>
      </w:pPr>
      <w:r>
        <w:rPr>
          <w:rFonts w:hint="eastAsia" w:ascii="宋体" w:hAnsi="宋体" w:cs="宋体"/>
          <w:bCs/>
          <w:sz w:val="28"/>
          <w:szCs w:val="28"/>
        </w:rPr>
        <w:t xml:space="preserve">十五、关于符合本国产品标准的声明函</w:t>
      </w:r>
      <w:r/>
    </w:p>
    <w:p>
      <w:pPr>
        <w:ind w:firstLine="560"/>
        <w:spacing w:line="600" w:lineRule="exact"/>
        <w:rPr>
          <w:rFonts w:hint="eastAsia" w:ascii="宋体" w:hAnsi="宋体" w:cs="宋体"/>
          <w:bCs/>
          <w:sz w:val="28"/>
          <w:szCs w:val="28"/>
        </w:rPr>
      </w:pPr>
      <w:r>
        <w:rPr>
          <w:rFonts w:hint="eastAsia" w:ascii="宋体" w:hAnsi="宋体" w:cs="宋体"/>
          <w:bCs/>
          <w:sz w:val="28"/>
          <w:szCs w:val="28"/>
        </w:rPr>
        <w:t xml:space="preserve">十六、其他</w:t>
      </w:r>
      <w:r/>
    </w:p>
    <w:p>
      <w:pPr>
        <w:rPr>
          <w:rFonts w:hint="eastAsia" w:ascii="宋体" w:hAnsi="宋体"/>
          <w:i/>
          <w:sz w:val="32"/>
          <w:szCs w:val="32"/>
          <w:u w:val="single"/>
        </w:rPr>
      </w:pPr>
      <w:r>
        <w:rPr>
          <w:rFonts w:hint="eastAsia" w:ascii="宋体" w:hAnsi="宋体" w:cs="宋体"/>
          <w:sz w:val="28"/>
          <w:szCs w:val="28"/>
        </w:rPr>
        <w:br w:type="page" w:clear="all"/>
      </w:r>
      <w:r>
        <w:rPr>
          <w:rFonts w:hint="eastAsia" w:ascii="黑体" w:hAnsi="黑体" w:eastAsia="黑体"/>
          <w:sz w:val="32"/>
          <w:szCs w:val="32"/>
        </w:rPr>
        <w:t xml:space="preserve">一、</w:t>
      </w:r>
      <w:r>
        <w:rPr>
          <w:rFonts w:hint="eastAsia" w:ascii="宋体" w:hAnsi="宋体"/>
          <w:sz w:val="32"/>
          <w:szCs w:val="32"/>
        </w:rPr>
        <w:t xml:space="preserve">资格证明文件</w:t>
      </w:r>
      <w:r/>
    </w:p>
    <w:p>
      <w:pPr>
        <w:jc w:val="center"/>
        <w:spacing w:line="360" w:lineRule="auto"/>
        <w:rPr>
          <w:rFonts w:hint="eastAsia" w:ascii="宋体" w:hAnsi="宋体" w:cs="方正小标宋简体"/>
          <w:sz w:val="32"/>
          <w:szCs w:val="32"/>
        </w:rPr>
        <w:outlineLvl w:val="0"/>
      </w:pPr>
      <w:r/>
      <w:bookmarkStart w:id="209" w:name="_Toc181719706"/>
      <w:r>
        <w:rPr>
          <w:rFonts w:hint="eastAsia" w:ascii="宋体" w:hAnsi="宋体"/>
          <w:sz w:val="32"/>
          <w:szCs w:val="32"/>
        </w:rPr>
        <w:t xml:space="preserve">资格证明文件</w:t>
      </w:r>
      <w:bookmarkEnd w:id="209"/>
      <w:r/>
      <w:r/>
    </w:p>
    <w:p>
      <w:pPr>
        <w:rPr>
          <w:rFonts w:hint="eastAsia" w:ascii="宋体" w:hAnsi="宋体"/>
          <w:sz w:val="24"/>
          <w:szCs w:val="24"/>
        </w:rPr>
      </w:pPr>
      <w:r>
        <w:rPr>
          <w:rFonts w:hint="eastAsia" w:ascii="宋体" w:hAnsi="宋体"/>
          <w:sz w:val="24"/>
          <w:szCs w:val="24"/>
        </w:rPr>
        <w:t xml:space="preserve">  1、投标人营业执照副本或事业单位法人登记证书或组织机构代码证（复印件，加盖公章）或自然人身份证复印件； </w:t>
      </w:r>
      <w:r/>
    </w:p>
    <w:p>
      <w:pPr>
        <w:rPr>
          <w:rFonts w:hint="eastAsia" w:ascii="宋体" w:hAnsi="宋体"/>
          <w:sz w:val="24"/>
          <w:szCs w:val="24"/>
        </w:rPr>
      </w:pPr>
      <w:r>
        <w:rPr>
          <w:rFonts w:hint="eastAsia" w:ascii="宋体" w:hAnsi="宋体"/>
          <w:sz w:val="24"/>
          <w:szCs w:val="24"/>
        </w:rPr>
        <w:t xml:space="preserve">  2、具有良好的商业信誉和健全的财务会计制度；</w:t>
      </w:r>
      <w:r/>
    </w:p>
    <w:p>
      <w:pPr>
        <w:rPr>
          <w:rFonts w:hint="eastAsia" w:ascii="宋体" w:hAnsi="宋体"/>
          <w:sz w:val="24"/>
          <w:szCs w:val="24"/>
        </w:rPr>
      </w:pPr>
      <w:r>
        <w:rPr>
          <w:rFonts w:hint="eastAsia" w:ascii="宋体" w:hAnsi="宋体"/>
          <w:sz w:val="24"/>
          <w:szCs w:val="24"/>
        </w:rPr>
        <w:t xml:space="preserve">  3、投标人根据项目需求提供履行合同所必需的设备和专业技术能力的书面声明、证明材料；</w:t>
      </w:r>
      <w:r/>
    </w:p>
    <w:p>
      <w:pPr>
        <w:rPr>
          <w:rFonts w:hint="eastAsia" w:ascii="宋体" w:hAnsi="宋体"/>
          <w:sz w:val="24"/>
          <w:szCs w:val="24"/>
        </w:rPr>
      </w:pPr>
      <w:r>
        <w:rPr>
          <w:rFonts w:hint="eastAsia" w:ascii="宋体" w:hAnsi="宋体"/>
          <w:sz w:val="24"/>
          <w:szCs w:val="24"/>
        </w:rPr>
        <w:t xml:space="preserve">  4、投标人参加本次政府采购活动前一年内（至少一个月）依法缴纳税收和社会保障资金的相关材料；</w:t>
      </w:r>
      <w:r/>
    </w:p>
    <w:p>
      <w:pPr>
        <w:rPr>
          <w:rFonts w:hint="eastAsia" w:ascii="宋体" w:hAnsi="宋体"/>
          <w:sz w:val="24"/>
          <w:szCs w:val="24"/>
        </w:rPr>
      </w:pPr>
      <w:r>
        <w:rPr>
          <w:rFonts w:hint="eastAsia" w:ascii="宋体" w:hAnsi="宋体"/>
          <w:sz w:val="24"/>
          <w:szCs w:val="24"/>
        </w:rPr>
        <w:t xml:space="preserve">  5、投标人参加本次政府采购活动前3年内在经营活动中没有重大违法记录的书面声明；</w:t>
      </w:r>
      <w:r/>
    </w:p>
    <w:p>
      <w:pPr>
        <w:jc w:val="left"/>
        <w:spacing w:line="360" w:lineRule="auto"/>
        <w:rPr>
          <w:rFonts w:hint="eastAsia" w:ascii="宋体" w:hAnsi="宋体"/>
          <w:sz w:val="24"/>
          <w:szCs w:val="24"/>
        </w:rPr>
      </w:pPr>
      <w:r>
        <w:rPr>
          <w:rFonts w:hint="eastAsia" w:ascii="宋体" w:hAnsi="宋体"/>
          <w:sz w:val="24"/>
          <w:szCs w:val="24"/>
        </w:rPr>
      </w:r>
      <w:r/>
    </w:p>
    <w:p>
      <w:pPr>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widowControl/>
        <w:rPr>
          <w:rFonts w:hint="eastAsia" w:ascii="黑体" w:hAnsi="黑体" w:eastAsia="黑体"/>
          <w:sz w:val="32"/>
          <w:szCs w:val="32"/>
        </w:rPr>
      </w:pPr>
      <w:r>
        <w:rPr>
          <w:rFonts w:hint="eastAsia" w:ascii="黑体" w:hAnsi="黑体" w:eastAsia="黑体"/>
          <w:sz w:val="32"/>
          <w:szCs w:val="32"/>
        </w:rPr>
        <w:br w:type="page" w:clear="all"/>
      </w:r>
      <w:r/>
    </w:p>
    <w:p>
      <w:pPr>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p>
    <w:p>
      <w:pPr>
        <w:pStyle w:val="944"/>
        <w:ind w:firstLine="480"/>
        <w:rPr>
          <w:sz w:val="24"/>
          <w:szCs w:val="24"/>
        </w:rPr>
      </w:pPr>
      <w:r>
        <w:rPr>
          <w:rFonts w:hint="eastAsia"/>
          <w:sz w:val="24"/>
          <w:szCs w:val="24"/>
        </w:rPr>
        <w:t xml:space="preserve">1</w:t>
      </w:r>
      <w:r>
        <w:rPr>
          <w:rFonts w:hint="eastAsia"/>
          <w:sz w:val="24"/>
          <w:szCs w:val="24"/>
        </w:rPr>
        <w:t xml:space="preserve">、本项目申请人的特定资格要求中要求提供的材料。</w:t>
      </w:r>
      <w:r/>
    </w:p>
    <w:p>
      <w:pPr>
        <w:pStyle w:val="944"/>
        <w:ind w:firstLine="480"/>
        <w:rPr>
          <w:sz w:val="24"/>
          <w:szCs w:val="24"/>
        </w:rPr>
      </w:pPr>
      <w:r>
        <w:rPr>
          <w:sz w:val="24"/>
          <w:szCs w:val="24"/>
        </w:rPr>
        <w:t xml:space="preserve">2</w:t>
      </w:r>
      <w:r>
        <w:rPr>
          <w:rFonts w:hint="eastAsia"/>
          <w:sz w:val="24"/>
          <w:szCs w:val="24"/>
        </w:rPr>
        <w:t xml:space="preserve">、供应商未被“信用中国”网站（</w:t>
      </w:r>
      <w:r>
        <w:rPr>
          <w:rFonts w:hint="eastAsia"/>
          <w:sz w:val="24"/>
          <w:szCs w:val="24"/>
        </w:rPr>
        <w:t xml:space="preserve">www.creditchina.gov.cn</w:t>
      </w:r>
      <w:r>
        <w:rPr>
          <w:rFonts w:hint="eastAsia"/>
          <w:sz w:val="24"/>
          <w:szCs w:val="24"/>
        </w:rPr>
        <w:t xml:space="preserve">）、“中国政府采购网”</w:t>
      </w:r>
      <w:r>
        <w:rPr>
          <w:rFonts w:hint="eastAsia"/>
          <w:sz w:val="24"/>
          <w:szCs w:val="24"/>
        </w:rPr>
        <w:t xml:space="preserve">(www.ccgp.gov.cn)</w:t>
      </w:r>
      <w:r>
        <w:rPr>
          <w:rFonts w:hint="eastAsia"/>
          <w:sz w:val="24"/>
          <w:szCs w:val="24"/>
        </w:rPr>
        <w:t xml:space="preserve">列入失信被执行人、重大税收违法案件当事人名单、政府采购严重违法失信行为记录名单。（提供网页截图）</w:t>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974"/>
        <w:rPr>
          <w:lang w:eastAsia="zh-CN"/>
        </w:rPr>
      </w:pPr>
      <w:r>
        <w:rPr>
          <w:lang w:eastAsia="zh-CN"/>
        </w:rPr>
      </w:r>
      <w:r/>
    </w:p>
    <w:p>
      <w:r/>
      <w:r/>
    </w:p>
    <w:p>
      <w:pPr>
        <w:jc w:val="left"/>
        <w:spacing w:line="360" w:lineRule="auto"/>
        <w:rPr>
          <w:rFonts w:hint="eastAsia" w:ascii="黑体" w:hAnsi="黑体" w:eastAsia="黑体"/>
          <w:sz w:val="32"/>
          <w:szCs w:val="32"/>
        </w:rPr>
      </w:pPr>
      <w:r>
        <w:rPr>
          <w:rFonts w:ascii="黑体" w:hAnsi="黑体" w:eastAsia="黑体"/>
          <w:sz w:val="32"/>
          <w:szCs w:val="32"/>
        </w:rPr>
        <w:br w:type="page" w:clear="all"/>
      </w:r>
      <w:r>
        <w:rPr>
          <w:rFonts w:hint="eastAsia" w:ascii="黑体" w:hAnsi="黑体" w:eastAsia="黑体"/>
          <w:sz w:val="32"/>
          <w:szCs w:val="32"/>
        </w:rPr>
        <w:t xml:space="preserve">三、法人授权书</w:t>
      </w:r>
      <w:r/>
    </w:p>
    <w:p>
      <w:pPr>
        <w:jc w:val="center"/>
        <w:spacing w:line="420" w:lineRule="exact"/>
        <w:rPr>
          <w:rFonts w:hint="eastAsia"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法人授权书</w:t>
      </w:r>
      <w:r/>
    </w:p>
    <w:p>
      <w:pPr>
        <w:pStyle w:val="944"/>
        <w:ind w:firstLine="480"/>
        <w:spacing w:line="420" w:lineRule="exact"/>
        <w:rPr>
          <w:sz w:val="24"/>
          <w:szCs w:val="24"/>
        </w:rPr>
      </w:pPr>
      <w:r>
        <w:rPr>
          <w:sz w:val="24"/>
          <w:szCs w:val="24"/>
        </w:rPr>
      </w:r>
      <w:r/>
    </w:p>
    <w:p>
      <w:pPr>
        <w:pStyle w:val="944"/>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44"/>
        <w:ind w:firstLine="480"/>
        <w:spacing w:line="480" w:lineRule="exact"/>
        <w:rPr>
          <w:sz w:val="24"/>
          <w:szCs w:val="24"/>
        </w:rPr>
      </w:pPr>
      <w:r>
        <w:rPr>
          <w:rFonts w:hint="eastAsia"/>
          <w:sz w:val="24"/>
          <w:szCs w:val="24"/>
        </w:rPr>
        <w:t xml:space="preserve">本授权书自</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944"/>
        <w:ind w:firstLine="480"/>
        <w:spacing w:line="480" w:lineRule="exact"/>
        <w:rPr>
          <w:sz w:val="24"/>
          <w:szCs w:val="24"/>
        </w:rPr>
      </w:pPr>
      <w:r>
        <w:rPr>
          <w:rFonts w:hint="eastAsia"/>
          <w:sz w:val="24"/>
          <w:szCs w:val="24"/>
        </w:rPr>
        <w:t xml:space="preserve">被授权人身份证号码：</w:t>
      </w:r>
      <w:r/>
    </w:p>
    <w:p>
      <w:pPr>
        <w:pStyle w:val="944"/>
        <w:ind w:firstLine="480"/>
        <w:spacing w:line="480" w:lineRule="exact"/>
        <w:rPr>
          <w:sz w:val="24"/>
          <w:szCs w:val="24"/>
          <w:u w:val="single"/>
        </w:rPr>
      </w:pPr>
      <w:r>
        <w:rPr>
          <w:rFonts w:hint="eastAsia"/>
          <w:sz w:val="24"/>
          <w:szCs w:val="24"/>
        </w:rPr>
        <w:t xml:space="preserve">被授权人联系电话：（手机）</w:t>
      </w:r>
      <w:r/>
    </w:p>
    <w:p>
      <w:pPr>
        <w:pStyle w:val="944"/>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944"/>
        <w:ind w:firstLine="480"/>
        <w:spacing w:line="480" w:lineRule="exact"/>
        <w:rPr>
          <w:sz w:val="24"/>
          <w:szCs w:val="24"/>
          <w:u w:val="single"/>
        </w:rPr>
      </w:pPr>
      <w:r>
        <w:rPr>
          <w:rFonts w:hint="eastAsia"/>
          <w:sz w:val="24"/>
          <w:szCs w:val="24"/>
        </w:rPr>
        <w:t xml:space="preserve">单位地址：</w:t>
      </w:r>
      <w:r/>
    </w:p>
    <w:p>
      <w:pPr>
        <w:pStyle w:val="944"/>
        <w:ind w:firstLine="480"/>
        <w:spacing w:line="480" w:lineRule="exact"/>
        <w:rPr>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bookmarkStart w:id="210" w:name="_Hlt26671380"/>
      <w:r/>
      <w:bookmarkStart w:id="211" w:name="_格式3__银行出具的资信证明"/>
      <w:r/>
      <w:bookmarkStart w:id="212" w:name="_Hlt26955070"/>
      <w:r/>
      <w:bookmarkEnd w:id="210"/>
      <w:r/>
      <w:bookmarkEnd w:id="211"/>
      <w:r/>
      <w:bookmarkEnd w:id="212"/>
      <w:r/>
      <w:r/>
    </w:p>
    <w:p>
      <w:pPr>
        <w:pStyle w:val="707"/>
        <w:rPr>
          <w:i/>
          <w:sz w:val="24"/>
          <w:szCs w:val="24"/>
          <w:u w:val="single"/>
        </w:rPr>
      </w:pPr>
      <w:r>
        <w:rPr>
          <w:i/>
          <w:sz w:val="24"/>
          <w:szCs w:val="24"/>
          <w:u w:val="single"/>
        </w:rPr>
      </w:r>
      <w:r/>
    </w:p>
    <w:p>
      <w:pPr>
        <w:pStyle w:val="707"/>
        <w:ind w:firstLine="0"/>
      </w:pPr>
      <w:r>
        <mc:AlternateContent>
          <mc:Choice Requires="wpg">
            <w:drawing>
              <wp:anchor xmlns:wp="http://schemas.openxmlformats.org/drawingml/2006/wordprocessingDrawing" xmlns:wp14="http://schemas.microsoft.com/office/word/2010/wordprocessingDrawing" distT="45720" distB="45720" distL="114300" distR="114300" simplePos="0" relativeHeight="1" behindDoc="0" locked="0" layoutInCell="1" allowOverlap="1">
                <wp:simplePos x="0" y="0"/>
                <wp:positionH relativeFrom="column">
                  <wp:posOffset>347345</wp:posOffset>
                </wp:positionH>
                <wp:positionV relativeFrom="paragraph">
                  <wp:posOffset>93345</wp:posOffset>
                </wp:positionV>
                <wp:extent cx="4584700" cy="1988185"/>
                <wp:effectExtent l="0" t="0" r="0" b="0"/>
                <wp:wrapSquare wrapText="bothSides"/>
                <wp:docPr id="1" name=""/>
                <wp:cNvGraphicFramePr/>
                <a:graphic xmlns:a="http://schemas.openxmlformats.org/drawingml/2006/main">
                  <a:graphicData uri="http://schemas.microsoft.com/office/word/2010/wordprocessingShape">
                    <wps:wsp>
                      <wps:cNvPr id="0" name=""/>
                      <wps:cNvSpPr txBox="1"/>
                      <wps:spPr bwMode="auto">
                        <a:xfrm>
                          <a:off x="0" y="0"/>
                          <a:ext cx="4584700" cy="1988185"/>
                        </a:xfrm>
                        <a:prstGeom prst="rect">
                          <a:avLst/>
                        </a:prstGeom>
                        <a:solidFill>
                          <a:srgbClr val="FFFFFF"/>
                        </a:solidFill>
                        <a:ln>
                          <a:solidFill>
                            <a:srgbClr val="000000"/>
                          </a:solidFill>
                        </a:ln>
                      </wps:spPr>
                      <wps:txbx>
                        <w:txbxContent>
                          <w:p>
                            <w:pPr>
                              <w:jc w:val="center"/>
                              <w:spacing w:before="870"/>
                              <w:rPr>
                                <w:sz w:val="28"/>
                              </w:rPr>
                            </w:pPr>
                            <w:r>
                              <w:rPr>
                                <w:rFonts w:hint="eastAsia"/>
                                <w:sz w:val="28"/>
                              </w:rPr>
                              <w:t xml:space="preserve">法定代表人身份证及被授权人身份证</w:t>
                            </w:r>
                            <w:r/>
                          </w:p>
                          <w:p>
                            <w:r/>
                            <w:r/>
                          </w:p>
                        </w:txbxContent>
                      </wps:txbx>
                      <wps:bodyPr wrap="square" upright="1"/>
                    </wps:wsp>
                  </a:graphicData>
                </a:graphic>
              </wp:anchor>
            </w:drawing>
          </mc:Choice>
          <mc:Fallback>
            <w:pict>
              <v:shape id="shape 0" o:spid="_x0000_s0" o:spt="202" type="#_x0000_t202" style="position:absolute;z-index:1;o:allowoverlap:true;o:allowincell:true;mso-position-horizontal-relative:text;margin-left:27.3pt;mso-position-horizontal:absolute;mso-position-vertical-relative:text;margin-top:7.3pt;mso-position-vertical:absolute;width:361.0pt;height:156.5pt;mso-wrap-distance-left:9.0pt;mso-wrap-distance-top:3.6pt;mso-wrap-distance-right:9.0pt;mso-wrap-distance-bottom:3.6pt;visibility:visible;" fillcolor="#FFFFFF" strokecolor="#000000">
                <w10:wrap type="square"/>
                <v:textbox inset="0,0,0,0">
                  <w:txbxContent>
                    <w:p>
                      <w:pPr>
                        <w:jc w:val="center"/>
                        <w:spacing w:before="870"/>
                        <w:rPr>
                          <w:sz w:val="28"/>
                        </w:rPr>
                      </w:pPr>
                      <w:r>
                        <w:rPr>
                          <w:rFonts w:hint="eastAsia"/>
                          <w:sz w:val="28"/>
                        </w:rPr>
                        <w:t xml:space="preserve">法定代表人身份证及被授权人身份证</w:t>
                      </w:r>
                      <w:r/>
                    </w:p>
                    <w:p>
                      <w:r/>
                      <w:r/>
                    </w:p>
                  </w:txbxContent>
                </v:textbox>
              </v:shape>
            </w:pict>
          </mc:Fallback>
        </mc:AlternateContent>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972"/>
        <w:rPr>
          <w:rFonts w:hint="eastAsia"/>
          <w:bCs/>
          <w:sz w:val="24"/>
        </w:rPr>
      </w:pPr>
      <w:r>
        <w:rPr>
          <w:rFonts w:hint="eastAsia"/>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ascii="黑体" w:hAnsi="黑体" w:eastAsia="黑体"/>
          <w:sz w:val="32"/>
          <w:szCs w:val="32"/>
        </w:rPr>
        <w:br w:type="page" w:clear="all"/>
      </w:r>
      <w:r>
        <w:rPr>
          <w:rFonts w:hint="eastAsia" w:ascii="黑体" w:hAnsi="黑体" w:eastAsia="黑体"/>
          <w:sz w:val="32"/>
          <w:szCs w:val="32"/>
        </w:rPr>
        <w:t xml:space="preserve">四、投标函</w:t>
      </w:r>
      <w:r/>
    </w:p>
    <w:p>
      <w:pPr>
        <w:jc w:val="center"/>
        <w:spacing w:line="360" w:lineRule="auto"/>
        <w:rPr>
          <w:rFonts w:hint="eastAsia"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投标函</w:t>
      </w:r>
      <w:r/>
    </w:p>
    <w:p>
      <w:pPr>
        <w:pStyle w:val="946"/>
        <w:spacing w:before="0" w:after="0" w:line="420" w:lineRule="exact"/>
        <w:rPr>
          <w:rFonts w:hint="eastAsia" w:ascii="宋体" w:hAnsi="宋体"/>
          <w:szCs w:val="21"/>
        </w:rPr>
      </w:pPr>
      <w:r>
        <w:rPr>
          <w:rFonts w:hint="eastAsia" w:ascii="宋体" w:hAnsi="宋体"/>
          <w:szCs w:val="21"/>
        </w:rPr>
        <w:t xml:space="preserve">致：江苏金永诚建设投资管理咨询有限公司</w:t>
      </w:r>
      <w:r/>
    </w:p>
    <w:p>
      <w:pPr>
        <w:pStyle w:val="946"/>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46"/>
        <w:spacing w:before="0" w:after="0" w:line="420" w:lineRule="exact"/>
        <w:rPr>
          <w:rFonts w:hint="eastAsia" w:ascii="宋体" w:hAnsi="宋体"/>
          <w:szCs w:val="21"/>
        </w:rPr>
      </w:pPr>
      <w:r>
        <w:rPr>
          <w:rFonts w:hint="eastAsia" w:ascii="宋体" w:hAnsi="宋体"/>
          <w:szCs w:val="21"/>
        </w:rPr>
        <w:t xml:space="preserve">1.按招标文件规定的各项要求，向买方提供所需货物（包含与货物相关的服务）。</w:t>
      </w:r>
      <w:r/>
    </w:p>
    <w:p>
      <w:pPr>
        <w:pStyle w:val="94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4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46"/>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4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4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spacing w:line="264" w:lineRule="auto"/>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.与我单位负责人为同一人或者存在直接控股、管理关系的不同供应商，未参加同一合同项下的政府采购活动。</w:t>
      </w:r>
      <w:r/>
    </w:p>
    <w:p>
      <w:pPr>
        <w:ind w:firstLine="480"/>
        <w:spacing w:line="264" w:lineRule="auto"/>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.我单位没有为采购项目提供整体设计、规范编制或者项目管理、监理、检测等服务。</w:t>
      </w:r>
      <w:r/>
    </w:p>
    <w:p>
      <w:pPr>
        <w:pStyle w:val="704"/>
        <w:ind w:firstLine="480"/>
        <w:rPr>
          <w:rFonts w:hint="eastAsia"/>
          <w:sz w:val="24"/>
          <w:szCs w:val="21"/>
        </w:rPr>
      </w:pPr>
      <w:r>
        <w:rPr>
          <w:sz w:val="24"/>
          <w:szCs w:val="21"/>
        </w:rPr>
        <w:t xml:space="preserve">9</w:t>
      </w:r>
      <w:r>
        <w:rPr>
          <w:rFonts w:hint="eastAsia"/>
          <w:sz w:val="24"/>
          <w:szCs w:val="21"/>
        </w:rPr>
        <w:t xml:space="preserve">.我单位没有被“信用中国”网站、“中国政府采购网”列入失信被执行人、重大税收违法案件当事人名单、政府采购严重违法失信行为记录名单。</w:t>
      </w:r>
      <w:r/>
    </w:p>
    <w:p>
      <w:pPr>
        <w:ind w:firstLine="480"/>
        <w:jc w:val="left"/>
        <w:spacing w:line="420" w:lineRule="exact"/>
        <w:rPr>
          <w:rFonts w:hint="eastAsia" w:ascii="宋体" w:hAnsi="宋体"/>
          <w:sz w:val="24"/>
          <w:szCs w:val="24"/>
        </w:rPr>
      </w:pPr>
      <w:r>
        <w:rPr>
          <w:rFonts w:ascii="宋体" w:hAnsi="宋体"/>
          <w:sz w:val="24"/>
          <w:szCs w:val="24"/>
        </w:rPr>
        <w:t xml:space="preserve">10</w:t>
      </w:r>
      <w:r>
        <w:rPr>
          <w:rFonts w:hint="eastAsia" w:ascii="宋体" w:hAnsi="宋体"/>
          <w:sz w:val="24"/>
          <w:szCs w:val="24"/>
        </w:rPr>
        <w:t xml:space="preserve">.我方为：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46"/>
        <w:spacing w:before="0" w:after="0" w:line="420" w:lineRule="exact"/>
        <w:rPr>
          <w:rFonts w:hint="eastAsia" w:ascii="宋体" w:hAnsi="宋体"/>
          <w:szCs w:val="21"/>
        </w:rPr>
      </w:pPr>
      <w:r>
        <w:rPr>
          <w:rFonts w:ascii="宋体" w:hAnsi="宋体"/>
          <w:szCs w:val="21"/>
        </w:rPr>
        <w:t xml:space="preserve">11</w:t>
      </w:r>
      <w:r>
        <w:rPr>
          <w:rFonts w:hint="eastAsia" w:ascii="宋体" w:hAnsi="宋体"/>
          <w:szCs w:val="21"/>
        </w:rPr>
        <w:t xml:space="preserve">.我方与本次投标有关信息</w:t>
      </w:r>
      <w:r/>
    </w:p>
    <w:p>
      <w:pPr>
        <w:pStyle w:val="946"/>
        <w:spacing w:before="0" w:after="0" w:line="420" w:lineRule="exact"/>
        <w:rPr>
          <w:rFonts w:hint="eastAsia" w:ascii="宋体" w:hAnsi="宋体"/>
          <w:szCs w:val="21"/>
        </w:rPr>
      </w:pPr>
      <w:r>
        <w:rPr>
          <w:rFonts w:hint="eastAsia" w:ascii="宋体" w:hAnsi="宋体"/>
          <w:szCs w:val="21"/>
        </w:rPr>
        <w:t xml:space="preserve">地  址：</w:t>
      </w:r>
      <w:r/>
    </w:p>
    <w:p>
      <w:pPr>
        <w:pStyle w:val="946"/>
        <w:spacing w:before="0" w:after="0" w:line="420" w:lineRule="exact"/>
        <w:rPr>
          <w:rFonts w:hint="eastAsia" w:ascii="宋体" w:hAnsi="宋体"/>
          <w:szCs w:val="21"/>
        </w:rPr>
      </w:pPr>
      <w:r>
        <w:rPr>
          <w:rFonts w:hint="eastAsia" w:ascii="宋体" w:hAnsi="宋体"/>
          <w:szCs w:val="21"/>
        </w:rPr>
        <w:t xml:space="preserve">邮  编：</w:t>
      </w:r>
      <w:r/>
    </w:p>
    <w:p>
      <w:pPr>
        <w:pStyle w:val="946"/>
        <w:spacing w:before="0" w:after="0" w:line="420" w:lineRule="exact"/>
        <w:rPr>
          <w:rFonts w:hint="eastAsia" w:ascii="宋体" w:hAnsi="宋体"/>
          <w:szCs w:val="21"/>
          <w:u w:val="single"/>
        </w:rPr>
      </w:pPr>
      <w:r>
        <w:rPr>
          <w:rFonts w:hint="eastAsia" w:ascii="宋体" w:hAnsi="宋体"/>
          <w:szCs w:val="21"/>
        </w:rPr>
        <w:t xml:space="preserve">电  话：</w:t>
      </w:r>
      <w:r/>
    </w:p>
    <w:p>
      <w:pPr>
        <w:pStyle w:val="946"/>
        <w:spacing w:before="0" w:after="0" w:line="420" w:lineRule="exact"/>
        <w:rPr>
          <w:rFonts w:hint="eastAsia" w:ascii="宋体" w:hAnsi="宋体"/>
          <w:szCs w:val="21"/>
          <w:u w:val="single"/>
        </w:rPr>
      </w:pPr>
      <w:r>
        <w:rPr>
          <w:rFonts w:hint="eastAsia" w:ascii="宋体" w:hAnsi="宋体"/>
          <w:szCs w:val="21"/>
        </w:rPr>
        <w:t xml:space="preserve">传  真：</w:t>
      </w:r>
      <w:r/>
    </w:p>
    <w:p>
      <w:pPr>
        <w:pStyle w:val="946"/>
        <w:spacing w:before="0" w:after="0" w:line="420" w:lineRule="exact"/>
        <w:rPr>
          <w:rFonts w:hint="eastAsia" w:ascii="宋体" w:hAnsi="宋体"/>
          <w:szCs w:val="21"/>
          <w:u w:val="single"/>
        </w:rPr>
      </w:pPr>
      <w:r>
        <w:rPr>
          <w:rFonts w:hint="eastAsia" w:ascii="宋体" w:hAnsi="宋体"/>
          <w:szCs w:val="21"/>
        </w:rPr>
        <w:t xml:space="preserve">开户行：</w:t>
      </w:r>
      <w:r/>
    </w:p>
    <w:p>
      <w:pPr>
        <w:pStyle w:val="946"/>
        <w:spacing w:before="0" w:after="0" w:line="420" w:lineRule="exact"/>
        <w:rPr>
          <w:rFonts w:hint="eastAsia" w:ascii="宋体" w:hAnsi="宋体"/>
          <w:szCs w:val="21"/>
          <w:u w:val="single"/>
        </w:rPr>
      </w:pPr>
      <w:r>
        <w:rPr>
          <w:rFonts w:hint="eastAsia" w:ascii="宋体" w:hAnsi="宋体"/>
          <w:szCs w:val="21"/>
        </w:rPr>
        <w:t xml:space="preserve">账  号：</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946"/>
        <w:spacing w:before="0" w:after="0" w:line="420" w:lineRule="exact"/>
        <w:rPr>
          <w:rFonts w:hint="eastAsia" w:ascii="宋体" w:hAnsi="宋体"/>
          <w:szCs w:val="21"/>
        </w:rPr>
      </w:pPr>
      <w:r>
        <w:rPr>
          <w:rFonts w:hint="eastAsia" w:ascii="宋体" w:hAnsi="宋体"/>
          <w:szCs w:val="21"/>
        </w:rPr>
        <w:t xml:space="preserve">日  期：</w:t>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p>
    <w:p>
      <w:pPr>
        <w:jc w:val="center"/>
        <w:spacing w:line="360" w:lineRule="auto"/>
        <w:rPr>
          <w:rFonts w:hint="eastAsia"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开标一览表</w:t>
      </w:r>
      <w:r/>
    </w:p>
    <w:p>
      <w:pPr>
        <w:rPr>
          <w:rFonts w:hint="eastAsia"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hint="eastAsia" w:ascii="宋体" w:hAnsi="宋体"/>
          <w:sz w:val="24"/>
          <w:szCs w:val="24"/>
        </w:rPr>
      </w:pPr>
      <w:r>
        <w:rPr>
          <w:rFonts w:hint="eastAsia" w:ascii="宋体" w:hAnsi="宋体"/>
          <w:sz w:val="24"/>
          <w:szCs w:val="24"/>
        </w:rPr>
        <w:t xml:space="preserve">项目编号：                                   分包号：</w:t>
      </w:r>
      <w:r/>
    </w:p>
    <w:tbl>
      <w:tblPr>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投标报价（元）</w:t>
            </w:r>
            <w:r/>
          </w:p>
        </w:tc>
      </w:tr>
      <w:tr>
        <w:trPr>
          <w:cantSplit/>
          <w:trHeight w:val="720"/>
        </w:trPr>
        <w:tc>
          <w:tcPr>
            <w:tcW w:w="9450" w:type="dxa"/>
            <w:vAlign w:val="center"/>
            <w:textDirection w:val="lrTb"/>
            <w:noWrap w:val="false"/>
          </w:tcPr>
          <w:p>
            <w:pPr>
              <w:pStyle w:val="946"/>
              <w:ind w:firstLine="0"/>
              <w:spacing w:before="0" w:after="0" w:line="500" w:lineRule="exact"/>
              <w:rPr>
                <w:rFonts w:hint="eastAsia" w:ascii="宋体" w:hAnsi="宋体"/>
                <w:szCs w:val="21"/>
              </w:rPr>
            </w:pPr>
            <w:r>
              <w:rPr>
                <w:rFonts w:hint="eastAsia" w:ascii="宋体" w:hAnsi="宋体" w:cs="宋体"/>
              </w:rPr>
              <w:t xml:space="preserve">小写（</w:t>
            </w:r>
            <w:r>
              <w:rPr>
                <w:rFonts w:hint="eastAsia" w:ascii="宋体" w:hAnsi="宋体"/>
              </w:rPr>
              <w:t xml:space="preserve">元</w:t>
            </w:r>
            <w:r>
              <w:rPr>
                <w:rFonts w:hint="eastAsia" w:ascii="宋体" w:hAnsi="宋体" w:cs="宋体"/>
              </w:rPr>
              <w:t xml:space="preserve">）：                             </w:t>
            </w:r>
            <w:r/>
          </w:p>
        </w:tc>
      </w:tr>
    </w:tbl>
    <w:p>
      <w:pPr>
        <w:rPr>
          <w:rFonts w:hint="eastAsia" w:ascii="宋体" w:hAnsi="宋体"/>
          <w:sz w:val="24"/>
          <w:szCs w:val="24"/>
        </w:rPr>
      </w:pPr>
      <w:r>
        <w:rPr>
          <w:rFonts w:hint="eastAsia"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  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jc w:val="center"/>
        <w:spacing w:line="360" w:lineRule="auto"/>
        <w:rPr>
          <w:rFonts w:ascii="黑体" w:eastAsia="黑体"/>
          <w:sz w:val="32"/>
          <w:szCs w:val="32"/>
        </w:rPr>
        <w:outlineLvl w:val="0"/>
      </w:pPr>
      <w:r>
        <w:rPr>
          <w:rFonts w:ascii="黑体" w:eastAsia="黑体"/>
          <w:sz w:val="32"/>
          <w:szCs w:val="32"/>
        </w:rPr>
      </w:r>
      <w:r/>
    </w:p>
    <w:p>
      <w:pPr>
        <w:jc w:val="center"/>
        <w:spacing w:line="360" w:lineRule="auto"/>
        <w:rPr>
          <w:rFonts w:ascii="黑体" w:eastAsia="黑体"/>
          <w:sz w:val="32"/>
          <w:szCs w:val="32"/>
        </w:rPr>
        <w:outlineLvl w:val="0"/>
      </w:pPr>
      <w:r>
        <w:rPr>
          <w:rFonts w:ascii="黑体" w:eastAsia="黑体"/>
          <w:sz w:val="32"/>
          <w:szCs w:val="32"/>
        </w:rPr>
      </w:r>
      <w:r/>
    </w:p>
    <w:p>
      <w:pPr>
        <w:jc w:val="left"/>
        <w:widowControl/>
        <w:rPr>
          <w:rFonts w:hint="eastAsia" w:ascii="黑体" w:hAnsi="黑体" w:eastAsia="黑体"/>
          <w:sz w:val="32"/>
          <w:szCs w:val="32"/>
        </w:rPr>
      </w:pPr>
      <w:r>
        <w:rPr>
          <w:rFonts w:hint="eastAsia" w:ascii="黑体" w:hAnsi="黑体" w:eastAsia="黑体"/>
          <w:sz w:val="32"/>
          <w:szCs w:val="32"/>
        </w:rPr>
        <w:br w:type="page" w:clear="all"/>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六、核心产品品牌一览表</w:t>
      </w:r>
      <w:r/>
    </w:p>
    <w:p>
      <w:pPr>
        <w:jc w:val="center"/>
        <w:spacing w:line="360" w:lineRule="auto"/>
        <w:rPr>
          <w:rFonts w:hint="eastAsia"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核心产品品牌一览表</w:t>
      </w:r>
      <w:r/>
    </w:p>
    <w:tbl>
      <w:tblPr>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44"/>
        <w:gridCol w:w="3753"/>
        <w:gridCol w:w="2158"/>
        <w:gridCol w:w="2391"/>
      </w:tblGrid>
      <w:tr>
        <w:trPr>
          <w:jc w:val="center"/>
          <w:trHeight w:val="72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rPr>
              <w:t xml:space="preserve">产品</w:t>
            </w:r>
            <w:r>
              <w:rPr>
                <w:rFonts w:hint="eastAsia" w:ascii="宋体" w:hAnsi="宋体"/>
                <w:sz w:val="24"/>
                <w:szCs w:val="24"/>
                <w:lang w:val="zh-CN"/>
              </w:rPr>
              <w:t xml:space="preserve">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rPr>
              <w:t xml:space="preserve">产品</w:t>
            </w:r>
            <w:r>
              <w:rPr>
                <w:rFonts w:hint="eastAsia" w:ascii="宋体" w:hAnsi="宋体"/>
                <w:sz w:val="24"/>
                <w:szCs w:val="24"/>
                <w:lang w:val="zh-CN"/>
              </w:rPr>
              <w:t xml:space="preserve">品牌</w:t>
            </w:r>
            <w:r/>
          </w:p>
        </w:tc>
        <w:tc>
          <w:tcPr>
            <w:tcBorders>
              <w:top w:val="single" w:color="000000" w:sz="4" w:space="0"/>
              <w:left w:val="single" w:color="000000" w:sz="4" w:space="0"/>
              <w:right w:val="single" w:color="000000" w:sz="4" w:space="0"/>
            </w:tcBorders>
            <w:tcW w:w="2391"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t xml:space="preserve">规格或型号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t xml:space="preserve">1</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c>
          <w:tcPr>
            <w:tcBorders>
              <w:left w:val="single" w:color="000000" w:sz="4" w:space="0"/>
              <w:right w:val="single" w:color="000000" w:sz="4" w:space="0"/>
            </w:tcBorders>
            <w:tcW w:w="2158" w:type="dxa"/>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c>
          <w:tcPr>
            <w:tcBorders>
              <w:left w:val="single" w:color="000000" w:sz="4" w:space="0"/>
              <w:right w:val="single" w:color="000000" w:sz="4" w:space="0"/>
            </w:tcBorders>
            <w:tcW w:w="2391" w:type="dxa"/>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r>
    </w:tbl>
    <w:p>
      <w:pPr>
        <w:ind w:firstLine="480"/>
        <w:jc w:val="left"/>
        <w:spacing w:line="360" w:lineRule="auto"/>
        <w:widowControl/>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p>
    <w:p>
      <w:pPr>
        <w:ind w:firstLine="482"/>
        <w:spacing w:line="480" w:lineRule="exact"/>
        <w:rPr>
          <w:rFonts w:hint="eastAsia" w:ascii="宋体" w:hAnsi="宋体"/>
          <w:b/>
          <w:bCs/>
          <w:sz w:val="24"/>
          <w:szCs w:val="24"/>
        </w:rPr>
      </w:pPr>
      <w:r>
        <w:rPr>
          <w:rFonts w:hint="eastAsia" w:ascii="宋体" w:hAnsi="宋体"/>
          <w:b/>
          <w:bCs/>
          <w:sz w:val="24"/>
          <w:szCs w:val="24"/>
        </w:rPr>
      </w:r>
      <w:r/>
    </w:p>
    <w:p>
      <w:pPr>
        <w:ind w:firstLine="482"/>
        <w:spacing w:line="480" w:lineRule="exact"/>
        <w:rPr>
          <w:rFonts w:hint="eastAsia"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widowControl/>
        <w:rPr>
          <w:rFonts w:hint="eastAsia" w:ascii="黑体" w:hAnsi="黑体" w:eastAsia="黑体"/>
          <w:sz w:val="32"/>
          <w:szCs w:val="32"/>
        </w:rPr>
      </w:pPr>
      <w:r>
        <w:rPr>
          <w:rFonts w:hint="eastAsia" w:ascii="黑体" w:hAnsi="黑体" w:eastAsia="黑体"/>
          <w:sz w:val="32"/>
          <w:szCs w:val="32"/>
        </w:rPr>
        <w:br w:type="page" w:clear="all"/>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七、投标分项报价表</w:t>
      </w:r>
      <w:r/>
    </w:p>
    <w:p>
      <w:pPr>
        <w:jc w:val="center"/>
        <w:spacing w:line="360" w:lineRule="auto"/>
        <w:rPr>
          <w:rFonts w:hint="eastAsia"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投标分项报价表</w:t>
      </w:r>
      <w:r/>
    </w:p>
    <w:tbl>
      <w:tblPr>
        <w:tblW w:w="106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56"/>
        <w:gridCol w:w="220"/>
        <w:gridCol w:w="277"/>
        <w:gridCol w:w="546"/>
        <w:gridCol w:w="1586"/>
        <w:gridCol w:w="3730"/>
        <w:gridCol w:w="696"/>
        <w:gridCol w:w="549"/>
        <w:gridCol w:w="876"/>
        <w:gridCol w:w="876"/>
        <w:gridCol w:w="656"/>
      </w:tblGrid>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t xml:space="preserve">名称</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t xml:space="preserve">规格型号</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t xml:space="preserve">技术参数</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数量</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单位</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t xml:space="preserve">单价（元）</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t xml:space="preserve">总价（元）</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t xml:space="preserve">备注</w:t>
            </w:r>
            <w:r>
              <w:rPr>
                <w:rFonts w:hint="eastAsia" w:ascii="宋体" w:hAnsi="宋体" w:cs="宋体"/>
                <w:sz w:val="22"/>
                <w:szCs w:val="24"/>
              </w:rPr>
              <w:t xml:space="preserve">（品牌）</w:t>
            </w:r>
            <w:r/>
          </w:p>
        </w:tc>
      </w:tr>
      <w:tr>
        <w:trPr>
          <w:jc w:val="center"/>
          <w:trHeight w:val="480"/>
        </w:trPr>
        <w:tc>
          <w:tcPr>
            <w:gridSpan w:val="11"/>
            <w:tcBorders>
              <w:top w:val="single" w:color="000000" w:sz="4" w:space="0"/>
              <w:left w:val="single" w:color="000000" w:sz="4" w:space="0"/>
              <w:bottom w:val="single" w:color="000000" w:sz="4" w:space="0"/>
              <w:right w:val="single" w:color="000000" w:sz="4" w:space="0"/>
            </w:tcBorders>
            <w:tcW w:w="10668"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t xml:space="preserve">大米车间</w:t>
            </w:r>
            <w:r/>
          </w:p>
        </w:tc>
      </w:tr>
      <w:tr>
        <w:trPr>
          <w:jc w:val="center"/>
          <w:trHeight w:val="480"/>
        </w:trPr>
        <w:tc>
          <w:tcPr>
            <w:gridSpan w:val="11"/>
            <w:tcBorders>
              <w:top w:val="single" w:color="000000" w:sz="4" w:space="0"/>
              <w:left w:val="single" w:color="000000" w:sz="4" w:space="0"/>
              <w:bottom w:val="single" w:color="000000" w:sz="4" w:space="0"/>
              <w:right w:val="single" w:color="000000" w:sz="4" w:space="0"/>
            </w:tcBorders>
            <w:tcW w:w="10668" w:type="dxa"/>
            <w:vAlign w:val="center"/>
            <w:textDirection w:val="lrTb"/>
            <w:noWrap w:val="false"/>
          </w:tcPr>
          <w:p>
            <w:pPr>
              <w:jc w:val="left"/>
              <w:widowControl/>
              <w:rPr>
                <w:rFonts w:hint="eastAsia" w:ascii="宋体" w:hAnsi="宋体" w:cs="宋体"/>
                <w:sz w:val="22"/>
                <w:szCs w:val="24"/>
              </w:rPr>
            </w:pPr>
            <w:r>
              <w:rPr>
                <w:rFonts w:hint="eastAsia" w:ascii="宋体" w:hAnsi="宋体" w:cs="宋体"/>
                <w:sz w:val="22"/>
                <w:szCs w:val="24"/>
              </w:rPr>
              <w:t xml:space="preserve">一、原粮接收</w:t>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1</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小型吸粮机</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JL160型</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1、管径规格：6寸管，长度15米，功率5.5KW；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2、外管材质：耐磨牛筋管；</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▲3、螺旋叶片材质：猛钢；</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4、移动灵活，便于转场作业。</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1、设备整体就位；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2、空载试机及调试；</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3、报价包含现场安装费、人工费、材料费、机械费、管理费、利润、措施项目费、规费、质保费及税金。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11"/>
            <w:tcBorders>
              <w:top w:val="single" w:color="000000" w:sz="4" w:space="0"/>
              <w:left w:val="single" w:color="000000" w:sz="4" w:space="0"/>
              <w:bottom w:val="single" w:color="000000" w:sz="4" w:space="0"/>
              <w:right w:val="single" w:color="000000" w:sz="4" w:space="0"/>
            </w:tcBorders>
            <w:tcW w:w="10668"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t xml:space="preserve">二、稻谷清理工段</w:t>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1</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原粮仓</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10T</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▲1、容量：≥10吨；</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2、支撑结构：采用100×100mm方管立柱；</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3、下椎体：厚度≥4mm碳钢板制作；</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4、仓板：厚度≥2mm碳钢板；</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5、表面处理：除锈后喷塑，颜色由招标人指定。</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1、仓体现场拼装、焊接、就位；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2、含配套手动闸门安装；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3、报价包含现场安装费、人工费、材料费、机械费、管理费、利润、措施项目费、规费、税金。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2</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提升机</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TDTG20/13</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▲1、产量：3-4t/h（稻谷）；</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2、高度：≥7米；</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3、配套动力：≥1.1KW；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4、畚斗型号：DS1311，材质为聚乙烯；</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5、机筒材质：≥1.8mm冷轧钢板。</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1、设备吊装、就位、垂直度校正；</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3、报价包含安装费、人工费、材料费、机械费、管理费、利润、措施项目费、</w:t>
            </w:r>
            <w:r>
              <w:rPr>
                <w:rFonts w:hint="eastAsia" w:ascii="宋体" w:hAnsi="宋体" w:cs="宋体"/>
                <w:sz w:val="20"/>
                <w:szCs w:val="20"/>
                <w:lang w:bidi="ar"/>
              </w:rPr>
              <w:t xml:space="preserve">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3</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提升机</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TDTGW3</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▲1、产量：3-4t/h；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▲2、线速度：≤0.6m/s（低速防破碎）；</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3、高度：≥7米；</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4、配套动力：≥0.75KW；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5、畚斗型号：DM1010，材质为聚乙烯；</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6、配置自动皮带张紧装置。</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2、电机接线及张紧装置调试；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4</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毛稻斗+围栏</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1、材质：碳钢，板材厚度≥1.5mm；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2、制作安装严格按设计施工图及规范要求；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3、焊缝饱满，无虚焊、漏焊；</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4、表面喷塑处理。</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1、现场制作、焊接、安装；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5</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组合清理去石机</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TQLQ56</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▲1、产量：1.5-2t/h；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2、功率：3.3kw；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3、吸风量：45m³/min；</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4、振幅：3-5mm；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5、含防护罩和面板；</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6、去石效率：≥98%。</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2、与风网管道连接；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4、报价包含安装费、人工费、材料费、机械费、管理费、利润、措施项目费、规费、税金。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11"/>
            <w:tcBorders>
              <w:top w:val="single" w:color="000000" w:sz="4" w:space="0"/>
              <w:left w:val="single" w:color="000000" w:sz="4" w:space="0"/>
              <w:bottom w:val="single" w:color="000000" w:sz="4" w:space="0"/>
              <w:right w:val="single" w:color="000000" w:sz="4" w:space="0"/>
            </w:tcBorders>
            <w:tcW w:w="10668"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t xml:space="preserve">三、砻谷清理工段</w:t>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砻谷机</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MLGT20</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1、结构型式：橡胶滚筒式，含防护罩；</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2、橡胶辊尺寸：ø225*200mm；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▲3、产量：1.4-2t/h（稻谷）；</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▲4、脱壳率：≥85%；</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▲5、破碎率增值：≤2%；</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6、功率：5.5kw；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7、主要部件材质：箱体采用钢板焊接，厚度≥2mm，表面喷塑处理。</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1、砻谷机本体吊装、就位；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2、配套电机及防护罩安装；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3、设备调试及试运转；</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4、报价包含现场安装费、人工费、材料费、机械费、管理费、利润、措施项目费、规费、税金。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pPr>
            <w: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谷糙分离筛</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MGCZ70×6</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▲1、产量：≥2.0t/h；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2、分离板安装倾角：横向6-6.5°，纵向14-18°；</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3、主轴转速：≥258rpm；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4、含防护罩、围板。</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pPr>
            <w: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11"/>
            <w:tcBorders>
              <w:top w:val="single" w:color="000000" w:sz="4" w:space="0"/>
              <w:left w:val="single" w:color="000000" w:sz="4" w:space="0"/>
              <w:bottom w:val="single" w:color="000000" w:sz="4" w:space="0"/>
              <w:right w:val="single" w:color="000000" w:sz="4" w:space="0"/>
            </w:tcBorders>
            <w:tcW w:w="10668" w:type="dxa"/>
            <w:vAlign w:val="center"/>
            <w:textDirection w:val="lrTb"/>
            <w:noWrap w:val="false"/>
          </w:tcPr>
          <w:p>
            <w:pPr>
              <w:widowControl/>
              <w:tabs>
                <w:tab w:val="left" w:pos="1101" w:leader="none"/>
              </w:tabs>
              <w:rPr>
                <w:rFonts w:hint="eastAsia" w:ascii="宋体" w:hAnsi="宋体" w:cs="宋体"/>
                <w:sz w:val="22"/>
                <w:szCs w:val="24"/>
              </w:rPr>
            </w:pPr>
            <w:r>
              <w:rPr>
                <w:rFonts w:hint="eastAsia" w:ascii="宋体" w:hAnsi="宋体" w:cs="宋体"/>
                <w:sz w:val="22"/>
                <w:szCs w:val="24"/>
              </w:rPr>
              <w:t xml:space="preserve">四、碾米工段</w:t>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砂辊碾米机</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MNMS15F</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1、结构型式：含电机架和防护罩；</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▲2、产量：1.5-2t/h；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▲3、破碎率增值：≤15%；</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4、配套动力：15-22kw；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5、主轴转速：≈1400rpm；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6、砂辊尺寸：≥Φ150*400mm；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7、自带风机风量：≥1200m3/h，风机电机功率：≥1.1kw；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8、材质要求：机架采用厚壁方管焊接，表面喷塑；与米粒接触部位采用不锈钢或经防腐处理。</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1、碾米机本体及自带风机就位安装；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3、报价包含现场安装费、人工费、材料费、机械费、管理费、利润、措施项目费、规费、税金。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砂铁辊两用米机</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TQN128</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▲1、产量：1-1.5t/h；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2、动力：15-22kw；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3、主轴转速：≥900rpm；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4、辊筒尺寸：≥Φ122×350mm。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白米分级筛</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MMJP63*3</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▲1、进机流量：≥1.25t/h；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2、筛面层数：≥3层；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3、偏心距：≥40mm；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4、转速：150±15rpm；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5、筛面倾角：≥1.2°；</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6、含白米筛分配器。</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2、分配器及溜管连接；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4、报价包含安装费、人工费、材料费、机械费、管理费、利润、措施项目费、规费、税金。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提升机</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TDTGW3</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▲1、产量：3-4t/h；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▲2、线速度：≤0.6m/s（低速防破碎）；</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3、高度：≥6米；</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4、配套动力：≥0.75KW；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5、畚斗型号：DM1010，材质聚乙烯；</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6、配置自动皮带张紧装置。</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11"/>
            <w:tcBorders>
              <w:top w:val="single" w:color="000000" w:sz="4" w:space="0"/>
              <w:left w:val="single" w:color="000000" w:sz="4" w:space="0"/>
              <w:bottom w:val="single" w:color="000000" w:sz="4" w:space="0"/>
              <w:right w:val="single" w:color="000000" w:sz="4" w:space="0"/>
            </w:tcBorders>
            <w:tcW w:w="10668"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t xml:space="preserve">五、色选、抛光工段</w:t>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大米抛光机</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MPGW15</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一、技术要求</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▲1、额定产量：1.5-2t/h；</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2、主轴转速：≥750r/min；</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3、额定吸风量：≥1200m³/h，风压2500Pa。</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二、工作内容及报价范围</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1、设备吊装就位；</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2、与风网管道连接；</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3、电机接线及调试；</w:t>
            </w:r>
            <w:r/>
          </w:p>
          <w:p>
            <w:pPr>
              <w:jc w:val="left"/>
              <w:widowControl/>
              <w:rPr>
                <w:rFonts w:hint="eastAsia" w:ascii="宋体" w:hAnsi="宋体" w:cs="宋体"/>
                <w:sz w:val="22"/>
                <w:szCs w:val="24"/>
              </w:rPr>
            </w:pPr>
            <w:r>
              <w:rPr>
                <w:rFonts w:hint="eastAsia" w:ascii="宋体" w:hAnsi="宋体" w:cs="宋体"/>
                <w:color w:val="000000"/>
                <w:sz w:val="20"/>
                <w:szCs w:val="20"/>
                <w:lang w:bidi="ar"/>
              </w:rPr>
              <w:t xml:space="preserve">4、报价包含安装费、人工费、材料费、机械费、管理费、利润、措施项目费、规费、税金。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提升机</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TDTGW3</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▲1、产量：3-4t/h；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▲2、线速度：≤0.6m/s；</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3、高度：≥6米；</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4、配套动力：≥0.75KW；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5、畚斗：DM1010聚乙烯畚斗，自动皮带张紧装置。</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不锈钢气动三通</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1、控制方式：气动控制，双电磁阀及行程开关，控制电压24V；</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2、材质：不锈钢；</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▲3、电磁阀、气缸品牌：亚德客、SMC、诺冠或同等及以上品牌；（建议去掉）</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4、密封可靠，不漏料。</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1、三通本体及气动元件安装；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2、气路及电路连接；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3、调试及密封检查；</w:t>
            </w:r>
            <w:r/>
          </w:p>
          <w:p>
            <w:pPr>
              <w:jc w:val="left"/>
              <w:widowControl/>
              <w:rPr>
                <w:rFonts w:hint="eastAsia" w:ascii="宋体" w:hAnsi="宋体" w:cs="宋体"/>
                <w:sz w:val="22"/>
                <w:szCs w:val="24"/>
              </w:rPr>
            </w:pPr>
            <w:r>
              <w:rPr>
                <w:rFonts w:hint="eastAsia" w:ascii="宋体" w:hAnsi="宋体" w:cs="宋体"/>
                <w:sz w:val="20"/>
                <w:szCs w:val="20"/>
                <w:lang w:bidi="ar"/>
              </w:rPr>
              <w:t xml:space="preserve">4、报价包含安装费、人工费、材料费、机械费、管理费、利润、措施项目费、规费、税金。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大米色选机</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MSXC-160</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▲1、产量：1.5-2t/h；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2、结构型式：溜板式，槽式溜板；</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▲3、总执行单元数：160；</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4、传感器型式：彩色线阵CCD；</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▲5、色选精度：≥99.9%，带出比：≤5:1。</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2、与空压机气路连接、电气接线；</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3、光学系统调试及色选参数设定；</w:t>
            </w:r>
            <w:r/>
          </w:p>
          <w:p>
            <w:pPr>
              <w:jc w:val="left"/>
              <w:widowControl/>
              <w:rPr>
                <w:rFonts w:hint="eastAsia" w:ascii="宋体" w:hAnsi="宋体" w:cs="宋体"/>
                <w:sz w:val="22"/>
                <w:szCs w:val="24"/>
              </w:rPr>
            </w:pPr>
            <w:r>
              <w:rPr>
                <w:rFonts w:hint="eastAsia" w:ascii="宋体" w:hAnsi="宋体" w:cs="宋体"/>
                <w:sz w:val="20"/>
                <w:szCs w:val="20"/>
                <w:lang w:bidi="ar"/>
              </w:rPr>
              <w:t xml:space="preserve">4、报价包含安装费、人工费、材料费、机械费、管理费、利润、措施项目费、规费、税金。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11"/>
            <w:tcBorders>
              <w:top w:val="single" w:color="000000" w:sz="4" w:space="0"/>
              <w:left w:val="single" w:color="000000" w:sz="4" w:space="0"/>
              <w:bottom w:val="single" w:color="000000" w:sz="4" w:space="0"/>
              <w:right w:val="single" w:color="000000" w:sz="4" w:space="0"/>
            </w:tcBorders>
            <w:tcW w:w="10668"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t xml:space="preserve">六、成品打包工段</w:t>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两面六面真空一体机</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ZK-Y</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1、称重范围：两面1-5kg，六面0.5-5kg；</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▲2、包装速度：两面≥220包/h，六面≥260包/h；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3、准确度等级：X（0.2）；</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4、分度值：2g。</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2、电气接线及气路连接；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3、计量校准及包装试机；</w:t>
            </w:r>
            <w:r/>
          </w:p>
          <w:p>
            <w:pPr>
              <w:jc w:val="left"/>
              <w:widowControl/>
              <w:rPr>
                <w:rFonts w:hint="eastAsia" w:ascii="宋体" w:hAnsi="宋体" w:cs="宋体"/>
                <w:sz w:val="20"/>
                <w:szCs w:val="20"/>
              </w:rPr>
            </w:pPr>
            <w:r>
              <w:rPr>
                <w:rFonts w:hint="eastAsia" w:ascii="宋体" w:hAnsi="宋体" w:cs="宋体"/>
                <w:sz w:val="20"/>
                <w:szCs w:val="20"/>
                <w:lang w:bidi="ar"/>
              </w:rPr>
              <w:t xml:space="preserve">4、报价包含安装费、人工费、材料费、机械费、管理费、利润、措施项目费、规费、税金。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11"/>
            <w:tcBorders>
              <w:top w:val="single" w:color="000000" w:sz="4" w:space="0"/>
              <w:left w:val="single" w:color="000000" w:sz="4" w:space="0"/>
              <w:bottom w:val="single" w:color="000000" w:sz="4" w:space="0"/>
              <w:right w:val="single" w:color="000000" w:sz="4" w:space="0"/>
            </w:tcBorders>
            <w:tcW w:w="10668"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t xml:space="preserve">七、风网</w:t>
            </w:r>
            <w:r/>
          </w:p>
        </w:tc>
      </w:tr>
      <w:tr>
        <w:trPr>
          <w:jc w:val="center"/>
          <w:trHeight w:val="524"/>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（一）</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粉碎机及风网部分</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pPr>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p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粉碎机</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9FQ50-40</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1、配用动力：22kw；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2、主轴转速：3440rpm；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3、转子工作直径：500mm；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4、锤片数量：24片；</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5、粉碎室宽度：400mm。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3、与风网管道连接；</w:t>
            </w:r>
            <w:r/>
          </w:p>
          <w:p>
            <w:pPr>
              <w:jc w:val="left"/>
              <w:widowControl/>
              <w:rPr>
                <w:rFonts w:hint="eastAsia" w:ascii="宋体" w:hAnsi="宋体" w:cs="宋体"/>
                <w:sz w:val="22"/>
                <w:szCs w:val="24"/>
              </w:rPr>
            </w:pPr>
            <w:r>
              <w:rPr>
                <w:rFonts w:hint="eastAsia" w:ascii="宋体" w:hAnsi="宋体" w:cs="宋体"/>
                <w:sz w:val="20"/>
                <w:szCs w:val="20"/>
                <w:lang w:bidi="ar"/>
              </w:rPr>
              <w:t xml:space="preserve">4、报价包含安装费、人工费、材料费、机械费、管理费、利润、措施项目费、规费、税金。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粉碎糠仓</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1、规格尺寸：1.5×1.5×4米；</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2、材质：碳钢结构，钢板厚度≥2mm；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3、表面喷塑处理。</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1、现场拼装、焊接、就位；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下糠器</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rPr>
                <w:rFonts w:hint="eastAsia" w:ascii="宋体" w:hAnsi="宋体" w:cs="宋体"/>
                <w:sz w:val="22"/>
                <w:szCs w:val="24"/>
              </w:rPr>
            </w:pPr>
            <w:r>
              <w:rPr>
                <w:rFonts w:hint="eastAsia" w:ascii="宋体" w:hAnsi="宋体" w:cs="宋体"/>
                <w:sz w:val="22"/>
                <w:szCs w:val="24"/>
              </w:rPr>
              <w:t xml:space="preserve">一、技术要求</w:t>
            </w:r>
            <w:r/>
          </w:p>
          <w:p>
            <w:pPr>
              <w:jc w:val="left"/>
              <w:rPr>
                <w:rFonts w:hint="eastAsia" w:ascii="宋体" w:hAnsi="宋体" w:cs="宋体"/>
                <w:sz w:val="22"/>
                <w:szCs w:val="24"/>
              </w:rPr>
            </w:pPr>
            <w:r>
              <w:rPr>
                <w:rFonts w:hint="eastAsia" w:ascii="宋体" w:hAnsi="宋体" w:cs="宋体"/>
                <w:sz w:val="22"/>
                <w:szCs w:val="24"/>
              </w:rPr>
              <w:t xml:space="preserve">1、满足粉碎糠仓均匀下料要求；</w:t>
            </w:r>
            <w:r/>
          </w:p>
          <w:p>
            <w:pPr>
              <w:jc w:val="left"/>
              <w:rPr>
                <w:rFonts w:hint="eastAsia" w:ascii="宋体" w:hAnsi="宋体" w:cs="宋体"/>
                <w:sz w:val="22"/>
                <w:szCs w:val="24"/>
              </w:rPr>
            </w:pPr>
            <w:r>
              <w:rPr>
                <w:rFonts w:hint="eastAsia" w:ascii="宋体" w:hAnsi="宋体" w:cs="宋体"/>
                <w:sz w:val="22"/>
                <w:szCs w:val="24"/>
              </w:rPr>
              <w:t xml:space="preserve">2、材质：碳钢。</w:t>
            </w:r>
            <w:r/>
          </w:p>
          <w:p>
            <w:pPr>
              <w:jc w:val="left"/>
              <w:rPr>
                <w:rFonts w:hint="eastAsia" w:ascii="宋体" w:hAnsi="宋体" w:cs="宋体"/>
                <w:sz w:val="22"/>
                <w:szCs w:val="24"/>
              </w:rPr>
            </w:pPr>
            <w:r>
              <w:rPr>
                <w:rFonts w:hint="eastAsia" w:ascii="宋体" w:hAnsi="宋体" w:cs="宋体"/>
                <w:sz w:val="22"/>
                <w:szCs w:val="24"/>
              </w:rPr>
              <w:t xml:space="preserve">二、工作内容及报价范围</w:t>
            </w:r>
            <w:r/>
          </w:p>
          <w:p>
            <w:pPr>
              <w:jc w:val="left"/>
              <w:rPr>
                <w:rFonts w:hint="eastAsia" w:ascii="宋体" w:hAnsi="宋体" w:cs="宋体"/>
                <w:sz w:val="22"/>
                <w:szCs w:val="24"/>
              </w:rPr>
            </w:pPr>
            <w:r>
              <w:rPr>
                <w:rFonts w:hint="eastAsia" w:ascii="宋体" w:hAnsi="宋体" w:cs="宋体"/>
                <w:sz w:val="22"/>
                <w:szCs w:val="24"/>
              </w:rPr>
              <w:t xml:space="preserve">1、本体安装及与仓体连接；</w:t>
            </w:r>
            <w:r/>
          </w:p>
          <w:p>
            <w:pPr>
              <w:jc w:val="left"/>
              <w:rPr>
                <w:rFonts w:hint="eastAsia" w:ascii="宋体" w:hAnsi="宋体" w:cs="宋体"/>
                <w:sz w:val="22"/>
                <w:szCs w:val="24"/>
              </w:rPr>
            </w:pPr>
            <w:r>
              <w:rPr>
                <w:rFonts w:hint="eastAsia" w:ascii="宋体" w:hAnsi="宋体" w:cs="宋体"/>
                <w:sz w:val="22"/>
                <w:szCs w:val="24"/>
              </w:rPr>
              <w:t xml:space="preserve">2、报价包含安装费、人工费、材料费、机械费、管理费、利润、措施项目费、规费、税金。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玻璃刹克龙</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▲1、使用寿命：≥10年；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2、钢板厚度：≥1.5mm，内贴5mm玻璃；</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3、设置观察窗；</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4、满足杂质沉降要求。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2、与风网管道连接；</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(二)</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清理去石风网</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pPr>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p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风网及管道</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1、工厂预制，冷板焊接制成；</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2、表面喷塑处理，颜色一致；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3、无漏涂、剥落、起泡、皱纹、透锈缺陷；</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4、管道厚度符合行业标准。</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1、管道及管件安装；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2、支吊架制作安装；</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离心通风机</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4-72-3.6A</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▲1、流量：2664-5268m³/h；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▲2、风压：989-1578Pa；</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3、功率：3kw；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4、转速：2900rpm。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1、风机本体及减震台座安装；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2、与风管软连接；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4、报价包含安装费、人工费、材料费、机械费、管理费、利润、措施项目费、规费、税金。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（三）</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稻壳玻璃风网</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pPr>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p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稻壳玻璃风网</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1、工厂预制，冷板焊接；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2、表面喷塑处理；</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3、内贴耐磨玻璃，满足稻壳输送要求。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1、管道及管件安装；</w:t>
            </w:r>
            <w:r/>
          </w:p>
          <w:p>
            <w:pPr>
              <w:jc w:val="left"/>
              <w:widowControl/>
              <w:rPr>
                <w:rFonts w:hint="eastAsia" w:ascii="宋体" w:hAnsi="宋体" w:cs="宋体"/>
                <w:sz w:val="20"/>
                <w:szCs w:val="20"/>
              </w:rPr>
            </w:pPr>
            <w:r>
              <w:rPr>
                <w:rFonts w:hint="eastAsia" w:ascii="宋体" w:hAnsi="宋体" w:cs="宋体"/>
                <w:sz w:val="20"/>
                <w:szCs w:val="20"/>
                <w:lang w:bidi="ar"/>
              </w:rPr>
              <w:t xml:space="preserve">2、报价包含安装费、人工费、材料费、机械费、管理费、利润、措施项目费、规费、税金。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pPr>
            <w: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(四)</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三路细糠风网</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pPr>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下旋沙克龙</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Φ750</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1、钢板厚度：≥1.5mm；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2、设置观察窗；</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3、满足细糠沉降要求。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2、与风网管道连接；</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pPr>
            <w: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管道</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Φ150</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1、工厂预制，冷板焊接；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2、表面喷塑处理；</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3、无漏涂、剥落、起泡、皱纹等缺陷。</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1、管道及管件安装；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pPr>
            <w: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管道</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Φ200</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1、工厂预制，冷板焊接；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2、表面喷塑处理；</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3、无漏涂、剥落、起泡、皱纹等缺陷。</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1、管道及管件安装；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pPr>
            <w: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管道</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Φ260</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1、工厂预制，冷板焊接；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2、表面喷塑处理；</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3、无漏涂、剥落、起泡、皱纹等缺陷。</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1、管道及管件安装；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pPr>
            <w: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5</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管道</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Φ300</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1、工厂预制，冷板焊接；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2、表面喷塑处理；</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3、无漏涂、剥落、起泡、皱纹等缺陷。</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1、管道及管件安装；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pPr>
            <w: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6</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管道；转向器及沙克龙支架</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1、碳钢骨架；</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2、表面喷塑处理，颜色与车间风格一致；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3、制造偏差≤1mm/m。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1、支架制作、安装；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2、转向器及管道连接；</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pPr>
            <w: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7</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离心通风机</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6-30-5.5A</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▲1、流量：2981-6356m³/h；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▲2、风压：3960-5420Pa；</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3、功率：≥11kw；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4、转速：≥2930rpm。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1、风机及减震台座安装；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pPr>
            <w: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8</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防堵关风机</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7L</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1、容积：≥7L；</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2、结构：叶轮关风器，摆线减速器直联传动；</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3、叶轮尺寸：≥ø280×215mm；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4、功率：≥1.1kw；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5、具备防堵功能。</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1、设备安装及与沙克龙出口连接；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pPr>
            <w: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pPr>
            <w:r>
              <w:rPr>
                <w:rFonts w:hint="eastAsia"/>
              </w:rPr>
              <w:t xml:space="preserve">只</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（五）</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色选机风网</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pPr>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p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离心通风机</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9-19-4.5A</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▲1、流量：2269-2817m3/h；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▲2、风压：4000-4450Pa；</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3、功率：5.5kw；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4、转速：2900rpm；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5、材质与工艺：机壳及叶轮采用Q235钢材，表面喷塑处理；机座配置减震器。</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1、风机本体及减震台座安装；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2、与风网管道软连接；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4、报价包含安装费、人工费、材料费、机械费、管理费、利润、措施项目费、规费、税金。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pPr>
            <w:r>
              <w:rPr>
                <w:rFonts w:hint="eastAsia"/>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沙克龙</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Φ600</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1、材料剪切平整，磨去锐边；</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2、油漆均匀，无漏涂、剥落、起泡等缺陷。</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2、与管道连接；</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管道</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Φ150</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1、碳钢骨架，表面喷塑；</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2、颜色与车间协调。</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1、管道安装；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弯头</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90°</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1、碳钢材质，厚度≥1.5mm；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2、数量满足工艺要求。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1、弯头安装；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5</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沙克龙支架</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1、碳钢骨架，表面喷塑；</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2、颜色协调，无缺陷。</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1、支架制作、安装；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6</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管道</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Φ125</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1、工厂预制，冷板焊接；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2、表面喷塑处理；</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3、无漏涂、剥落、起泡、皱纹等缺陷。</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1、管道及管件安装；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11"/>
            <w:tcBorders>
              <w:top w:val="single" w:color="000000" w:sz="4" w:space="0"/>
              <w:left w:val="single" w:color="000000" w:sz="4" w:space="0"/>
              <w:bottom w:val="single" w:color="000000" w:sz="4" w:space="0"/>
              <w:right w:val="single" w:color="000000" w:sz="4" w:space="0"/>
            </w:tcBorders>
            <w:tcW w:w="10668"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t xml:space="preserve">八、压缩空气系统</w:t>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螺杆式空压机</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JMY-20AZ</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1、功率：15kw；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▲2、排气量：≥1.7m³/min；</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▲3、工作压力：0.7-1.2Mpa；</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4、配套组成：含储气罐（1.0m³）、冷干机、精密过滤器；</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5、储气罐配置：配备自动排水装置、安全阀、压力表及排污阀。</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1、机组整体吊装就位；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2、储气罐、冷干机、过滤器安装；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3、机组间管道连接；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4、电气接线及系统调试；</w:t>
            </w:r>
            <w:r/>
          </w:p>
          <w:p>
            <w:pPr>
              <w:jc w:val="left"/>
              <w:widowControl/>
              <w:rPr>
                <w:rFonts w:hint="eastAsia" w:ascii="宋体" w:hAnsi="宋体" w:cs="宋体"/>
                <w:sz w:val="22"/>
                <w:szCs w:val="24"/>
              </w:rPr>
            </w:pPr>
            <w:r>
              <w:rPr>
                <w:rFonts w:hint="eastAsia" w:ascii="宋体" w:hAnsi="宋体" w:cs="宋体"/>
                <w:sz w:val="20"/>
                <w:szCs w:val="20"/>
                <w:lang w:bidi="ar"/>
              </w:rPr>
              <w:t xml:space="preserve">5、报价包含安装费、人工费、材料费、机械费、管理费、利润、措施项目费、规费、税金。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pPr>
            <w:r>
              <w:rPr>
                <w:rFonts w:hint="eastAsia"/>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提升机</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TDTGw3</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▲1、产量：3-4t/h；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▲2、线速度：≤0.6m/s；</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3、高度：≥6米；</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4、配套动力：≥0.75KW；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5、畚斗：DM1010聚乙烯畚斗，自动皮带张紧装置。</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pPr>
            <w:r>
              <w:rPr>
                <w:rFonts w:hint="eastAsia"/>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11"/>
            <w:tcBorders>
              <w:top w:val="single" w:color="000000" w:sz="4" w:space="0"/>
              <w:left w:val="single" w:color="000000" w:sz="4" w:space="0"/>
              <w:bottom w:val="single" w:color="000000" w:sz="4" w:space="0"/>
              <w:right w:val="single" w:color="000000" w:sz="4" w:space="0"/>
            </w:tcBorders>
            <w:tcW w:w="10668"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t xml:space="preserve">九、其他</w:t>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（一）</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t xml:space="preserve">电控部分</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pPr>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p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92"/>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主机设备控制柜</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1、配备符合国家标准的电气元件；</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▲2、电气元件品牌：正泰、德力西或同等及以上；</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3、集成热机保护系统；</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4、模拟显示屏。</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1、控制柜本体安装；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2、底座制作安装；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3、电气接线及调试；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4、报价包含安装费、人工费、材料费、机械费、管理费、利润、措施项目费、规费、税金。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pPr>
            <w: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电线</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1、规格：10平方、6平方、4平方、1.5平方等；</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2、国标线缆；</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3、数量满足工艺要求。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1、线缆敷设；</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2、线管及桥架安装；</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pPr>
            <w: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（二）</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t xml:space="preserve">其它部分</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pPr>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p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标准件、耗材</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1、含电焊条、切割片、螺丝等五金件；</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2、优先考虑采用国内品牌件。</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1、满足安装过程中标准件及耗材需求；</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2、报价包含材料费及税金。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不锈钢溜管</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Φ102</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1、材质：201不锈钢，厚度1.0mm；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2、总长度满足生产线所有工艺需求；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3、连接严格按行业标准实施。</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1、溜管现场量尺、制作、安装；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不锈钢弯头，抱箍</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Φ102</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1、不锈钢材质，厚度≥1.5mm；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2、弯头角度15°，数量满足工艺要求。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1、管件安装；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150</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20磁选器</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1、材质：不锈钢；</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2、磁感应强度满足除铁要求。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1、设备安装于溜管指定位置；</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5</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米仓（含手动闸门）</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2-3T</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1、容量：2-3吨；</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2、自然通风结构；</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3、材质：碳钢，含手动闸门。</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1、仓体现场拼装、焊接；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2、手动闸门安装；</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w:t>
            </w:r>
            <w:r>
              <w:rPr>
                <w:rFonts w:hint="eastAsia" w:ascii="宋体" w:hAnsi="宋体" w:cs="宋体"/>
                <w:sz w:val="20"/>
                <w:szCs w:val="20"/>
                <w:lang w:bidi="ar"/>
              </w:rPr>
              <w:t xml:space="preserve">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6</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塑料托盘</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1200*1000*150</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1、结构：网格田字型，8根钢管加强；</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2、四面进叉，适配叉车和液压车；</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▲3、静荷载：≥6吨，动荷载：≥1.2吨，货架荷载：≥1.2吨；</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4、主材：HDPE高密度聚乙烯+钢管，全新材料；</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5、颜色：蓝色，无毒无味。</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二、报价范围</w:t>
            </w:r>
            <w:r/>
          </w:p>
          <w:p>
            <w:pPr>
              <w:jc w:val="left"/>
              <w:widowControl/>
              <w:rPr>
                <w:rFonts w:hint="eastAsia" w:ascii="宋体" w:hAnsi="宋体" w:cs="宋体"/>
                <w:sz w:val="22"/>
                <w:szCs w:val="24"/>
              </w:rPr>
            </w:pPr>
            <w:r>
              <w:rPr>
                <w:rFonts w:hint="eastAsia" w:ascii="宋体" w:hAnsi="宋体" w:cs="宋体"/>
                <w:sz w:val="20"/>
                <w:szCs w:val="20"/>
                <w:lang w:bidi="ar"/>
              </w:rPr>
              <w:t xml:space="preserve">报价包含货物本身、运输费及税金。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7</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提升机</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TDTGW3</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▲1、产量：3-4t/h；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▲2、线速度：≤0.6m/s；</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3、高度：≥6米；</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4、配套动力：≥0.75KW；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5、畚斗：DM1010聚乙烯畚斗，自动皮带张紧装置。</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8</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缓冲斗</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1、材质：碳钢，冷轧钢板厚度2mm，内贴5mm玻璃；</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2、表面喷塑处理，颜色协调；</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3、磨去锐边，无缺陷。</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1、现场制作、安装；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（三）</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t xml:space="preserve">主机钢架平台部分</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pPr>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p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主机钢架</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1、整体高度：≥2000mm；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2、平台立柱：≥100×100mm方管；</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3、表面喷塑处理，颜色协调；</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4、焊缝平整，无缺陷。</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1、钢架现场制作、焊接、安装；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2、除锈、喷涂；</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操作平台（带不锈钢</w:t>
            </w:r>
            <w:r>
              <w:rPr>
                <w:rFonts w:hint="eastAsia" w:ascii="宋体" w:hAnsi="宋体" w:cs="宋体"/>
                <w:sz w:val="20"/>
                <w:szCs w:val="20"/>
                <w:lang w:bidi="ar"/>
              </w:rPr>
              <w:t xml:space="preserve">护栏）</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1、平台面板：≥2.5mm花纹板；</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2、护栏：201不锈钢，厚度≥1.2mm；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3、楼梯宽度≥0.7米，不少于一处；</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4、满足GB4503安全要求。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1、平台及楼梯制作、安装；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2、护栏制作、安装；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3、除锈、喷涂；</w:t>
            </w:r>
            <w:r/>
          </w:p>
          <w:p>
            <w:pPr>
              <w:jc w:val="left"/>
              <w:widowControl/>
              <w:rPr>
                <w:rFonts w:hint="eastAsia" w:ascii="宋体" w:hAnsi="宋体" w:cs="宋体"/>
                <w:sz w:val="22"/>
                <w:szCs w:val="24"/>
              </w:rPr>
            </w:pPr>
            <w:r>
              <w:rPr>
                <w:rFonts w:hint="eastAsia" w:ascii="宋体" w:hAnsi="宋体" w:cs="宋体"/>
                <w:sz w:val="20"/>
                <w:szCs w:val="20"/>
                <w:lang w:bidi="ar"/>
              </w:rPr>
              <w:t xml:space="preserve">4、报价包含安装费、人工费、材料费、机械费、管理费、利润、措施项目费、规费、税金。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提升机检修平台</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1、栏杆扶手：焊管制作，表面喷塑；</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2、踢脚线：钢板制作；</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3、无锐边、无缺陷。</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1、平台制作、安装；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脉冲除尘器</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1、钢骨架，布袋长度2400mm，顶部更换布袋；</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2、喷吹形式：高压脉冲直喷式；</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▲3、除尘效率：≥99%；</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▲4、出口粉尘浓度：≤50mg/m³；</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5、过滤风速：3-4m/min；</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6、漏风率：≤5%；</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7、功率：1.5kw。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2、与风网管道连接；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3、电气接线及脉冲控制系统调试；</w:t>
            </w:r>
            <w:r/>
          </w:p>
          <w:p>
            <w:pPr>
              <w:jc w:val="left"/>
              <w:widowControl/>
              <w:rPr>
                <w:rFonts w:hint="eastAsia" w:ascii="宋体" w:hAnsi="宋体" w:cs="宋体"/>
                <w:sz w:val="22"/>
                <w:szCs w:val="24"/>
              </w:rPr>
            </w:pPr>
            <w:r>
              <w:rPr>
                <w:rFonts w:hint="eastAsia" w:ascii="宋体" w:hAnsi="宋体" w:cs="宋体"/>
                <w:sz w:val="20"/>
                <w:szCs w:val="20"/>
                <w:lang w:bidi="ar"/>
              </w:rPr>
              <w:t xml:space="preserve">4、报价包含安装费、人工费、材料费、机械费、管理费、利润、措施项目费、规费、税金。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11"/>
            <w:tcBorders>
              <w:top w:val="single" w:color="000000" w:sz="4" w:space="0"/>
              <w:left w:val="single" w:color="000000" w:sz="4" w:space="0"/>
              <w:bottom w:val="single" w:color="000000" w:sz="4" w:space="0"/>
              <w:right w:val="single" w:color="000000" w:sz="4" w:space="0"/>
            </w:tcBorders>
            <w:tcW w:w="10668"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t xml:space="preserve">平房仓</w:t>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不锈钢通风口（含门）</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900*900</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1、结构：双层，外方内圆，外方900×900，内圆φ500；</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2、密封门两道，胶条三元乙丙材质，嵌装方式；</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3、外层方形保温门，门扇厚度40mm；内层圆形保温门φ540，保温层&gt;40mm阻燃挤塑板；</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4、材质：SUS304，壁厚≥1.5mm。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1、通风口及门体安装；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2、密封性检查；</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3、报价包含安装费、人工费、材料费、机械费、管理费、利润、措施项目费、规费、质保费及税金。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樘</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空气分配箱</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D500*2.5mm</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1、结构：倒U管，长度1米，一通二；</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2、板材：冷轧钢板≥3.0mm；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3、焊接连续无气孔；</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4、承压：可承受6.5m粮高不变形。</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1、分配箱现场安装；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2、与通风口及地上笼连接；</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3、报价包含安装费、人工费、材料费、机械费、管理费、利润、措施项目费、规费、质保费及税金。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地上笼</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D500*2.5mm</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1、结构：倒U型，单节长1000mm；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2、材质：冷轧钢板≥2.5mm，热镀锌≥80μm；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▲3、开孔率：25%-35%，孔宽≤2mm不漏粮；</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4、承压：满足设计装粮高度压力。</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1、地上笼现场拼装、就位；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2、接缝密封处理；</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3、报价包含安装费、人工费、材料费、机械费、管理费、利润、措施项目费、规费、质保费及税金。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76</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米</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90°弯头</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1、材质：冷轧钢板≥2.5mm，热镀锌≥80μm。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1、管件安装；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2、报价包含安装费、人工费、材料费、机械费、管理费、利润、措施项目费、规费、质保费及税金。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5</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堵头</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1、材质：冷轧钢板≥2.5mm，热镀锌≥80μm。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1、管件安装；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2、报价包含安装费、人工费、材料费、机械费、管理费、利润、措施项目费、规费、质保费及税金。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6</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防爆轴流风机</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BT35-11N05.6</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▲1、风量：L=12812m³/h；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2、风压：H=237Pa；</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3、功率：N=1.1kw。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1、风机本体安装；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3、报价包含安装费、人工费、材料费、机械费、管理费、利润、措施项目费、规费、质保费及税金。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7</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移动通风机</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7.5kw</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1、功率：7.5Kw，转速1800rpm；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2、风机型号：4-72No6C；</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3、风量：15370m³/h，风压：1291Pa；</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4、带移动小车，含帆布袋≥1.5m。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1、设备整体就位；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3、报价包含安装费、人工费、材料费、机械费、管理费、利润、措施项目费、规费、质保费及税金。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8</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粮面空调</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▲1、制冷量：Q冷=15kw；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2、功率：N=4.4kw；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3、风量：3000m³/h，变频控制；</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4、可在手操器显示和设定温度。</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1、空调机组吊装就位；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2、电气接线及调试；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3、报价包含安装费、人工费、材料费、机械费、管理费、利润、措施项目费、规费、质保费及税金。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9</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保温密闭门</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2400*2600</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1、门扇：50mm岩棉保温夹芯板，双面覆膜彩钢板厚0.6mm；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2、门扇边框：56×40×2.5mm定拉槽壳，热镀锌；</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3、锁紧机构：集装箱专用锁头锁座；</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4、密封胶条：“J”型防鼠咬三元乙丙橡胶条；</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5、所有铁件热镀锌，锌层≥65μm。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1、门体及门框安装；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2、密封性调试；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3、报价包含安装费、人工费、材料费、机械费、管理费、利润、措施项目费、规费、质保费及税金。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樘</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10</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三角形挡粮门（带盖）</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2400*2600</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1、骨架：50×50×3mm矩形方管；</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2、面板：2.0mm镀锌钢板，焊接固定；</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3、填充：50mm聚苯乙烯保温板；</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4、出粮口规格：300×300mm；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5、三角拱高：500-600mm。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1、挡粮门现场安装；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2、启闭灵活性调试；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3、报价包含安装费、人工费、材料费、机械费、管理费、利润、措施项目费、规费、质保费及税金。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樘</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11</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密闭窗（带防雀网）</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1200*1100</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1、外框：L70×40×3.0mm不等边角钢，热镀锌；</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2、窗扇：50mm聚苯乙烯泡沫保温板，双面彩钢板0.6mm，颜色由甲方指定；</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3、密封条：三元乙丙“P”型密封皮条，内衬钢丝；</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4、防雀网与窗户一体式，双扇平开。</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1、窗户及防雀网安装；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2、密封性检查；</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3、报价包含安装费、人工费、材料费、机械费、管理费、利润、措施项目费、规费、质保费及税金。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樘</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12</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密闭风机窗（带防雀网）</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800*800</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1、外框：L70×40×3.0mm不等边角钢，热镀锌；</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2、窗扇：50mm聚苯乙烯泡沫保温板，双面彩钢板0.6mm，颜色由甲方指定；</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3、密封条：三元乙丙“P”型密封皮条，内衬钢丝；</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4、防雀网与窗户一体式，双扇平开。</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1、窗户及防雀网安装；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2、密封性检查；</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3、报价包含安装费、人工费、材料费、机械费、管理费、利润、措施项目费、规费、质保费及税金。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樘</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13</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转抛输送机</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JL650-12米</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1、带宽：650mm；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2、头尾轮距离：12m；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3、线速度：≤2.5m/s；</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4、主动力：4KW，升降动力：1.5KW；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5、升降范围：2.6-4.8m，带抛粮头。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1、设备整体就位；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3、报价包含安装费、人工费、材料费、机械费、管理费、利润、措施项目费、规费、质保费及税金。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14</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卸粮机</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JL650-8+4米</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1、带宽：650mm；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2、长度：8+4m；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3、带速：≤2.8m/s；</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4、输送动力：4kw；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▲5、处理量：70t/h；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6、移动料斗：4000×1250×950mm。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1、设备整体就位；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3、报价包含安装费、人工费、材料费、机械费、管理费、利润、措施项目费、规费、质保费及税金。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15</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小型吸粮机</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JL160型</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1、管径规格：6寸管，长度15米，功率5.5KW；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2、外管材质：耐磨牛筋管；</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▲3、螺旋叶片材质：猛钢；</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4、移动灵活，便于转场作业。</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1、设备整体就位；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2、空载试机及调试；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3、报价包含现场安装费、人工费、材料费、机械费、管理费、利润、措施项目费、规费、质保费及税金。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pPr>
            <w:r>
              <w:rPr>
                <w:rFonts w:hint="eastAsia"/>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11"/>
            <w:tcBorders>
              <w:top w:val="single" w:color="000000" w:sz="4" w:space="0"/>
              <w:left w:val="single" w:color="000000" w:sz="4" w:space="0"/>
              <w:bottom w:val="single" w:color="000000" w:sz="4" w:space="0"/>
              <w:right w:val="single" w:color="000000" w:sz="4" w:space="0"/>
            </w:tcBorders>
            <w:tcW w:w="10668"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t xml:space="preserve">电动叉车</w:t>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电动叉车</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CPD35</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t xml:space="preserve">一、技术要求</w:t>
            </w:r>
            <w:r/>
          </w:p>
          <w:p>
            <w:pPr>
              <w:widowControl/>
              <w:rPr>
                <w:rFonts w:hint="eastAsia" w:ascii="宋体" w:hAnsi="宋体" w:cs="宋体"/>
                <w:sz w:val="22"/>
                <w:szCs w:val="24"/>
              </w:rPr>
            </w:pPr>
            <w:r>
              <w:rPr>
                <w:rFonts w:hint="eastAsia" w:ascii="宋体" w:hAnsi="宋体" w:cs="宋体"/>
                <w:sz w:val="22"/>
                <w:szCs w:val="24"/>
              </w:rPr>
              <w:t xml:space="preserve">▲1、额定载重：3500KG；</w:t>
            </w:r>
            <w:r/>
          </w:p>
          <w:p>
            <w:pPr>
              <w:widowControl/>
              <w:rPr>
                <w:rFonts w:hint="eastAsia" w:ascii="宋体" w:hAnsi="宋体" w:cs="宋体"/>
                <w:sz w:val="22"/>
                <w:szCs w:val="24"/>
              </w:rPr>
            </w:pPr>
            <w:r>
              <w:rPr>
                <w:rFonts w:hint="eastAsia" w:ascii="宋体" w:hAnsi="宋体" w:cs="宋体"/>
                <w:sz w:val="22"/>
                <w:szCs w:val="24"/>
              </w:rPr>
              <w:t xml:space="preserve">2、载荷中心距：500mm；</w:t>
            </w:r>
            <w:r/>
          </w:p>
          <w:p>
            <w:pPr>
              <w:widowControl/>
              <w:rPr>
                <w:rFonts w:hint="eastAsia" w:ascii="宋体" w:hAnsi="宋体" w:cs="宋体"/>
                <w:sz w:val="22"/>
                <w:szCs w:val="24"/>
              </w:rPr>
            </w:pPr>
            <w:r>
              <w:rPr>
                <w:rFonts w:hint="eastAsia" w:ascii="宋体" w:hAnsi="宋体" w:cs="宋体"/>
                <w:sz w:val="22"/>
                <w:szCs w:val="24"/>
              </w:rPr>
              <w:t xml:space="preserve">3、起升高度：3000mm，两级门架；</w:t>
            </w:r>
            <w:r/>
          </w:p>
          <w:p>
            <w:pPr>
              <w:widowControl/>
              <w:rPr>
                <w:rFonts w:hint="eastAsia" w:ascii="宋体" w:hAnsi="宋体" w:cs="宋体"/>
                <w:sz w:val="22"/>
                <w:szCs w:val="24"/>
              </w:rPr>
            </w:pPr>
            <w:r>
              <w:rPr>
                <w:rFonts w:hint="eastAsia" w:ascii="宋体" w:hAnsi="宋体" w:cs="宋体"/>
                <w:sz w:val="22"/>
                <w:szCs w:val="24"/>
              </w:rPr>
              <w:t xml:space="preserve">4、电池：80V 230AH锂电池，65A外置充电器；</w:t>
            </w:r>
            <w:r/>
          </w:p>
          <w:p>
            <w:pPr>
              <w:widowControl/>
              <w:rPr>
                <w:rFonts w:hint="eastAsia" w:ascii="宋体" w:hAnsi="宋体" w:cs="宋体"/>
                <w:sz w:val="22"/>
                <w:szCs w:val="24"/>
              </w:rPr>
            </w:pPr>
            <w:r>
              <w:rPr>
                <w:rFonts w:hint="eastAsia" w:ascii="宋体" w:hAnsi="宋体" w:cs="宋体"/>
                <w:sz w:val="22"/>
                <w:szCs w:val="24"/>
              </w:rPr>
              <w:t xml:space="preserve">5、驱动/起升电机功率：15/24KW；</w:t>
            </w:r>
            <w:r/>
          </w:p>
          <w:p>
            <w:pPr>
              <w:widowControl/>
              <w:rPr>
                <w:rFonts w:hint="eastAsia" w:ascii="宋体" w:hAnsi="宋体" w:cs="宋体"/>
                <w:sz w:val="22"/>
                <w:szCs w:val="24"/>
              </w:rPr>
            </w:pPr>
            <w:r>
              <w:rPr>
                <w:rFonts w:hint="eastAsia" w:ascii="宋体" w:hAnsi="宋体" w:cs="宋体"/>
                <w:sz w:val="22"/>
                <w:szCs w:val="24"/>
              </w:rPr>
              <w:t xml:space="preserve">6、轮胎：四轮充气胎；</w:t>
            </w:r>
            <w:r/>
          </w:p>
          <w:p>
            <w:pPr>
              <w:widowControl/>
              <w:rPr>
                <w:rFonts w:hint="eastAsia" w:ascii="宋体" w:hAnsi="宋体" w:cs="宋体"/>
                <w:sz w:val="22"/>
                <w:szCs w:val="24"/>
              </w:rPr>
            </w:pPr>
            <w:r>
              <w:rPr>
                <w:rFonts w:hint="eastAsia" w:ascii="宋体" w:hAnsi="宋体" w:cs="宋体"/>
                <w:sz w:val="22"/>
                <w:szCs w:val="24"/>
              </w:rPr>
              <w:t xml:space="preserve">7、质保：整车壹年，锂电池陆年或12000H。</w:t>
            </w:r>
            <w:r/>
          </w:p>
          <w:p>
            <w:pPr>
              <w:widowControl/>
              <w:rPr>
                <w:rFonts w:hint="eastAsia" w:ascii="宋体" w:hAnsi="宋体" w:cs="宋体"/>
                <w:sz w:val="22"/>
                <w:szCs w:val="24"/>
              </w:rPr>
            </w:pPr>
            <w:r>
              <w:rPr>
                <w:rFonts w:hint="eastAsia" w:ascii="宋体" w:hAnsi="宋体" w:cs="宋体"/>
                <w:sz w:val="22"/>
                <w:szCs w:val="24"/>
              </w:rPr>
              <w:t xml:space="preserve">二、报价范围</w:t>
            </w:r>
            <w:r/>
          </w:p>
          <w:p>
            <w:pPr>
              <w:widowControl/>
              <w:rPr>
                <w:rFonts w:hint="eastAsia" w:ascii="宋体" w:hAnsi="宋体" w:cs="宋体"/>
                <w:sz w:val="22"/>
                <w:szCs w:val="24"/>
              </w:rPr>
            </w:pPr>
            <w:r>
              <w:rPr>
                <w:rFonts w:hint="eastAsia" w:ascii="宋体" w:hAnsi="宋体" w:cs="宋体"/>
                <w:sz w:val="22"/>
                <w:szCs w:val="24"/>
              </w:rPr>
              <w:t xml:space="preserve">报价包含设备本体、运输、首次充电调试、培训及税金。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pPr>
            <w:r>
              <w:rPr>
                <w:rFonts w:hint="eastAsia"/>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11"/>
            <w:tcBorders>
              <w:top w:val="single" w:color="000000" w:sz="4" w:space="0"/>
              <w:left w:val="single" w:color="000000" w:sz="4" w:space="0"/>
              <w:bottom w:val="single" w:color="000000" w:sz="4" w:space="0"/>
              <w:right w:val="single" w:color="000000" w:sz="4" w:space="0"/>
            </w:tcBorders>
            <w:tcW w:w="10668"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t xml:space="preserve">地磅</w:t>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地磅</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3×12米</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t xml:space="preserve">一、技术要求</w:t>
            </w:r>
            <w:r/>
          </w:p>
          <w:p>
            <w:pPr>
              <w:widowControl/>
              <w:rPr>
                <w:rFonts w:hint="eastAsia" w:ascii="宋体" w:hAnsi="宋体" w:cs="宋体"/>
                <w:sz w:val="22"/>
                <w:szCs w:val="24"/>
              </w:rPr>
            </w:pPr>
            <w:r>
              <w:rPr>
                <w:rFonts w:hint="eastAsia" w:ascii="宋体" w:hAnsi="宋体" w:cs="宋体"/>
                <w:sz w:val="22"/>
                <w:szCs w:val="24"/>
              </w:rPr>
              <w:t xml:space="preserve">▲1、传感器：高精度数字式30t，数量6只，综合精度±0.02%F.S；</w:t>
            </w:r>
            <w:r/>
          </w:p>
          <w:p>
            <w:pPr>
              <w:widowControl/>
              <w:rPr>
                <w:rFonts w:hint="eastAsia" w:ascii="宋体" w:hAnsi="宋体" w:cs="宋体"/>
                <w:sz w:val="22"/>
                <w:szCs w:val="24"/>
              </w:rPr>
            </w:pPr>
            <w:r>
              <w:rPr>
                <w:rFonts w:hint="eastAsia" w:ascii="宋体" w:hAnsi="宋体" w:cs="宋体"/>
                <w:sz w:val="22"/>
                <w:szCs w:val="24"/>
              </w:rPr>
              <w:t xml:space="preserve">2、称体：模块式全钢秤台2块，12mm面板，30号槽钢大樑5根；</w:t>
            </w:r>
            <w:r/>
          </w:p>
          <w:p>
            <w:pPr>
              <w:widowControl/>
              <w:rPr>
                <w:rFonts w:hint="eastAsia" w:ascii="宋体" w:hAnsi="宋体" w:cs="宋体"/>
                <w:sz w:val="22"/>
                <w:szCs w:val="24"/>
              </w:rPr>
            </w:pPr>
            <w:r>
              <w:rPr>
                <w:rFonts w:hint="eastAsia" w:ascii="宋体" w:hAnsi="宋体" w:cs="宋体"/>
                <w:sz w:val="22"/>
                <w:szCs w:val="24"/>
              </w:rPr>
              <w:t xml:space="preserve">3、称重仪表：DS-8型1台；</w:t>
            </w:r>
            <w:r/>
          </w:p>
          <w:p>
            <w:pPr>
              <w:widowControl/>
              <w:rPr>
                <w:rFonts w:hint="eastAsia" w:ascii="宋体" w:hAnsi="宋体" w:cs="宋体"/>
                <w:sz w:val="22"/>
                <w:szCs w:val="24"/>
              </w:rPr>
            </w:pPr>
            <w:r>
              <w:rPr>
                <w:rFonts w:hint="eastAsia" w:ascii="宋体" w:hAnsi="宋体" w:cs="宋体"/>
                <w:sz w:val="22"/>
                <w:szCs w:val="24"/>
              </w:rPr>
              <w:t xml:space="preserve">4、台面全焊接，表面喷漆防腐。</w:t>
            </w:r>
            <w:r/>
          </w:p>
          <w:p>
            <w:pPr>
              <w:widowControl/>
              <w:rPr>
                <w:rFonts w:hint="eastAsia" w:ascii="宋体" w:hAnsi="宋体" w:cs="宋体"/>
                <w:sz w:val="22"/>
                <w:szCs w:val="24"/>
              </w:rPr>
            </w:pPr>
            <w:r>
              <w:rPr>
                <w:rFonts w:hint="eastAsia" w:ascii="宋体" w:hAnsi="宋体" w:cs="宋体"/>
                <w:sz w:val="22"/>
                <w:szCs w:val="24"/>
              </w:rPr>
            </w:r>
            <w:r/>
          </w:p>
          <w:p>
            <w:pPr>
              <w:widowControl/>
              <w:rPr>
                <w:rFonts w:hint="eastAsia" w:ascii="宋体" w:hAnsi="宋体" w:cs="宋体"/>
                <w:sz w:val="22"/>
                <w:szCs w:val="24"/>
              </w:rPr>
            </w:pPr>
            <w:r>
              <w:rPr>
                <w:rFonts w:hint="eastAsia" w:ascii="宋体" w:hAnsi="宋体" w:cs="宋体"/>
                <w:sz w:val="22"/>
                <w:szCs w:val="24"/>
              </w:rPr>
              <w:t xml:space="preserve">二、工作内容及报价范围</w:t>
            </w:r>
            <w:r/>
          </w:p>
          <w:p>
            <w:pPr>
              <w:widowControl/>
              <w:rPr>
                <w:rFonts w:hint="eastAsia" w:ascii="宋体" w:hAnsi="宋体" w:cs="宋体"/>
                <w:sz w:val="22"/>
                <w:szCs w:val="24"/>
              </w:rPr>
            </w:pPr>
            <w:r>
              <w:rPr>
                <w:rFonts w:hint="eastAsia" w:ascii="宋体" w:hAnsi="宋体" w:cs="宋体"/>
                <w:sz w:val="22"/>
                <w:szCs w:val="24"/>
              </w:rPr>
              <w:t xml:space="preserve">1、地磅基础验收；</w:t>
            </w:r>
            <w:r/>
          </w:p>
          <w:p>
            <w:pPr>
              <w:widowControl/>
              <w:rPr>
                <w:rFonts w:hint="eastAsia" w:ascii="宋体" w:hAnsi="宋体" w:cs="宋体"/>
                <w:sz w:val="22"/>
                <w:szCs w:val="24"/>
              </w:rPr>
            </w:pPr>
            <w:r>
              <w:rPr>
                <w:rFonts w:hint="eastAsia" w:ascii="宋体" w:hAnsi="宋体" w:cs="宋体"/>
                <w:sz w:val="22"/>
                <w:szCs w:val="24"/>
              </w:rPr>
              <w:t xml:space="preserve">2、秤台吊装、拼接、就位；</w:t>
            </w:r>
            <w:r/>
          </w:p>
          <w:p>
            <w:pPr>
              <w:widowControl/>
              <w:rPr>
                <w:rFonts w:hint="eastAsia" w:ascii="宋体" w:hAnsi="宋体" w:cs="宋体"/>
                <w:sz w:val="22"/>
                <w:szCs w:val="24"/>
              </w:rPr>
            </w:pPr>
            <w:r>
              <w:rPr>
                <w:rFonts w:hint="eastAsia" w:ascii="宋体" w:hAnsi="宋体" w:cs="宋体"/>
                <w:sz w:val="22"/>
                <w:szCs w:val="24"/>
              </w:rPr>
              <w:t xml:space="preserve">3、传感器及仪表安装接线；</w:t>
            </w:r>
            <w:r/>
          </w:p>
          <w:p>
            <w:pPr>
              <w:widowControl/>
              <w:rPr>
                <w:rFonts w:hint="eastAsia" w:ascii="宋体" w:hAnsi="宋体" w:cs="宋体"/>
                <w:sz w:val="22"/>
                <w:szCs w:val="24"/>
              </w:rPr>
            </w:pPr>
            <w:r>
              <w:rPr>
                <w:rFonts w:hint="eastAsia" w:ascii="宋体" w:hAnsi="宋体" w:cs="宋体"/>
                <w:sz w:val="22"/>
                <w:szCs w:val="24"/>
              </w:rPr>
              <w:t xml:space="preserve">4、计量校准及检定配合；</w:t>
            </w:r>
            <w:r/>
          </w:p>
          <w:p>
            <w:pPr>
              <w:widowControl/>
              <w:rPr>
                <w:rFonts w:hint="eastAsia" w:ascii="宋体" w:hAnsi="宋体" w:cs="宋体"/>
                <w:sz w:val="22"/>
                <w:szCs w:val="24"/>
              </w:rPr>
            </w:pPr>
            <w:r>
              <w:rPr>
                <w:rFonts w:hint="eastAsia" w:ascii="宋体" w:hAnsi="宋体" w:cs="宋体"/>
                <w:sz w:val="22"/>
                <w:szCs w:val="24"/>
              </w:rPr>
              <w:t xml:space="preserve">5、报价包含安装费、人工费、材料费、机械费、管理费、利润、措施项目费、规费、质保费及税金。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pPr>
            <w: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pPr>
            <w:r>
              <w:rPr>
                <w:rFonts w:hint="eastAsia"/>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gridSpan w:val="2"/>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gridSpan w:val="8"/>
            <w:tcBorders>
              <w:top w:val="single" w:color="000000" w:sz="4" w:space="0"/>
              <w:left w:val="single" w:color="000000" w:sz="4" w:space="0"/>
              <w:bottom w:val="single" w:color="000000" w:sz="4" w:space="0"/>
              <w:right w:val="single" w:color="000000" w:sz="4" w:space="0"/>
            </w:tcBorders>
            <w:tcW w:w="9515"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bl>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投标人名称：（加盖电子公章）</w:t>
      </w:r>
      <w:r/>
    </w:p>
    <w:p>
      <w:pPr>
        <w:ind w:firstLine="480"/>
        <w:rPr>
          <w:rFonts w:hint="eastAsia" w:ascii="宋体" w:hAnsi="宋体"/>
          <w:sz w:val="24"/>
          <w:szCs w:val="24"/>
        </w:rPr>
      </w:pPr>
      <w:r>
        <w:rPr>
          <w:rFonts w:hint="eastAsia" w:ascii="宋体" w:hAnsi="宋体"/>
          <w:sz w:val="24"/>
          <w:szCs w:val="24"/>
        </w:rPr>
      </w:r>
      <w:r/>
    </w:p>
    <w:p>
      <w:pPr>
        <w:pStyle w:val="737"/>
        <w:ind w:firstLine="480"/>
        <w:jc w:val="both"/>
        <w:spacing w:before="0" w:beforeAutospacing="0" w:after="0" w:afterAutospacing="0" w:line="360" w:lineRule="auto"/>
        <w:rPr>
          <w:rFonts w:hint="eastAsia"/>
        </w:rPr>
      </w:pPr>
      <w:r>
        <w:t xml:space="preserve">备注： </w:t>
      </w:r>
      <w:r/>
    </w:p>
    <w:p>
      <w:pPr>
        <w:pStyle w:val="737"/>
        <w:ind w:firstLine="480"/>
        <w:jc w:val="both"/>
        <w:spacing w:before="0" w:beforeAutospacing="0" w:after="0" w:afterAutospacing="0" w:line="360" w:lineRule="auto"/>
        <w:rPr>
          <w:rFonts w:hint="eastAsia"/>
        </w:rPr>
      </w:pPr>
      <w:r>
        <w:rPr>
          <w:rFonts w:hint="eastAsia"/>
        </w:rPr>
        <w:t xml:space="preserve">1.“投标总报价”应包括为完成整个项目所产生的所有费用，招标文件另有规定的除外。</w:t>
      </w:r>
      <w:r/>
    </w:p>
    <w:p>
      <w:pPr>
        <w:pStyle w:val="737"/>
        <w:ind w:firstLine="480"/>
        <w:jc w:val="both"/>
        <w:spacing w:before="0" w:beforeAutospacing="0" w:after="0" w:afterAutospacing="0" w:line="360" w:lineRule="auto"/>
        <w:rPr>
          <w:rFonts w:hint="eastAsia"/>
        </w:rPr>
      </w:pPr>
      <w:r>
        <w:rPr>
          <w:rFonts w:hint="eastAsia"/>
        </w:rPr>
        <w:t xml:space="preserve">2.《投标分项报价表》中“投标总价”应当与《开标一览表》中“投标总报价”一致。</w:t>
      </w:r>
      <w:r/>
    </w:p>
    <w:p>
      <w:pPr>
        <w:pStyle w:val="737"/>
        <w:ind w:firstLine="480"/>
        <w:jc w:val="both"/>
        <w:spacing w:before="0" w:beforeAutospacing="0" w:after="0" w:afterAutospacing="0" w:line="360" w:lineRule="auto"/>
        <w:rPr>
          <w:rFonts w:hint="eastAsia"/>
        </w:rPr>
      </w:pPr>
      <w:r>
        <w:rPr>
          <w:rFonts w:hint="eastAsia"/>
        </w:rPr>
        <w:t xml:space="preserve">3.供应商所投产品须与“第四章-项目清单”中的产品一一对应，如有缺项、漏项或者超出单价上限，视为无效投标。“项目清单”中分项仅为一项的，此表无需提供。</w:t>
      </w:r>
      <w:r/>
    </w:p>
    <w:p>
      <w:pPr>
        <w:pStyle w:val="737"/>
        <w:ind w:firstLine="480"/>
        <w:jc w:val="both"/>
        <w:spacing w:before="0" w:beforeAutospacing="0" w:after="0" w:afterAutospacing="0" w:line="360" w:lineRule="auto"/>
        <w:rPr>
          <w:rFonts w:hint="eastAsia"/>
        </w:rPr>
      </w:pPr>
      <w:r>
        <w:rPr>
          <w:rFonts w:hint="eastAsia"/>
        </w:rPr>
        <w:t xml:space="preserve">4.行数不够，可自行添加。</w:t>
      </w:r>
      <w:r/>
    </w:p>
    <w:p>
      <w:pPr>
        <w:spacing w:line="480" w:lineRule="exact"/>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widowControl/>
        <w:rPr>
          <w:rFonts w:hint="eastAsia" w:ascii="黑体" w:hAnsi="黑体" w:eastAsia="黑体"/>
          <w:sz w:val="32"/>
          <w:szCs w:val="32"/>
        </w:rPr>
      </w:pPr>
      <w:r>
        <w:rPr>
          <w:rFonts w:hint="eastAsia" w:ascii="黑体" w:hAnsi="黑体" w:eastAsia="黑体"/>
          <w:sz w:val="32"/>
          <w:szCs w:val="32"/>
        </w:rPr>
        <w:br w:type="page" w:clear="all"/>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八、技术要求响应及偏离表</w:t>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技术要求响应及偏离表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84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364" w:type="dxa"/>
            <w:vAlign w:val="center"/>
            <w:textDirection w:val="lrTb"/>
            <w:noWrap w:val="false"/>
          </w:tcPr>
          <w:p>
            <w:pPr>
              <w:jc w:val="center"/>
              <w:spacing w:line="480" w:lineRule="exact"/>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ind w:right="180" w:firstLine="480"/>
        <w:spacing w:line="560" w:lineRule="exact"/>
        <w:rPr>
          <w:rFonts w:hint="eastAsia" w:ascii="宋体" w:hAnsi="宋体"/>
          <w:sz w:val="24"/>
          <w:szCs w:val="24"/>
        </w:rPr>
      </w:pPr>
      <w:r>
        <w:rPr>
          <w:rFonts w:hint="eastAsia" w:ascii="宋体" w:hAnsi="宋体"/>
          <w:sz w:val="24"/>
          <w:szCs w:val="24"/>
        </w:rPr>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737"/>
        <w:ind w:firstLine="480"/>
        <w:jc w:val="both"/>
        <w:spacing w:before="0" w:beforeAutospacing="0" w:after="0" w:afterAutospacing="0"/>
        <w:rPr>
          <w:rFonts w:hint="eastAsia"/>
        </w:rPr>
      </w:pPr>
      <w:r>
        <w:rPr>
          <w:rFonts w:hint="eastAsia"/>
        </w:rPr>
      </w:r>
      <w:r/>
    </w:p>
    <w:p>
      <w:pPr>
        <w:pStyle w:val="737"/>
        <w:ind w:firstLine="480"/>
        <w:jc w:val="both"/>
        <w:spacing w:before="0" w:beforeAutospacing="0" w:after="0" w:afterAutospacing="0" w:line="360" w:lineRule="auto"/>
        <w:rPr>
          <w:rFonts w:hint="eastAsia"/>
        </w:rPr>
      </w:pPr>
      <w:r>
        <w:t xml:space="preserve">备注： </w:t>
      </w:r>
      <w:r/>
    </w:p>
    <w:p>
      <w:pPr>
        <w:pStyle w:val="737"/>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1.供应商须对招标文件技术要求中的实质性要求（斜体下划线内容或打“★”内容）及其他要求做出明确响应，否则视为无效投标。</w:t>
      </w:r>
      <w:r/>
    </w:p>
    <w:p>
      <w:pPr>
        <w:pStyle w:val="737"/>
        <w:ind w:firstLine="480"/>
        <w:jc w:val="both"/>
        <w:spacing w:before="0" w:beforeAutospacing="0" w:after="0" w:afterAutospacing="0" w:line="360" w:lineRule="auto"/>
        <w:rPr>
          <w:rFonts w:hint="eastAsia"/>
        </w:rPr>
      </w:pPr>
      <w:r>
        <w:rPr>
          <w:rFonts w:hint="eastAsia"/>
        </w:rPr>
        <w:t xml:space="preserve">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p>
    <w:p>
      <w:pPr>
        <w:pStyle w:val="737"/>
        <w:ind w:firstLine="480"/>
        <w:jc w:val="both"/>
        <w:spacing w:before="0" w:beforeAutospacing="0" w:after="0" w:afterAutospacing="0" w:line="360" w:lineRule="auto"/>
        <w:rPr>
          <w:rFonts w:hint="eastAsia"/>
        </w:rPr>
      </w:pPr>
      <w:r>
        <w:rPr>
          <w:rFonts w:hint="eastAsia"/>
        </w:rPr>
        <w:t xml:space="preserve">3.行数不够，可自行添加。</w:t>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r/>
      <w:r/>
    </w:p>
    <w:p>
      <w:pPr>
        <w:jc w:val="left"/>
        <w:widowControl/>
        <w:rPr>
          <w:rFonts w:hint="eastAsia" w:ascii="黑体" w:hAnsi="黑体" w:eastAsia="黑体"/>
          <w:sz w:val="32"/>
          <w:szCs w:val="32"/>
        </w:rPr>
      </w:pPr>
      <w:r>
        <w:rPr>
          <w:rFonts w:hint="eastAsia" w:ascii="黑体" w:hAnsi="黑体" w:eastAsia="黑体"/>
          <w:sz w:val="32"/>
          <w:szCs w:val="32"/>
        </w:rPr>
        <w:br w:type="page" w:clear="all"/>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九、商务要求响应及偏离表</w:t>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商务要求响应及偏离表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87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352" w:type="dxa"/>
            <w:vAlign w:val="center"/>
            <w:textDirection w:val="lrTb"/>
            <w:noWrap w:val="false"/>
          </w:tcPr>
          <w:p>
            <w:pPr>
              <w:jc w:val="center"/>
              <w:spacing w:line="480" w:lineRule="exact"/>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ind w:right="180" w:firstLine="480"/>
        <w:spacing w:line="560" w:lineRule="exact"/>
        <w:rPr>
          <w:rFonts w:hint="eastAsia" w:ascii="宋体" w:hAnsi="宋体"/>
          <w:sz w:val="24"/>
          <w:szCs w:val="24"/>
        </w:rPr>
      </w:pPr>
      <w:r>
        <w:rPr>
          <w:rFonts w:hint="eastAsia" w:ascii="宋体" w:hAnsi="宋体"/>
          <w:sz w:val="24"/>
          <w:szCs w:val="24"/>
        </w:rPr>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ind w:firstLine="480"/>
        <w:rPr>
          <w:rFonts w:hint="eastAsia" w:ascii="宋体" w:hAnsi="宋体"/>
          <w:sz w:val="24"/>
          <w:szCs w:val="24"/>
        </w:rPr>
      </w:pPr>
      <w:r>
        <w:rPr>
          <w:rFonts w:hint="eastAsia" w:ascii="宋体" w:hAnsi="宋体"/>
          <w:sz w:val="24"/>
          <w:szCs w:val="24"/>
        </w:rPr>
      </w:r>
      <w:r/>
    </w:p>
    <w:p>
      <w:pPr>
        <w:pStyle w:val="737"/>
        <w:ind w:firstLine="480"/>
        <w:jc w:val="both"/>
        <w:spacing w:before="0" w:beforeAutospacing="0" w:after="0" w:afterAutospacing="0" w:line="360" w:lineRule="auto"/>
        <w:rPr>
          <w:rFonts w:hint="eastAsia"/>
        </w:rPr>
      </w:pPr>
      <w:r>
        <w:rPr>
          <w:rFonts w:hint="eastAsia"/>
        </w:rPr>
        <w:t xml:space="preserve">备注： </w:t>
      </w:r>
      <w:r/>
    </w:p>
    <w:p>
      <w:pPr>
        <w:pStyle w:val="737"/>
        <w:ind w:firstLine="480"/>
        <w:jc w:val="both"/>
        <w:spacing w:before="0" w:beforeAutospacing="0" w:after="0" w:afterAutospacing="0" w:line="360" w:lineRule="auto"/>
        <w:rPr>
          <w:rFonts w:hint="eastAsia"/>
        </w:rPr>
      </w:pPr>
      <w:r>
        <w:rPr>
          <w:rFonts w:hint="eastAsia"/>
        </w:rPr>
        <w:t xml:space="preserve">1.供应商须对招标文件商务要求中的实质性要求（斜体下划线内容或打“★”内容）做出明确响应，否则视为无效投标。</w:t>
      </w:r>
      <w:r/>
    </w:p>
    <w:p>
      <w:pPr>
        <w:pStyle w:val="737"/>
        <w:ind w:firstLine="480"/>
        <w:jc w:val="both"/>
        <w:spacing w:before="0" w:beforeAutospacing="0" w:after="0" w:afterAutospacing="0" w:line="360" w:lineRule="auto"/>
        <w:rPr>
          <w:rFonts w:hint="eastAsia"/>
        </w:rPr>
      </w:pPr>
      <w:r>
        <w:rPr>
          <w:rFonts w:hint="eastAsia"/>
        </w:rPr>
        <w:t xml:space="preserve">2.行数不够，可自行添加。</w:t>
      </w:r>
      <w:r/>
    </w:p>
    <w:p>
      <w:pPr>
        <w:spacing w:line="480" w:lineRule="auto"/>
        <w:rPr>
          <w:rFonts w:hint="eastAsia" w:ascii="宋体" w:hAnsi="宋体"/>
          <w:sz w:val="24"/>
          <w:szCs w:val="21"/>
        </w:rPr>
      </w:pPr>
      <w:r>
        <w:rPr>
          <w:rFonts w:hint="eastAsia" w:ascii="宋体" w:hAnsi="宋体"/>
          <w:sz w:val="24"/>
          <w:szCs w:val="21"/>
        </w:rPr>
      </w:r>
      <w:r/>
    </w:p>
    <w:p>
      <w:pPr>
        <w:spacing w:line="480" w:lineRule="auto"/>
        <w:rPr>
          <w:rFonts w:ascii="仿宋_GB2312" w:hAnsi="Arial"/>
          <w:sz w:val="30"/>
          <w:szCs w:val="21"/>
        </w:rPr>
      </w:pPr>
      <w:r>
        <w:rPr>
          <w:rFonts w:ascii="仿宋_GB2312" w:hAnsi="Arial"/>
          <w:sz w:val="30"/>
          <w:szCs w:val="21"/>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35"/>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r/>
      <w:r/>
    </w:p>
    <w:p>
      <w:pPr>
        <w:jc w:val="left"/>
        <w:widowControl/>
        <w:rPr>
          <w:rFonts w:hint="eastAsia" w:ascii="黑体" w:hAnsi="黑体" w:eastAsia="黑体"/>
          <w:sz w:val="32"/>
          <w:szCs w:val="32"/>
        </w:rPr>
      </w:pPr>
      <w:r>
        <w:rPr>
          <w:rFonts w:hint="eastAsia" w:ascii="黑体" w:hAnsi="黑体" w:eastAsia="黑体"/>
          <w:sz w:val="32"/>
          <w:szCs w:val="32"/>
        </w:rPr>
        <w:br w:type="page" w:clear="all"/>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十、中小企业声明函</w:t>
      </w:r>
      <w:r/>
    </w:p>
    <w:p>
      <w:pPr>
        <w:jc w:val="center"/>
        <w:spacing w:line="360" w:lineRule="auto"/>
        <w:rPr>
          <w:rFonts w:hint="eastAsia"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中小企业声明函（货物）</w:t>
      </w:r>
      <w:r/>
    </w:p>
    <w:p>
      <w:pPr>
        <w:ind w:firstLine="360"/>
        <w:spacing w:line="336"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36"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hint="eastAsia" w:ascii="宋体" w:hAnsi="宋体"/>
          <w:sz w:val="24"/>
          <w:szCs w:val="24"/>
        </w:rPr>
      </w:pPr>
      <w:r>
        <w:rPr>
          <w:rFonts w:hint="eastAsia" w:ascii="宋体" w:hAnsi="宋体"/>
          <w:sz w:val="24"/>
          <w:szCs w:val="24"/>
        </w:rPr>
        <w:t xml:space="preserve">……</w:t>
      </w:r>
      <w:r/>
    </w:p>
    <w:p>
      <w:pPr>
        <w:ind w:firstLine="360"/>
        <w:spacing w:line="336"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36"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spacing w:line="336" w:lineRule="auto"/>
      </w:pPr>
      <w:r/>
      <w:r/>
    </w:p>
    <w:p>
      <w:pPr>
        <w:ind w:right="180" w:firstLine="360"/>
        <w:jc w:val="center"/>
        <w:spacing w:line="336"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36" w:lineRule="auto"/>
        <w:rPr>
          <w:rFonts w:hint="eastAsia" w:ascii="宋体" w:hAnsi="宋体"/>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p>
    <w:p>
      <w:pPr>
        <w:ind w:firstLine="480"/>
        <w:spacing w:line="336"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不对其中涉及的服务的承接商、工程的承建商作出要求。</w:t>
      </w:r>
      <w:r/>
    </w:p>
    <w:p>
      <w:pPr>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十一、残疾人福利性单位声明函</w:t>
      </w:r>
      <w:r/>
    </w:p>
    <w:p>
      <w:pPr>
        <w:jc w:val="center"/>
        <w:spacing w:line="360" w:lineRule="auto"/>
        <w:rPr>
          <w:rFonts w:hint="eastAsia"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35"/>
        <w:rPr>
          <w:rFonts w:ascii="宋体" w:hAnsi="宋体"/>
          <w:sz w:val="24"/>
          <w:szCs w:val="24"/>
        </w:rPr>
      </w:pPr>
      <w:r>
        <w:rPr>
          <w:rFonts w:ascii="宋体" w:hAnsi="宋体"/>
          <w:sz w:val="24"/>
          <w:szCs w:val="24"/>
        </w:rPr>
      </w:r>
      <w:r/>
    </w:p>
    <w:p>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p>
    <w:p>
      <w:pPr>
        <w:ind w:firstLine="480"/>
        <w:spacing w:line="588"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1.投标人如不提供此声明函，价格将不作相应扣除。</w:t>
      </w:r>
      <w:r/>
    </w:p>
    <w:p>
      <w:pPr>
        <w:ind w:firstLine="480"/>
        <w:spacing w:line="480" w:lineRule="exact"/>
        <w:rPr>
          <w:rFonts w:hint="eastAsia" w:ascii="宋体" w:hAnsi="宋体"/>
          <w:sz w:val="24"/>
        </w:rPr>
      </w:pPr>
      <w:r>
        <w:rPr>
          <w:rFonts w:hint="eastAsia" w:ascii="宋体" w:hAnsi="宋体"/>
          <w:sz w:val="24"/>
        </w:rPr>
        <w:t xml:space="preserve">2.中标人为残疾人福利性单位的，此声明函将随中标结果同时公告，接受社会监督。</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72"/>
        <w:rPr>
          <w:rFonts w:hint="eastAsia"/>
        </w:rPr>
      </w:pPr>
      <w:r>
        <w:rPr>
          <w:rFonts w:hint="eastAsia"/>
        </w:rPr>
      </w:r>
      <w:r/>
    </w:p>
    <w:p>
      <w:pPr>
        <w:ind w:firstLine="5760"/>
        <w:spacing w:line="560" w:lineRule="exact"/>
        <w:rPr>
          <w:rFonts w:hint="eastAsia" w:ascii="宋体" w:hAnsi="宋体"/>
          <w:sz w:val="24"/>
          <w:szCs w:val="24"/>
        </w:rPr>
      </w:pPr>
      <w:r>
        <w:rPr>
          <w:rFonts w:hint="eastAsia" w:ascii="宋体" w:hAnsi="宋体"/>
          <w:sz w:val="24"/>
          <w:szCs w:val="24"/>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十二、联合体</w:t>
      </w:r>
      <w:bookmarkStart w:id="213" w:name="OLE_LINK4"/>
      <w:r>
        <w:rPr>
          <w:rFonts w:hint="eastAsia" w:ascii="黑体" w:hAnsi="黑体" w:eastAsia="黑体"/>
          <w:sz w:val="32"/>
          <w:szCs w:val="32"/>
        </w:rPr>
        <w:t xml:space="preserve">协议</w:t>
      </w:r>
      <w:bookmarkEnd w:id="213"/>
      <w:r/>
      <w:r/>
    </w:p>
    <w:p>
      <w:pPr>
        <w:jc w:val="center"/>
        <w:spacing w:line="360" w:lineRule="auto"/>
        <w:rPr>
          <w:rFonts w:hint="eastAsia"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联合体协议</w:t>
      </w:r>
      <w:r/>
    </w:p>
    <w:p>
      <w:pPr>
        <w:spacing w:line="360" w:lineRule="auto"/>
        <w:rPr>
          <w:rFonts w:hint="eastAsia" w:ascii="宋体" w:hAnsi="宋体"/>
          <w:sz w:val="24"/>
        </w:rPr>
      </w:pPr>
      <w:r>
        <w:rPr>
          <w:rFonts w:hint="eastAsia" w:ascii="宋体" w:hAnsi="宋体"/>
          <w:sz w:val="24"/>
        </w:rPr>
        <w:t xml:space="preserve">（联合体中各供应商全称）在此达成以下协议：</w:t>
      </w:r>
      <w:r/>
    </w:p>
    <w:p>
      <w:pPr>
        <w:ind w:firstLine="645"/>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p>
    <w:p>
      <w:pPr>
        <w:ind w:firstLine="645"/>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645"/>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hint="eastAsia"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ind w:firstLine="5280"/>
        <w:spacing w:line="560" w:lineRule="exact"/>
        <w:rPr>
          <w:rFonts w:hint="eastAsia" w:ascii="宋体" w:hAnsi="宋体"/>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p>
    <w:p>
      <w:pPr>
        <w:ind w:firstLine="480"/>
        <w:spacing w:line="480"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1.牵头单位必须为联合体成员。</w:t>
      </w:r>
      <w:r/>
    </w:p>
    <w:p>
      <w:pPr>
        <w:ind w:firstLine="480"/>
        <w:spacing w:line="480" w:lineRule="exact"/>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480" w:lineRule="exact"/>
        <w:rPr>
          <w:rFonts w:hint="eastAsia" w:ascii="宋体" w:hAnsi="宋体"/>
          <w:sz w:val="24"/>
        </w:rPr>
      </w:pPr>
      <w:r>
        <w:rPr>
          <w:rFonts w:hint="eastAsia" w:ascii="宋体" w:hAnsi="宋体"/>
          <w:sz w:val="24"/>
        </w:rPr>
        <w:t xml:space="preserve">3.除另有说明外，本招标文件要求加盖电子公章之处，加盖牵头单位的电子公章即可。</w:t>
      </w:r>
      <w:r/>
    </w:p>
    <w:p>
      <w:pPr>
        <w:pStyle w:val="704"/>
        <w:ind w:firstLine="480"/>
        <w:rPr>
          <w:rFonts w:hint="eastAsia"/>
          <w:sz w:val="24"/>
        </w:rPr>
      </w:pPr>
      <w:r>
        <w:rPr>
          <w:rFonts w:hint="eastAsia"/>
          <w:sz w:val="24"/>
        </w:rPr>
      </w:r>
      <w:r/>
    </w:p>
    <w:p>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hint="eastAsia" w:ascii="宋体" w:hAnsi="宋体"/>
          <w:sz w:val="24"/>
        </w:rPr>
      </w:r>
      <w:r/>
    </w:p>
    <w:p>
      <w:pPr>
        <w:spacing w:line="560" w:lineRule="exact"/>
        <w:rPr>
          <w:rFonts w:hint="eastAsia" w:ascii="黑体" w:hAnsi="黑体" w:eastAsia="黑体"/>
          <w:sz w:val="32"/>
          <w:szCs w:val="32"/>
        </w:rPr>
      </w:pPr>
      <w:r>
        <w:rPr>
          <w:rFonts w:hint="eastAsia" w:ascii="黑体" w:hAnsi="黑体" w:eastAsia="黑体"/>
          <w:sz w:val="32"/>
          <w:szCs w:val="32"/>
        </w:rPr>
        <w:t xml:space="preserve">十三、供应商</w:t>
      </w:r>
      <w:bookmarkStart w:id="214" w:name="OLE_LINK6"/>
      <w:r>
        <w:rPr>
          <w:rFonts w:hint="eastAsia" w:ascii="黑体" w:hAnsi="黑体" w:eastAsia="黑体"/>
          <w:sz w:val="32"/>
          <w:szCs w:val="32"/>
        </w:rPr>
        <w:t xml:space="preserve">资格</w:t>
      </w:r>
      <w:bookmarkEnd w:id="214"/>
      <w:r>
        <w:rPr>
          <w:rFonts w:hint="eastAsia" w:ascii="黑体" w:hAnsi="黑体" w:eastAsia="黑体"/>
          <w:sz w:val="32"/>
          <w:szCs w:val="32"/>
        </w:rPr>
        <w:t xml:space="preserve">承诺函</w:t>
      </w:r>
      <w:r/>
    </w:p>
    <w:p>
      <w:pPr>
        <w:ind w:firstLine="645"/>
        <w:spacing w:line="560" w:lineRule="exact"/>
        <w:rPr>
          <w:rFonts w:hint="eastAsia" w:ascii="宋体" w:hAnsi="宋体"/>
          <w:sz w:val="22"/>
          <w:szCs w:val="21"/>
        </w:rPr>
      </w:pPr>
      <w:r>
        <w:rPr>
          <w:rFonts w:hint="eastAsia" w:ascii="宋体" w:hAnsi="宋体"/>
          <w:sz w:val="22"/>
          <w:szCs w:val="21"/>
        </w:rPr>
        <w:t xml:space="preserve">我公司自愿参加贵公司组织的本次采购活动，严格遵守招标文件资格要求及相关法律法规，坚守公开、公平、公正和诚实信用的原则，依法诚信经营，无条件遵守本次政府采购活动的各项规定。我们郑重承诺，本公司符合本项目招标文件规定的条件，包括:</w:t>
      </w:r>
      <w:r/>
    </w:p>
    <w:p>
      <w:pPr>
        <w:ind w:firstLine="645"/>
        <w:spacing w:line="560" w:lineRule="exact"/>
        <w:rPr>
          <w:rFonts w:hint="eastAsia" w:ascii="宋体" w:hAnsi="宋体"/>
          <w:sz w:val="22"/>
          <w:szCs w:val="21"/>
        </w:rPr>
      </w:pPr>
      <w:r>
        <w:rPr>
          <w:rFonts w:hint="eastAsia" w:ascii="宋体" w:hAnsi="宋体"/>
          <w:sz w:val="22"/>
          <w:szCs w:val="21"/>
        </w:rPr>
        <w:t xml:space="preserve">（1）具有独立承担民事责任的能力；</w:t>
      </w:r>
      <w:r/>
    </w:p>
    <w:p>
      <w:pPr>
        <w:ind w:firstLine="645"/>
        <w:spacing w:line="560" w:lineRule="exact"/>
        <w:rPr>
          <w:rFonts w:hint="eastAsia" w:ascii="宋体" w:hAnsi="宋体"/>
          <w:sz w:val="22"/>
          <w:szCs w:val="21"/>
        </w:rPr>
      </w:pPr>
      <w:r>
        <w:rPr>
          <w:rFonts w:hint="eastAsia" w:ascii="宋体" w:hAnsi="宋体"/>
          <w:sz w:val="22"/>
          <w:szCs w:val="21"/>
        </w:rPr>
        <w:t xml:space="preserve">（2）具有良好的商业信誉和健全的财务会计制度；</w:t>
      </w:r>
      <w:r/>
    </w:p>
    <w:p>
      <w:pPr>
        <w:ind w:firstLine="645"/>
        <w:spacing w:line="560" w:lineRule="exact"/>
        <w:rPr>
          <w:rFonts w:hint="eastAsia" w:ascii="宋体" w:hAnsi="宋体"/>
          <w:sz w:val="22"/>
          <w:szCs w:val="21"/>
        </w:rPr>
      </w:pPr>
      <w:r>
        <w:rPr>
          <w:rFonts w:hint="eastAsia" w:ascii="宋体" w:hAnsi="宋体"/>
          <w:sz w:val="22"/>
          <w:szCs w:val="21"/>
        </w:rPr>
        <w:t xml:space="preserve">（3）有履行合同所必需的设备和专业技术能力；</w:t>
      </w:r>
      <w:r/>
    </w:p>
    <w:p>
      <w:pPr>
        <w:ind w:firstLine="645"/>
        <w:spacing w:line="560" w:lineRule="exact"/>
        <w:rPr>
          <w:rFonts w:hint="eastAsia" w:ascii="宋体" w:hAnsi="宋体"/>
          <w:sz w:val="22"/>
          <w:szCs w:val="21"/>
        </w:rPr>
      </w:pPr>
      <w:r>
        <w:rPr>
          <w:rFonts w:hint="eastAsia" w:ascii="宋体" w:hAnsi="宋体"/>
          <w:sz w:val="22"/>
          <w:szCs w:val="21"/>
        </w:rPr>
        <w:t xml:space="preserve">（4）有依法缴纳税收和社会保障资金的良好记录;</w:t>
      </w:r>
      <w:r/>
    </w:p>
    <w:p>
      <w:pPr>
        <w:ind w:firstLine="645"/>
        <w:spacing w:line="560" w:lineRule="exact"/>
        <w:rPr>
          <w:rFonts w:hint="eastAsia" w:ascii="宋体" w:hAnsi="宋体"/>
          <w:sz w:val="22"/>
          <w:szCs w:val="21"/>
        </w:rPr>
      </w:pPr>
      <w:r>
        <w:rPr>
          <w:rFonts w:hint="eastAsia" w:ascii="宋体" w:hAnsi="宋体"/>
          <w:sz w:val="22"/>
          <w:szCs w:val="21"/>
        </w:rPr>
        <w:t xml:space="preserve">（5）参加政府采购活动前三年内，在经营活动中没有重大违法记录；</w:t>
      </w:r>
      <w:r/>
    </w:p>
    <w:p>
      <w:pPr>
        <w:ind w:firstLine="645"/>
        <w:spacing w:line="560" w:lineRule="exact"/>
        <w:rPr>
          <w:rFonts w:hint="eastAsia" w:ascii="宋体" w:hAnsi="宋体"/>
          <w:sz w:val="22"/>
          <w:szCs w:val="21"/>
        </w:rPr>
      </w:pPr>
      <w:r>
        <w:rPr>
          <w:rFonts w:hint="eastAsia" w:ascii="宋体" w:hAnsi="宋体"/>
          <w:sz w:val="22"/>
          <w:szCs w:val="21"/>
        </w:rPr>
        <w:t xml:space="preserve">（6）符合法律、行政法规和采购文件规定的其他条件。</w:t>
      </w:r>
      <w:r/>
    </w:p>
    <w:p>
      <w:pPr>
        <w:ind w:firstLine="645"/>
        <w:spacing w:line="560" w:lineRule="exact"/>
        <w:rPr>
          <w:rFonts w:hint="eastAsia" w:ascii="宋体" w:hAnsi="宋体"/>
          <w:sz w:val="22"/>
          <w:szCs w:val="21"/>
        </w:rPr>
      </w:pPr>
      <w:r>
        <w:rPr>
          <w:rFonts w:hint="eastAsia" w:ascii="宋体" w:hAnsi="宋体"/>
          <w:sz w:val="22"/>
          <w:szCs w:val="21"/>
        </w:rPr>
        <w:t xml:space="preserve">如有弄虚作假或其他违法违规行为，愿承担一切法律责任，接受各级政府采购监管部门和有权机关的审查和处罚。</w:t>
      </w:r>
      <w:r/>
    </w:p>
    <w:p>
      <w:pPr>
        <w:ind w:firstLine="645"/>
        <w:spacing w:line="560" w:lineRule="exact"/>
        <w:rPr>
          <w:rFonts w:hint="eastAsia" w:ascii="宋体" w:hAnsi="宋体"/>
          <w:sz w:val="22"/>
          <w:szCs w:val="21"/>
        </w:rPr>
      </w:pPr>
      <w:r>
        <w:rPr>
          <w:rFonts w:hint="eastAsia" w:ascii="宋体" w:hAnsi="宋体"/>
          <w:sz w:val="22"/>
          <w:szCs w:val="21"/>
        </w:rPr>
        <w:t xml:space="preserve">如果我公司中标（成交），将在结果公告发布后 7 个工作日内向采购人提供下列材料核验： </w:t>
      </w:r>
      <w:r/>
    </w:p>
    <w:p>
      <w:pPr>
        <w:ind w:firstLine="645"/>
        <w:spacing w:line="560" w:lineRule="exact"/>
        <w:rPr>
          <w:rFonts w:hint="eastAsia" w:ascii="宋体" w:hAnsi="宋体"/>
          <w:sz w:val="22"/>
          <w:szCs w:val="21"/>
        </w:rPr>
      </w:pPr>
      <w:r>
        <w:rPr>
          <w:rFonts w:hint="eastAsia" w:ascii="宋体" w:hAnsi="宋体"/>
          <w:sz w:val="22"/>
          <w:szCs w:val="21"/>
        </w:rPr>
        <w:t xml:space="preserve">（1）营业执照副本或事业单位法人登记证书；</w:t>
      </w:r>
      <w:r/>
    </w:p>
    <w:p>
      <w:pPr>
        <w:ind w:firstLine="645"/>
        <w:spacing w:line="560" w:lineRule="exact"/>
        <w:rPr>
          <w:rFonts w:hint="eastAsia" w:ascii="宋体" w:hAnsi="宋体"/>
          <w:sz w:val="22"/>
          <w:szCs w:val="21"/>
        </w:rPr>
      </w:pPr>
      <w:r>
        <w:rPr>
          <w:rFonts w:hint="eastAsia" w:ascii="宋体" w:hAnsi="宋体"/>
          <w:sz w:val="22"/>
          <w:szCs w:val="21"/>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645"/>
        <w:spacing w:line="560" w:lineRule="exact"/>
        <w:rPr>
          <w:rFonts w:hint="eastAsia" w:ascii="宋体" w:hAnsi="宋体"/>
          <w:sz w:val="22"/>
          <w:szCs w:val="21"/>
        </w:rPr>
      </w:pPr>
      <w:r>
        <w:rPr>
          <w:rFonts w:hint="eastAsia" w:ascii="宋体" w:hAnsi="宋体"/>
          <w:sz w:val="22"/>
          <w:szCs w:val="21"/>
        </w:rPr>
        <w:t xml:space="preserve">（3）履行合同所必需的设备和专业技术能力证明材料；</w:t>
      </w:r>
      <w:r/>
    </w:p>
    <w:p>
      <w:pPr>
        <w:ind w:firstLine="645"/>
        <w:spacing w:line="560" w:lineRule="exact"/>
        <w:rPr>
          <w:rFonts w:hint="eastAsia" w:ascii="宋体" w:hAnsi="宋体"/>
          <w:sz w:val="22"/>
          <w:szCs w:val="21"/>
        </w:rPr>
      </w:pPr>
      <w:r>
        <w:rPr>
          <w:rFonts w:hint="eastAsia" w:ascii="宋体" w:hAnsi="宋体"/>
          <w:sz w:val="22"/>
          <w:szCs w:val="21"/>
        </w:rPr>
        <w:t xml:space="preserve">（4）参加本次政府采购活动前一年内至少一个月依法缴纳税收和社会保障资金的证明材料。</w:t>
      </w:r>
      <w:r/>
    </w:p>
    <w:p>
      <w:pPr>
        <w:ind w:firstLine="645"/>
        <w:spacing w:line="560" w:lineRule="exact"/>
        <w:rPr>
          <w:rFonts w:hint="eastAsia" w:ascii="宋体" w:hAnsi="宋体"/>
          <w:sz w:val="22"/>
          <w:szCs w:val="21"/>
        </w:rPr>
      </w:pPr>
      <w:r>
        <w:rPr>
          <w:rFonts w:hint="eastAsia" w:ascii="宋体" w:hAnsi="宋体"/>
          <w:sz w:val="22"/>
          <w:szCs w:val="21"/>
        </w:rPr>
        <w:t xml:space="preserve">本公司对上述承诺的真实性负责，如有虚假，将依法承担相应责任。 </w:t>
      </w:r>
      <w:r/>
    </w:p>
    <w:p>
      <w:pPr>
        <w:ind w:firstLine="645"/>
        <w:spacing w:line="560" w:lineRule="exact"/>
        <w:rPr>
          <w:rFonts w:hint="eastAsia" w:ascii="宋体" w:hAnsi="宋体"/>
          <w:sz w:val="22"/>
          <w:szCs w:val="21"/>
        </w:rPr>
      </w:pPr>
      <w:r>
        <w:rPr>
          <w:rFonts w:hint="eastAsia" w:ascii="宋体" w:hAnsi="宋体"/>
          <w:sz w:val="22"/>
          <w:szCs w:val="21"/>
        </w:rPr>
        <w:t xml:space="preserve">供应商名称（公章）：</w:t>
      </w:r>
      <w:r/>
    </w:p>
    <w:p>
      <w:pPr>
        <w:ind w:firstLine="645"/>
        <w:spacing w:line="560" w:lineRule="exact"/>
        <w:rPr>
          <w:rFonts w:hint="eastAsia" w:ascii="宋体" w:hAnsi="宋体"/>
          <w:sz w:val="22"/>
          <w:szCs w:val="21"/>
        </w:rPr>
      </w:pPr>
      <w:r>
        <w:rPr>
          <w:rFonts w:hint="eastAsia" w:ascii="宋体" w:hAnsi="宋体"/>
          <w:sz w:val="22"/>
          <w:szCs w:val="21"/>
        </w:rPr>
        <w:t xml:space="preserve">法定代表人（签字）：</w:t>
      </w:r>
      <w:r/>
    </w:p>
    <w:p>
      <w:pPr>
        <w:ind w:firstLine="645"/>
        <w:spacing w:line="560" w:lineRule="exact"/>
        <w:rPr>
          <w:rFonts w:hint="eastAsia" w:ascii="宋体" w:hAnsi="宋体"/>
          <w:sz w:val="22"/>
          <w:szCs w:val="21"/>
        </w:rPr>
      </w:pPr>
      <w:r>
        <w:rPr>
          <w:rFonts w:hint="eastAsia" w:ascii="宋体" w:hAnsi="宋体"/>
          <w:sz w:val="22"/>
          <w:szCs w:val="21"/>
        </w:rPr>
        <w:t xml:space="preserve">二〇  年  月  日</w:t>
      </w:r>
      <w:r/>
    </w:p>
    <w:p>
      <w:pPr>
        <w:rPr>
          <w:rFonts w:hint="eastAsia" w:ascii="黑体" w:hAnsi="黑体" w:eastAsia="黑体"/>
          <w:sz w:val="32"/>
          <w:szCs w:val="32"/>
        </w:rPr>
      </w:pPr>
      <w:r>
        <w:rPr>
          <w:rFonts w:hint="eastAsia" w:ascii="黑体" w:hAnsi="黑体" w:eastAsia="黑体"/>
          <w:sz w:val="32"/>
          <w:szCs w:val="32"/>
        </w:rPr>
        <w:t xml:space="preserve">十四：质保及售后服务承诺书</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质保及售后服务承诺书</w:t>
      </w:r>
      <w:r/>
    </w:p>
    <w:p>
      <w:pPr>
        <w:spacing w:line="360" w:lineRule="auto"/>
        <w:rPr>
          <w:rFonts w:hint="eastAsia" w:ascii="宋体" w:hAnsi="宋体" w:cs="宋体"/>
          <w:b/>
        </w:rPr>
      </w:pPr>
      <w:r>
        <w:rPr>
          <w:rFonts w:hint="eastAsia" w:ascii="宋体" w:hAnsi="宋体" w:cs="宋体"/>
          <w:b/>
        </w:rPr>
        <w:t xml:space="preserve">致</w:t>
      </w:r>
      <w:r>
        <w:rPr>
          <w:rFonts w:hint="eastAsia" w:ascii="宋体" w:hAnsi="宋体" w:cs="宋体"/>
          <w:b/>
          <w:u w:val="single"/>
        </w:rPr>
        <w:t xml:space="preserve">             </w:t>
      </w:r>
      <w:r>
        <w:rPr>
          <w:rFonts w:hint="eastAsia" w:ascii="宋体" w:hAnsi="宋体" w:cs="宋体"/>
          <w:b/>
        </w:rPr>
        <w:t xml:space="preserve">（招标人）：</w:t>
      </w:r>
      <w:r/>
    </w:p>
    <w:p>
      <w:pPr>
        <w:ind w:firstLine="480"/>
        <w:spacing w:line="360" w:lineRule="auto"/>
        <w:rPr>
          <w:rFonts w:hint="eastAsia" w:ascii="宋体" w:hAnsi="宋体" w:cs="宋体"/>
        </w:rPr>
      </w:pPr>
      <w:r>
        <w:rPr>
          <w:rFonts w:hint="eastAsia" w:ascii="宋体" w:hAnsi="宋体" w:cs="宋体"/>
        </w:rPr>
        <w:t xml:space="preserve">我公司是</w:t>
      </w:r>
      <w:r>
        <w:rPr>
          <w:rFonts w:hint="eastAsia" w:ascii="宋体" w:hAnsi="宋体" w:cs="宋体"/>
          <w:u w:val="single"/>
        </w:rPr>
        <w:t xml:space="preserve">xxx设备所投产品</w:t>
      </w:r>
      <w:r>
        <w:rPr>
          <w:rFonts w:hint="eastAsia" w:ascii="宋体" w:hAnsi="宋体" w:cs="宋体"/>
        </w:rPr>
        <w:t xml:space="preserve">的生产厂家，本次由合作方</w:t>
      </w:r>
      <w:r>
        <w:rPr>
          <w:rFonts w:hint="eastAsia" w:ascii="宋体" w:hAnsi="宋体" w:cs="宋体"/>
          <w:u w:val="single"/>
        </w:rPr>
        <w:t xml:space="preserve">            </w:t>
      </w:r>
      <w:r>
        <w:rPr>
          <w:rFonts w:hint="eastAsia" w:ascii="宋体" w:hAnsi="宋体" w:cs="宋体"/>
        </w:rPr>
        <w:t xml:space="preserve">公司参与该采购项目的投标，招标文件要求</w:t>
      </w:r>
      <w:r>
        <w:rPr>
          <w:rFonts w:hint="eastAsia" w:ascii="宋体" w:hAnsi="宋体" w:cs="宋体"/>
          <w:u w:val="single"/>
        </w:rPr>
        <w:t xml:space="preserve">xxx设备</w:t>
      </w:r>
      <w:r>
        <w:rPr>
          <w:rFonts w:hint="eastAsia" w:ascii="宋体" w:hAnsi="宋体" w:cs="宋体"/>
        </w:rPr>
        <w:t xml:space="preserve">质保期为</w:t>
      </w:r>
      <w:r>
        <w:rPr>
          <w:rFonts w:hint="eastAsia" w:ascii="宋体" w:hAnsi="宋体" w:cs="宋体"/>
          <w:u w:val="single"/>
        </w:rPr>
        <w:t xml:space="preserve">   </w:t>
      </w:r>
      <w:r>
        <w:rPr>
          <w:rFonts w:hint="eastAsia" w:ascii="宋体" w:hAnsi="宋体" w:cs="宋体"/>
        </w:rPr>
        <w:t xml:space="preserve">年及以上，关于质保和维保工作，我公司承诺如下：</w:t>
      </w:r>
      <w:r/>
    </w:p>
    <w:p>
      <w:pPr>
        <w:ind w:firstLine="480"/>
        <w:spacing w:line="360" w:lineRule="auto"/>
        <w:rPr>
          <w:rFonts w:hint="eastAsia" w:ascii="宋体" w:hAnsi="宋体" w:cs="宋体"/>
        </w:rPr>
      </w:pPr>
      <w:r>
        <w:rPr>
          <w:rFonts w:hint="eastAsia" w:ascii="宋体" w:hAnsi="宋体" w:cs="宋体"/>
        </w:rPr>
        <w:t xml:space="preserve">如合作方</w:t>
      </w:r>
      <w:r>
        <w:rPr>
          <w:rFonts w:hint="eastAsia" w:ascii="宋体" w:hAnsi="宋体" w:cs="宋体"/>
          <w:u w:val="single"/>
        </w:rPr>
        <w:t xml:space="preserve">            </w:t>
      </w:r>
      <w:r>
        <w:rPr>
          <w:rFonts w:hint="eastAsia" w:ascii="宋体" w:hAnsi="宋体" w:cs="宋体"/>
        </w:rPr>
        <w:t xml:space="preserve">公司无法完成承诺的售后服务事项时，相关售后工作由我公司承担，包括但不仅限于以下内容：</w:t>
      </w:r>
      <w:r/>
    </w:p>
    <w:p>
      <w:pPr>
        <w:ind w:firstLine="480"/>
        <w:spacing w:line="360" w:lineRule="auto"/>
        <w:rPr>
          <w:rFonts w:hint="eastAsia" w:ascii="宋体" w:hAnsi="宋体" w:cs="宋体"/>
        </w:rPr>
      </w:pPr>
      <w:r>
        <w:rPr>
          <w:rFonts w:hint="eastAsia" w:ascii="宋体" w:hAnsi="宋体" w:cs="宋体"/>
        </w:rPr>
        <w:t xml:space="preserve">1、项目后期运维管理服务；</w:t>
      </w:r>
      <w:r/>
    </w:p>
    <w:p>
      <w:pPr>
        <w:ind w:firstLine="480"/>
        <w:spacing w:line="360" w:lineRule="auto"/>
        <w:rPr>
          <w:rFonts w:hint="eastAsia" w:ascii="宋体" w:hAnsi="宋体" w:cs="宋体"/>
        </w:rPr>
      </w:pPr>
      <w:r>
        <w:rPr>
          <w:rFonts w:hint="eastAsia" w:ascii="宋体" w:hAnsi="宋体" w:cs="宋体"/>
        </w:rPr>
        <w:t xml:space="preserve">2、投标供应商所承诺的巡检服务；</w:t>
      </w:r>
      <w:r/>
    </w:p>
    <w:p>
      <w:pPr>
        <w:ind w:firstLine="480"/>
        <w:spacing w:line="360" w:lineRule="auto"/>
        <w:rPr>
          <w:rFonts w:hint="eastAsia" w:ascii="宋体" w:hAnsi="宋体" w:cs="宋体"/>
        </w:rPr>
      </w:pPr>
      <w:r>
        <w:rPr>
          <w:rFonts w:hint="eastAsia" w:ascii="宋体" w:hAnsi="宋体" w:cs="宋体"/>
        </w:rPr>
        <w:t xml:space="preserve">3、质保期内的质保服务；</w:t>
      </w:r>
      <w:r/>
    </w:p>
    <w:p>
      <w:pPr>
        <w:ind w:firstLine="480"/>
        <w:spacing w:line="360" w:lineRule="auto"/>
        <w:rPr>
          <w:rFonts w:hint="eastAsia" w:ascii="宋体" w:hAnsi="宋体" w:cs="宋体"/>
        </w:rPr>
      </w:pPr>
      <w:r>
        <w:rPr>
          <w:rFonts w:hint="eastAsia" w:ascii="宋体" w:hAnsi="宋体" w:cs="宋体"/>
        </w:rPr>
        <w:t xml:space="preserve">4、保证提供的货物是全新的、未使用过的。</w:t>
      </w:r>
      <w:r/>
    </w:p>
    <w:p>
      <w:pPr>
        <w:ind w:firstLine="480"/>
        <w:spacing w:line="360" w:lineRule="auto"/>
        <w:rPr>
          <w:rFonts w:hint="eastAsia" w:ascii="宋体" w:hAnsi="宋体" w:cs="宋体"/>
        </w:rPr>
      </w:pPr>
      <w:r>
        <w:rPr>
          <w:rFonts w:hint="eastAsia" w:ascii="宋体" w:hAnsi="宋体" w:cs="宋体"/>
        </w:rPr>
        <w:t xml:space="preserve">特此承诺！</w:t>
      </w:r>
      <w:r/>
    </w:p>
    <w:p>
      <w:pPr>
        <w:ind w:firstLine="480"/>
        <w:spacing w:line="360" w:lineRule="auto"/>
        <w:rPr>
          <w:rFonts w:hint="eastAsia" w:ascii="宋体" w:hAnsi="宋体" w:cs="宋体"/>
        </w:rPr>
      </w:pPr>
      <w:r>
        <w:rPr>
          <w:rFonts w:hint="eastAsia" w:ascii="宋体" w:hAnsi="宋体" w:cs="宋体"/>
        </w:rPr>
      </w:r>
      <w:r/>
    </w:p>
    <w:p>
      <w:pPr>
        <w:ind w:firstLine="3720"/>
        <w:spacing w:line="360" w:lineRule="auto"/>
        <w:rPr>
          <w:rFonts w:hint="eastAsia" w:ascii="宋体" w:hAnsi="宋体" w:cs="宋体"/>
        </w:rPr>
      </w:pPr>
      <w:r>
        <w:rPr>
          <w:rFonts w:hint="eastAsia" w:ascii="宋体" w:hAnsi="宋体" w:cs="宋体"/>
        </w:rPr>
        <w:t xml:space="preserve">生产厂家：（盖章）</w:t>
      </w:r>
      <w:r/>
    </w:p>
    <w:p>
      <w:pPr>
        <w:pStyle w:val="707"/>
        <w:ind w:firstLine="3741"/>
        <w:spacing w:line="360" w:lineRule="auto"/>
        <w:rPr>
          <w:rFonts w:hint="eastAsia" w:ascii="宋体" w:hAnsi="宋体" w:cs="宋体"/>
        </w:rPr>
      </w:pPr>
      <w:r>
        <w:rPr>
          <w:rFonts w:hint="eastAsia" w:ascii="宋体" w:hAnsi="宋体" w:cs="宋体"/>
        </w:rPr>
        <w:t xml:space="preserve">联系人：</w:t>
      </w:r>
      <w:r/>
    </w:p>
    <w:p>
      <w:pPr>
        <w:pStyle w:val="707"/>
        <w:ind w:firstLine="3741"/>
        <w:spacing w:line="360" w:lineRule="auto"/>
        <w:rPr>
          <w:rFonts w:hint="eastAsia" w:ascii="宋体" w:hAnsi="宋体" w:cs="宋体"/>
        </w:rPr>
      </w:pPr>
      <w:r>
        <w:rPr>
          <w:rFonts w:hint="eastAsia" w:ascii="宋体" w:hAnsi="宋体" w:cs="宋体"/>
        </w:rPr>
        <w:t xml:space="preserve">联系电话：</w:t>
      </w:r>
      <w:r/>
    </w:p>
    <w:p>
      <w:pPr>
        <w:ind w:firstLine="480"/>
        <w:spacing w:line="360" w:lineRule="auto"/>
        <w:rPr>
          <w:rFonts w:hint="eastAsia" w:ascii="宋体" w:hAnsi="宋体" w:cs="宋体"/>
        </w:rPr>
      </w:pPr>
      <w:r>
        <w:rPr>
          <w:rFonts w:hint="eastAsia" w:ascii="宋体" w:hAnsi="宋体" w:cs="宋体"/>
        </w:rPr>
        <w:t xml:space="preserve">                           日期：      年  月  日</w:t>
      </w:r>
      <w:r/>
    </w:p>
    <w:p>
      <w:pPr>
        <w:pStyle w:val="707"/>
        <w:ind w:firstLine="0"/>
        <w:spacing w:line="360" w:lineRule="auto"/>
        <w:rPr>
          <w:rFonts w:hint="eastAsia" w:ascii="宋体" w:hAnsi="宋体" w:cs="宋体"/>
          <w:color w:val="000000"/>
        </w:rPr>
      </w:pPr>
      <w:r>
        <w:rPr>
          <w:rFonts w:hint="eastAsia" w:ascii="宋体" w:hAnsi="宋体" w:cs="宋体"/>
          <w:color w:val="000000"/>
        </w:rPr>
      </w:r>
      <w:r/>
    </w:p>
    <w:p>
      <w:pPr>
        <w:pStyle w:val="707"/>
        <w:ind w:firstLine="0"/>
        <w:spacing w:line="360" w:lineRule="auto"/>
        <w:rPr>
          <w:rFonts w:hint="eastAsia" w:ascii="宋体" w:hAnsi="宋体" w:cs="宋体"/>
          <w:color w:val="000000"/>
        </w:rPr>
      </w:pPr>
      <w:r>
        <w:rPr>
          <w:rFonts w:hint="eastAsia" w:ascii="宋体" w:hAnsi="宋体" w:cs="宋体"/>
          <w:color w:val="000000"/>
        </w:rPr>
      </w:r>
      <w:r/>
    </w:p>
    <w:p>
      <w:pPr>
        <w:pStyle w:val="707"/>
        <w:ind w:firstLine="0"/>
        <w:spacing w:line="360" w:lineRule="auto"/>
        <w:rPr>
          <w:rFonts w:hint="eastAsia" w:ascii="宋体" w:hAnsi="宋体" w:cs="宋体"/>
          <w:color w:val="000000"/>
        </w:rPr>
      </w:pPr>
      <w:r>
        <w:rPr>
          <w:rFonts w:hint="eastAsia" w:ascii="宋体" w:hAnsi="宋体" w:cs="宋体"/>
          <w:color w:val="000000"/>
        </w:rPr>
      </w:r>
      <w:r/>
    </w:p>
    <w:p>
      <w:pPr>
        <w:pStyle w:val="707"/>
        <w:ind w:firstLine="0"/>
        <w:spacing w:line="360" w:lineRule="auto"/>
        <w:rPr>
          <w:rFonts w:hint="eastAsia" w:ascii="宋体" w:hAnsi="宋体" w:cs="宋体"/>
          <w:color w:val="000000"/>
        </w:rPr>
      </w:pPr>
      <w:r>
        <w:rPr>
          <w:rFonts w:hint="eastAsia" w:ascii="宋体" w:hAnsi="宋体" w:cs="宋体"/>
          <w:color w:val="000000"/>
        </w:rPr>
      </w:r>
      <w:r/>
    </w:p>
    <w:p>
      <w:pPr>
        <w:pStyle w:val="707"/>
        <w:ind w:firstLine="0"/>
        <w:rPr>
          <w:rFonts w:hint="eastAsia" w:ascii="宋体" w:hAnsi="宋体" w:cs="宋体"/>
          <w:color w:val="000000"/>
        </w:rPr>
      </w:pPr>
      <w:r>
        <w:rPr>
          <w:rFonts w:hint="eastAsia" w:ascii="宋体" w:hAnsi="宋体" w:cs="宋体"/>
          <w:color w:val="000000"/>
        </w:rPr>
      </w:r>
      <w:r/>
    </w:p>
    <w:p>
      <w:pPr>
        <w:pStyle w:val="707"/>
        <w:ind w:firstLine="0"/>
        <w:rPr>
          <w:rFonts w:hint="eastAsia" w:ascii="宋体" w:hAnsi="宋体" w:cs="宋体"/>
          <w:color w:val="000000"/>
        </w:rPr>
      </w:pPr>
      <w:r>
        <w:rPr>
          <w:rFonts w:hint="eastAsia" w:ascii="宋体" w:hAnsi="宋体" w:cs="宋体"/>
          <w:color w:val="000000"/>
        </w:rPr>
      </w:r>
      <w:r/>
    </w:p>
    <w:p>
      <w:pPr>
        <w:pStyle w:val="707"/>
        <w:ind w:firstLine="0"/>
        <w:rPr>
          <w:rFonts w:hint="eastAsia" w:ascii="宋体" w:hAnsi="宋体" w:cs="宋体"/>
          <w:color w:val="000000"/>
        </w:rPr>
      </w:pPr>
      <w:r>
        <w:rPr>
          <w:rFonts w:hint="eastAsia" w:ascii="宋体" w:hAnsi="宋体" w:cs="宋体"/>
          <w:color w:val="000000"/>
        </w:rPr>
      </w:r>
      <w:r/>
    </w:p>
    <w:p>
      <w:pPr>
        <w:pStyle w:val="707"/>
        <w:ind w:firstLine="0"/>
        <w:rPr>
          <w:rFonts w:hint="eastAsia" w:ascii="宋体" w:hAnsi="宋体" w:cs="宋体"/>
          <w:color w:val="000000"/>
        </w:rPr>
      </w:pPr>
      <w:r>
        <w:rPr>
          <w:rFonts w:hint="eastAsia" w:ascii="宋体" w:hAnsi="宋体" w:cs="宋体"/>
          <w:color w:val="000000"/>
        </w:rPr>
      </w:r>
      <w:r/>
    </w:p>
    <w:p>
      <w:pPr>
        <w:pStyle w:val="707"/>
        <w:ind w:firstLine="0"/>
        <w:rPr>
          <w:rFonts w:hint="eastAsia" w:ascii="宋体" w:hAnsi="宋体" w:cs="宋体"/>
          <w:color w:val="000000"/>
        </w:rPr>
      </w:pPr>
      <w:r>
        <w:rPr>
          <w:rFonts w:hint="eastAsia" w:ascii="宋体" w:hAnsi="宋体" w:cs="宋体"/>
          <w:color w:val="000000"/>
        </w:rPr>
      </w:r>
      <w:r/>
    </w:p>
    <w:p>
      <w:pPr>
        <w:pStyle w:val="707"/>
        <w:ind w:firstLine="0"/>
        <w:rPr>
          <w:rFonts w:hint="eastAsia" w:ascii="宋体" w:hAnsi="宋体" w:cs="宋体"/>
          <w:color w:val="000000"/>
        </w:rPr>
      </w:pPr>
      <w:r>
        <w:rPr>
          <w:rFonts w:hint="eastAsia" w:ascii="宋体" w:hAnsi="宋体" w:cs="宋体"/>
          <w:color w:val="000000"/>
        </w:rPr>
      </w:r>
      <w:r/>
    </w:p>
    <w:p>
      <w:pPr>
        <w:pStyle w:val="707"/>
        <w:ind w:firstLine="0"/>
        <w:rPr>
          <w:rFonts w:hint="eastAsia" w:ascii="宋体" w:hAnsi="宋体" w:cs="宋体"/>
          <w:color w:val="000000"/>
        </w:rPr>
      </w:pPr>
      <w:r>
        <w:rPr>
          <w:rFonts w:hint="eastAsia" w:ascii="宋体" w:hAnsi="宋体" w:cs="宋体"/>
          <w:color w:val="000000"/>
        </w:rPr>
      </w:r>
      <w:r/>
    </w:p>
    <w:p>
      <w:pPr>
        <w:rPr>
          <w:rFonts w:hint="eastAsia" w:ascii="宋体" w:hAnsi="宋体" w:cs="宋体"/>
        </w:rPr>
      </w:pPr>
      <w:r>
        <w:rPr>
          <w:rFonts w:hint="eastAsia" w:ascii="宋体" w:hAnsi="宋体" w:cs="宋体"/>
          <w:sz w:val="32"/>
          <w:szCs w:val="32"/>
        </w:rPr>
        <w:br w:type="page" w:clear="all"/>
      </w:r>
      <w:bookmarkStart w:id="215" w:name="OLE_LINK9"/>
      <w:r>
        <w:rPr>
          <w:rFonts w:hint="eastAsia" w:ascii="黑体" w:hAnsi="黑体" w:eastAsia="黑体"/>
          <w:sz w:val="32"/>
          <w:szCs w:val="32"/>
        </w:rPr>
        <w:t xml:space="preserve">十五、关</w:t>
      </w:r>
      <w:bookmarkEnd w:id="215"/>
      <w:r>
        <w:rPr>
          <w:rFonts w:hint="eastAsia" w:ascii="黑体" w:hAnsi="黑体" w:eastAsia="黑体"/>
          <w:sz w:val="32"/>
          <w:szCs w:val="32"/>
        </w:rPr>
        <w:t xml:space="preserve">于符合本国产品标准的声明函</w:t>
      </w:r>
      <w:r/>
    </w:p>
    <w:p>
      <w:pPr>
        <w:jc w:val="center"/>
        <w:rPr>
          <w:rFonts w:hint="eastAsia" w:ascii="宋体" w:hAnsi="宋体" w:cs="宋体"/>
          <w:sz w:val="32"/>
          <w:szCs w:val="32"/>
        </w:rPr>
      </w:pPr>
      <w:r>
        <w:rPr>
          <w:rFonts w:hint="eastAsia" w:ascii="宋体" w:hAnsi="宋体" w:cs="宋体"/>
          <w:sz w:val="32"/>
          <w:szCs w:val="32"/>
        </w:rPr>
        <w:t xml:space="preserve">关于符合本国产品标准的声明函</w:t>
      </w:r>
      <w:r/>
    </w:p>
    <w:p>
      <w:pPr>
        <w:pStyle w:val="737"/>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37"/>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1041"/>
          <w:rFonts w:hint="eastAsia"/>
          <w:u w:val="single"/>
          <w:shd w:val="clear" w:color="auto" w:fill="ffffff"/>
        </w:rPr>
        <w:t xml:space="preserve">（产品名称1）</w:t>
      </w:r>
      <w:r>
        <w:rPr>
          <w:rStyle w:val="1041"/>
          <w:rFonts w:hint="eastAsia"/>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1041"/>
          <w:rFonts w:hint="eastAsia"/>
          <w:u w:val="single"/>
          <w:shd w:val="clear" w:color="auto" w:fill="ffffff"/>
        </w:rPr>
        <w:t xml:space="preserve">（厂名）</w:t>
      </w:r>
      <w:r>
        <w:rPr>
          <w:rStyle w:val="1041"/>
          <w:rFonts w:hint="eastAsia"/>
          <w:shd w:val="clear" w:color="auto" w:fill="ffffff"/>
          <w:vertAlign w:val="superscript"/>
        </w:rPr>
        <w:t xml:space="preserve">2</w:t>
      </w:r>
      <w:r>
        <w:rPr>
          <w:rFonts w:hint="eastAsia"/>
          <w:shd w:val="clear" w:color="auto" w:fill="ffffff"/>
        </w:rPr>
        <w:t xml:space="preserve">，厂址为</w:t>
      </w:r>
      <w:r>
        <w:rPr>
          <w:rStyle w:val="1041"/>
          <w:rFonts w:hint="eastAsia"/>
          <w:u w:val="single"/>
          <w:shd w:val="clear" w:color="auto" w:fill="ffffff"/>
        </w:rPr>
        <w:t xml:space="preserve">（生产厂址）</w:t>
      </w:r>
      <w:r>
        <w:rPr>
          <w:rFonts w:hint="eastAsia"/>
          <w:shd w:val="clear" w:color="auto" w:fill="ffffff"/>
        </w:rPr>
        <w:t xml:space="preserve">。</w:t>
      </w:r>
      <w:r>
        <w:rPr>
          <w:rStyle w:val="1041"/>
          <w:rFonts w:hint="eastAsia"/>
          <w:u w:val="single"/>
          <w:shd w:val="clear" w:color="auto" w:fill="ffffff"/>
        </w:rPr>
        <w:t xml:space="preserve">（产品名称1）</w:t>
      </w:r>
      <w:r>
        <w:rPr>
          <w:rFonts w:hint="eastAsia"/>
          <w:shd w:val="clear" w:color="auto" w:fill="ffffff"/>
        </w:rPr>
        <w:t xml:space="preserve">的中国境内生产的组件成本占比≥</w:t>
      </w:r>
      <w:r>
        <w:rPr>
          <w:rStyle w:val="1041"/>
          <w:rFonts w:hint="eastAsia"/>
          <w:u w:val="single"/>
          <w:shd w:val="clear" w:color="auto" w:fill="ffffff"/>
        </w:rPr>
        <w:t xml:space="preserve">（规定比例）</w:t>
      </w:r>
      <w:r>
        <w:rPr>
          <w:rStyle w:val="1041"/>
          <w:rFonts w:hint="eastAsia"/>
          <w:shd w:val="clear" w:color="auto" w:fill="ffffff"/>
          <w:vertAlign w:val="superscript"/>
        </w:rPr>
        <w:t xml:space="preserve">3</w:t>
      </w:r>
      <w:r>
        <w:rPr>
          <w:rFonts w:hint="eastAsia"/>
          <w:shd w:val="clear" w:color="auto" w:fill="ffffff"/>
        </w:rPr>
        <w:t xml:space="preserve">。</w:t>
      </w:r>
      <w:r>
        <w:rPr>
          <w:rStyle w:val="1041"/>
          <w:rFonts w:hint="eastAsia"/>
          <w:u w:val="single"/>
          <w:shd w:val="clear" w:color="auto" w:fill="ffffff"/>
        </w:rPr>
        <w:t xml:space="preserve">（产品名称1）</w:t>
      </w:r>
      <w:r>
        <w:rPr>
          <w:rFonts w:hint="eastAsia"/>
          <w:shd w:val="clear" w:color="auto" w:fill="ffffff"/>
        </w:rPr>
        <w:t xml:space="preserve">的</w:t>
      </w:r>
      <w:r>
        <w:rPr>
          <w:rStyle w:val="1041"/>
          <w:rFonts w:hint="eastAsia"/>
          <w:u w:val="single"/>
          <w:shd w:val="clear" w:color="auto" w:fill="ffffff"/>
        </w:rPr>
        <w:t xml:space="preserve">（关键组件）</w:t>
      </w:r>
      <w:r>
        <w:rPr>
          <w:rStyle w:val="1041"/>
          <w:rFonts w:hint="eastAsia"/>
          <w:shd w:val="clear" w:color="auto" w:fill="ffffff"/>
          <w:vertAlign w:val="superscript"/>
        </w:rPr>
        <w:t xml:space="preserve">4</w:t>
      </w:r>
      <w:r>
        <w:rPr>
          <w:rFonts w:hint="eastAsia"/>
          <w:shd w:val="clear" w:color="auto" w:fill="ffffff"/>
        </w:rPr>
        <w:t xml:space="preserve">在中国境内生产。</w:t>
      </w:r>
      <w:r>
        <w:rPr>
          <w:rStyle w:val="1041"/>
          <w:rFonts w:hint="eastAsia"/>
          <w:u w:val="single"/>
          <w:shd w:val="clear" w:color="auto" w:fill="ffffff"/>
        </w:rPr>
        <w:t xml:space="preserve">（产品名称1）</w:t>
      </w:r>
      <w:r>
        <w:rPr>
          <w:rFonts w:hint="eastAsia"/>
          <w:shd w:val="clear" w:color="auto" w:fill="ffffff"/>
        </w:rPr>
        <w:t xml:space="preserve">的</w:t>
      </w:r>
      <w:r>
        <w:rPr>
          <w:rStyle w:val="1041"/>
          <w:rFonts w:hint="eastAsia"/>
          <w:u w:val="single"/>
          <w:shd w:val="clear" w:color="auto" w:fill="ffffff"/>
        </w:rPr>
        <w:t xml:space="preserve">（关键工序）</w:t>
      </w:r>
      <w:r>
        <w:rPr>
          <w:rStyle w:val="1041"/>
          <w:rFonts w:hint="eastAsia"/>
          <w:shd w:val="clear" w:color="auto" w:fill="ffffff"/>
          <w:vertAlign w:val="superscript"/>
        </w:rPr>
        <w:t xml:space="preserve">5</w:t>
      </w:r>
      <w:r>
        <w:rPr>
          <w:rFonts w:hint="eastAsia"/>
          <w:shd w:val="clear" w:color="auto" w:fill="ffffff"/>
        </w:rPr>
        <w:t xml:space="preserve">在中国境内完成。</w:t>
      </w:r>
      <w:r/>
    </w:p>
    <w:p>
      <w:pPr>
        <w:pStyle w:val="737"/>
        <w:ind w:firstLine="420"/>
        <w:spacing w:before="24" w:beforeAutospacing="0" w:after="24" w:afterAutospacing="0" w:line="360" w:lineRule="auto"/>
        <w:shd w:val="clear" w:color="auto" w:fill="ffffff"/>
        <w:rPr>
          <w:rFonts w:hint="eastAsia"/>
        </w:rPr>
      </w:pPr>
      <w:r>
        <w:rPr>
          <w:rFonts w:hint="eastAsia"/>
          <w:shd w:val="clear" w:color="auto" w:fill="ffffff"/>
        </w:rPr>
        <w:t xml:space="preserve">2.</w:t>
      </w:r>
      <w:r>
        <w:rPr>
          <w:rStyle w:val="1041"/>
          <w:rFonts w:hint="eastAsia"/>
          <w:u w:val="single"/>
          <w:shd w:val="clear" w:color="auto" w:fill="ffffff"/>
        </w:rPr>
        <w:t xml:space="preserve">（产品名称2）</w:t>
      </w:r>
      <w:r>
        <w:rPr>
          <w:rFonts w:hint="eastAsia"/>
          <w:shd w:val="clear" w:color="auto" w:fill="ffffff"/>
        </w:rPr>
        <w:t xml:space="preserve">，生产厂为</w:t>
      </w:r>
      <w:r>
        <w:rPr>
          <w:rStyle w:val="1041"/>
          <w:rFonts w:hint="eastAsia"/>
          <w:u w:val="single"/>
          <w:shd w:val="clear" w:color="auto" w:fill="ffffff"/>
        </w:rPr>
        <w:t xml:space="preserve">（厂名）</w:t>
      </w:r>
      <w:r>
        <w:rPr>
          <w:rFonts w:hint="eastAsia"/>
          <w:shd w:val="clear" w:color="auto" w:fill="ffffff"/>
        </w:rPr>
        <w:t xml:space="preserve">，厂址为</w:t>
      </w:r>
      <w:r>
        <w:rPr>
          <w:rStyle w:val="1041"/>
          <w:rFonts w:hint="eastAsia"/>
          <w:u w:val="single"/>
          <w:shd w:val="clear" w:color="auto" w:fill="ffffff"/>
        </w:rPr>
        <w:t xml:space="preserve">（生产厂址）</w:t>
      </w:r>
      <w:r>
        <w:rPr>
          <w:rFonts w:hint="eastAsia"/>
          <w:shd w:val="clear" w:color="auto" w:fill="ffffff"/>
        </w:rPr>
        <w:t xml:space="preserve">。</w:t>
      </w:r>
      <w:r>
        <w:rPr>
          <w:rStyle w:val="1041"/>
          <w:rFonts w:hint="eastAsia"/>
          <w:u w:val="single"/>
          <w:shd w:val="clear" w:color="auto" w:fill="ffffff"/>
        </w:rPr>
        <w:t xml:space="preserve">（产品名称2）</w:t>
      </w:r>
      <w:r>
        <w:rPr>
          <w:rFonts w:hint="eastAsia"/>
          <w:shd w:val="clear" w:color="auto" w:fill="ffffff"/>
        </w:rPr>
        <w:t xml:space="preserve">的中国境内生产的组件成本占比≥</w:t>
      </w:r>
      <w:r>
        <w:rPr>
          <w:rStyle w:val="1041"/>
          <w:rFonts w:hint="eastAsia"/>
          <w:u w:val="single"/>
          <w:shd w:val="clear" w:color="auto" w:fill="ffffff"/>
        </w:rPr>
        <w:t xml:space="preserve">（规定比例）</w:t>
      </w:r>
      <w:r>
        <w:rPr>
          <w:rFonts w:hint="eastAsia"/>
          <w:shd w:val="clear" w:color="auto" w:fill="ffffff"/>
        </w:rPr>
        <w:t xml:space="preserve">。</w:t>
      </w:r>
      <w:r>
        <w:rPr>
          <w:rStyle w:val="1041"/>
          <w:rFonts w:hint="eastAsia"/>
          <w:u w:val="single"/>
          <w:shd w:val="clear" w:color="auto" w:fill="ffffff"/>
        </w:rPr>
        <w:t xml:space="preserve">（产品名称2）</w:t>
      </w:r>
      <w:r>
        <w:rPr>
          <w:rFonts w:hint="eastAsia"/>
          <w:shd w:val="clear" w:color="auto" w:fill="ffffff"/>
        </w:rPr>
        <w:t xml:space="preserve">的</w:t>
      </w:r>
      <w:r>
        <w:rPr>
          <w:rStyle w:val="1041"/>
          <w:rFonts w:hint="eastAsia"/>
          <w:u w:val="single"/>
          <w:shd w:val="clear" w:color="auto" w:fill="ffffff"/>
        </w:rPr>
        <w:t xml:space="preserve">（关键组件）</w:t>
      </w:r>
      <w:r>
        <w:rPr>
          <w:rFonts w:hint="eastAsia"/>
          <w:shd w:val="clear" w:color="auto" w:fill="ffffff"/>
        </w:rPr>
        <w:t xml:space="preserve">在中国境内生产。</w:t>
      </w:r>
      <w:r>
        <w:rPr>
          <w:rStyle w:val="1041"/>
          <w:rFonts w:hint="eastAsia"/>
          <w:u w:val="single"/>
          <w:shd w:val="clear" w:color="auto" w:fill="ffffff"/>
        </w:rPr>
        <w:t xml:space="preserve">（产品名称2）</w:t>
      </w:r>
      <w:r>
        <w:rPr>
          <w:rFonts w:hint="eastAsia"/>
          <w:shd w:val="clear" w:color="auto" w:fill="ffffff"/>
        </w:rPr>
        <w:t xml:space="preserve">的</w:t>
      </w:r>
      <w:r>
        <w:rPr>
          <w:rStyle w:val="1041"/>
          <w:rFonts w:hint="eastAsia"/>
          <w:u w:val="single"/>
          <w:shd w:val="clear" w:color="auto" w:fill="ffffff"/>
        </w:rPr>
        <w:t xml:space="preserve">（关键工序）</w:t>
      </w:r>
      <w:r>
        <w:rPr>
          <w:rFonts w:hint="eastAsia"/>
          <w:shd w:val="clear" w:color="auto" w:fill="ffffff"/>
        </w:rPr>
        <w:t xml:space="preserve">在中国境内完成。</w:t>
      </w:r>
      <w:r/>
    </w:p>
    <w:p>
      <w:pPr>
        <w:pStyle w:val="737"/>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737"/>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本采购包中提供的符合本国产品标准的产品成本之和占该采购包提供的全部产品成本之和的比例为</w:t>
      </w:r>
      <w:r>
        <w:rPr>
          <w:rFonts w:hint="eastAsia"/>
          <w:u w:val="single"/>
          <w:shd w:val="clear" w:color="auto" w:fill="ffffff"/>
        </w:rPr>
        <w:t xml:space="preserve">   </w:t>
      </w:r>
      <w:r>
        <w:rPr>
          <w:rFonts w:hint="eastAsia"/>
          <w:shd w:val="clear" w:color="auto" w:fill="ffffff"/>
        </w:rPr>
        <w:t xml:space="preserve">%。</w:t>
      </w:r>
      <w:r>
        <w:rPr>
          <w:rStyle w:val="1041"/>
          <w:rFonts w:hint="eastAsia"/>
          <w:vertAlign w:val="superscript"/>
        </w:rPr>
        <w:t xml:space="preserve">6</w:t>
      </w:r>
      <w:r/>
    </w:p>
    <w:p>
      <w:pPr>
        <w:pStyle w:val="737"/>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p>
    <w:p>
      <w:pPr>
        <w:pStyle w:val="737"/>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p>
    <w:p>
      <w:pPr>
        <w:pStyle w:val="737"/>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737"/>
        <w:jc w:val="right"/>
        <w:spacing w:before="24" w:beforeAutospacing="0" w:after="24" w:afterAutospacing="0" w:line="360" w:lineRule="auto"/>
        <w:shd w:val="clear" w:color="auto" w:fill="ffffff"/>
        <w:rPr>
          <w:rFonts w:hint="eastAsia"/>
          <w:sz w:val="28"/>
          <w:szCs w:val="28"/>
        </w:rPr>
      </w:pPr>
      <w:r>
        <w:rPr>
          <w:rFonts w:hint="eastAsia"/>
          <w:sz w:val="28"/>
          <w:szCs w:val="28"/>
        </w:rPr>
      </w:r>
      <w:r/>
    </w:p>
    <w:p>
      <w:pPr>
        <w:pStyle w:val="737"/>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p>
    <w:p>
      <w:pPr>
        <w:pStyle w:val="737"/>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p>
    <w:p>
      <w:pPr>
        <w:pStyle w:val="737"/>
        <w:ind w:firstLine="420"/>
        <w:spacing w:before="24" w:beforeAutospacing="0" w:after="24" w:afterAutospacing="0" w:line="360" w:lineRule="auto"/>
        <w:shd w:val="clear" w:color="auto" w:fill="ffffff"/>
        <w:rPr>
          <w:rFonts w:hint="eastAsia"/>
          <w:b/>
          <w:bCs/>
          <w:sz w:val="21"/>
          <w:szCs w:val="21"/>
        </w:rPr>
      </w:pPr>
      <w:r>
        <w:rPr>
          <w:rFonts w:hint="eastAsia"/>
          <w:b/>
          <w:bCs/>
          <w:sz w:val="21"/>
          <w:szCs w:val="21"/>
          <w:shd w:val="clear" w:color="auto" w:fill="ffffff"/>
        </w:rPr>
        <w:t xml:space="preserve">3.该产品的中国境内生产的组件成本占比相关要求实施前，“规定比例”栏可不填。</w:t>
      </w:r>
      <w:r/>
    </w:p>
    <w:p>
      <w:pPr>
        <w:pStyle w:val="737"/>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b/>
          <w:bCs/>
          <w:sz w:val="21"/>
          <w:szCs w:val="21"/>
          <w:shd w:val="clear" w:color="auto" w:fill="ffffff"/>
        </w:rPr>
        <w:t xml:space="preserve">4.该产品的关键组件要求实施前，“关键组件”栏可不填。</w:t>
      </w:r>
      <w:r/>
    </w:p>
    <w:p>
      <w:pPr>
        <w:pStyle w:val="737"/>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b/>
          <w:bCs/>
          <w:sz w:val="21"/>
          <w:szCs w:val="21"/>
          <w:shd w:val="clear" w:color="auto" w:fill="ffffff"/>
        </w:rPr>
        <w:t xml:space="preserve">5.该产品的关键工序要求实施前，“关键工序”栏可不填。</w:t>
      </w:r>
      <w:r/>
    </w:p>
    <w:p>
      <w:pPr>
        <w:pStyle w:val="737"/>
        <w:ind w:firstLine="420"/>
        <w:spacing w:before="24" w:beforeAutospacing="0" w:after="24" w:afterAutospacing="0" w:line="360" w:lineRule="auto"/>
        <w:shd w:val="clear" w:color="auto" w:fill="ffffff"/>
        <w:rPr>
          <w:rFonts w:hint="eastAsia"/>
        </w:rPr>
      </w:pPr>
      <w:r>
        <w:rPr>
          <w:rFonts w:hint="eastAsia"/>
          <w:sz w:val="21"/>
          <w:szCs w:val="21"/>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07"/>
        <w:ind w:firstLine="0"/>
        <w:rPr>
          <w:rFonts w:hint="eastAsia" w:ascii="宋体" w:hAnsi="宋体" w:cs="宋体"/>
          <w:color w:val="000000"/>
        </w:rPr>
      </w:pPr>
      <w:r>
        <w:rPr>
          <w:rFonts w:hint="eastAsia" w:ascii="宋体" w:hAnsi="宋体" w:cs="宋体"/>
          <w:color w:val="000000"/>
        </w:rPr>
      </w:r>
      <w:r/>
    </w:p>
    <w:p>
      <w:pPr>
        <w:spacing w:line="560" w:lineRule="exact"/>
        <w:rPr>
          <w:rFonts w:hint="eastAsia" w:ascii="宋体" w:hAnsi="宋体"/>
          <w:sz w:val="22"/>
          <w:szCs w:val="21"/>
        </w:rPr>
      </w:pPr>
      <w:r>
        <w:rPr>
          <w:rFonts w:hint="eastAsia" w:ascii="宋体" w:hAnsi="宋体"/>
          <w:sz w:val="22"/>
          <w:szCs w:val="21"/>
        </w:rPr>
      </w:r>
      <w:bookmarkEnd w:id="208"/>
      <w:r/>
    </w:p>
    <w:p>
      <w:pPr>
        <w:jc w:val="center"/>
        <w:rPr>
          <w:rFonts w:hint="eastAsia" w:ascii="黑体" w:hAnsi="黑体" w:eastAsia="黑体"/>
          <w:sz w:val="32"/>
          <w:szCs w:val="32"/>
        </w:rPr>
      </w:pPr>
      <w:r>
        <w:rPr>
          <w:rFonts w:hint="eastAsia" w:ascii="黑体" w:hAnsi="黑体" w:eastAsia="黑体"/>
          <w:sz w:val="32"/>
          <w:szCs w:val="32"/>
        </w:rPr>
        <w:t xml:space="preserve">十</w:t>
      </w:r>
      <w:r>
        <w:rPr>
          <w:rFonts w:hint="eastAsia" w:ascii="黑体" w:hAnsi="黑体" w:eastAsia="黑体"/>
          <w:sz w:val="32"/>
          <w:szCs w:val="32"/>
        </w:rPr>
        <w:t xml:space="preserve">六</w:t>
      </w:r>
      <w:r>
        <w:rPr>
          <w:rFonts w:hint="eastAsia" w:ascii="黑体" w:hAnsi="黑体" w:eastAsia="黑体"/>
          <w:sz w:val="32"/>
          <w:szCs w:val="32"/>
        </w:rPr>
        <w:t xml:space="preserve">、</w:t>
      </w:r>
      <w:r>
        <w:rPr>
          <w:rFonts w:hint="eastAsia" w:ascii="黑体" w:hAnsi="黑体" w:eastAsia="黑体"/>
          <w:sz w:val="32"/>
          <w:szCs w:val="32"/>
        </w:rPr>
        <w:t xml:space="preserve">其他</w:t>
      </w:r>
      <w:r/>
    </w:p>
    <w:p>
      <w:pPr>
        <w:jc w:val="center"/>
        <w:rPr>
          <w:rFonts w:hint="eastAsia" w:ascii="方正小标宋简体" w:hAnsi="方正小标宋简体" w:eastAsia="方正小标宋简体" w:cs="方正小标宋简体"/>
          <w:sz w:val="24"/>
          <w:szCs w:val="24"/>
        </w:rPr>
      </w:pPr>
      <w:r>
        <w:rPr>
          <w:rFonts w:hint="eastAsia" w:ascii="黑体" w:hAnsi="黑体" w:eastAsia="黑体"/>
          <w:sz w:val="24"/>
          <w:szCs w:val="24"/>
        </w:rPr>
        <w:t xml:space="preserve">投标人认为应该提供的其他资料，格式自拟。</w:t>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24"/>
          <w:szCs w:val="24"/>
        </w:rPr>
        <w:br w:type="page" w:clear="all"/>
      </w: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签  字(签章)：                                 公  章：                      </w:t>
      </w:r>
      <w:r/>
    </w:p>
    <w:p>
      <w:pPr>
        <w:rPr>
          <w:rFonts w:hint="eastAsia" w:ascii="宋体" w:hAnsi="宋体"/>
          <w:sz w:val="24"/>
          <w:szCs w:val="24"/>
        </w:rPr>
      </w:pPr>
      <w:r>
        <w:rPr>
          <w:rFonts w:hint="eastAsia" w:ascii="宋体" w:hAnsi="宋体"/>
          <w:sz w:val="24"/>
          <w:szCs w:val="24"/>
        </w:rPr>
        <w:t xml:space="preserve">日  期：    </w:t>
      </w:r>
      <w:r/>
    </w:p>
    <w:p>
      <w:pPr>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spacing w:line="480" w:lineRule="exact"/>
        <w:rPr>
          <w:rFonts w:hint="eastAsia" w:ascii="宋体" w:hAnsi="宋体" w:cs="仿宋"/>
          <w:sz w:val="24"/>
          <w:szCs w:val="24"/>
        </w:rPr>
      </w:pPr>
      <w:r>
        <w:rPr>
          <w:rFonts w:hint="eastAsia" w:ascii="宋体" w:hAnsi="宋体" w:cs="仿宋"/>
          <w:sz w:val="24"/>
          <w:szCs w:val="24"/>
        </w:rPr>
      </w:r>
      <w:r/>
    </w:p>
    <w:p>
      <w:pPr>
        <w:ind w:firstLine="602"/>
        <w:jc w:val="center"/>
        <w:spacing w:line="360" w:lineRule="auto"/>
        <w:rPr>
          <w:rFonts w:hint="eastAsia" w:ascii="宋体" w:hAnsi="宋体"/>
          <w:b/>
          <w:sz w:val="30"/>
          <w:szCs w:val="30"/>
        </w:rPr>
        <w:sectPr>
          <w:headerReference w:type="default" r:id="rId9"/>
          <w:footerReference w:type="default" r:id="rId10"/>
          <w:footerReference w:type="even" r:id="rId11"/>
          <w:footnotePr/>
          <w:endnotePr/>
          <w:type w:val="nextPage"/>
          <w:pgSz w:w="11906" w:h="16838" w:orient="portrait"/>
          <w:pgMar w:top="1418" w:right="1418" w:bottom="1418" w:left="1418" w:header="851" w:footer="907" w:gutter="0"/>
          <w:cols w:num="1" w:sep="0" w:space="720" w:equalWidth="1"/>
          <w:docGrid w:linePitch="360"/>
          <w:titlePg/>
        </w:sectPr>
      </w:pPr>
      <w:r>
        <w:rPr>
          <w:rFonts w:hint="eastAsia" w:ascii="宋体" w:hAnsi="宋体"/>
          <w:b/>
          <w:sz w:val="30"/>
          <w:szCs w:val="30"/>
        </w:rPr>
      </w:r>
      <w:r/>
    </w:p>
    <w:p>
      <w:pPr>
        <w:ind w:firstLine="602"/>
        <w:jc w:val="center"/>
        <w:spacing w:line="360" w:lineRule="auto"/>
        <w:rPr>
          <w:rFonts w:hint="eastAsia" w:ascii="宋体" w:hAnsi="宋体"/>
          <w:b/>
          <w:sz w:val="30"/>
          <w:szCs w:val="30"/>
        </w:rPr>
      </w:pPr>
      <w:r>
        <w:rPr>
          <w:rFonts w:hint="eastAsia" w:ascii="宋体" w:hAnsi="宋体"/>
          <w:b/>
          <w:sz w:val="30"/>
          <w:szCs w:val="30"/>
        </w:rPr>
        <w:t xml:space="preserve">附件四、中小企业划型标准</w:t>
      </w:r>
      <w:r/>
    </w:p>
    <w:tbl>
      <w:tblPr>
        <w:tblW w:w="5190" w:type="pct"/>
        <w:jc w:val="center"/>
        <w:tblLook w:val="04A0" w:firstRow="1" w:lastRow="0" w:firstColumn="1" w:lastColumn="0" w:noHBand="0" w:noVBand="1"/>
      </w:tblPr>
      <w:tblGrid>
        <w:gridCol w:w="765"/>
        <w:gridCol w:w="2179"/>
        <w:gridCol w:w="1173"/>
        <w:gridCol w:w="904"/>
        <w:gridCol w:w="934"/>
        <w:gridCol w:w="1084"/>
        <w:gridCol w:w="922"/>
        <w:gridCol w:w="990"/>
        <w:gridCol w:w="1084"/>
        <w:gridCol w:w="939"/>
        <w:gridCol w:w="992"/>
        <w:gridCol w:w="1083"/>
        <w:gridCol w:w="862"/>
        <w:gridCol w:w="847"/>
      </w:tblGrid>
      <w:tr>
        <w:trPr>
          <w:cantSplit/>
          <w:jc w:val="center"/>
          <w:trHeight w:val="262"/>
          <w:tblHeader/>
        </w:trPr>
        <w:tc>
          <w:tcPr>
            <w:tcBorders>
              <w:top w:val="single" w:color="000000" w:sz="4" w:space="0"/>
              <w:left w:val="single" w:color="000000" w:sz="4" w:space="0"/>
              <w:right w:val="single" w:color="000000" w:sz="4" w:space="0"/>
            </w:tcBorders>
            <w:tcW w:w="259" w:type="pct"/>
            <w:vAlign w:val="center"/>
            <w:vMerge w:val="restart"/>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序号</w:t>
            </w:r>
            <w:r/>
          </w:p>
        </w:tc>
        <w:tc>
          <w:tcPr>
            <w:tcBorders>
              <w:top w:val="single" w:color="000000" w:sz="4" w:space="0"/>
              <w:left w:val="none" w:color="000000" w:sz="4" w:space="0"/>
              <w:right w:val="single" w:color="000000" w:sz="4" w:space="0"/>
            </w:tcBorders>
            <w:tcW w:w="738" w:type="pct"/>
            <w:vAlign w:val="center"/>
            <w:vMerge w:val="restart"/>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行业</w:t>
            </w:r>
            <w:r/>
          </w:p>
        </w:tc>
        <w:tc>
          <w:tcPr>
            <w:gridSpan w:val="3"/>
            <w:tcBorders>
              <w:top w:val="single" w:color="000000" w:sz="4" w:space="0"/>
              <w:left w:val="none" w:color="000000" w:sz="4" w:space="0"/>
              <w:bottom w:val="single" w:color="000000" w:sz="4" w:space="0"/>
              <w:right w:val="single" w:color="000000" w:sz="4" w:space="0"/>
            </w:tcBorders>
            <w:tcW w:w="1019"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大型企业</w:t>
            </w:r>
            <w:r/>
          </w:p>
        </w:tc>
        <w:tc>
          <w:tcPr>
            <w:gridSpan w:val="3"/>
            <w:tcBorders>
              <w:top w:val="single" w:color="000000" w:sz="4" w:space="0"/>
              <w:left w:val="none" w:color="000000" w:sz="4" w:space="0"/>
              <w:bottom w:val="single" w:color="000000" w:sz="4" w:space="0"/>
              <w:right w:val="single" w:color="000000" w:sz="4" w:space="0"/>
            </w:tcBorders>
            <w:tcW w:w="1014"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中型企业</w:t>
            </w:r>
            <w:r/>
          </w:p>
        </w:tc>
        <w:tc>
          <w:tcPr>
            <w:gridSpan w:val="3"/>
            <w:tcBorders>
              <w:top w:val="single" w:color="000000" w:sz="4" w:space="0"/>
              <w:left w:val="none" w:color="000000" w:sz="4" w:space="0"/>
              <w:bottom w:val="single" w:color="000000" w:sz="4" w:space="0"/>
              <w:right w:val="single" w:color="000000" w:sz="4" w:space="0"/>
            </w:tcBorders>
            <w:tcW w:w="1021"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小型企业</w:t>
            </w:r>
            <w:r/>
          </w:p>
        </w:tc>
        <w:tc>
          <w:tcPr>
            <w:gridSpan w:val="3"/>
            <w:tcBorders>
              <w:top w:val="single" w:color="000000" w:sz="4" w:space="0"/>
              <w:left w:val="none" w:color="000000" w:sz="4" w:space="0"/>
              <w:bottom w:val="single" w:color="000000" w:sz="4" w:space="0"/>
              <w:right w:val="single" w:color="000000" w:sz="4" w:space="0"/>
            </w:tcBorders>
            <w:tcW w:w="946"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微型企业</w:t>
            </w:r>
            <w:r/>
          </w:p>
        </w:tc>
      </w:tr>
      <w:tr>
        <w:trPr>
          <w:cantSplit/>
          <w:jc w:val="center"/>
          <w:trHeight w:val="226"/>
          <w:tblHeader/>
        </w:trPr>
        <w:tc>
          <w:tcPr>
            <w:tcBorders>
              <w:left w:val="single" w:color="000000" w:sz="4" w:space="0"/>
              <w:bottom w:val="single" w:color="000000" w:sz="4" w:space="0"/>
              <w:right w:val="single" w:color="000000" w:sz="4" w:space="0"/>
            </w:tcBorders>
            <w:tcW w:w="259" w:type="pct"/>
            <w:vAlign w:val="center"/>
            <w:vMerge w:val="continue"/>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c>
          <w:tcPr>
            <w:tcBorders>
              <w:left w:val="none" w:color="000000" w:sz="4" w:space="0"/>
              <w:bottom w:val="single" w:color="000000" w:sz="4" w:space="0"/>
              <w:right w:val="single" w:color="000000" w:sz="4" w:space="0"/>
            </w:tcBorders>
            <w:tcW w:w="738" w:type="pct"/>
            <w:vAlign w:val="center"/>
            <w:vMerge w:val="continue"/>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营业收入</w:t>
            </w:r>
            <w:r/>
          </w:p>
          <w:p>
            <w:pPr>
              <w:jc w:val="center"/>
              <w:spacing w:line="0" w:lineRule="atLeast"/>
              <w:rPr>
                <w:rFonts w:hint="eastAsia" w:ascii="宋体" w:hAnsi="宋体"/>
                <w:b/>
                <w:sz w:val="15"/>
                <w:szCs w:val="16"/>
              </w:rPr>
            </w:pPr>
            <w:r>
              <w:rPr>
                <w:rFonts w:hint="eastAsia" w:ascii="宋体" w:hAnsi="宋体"/>
                <w:b/>
                <w:sz w:val="15"/>
                <w:szCs w:val="16"/>
              </w:rPr>
              <w:t xml:space="preserve">(万元)</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从业人员</w:t>
            </w:r>
            <w:r/>
          </w:p>
          <w:p>
            <w:pPr>
              <w:jc w:val="center"/>
              <w:spacing w:line="0" w:lineRule="atLeast"/>
              <w:rPr>
                <w:rFonts w:hint="eastAsia" w:ascii="宋体" w:hAnsi="宋体"/>
                <w:b/>
                <w:sz w:val="15"/>
                <w:szCs w:val="16"/>
              </w:rPr>
            </w:pPr>
            <w:r>
              <w:rPr>
                <w:rFonts w:hint="eastAsia" w:ascii="宋体" w:hAnsi="宋体"/>
                <w:b/>
                <w:sz w:val="15"/>
                <w:szCs w:val="16"/>
              </w:rPr>
              <w:t xml:space="preserve">(人)</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总资产</w:t>
            </w:r>
            <w:r/>
          </w:p>
          <w:p>
            <w:pPr>
              <w:jc w:val="center"/>
              <w:spacing w:line="0" w:lineRule="atLeast"/>
              <w:rPr>
                <w:rFonts w:hint="eastAsia" w:ascii="宋体" w:hAnsi="宋体"/>
                <w:b/>
                <w:sz w:val="15"/>
                <w:szCs w:val="16"/>
              </w:rPr>
            </w:pPr>
            <w:r>
              <w:rPr>
                <w:rFonts w:hint="eastAsia" w:ascii="宋体" w:hAnsi="宋体"/>
                <w:b/>
                <w:sz w:val="15"/>
                <w:szCs w:val="16"/>
              </w:rPr>
              <w:t xml:space="preserve">(万元)</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营业收入</w:t>
            </w:r>
            <w:r/>
          </w:p>
          <w:p>
            <w:pPr>
              <w:jc w:val="center"/>
              <w:spacing w:line="0" w:lineRule="atLeast"/>
              <w:rPr>
                <w:rFonts w:hint="eastAsia" w:ascii="宋体" w:hAnsi="宋体"/>
                <w:b/>
                <w:sz w:val="15"/>
                <w:szCs w:val="16"/>
              </w:rPr>
            </w:pPr>
            <w:r>
              <w:rPr>
                <w:rFonts w:hint="eastAsia" w:ascii="宋体" w:hAnsi="宋体"/>
                <w:b/>
                <w:sz w:val="15"/>
                <w:szCs w:val="16"/>
              </w:rPr>
              <w:t xml:space="preserve">(万元)</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从业人员</w:t>
            </w:r>
            <w:r/>
          </w:p>
          <w:p>
            <w:pPr>
              <w:jc w:val="center"/>
              <w:spacing w:line="0" w:lineRule="atLeast"/>
              <w:rPr>
                <w:rFonts w:hint="eastAsia" w:ascii="宋体" w:hAnsi="宋体"/>
                <w:b/>
                <w:sz w:val="15"/>
                <w:szCs w:val="16"/>
              </w:rPr>
            </w:pPr>
            <w:r>
              <w:rPr>
                <w:rFonts w:hint="eastAsia" w:ascii="宋体" w:hAnsi="宋体"/>
                <w:b/>
                <w:sz w:val="15"/>
                <w:szCs w:val="16"/>
              </w:rPr>
              <w:t xml:space="preserve">(人)</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总资产</w:t>
            </w:r>
            <w:r/>
          </w:p>
          <w:p>
            <w:pPr>
              <w:jc w:val="center"/>
              <w:spacing w:line="0" w:lineRule="atLeast"/>
              <w:rPr>
                <w:rFonts w:hint="eastAsia" w:ascii="宋体" w:hAnsi="宋体"/>
                <w:b/>
                <w:sz w:val="15"/>
                <w:szCs w:val="16"/>
              </w:rPr>
            </w:pPr>
            <w:r>
              <w:rPr>
                <w:rFonts w:hint="eastAsia" w:ascii="宋体" w:hAnsi="宋体"/>
                <w:b/>
                <w:sz w:val="15"/>
                <w:szCs w:val="16"/>
              </w:rPr>
              <w:t xml:space="preserve">(万元)</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营业收入</w:t>
            </w:r>
            <w:r/>
          </w:p>
          <w:p>
            <w:pPr>
              <w:jc w:val="center"/>
              <w:spacing w:line="0" w:lineRule="atLeast"/>
              <w:rPr>
                <w:rFonts w:hint="eastAsia" w:ascii="宋体" w:hAnsi="宋体"/>
                <w:b/>
                <w:sz w:val="15"/>
                <w:szCs w:val="16"/>
              </w:rPr>
            </w:pPr>
            <w:r>
              <w:rPr>
                <w:rFonts w:hint="eastAsia" w:ascii="宋体" w:hAnsi="宋体"/>
                <w:b/>
                <w:sz w:val="15"/>
                <w:szCs w:val="16"/>
              </w:rPr>
              <w:t xml:space="preserve">(万元)</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从业人员</w:t>
            </w:r>
            <w:r/>
          </w:p>
          <w:p>
            <w:pPr>
              <w:jc w:val="center"/>
              <w:spacing w:line="0" w:lineRule="atLeast"/>
              <w:rPr>
                <w:rFonts w:hint="eastAsia" w:ascii="宋体" w:hAnsi="宋体"/>
                <w:b/>
                <w:sz w:val="15"/>
                <w:szCs w:val="16"/>
              </w:rPr>
            </w:pPr>
            <w:r>
              <w:rPr>
                <w:rFonts w:hint="eastAsia" w:ascii="宋体" w:hAnsi="宋体"/>
                <w:b/>
                <w:sz w:val="15"/>
                <w:szCs w:val="16"/>
              </w:rPr>
              <w:t xml:space="preserve">(人)</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总资产</w:t>
            </w:r>
            <w:r/>
          </w:p>
          <w:p>
            <w:pPr>
              <w:jc w:val="center"/>
              <w:spacing w:line="0" w:lineRule="atLeast"/>
              <w:rPr>
                <w:rFonts w:hint="eastAsia" w:ascii="宋体" w:hAnsi="宋体"/>
                <w:b/>
                <w:sz w:val="15"/>
                <w:szCs w:val="16"/>
              </w:rPr>
            </w:pPr>
            <w:r>
              <w:rPr>
                <w:rFonts w:hint="eastAsia" w:ascii="宋体" w:hAnsi="宋体"/>
                <w:b/>
                <w:sz w:val="15"/>
                <w:szCs w:val="16"/>
              </w:rPr>
              <w:t xml:space="preserve">(万元)</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营业收入</w:t>
            </w:r>
            <w:r/>
          </w:p>
          <w:p>
            <w:pPr>
              <w:jc w:val="center"/>
              <w:spacing w:line="0" w:lineRule="atLeast"/>
              <w:rPr>
                <w:rFonts w:hint="eastAsia" w:ascii="宋体" w:hAnsi="宋体"/>
                <w:b/>
                <w:sz w:val="15"/>
                <w:szCs w:val="16"/>
              </w:rPr>
            </w:pPr>
            <w:r>
              <w:rPr>
                <w:rFonts w:hint="eastAsia" w:ascii="宋体" w:hAnsi="宋体"/>
                <w:b/>
                <w:sz w:val="15"/>
                <w:szCs w:val="16"/>
              </w:rPr>
              <w:t xml:space="preserve">(万元)</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从业人员</w:t>
            </w:r>
            <w:r/>
          </w:p>
          <w:p>
            <w:pPr>
              <w:jc w:val="center"/>
              <w:spacing w:line="0" w:lineRule="atLeast"/>
              <w:rPr>
                <w:rFonts w:hint="eastAsia" w:ascii="宋体" w:hAnsi="宋体"/>
                <w:b/>
                <w:sz w:val="15"/>
                <w:szCs w:val="16"/>
              </w:rPr>
            </w:pPr>
            <w:r>
              <w:rPr>
                <w:rFonts w:hint="eastAsia" w:ascii="宋体" w:hAnsi="宋体"/>
                <w:b/>
                <w:sz w:val="15"/>
                <w:szCs w:val="16"/>
              </w:rPr>
              <w:t xml:space="preserve">(人)</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总资产</w:t>
            </w:r>
            <w:r/>
          </w:p>
          <w:p>
            <w:pPr>
              <w:jc w:val="center"/>
              <w:spacing w:line="0" w:lineRule="atLeast"/>
              <w:rPr>
                <w:rFonts w:hint="eastAsia" w:ascii="宋体" w:hAnsi="宋体"/>
                <w:b/>
                <w:sz w:val="15"/>
                <w:szCs w:val="16"/>
              </w:rPr>
            </w:pPr>
            <w:r>
              <w:rPr>
                <w:rFonts w:hint="eastAsia" w:ascii="宋体" w:hAnsi="宋体"/>
                <w:b/>
                <w:sz w:val="15"/>
                <w:szCs w:val="16"/>
              </w:rPr>
              <w:t xml:space="preserve">(万元)</w:t>
            </w:r>
            <w:r/>
          </w:p>
        </w:tc>
      </w:tr>
      <w:tr>
        <w:trPr>
          <w:jc w:val="center"/>
          <w:trHeight w:val="369"/>
        </w:trPr>
        <w:tc>
          <w:tcPr>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1</w:t>
            </w:r>
            <w:r/>
          </w:p>
        </w:tc>
        <w:tc>
          <w:tcPr>
            <w:tcBorders>
              <w:top w:val="singl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农、林、牧、渔业</w:t>
            </w:r>
            <w:r/>
          </w:p>
        </w:tc>
        <w:tc>
          <w:tcPr>
            <w:tcBorders>
              <w:top w:val="singl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≥500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≥50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＜50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2</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工业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≥40000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3</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建筑业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≥80000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≥80000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≥5000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≥5000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4</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批发业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≥40000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≥5000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＜5</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5</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零售业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≥500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≥50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6</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交通运输业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7</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仓储业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8</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邮政业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9</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住宿业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10</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餐饮业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11</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信息传输业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≥100000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≥2000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12</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软件和信息技术服务业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≥50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＜50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13</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房地产开发经验</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或,≥10000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且,≥5000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且,≥2000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或,＜2000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14</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物业管理</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≥5000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≥500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＜500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15</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租赁和商务服务业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或,≥120000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且,≥8000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且,≥100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或,＜100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16</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其他未列明行业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r>
    </w:tbl>
    <w:p>
      <w:pPr>
        <w:pStyle w:val="933"/>
        <w:ind w:firstLine="0"/>
        <w:spacing w:line="20" w:lineRule="exact"/>
        <w:rPr>
          <w:rFonts w:hint="eastAsia" w:ascii="宋体" w:hAnsi="宋体" w:eastAsia="宋体"/>
        </w:rPr>
        <w:sectPr>
          <w:footnotePr/>
          <w:endnotePr/>
          <w:type w:val="nextPage"/>
          <w:pgSz w:w="16838" w:h="11906" w:orient="landscape"/>
          <w:pgMar w:top="1418" w:right="1418" w:bottom="1418" w:left="1418" w:header="851" w:footer="907" w:gutter="0"/>
          <w:cols w:num="1" w:sep="0" w:space="720" w:equalWidth="1"/>
          <w:docGrid w:linePitch="360"/>
          <w:titlePg/>
        </w:sectPr>
      </w:pPr>
      <w:r>
        <w:rPr>
          <w:rFonts w:hint="eastAsia" w:ascii="宋体" w:hAnsi="宋体" w:eastAsia="宋体"/>
        </w:rPr>
      </w:r>
      <w:r/>
    </w:p>
    <w:p>
      <w:r/>
      <w:r/>
    </w:p>
    <w:sectPr>
      <w:footnotePr/>
      <w:endnotePr/>
      <w:type w:val="nextPage"/>
      <w:pgSz w:w="11906" w:h="16838" w:orient="portrait"/>
      <w:pgMar w:top="1418" w:right="1418" w:bottom="1418" w:left="141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Noto Sans SC">
    <w:panose1 w:val="020B0503020202020204"/>
  </w:font>
  <w:font w:name="方正楷体_GBK">
    <w:panose1 w:val="020B0503020202020204"/>
  </w:font>
  <w:font w:name="等线">
    <w:panose1 w:val="02010600030101010101"/>
  </w:font>
  <w:font w:name="仿宋">
    <w:panose1 w:val="02010609060101010101"/>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Malgun Gothic">
    <w:panose1 w:val="020B05030200000200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rPr>
        <w:rStyle w:val="746"/>
        <w:rFonts w:hint="eastAsia" w:ascii="宋体" w:hAnsi="宋体"/>
      </w:rPr>
      <w:framePr w:wrap="around" w:vAnchor="text" w:hAnchor="margin" w:xAlign="center" w:y="1"/>
    </w:pPr>
    <w:r>
      <w:rPr>
        <w:rFonts w:ascii="宋体" w:hAnsi="宋体"/>
      </w:rPr>
      <w:fldChar w:fldCharType="begin"/>
    </w:r>
    <w:r>
      <w:rPr>
        <w:rStyle w:val="746"/>
        <w:rFonts w:ascii="宋体" w:hAnsi="宋体"/>
      </w:rPr>
      <w:instrText xml:space="preserve">PAGE  </w:instrText>
    </w:r>
    <w:r>
      <w:rPr>
        <w:rFonts w:ascii="宋体" w:hAnsi="宋体"/>
      </w:rPr>
      <w:fldChar w:fldCharType="separate"/>
    </w:r>
    <w:r>
      <w:rPr>
        <w:rStyle w:val="746"/>
        <w:rFonts w:ascii="宋体" w:hAnsi="宋体"/>
      </w:rPr>
      <w:t xml:space="preserve">４</w:t>
    </w:r>
    <w:r>
      <w:rPr>
        <w:rFonts w:ascii="宋体" w:hAnsi="宋体"/>
      </w:rPr>
      <w:fldChar w:fldCharType="end"/>
    </w:r>
    <w:r/>
  </w:p>
  <w:p>
    <w:pPr>
      <w:pStyle w:val="724"/>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rPr>
        <w:rStyle w:val="746"/>
      </w:rPr>
      <w:framePr w:wrap="around" w:vAnchor="text" w:hAnchor="margin" w:xAlign="center" w:y="1"/>
    </w:pPr>
    <w:r>
      <w:fldChar w:fldCharType="begin"/>
    </w:r>
    <w:r>
      <w:rPr>
        <w:rStyle w:val="746"/>
      </w:rPr>
      <w:instrText xml:space="preserve">PAGE  </w:instrText>
    </w:r>
    <w:r>
      <w:fldChar w:fldCharType="separate"/>
    </w:r>
    <w:r>
      <w:rPr>
        <w:rStyle w:val="746"/>
      </w:rPr>
      <w:t xml:space="preserve">1</w:t>
    </w:r>
    <w:r>
      <w:fldChar w:fldCharType="end"/>
    </w:r>
    <w:r/>
  </w:p>
  <w:p>
    <w:pPr>
      <w:pStyle w:val="7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5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93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697"/>
      <w:isLgl w:val="false"/>
      <w:suff w:val="nothing"/>
      <w:lvlText w:val=""/>
      <w:lvlJc w:val="left"/>
      <w:pPr>
        <w:ind w:left="0" w:firstLine="0"/>
      </w:pPr>
      <w:rPr>
        <w:rFonts w:hint="eastAsia"/>
      </w:rPr>
    </w:lvl>
    <w:lvl w:ilvl="6">
      <w:start w:val="1"/>
      <w:numFmt w:val="decimal"/>
      <w:pStyle w:val="698"/>
      <w:isLgl w:val="false"/>
      <w:suff w:val="nothing"/>
      <w:lvlText w:val=""/>
      <w:lvlJc w:val="left"/>
      <w:pPr>
        <w:ind w:left="0" w:firstLine="0"/>
      </w:pPr>
      <w:rPr>
        <w:rFonts w:hint="eastAsia"/>
      </w:rPr>
    </w:lvl>
    <w:lvl w:ilvl="7">
      <w:start w:val="1"/>
      <w:numFmt w:val="decimal"/>
      <w:pStyle w:val="699"/>
      <w:isLgl w:val="false"/>
      <w:suff w:val="nothing"/>
      <w:lvlText w:val=""/>
      <w:lvlJc w:val="left"/>
      <w:pPr>
        <w:ind w:left="0" w:firstLine="0"/>
      </w:pPr>
      <w:rPr>
        <w:rFonts w:hint="eastAsia"/>
      </w:rPr>
    </w:lvl>
    <w:lvl w:ilvl="8">
      <w:start w:val="1"/>
      <w:numFmt w:val="decimal"/>
      <w:pStyle w:val="700"/>
      <w:isLgl w:val="false"/>
      <w:suff w:val="nothing"/>
      <w:lvlText w:val=""/>
      <w:lvlJc w:val="left"/>
      <w:pPr>
        <w:ind w:left="0" w:firstLine="0"/>
      </w:pPr>
      <w:rPr>
        <w:rFonts w:hint="eastAsia"/>
      </w:rPr>
    </w:lvl>
  </w:abstractNum>
  <w:num w:numId="1">
    <w:abstractNumId w:val="3"/>
  </w:num>
  <w:num w:numId="2">
    <w:abstractNumId w:val="2"/>
  </w:num>
  <w:num w:numId="3">
    <w:abstractNumId w:val="0"/>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701"/>
    <w:link w:val="739"/>
    <w:uiPriority w:val="10"/>
    <w:rPr>
      <w:sz w:val="48"/>
      <w:szCs w:val="48"/>
    </w:rPr>
  </w:style>
  <w:style w:type="character" w:styleId="36">
    <w:name w:val="Subtitle Char"/>
    <w:basedOn w:val="701"/>
    <w:link w:val="728"/>
    <w:uiPriority w:val="11"/>
    <w:rPr>
      <w:sz w:val="24"/>
      <w:szCs w:val="24"/>
    </w:rPr>
  </w:style>
  <w:style w:type="character" w:styleId="38">
    <w:name w:val="Quote Char"/>
    <w:link w:val="764"/>
    <w:uiPriority w:val="29"/>
    <w:rPr>
      <w:i/>
    </w:rPr>
  </w:style>
  <w:style w:type="character" w:styleId="40">
    <w:name w:val="Intense Quote Char"/>
    <w:link w:val="766"/>
    <w:uiPriority w:val="30"/>
    <w:rPr>
      <w:i/>
    </w:rPr>
  </w:style>
  <w:style w:type="table" w:styleId="49">
    <w:name w:val="Plain Table 1"/>
    <w:basedOn w:val="7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30"/>
    <w:uiPriority w:val="99"/>
    <w:rPr>
      <w:sz w:val="18"/>
    </w:rPr>
  </w:style>
  <w:style w:type="character" w:styleId="178">
    <w:name w:val="Endnote Text Char"/>
    <w:link w:val="722"/>
    <w:uiPriority w:val="99"/>
    <w:rPr>
      <w:sz w:val="20"/>
    </w:rPr>
  </w:style>
  <w:style w:type="paragraph" w:styleId="189">
    <w:name w:val="TOC Heading"/>
    <w:uiPriority w:val="39"/>
    <w:unhideWhenUsed/>
  </w:style>
  <w:style w:type="paragraph" w:styleId="691" w:default="1">
    <w:name w:val="Normal"/>
    <w:qFormat/>
    <w:pPr>
      <w:jc w:val="both"/>
      <w:widowControl w:val="off"/>
    </w:pPr>
    <w:rPr>
      <w:sz w:val="21"/>
      <w:szCs w:val="22"/>
    </w:rPr>
  </w:style>
  <w:style w:type="paragraph" w:styleId="692">
    <w:name w:val="Heading 1"/>
    <w:basedOn w:val="691"/>
    <w:next w:val="691"/>
    <w:link w:val="901"/>
    <w:qFormat/>
    <w:pPr>
      <w:jc w:val="center"/>
      <w:keepNext/>
      <w:outlineLvl w:val="0"/>
    </w:pPr>
    <w:rPr>
      <w:rFonts w:ascii="楷体_GB2312" w:eastAsia="楷体_GB2312"/>
      <w:sz w:val="28"/>
      <w:szCs w:val="28"/>
    </w:rPr>
  </w:style>
  <w:style w:type="paragraph" w:styleId="693">
    <w:name w:val="Heading 2"/>
    <w:basedOn w:val="691"/>
    <w:next w:val="707"/>
    <w:link w:val="902"/>
    <w:qFormat/>
    <w:pPr>
      <w:jc w:val="center"/>
      <w:keepLines/>
      <w:keepNext/>
      <w:spacing w:before="260" w:after="260" w:line="416" w:lineRule="auto"/>
      <w:outlineLvl w:val="1"/>
    </w:pPr>
    <w:rPr>
      <w:rFonts w:ascii="Arial" w:hAnsi="Arial" w:eastAsia="幼圆" w:cs="Arial"/>
      <w:b/>
      <w:bCs/>
      <w:sz w:val="44"/>
      <w:szCs w:val="44"/>
    </w:rPr>
  </w:style>
  <w:style w:type="paragraph" w:styleId="694">
    <w:name w:val="Heading 3"/>
    <w:basedOn w:val="691"/>
    <w:next w:val="707"/>
    <w:link w:val="904"/>
    <w:qFormat/>
    <w:pPr>
      <w:keepLines/>
      <w:keepNext/>
      <w:spacing w:before="260" w:after="260" w:line="416" w:lineRule="auto"/>
      <w:outlineLvl w:val="2"/>
    </w:pPr>
    <w:rPr>
      <w:b/>
      <w:bCs/>
      <w:sz w:val="32"/>
      <w:szCs w:val="32"/>
    </w:rPr>
  </w:style>
  <w:style w:type="paragraph" w:styleId="695">
    <w:name w:val="Heading 4"/>
    <w:basedOn w:val="691"/>
    <w:next w:val="707"/>
    <w:link w:val="905"/>
    <w:qFormat/>
    <w:pPr>
      <w:keepLines/>
      <w:keepNext/>
      <w:spacing w:before="280" w:after="290" w:line="376" w:lineRule="auto"/>
      <w:outlineLvl w:val="3"/>
    </w:pPr>
    <w:rPr>
      <w:rFonts w:ascii="Arial" w:hAnsi="Arial" w:eastAsia="黑体" w:cs="Arial"/>
      <w:b/>
      <w:bCs/>
      <w:sz w:val="28"/>
      <w:szCs w:val="28"/>
    </w:rPr>
  </w:style>
  <w:style w:type="paragraph" w:styleId="696">
    <w:name w:val="Heading 5"/>
    <w:basedOn w:val="691"/>
    <w:next w:val="707"/>
    <w:link w:val="906"/>
    <w:qFormat/>
    <w:pPr>
      <w:keepNext/>
      <w:outlineLvl w:val="4"/>
    </w:pPr>
    <w:rPr>
      <w:rFonts w:ascii="宋体"/>
      <w:color w:val="000000"/>
      <w:sz w:val="28"/>
      <w:szCs w:val="28"/>
    </w:rPr>
  </w:style>
  <w:style w:type="paragraph" w:styleId="697">
    <w:name w:val="Heading 6"/>
    <w:basedOn w:val="691"/>
    <w:next w:val="691"/>
    <w:link w:val="907"/>
    <w:qFormat/>
    <w:pPr>
      <w:numPr>
        <w:ilvl w:val="5"/>
        <w:numId w:val="1"/>
      </w:numPr>
      <w:keepLines/>
      <w:keepNext/>
      <w:spacing w:before="240" w:after="64" w:line="320" w:lineRule="auto"/>
      <w:outlineLvl w:val="5"/>
    </w:pPr>
    <w:rPr>
      <w:rFonts w:ascii="Arial" w:hAnsi="Arial" w:eastAsia="黑体"/>
      <w:b/>
      <w:bCs/>
      <w:sz w:val="24"/>
      <w:szCs w:val="24"/>
    </w:rPr>
  </w:style>
  <w:style w:type="paragraph" w:styleId="698">
    <w:name w:val="Heading 7"/>
    <w:basedOn w:val="691"/>
    <w:next w:val="691"/>
    <w:link w:val="908"/>
    <w:uiPriority w:val="99"/>
    <w:qFormat/>
    <w:pPr>
      <w:numPr>
        <w:ilvl w:val="6"/>
        <w:numId w:val="1"/>
      </w:numPr>
      <w:keepLines/>
      <w:keepNext/>
      <w:spacing w:before="240" w:after="64" w:line="320" w:lineRule="auto"/>
      <w:outlineLvl w:val="6"/>
    </w:pPr>
    <w:rPr>
      <w:b/>
      <w:bCs/>
      <w:sz w:val="24"/>
      <w:szCs w:val="24"/>
    </w:rPr>
  </w:style>
  <w:style w:type="paragraph" w:styleId="699">
    <w:name w:val="Heading 8"/>
    <w:basedOn w:val="691"/>
    <w:next w:val="691"/>
    <w:link w:val="909"/>
    <w:uiPriority w:val="99"/>
    <w:qFormat/>
    <w:pPr>
      <w:numPr>
        <w:ilvl w:val="7"/>
        <w:numId w:val="1"/>
      </w:numPr>
      <w:keepLines/>
      <w:keepNext/>
      <w:spacing w:before="240" w:after="64" w:line="320" w:lineRule="auto"/>
      <w:outlineLvl w:val="7"/>
    </w:pPr>
    <w:rPr>
      <w:rFonts w:ascii="Arial" w:hAnsi="Arial" w:eastAsia="黑体"/>
      <w:sz w:val="24"/>
      <w:szCs w:val="24"/>
    </w:rPr>
  </w:style>
  <w:style w:type="paragraph" w:styleId="700">
    <w:name w:val="Heading 9"/>
    <w:basedOn w:val="691"/>
    <w:next w:val="691"/>
    <w:link w:val="910"/>
    <w:uiPriority w:val="99"/>
    <w:qFormat/>
    <w:pPr>
      <w:numPr>
        <w:ilvl w:val="8"/>
        <w:numId w:val="1"/>
      </w:numPr>
      <w:keepLines/>
      <w:keepNext/>
      <w:spacing w:before="240" w:after="64" w:line="320" w:lineRule="auto"/>
      <w:outlineLvl w:val="8"/>
    </w:pPr>
    <w:rPr>
      <w:rFonts w:ascii="Arial" w:hAnsi="Arial" w:eastAsia="黑体"/>
      <w:szCs w:val="21"/>
    </w:rPr>
  </w:style>
  <w:style w:type="character" w:styleId="701" w:default="1">
    <w:name w:val="Default Paragraph Font"/>
    <w:uiPriority w:val="1"/>
    <w:semiHidden/>
    <w:unhideWhenUsed/>
  </w:style>
  <w:style w:type="table" w:styleId="702" w:default="1">
    <w:name w:val="Normal Table"/>
    <w:uiPriority w:val="99"/>
    <w:semiHidden/>
    <w:unhideWhenUsed/>
    <w:tblPr>
      <w:tblInd w:w="0" w:type="dxa"/>
      <w:tblCellMar>
        <w:left w:w="108" w:type="dxa"/>
        <w:top w:w="0" w:type="dxa"/>
        <w:right w:w="108" w:type="dxa"/>
        <w:bottom w:w="0" w:type="dxa"/>
      </w:tblCellMar>
    </w:tblPr>
  </w:style>
  <w:style w:type="numbering" w:styleId="703" w:default="1">
    <w:name w:val="No List"/>
    <w:uiPriority w:val="99"/>
    <w:semiHidden/>
    <w:unhideWhenUsed/>
  </w:style>
  <w:style w:type="paragraph" w:styleId="704" w:customStyle="1">
    <w:name w:val="正文首行缩进 21"/>
    <w:basedOn w:val="705"/>
    <w:next w:val="691"/>
    <w:link w:val="900"/>
    <w:uiPriority w:val="99"/>
    <w:qFormat/>
    <w:pPr>
      <w:ind w:left="0" w:firstLine="420"/>
      <w:spacing w:after="0" w:line="360" w:lineRule="auto"/>
    </w:pPr>
    <w:rPr>
      <w:rFonts w:ascii="宋体" w:hAnsi="宋体"/>
      <w:szCs w:val="20"/>
    </w:rPr>
  </w:style>
  <w:style w:type="paragraph" w:styleId="705">
    <w:name w:val="Body Text Indent"/>
    <w:basedOn w:val="691"/>
    <w:next w:val="706"/>
    <w:link w:val="899"/>
    <w:uiPriority w:val="99"/>
    <w:unhideWhenUsed/>
    <w:qFormat/>
    <w:pPr>
      <w:ind w:left="420"/>
      <w:spacing w:after="120"/>
    </w:pPr>
  </w:style>
  <w:style w:type="paragraph" w:styleId="706">
    <w:name w:val="envelope return"/>
    <w:basedOn w:val="691"/>
    <w:uiPriority w:val="99"/>
    <w:qFormat/>
    <w:rPr>
      <w:rFonts w:ascii="Arial" w:hAnsi="Arial" w:cs="宋体"/>
    </w:rPr>
  </w:style>
  <w:style w:type="paragraph" w:styleId="707">
    <w:name w:val="Normal Indent"/>
    <w:basedOn w:val="691"/>
    <w:link w:val="903"/>
    <w:qFormat/>
    <w:pPr>
      <w:ind w:firstLine="420"/>
    </w:pPr>
    <w:rPr>
      <w:szCs w:val="21"/>
    </w:rPr>
  </w:style>
  <w:style w:type="paragraph" w:styleId="708">
    <w:name w:val="List 3"/>
    <w:basedOn w:val="691"/>
    <w:uiPriority w:val="99"/>
    <w:qFormat/>
    <w:pPr>
      <w:ind w:left="100" w:hanging="200"/>
    </w:pPr>
    <w:rPr>
      <w:szCs w:val="21"/>
    </w:rPr>
  </w:style>
  <w:style w:type="paragraph" w:styleId="709">
    <w:name w:val="toc 7"/>
    <w:basedOn w:val="691"/>
    <w:next w:val="691"/>
    <w:uiPriority w:val="39"/>
    <w:unhideWhenUsed/>
    <w:qFormat/>
    <w:pPr>
      <w:ind w:left="1701"/>
      <w:spacing w:after="57"/>
    </w:pPr>
  </w:style>
  <w:style w:type="paragraph" w:styleId="710">
    <w:name w:val="Caption"/>
    <w:basedOn w:val="691"/>
    <w:next w:val="691"/>
    <w:uiPriority w:val="35"/>
    <w:semiHidden/>
    <w:unhideWhenUsed/>
    <w:qFormat/>
    <w:pPr>
      <w:spacing w:line="276" w:lineRule="auto"/>
    </w:pPr>
    <w:rPr>
      <w:b/>
      <w:bCs/>
      <w:color w:val="4f81bd"/>
      <w:sz w:val="18"/>
      <w:szCs w:val="18"/>
    </w:rPr>
  </w:style>
  <w:style w:type="paragraph" w:styleId="711">
    <w:name w:val="Document Map"/>
    <w:basedOn w:val="691"/>
    <w:link w:val="912"/>
    <w:uiPriority w:val="99"/>
    <w:semiHidden/>
    <w:qFormat/>
    <w:pPr>
      <w:shd w:val="clear" w:color="auto" w:fill="000080"/>
    </w:pPr>
    <w:rPr>
      <w:szCs w:val="21"/>
    </w:rPr>
  </w:style>
  <w:style w:type="paragraph" w:styleId="712">
    <w:name w:val="annotation text"/>
    <w:basedOn w:val="691"/>
    <w:link w:val="913"/>
    <w:uiPriority w:val="99"/>
    <w:unhideWhenUsed/>
    <w:qFormat/>
    <w:pPr>
      <w:jc w:val="left"/>
    </w:pPr>
  </w:style>
  <w:style w:type="paragraph" w:styleId="713">
    <w:name w:val="Body Text 3"/>
    <w:basedOn w:val="691"/>
    <w:link w:val="914"/>
    <w:uiPriority w:val="99"/>
    <w:qFormat/>
    <w:rPr>
      <w:rFonts w:ascii="仿宋_GB2312" w:hAnsi="Arial" w:eastAsia="仿宋_GB2312"/>
      <w:sz w:val="32"/>
      <w:szCs w:val="32"/>
    </w:rPr>
  </w:style>
  <w:style w:type="paragraph" w:styleId="714">
    <w:name w:val="Body Text"/>
    <w:basedOn w:val="691"/>
    <w:link w:val="915"/>
    <w:uiPriority w:val="99"/>
    <w:qFormat/>
    <w:rPr>
      <w:rFonts w:ascii="楷体_GB2312" w:hAnsi="Arial" w:eastAsia="楷体_GB2312"/>
      <w:sz w:val="28"/>
      <w:szCs w:val="28"/>
    </w:rPr>
  </w:style>
  <w:style w:type="paragraph" w:styleId="715">
    <w:name w:val="List 2"/>
    <w:basedOn w:val="691"/>
    <w:uiPriority w:val="99"/>
    <w:qFormat/>
    <w:pPr>
      <w:ind w:left="100" w:hanging="200"/>
    </w:pPr>
    <w:rPr>
      <w:szCs w:val="21"/>
    </w:rPr>
  </w:style>
  <w:style w:type="paragraph" w:styleId="716">
    <w:name w:val="toc 5"/>
    <w:basedOn w:val="691"/>
    <w:next w:val="691"/>
    <w:uiPriority w:val="39"/>
    <w:unhideWhenUsed/>
    <w:qFormat/>
    <w:pPr>
      <w:ind w:left="1134"/>
      <w:spacing w:after="57"/>
    </w:pPr>
  </w:style>
  <w:style w:type="paragraph" w:styleId="717">
    <w:name w:val="toc 3"/>
    <w:basedOn w:val="691"/>
    <w:next w:val="691"/>
    <w:uiPriority w:val="39"/>
    <w:unhideWhenUsed/>
    <w:qFormat/>
    <w:pPr>
      <w:ind w:left="567"/>
      <w:spacing w:after="57"/>
    </w:pPr>
  </w:style>
  <w:style w:type="paragraph" w:styleId="718">
    <w:name w:val="Plain Text"/>
    <w:basedOn w:val="691"/>
    <w:link w:val="918"/>
    <w:uiPriority w:val="99"/>
    <w:qFormat/>
    <w:rPr>
      <w:rFonts w:ascii="宋体" w:hAnsi="Courier New" w:cs="Courier New"/>
      <w:szCs w:val="21"/>
    </w:rPr>
  </w:style>
  <w:style w:type="paragraph" w:styleId="719">
    <w:name w:val="toc 8"/>
    <w:basedOn w:val="691"/>
    <w:next w:val="691"/>
    <w:uiPriority w:val="39"/>
    <w:unhideWhenUsed/>
    <w:qFormat/>
    <w:pPr>
      <w:ind w:left="1984"/>
      <w:spacing w:after="57"/>
    </w:pPr>
  </w:style>
  <w:style w:type="paragraph" w:styleId="720">
    <w:name w:val="Date"/>
    <w:basedOn w:val="691"/>
    <w:next w:val="691"/>
    <w:link w:val="920"/>
    <w:uiPriority w:val="99"/>
    <w:qFormat/>
    <w:rPr>
      <w:sz w:val="24"/>
      <w:szCs w:val="24"/>
    </w:rPr>
  </w:style>
  <w:style w:type="paragraph" w:styleId="721">
    <w:name w:val="Body Text Indent 2"/>
    <w:basedOn w:val="691"/>
    <w:link w:val="921"/>
    <w:uiPriority w:val="99"/>
    <w:qFormat/>
    <w:pPr>
      <w:ind w:left="630" w:firstLine="645"/>
    </w:pPr>
    <w:rPr>
      <w:rFonts w:ascii="Arial" w:hAnsi="Arial" w:eastAsia="仿宋_GB2312" w:cs="Arial"/>
      <w:sz w:val="32"/>
      <w:szCs w:val="32"/>
    </w:rPr>
  </w:style>
  <w:style w:type="paragraph" w:styleId="722">
    <w:name w:val="endnote text"/>
    <w:basedOn w:val="691"/>
    <w:link w:val="897"/>
    <w:uiPriority w:val="99"/>
    <w:semiHidden/>
    <w:unhideWhenUsed/>
    <w:qFormat/>
    <w:rPr>
      <w:sz w:val="20"/>
    </w:rPr>
  </w:style>
  <w:style w:type="paragraph" w:styleId="723">
    <w:name w:val="Balloon Text"/>
    <w:basedOn w:val="691"/>
    <w:link w:val="922"/>
    <w:uiPriority w:val="99"/>
    <w:semiHidden/>
    <w:qFormat/>
    <w:rPr>
      <w:sz w:val="18"/>
      <w:szCs w:val="18"/>
    </w:rPr>
  </w:style>
  <w:style w:type="paragraph" w:styleId="724">
    <w:name w:val="Footer"/>
    <w:basedOn w:val="691"/>
    <w:link w:val="923"/>
    <w:uiPriority w:val="99"/>
    <w:qFormat/>
    <w:pPr>
      <w:jc w:val="left"/>
      <w:tabs>
        <w:tab w:val="center" w:pos="4153" w:leader="none"/>
        <w:tab w:val="right" w:pos="8306" w:leader="none"/>
      </w:tabs>
    </w:pPr>
    <w:rPr>
      <w:sz w:val="18"/>
      <w:szCs w:val="18"/>
    </w:rPr>
  </w:style>
  <w:style w:type="paragraph" w:styleId="725">
    <w:name w:val="Header"/>
    <w:basedOn w:val="691"/>
    <w:link w:val="924"/>
    <w:uiPriority w:val="99"/>
    <w:qFormat/>
    <w:pPr>
      <w:jc w:val="center"/>
      <w:tabs>
        <w:tab w:val="center" w:pos="4153" w:leader="none"/>
        <w:tab w:val="right" w:pos="8306" w:leader="none"/>
      </w:tabs>
      <w:pBdr>
        <w:bottom w:val="single" w:color="000000" w:sz="6" w:space="1"/>
      </w:pBdr>
    </w:pPr>
    <w:rPr>
      <w:sz w:val="18"/>
      <w:szCs w:val="18"/>
    </w:rPr>
  </w:style>
  <w:style w:type="paragraph" w:styleId="726">
    <w:name w:val="toc 1"/>
    <w:basedOn w:val="691"/>
    <w:next w:val="691"/>
    <w:uiPriority w:val="39"/>
    <w:unhideWhenUsed/>
    <w:qFormat/>
    <w:pPr>
      <w:spacing w:after="57"/>
    </w:pPr>
  </w:style>
  <w:style w:type="paragraph" w:styleId="727">
    <w:name w:val="toc 4"/>
    <w:basedOn w:val="691"/>
    <w:next w:val="691"/>
    <w:uiPriority w:val="39"/>
    <w:unhideWhenUsed/>
    <w:qFormat/>
    <w:pPr>
      <w:ind w:left="850"/>
      <w:spacing w:after="57"/>
    </w:pPr>
  </w:style>
  <w:style w:type="paragraph" w:styleId="728">
    <w:name w:val="Subtitle"/>
    <w:basedOn w:val="691"/>
    <w:next w:val="691"/>
    <w:link w:val="763"/>
    <w:uiPriority w:val="11"/>
    <w:qFormat/>
    <w:pPr>
      <w:spacing w:before="200" w:after="200"/>
    </w:pPr>
    <w:rPr>
      <w:sz w:val="24"/>
      <w:szCs w:val="24"/>
    </w:rPr>
  </w:style>
  <w:style w:type="paragraph" w:styleId="729">
    <w:name w:val="List"/>
    <w:basedOn w:val="691"/>
    <w:uiPriority w:val="99"/>
    <w:qFormat/>
    <w:pPr>
      <w:ind w:left="200" w:hanging="200"/>
    </w:pPr>
    <w:rPr>
      <w:szCs w:val="21"/>
    </w:rPr>
  </w:style>
  <w:style w:type="paragraph" w:styleId="730">
    <w:name w:val="footnote text"/>
    <w:basedOn w:val="691"/>
    <w:link w:val="896"/>
    <w:uiPriority w:val="99"/>
    <w:semiHidden/>
    <w:unhideWhenUsed/>
    <w:qFormat/>
    <w:pPr>
      <w:spacing w:after="40"/>
    </w:pPr>
    <w:rPr>
      <w:sz w:val="18"/>
    </w:rPr>
  </w:style>
  <w:style w:type="paragraph" w:styleId="731">
    <w:name w:val="toc 6"/>
    <w:basedOn w:val="691"/>
    <w:next w:val="691"/>
    <w:uiPriority w:val="39"/>
    <w:unhideWhenUsed/>
    <w:qFormat/>
    <w:pPr>
      <w:ind w:left="1417"/>
      <w:spacing w:after="57"/>
    </w:pPr>
  </w:style>
  <w:style w:type="paragraph" w:styleId="732">
    <w:name w:val="Body Text Indent 3"/>
    <w:basedOn w:val="691"/>
    <w:link w:val="928"/>
    <w:uiPriority w:val="99"/>
    <w:qFormat/>
    <w:pPr>
      <w:ind w:left="645" w:firstLine="645"/>
    </w:pPr>
    <w:rPr>
      <w:rFonts w:ascii="Arial" w:hAnsi="Arial" w:eastAsia="仿宋_GB2312" w:cs="Arial"/>
      <w:color w:val="ffff00"/>
      <w:sz w:val="32"/>
      <w:szCs w:val="32"/>
    </w:rPr>
  </w:style>
  <w:style w:type="paragraph" w:styleId="733">
    <w:name w:val="table of figures"/>
    <w:basedOn w:val="691"/>
    <w:next w:val="691"/>
    <w:uiPriority w:val="99"/>
    <w:semiHidden/>
    <w:qFormat/>
    <w:pPr>
      <w:ind w:left="840" w:hanging="420"/>
    </w:pPr>
    <w:rPr>
      <w:szCs w:val="21"/>
    </w:rPr>
  </w:style>
  <w:style w:type="paragraph" w:styleId="734">
    <w:name w:val="toc 2"/>
    <w:basedOn w:val="691"/>
    <w:next w:val="691"/>
    <w:uiPriority w:val="39"/>
    <w:unhideWhenUsed/>
    <w:qFormat/>
    <w:pPr>
      <w:ind w:left="283"/>
      <w:spacing w:after="57"/>
    </w:pPr>
  </w:style>
  <w:style w:type="paragraph" w:styleId="735">
    <w:name w:val="toc 9"/>
    <w:basedOn w:val="691"/>
    <w:next w:val="691"/>
    <w:uiPriority w:val="39"/>
    <w:unhideWhenUsed/>
    <w:qFormat/>
    <w:pPr>
      <w:ind w:left="2268"/>
      <w:spacing w:after="57"/>
    </w:pPr>
  </w:style>
  <w:style w:type="paragraph" w:styleId="736">
    <w:name w:val="Body Text 2"/>
    <w:basedOn w:val="691"/>
    <w:link w:val="931"/>
    <w:uiPriority w:val="99"/>
    <w:qFormat/>
    <w:pPr>
      <w:jc w:val="center"/>
      <w:widowControl/>
    </w:pPr>
    <w:rPr>
      <w:rFonts w:ascii="楷体_GB2312" w:eastAsia="楷体_GB2312"/>
      <w:sz w:val="28"/>
      <w:szCs w:val="28"/>
    </w:rPr>
  </w:style>
  <w:style w:type="paragraph" w:styleId="737">
    <w:name w:val="Normal (Web)"/>
    <w:basedOn w:val="691"/>
    <w:uiPriority w:val="99"/>
    <w:qFormat/>
    <w:pPr>
      <w:jc w:val="left"/>
      <w:spacing w:before="100" w:beforeAutospacing="1" w:after="100" w:afterAutospacing="1"/>
      <w:widowControl/>
    </w:pPr>
    <w:rPr>
      <w:rFonts w:ascii="宋体" w:hAnsi="宋体" w:cs="宋体"/>
      <w:sz w:val="24"/>
      <w:szCs w:val="24"/>
    </w:rPr>
  </w:style>
  <w:style w:type="paragraph" w:styleId="738">
    <w:name w:val="index 1"/>
    <w:basedOn w:val="691"/>
    <w:next w:val="691"/>
    <w:uiPriority w:val="99"/>
    <w:semiHidden/>
    <w:qFormat/>
    <w:pPr>
      <w:spacing w:line="240" w:lineRule="atLeast"/>
    </w:pPr>
    <w:rPr>
      <w:b/>
      <w:bCs/>
      <w:szCs w:val="21"/>
    </w:rPr>
  </w:style>
  <w:style w:type="paragraph" w:styleId="739">
    <w:name w:val="Title"/>
    <w:basedOn w:val="691"/>
    <w:next w:val="691"/>
    <w:link w:val="762"/>
    <w:uiPriority w:val="10"/>
    <w:qFormat/>
    <w:pPr>
      <w:contextualSpacing/>
      <w:spacing w:before="300" w:after="200"/>
    </w:pPr>
    <w:rPr>
      <w:sz w:val="48"/>
      <w:szCs w:val="48"/>
    </w:rPr>
  </w:style>
  <w:style w:type="paragraph" w:styleId="740">
    <w:name w:val="annotation subject"/>
    <w:basedOn w:val="712"/>
    <w:next w:val="712"/>
    <w:link w:val="932"/>
    <w:uiPriority w:val="99"/>
    <w:semiHidden/>
    <w:qFormat/>
    <w:rPr>
      <w:b/>
      <w:bCs/>
      <w:szCs w:val="21"/>
    </w:rPr>
  </w:style>
  <w:style w:type="paragraph" w:styleId="741">
    <w:name w:val="Body Text First Indent 2"/>
    <w:basedOn w:val="742"/>
    <w:link w:val="1032"/>
    <w:qFormat/>
    <w:pPr>
      <w:ind w:left="0" w:firstLine="420"/>
      <w:spacing w:after="0" w:line="360" w:lineRule="auto"/>
    </w:pPr>
    <w:rPr>
      <w:rFonts w:ascii="宋体" w:hAnsi="宋体"/>
      <w:sz w:val="20"/>
      <w:szCs w:val="20"/>
      <w:lang w:eastAsia="en-US"/>
    </w:rPr>
  </w:style>
  <w:style w:type="paragraph" w:styleId="742" w:customStyle="1">
    <w:name w:val="正文文本缩进1"/>
    <w:basedOn w:val="691"/>
    <w:next w:val="741"/>
    <w:uiPriority w:val="99"/>
    <w:unhideWhenUsed/>
    <w:qFormat/>
    <w:pPr>
      <w:ind w:left="420"/>
      <w:spacing w:after="120"/>
    </w:pPr>
  </w:style>
  <w:style w:type="table" w:styleId="743">
    <w:name w:val="Table Grid"/>
    <w:basedOn w:val="70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4">
    <w:name w:val="Strong"/>
    <w:uiPriority w:val="22"/>
    <w:qFormat/>
    <w:rPr>
      <w:b/>
      <w:bCs/>
    </w:rPr>
  </w:style>
  <w:style w:type="character" w:styleId="745">
    <w:name w:val="endnote reference"/>
    <w:uiPriority w:val="99"/>
    <w:semiHidden/>
    <w:unhideWhenUsed/>
    <w:qFormat/>
    <w:rPr>
      <w:vertAlign w:val="superscript"/>
    </w:rPr>
  </w:style>
  <w:style w:type="character" w:styleId="746">
    <w:name w:val="page number"/>
    <w:qFormat/>
  </w:style>
  <w:style w:type="character" w:styleId="747">
    <w:name w:val="FollowedHyperlink"/>
    <w:uiPriority w:val="99"/>
    <w:qFormat/>
    <w:rPr>
      <w:color w:val="800080"/>
      <w:u w:val="single"/>
    </w:rPr>
  </w:style>
  <w:style w:type="character" w:styleId="748">
    <w:name w:val="Hyperlink"/>
    <w:uiPriority w:val="99"/>
    <w:qFormat/>
    <w:rPr>
      <w:color w:val="0000ff"/>
      <w:u w:val="single"/>
    </w:rPr>
  </w:style>
  <w:style w:type="character" w:styleId="749">
    <w:name w:val="annotation reference"/>
    <w:semiHidden/>
    <w:qFormat/>
    <w:rPr>
      <w:sz w:val="21"/>
      <w:szCs w:val="21"/>
    </w:rPr>
  </w:style>
  <w:style w:type="character" w:styleId="750">
    <w:name w:val="footnote reference"/>
    <w:uiPriority w:val="99"/>
    <w:unhideWhenUsed/>
    <w:qFormat/>
    <w:rPr>
      <w:vertAlign w:val="superscript"/>
    </w:rPr>
  </w:style>
  <w:style w:type="character" w:styleId="751" w:customStyle="1">
    <w:name w:val="Heading 1 Char"/>
    <w:uiPriority w:val="9"/>
    <w:qFormat/>
    <w:rPr>
      <w:rFonts w:ascii="Arial" w:hAnsi="Arial" w:eastAsia="Arial" w:cs="Arial"/>
      <w:sz w:val="40"/>
      <w:szCs w:val="40"/>
    </w:rPr>
  </w:style>
  <w:style w:type="character" w:styleId="752" w:customStyle="1">
    <w:name w:val="Heading 2 Char"/>
    <w:uiPriority w:val="9"/>
    <w:qFormat/>
    <w:rPr>
      <w:rFonts w:ascii="Arial" w:hAnsi="Arial" w:eastAsia="Arial" w:cs="Arial"/>
      <w:sz w:val="34"/>
    </w:rPr>
  </w:style>
  <w:style w:type="character" w:styleId="753" w:customStyle="1">
    <w:name w:val="Heading 3 Char"/>
    <w:uiPriority w:val="9"/>
    <w:qFormat/>
    <w:rPr>
      <w:rFonts w:ascii="Arial" w:hAnsi="Arial" w:eastAsia="Arial" w:cs="Arial"/>
      <w:sz w:val="30"/>
      <w:szCs w:val="30"/>
    </w:rPr>
  </w:style>
  <w:style w:type="character" w:styleId="754" w:customStyle="1">
    <w:name w:val="Heading 4 Char"/>
    <w:uiPriority w:val="9"/>
    <w:qFormat/>
    <w:rPr>
      <w:rFonts w:ascii="Arial" w:hAnsi="Arial" w:eastAsia="Arial" w:cs="Arial"/>
      <w:b/>
      <w:bCs/>
      <w:sz w:val="26"/>
      <w:szCs w:val="26"/>
    </w:rPr>
  </w:style>
  <w:style w:type="character" w:styleId="755" w:customStyle="1">
    <w:name w:val="Heading 5 Char"/>
    <w:uiPriority w:val="9"/>
    <w:qFormat/>
    <w:rPr>
      <w:rFonts w:ascii="Arial" w:hAnsi="Arial" w:eastAsia="Arial" w:cs="Arial"/>
      <w:b/>
      <w:bCs/>
      <w:sz w:val="24"/>
      <w:szCs w:val="24"/>
    </w:rPr>
  </w:style>
  <w:style w:type="character" w:styleId="756" w:customStyle="1">
    <w:name w:val="Heading 6 Char"/>
    <w:uiPriority w:val="9"/>
    <w:qFormat/>
    <w:rPr>
      <w:rFonts w:ascii="Arial" w:hAnsi="Arial" w:eastAsia="Arial" w:cs="Arial"/>
      <w:b/>
      <w:bCs/>
      <w:sz w:val="22"/>
      <w:szCs w:val="22"/>
    </w:rPr>
  </w:style>
  <w:style w:type="character" w:styleId="757" w:customStyle="1">
    <w:name w:val="Heading 7 Char"/>
    <w:uiPriority w:val="9"/>
    <w:qFormat/>
    <w:rPr>
      <w:rFonts w:ascii="Arial" w:hAnsi="Arial" w:eastAsia="Arial" w:cs="Arial"/>
      <w:b/>
      <w:bCs/>
      <w:i/>
      <w:iCs/>
      <w:sz w:val="22"/>
      <w:szCs w:val="22"/>
    </w:rPr>
  </w:style>
  <w:style w:type="character" w:styleId="758" w:customStyle="1">
    <w:name w:val="Heading 8 Char"/>
    <w:uiPriority w:val="9"/>
    <w:qFormat/>
    <w:rPr>
      <w:rFonts w:ascii="Arial" w:hAnsi="Arial" w:eastAsia="Arial" w:cs="Arial"/>
      <w:i/>
      <w:iCs/>
      <w:sz w:val="22"/>
      <w:szCs w:val="22"/>
    </w:rPr>
  </w:style>
  <w:style w:type="character" w:styleId="759" w:customStyle="1">
    <w:name w:val="Heading 9 Char"/>
    <w:uiPriority w:val="9"/>
    <w:qFormat/>
    <w:rPr>
      <w:rFonts w:ascii="Arial" w:hAnsi="Arial" w:eastAsia="Arial" w:cs="Arial"/>
      <w:i/>
      <w:iCs/>
      <w:sz w:val="21"/>
      <w:szCs w:val="21"/>
    </w:rPr>
  </w:style>
  <w:style w:type="paragraph" w:styleId="760">
    <w:name w:val="List Paragraph"/>
    <w:basedOn w:val="691"/>
    <w:uiPriority w:val="34"/>
    <w:qFormat/>
    <w:pPr>
      <w:contextualSpacing/>
      <w:ind w:left="720"/>
    </w:pPr>
  </w:style>
  <w:style w:type="paragraph" w:styleId="761">
    <w:name w:val="No Spacing"/>
    <w:uiPriority w:val="99"/>
    <w:qFormat/>
    <w:pPr>
      <w:jc w:val="both"/>
      <w:widowControl w:val="off"/>
    </w:pPr>
    <w:rPr>
      <w:sz w:val="21"/>
      <w:szCs w:val="21"/>
    </w:rPr>
  </w:style>
  <w:style w:type="character" w:styleId="762" w:customStyle="1">
    <w:name w:val="标题 字符"/>
    <w:link w:val="739"/>
    <w:uiPriority w:val="10"/>
    <w:qFormat/>
    <w:rPr>
      <w:sz w:val="48"/>
      <w:szCs w:val="48"/>
    </w:rPr>
  </w:style>
  <w:style w:type="character" w:styleId="763" w:customStyle="1">
    <w:name w:val="副标题 字符"/>
    <w:link w:val="728"/>
    <w:uiPriority w:val="11"/>
    <w:qFormat/>
    <w:rPr>
      <w:sz w:val="24"/>
      <w:szCs w:val="24"/>
    </w:rPr>
  </w:style>
  <w:style w:type="paragraph" w:styleId="764">
    <w:name w:val="Quote"/>
    <w:basedOn w:val="691"/>
    <w:next w:val="691"/>
    <w:link w:val="765"/>
    <w:uiPriority w:val="29"/>
    <w:qFormat/>
    <w:pPr>
      <w:ind w:left="720" w:right="720"/>
    </w:pPr>
    <w:rPr>
      <w:i/>
    </w:rPr>
  </w:style>
  <w:style w:type="character" w:styleId="765" w:customStyle="1">
    <w:name w:val="引用 字符"/>
    <w:link w:val="764"/>
    <w:uiPriority w:val="29"/>
    <w:qFormat/>
    <w:rPr>
      <w:i/>
    </w:rPr>
  </w:style>
  <w:style w:type="paragraph" w:styleId="766">
    <w:name w:val="Intense Quote"/>
    <w:basedOn w:val="691"/>
    <w:next w:val="691"/>
    <w:link w:val="7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customStyle="1">
    <w:name w:val="明显引用 字符"/>
    <w:link w:val="766"/>
    <w:uiPriority w:val="30"/>
    <w:qFormat/>
    <w:rPr>
      <w:i/>
    </w:rPr>
  </w:style>
  <w:style w:type="character" w:styleId="768" w:customStyle="1">
    <w:name w:val="Header Char"/>
    <w:uiPriority w:val="99"/>
    <w:qFormat/>
  </w:style>
  <w:style w:type="character" w:styleId="769" w:customStyle="1">
    <w:name w:val="Footer Char"/>
    <w:uiPriority w:val="99"/>
    <w:qFormat/>
  </w:style>
  <w:style w:type="character" w:styleId="770" w:customStyle="1">
    <w:name w:val="Caption Char"/>
    <w:uiPriority w:val="99"/>
    <w:qFormat/>
  </w:style>
  <w:style w:type="table" w:styleId="77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74" w:customStyle="1">
    <w:name w:val="无格式表格 31"/>
    <w:uiPriority w:val="99"/>
    <w:qFormat/>
    <w:tblPr>
      <w:tblCellMar>
        <w:left w:w="0" w:type="dxa"/>
        <w:top w:w="0" w:type="dxa"/>
        <w:right w:w="0" w:type="dxa"/>
        <w:bottom w:w="0" w:type="dxa"/>
      </w:tblCellMar>
    </w:tblPr>
  </w:style>
  <w:style w:type="table" w:styleId="775" w:customStyle="1">
    <w:name w:val="无格式表格 41"/>
    <w:uiPriority w:val="99"/>
    <w:qFormat/>
    <w:tblPr>
      <w:tblCellMar>
        <w:left w:w="0" w:type="dxa"/>
        <w:top w:w="0" w:type="dxa"/>
        <w:right w:w="0" w:type="dxa"/>
        <w:bottom w:w="0" w:type="dxa"/>
      </w:tblCellMar>
    </w:tblPr>
  </w:style>
  <w:style w:type="table" w:styleId="776" w:customStyle="1">
    <w:name w:val="无格式表格 51"/>
    <w:uiPriority w:val="99"/>
    <w:qFormat/>
    <w:tblPr>
      <w:tblCellMar>
        <w:left w:w="0" w:type="dxa"/>
        <w:top w:w="0" w:type="dxa"/>
        <w:right w:w="0" w:type="dxa"/>
        <w:bottom w:w="0" w:type="dxa"/>
      </w:tblCellMar>
    </w:tblPr>
  </w:style>
  <w:style w:type="table" w:styleId="77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7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7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8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8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8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8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8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8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8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9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0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0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0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0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0" w:customStyle="1">
    <w:name w:val="Grid Table 5 Dark - Accent 5"/>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6" w:customStyle="1">
    <w:name w:val="清单表 1 浅色1"/>
    <w:uiPriority w:val="99"/>
    <w:qFormat/>
    <w:tblPr>
      <w:tblCellMar>
        <w:left w:w="0" w:type="dxa"/>
        <w:top w:w="0" w:type="dxa"/>
        <w:right w:w="0" w:type="dxa"/>
        <w:bottom w:w="0" w:type="dxa"/>
      </w:tblCellMar>
    </w:tblPr>
  </w:style>
  <w:style w:type="table" w:styleId="827" w:customStyle="1">
    <w:name w:val="List Table 1 Light - Accent 1"/>
    <w:uiPriority w:val="99"/>
    <w:qFormat/>
    <w:tblPr>
      <w:tblCellMar>
        <w:left w:w="0" w:type="dxa"/>
        <w:top w:w="0" w:type="dxa"/>
        <w:right w:w="0" w:type="dxa"/>
        <w:bottom w:w="0" w:type="dxa"/>
      </w:tblCellMar>
    </w:tblPr>
  </w:style>
  <w:style w:type="table" w:styleId="828" w:customStyle="1">
    <w:name w:val="List Table 1 Light - Accent 2"/>
    <w:uiPriority w:val="99"/>
    <w:qFormat/>
    <w:tblPr>
      <w:tblCellMar>
        <w:left w:w="0" w:type="dxa"/>
        <w:top w:w="0" w:type="dxa"/>
        <w:right w:w="0" w:type="dxa"/>
        <w:bottom w:w="0" w:type="dxa"/>
      </w:tblCellMar>
    </w:tblPr>
  </w:style>
  <w:style w:type="table" w:styleId="829" w:customStyle="1">
    <w:name w:val="List Table 1 Light - Accent 3"/>
    <w:uiPriority w:val="99"/>
    <w:qFormat/>
    <w:tblPr>
      <w:tblCellMar>
        <w:left w:w="0" w:type="dxa"/>
        <w:top w:w="0" w:type="dxa"/>
        <w:right w:w="0" w:type="dxa"/>
        <w:bottom w:w="0" w:type="dxa"/>
      </w:tblCellMar>
    </w:tblPr>
  </w:style>
  <w:style w:type="table" w:styleId="830" w:customStyle="1">
    <w:name w:val="List Table 1 Light - Accent 4"/>
    <w:uiPriority w:val="99"/>
    <w:qFormat/>
    <w:tblPr>
      <w:tblCellMar>
        <w:left w:w="0" w:type="dxa"/>
        <w:top w:w="0" w:type="dxa"/>
        <w:right w:w="0" w:type="dxa"/>
        <w:bottom w:w="0" w:type="dxa"/>
      </w:tblCellMar>
    </w:tblPr>
  </w:style>
  <w:style w:type="table" w:styleId="831" w:customStyle="1">
    <w:name w:val="List Table 1 Light - Accent 5"/>
    <w:uiPriority w:val="99"/>
    <w:qFormat/>
    <w:tblPr>
      <w:tblCellMar>
        <w:left w:w="0" w:type="dxa"/>
        <w:top w:w="0" w:type="dxa"/>
        <w:right w:w="0" w:type="dxa"/>
        <w:bottom w:w="0" w:type="dxa"/>
      </w:tblCellMar>
    </w:tblPr>
  </w:style>
  <w:style w:type="table" w:styleId="832" w:customStyle="1">
    <w:name w:val="List Table 1 Light - Accent 6"/>
    <w:uiPriority w:val="99"/>
    <w:qFormat/>
    <w:tblPr>
      <w:tblCellMar>
        <w:left w:w="0" w:type="dxa"/>
        <w:top w:w="0" w:type="dxa"/>
        <w:right w:w="0" w:type="dxa"/>
        <w:bottom w:w="0" w:type="dxa"/>
      </w:tblCellMar>
    </w:tblPr>
  </w:style>
  <w:style w:type="table" w:styleId="83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3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3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3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3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3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3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4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4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4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4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4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4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4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4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4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4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5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5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5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5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5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5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5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5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5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5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6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6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6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6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6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6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6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6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6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6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7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7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7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7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7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75" w:customStyle="1">
    <w:name w:val="Lined - Accent"/>
    <w:uiPriority w:val="99"/>
    <w:qFormat/>
    <w:rPr>
      <w:color w:val="404040"/>
    </w:rPr>
    <w:tblPr>
      <w:tblCellMar>
        <w:left w:w="0" w:type="dxa"/>
        <w:top w:w="0" w:type="dxa"/>
        <w:right w:w="0" w:type="dxa"/>
        <w:bottom w:w="0" w:type="dxa"/>
      </w:tblCellMar>
    </w:tblPr>
  </w:style>
  <w:style w:type="table" w:styleId="876" w:customStyle="1">
    <w:name w:val="Lined - Accent 1"/>
    <w:uiPriority w:val="99"/>
    <w:qFormat/>
    <w:rPr>
      <w:color w:val="404040"/>
    </w:rPr>
    <w:tblPr>
      <w:tblCellMar>
        <w:left w:w="0" w:type="dxa"/>
        <w:top w:w="0" w:type="dxa"/>
        <w:right w:w="0" w:type="dxa"/>
        <w:bottom w:w="0" w:type="dxa"/>
      </w:tblCellMar>
    </w:tblPr>
  </w:style>
  <w:style w:type="table" w:styleId="877" w:customStyle="1">
    <w:name w:val="Lined - Accent 2"/>
    <w:uiPriority w:val="99"/>
    <w:qFormat/>
    <w:rPr>
      <w:color w:val="404040"/>
    </w:rPr>
    <w:tblPr>
      <w:tblCellMar>
        <w:left w:w="0" w:type="dxa"/>
        <w:top w:w="0" w:type="dxa"/>
        <w:right w:w="0" w:type="dxa"/>
        <w:bottom w:w="0" w:type="dxa"/>
      </w:tblCellMar>
    </w:tblPr>
  </w:style>
  <w:style w:type="table" w:styleId="878" w:customStyle="1">
    <w:name w:val="Lined - Accent 3"/>
    <w:uiPriority w:val="99"/>
    <w:qFormat/>
    <w:rPr>
      <w:color w:val="404040"/>
    </w:rPr>
    <w:tblPr>
      <w:tblCellMar>
        <w:left w:w="0" w:type="dxa"/>
        <w:top w:w="0" w:type="dxa"/>
        <w:right w:w="0" w:type="dxa"/>
        <w:bottom w:w="0" w:type="dxa"/>
      </w:tblCellMar>
    </w:tblPr>
  </w:style>
  <w:style w:type="table" w:styleId="879" w:customStyle="1">
    <w:name w:val="Lined - Accent 4"/>
    <w:uiPriority w:val="99"/>
    <w:qFormat/>
    <w:rPr>
      <w:color w:val="404040"/>
    </w:rPr>
    <w:tblPr>
      <w:tblCellMar>
        <w:left w:w="0" w:type="dxa"/>
        <w:top w:w="0" w:type="dxa"/>
        <w:right w:w="0" w:type="dxa"/>
        <w:bottom w:w="0" w:type="dxa"/>
      </w:tblCellMar>
    </w:tblPr>
  </w:style>
  <w:style w:type="table" w:styleId="880" w:customStyle="1">
    <w:name w:val="Lined - Accent 5"/>
    <w:uiPriority w:val="99"/>
    <w:qFormat/>
    <w:rPr>
      <w:color w:val="404040"/>
    </w:rPr>
    <w:tblPr>
      <w:tblCellMar>
        <w:left w:w="0" w:type="dxa"/>
        <w:top w:w="0" w:type="dxa"/>
        <w:right w:w="0" w:type="dxa"/>
        <w:bottom w:w="0" w:type="dxa"/>
      </w:tblCellMar>
    </w:tblPr>
  </w:style>
  <w:style w:type="table" w:styleId="881" w:customStyle="1">
    <w:name w:val="Lined - Accent 6"/>
    <w:uiPriority w:val="99"/>
    <w:qFormat/>
    <w:rPr>
      <w:color w:val="404040"/>
    </w:rPr>
    <w:tblPr>
      <w:tblCellMar>
        <w:left w:w="0" w:type="dxa"/>
        <w:top w:w="0" w:type="dxa"/>
        <w:right w:w="0" w:type="dxa"/>
        <w:bottom w:w="0" w:type="dxa"/>
      </w:tblCellMar>
    </w:tblPr>
  </w:style>
  <w:style w:type="table" w:styleId="88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8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8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8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8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8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8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8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9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96" w:customStyle="1">
    <w:name w:val="脚注文本 字符"/>
    <w:link w:val="730"/>
    <w:uiPriority w:val="99"/>
    <w:qFormat/>
    <w:rPr>
      <w:sz w:val="18"/>
    </w:rPr>
  </w:style>
  <w:style w:type="character" w:styleId="897" w:customStyle="1">
    <w:name w:val="尾注文本 字符"/>
    <w:link w:val="722"/>
    <w:uiPriority w:val="99"/>
    <w:qFormat/>
    <w:rPr>
      <w:sz w:val="20"/>
    </w:rPr>
  </w:style>
  <w:style w:type="paragraph" w:styleId="898" w:customStyle="1">
    <w:name w:val="TOC 标题1"/>
    <w:uiPriority w:val="39"/>
    <w:unhideWhenUsed/>
    <w:qFormat/>
  </w:style>
  <w:style w:type="character" w:styleId="899" w:customStyle="1">
    <w:name w:val="正文文本缩进 字符"/>
    <w:link w:val="705"/>
    <w:uiPriority w:val="99"/>
    <w:qFormat/>
  </w:style>
  <w:style w:type="character" w:styleId="900" w:customStyle="1">
    <w:name w:val="正文首行缩进 2 字符"/>
    <w:link w:val="704"/>
    <w:uiPriority w:val="99"/>
    <w:qFormat/>
    <w:rPr>
      <w:rFonts w:ascii="宋体" w:hAnsi="宋体" w:eastAsia="宋体" w:cs="Times New Roman"/>
      <w:szCs w:val="20"/>
    </w:rPr>
  </w:style>
  <w:style w:type="character" w:styleId="901" w:customStyle="1">
    <w:name w:val="标题 1 字符"/>
    <w:link w:val="692"/>
    <w:qFormat/>
    <w:rPr>
      <w:rFonts w:ascii="楷体_GB2312" w:hAnsi="Times New Roman" w:eastAsia="楷体_GB2312" w:cs="Times New Roman"/>
      <w:sz w:val="28"/>
      <w:szCs w:val="28"/>
    </w:rPr>
  </w:style>
  <w:style w:type="character" w:styleId="902" w:customStyle="1">
    <w:name w:val="标题 2 字符"/>
    <w:link w:val="693"/>
    <w:qFormat/>
    <w:rPr>
      <w:rFonts w:ascii="Arial" w:hAnsi="Arial" w:eastAsia="幼圆" w:cs="Arial"/>
      <w:b/>
      <w:bCs/>
      <w:sz w:val="44"/>
      <w:szCs w:val="44"/>
    </w:rPr>
  </w:style>
  <w:style w:type="character" w:styleId="903" w:customStyle="1">
    <w:name w:val="正文缩进 字符"/>
    <w:link w:val="707"/>
    <w:qFormat/>
    <w:rPr>
      <w:szCs w:val="21"/>
    </w:rPr>
  </w:style>
  <w:style w:type="character" w:styleId="904" w:customStyle="1">
    <w:name w:val="标题 3 字符"/>
    <w:link w:val="694"/>
    <w:qFormat/>
    <w:rPr>
      <w:rFonts w:ascii="Times New Roman" w:hAnsi="Times New Roman" w:eastAsia="宋体" w:cs="Times New Roman"/>
      <w:b/>
      <w:bCs/>
      <w:sz w:val="32"/>
      <w:szCs w:val="32"/>
    </w:rPr>
  </w:style>
  <w:style w:type="character" w:styleId="905" w:customStyle="1">
    <w:name w:val="标题 4 字符"/>
    <w:link w:val="695"/>
    <w:qFormat/>
    <w:rPr>
      <w:rFonts w:ascii="Arial" w:hAnsi="Arial" w:eastAsia="黑体" w:cs="Arial"/>
      <w:b/>
      <w:bCs/>
      <w:sz w:val="28"/>
      <w:szCs w:val="28"/>
    </w:rPr>
  </w:style>
  <w:style w:type="character" w:styleId="906" w:customStyle="1">
    <w:name w:val="标题 5 字符"/>
    <w:link w:val="696"/>
    <w:qFormat/>
    <w:rPr>
      <w:rFonts w:ascii="宋体" w:hAnsi="Times New Roman" w:eastAsia="宋体" w:cs="Times New Roman"/>
      <w:color w:val="000000"/>
      <w:sz w:val="28"/>
      <w:szCs w:val="28"/>
    </w:rPr>
  </w:style>
  <w:style w:type="character" w:styleId="907" w:customStyle="1">
    <w:name w:val="标题 6 字符"/>
    <w:link w:val="697"/>
    <w:qFormat/>
    <w:rPr>
      <w:rFonts w:ascii="Arial" w:hAnsi="Arial" w:eastAsia="黑体" w:cs="Times New Roman"/>
      <w:b/>
      <w:bCs/>
      <w:sz w:val="24"/>
      <w:szCs w:val="24"/>
    </w:rPr>
  </w:style>
  <w:style w:type="character" w:styleId="908" w:customStyle="1">
    <w:name w:val="标题 7 字符"/>
    <w:link w:val="698"/>
    <w:uiPriority w:val="99"/>
    <w:qFormat/>
    <w:rPr>
      <w:rFonts w:ascii="Times New Roman" w:hAnsi="Times New Roman" w:eastAsia="宋体" w:cs="Times New Roman"/>
      <w:b/>
      <w:bCs/>
      <w:sz w:val="24"/>
      <w:szCs w:val="24"/>
    </w:rPr>
  </w:style>
  <w:style w:type="character" w:styleId="909" w:customStyle="1">
    <w:name w:val="标题 8 字符"/>
    <w:link w:val="699"/>
    <w:uiPriority w:val="99"/>
    <w:qFormat/>
    <w:rPr>
      <w:rFonts w:ascii="Arial" w:hAnsi="Arial" w:eastAsia="黑体" w:cs="Times New Roman"/>
      <w:sz w:val="24"/>
      <w:szCs w:val="24"/>
    </w:rPr>
  </w:style>
  <w:style w:type="character" w:styleId="910" w:customStyle="1">
    <w:name w:val="标题 9 字符"/>
    <w:link w:val="700"/>
    <w:uiPriority w:val="99"/>
    <w:qFormat/>
    <w:rPr>
      <w:rFonts w:ascii="Arial" w:hAnsi="Arial" w:eastAsia="黑体" w:cs="Times New Roman"/>
      <w:szCs w:val="21"/>
    </w:rPr>
  </w:style>
  <w:style w:type="paragraph" w:styleId="911" w:customStyle="1">
    <w:name w:val="目录 71"/>
    <w:basedOn w:val="691"/>
    <w:next w:val="691"/>
    <w:uiPriority w:val="99"/>
    <w:semiHidden/>
    <w:qFormat/>
    <w:pPr>
      <w:ind w:left="1260"/>
      <w:jc w:val="left"/>
    </w:pPr>
    <w:rPr>
      <w:szCs w:val="21"/>
    </w:rPr>
  </w:style>
  <w:style w:type="character" w:styleId="912" w:customStyle="1">
    <w:name w:val="文档结构图 字符"/>
    <w:link w:val="711"/>
    <w:uiPriority w:val="99"/>
    <w:semiHidden/>
    <w:qFormat/>
    <w:rPr>
      <w:rFonts w:ascii="Times New Roman" w:hAnsi="Times New Roman" w:eastAsia="宋体" w:cs="Times New Roman"/>
      <w:szCs w:val="21"/>
      <w:shd w:val="clear" w:color="auto" w:fill="000080"/>
    </w:rPr>
  </w:style>
  <w:style w:type="character" w:styleId="913" w:customStyle="1">
    <w:name w:val="批注文字 字符"/>
    <w:link w:val="712"/>
    <w:uiPriority w:val="99"/>
    <w:qFormat/>
  </w:style>
  <w:style w:type="character" w:styleId="914" w:customStyle="1">
    <w:name w:val="正文文本 3 字符"/>
    <w:link w:val="713"/>
    <w:uiPriority w:val="99"/>
    <w:qFormat/>
    <w:rPr>
      <w:rFonts w:ascii="仿宋_GB2312" w:hAnsi="Arial" w:eastAsia="仿宋_GB2312" w:cs="Times New Roman"/>
      <w:sz w:val="32"/>
      <w:szCs w:val="32"/>
    </w:rPr>
  </w:style>
  <w:style w:type="character" w:styleId="915" w:customStyle="1">
    <w:name w:val="正文文本 字符"/>
    <w:link w:val="714"/>
    <w:uiPriority w:val="99"/>
    <w:qFormat/>
    <w:rPr>
      <w:rFonts w:ascii="楷体_GB2312" w:hAnsi="Arial" w:eastAsia="楷体_GB2312" w:cs="Times New Roman"/>
      <w:sz w:val="28"/>
      <w:szCs w:val="28"/>
    </w:rPr>
  </w:style>
  <w:style w:type="paragraph" w:styleId="916" w:customStyle="1">
    <w:name w:val="目录 51"/>
    <w:basedOn w:val="691"/>
    <w:next w:val="691"/>
    <w:uiPriority w:val="99"/>
    <w:semiHidden/>
    <w:qFormat/>
    <w:pPr>
      <w:ind w:left="840"/>
      <w:jc w:val="left"/>
    </w:pPr>
    <w:rPr>
      <w:szCs w:val="21"/>
    </w:rPr>
  </w:style>
  <w:style w:type="paragraph" w:styleId="917" w:customStyle="1">
    <w:name w:val="目录 31"/>
    <w:basedOn w:val="691"/>
    <w:next w:val="691"/>
    <w:uiPriority w:val="99"/>
    <w:semiHidden/>
    <w:qFormat/>
    <w:pPr>
      <w:ind w:left="420"/>
      <w:jc w:val="left"/>
    </w:pPr>
    <w:rPr>
      <w:i/>
      <w:iCs/>
      <w:szCs w:val="24"/>
    </w:rPr>
  </w:style>
  <w:style w:type="character" w:styleId="918" w:customStyle="1">
    <w:name w:val="纯文本 字符"/>
    <w:link w:val="718"/>
    <w:uiPriority w:val="99"/>
    <w:qFormat/>
    <w:rPr>
      <w:rFonts w:ascii="宋体" w:hAnsi="Courier New" w:eastAsia="宋体" w:cs="Courier New"/>
      <w:szCs w:val="21"/>
    </w:rPr>
  </w:style>
  <w:style w:type="paragraph" w:styleId="919" w:customStyle="1">
    <w:name w:val="目录 81"/>
    <w:basedOn w:val="691"/>
    <w:next w:val="691"/>
    <w:uiPriority w:val="99"/>
    <w:semiHidden/>
    <w:qFormat/>
    <w:pPr>
      <w:ind w:left="1470"/>
      <w:jc w:val="left"/>
    </w:pPr>
    <w:rPr>
      <w:szCs w:val="21"/>
    </w:rPr>
  </w:style>
  <w:style w:type="character" w:styleId="920" w:customStyle="1">
    <w:name w:val="日期 字符"/>
    <w:link w:val="720"/>
    <w:uiPriority w:val="99"/>
    <w:qFormat/>
    <w:rPr>
      <w:rFonts w:ascii="Times New Roman" w:hAnsi="Times New Roman" w:eastAsia="宋体" w:cs="Times New Roman"/>
      <w:sz w:val="24"/>
      <w:szCs w:val="24"/>
    </w:rPr>
  </w:style>
  <w:style w:type="character" w:styleId="921" w:customStyle="1">
    <w:name w:val="正文文本缩进 2 字符"/>
    <w:link w:val="721"/>
    <w:uiPriority w:val="99"/>
    <w:qFormat/>
    <w:rPr>
      <w:rFonts w:ascii="Arial" w:hAnsi="Arial" w:eastAsia="仿宋_GB2312" w:cs="Arial"/>
      <w:sz w:val="32"/>
      <w:szCs w:val="32"/>
    </w:rPr>
  </w:style>
  <w:style w:type="character" w:styleId="922" w:customStyle="1">
    <w:name w:val="批注框文本 字符"/>
    <w:link w:val="723"/>
    <w:uiPriority w:val="99"/>
    <w:semiHidden/>
    <w:qFormat/>
    <w:rPr>
      <w:rFonts w:ascii="Times New Roman" w:hAnsi="Times New Roman" w:eastAsia="宋体" w:cs="Times New Roman"/>
      <w:sz w:val="18"/>
      <w:szCs w:val="18"/>
    </w:rPr>
  </w:style>
  <w:style w:type="character" w:styleId="923" w:customStyle="1">
    <w:name w:val="页脚 字符"/>
    <w:link w:val="724"/>
    <w:uiPriority w:val="99"/>
    <w:qFormat/>
    <w:rPr>
      <w:rFonts w:ascii="Times New Roman" w:hAnsi="Times New Roman" w:eastAsia="宋体" w:cs="Times New Roman"/>
      <w:sz w:val="18"/>
      <w:szCs w:val="18"/>
    </w:rPr>
  </w:style>
  <w:style w:type="character" w:styleId="924" w:customStyle="1">
    <w:name w:val="页眉 字符"/>
    <w:link w:val="725"/>
    <w:uiPriority w:val="99"/>
    <w:qFormat/>
    <w:rPr>
      <w:rFonts w:ascii="Times New Roman" w:hAnsi="Times New Roman" w:eastAsia="宋体" w:cs="Times New Roman"/>
      <w:sz w:val="18"/>
      <w:szCs w:val="18"/>
    </w:rPr>
  </w:style>
  <w:style w:type="paragraph" w:styleId="925" w:customStyle="1">
    <w:name w:val="目录 11"/>
    <w:basedOn w:val="691"/>
    <w:next w:val="691"/>
    <w:uiPriority w:val="99"/>
    <w:semiHidden/>
    <w:qFormat/>
    <w:pPr>
      <w:jc w:val="left"/>
      <w:spacing w:before="120" w:after="120" w:line="400" w:lineRule="exact"/>
      <w:tabs>
        <w:tab w:val="right" w:pos="8720" w:leader="dot"/>
      </w:tabs>
    </w:pPr>
    <w:rPr>
      <w:rFonts w:ascii="宋体" w:hAnsi="宋体"/>
      <w:caps/>
      <w:sz w:val="24"/>
      <w:szCs w:val="24"/>
    </w:rPr>
  </w:style>
  <w:style w:type="paragraph" w:styleId="926" w:customStyle="1">
    <w:name w:val="目录 41"/>
    <w:basedOn w:val="691"/>
    <w:next w:val="691"/>
    <w:uiPriority w:val="99"/>
    <w:semiHidden/>
    <w:qFormat/>
    <w:pPr>
      <w:ind w:left="630"/>
      <w:jc w:val="left"/>
    </w:pPr>
    <w:rPr>
      <w:szCs w:val="21"/>
    </w:rPr>
  </w:style>
  <w:style w:type="paragraph" w:styleId="927" w:customStyle="1">
    <w:name w:val="目录 61"/>
    <w:basedOn w:val="691"/>
    <w:next w:val="691"/>
    <w:uiPriority w:val="99"/>
    <w:semiHidden/>
    <w:qFormat/>
    <w:pPr>
      <w:ind w:left="1050"/>
      <w:jc w:val="left"/>
    </w:pPr>
    <w:rPr>
      <w:szCs w:val="21"/>
    </w:rPr>
  </w:style>
  <w:style w:type="character" w:styleId="928" w:customStyle="1">
    <w:name w:val="正文文本缩进 3 字符"/>
    <w:link w:val="732"/>
    <w:uiPriority w:val="99"/>
    <w:qFormat/>
    <w:rPr>
      <w:rFonts w:ascii="Arial" w:hAnsi="Arial" w:eastAsia="仿宋_GB2312" w:cs="Arial"/>
      <w:color w:val="ffff00"/>
      <w:sz w:val="32"/>
      <w:szCs w:val="32"/>
    </w:rPr>
  </w:style>
  <w:style w:type="paragraph" w:styleId="929" w:customStyle="1">
    <w:name w:val="目录 21"/>
    <w:basedOn w:val="691"/>
    <w:next w:val="691"/>
    <w:uiPriority w:val="99"/>
    <w:semiHidden/>
    <w:qFormat/>
    <w:pPr>
      <w:ind w:left="210"/>
      <w:jc w:val="left"/>
    </w:pPr>
    <w:rPr>
      <w:smallCaps/>
      <w:szCs w:val="24"/>
    </w:rPr>
  </w:style>
  <w:style w:type="paragraph" w:styleId="930" w:customStyle="1">
    <w:name w:val="目录 91"/>
    <w:basedOn w:val="691"/>
    <w:next w:val="691"/>
    <w:uiPriority w:val="99"/>
    <w:semiHidden/>
    <w:qFormat/>
    <w:pPr>
      <w:ind w:left="1680"/>
      <w:jc w:val="left"/>
    </w:pPr>
    <w:rPr>
      <w:szCs w:val="21"/>
    </w:rPr>
  </w:style>
  <w:style w:type="character" w:styleId="931" w:customStyle="1">
    <w:name w:val="正文文本 2 字符"/>
    <w:link w:val="736"/>
    <w:uiPriority w:val="99"/>
    <w:qFormat/>
    <w:rPr>
      <w:rFonts w:ascii="楷体_GB2312" w:hAnsi="Times New Roman" w:eastAsia="楷体_GB2312" w:cs="Times New Roman"/>
      <w:sz w:val="28"/>
      <w:szCs w:val="28"/>
    </w:rPr>
  </w:style>
  <w:style w:type="character" w:styleId="932" w:customStyle="1">
    <w:name w:val="批注主题 字符"/>
    <w:link w:val="740"/>
    <w:uiPriority w:val="99"/>
    <w:semiHidden/>
    <w:qFormat/>
    <w:rPr>
      <w:rFonts w:ascii="Times New Roman" w:hAnsi="Times New Roman" w:eastAsia="宋体" w:cs="Times New Roman"/>
      <w:b/>
      <w:bCs/>
      <w:szCs w:val="21"/>
    </w:rPr>
  </w:style>
  <w:style w:type="paragraph" w:styleId="933" w:customStyle="1">
    <w:name w:val="正文首行缩进1"/>
    <w:basedOn w:val="691"/>
    <w:link w:val="934"/>
    <w:uiPriority w:val="99"/>
    <w:qFormat/>
    <w:pPr>
      <w:ind w:firstLine="200"/>
      <w:spacing w:line="360" w:lineRule="auto"/>
    </w:pPr>
    <w:rPr>
      <w:rFonts w:ascii="仿宋_GB2312" w:eastAsia="仿宋_GB2312"/>
      <w:sz w:val="30"/>
      <w:szCs w:val="30"/>
    </w:rPr>
  </w:style>
  <w:style w:type="character" w:styleId="934" w:customStyle="1">
    <w:name w:val="正文首行缩进 字符"/>
    <w:link w:val="933"/>
    <w:uiPriority w:val="99"/>
    <w:qFormat/>
    <w:rPr>
      <w:rFonts w:ascii="仿宋_GB2312" w:hAnsi="Times New Roman" w:eastAsia="仿宋_GB2312" w:cs="Times New Roman"/>
      <w:sz w:val="30"/>
      <w:szCs w:val="30"/>
    </w:rPr>
  </w:style>
  <w:style w:type="paragraph" w:styleId="935" w:customStyle="1">
    <w:name w:val="索引 41"/>
    <w:basedOn w:val="691"/>
    <w:next w:val="691"/>
    <w:uiPriority w:val="99"/>
    <w:semiHidden/>
    <w:qFormat/>
    <w:pPr>
      <w:ind w:left="1260"/>
    </w:pPr>
    <w:rPr>
      <w:rFonts w:ascii="Calibri" w:hAnsi="Calibri" w:eastAsia="Calibri" w:cs="宋体"/>
      <w:sz w:val="20"/>
      <w:lang w:val="zh-CN"/>
    </w:rPr>
  </w:style>
  <w:style w:type="character" w:styleId="936" w:customStyle="1">
    <w:name w:val="font5 Char"/>
    <w:qFormat/>
    <w:rPr>
      <w:rFonts w:ascii="宋体" w:hAnsi="宋体" w:eastAsia="宋体"/>
      <w:sz w:val="28"/>
      <w:szCs w:val="28"/>
      <w:lang w:val="en-US" w:eastAsia="zh-CN" w:bidi="ar-SA"/>
    </w:rPr>
  </w:style>
  <w:style w:type="character" w:styleId="937" w:customStyle="1">
    <w:name w:val="二级目录 Char"/>
    <w:link w:val="938"/>
    <w:qFormat/>
    <w:rPr>
      <w:b/>
      <w:sz w:val="30"/>
      <w:szCs w:val="28"/>
    </w:rPr>
  </w:style>
  <w:style w:type="paragraph" w:styleId="938" w:customStyle="1">
    <w:name w:val="二级目录"/>
    <w:next w:val="691"/>
    <w:link w:val="937"/>
    <w:qFormat/>
    <w:pPr>
      <w:numPr>
        <w:numId w:val="2"/>
      </w:numPr>
      <w:tabs>
        <w:tab w:val="left" w:pos="1145" w:leader="none"/>
      </w:tabs>
      <w:outlineLvl w:val="1"/>
    </w:pPr>
    <w:rPr>
      <w:b/>
      <w:sz w:val="30"/>
      <w:szCs w:val="28"/>
    </w:rPr>
  </w:style>
  <w:style w:type="character" w:styleId="939" w:customStyle="1">
    <w:name w:val="列出段落 Char"/>
    <w:link w:val="940"/>
    <w:qFormat/>
    <w:rPr>
      <w:rFonts w:ascii="Calibri" w:hAnsi="Calibri"/>
      <w:sz w:val="24"/>
      <w:szCs w:val="24"/>
      <w:lang w:eastAsia="en-US" w:bidi="en-US"/>
    </w:rPr>
  </w:style>
  <w:style w:type="paragraph" w:styleId="940" w:customStyle="1">
    <w:name w:val="列出段落1"/>
    <w:basedOn w:val="691"/>
    <w:link w:val="939"/>
    <w:qFormat/>
    <w:pPr>
      <w:contextualSpacing/>
      <w:ind w:left="720"/>
      <w:jc w:val="left"/>
      <w:widowControl/>
    </w:pPr>
    <w:rPr>
      <w:rFonts w:ascii="Calibri" w:hAnsi="Calibri"/>
      <w:sz w:val="24"/>
      <w:szCs w:val="24"/>
      <w:lang w:eastAsia="en-US" w:bidi="en-US"/>
    </w:rPr>
  </w:style>
  <w:style w:type="paragraph" w:styleId="941" w:customStyle="1">
    <w:name w:val="Body Text(ch)"/>
    <w:basedOn w:val="691"/>
    <w:next w:val="714"/>
    <w:uiPriority w:val="99"/>
    <w:qFormat/>
    <w:pPr>
      <w:spacing w:after="120"/>
    </w:pPr>
    <w:rPr>
      <w:rFonts w:ascii="宋体" w:hAnsi="Arial"/>
      <w:bCs/>
      <w:iCs/>
      <w:szCs w:val="24"/>
    </w:rPr>
  </w:style>
  <w:style w:type="paragraph" w:styleId="942" w:customStyle="1">
    <w:name w:val="xl27"/>
    <w:basedOn w:val="691"/>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3" w:customStyle="1">
    <w:name w:val="xl26"/>
    <w:basedOn w:val="69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4" w:customStyle="1">
    <w:name w:val="Char"/>
    <w:basedOn w:val="691"/>
    <w:uiPriority w:val="99"/>
    <w:qFormat/>
    <w:pPr>
      <w:ind w:firstLine="200"/>
      <w:tabs>
        <w:tab w:val="left" w:pos="360" w:leader="none"/>
      </w:tabs>
    </w:pPr>
    <w:rPr>
      <w:sz w:val="28"/>
      <w:szCs w:val="30"/>
    </w:rPr>
  </w:style>
  <w:style w:type="paragraph" w:styleId="945" w:customStyle="1">
    <w:name w:val="Char1"/>
    <w:basedOn w:val="711"/>
    <w:uiPriority w:val="99"/>
    <w:qFormat/>
    <w:rPr>
      <w:rFonts w:ascii="Tahoma" w:hAnsi="Tahoma"/>
      <w:sz w:val="24"/>
      <w:szCs w:val="24"/>
    </w:rPr>
  </w:style>
  <w:style w:type="paragraph" w:styleId="946" w:customStyle="1">
    <w:name w:val="普通正文"/>
    <w:basedOn w:val="691"/>
    <w:uiPriority w:val="99"/>
    <w:qFormat/>
    <w:pPr>
      <w:ind w:firstLine="480"/>
      <w:jc w:val="left"/>
      <w:spacing w:before="120" w:after="120" w:line="360" w:lineRule="auto"/>
    </w:pPr>
    <w:rPr>
      <w:rFonts w:ascii="Arial" w:hAnsi="Arial"/>
      <w:sz w:val="24"/>
      <w:szCs w:val="24"/>
    </w:rPr>
  </w:style>
  <w:style w:type="paragraph" w:styleId="947" w:customStyle="1">
    <w:name w:val="table_lines"/>
    <w:basedOn w:val="691"/>
    <w:uiPriority w:val="99"/>
    <w:qFormat/>
    <w:pPr>
      <w:jc w:val="left"/>
      <w:widowControl/>
    </w:pPr>
    <w:rPr>
      <w:sz w:val="20"/>
      <w:szCs w:val="20"/>
      <w:lang w:val="de-DE" w:eastAsia="de-DE"/>
    </w:rPr>
  </w:style>
  <w:style w:type="paragraph" w:styleId="948" w:customStyle="1">
    <w:name w:val="附录1"/>
    <w:uiPriority w:val="99"/>
    <w:qFormat/>
    <w:pPr>
      <w:ind w:left="907" w:hanging="907"/>
      <w:spacing w:before="240" w:line="600" w:lineRule="atLeast"/>
      <w:tabs>
        <w:tab w:val="left" w:pos="907" w:leader="none"/>
      </w:tabs>
    </w:pPr>
    <w:rPr>
      <w:b/>
      <w:i/>
      <w:sz w:val="28"/>
    </w:rPr>
  </w:style>
  <w:style w:type="paragraph" w:styleId="949" w:customStyle="1">
    <w:name w:val="font7"/>
    <w:basedOn w:val="691"/>
    <w:uiPriority w:val="99"/>
    <w:qFormat/>
    <w:pPr>
      <w:jc w:val="left"/>
      <w:spacing w:before="100" w:beforeAutospacing="1" w:after="100" w:afterAutospacing="1"/>
      <w:widowControl/>
    </w:pPr>
    <w:rPr>
      <w:rFonts w:hint="eastAsia" w:ascii="宋体" w:hAnsi="宋体"/>
      <w:sz w:val="18"/>
      <w:szCs w:val="18"/>
    </w:rPr>
  </w:style>
  <w:style w:type="paragraph" w:styleId="950" w:customStyle="1">
    <w:name w:val="Char Char Char Char"/>
    <w:basedOn w:val="711"/>
    <w:uiPriority w:val="99"/>
    <w:qFormat/>
    <w:pPr>
      <w:spacing w:line="360" w:lineRule="auto"/>
    </w:pPr>
    <w:rPr>
      <w:rFonts w:ascii="Tahoma" w:hAnsi="Tahoma"/>
      <w:sz w:val="24"/>
      <w:szCs w:val="24"/>
    </w:rPr>
  </w:style>
  <w:style w:type="paragraph" w:styleId="951" w:customStyle="1">
    <w:name w:val="列出段落"/>
    <w:basedOn w:val="691"/>
    <w:uiPriority w:val="99"/>
    <w:qFormat/>
    <w:pPr>
      <w:contextualSpacing/>
      <w:ind w:left="720"/>
      <w:jc w:val="left"/>
      <w:widowControl/>
    </w:pPr>
    <w:rPr>
      <w:rFonts w:ascii="Calibri" w:hAnsi="Calibri"/>
      <w:sz w:val="24"/>
      <w:szCs w:val="24"/>
      <w:lang w:eastAsia="en-US" w:bidi="en-US"/>
    </w:rPr>
  </w:style>
  <w:style w:type="paragraph" w:styleId="952" w:customStyle="1">
    <w:name w:val="4"/>
    <w:basedOn w:val="691"/>
    <w:next w:val="732"/>
    <w:uiPriority w:val="99"/>
    <w:qFormat/>
    <w:pPr>
      <w:ind w:firstLine="420"/>
      <w:spacing w:line="360" w:lineRule="auto"/>
    </w:pPr>
    <w:rPr>
      <w:color w:val="ff0000"/>
      <w:sz w:val="24"/>
      <w:szCs w:val="24"/>
    </w:rPr>
  </w:style>
  <w:style w:type="paragraph" w:styleId="953" w:customStyle="1">
    <w:name w:val="普通 (Web)"/>
    <w:basedOn w:val="691"/>
    <w:uiPriority w:val="99"/>
    <w:qFormat/>
    <w:pPr>
      <w:jc w:val="left"/>
      <w:spacing w:before="100" w:beforeAutospacing="1" w:after="100" w:afterAutospacing="1"/>
      <w:widowControl/>
    </w:pPr>
    <w:rPr>
      <w:rFonts w:ascii="宋体" w:hAnsi="宋体"/>
      <w:sz w:val="24"/>
      <w:szCs w:val="24"/>
    </w:rPr>
  </w:style>
  <w:style w:type="paragraph" w:styleId="954" w:customStyle="1">
    <w:name w:val="Char Char Char Char Char Char Char Char Char Char"/>
    <w:basedOn w:val="691"/>
    <w:uiPriority w:val="99"/>
    <w:qFormat/>
    <w:pPr>
      <w:spacing w:line="360" w:lineRule="auto"/>
    </w:pPr>
    <w:rPr>
      <w:sz w:val="24"/>
      <w:szCs w:val="20"/>
    </w:rPr>
  </w:style>
  <w:style w:type="paragraph" w:styleId="955" w:customStyle="1">
    <w:name w:val="样式1"/>
    <w:basedOn w:val="691"/>
    <w:uiPriority w:val="99"/>
    <w:qFormat/>
    <w:pPr>
      <w:numPr>
        <w:numId w:val="3"/>
      </w:numPr>
    </w:pPr>
    <w:rPr>
      <w:rFonts w:ascii="宋体" w:hAnsi="宋体"/>
      <w:szCs w:val="21"/>
    </w:rPr>
  </w:style>
  <w:style w:type="paragraph" w:styleId="956" w:customStyle="1">
    <w:name w:val="font6"/>
    <w:basedOn w:val="691"/>
    <w:uiPriority w:val="99"/>
    <w:qFormat/>
    <w:pPr>
      <w:jc w:val="left"/>
      <w:spacing w:before="100" w:beforeAutospacing="1" w:after="100" w:afterAutospacing="1"/>
      <w:widowControl/>
    </w:pPr>
    <w:rPr>
      <w:rFonts w:hint="eastAsia" w:ascii="宋体" w:hAnsi="宋体"/>
      <w:sz w:val="28"/>
      <w:szCs w:val="28"/>
      <w:u w:val="single"/>
    </w:rPr>
  </w:style>
  <w:style w:type="paragraph" w:styleId="957" w:customStyle="1">
    <w:name w:val="xl25"/>
    <w:basedOn w:val="691"/>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8" w:customStyle="1">
    <w:name w:val="图标"/>
    <w:basedOn w:val="691"/>
    <w:next w:val="691"/>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9" w:customStyle="1">
    <w:name w:val="标题3"/>
    <w:basedOn w:val="691"/>
    <w:next w:val="691"/>
    <w:uiPriority w:val="99"/>
    <w:qFormat/>
    <w:pPr>
      <w:ind w:firstLine="624"/>
      <w:spacing w:line="590" w:lineRule="atLeast"/>
    </w:pPr>
    <w:rPr>
      <w:rFonts w:ascii="方正黑体_GBK" w:eastAsia="方正黑体_GBK"/>
      <w:sz w:val="32"/>
      <w:szCs w:val="32"/>
    </w:rPr>
  </w:style>
  <w:style w:type="paragraph" w:styleId="960" w:customStyle="1">
    <w:name w:val="xl24"/>
    <w:basedOn w:val="691"/>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1" w:customStyle="1">
    <w:name w:val="xl29"/>
    <w:basedOn w:val="691"/>
    <w:uiPriority w:val="9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2" w:customStyle="1">
    <w:name w:val="Char Char Char Char Char Char Char Char"/>
    <w:basedOn w:val="691"/>
    <w:uiPriority w:val="99"/>
    <w:qFormat/>
    <w:pPr>
      <w:jc w:val="left"/>
      <w:spacing w:after="160" w:line="240" w:lineRule="exact"/>
      <w:widowControl/>
    </w:pPr>
    <w:rPr>
      <w:rFonts w:ascii="Verdana" w:hAnsi="Verdana"/>
      <w:sz w:val="20"/>
      <w:szCs w:val="20"/>
      <w:lang w:eastAsia="en-US"/>
    </w:rPr>
  </w:style>
  <w:style w:type="paragraph" w:styleId="963" w:customStyle="1">
    <w:name w:val="xl28"/>
    <w:basedOn w:val="691"/>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4" w:customStyle="1">
    <w:name w:val="Char Char Char Char Char Char Char Char1"/>
    <w:basedOn w:val="691"/>
    <w:uiPriority w:val="99"/>
    <w:qFormat/>
    <w:pPr>
      <w:jc w:val="left"/>
      <w:spacing w:after="160" w:line="240" w:lineRule="exact"/>
      <w:widowControl/>
    </w:pPr>
    <w:rPr>
      <w:rFonts w:ascii="Verdana" w:hAnsi="Verdana"/>
      <w:sz w:val="20"/>
      <w:szCs w:val="20"/>
      <w:lang w:eastAsia="en-US"/>
    </w:rPr>
  </w:style>
  <w:style w:type="paragraph" w:styleId="965" w:customStyle="1">
    <w:name w:val="xl30"/>
    <w:basedOn w:val="691"/>
    <w:uiPriority w:val="99"/>
    <w:qFormat/>
    <w:pPr>
      <w:jc w:val="center"/>
      <w:spacing w:before="100" w:beforeAutospacing="1" w:after="100" w:afterAutospacing="1"/>
      <w:widowControl/>
    </w:pPr>
    <w:rPr>
      <w:rFonts w:ascii="宋体" w:hAnsi="宋体"/>
      <w:b/>
      <w:bCs/>
      <w:sz w:val="36"/>
      <w:szCs w:val="36"/>
    </w:rPr>
  </w:style>
  <w:style w:type="paragraph" w:styleId="966" w:customStyle="1">
    <w:name w:val="Char Char Char Char1"/>
    <w:basedOn w:val="711"/>
    <w:uiPriority w:val="99"/>
    <w:qFormat/>
    <w:pPr>
      <w:spacing w:line="360" w:lineRule="auto"/>
    </w:pPr>
    <w:rPr>
      <w:rFonts w:ascii="Tahoma" w:hAnsi="Tahoma"/>
      <w:sz w:val="24"/>
      <w:szCs w:val="24"/>
    </w:rPr>
  </w:style>
  <w:style w:type="paragraph" w:styleId="967" w:customStyle="1">
    <w:name w:val="table_1stline"/>
    <w:basedOn w:val="691"/>
    <w:uiPriority w:val="99"/>
    <w:qFormat/>
    <w:pPr>
      <w:jc w:val="left"/>
      <w:spacing w:before="120"/>
      <w:widowControl/>
    </w:pPr>
    <w:rPr>
      <w:bCs/>
      <w:sz w:val="20"/>
      <w:szCs w:val="20"/>
      <w:lang w:val="de-DE" w:eastAsia="de-DE"/>
    </w:rPr>
  </w:style>
  <w:style w:type="paragraph" w:styleId="968" w:customStyle="1">
    <w:name w:val="font5"/>
    <w:basedOn w:val="691"/>
    <w:uiPriority w:val="99"/>
    <w:qFormat/>
    <w:pPr>
      <w:jc w:val="left"/>
      <w:spacing w:before="100" w:beforeAutospacing="1" w:after="100" w:afterAutospacing="1"/>
      <w:widowControl/>
    </w:pPr>
    <w:rPr>
      <w:rFonts w:hint="eastAsia" w:ascii="宋体" w:hAnsi="宋体"/>
      <w:sz w:val="28"/>
      <w:szCs w:val="28"/>
    </w:rPr>
  </w:style>
  <w:style w:type="paragraph" w:styleId="969" w:customStyle="1">
    <w:name w:val="标题1"/>
    <w:basedOn w:val="691"/>
    <w:next w:val="691"/>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0" w:customStyle="1">
    <w:name w:val="修订1"/>
    <w:uiPriority w:val="99"/>
    <w:semiHidden/>
    <w:qFormat/>
    <w:rPr>
      <w:sz w:val="21"/>
      <w:szCs w:val="21"/>
    </w:rPr>
  </w:style>
  <w:style w:type="table" w:styleId="971" w:customStyle="1">
    <w:name w:val="Table Normal"/>
    <w:qFormat/>
    <w:tblPr>
      <w:tblCellMar>
        <w:left w:w="0" w:type="dxa"/>
        <w:top w:w="0" w:type="dxa"/>
        <w:right w:w="0" w:type="dxa"/>
        <w:bottom w:w="0" w:type="dxa"/>
      </w:tblCellMar>
    </w:tblPr>
  </w:style>
  <w:style w:type="paragraph" w:styleId="972" w:customStyle="1">
    <w:name w:val="正文文本12"/>
    <w:basedOn w:val="691"/>
    <w:uiPriority w:val="1"/>
    <w:qFormat/>
    <w:pPr>
      <w:ind w:left="120"/>
    </w:pPr>
    <w:rPr>
      <w:rFonts w:ascii="宋体" w:hAnsi="宋体" w:cs="宋体"/>
      <w:szCs w:val="21"/>
      <w:lang w:val="zh-CN" w:bidi="zh-CN"/>
    </w:rPr>
  </w:style>
  <w:style w:type="paragraph" w:styleId="973" w:customStyle="1">
    <w:name w:val="正文文本 211"/>
    <w:basedOn w:val="691"/>
    <w:uiPriority w:val="99"/>
    <w:qFormat/>
    <w:pPr>
      <w:jc w:val="center"/>
    </w:pPr>
    <w:rPr>
      <w:b/>
      <w:bCs/>
      <w:sz w:val="20"/>
      <w:szCs w:val="20"/>
    </w:rPr>
  </w:style>
  <w:style w:type="paragraph" w:styleId="974" w:customStyle="1">
    <w:name w:val="正文文本1"/>
    <w:basedOn w:val="691"/>
    <w:next w:val="691"/>
    <w:uiPriority w:val="99"/>
    <w:semiHidden/>
    <w:qFormat/>
    <w:rPr>
      <w:rFonts w:ascii="Arial" w:hAnsi="Arial" w:eastAsia="Arial" w:cs="Arial"/>
      <w:szCs w:val="21"/>
      <w:lang w:eastAsia="en-US"/>
    </w:rPr>
  </w:style>
  <w:style w:type="paragraph" w:styleId="975" w:customStyle="1">
    <w:name w:val="Table Paragraph"/>
    <w:basedOn w:val="691"/>
    <w:uiPriority w:val="1"/>
    <w:qFormat/>
    <w:pPr>
      <w:jc w:val="left"/>
    </w:pPr>
    <w:rPr>
      <w:rFonts w:ascii="宋体" w:hAnsi="宋体" w:cs="宋体"/>
      <w:sz w:val="22"/>
      <w:lang w:val="zh-CN" w:bidi="zh-CN"/>
    </w:rPr>
  </w:style>
  <w:style w:type="table" w:styleId="976" w:customStyle="1">
    <w:name w:val="网格型1"/>
    <w:basedOn w:val="977"/>
    <w:qFormat/>
    <w:pPr>
      <w:jc w:val="both"/>
      <w:widowControl w:val="off"/>
    </w:pPr>
    <w:tblPr/>
  </w:style>
  <w:style w:type="table" w:styleId="977" w:customStyle="1">
    <w:name w:val="普通表格1"/>
    <w:uiPriority w:val="99"/>
    <w:unhideWhenUsed/>
    <w:qFormat/>
    <w:tblPr>
      <w:tblCellMar>
        <w:left w:w="0" w:type="dxa"/>
        <w:top w:w="0" w:type="dxa"/>
        <w:right w:w="0" w:type="dxa"/>
        <w:bottom w:w="0" w:type="dxa"/>
      </w:tblCellMar>
    </w:tblPr>
  </w:style>
  <w:style w:type="paragraph" w:styleId="978" w:customStyle="1">
    <w:name w:val="正文111"/>
    <w:next w:val="691"/>
    <w:uiPriority w:val="99"/>
    <w:qFormat/>
    <w:pPr>
      <w:jc w:val="both"/>
      <w:widowControl w:val="off"/>
    </w:pPr>
    <w:rPr>
      <w:sz w:val="21"/>
      <w:szCs w:val="24"/>
    </w:rPr>
  </w:style>
  <w:style w:type="paragraph" w:styleId="979" w:customStyle="1">
    <w:name w:val="marklang-paragraph"/>
    <w:basedOn w:val="691"/>
    <w:uiPriority w:val="99"/>
    <w:qFormat/>
    <w:pPr>
      <w:jc w:val="left"/>
      <w:spacing w:before="100" w:beforeAutospacing="1" w:after="100" w:afterAutospacing="1"/>
      <w:widowControl/>
    </w:pPr>
    <w:rPr>
      <w:rFonts w:ascii="宋体" w:hAnsi="宋体" w:cs="宋体"/>
      <w:sz w:val="24"/>
      <w:szCs w:val="24"/>
    </w:rPr>
  </w:style>
  <w:style w:type="character" w:styleId="980" w:customStyle="1">
    <w:name w:val="cosd-citation-citationid"/>
    <w:qFormat/>
  </w:style>
  <w:style w:type="paragraph" w:styleId="981" w:customStyle="1">
    <w:name w:val="Table Text"/>
    <w:basedOn w:val="691"/>
    <w:uiPriority w:val="99"/>
    <w:qFormat/>
    <w:pPr>
      <w:jc w:val="left"/>
      <w:spacing w:after="80"/>
      <w:widowControl/>
    </w:pPr>
    <w:rPr>
      <w:rFonts w:ascii="宋体" w:hAnsi="宋体" w:cs="宋体"/>
      <w:color w:val="000000"/>
      <w:sz w:val="20"/>
      <w:szCs w:val="20"/>
      <w:lang w:eastAsia="en-US"/>
    </w:rPr>
  </w:style>
  <w:style w:type="character" w:styleId="982" w:customStyle="1">
    <w:name w:val="NormalCharacter1"/>
    <w:qFormat/>
  </w:style>
  <w:style w:type="character" w:styleId="983" w:customStyle="1">
    <w:name w:val="PageNumber1"/>
    <w:qFormat/>
  </w:style>
  <w:style w:type="character" w:styleId="984" w:customStyle="1">
    <w:name w:val="UserStyle_16"/>
    <w:link w:val="985"/>
    <w:qFormat/>
    <w:rPr>
      <w:sz w:val="18"/>
    </w:rPr>
  </w:style>
  <w:style w:type="paragraph" w:styleId="985" w:customStyle="1">
    <w:name w:val="页脚1"/>
    <w:basedOn w:val="691"/>
    <w:link w:val="984"/>
    <w:qFormat/>
    <w:pPr>
      <w:jc w:val="left"/>
      <w:widowControl/>
      <w:tabs>
        <w:tab w:val="center" w:pos="4153" w:leader="none"/>
        <w:tab w:val="right" w:pos="8306" w:leader="none"/>
      </w:tabs>
    </w:pPr>
    <w:rPr>
      <w:sz w:val="18"/>
      <w:szCs w:val="20"/>
    </w:rPr>
  </w:style>
  <w:style w:type="paragraph" w:styleId="986" w:customStyle="1">
    <w:name w:val="_Style 463"/>
    <w:basedOn w:val="691"/>
    <w:next w:val="951"/>
    <w:uiPriority w:val="99"/>
    <w:qFormat/>
    <w:pPr>
      <w:ind w:firstLine="420"/>
      <w:jc w:val="left"/>
      <w:spacing w:after="160" w:line="278" w:lineRule="auto"/>
    </w:pPr>
    <w:rPr>
      <w:rFonts w:ascii="Calibri" w:hAnsi="Calibri"/>
      <w:sz w:val="22"/>
      <w:szCs w:val="24"/>
    </w:rPr>
  </w:style>
  <w:style w:type="paragraph" w:styleId="987" w:customStyle="1">
    <w:name w:val="msonormal"/>
    <w:basedOn w:val="691"/>
    <w:uiPriority w:val="99"/>
    <w:qFormat/>
    <w:pPr>
      <w:jc w:val="left"/>
      <w:spacing w:before="100" w:beforeAutospacing="1" w:after="100" w:afterAutospacing="1"/>
      <w:widowControl/>
    </w:pPr>
    <w:rPr>
      <w:rFonts w:ascii="宋体" w:hAnsi="宋体" w:cs="宋体"/>
      <w:sz w:val="24"/>
      <w:szCs w:val="24"/>
    </w:rPr>
  </w:style>
  <w:style w:type="paragraph" w:styleId="988" w:customStyle="1">
    <w:name w:val="xl65"/>
    <w:basedOn w:val="691"/>
    <w:uiPriority w:val="99"/>
    <w:qFormat/>
    <w:pPr>
      <w:jc w:val="left"/>
      <w:spacing w:before="100" w:beforeAutospacing="1" w:after="100" w:afterAutospacing="1"/>
      <w:widowControl/>
    </w:pPr>
    <w:rPr>
      <w:rFonts w:ascii="宋体" w:hAnsi="宋体" w:cs="宋体"/>
      <w:b/>
      <w:bCs/>
      <w:sz w:val="28"/>
      <w:szCs w:val="28"/>
    </w:rPr>
  </w:style>
  <w:style w:type="paragraph" w:styleId="989" w:customStyle="1">
    <w:name w:val="xl66"/>
    <w:basedOn w:val="691"/>
    <w:uiPriority w:val="99"/>
    <w:qFormat/>
    <w:pPr>
      <w:jc w:val="left"/>
      <w:spacing w:before="100" w:beforeAutospacing="1" w:after="100" w:afterAutospacing="1"/>
      <w:widowControl/>
    </w:pPr>
    <w:rPr>
      <w:rFonts w:ascii="宋体" w:hAnsi="宋体" w:cs="宋体"/>
      <w:b/>
      <w:bCs/>
      <w:sz w:val="24"/>
      <w:szCs w:val="24"/>
    </w:rPr>
  </w:style>
  <w:style w:type="paragraph" w:styleId="990" w:customStyle="1">
    <w:name w:val="xl67"/>
    <w:basedOn w:val="691"/>
    <w:uiPriority w:val="99"/>
    <w:qFormat/>
    <w:pPr>
      <w:jc w:val="left"/>
      <w:spacing w:before="100" w:beforeAutospacing="1" w:after="100" w:afterAutospacing="1"/>
      <w:widowControl/>
    </w:pPr>
    <w:rPr>
      <w:rFonts w:ascii="宋体" w:hAnsi="宋体" w:cs="宋体"/>
      <w:sz w:val="24"/>
      <w:szCs w:val="24"/>
    </w:rPr>
  </w:style>
  <w:style w:type="paragraph" w:styleId="991" w:customStyle="1">
    <w:name w:val="xl68"/>
    <w:basedOn w:val="691"/>
    <w:uiPriority w:val="99"/>
    <w:qFormat/>
    <w:pPr>
      <w:jc w:val="left"/>
      <w:spacing w:before="100" w:beforeAutospacing="1" w:after="100" w:afterAutospacing="1"/>
      <w:widowControl/>
    </w:pPr>
    <w:rPr>
      <w:rFonts w:ascii="宋体" w:hAnsi="宋体" w:cs="宋体"/>
      <w:sz w:val="24"/>
      <w:szCs w:val="24"/>
    </w:rPr>
  </w:style>
  <w:style w:type="paragraph" w:styleId="992" w:customStyle="1">
    <w:name w:val="xl69"/>
    <w:basedOn w:val="691"/>
    <w:uiPriority w:val="99"/>
    <w:qFormat/>
    <w:pPr>
      <w:jc w:val="left"/>
      <w:spacing w:before="100" w:beforeAutospacing="1" w:after="100" w:afterAutospacing="1"/>
      <w:widowControl/>
    </w:pPr>
    <w:rPr>
      <w:rFonts w:ascii="宋体" w:hAnsi="宋体" w:cs="宋体"/>
      <w:sz w:val="24"/>
      <w:szCs w:val="24"/>
    </w:rPr>
  </w:style>
  <w:style w:type="paragraph" w:styleId="993" w:customStyle="1">
    <w:name w:val="xl70"/>
    <w:basedOn w:val="691"/>
    <w:uiPriority w:val="99"/>
    <w:qFormat/>
    <w:pPr>
      <w:jc w:val="center"/>
      <w:spacing w:before="100" w:beforeAutospacing="1" w:after="100" w:afterAutospacing="1"/>
      <w:widowControl/>
    </w:pPr>
    <w:rPr>
      <w:rFonts w:ascii="宋体" w:hAnsi="宋体" w:cs="宋体"/>
      <w:sz w:val="24"/>
      <w:szCs w:val="24"/>
    </w:rPr>
  </w:style>
  <w:style w:type="paragraph" w:styleId="994" w:customStyle="1">
    <w:name w:val="xl71"/>
    <w:basedOn w:val="69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8"/>
      <w:szCs w:val="28"/>
    </w:rPr>
  </w:style>
  <w:style w:type="paragraph" w:styleId="995" w:customStyle="1">
    <w:name w:val="xl72"/>
    <w:basedOn w:val="69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8"/>
      <w:szCs w:val="28"/>
    </w:rPr>
  </w:style>
  <w:style w:type="paragraph" w:styleId="996" w:customStyle="1">
    <w:name w:val="xl73"/>
    <w:basedOn w:val="69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8"/>
      <w:szCs w:val="28"/>
    </w:rPr>
  </w:style>
  <w:style w:type="paragraph" w:styleId="997" w:customStyle="1">
    <w:name w:val="xl74"/>
    <w:basedOn w:val="69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998" w:customStyle="1">
    <w:name w:val="xl75"/>
    <w:basedOn w:val="69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999" w:customStyle="1">
    <w:name w:val="xl76"/>
    <w:basedOn w:val="69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0" w:customStyle="1">
    <w:name w:val="xl77"/>
    <w:basedOn w:val="69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1" w:customStyle="1">
    <w:name w:val="xl78"/>
    <w:basedOn w:val="69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2" w:customStyle="1">
    <w:name w:val="xl79"/>
    <w:basedOn w:val="69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3" w:customStyle="1">
    <w:name w:val="xl80"/>
    <w:basedOn w:val="69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4" w:customStyle="1">
    <w:name w:val="xl81"/>
    <w:basedOn w:val="691"/>
    <w:uiPriority w:val="99"/>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5" w:customStyle="1">
    <w:name w:val="xl82"/>
    <w:basedOn w:val="69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szCs w:val="24"/>
    </w:rPr>
  </w:style>
  <w:style w:type="paragraph" w:styleId="1006" w:customStyle="1">
    <w:name w:val="xl83"/>
    <w:basedOn w:val="69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7" w:customStyle="1">
    <w:name w:val="xl84"/>
    <w:basedOn w:val="69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008" w:customStyle="1">
    <w:name w:val="xl85"/>
    <w:basedOn w:val="69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009" w:customStyle="1">
    <w:name w:val="xl86"/>
    <w:basedOn w:val="69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010" w:customStyle="1">
    <w:name w:val="xl87"/>
    <w:basedOn w:val="69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011" w:customStyle="1">
    <w:name w:val="xl88"/>
    <w:basedOn w:val="69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012" w:customStyle="1">
    <w:name w:val="xl89"/>
    <w:basedOn w:val="69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13" w:customStyle="1">
    <w:name w:val="xl90"/>
    <w:basedOn w:val="69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014" w:customStyle="1">
    <w:name w:val="xl91"/>
    <w:basedOn w:val="69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015" w:customStyle="1">
    <w:name w:val="xl92"/>
    <w:basedOn w:val="69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016" w:customStyle="1">
    <w:name w:val="xl93"/>
    <w:basedOn w:val="69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017" w:customStyle="1">
    <w:name w:val="xl94"/>
    <w:basedOn w:val="69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018" w:customStyle="1">
    <w:name w:val="xl95"/>
    <w:basedOn w:val="69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19" w:customStyle="1">
    <w:name w:val="xl96"/>
    <w:basedOn w:val="69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20" w:customStyle="1">
    <w:name w:val="xl97"/>
    <w:basedOn w:val="69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021" w:customStyle="1">
    <w:name w:val="xl98"/>
    <w:basedOn w:val="69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022" w:customStyle="1">
    <w:name w:val="xl99"/>
    <w:basedOn w:val="69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23" w:customStyle="1">
    <w:name w:val="xl100"/>
    <w:basedOn w:val="69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1024" w:customStyle="1">
    <w:name w:val="xl101"/>
    <w:basedOn w:val="69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1025" w:customStyle="1">
    <w:name w:val="xl102"/>
    <w:basedOn w:val="691"/>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026" w:customStyle="1">
    <w:name w:val="xl103"/>
    <w:basedOn w:val="691"/>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027" w:customStyle="1">
    <w:name w:val="xl104"/>
    <w:basedOn w:val="691"/>
    <w:uiPriority w:val="99"/>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4"/>
      <w:szCs w:val="24"/>
    </w:rPr>
  </w:style>
  <w:style w:type="paragraph" w:styleId="1028" w:customStyle="1">
    <w:name w:val="xl105"/>
    <w:basedOn w:val="691"/>
    <w:uiPriority w:val="99"/>
    <w:qFormat/>
    <w:pPr>
      <w:jc w:val="right"/>
      <w:spacing w:before="100" w:beforeAutospacing="1" w:after="100" w:afterAutospacing="1"/>
      <w:widowControl/>
      <w:pBdr>
        <w:top w:val="single" w:color="000000" w:sz="4" w:space="0"/>
        <w:bottom w:val="single" w:color="000000" w:sz="4" w:space="0"/>
      </w:pBdr>
    </w:pPr>
    <w:rPr>
      <w:rFonts w:ascii="宋体" w:hAnsi="宋体" w:cs="宋体"/>
      <w:b/>
      <w:bCs/>
      <w:sz w:val="24"/>
      <w:szCs w:val="24"/>
    </w:rPr>
  </w:style>
  <w:style w:type="paragraph" w:styleId="1029" w:customStyle="1">
    <w:name w:val="xl106"/>
    <w:basedOn w:val="691"/>
    <w:uiPriority w:val="99"/>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szCs w:val="24"/>
    </w:rPr>
  </w:style>
  <w:style w:type="character" w:styleId="1030" w:customStyle="1">
    <w:name w:val="font11"/>
    <w:qFormat/>
    <w:rPr>
      <w:rFonts w:hint="eastAsia" w:ascii="宋体" w:hAnsi="宋体" w:eastAsia="宋体" w:cs="宋体"/>
      <w:color w:val="000000"/>
      <w:sz w:val="20"/>
      <w:szCs w:val="20"/>
      <w:u w:val="none"/>
    </w:rPr>
  </w:style>
  <w:style w:type="character" w:styleId="1031" w:customStyle="1">
    <w:name w:val="font21"/>
    <w:qFormat/>
    <w:rPr>
      <w:rFonts w:hint="default" w:ascii="Times New Roman" w:hAnsi="Times New Roman" w:cs="Times New Roman"/>
      <w:color w:val="000000"/>
      <w:sz w:val="20"/>
      <w:szCs w:val="20"/>
      <w:u w:val="none"/>
    </w:rPr>
  </w:style>
  <w:style w:type="character" w:styleId="1032" w:customStyle="1">
    <w:name w:val="正文文本首行缩进 2 字符"/>
    <w:link w:val="741"/>
    <w:qFormat/>
    <w:rPr>
      <w:rFonts w:ascii="宋体" w:hAnsi="宋体"/>
      <w:lang w:eastAsia="en-US"/>
    </w:rPr>
  </w:style>
  <w:style w:type="table" w:styleId="1033" w:customStyle="1">
    <w:name w:val="无格式表格 211"/>
    <w:uiPriority w:val="59"/>
    <w:qFormat/>
    <w:tblPr>
      <w:tblBorders>
        <w:top w:val="single" w:color="000000" w:sz="4" w:space="0"/>
        <w:bottom w:val="single" w:color="000000" w:sz="4" w:space="0"/>
      </w:tblBorders>
      <w:tblCellMar>
        <w:left w:w="108" w:type="dxa"/>
        <w:top w:w="0" w:type="dxa"/>
        <w:right w:w="108" w:type="dxa"/>
        <w:bottom w:w="0" w:type="dxa"/>
      </w:tblCellMar>
    </w:tblPr>
  </w:style>
  <w:style w:type="table" w:styleId="1034" w:customStyle="1">
    <w:name w:val="清单表 5 深色11"/>
    <w:uiPriority w:val="99"/>
    <w:qFormat/>
    <w:tblPr>
      <w:tblBorders>
        <w:top w:val="single" w:color="7F7F7F" w:sz="36" w:space="0"/>
        <w:left w:val="single" w:color="7F7F7F" w:sz="36" w:space="0"/>
        <w:bottom w:val="single" w:color="7F7F7F" w:sz="36" w:space="0"/>
        <w:right w:val="single" w:color="7F7F7F" w:sz="36" w:space="0"/>
      </w:tblBorders>
      <w:tblCellMar>
        <w:left w:w="0" w:type="dxa"/>
        <w:top w:w="0" w:type="dxa"/>
        <w:right w:w="0" w:type="dxa"/>
        <w:bottom w:w="0" w:type="dxa"/>
      </w:tblCellMar>
    </w:tblPr>
  </w:style>
  <w:style w:type="table" w:styleId="1035" w:customStyle="1">
    <w:name w:val="List Table 5 Dark - Accent 11"/>
    <w:uiPriority w:val="99"/>
    <w:qFormat/>
    <w:tblPr>
      <w:tblBorders>
        <w:top w:val="single" w:color="4F81BD" w:sz="36" w:space="0"/>
        <w:left w:val="single" w:color="4F81BD" w:sz="36" w:space="0"/>
        <w:bottom w:val="single" w:color="4F81BD" w:sz="36" w:space="0"/>
        <w:right w:val="single" w:color="4F81BD" w:sz="36" w:space="0"/>
      </w:tblBorders>
      <w:tblCellMar>
        <w:left w:w="0" w:type="dxa"/>
        <w:top w:w="0" w:type="dxa"/>
        <w:right w:w="0" w:type="dxa"/>
        <w:bottom w:w="0" w:type="dxa"/>
      </w:tblCellMar>
    </w:tblPr>
  </w:style>
  <w:style w:type="table" w:styleId="1036" w:customStyle="1">
    <w:name w:val="List Table 5 Dark - Accent 21"/>
    <w:uiPriority w:val="99"/>
    <w:qFormat/>
    <w:tblPr>
      <w:tblBorders>
        <w:top w:val="single" w:color="D99695" w:sz="36" w:space="0"/>
        <w:left w:val="single" w:color="D99695" w:sz="36" w:space="0"/>
        <w:bottom w:val="single" w:color="D99695" w:sz="36" w:space="0"/>
        <w:right w:val="single" w:color="D99695" w:sz="36" w:space="0"/>
      </w:tblBorders>
      <w:tblCellMar>
        <w:left w:w="0" w:type="dxa"/>
        <w:top w:w="0" w:type="dxa"/>
        <w:right w:w="0" w:type="dxa"/>
        <w:bottom w:w="0" w:type="dxa"/>
      </w:tblCellMar>
    </w:tblPr>
  </w:style>
  <w:style w:type="table" w:styleId="1037" w:customStyle="1">
    <w:name w:val="List Table 5 Dark - Accent 31"/>
    <w:uiPriority w:val="99"/>
    <w:qFormat/>
    <w:tblPr>
      <w:tblBorders>
        <w:top w:val="single" w:color="C3D69B" w:sz="36" w:space="0"/>
        <w:left w:val="single" w:color="C3D69B" w:sz="36" w:space="0"/>
        <w:bottom w:val="single" w:color="C3D69B" w:sz="36" w:space="0"/>
        <w:right w:val="single" w:color="C3D69B" w:sz="36" w:space="0"/>
      </w:tblBorders>
      <w:tblCellMar>
        <w:left w:w="0" w:type="dxa"/>
        <w:top w:w="0" w:type="dxa"/>
        <w:right w:w="0" w:type="dxa"/>
        <w:bottom w:w="0" w:type="dxa"/>
      </w:tblCellMar>
    </w:tblPr>
  </w:style>
  <w:style w:type="table" w:styleId="1038" w:customStyle="1">
    <w:name w:val="List Table 5 Dark - Accent 41"/>
    <w:uiPriority w:val="99"/>
    <w:qFormat/>
    <w:tblPr>
      <w:tblBorders>
        <w:top w:val="single" w:color="B2A1C6" w:sz="36" w:space="0"/>
        <w:left w:val="single" w:color="B2A1C6" w:sz="36" w:space="0"/>
        <w:bottom w:val="single" w:color="B2A1C6" w:sz="36" w:space="0"/>
        <w:right w:val="single" w:color="B2A1C6" w:sz="36" w:space="0"/>
      </w:tblBorders>
      <w:tblCellMar>
        <w:left w:w="0" w:type="dxa"/>
        <w:top w:w="0" w:type="dxa"/>
        <w:right w:w="0" w:type="dxa"/>
        <w:bottom w:w="0" w:type="dxa"/>
      </w:tblCellMar>
    </w:tblPr>
  </w:style>
  <w:style w:type="table" w:styleId="1039" w:customStyle="1">
    <w:name w:val="List Table 5 Dark - Accent 51"/>
    <w:uiPriority w:val="99"/>
    <w:qFormat/>
    <w:tblPr>
      <w:tblBorders>
        <w:top w:val="single" w:color="92CCDC" w:sz="36" w:space="0"/>
        <w:left w:val="single" w:color="92CCDC" w:sz="36" w:space="0"/>
        <w:bottom w:val="single" w:color="92CCDC" w:sz="36" w:space="0"/>
        <w:right w:val="single" w:color="92CCDC" w:sz="36" w:space="0"/>
      </w:tblBorders>
      <w:tblCellMar>
        <w:left w:w="0" w:type="dxa"/>
        <w:top w:w="0" w:type="dxa"/>
        <w:right w:w="0" w:type="dxa"/>
        <w:bottom w:w="0" w:type="dxa"/>
      </w:tblCellMar>
    </w:tblPr>
  </w:style>
  <w:style w:type="table" w:styleId="1040" w:customStyle="1">
    <w:name w:val="List Table 5 Dark - Accent 61"/>
    <w:uiPriority w:val="99"/>
    <w:qFormat/>
    <w:tblPr>
      <w:tblBorders>
        <w:top w:val="single" w:color="FAC090" w:sz="36" w:space="0"/>
        <w:left w:val="single" w:color="FAC090" w:sz="36" w:space="0"/>
        <w:bottom w:val="single" w:color="FAC090" w:sz="36" w:space="0"/>
        <w:right w:val="single" w:color="FAC090" w:sz="36" w:space="0"/>
      </w:tblBorders>
      <w:tblCellMar>
        <w:left w:w="0" w:type="dxa"/>
        <w:top w:w="0" w:type="dxa"/>
        <w:right w:w="0" w:type="dxa"/>
        <w:bottom w:w="0" w:type="dxa"/>
      </w:tblCellMar>
    </w:tblPr>
  </w:style>
  <w:style w:type="character" w:styleId="1041">
    <w:name w:val="Emphasis"/>
    <w:qFormat/>
    <w:rPr>
      <w:i/>
    </w:rPr>
  </w:style>
  <w:style w:type="character" w:styleId="1042">
    <w:name w:val="Unresolved Mention"/>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MLoong</dc:creator>
  <cp:lastModifiedBy>夏磊</cp:lastModifiedBy>
  <cp:revision>55</cp:revision>
  <dcterms:created xsi:type="dcterms:W3CDTF">2025-09-16T07:02:00Z</dcterms:created>
  <dcterms:modified xsi:type="dcterms:W3CDTF">2026-04-30T07:19:31Z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eyJoZGlkIjoiODMyZTJiZGY1OTA0YjllZDY4ODNkYzk1ZjkwNjhlY2UiLCJ1c2VySWQiOiI0NDUxODU3NTEifQ==</vt:lpwstr>
  </property>
  <property fmtid="{D5CDD505-2E9C-101B-9397-08002B2CF9AE}" pid="3" name="KSOProductBuildVer">
    <vt:lpwstr>2052-12.1.0.25225</vt:lpwstr>
  </property>
  <property fmtid="{D5CDD505-2E9C-101B-9397-08002B2CF9AE}" pid="4" name="ICV">
    <vt:lpwstr>FC6624A99E154E7BB99FBA6854189934_12</vt:lpwstr>
  </property>
</Properties>
</file>