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rPr>
      </w:pPr>
      <w:r>
        <w:rPr>
          <w:rFonts w:hint="eastAsia" w:ascii="仿宋" w:hAnsi="仿宋" w:eastAsia="仿宋" w:cs="仿宋"/>
          <w:color w:val="000000"/>
        </w:rPr>
      </w:r>
      <w:r/>
    </w:p>
    <w:p>
      <w:pPr>
        <w:jc w:val="left"/>
        <w:rPr>
          <w:rFonts w:hint="eastAsia" w:ascii="仿宋" w:hAnsi="仿宋" w:eastAsia="仿宋" w:cs="仿宋"/>
          <w:color w:val="000000"/>
          <w:sz w:val="32"/>
        </w:rPr>
      </w:pPr>
      <w:r/>
      <w:bookmarkStart w:id="19" w:name="_GoBack"/>
      <w:r/>
      <w:bookmarkEnd w:id="19"/>
      <w:r>
        <w:rPr>
          <w:rFonts w:hint="eastAsia" w:ascii="仿宋" w:hAnsi="仿宋" w:eastAsia="仿宋" w:cs="仿宋"/>
          <w:color w:val="000000"/>
        </w:rPr>
        <mc:AlternateContent>
          <mc:Choice Requires="wpg">
            <w:drawing>
              <wp:inline xmlns:wp="http://schemas.openxmlformats.org/drawingml/2006/wordprocessingDrawing" distT="0" distB="0" distL="0" distR="0">
                <wp:extent cx="1735455" cy="11830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1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 w:val="32"/>
        </w:rPr>
        <w:t xml:space="preserve">       </w:t>
      </w:r>
      <w:r/>
    </w:p>
    <w:p>
      <w:pPr>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招</w:t>
      </w:r>
      <w:r/>
    </w:p>
    <w:p>
      <w:pPr>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标</w:t>
      </w:r>
      <w:r/>
    </w:p>
    <w:p>
      <w:pPr>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文</w:t>
      </w:r>
      <w:r/>
    </w:p>
    <w:p>
      <w:pPr>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件</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p>
    <w:p>
      <w:pPr>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p>
    <w:p>
      <w:pPr>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采 购 人：</w:t>
      </w:r>
      <w:r>
        <w:rPr>
          <w:rFonts w:hint="eastAsia" w:ascii="仿宋" w:hAnsi="仿宋" w:eastAsia="仿宋" w:cs="仿宋"/>
          <w:color w:val="000000"/>
          <w:sz w:val="30"/>
          <w:szCs w:val="30"/>
          <w:lang w:eastAsia="zh-CN"/>
        </w:rPr>
        <w:t xml:space="preserve">徐州生物工程职业技术学院</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采购代理机构：江苏中际招标代理有限公司</w:t>
      </w:r>
      <w:r/>
    </w:p>
    <w:p>
      <w:pPr>
        <w:pStyle w:val="944"/>
        <w:ind w:firstLine="0"/>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44"/>
        <w:ind w:firstLine="0"/>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rPr>
        <w:t xml:space="preserve">二〇二</w:t>
      </w:r>
      <w:r>
        <w:rPr>
          <w:rFonts w:hint="eastAsia" w:ascii="仿宋" w:hAnsi="仿宋" w:eastAsia="仿宋" w:cs="仿宋"/>
          <w:color w:val="000000"/>
          <w:sz w:val="30"/>
          <w:szCs w:val="30"/>
          <w:lang w:val="en-US" w:eastAsia="zh-CN"/>
        </w:rPr>
        <w:t xml:space="preserve">六</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五</w:t>
      </w:r>
      <w:r>
        <w:rPr>
          <w:rFonts w:hint="eastAsia" w:ascii="仿宋" w:hAnsi="仿宋" w:eastAsia="仿宋" w:cs="仿宋"/>
          <w:color w:val="000000"/>
          <w:sz w:val="30"/>
          <w:szCs w:val="30"/>
        </w:rPr>
        <w:t xml:space="preserve">月</w:t>
      </w:r>
      <w:r/>
    </w:p>
    <w:p>
      <w:pPr>
        <w:jc w:val="center"/>
        <w:widowControl/>
        <w:rPr>
          <w:rFonts w:hint="eastAsia" w:ascii="仿宋" w:hAnsi="仿宋" w:eastAsia="仿宋" w:cs="仿宋"/>
          <w:b/>
          <w:color w:val="000000"/>
          <w:sz w:val="44"/>
        </w:rPr>
      </w:pPr>
      <w:r>
        <w:rPr>
          <w:rFonts w:hint="eastAsia" w:ascii="仿宋" w:hAnsi="仿宋" w:eastAsia="仿宋" w:cs="仿宋"/>
          <w:b/>
          <w:color w:val="000000"/>
          <w:sz w:val="44"/>
        </w:rPr>
        <w:br w:type="page" w:clear="all"/>
      </w:r>
      <w:r>
        <w:rPr>
          <w:rFonts w:hint="eastAsia" w:ascii="仿宋" w:hAnsi="仿宋" w:eastAsia="仿宋" w:cs="仿宋"/>
          <w:b/>
          <w:color w:val="000000"/>
          <w:sz w:val="44"/>
        </w:rPr>
        <w:t xml:space="preserve">目 录</w:t>
      </w:r>
      <w:r/>
    </w:p>
    <w:p>
      <w:pPr>
        <w:jc w:val="center"/>
        <w:spacing w:line="520" w:lineRule="exact"/>
        <w:rPr>
          <w:rFonts w:hint="eastAsia" w:ascii="仿宋" w:hAnsi="仿宋" w:eastAsia="仿宋" w:cs="仿宋"/>
          <w:b/>
          <w:color w:val="000000"/>
          <w:sz w:val="44"/>
          <w:szCs w:val="44"/>
        </w:rPr>
      </w:pPr>
      <w:r/>
      <w:bookmarkStart w:id="0" w:name="_Toc522790130"/>
      <w:r/>
      <w:r/>
    </w:p>
    <w:p>
      <w:pPr>
        <w:pStyle w:val="954"/>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_Toc24257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第一章  投标邀请</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_Toc24257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54"/>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_Toc6866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lang w:val="en-US" w:eastAsia="zh-CN"/>
        </w:rPr>
        <w:t xml:space="preserve">第二章  投标人须知</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_Toc6866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5</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54"/>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_Toc12259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第三章  投标资料表</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_Toc12259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17</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54"/>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_Toc9429 </w:instrText>
      </w:r>
      <w:r>
        <w:rPr>
          <w:rFonts w:hint="eastAsia" w:ascii="仿宋" w:hAnsi="仿宋" w:eastAsia="仿宋" w:cs="仿宋"/>
          <w:color w:val="000000"/>
          <w:sz w:val="30"/>
          <w:szCs w:val="30"/>
        </w:rPr>
        <w:fldChar w:fldCharType="separate"/>
      </w:r>
      <w:r>
        <w:rPr>
          <w:rFonts w:hint="eastAsia" w:ascii="仿宋" w:hAnsi="仿宋" w:eastAsia="仿宋" w:cs="仿宋"/>
          <w:bCs/>
          <w:color w:val="000000"/>
          <w:sz w:val="30"/>
          <w:szCs w:val="30"/>
        </w:rPr>
        <w:t xml:space="preserve">第四章 </w:t>
      </w:r>
      <w:r>
        <w:rPr>
          <w:rFonts w:hint="eastAsia" w:ascii="仿宋" w:hAnsi="仿宋" w:eastAsia="仿宋" w:cs="仿宋"/>
          <w:color w:val="000000"/>
          <w:sz w:val="30"/>
          <w:szCs w:val="30"/>
        </w:rPr>
        <w:t xml:space="preserve"> 评标标准</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_Toc9429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30</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54"/>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_Toc14780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第五章  拟签订的合同文本</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_Toc14780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54"/>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_Toc12097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第六章  采购需求</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_Toc12097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54"/>
        <w:keepLines w:val="0"/>
        <w:keepNext w:val="0"/>
        <w:pageBreakBefore w:val="0"/>
        <w:spacing w:line="360" w:lineRule="auto"/>
        <w:widowControl w:val="off"/>
        <w:tabs>
          <w:tab w:val="right" w:pos="8306" w:leader="dot"/>
        </w:tabs>
        <w:rPr>
          <w:rFonts w:hint="eastAsia" w:ascii="仿宋" w:hAnsi="仿宋" w:eastAsia="仿宋" w:cs="仿宋"/>
          <w:color w:val="00000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_Toc17335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第七章  投标文件相关格式</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_Toc17335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173</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color w:val="000000"/>
          <w:szCs w:val="30"/>
        </w:rPr>
        <w:fldChar w:fldCharType="end"/>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widowControl/>
        <w:rPr>
          <w:rFonts w:hint="eastAsia" w:ascii="仿宋" w:hAnsi="仿宋" w:eastAsia="仿宋" w:cs="仿宋"/>
          <w:b/>
          <w:color w:val="000000"/>
          <w:sz w:val="44"/>
          <w:szCs w:val="44"/>
          <w:lang w:eastAsia="zh-CN"/>
        </w:rPr>
      </w:pPr>
      <w:r>
        <w:rPr>
          <w:rFonts w:hint="eastAsia" w:ascii="仿宋" w:hAnsi="仿宋" w:eastAsia="仿宋" w:cs="仿宋"/>
          <w:b/>
          <w:color w:val="000000"/>
          <w:sz w:val="44"/>
          <w:szCs w:val="44"/>
        </w:rPr>
        <w:br w:type="page" w:clear="all"/>
      </w:r>
      <w:r>
        <w:rPr>
          <w:rFonts w:hint="eastAsia" w:ascii="仿宋" w:hAnsi="仿宋" w:eastAsia="仿宋" w:cs="仿宋"/>
          <w:b/>
          <w:color w:val="000000"/>
          <w:sz w:val="44"/>
          <w:szCs w:val="44"/>
          <w:lang w:eastAsia="zh-CN"/>
        </w:rPr>
        <w:t xml:space="preserve">徐州生物工程职业技术学院</w:t>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w:t>
      </w:r>
      <w:r>
        <w:rPr>
          <w:rFonts w:hint="eastAsia" w:ascii="仿宋" w:hAnsi="仿宋" w:eastAsia="仿宋" w:cs="仿宋"/>
          <w:b/>
          <w:color w:val="000000"/>
          <w:sz w:val="44"/>
          <w:szCs w:val="44"/>
          <w:lang w:eastAsia="zh-CN"/>
        </w:rPr>
        <w:t xml:space="preserve">徐州生物工程职业技术学院大学生活动中心舞美设备采购与安装</w:t>
      </w:r>
      <w:r>
        <w:rPr>
          <w:rFonts w:hint="eastAsia" w:ascii="仿宋" w:hAnsi="仿宋" w:eastAsia="仿宋" w:cs="仿宋"/>
          <w:b/>
          <w:color w:val="000000"/>
          <w:sz w:val="44"/>
          <w:szCs w:val="44"/>
        </w:rPr>
        <w:t xml:space="preserve">项目》招标文件</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23"/>
        <w:spacing w:line="520" w:lineRule="exact"/>
        <w:rPr>
          <w:rFonts w:hint="eastAsia" w:ascii="仿宋" w:hAnsi="仿宋" w:eastAsia="仿宋" w:cs="仿宋"/>
          <w:color w:val="000000"/>
        </w:rPr>
      </w:pPr>
      <w:r/>
      <w:bookmarkStart w:id="1" w:name="_Toc24257"/>
      <w:r>
        <w:rPr>
          <w:rFonts w:hint="eastAsia" w:ascii="仿宋" w:hAnsi="仿宋" w:eastAsia="仿宋" w:cs="仿宋"/>
          <w:color w:val="000000"/>
        </w:rPr>
        <w:t xml:space="preserve">第一章  投标邀请</w:t>
      </w:r>
      <w:bookmarkEnd w:id="1"/>
      <w:r/>
      <w:r/>
    </w:p>
    <w:p>
      <w:pPr>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江苏中际招标代理有限公司对</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项目”进行公开招标采购，现邀请符合相关条件的供应商投标。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一、项目名称和项目编号</w:t>
      </w:r>
      <w:r/>
    </w:p>
    <w:p>
      <w:pPr>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(一)项目名称：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p>
    <w:p>
      <w:pPr>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(二)项目编号：</w:t>
      </w:r>
      <w:r>
        <w:rPr>
          <w:rFonts w:hint="eastAsia" w:ascii="仿宋" w:hAnsi="仿宋" w:eastAsia="仿宋" w:cs="仿宋"/>
          <w:color w:val="000000"/>
          <w:sz w:val="30"/>
          <w:szCs w:val="30"/>
          <w:lang w:eastAsia="zh-CN"/>
        </w:rPr>
        <w:t xml:space="preserve">JSZC-320300-ZJZB-G2026-0042</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二、对投标人的资格要求</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详见本项目公开招标公告。</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三、获取招标文件</w:t>
      </w:r>
      <w:bookmarkEnd w:id="0"/>
      <w:r/>
      <w:r/>
    </w:p>
    <w:p>
      <w:pPr>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（1）潜在供应商访问电子招标投标交易平台的网络地址和方法：</w:t>
      </w:r>
      <w:r/>
    </w:p>
    <w:p>
      <w:pPr>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①登录 http://jszfcg.jsczt.cn/ ，或进入徐州政府采购网--业务工作--用户登录，点击“苏采云”进入系统。</w:t>
      </w:r>
      <w:r/>
    </w:p>
    <w:p>
      <w:pPr>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（2）采购代理机构将数据电文形式的招标文件加载至电子招标投标交易平台，供潜在供应商下载或者查阅。</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bCs/>
          <w:color w:val="000000"/>
          <w:sz w:val="30"/>
          <w:szCs w:val="30"/>
        </w:rPr>
        <w:t xml:space="preserve">（3）售价：免费。</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四、提交投标文件截止时间、开标时间和地点</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（一）投标截止时间：202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06月10日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（二）开标时间：202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06月10日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（三）开标地点：“苏采云”系统（网址： http://jszfcg.jsczt.cn/）“开标大厅”或进入徐州政府采购网（网址：</w:t>
      </w:r>
      <w:r>
        <w:rPr>
          <w:rFonts w:hint="eastAsia" w:ascii="仿宋" w:hAnsi="仿宋" w:eastAsia="仿宋" w:cs="仿宋"/>
          <w:color w:val="000000"/>
          <w:sz w:val="30"/>
          <w:szCs w:val="30"/>
          <w:lang w:eastAsia="zh-CN"/>
        </w:rPr>
        <w:t xml:space="preserve">https://czj.xz.gov.cn/zfcg/</w:t>
      </w:r>
      <w:r>
        <w:rPr>
          <w:rFonts w:hint="eastAsia" w:ascii="仿宋" w:hAnsi="仿宋" w:eastAsia="仿宋" w:cs="仿宋"/>
          <w:color w:val="000000"/>
          <w:sz w:val="30"/>
          <w:szCs w:val="30"/>
        </w:rPr>
        <w:t xml:space="preserve">）点击“苏采云”进入系统“开标大厅”。</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p>
    <w:p>
      <w:pPr>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（二）地址：</w:t>
      </w:r>
      <w:r>
        <w:rPr>
          <w:rFonts w:hint="eastAsia" w:ascii="仿宋" w:hAnsi="仿宋" w:eastAsia="仿宋" w:cs="仿宋"/>
          <w:color w:val="000000"/>
          <w:sz w:val="30"/>
          <w:szCs w:val="30"/>
          <w:lang w:eastAsia="zh-CN"/>
        </w:rPr>
        <w:t xml:space="preserve">徐州市西三环路297号。</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杜雷</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六、采购代理机构</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（一）名称：江苏中际招标代理有限公司。</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（二）地址：徐州市云龙区绿地商务城LOFT领海办公楼5#1906室（汉风路和昆仑大道交叉口东北角）</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李海沫、柴鑫</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p>
    <w:p>
      <w:pPr>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widowControl/>
        <w:rPr>
          <w:rFonts w:hint="eastAsia" w:ascii="仿宋" w:hAnsi="仿宋" w:eastAsia="仿宋" w:cs="仿宋"/>
          <w:color w:val="000000"/>
        </w:rPr>
      </w:pPr>
      <w:r/>
      <w:bookmarkStart w:id="2" w:name="_Toc6866"/>
      <w:r/>
      <w:bookmarkStart w:id="3" w:name="_Toc522790131"/>
      <w:r>
        <w:rPr>
          <w:rStyle w:val="722"/>
          <w:rFonts w:hint="eastAsia" w:ascii="仿宋" w:hAnsi="仿宋" w:eastAsia="仿宋" w:cs="仿宋"/>
          <w:color w:val="000000"/>
          <w:lang w:val="en-US" w:eastAsia="zh-CN"/>
        </w:rPr>
        <w:br w:type="page" w:clear="all"/>
      </w:r>
      <w:r>
        <w:rPr>
          <w:rStyle w:val="722"/>
          <w:rFonts w:hint="eastAsia" w:ascii="仿宋" w:hAnsi="仿宋" w:eastAsia="仿宋" w:cs="仿宋"/>
          <w:color w:val="000000"/>
          <w:lang w:val="en-US" w:eastAsia="zh-CN"/>
        </w:rPr>
        <w:t xml:space="preserve">第二章  投标人须知</w:t>
      </w:r>
      <w:bookmarkEnd w:id="2"/>
      <w:r/>
      <w:bookmarkEnd w:id="3"/>
      <w:r/>
      <w:r/>
    </w:p>
    <w:p>
      <w:pPr>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（一）采购人。采购人即指依法进行政府采购的国家机关、事业单位和团体组织。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（六）投标人的资格条件：</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投标人是指响应招标、参加投标竞争的法人、其他组织或者自然人。</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2.投标人授权代表系指法定代表人或受法人委托的受托人。</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（八）招标文件应包括以下内容：</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第一章，投标邀请；</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第二章，投标人须知；</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第三章，投标资料表；</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第四章，评标标准；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第五章，拟签订的合同文本；</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第六章，采购需求；</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第七章，投标文件相关格式。</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（九）招标文件澄清或者修改：</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2.现场考察以本文件第三章《投标资料表》中的要求为准。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3.开标前答疑会以本文件第三章《投标资料表》中的要求为准。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（十二）投标文件的构成：</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1.投标文件的构成以本文件第三章《投标资料表》中的要求为准。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2.投标人应当提交的资格、资信证明文件，以本文件第三章《投标资料表》中的所提要求为准。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（十三）投标函和价格表、商务条件、交货和提供服务的时间：</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2.商务条件以本文件第三章《投标资料表》中的要求为准。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3.交货和提供服务的时间，以本文件第三章《投标资料表》中所提要求为准。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（十四）投标报价要求：</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1.投标人应按照招标文件的要求报出分项价格和总价。</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2.投标人应按照招标文件的要求进行报价，如投标人作出偏离，应在《偏离表》中列出。</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3.采购人不支付报价以外的任何费用。</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（十五）投标货币。以本文件第三章《投标资料表》中所提要求为准。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（十六）投标有效期：</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（十七）投标文件的编制要求和签署要求：</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1.电子投标文件要求</w:t>
      </w:r>
      <w:r/>
    </w:p>
    <w:p>
      <w:pPr>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（1）电子招标投标交易平台（即“苏采云”系统）相关要求是本招标文件的组成部分。</w:t>
      </w:r>
      <w:r/>
    </w:p>
    <w:p>
      <w:pPr>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（2）投标人应对 CA 证书妥善保管，如被他人盗用投标，因此带来的结果均由投标人自行承担。</w:t>
      </w:r>
      <w:r/>
    </w:p>
    <w:p>
      <w:pPr>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（3）投标人应当对招标文件提出的要求和条件作出实质性响应，并在电子投标系统逐条应答。</w:t>
      </w:r>
      <w:r/>
    </w:p>
    <w:p>
      <w:pPr>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（十八）投标文件的盖章要求：</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投标文件的盖章要求，以本文件第三章《投标资料表》中所提要求为准。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（十九）提交投标文件的截止 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二十</w:t>
      </w:r>
      <w:r>
        <w:rPr>
          <w:rFonts w:hint="eastAsia" w:ascii="仿宋" w:hAnsi="仿宋" w:eastAsia="仿宋" w:cs="仿宋"/>
          <w:color w:val="000000"/>
          <w:sz w:val="30"/>
          <w:szCs w:val="30"/>
        </w:rPr>
        <w:t xml:space="preserve">）凡在招标文件要求提交投标文件的截止时间之后</w:t>
      </w:r>
      <w:r>
        <w:rPr>
          <w:rFonts w:hint="eastAsia" w:ascii="仿宋" w:hAnsi="仿宋" w:eastAsia="仿宋" w:cs="仿宋"/>
          <w:color w:val="000000"/>
          <w:sz w:val="30"/>
          <w:szCs w:val="30"/>
          <w:lang w:eastAsia="zh-CN"/>
        </w:rPr>
        <w:t xml:space="preserve">提交</w:t>
      </w:r>
      <w:r>
        <w:rPr>
          <w:rFonts w:hint="eastAsia" w:ascii="仿宋" w:hAnsi="仿宋" w:eastAsia="仿宋" w:cs="仿宋"/>
          <w:color w:val="000000"/>
          <w:sz w:val="30"/>
          <w:szCs w:val="30"/>
        </w:rPr>
        <w:t xml:space="preserve">的投标文件，均为无效投标文件，</w:t>
      </w:r>
      <w:r>
        <w:rPr>
          <w:rFonts w:hint="eastAsia" w:ascii="仿宋" w:hAnsi="仿宋" w:eastAsia="仿宋" w:cs="仿宋"/>
          <w:color w:val="000000"/>
          <w:sz w:val="30"/>
          <w:szCs w:val="30"/>
          <w:lang w:eastAsia="zh-CN"/>
        </w:rPr>
        <w:t xml:space="preserve">“苏采云”系统将自动拒收</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各投标人应</w:t>
      </w:r>
      <w:r>
        <w:rPr>
          <w:rFonts w:hint="eastAsia" w:ascii="仿宋" w:hAnsi="仿宋" w:eastAsia="仿宋" w:cs="仿宋"/>
          <w:color w:val="000000"/>
          <w:sz w:val="30"/>
          <w:szCs w:val="30"/>
        </w:rPr>
        <w:t xml:space="preserve">在规定时间内</w:t>
      </w:r>
      <w:r>
        <w:rPr>
          <w:rFonts w:hint="eastAsia" w:ascii="仿宋" w:hAnsi="仿宋" w:eastAsia="仿宋" w:cs="仿宋"/>
          <w:color w:val="000000"/>
          <w:sz w:val="30"/>
          <w:szCs w:val="30"/>
          <w:lang w:eastAsia="zh-CN"/>
        </w:rPr>
        <w:t xml:space="preserve">通过</w:t>
      </w:r>
      <w:r>
        <w:rPr>
          <w:rFonts w:hint="eastAsia" w:ascii="仿宋" w:hAnsi="仿宋" w:eastAsia="仿宋" w:cs="仿宋"/>
          <w:color w:val="000000"/>
          <w:sz w:val="30"/>
          <w:szCs w:val="30"/>
        </w:rPr>
        <w:t xml:space="preserve">CA锁进行网上解密。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一</w:t>
      </w:r>
      <w:r>
        <w:rPr>
          <w:rFonts w:hint="eastAsia" w:ascii="仿宋" w:hAnsi="仿宋" w:eastAsia="仿宋" w:cs="仿宋"/>
          <w:color w:val="000000"/>
          <w:sz w:val="30"/>
          <w:szCs w:val="30"/>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cs="仿宋"/>
          <w:color w:val="000000"/>
          <w:sz w:val="30"/>
          <w:szCs w:val="30"/>
          <w:lang w:eastAsia="zh-CN"/>
        </w:rPr>
        <w:t xml:space="preserve">电子签章</w:t>
      </w:r>
      <w:r>
        <w:rPr>
          <w:rFonts w:hint="eastAsia" w:ascii="仿宋" w:hAnsi="仿宋" w:eastAsia="仿宋" w:cs="仿宋"/>
          <w:color w:val="000000"/>
          <w:sz w:val="30"/>
          <w:szCs w:val="30"/>
        </w:rPr>
        <w:t xml:space="preserve">，然后纳为投标文件的组成部分。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二</w:t>
      </w:r>
      <w:r>
        <w:rPr>
          <w:rFonts w:hint="eastAsia" w:ascii="仿宋" w:hAnsi="仿宋" w:eastAsia="仿宋" w:cs="仿宋"/>
          <w:color w:val="000000"/>
          <w:sz w:val="30"/>
          <w:szCs w:val="30"/>
        </w:rPr>
        <w:t xml:space="preserve">）本项目不允许分包。</w:t>
      </w:r>
      <w:r/>
    </w:p>
    <w:p>
      <w:pPr>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三</w:t>
      </w:r>
      <w:r>
        <w:rPr>
          <w:rFonts w:hint="eastAsia" w:ascii="仿宋" w:hAnsi="仿宋" w:eastAsia="仿宋" w:cs="仿宋"/>
          <w:color w:val="000000"/>
          <w:sz w:val="30"/>
          <w:szCs w:val="30"/>
        </w:rPr>
        <w:t xml:space="preserve">）投标人应当遵循公平竞争的原则，不得恶意串通，不得妨碍其他投标人的竞争行为，不得损害采购人或者其他投标人的合法权益。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四</w:t>
      </w:r>
      <w:r>
        <w:rPr>
          <w:rFonts w:hint="eastAsia" w:ascii="仿宋" w:hAnsi="仿宋" w:eastAsia="仿宋" w:cs="仿宋"/>
          <w:color w:val="000000"/>
          <w:sz w:val="30"/>
          <w:szCs w:val="30"/>
        </w:rPr>
        <w:t xml:space="preserve">）有下列情形之一的，其投标无效。</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1.不同投标人的投标文件，由同一单位或者个人编制；</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2.不同投标人委托同一单位或者个人办理投标事宜；</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4.不同投标人的投标文件，异常一致或者投标报价呈规律性差异；</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5.不同投标人的投标文件相互混装；</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7.电子投标文件未按规定期限投标的；</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8.电子投标文件未按招标文件要求签章的；</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9.投标人未在规定时间内解密电子投标文件的；</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10.投标文件未按招标文件规定的内容和要求填写的；没有在投标系统指定位置上传对应文件、材料的。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1</w:t>
      </w:r>
      <w:r>
        <w:rPr>
          <w:rFonts w:hint="eastAsia" w:ascii="仿宋" w:hAnsi="仿宋" w:eastAsia="仿宋" w:cs="仿宋"/>
          <w:color w:val="000000"/>
          <w:sz w:val="30"/>
          <w:szCs w:val="30"/>
        </w:rPr>
        <w:t xml:space="preserve">.不具备招标文件中规定的资格要求的；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2</w:t>
      </w:r>
      <w:r>
        <w:rPr>
          <w:rFonts w:hint="eastAsia" w:ascii="仿宋" w:hAnsi="仿宋" w:eastAsia="仿宋" w:cs="仿宋"/>
          <w:color w:val="000000"/>
          <w:sz w:val="30"/>
          <w:szCs w:val="30"/>
        </w:rPr>
        <w:t xml:space="preserve">.报价超过招标文件中规定的预算金额或者最高限价的；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.投标文件含有采购人不能接受的附加条件的；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4</w:t>
      </w:r>
      <w:r>
        <w:rPr>
          <w:rFonts w:hint="eastAsia" w:ascii="仿宋" w:hAnsi="仿宋" w:eastAsia="仿宋" w:cs="仿宋"/>
          <w:color w:val="000000"/>
          <w:sz w:val="30"/>
          <w:szCs w:val="30"/>
        </w:rPr>
        <w:t xml:space="preserve">.法律、法规和招标文件规定的其他无效情形。</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五</w:t>
      </w:r>
      <w:r>
        <w:rPr>
          <w:rFonts w:hint="eastAsia" w:ascii="仿宋" w:hAnsi="仿宋" w:eastAsia="仿宋" w:cs="仿宋"/>
          <w:color w:val="000000"/>
          <w:sz w:val="30"/>
          <w:szCs w:val="30"/>
        </w:rPr>
        <w:t xml:space="preserve">）开标：</w:t>
      </w:r>
      <w:r/>
    </w:p>
    <w:p>
      <w:pPr>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2.由电子招标投标交易平台主持，邀请投标人参加。</w:t>
      </w:r>
      <w:r/>
    </w:p>
    <w:p>
      <w:pPr>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 所有投标单位使用 CA 证书在开标时间时，解密各自投标文件，由工作人员操作系统进行开标，投标人不足3家的，不得评标。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五、评标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六</w:t>
      </w:r>
      <w:r>
        <w:rPr>
          <w:rFonts w:hint="eastAsia" w:ascii="仿宋" w:hAnsi="仿宋" w:eastAsia="仿宋" w:cs="仿宋"/>
          <w:color w:val="000000"/>
          <w:sz w:val="30"/>
          <w:szCs w:val="30"/>
        </w:rPr>
        <w:t xml:space="preserve">）公开招标采购项目开标结束后，采购人依法对投标人的资格进行审查。合格投标人不足3家的，不得评标。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1.评标工作由采购代理机构负责组织，并履行下列职责：</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（2）宣布评标纪律；</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（3）公布投标人名单，告知评审专家应当回避的情形；</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（4）组织评标委员会推选评标组长（采购人代表不得担任组长）；</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（5）在评标期间采取必要的通讯管理措施，保证评标活动不受外界干扰；</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（6）根据评标委员会的要求介绍政府采购相关政策法规、招标文件；</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（8）核对评标结果，对有《</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"http://www.caigou2003.com/"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政府采购</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（10）处理与评标有关的其他事项。</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2.评标委员会负责具体评标事务，并独立履行下列职责：</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（1）审查、评价投标文件是否符合招标文件的商务、技术等实质性要求；</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（2）要求投标人对投标文件有关事项作出澄清或者说明；</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（3）对投标文件进行比较和评价；</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（4）确定中标候选人名单，以及根据采购人委托直接确定中标人；</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（5）向采购人、采购代理机构或有关部门报告评标中发现的违法行为。</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七</w:t>
      </w:r>
      <w:r>
        <w:rPr>
          <w:rFonts w:hint="eastAsia" w:ascii="仿宋" w:hAnsi="仿宋" w:eastAsia="仿宋" w:cs="仿宋"/>
          <w:color w:val="000000"/>
          <w:sz w:val="30"/>
          <w:szCs w:val="30"/>
        </w:rPr>
        <w:t xml:space="preserve">）评标方法分为最低评标价法和综合评分法。</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八</w:t>
      </w:r>
      <w:r>
        <w:rPr>
          <w:rFonts w:hint="eastAsia" w:ascii="仿宋" w:hAnsi="仿宋" w:eastAsia="仿宋" w:cs="仿宋"/>
          <w:color w:val="000000"/>
          <w:sz w:val="30"/>
          <w:szCs w:val="30"/>
        </w:rPr>
        <w:t xml:space="preserve">）评标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1.评标工作程序：</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（1）投标文件初审。</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①资格性审查。</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②符合性审查。</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（2）澄清有关问题。</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（3）比较与评价。</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（4）推荐中标候选供应商名单。</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（5）编写评审报告（评标报告）。</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"http://lilun.caigou2003.com/recijiedu/2365668.html"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最低评标价法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"http://lilun.caigou2003.com/recijiedu/2365667.html"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综合评分法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九</w:t>
      </w:r>
      <w:r>
        <w:rPr>
          <w:rFonts w:hint="eastAsia" w:ascii="仿宋" w:hAnsi="仿宋" w:eastAsia="仿宋" w:cs="仿宋"/>
          <w:color w:val="000000"/>
          <w:sz w:val="30"/>
          <w:szCs w:val="30"/>
        </w:rPr>
        <w:t xml:space="preserve">）投标文件报价出现前后不一致的，按照下列规定修正：</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2.大写金额和小写金额不一致的，以大写金额为准；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4.总价金额与按单价合计金额不一致的，以单价金额计算结果为准。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（三十二）废标条款：</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出现下列情形之一的，应予废标。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1.符合专业条件的供应商或者对招标文件作实质响应的供应商不足三家的；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2.出现影响采购公正的违法、违规行为的；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3.投标人的报价均超过了采购预算，采购人不能支付的；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4.因重大变故，采购任务取消的。</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六、定标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（三十三）采购代理机构应当在评标结束后2个工作日内将评标报告送采购人。</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七、政府采购合同</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（三十六）签订政府采购合同（合同签订方式）：</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采购人不得向中标人提出任何不合理的要求作为签订合同的条件。</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（三十七）采购人与中标人应当根据合同的约定依法履行合同义务。政府采购合同的履行、违约责任和解决争议的方法等，按《中华人民共和国</w:t>
      </w:r>
      <w:r>
        <w:rPr>
          <w:rFonts w:hint="eastAsia" w:ascii="仿宋" w:hAnsi="仿宋" w:eastAsia="仿宋" w:cs="仿宋"/>
          <w:color w:val="000000"/>
          <w:sz w:val="30"/>
          <w:szCs w:val="30"/>
          <w:lang w:eastAsia="zh-CN"/>
        </w:rPr>
        <w:t xml:space="preserve">民法典</w:t>
      </w:r>
      <w:r>
        <w:rPr>
          <w:rFonts w:hint="eastAsia" w:ascii="仿宋" w:hAnsi="仿宋" w:eastAsia="仿宋" w:cs="仿宋"/>
          <w:color w:val="000000"/>
          <w:sz w:val="30"/>
          <w:szCs w:val="30"/>
        </w:rPr>
        <w:t xml:space="preserve">》相关条款执行。</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（三十八）履约保证金：</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1.中标人应当在中标公告起三日内向采购人提交本文件第三章《投标资料表》中规定金额的履约保证金。</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（三十九）腐败和欺诈行为：</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（1）腐败和欺诈行为的含义：</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（2）如果被推荐的中标人有腐败和欺诈行为，将取消其中标资格。</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八、询问和质疑</w:t>
      </w:r>
      <w:r/>
    </w:p>
    <w:p>
      <w:pPr>
        <w:ind w:firstLine="600"/>
        <w:jc w:val="left"/>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（四十）询问和质疑</w:t>
      </w:r>
      <w:r/>
    </w:p>
    <w:p>
      <w:pPr>
        <w:ind w:firstLine="600"/>
        <w:jc w:val="left"/>
        <w:keepLines w:val="0"/>
        <w:keepNext w:val="0"/>
        <w:pageBreakBefore w:val="0"/>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九、电子招标投标交易平台</w:t>
      </w:r>
      <w:r/>
    </w:p>
    <w:p>
      <w:pPr>
        <w:pStyle w:val="938"/>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（四十一）电子招标投标交易平台（即“苏采云”系统，网址：</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"http://jszfcg.jsczt.cn/" \o "http://jszfcg.jsczt.cn/"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http://jszfcg.jsczt.cn/</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）相关要求是本招标文件的组成部分。</w:t>
      </w:r>
      <w:r/>
    </w:p>
    <w:p>
      <w:pPr>
        <w:pStyle w:val="938"/>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rPr>
          <w:rFonts w:hint="eastAsia" w:ascii="仿宋" w:hAnsi="仿宋" w:eastAsia="仿宋" w:cs="仿宋"/>
          <w:color w:val="000000"/>
        </w:rPr>
      </w:pPr>
      <w:r/>
      <w:bookmarkStart w:id="4" w:name="_Toc522790132"/>
      <w:r>
        <w:rPr>
          <w:rFonts w:hint="eastAsia" w:ascii="仿宋" w:hAnsi="仿宋" w:eastAsia="仿宋" w:cs="仿宋"/>
          <w:color w:val="000000"/>
        </w:rPr>
        <w:br w:type="page" w:clear="all"/>
      </w:r>
      <w:bookmarkStart w:id="5" w:name="_Toc12259"/>
      <w:r>
        <w:rPr>
          <w:rStyle w:val="722"/>
          <w:rFonts w:hint="eastAsia" w:ascii="仿宋" w:hAnsi="仿宋" w:eastAsia="仿宋" w:cs="仿宋"/>
          <w:color w:val="000000"/>
          <w:lang w:val="en-US" w:eastAsia="zh-CN"/>
        </w:rPr>
        <w:t xml:space="preserve">第三章  投标资料表</w:t>
      </w:r>
      <w:bookmarkEnd w:id="4"/>
      <w:r/>
      <w:bookmarkEnd w:id="5"/>
      <w:r/>
      <w:r/>
    </w:p>
    <w:p>
      <w:pPr>
        <w:ind w:firstLine="600"/>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4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仿宋" w:hAnsi="仿宋" w:eastAsia="仿宋" w:cs="仿宋"/>
          <w:color w:val="000000"/>
        </w:rPr>
      </w:pPr>
      <w:r>
        <w:rPr>
          <w:rFonts w:hint="eastAsia" w:ascii="仿宋" w:hAnsi="仿宋" w:eastAsia="仿宋" w:cs="仿宋"/>
          <w:color w:val="000000"/>
        </w:rPr>
      </w:r>
      <w:r/>
    </w:p>
    <w:tbl>
      <w:tblPr>
        <w:tblStyle w:val="697"/>
        <w:tblW w:w="8780"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p>
        </w:tc>
        <w:tc>
          <w:tcPr>
            <w:tcW w:w="7220" w:type="dxa"/>
            <w:vAlign w:val="top"/>
            <w:textDirection w:val="lrTb"/>
            <w:noWrap w:val="false"/>
          </w:tcPr>
          <w:p>
            <w:pPr>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总则</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p>
        </w:tc>
        <w:tc>
          <w:tcPr>
            <w:tcW w:w="7220" w:type="dxa"/>
            <w:vAlign w:val="top"/>
            <w:textDirection w:val="lrTb"/>
            <w:noWrap w:val="false"/>
          </w:tcPr>
          <w:p>
            <w:pPr>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本项目采购人：</w:t>
            </w:r>
            <w:r>
              <w:rPr>
                <w:rFonts w:hint="eastAsia" w:ascii="仿宋" w:hAnsi="仿宋" w:eastAsia="仿宋" w:cs="仿宋"/>
                <w:color w:val="000000"/>
                <w:sz w:val="28"/>
                <w:szCs w:val="28"/>
                <w:lang w:eastAsia="zh-CN"/>
              </w:rPr>
              <w:t xml:space="preserve">徐州生物工程职业技术学院</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p>
        </w:tc>
        <w:tc>
          <w:tcPr>
            <w:tcW w:w="7220" w:type="dxa"/>
            <w:vAlign w:val="top"/>
            <w:textDirection w:val="lrTb"/>
            <w:noWrap w:val="false"/>
          </w:tcPr>
          <w:p>
            <w:pPr>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采购人确定的采购项目属性：</w:t>
            </w:r>
            <w:r>
              <w:rPr>
                <w:rFonts w:hint="eastAsia" w:ascii="仿宋" w:hAnsi="仿宋" w:eastAsia="仿宋" w:cs="仿宋"/>
                <w:color w:val="000000"/>
                <w:sz w:val="28"/>
                <w:szCs w:val="28"/>
                <w:lang w:eastAsia="zh-CN"/>
              </w:rPr>
              <w:t xml:space="preserve">货物</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本项目采购代理机构：江苏中际招标代理有限公司</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1.符合《中华人民共和国政府采购法》第二十二条的规定；</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本项目不属于专门面向中小微企业采购的项目</w:t>
            </w:r>
            <w:r/>
          </w:p>
          <w:p>
            <w:pPr>
              <w:spacing w:line="400" w:lineRule="exact"/>
              <w:rPr>
                <w:rFonts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3.本顶目的特定资格要求：无</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本项目不接受联合体参与采购活动。</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p>
          <w:p>
            <w:pPr>
              <w:ind w:left="560" w:hanging="56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、为本采购项目提供整体设计、规范编制或者项目管理、监理、检测等服务的供应商，不得再参加本采购项目的采购活动。</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四</w:t>
            </w:r>
            <w:r>
              <w:rPr>
                <w:rFonts w:hint="eastAsia" w:ascii="仿宋" w:hAnsi="仿宋" w:eastAsia="仿宋" w:cs="仿宋"/>
                <w:color w:val="000000"/>
                <w:sz w:val="28"/>
                <w:szCs w:val="28"/>
              </w:rPr>
              <w:t xml:space="preserve">、查询及使用供应商信用记录：</w:t>
            </w:r>
            <w:r/>
          </w:p>
          <w:p>
            <w:pPr>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p>
          <w:p>
            <w:pPr>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p>
          <w:p>
            <w:pPr>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"http://www.creditchina.gov.cn/"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"http://www.ccgp.gov.cn/"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3.“信用江苏”网（www.jscredit.gov.cn）；</w:t>
            </w:r>
            <w:r/>
          </w:p>
          <w:p>
            <w:pPr>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p>
          <w:p>
            <w:pPr>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"http://www.xuzhoucredit.gov.cn/"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(三)截止时点（查询环节）：评标结束前。</w:t>
            </w:r>
            <w:r/>
          </w:p>
          <w:p>
            <w:pPr>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p>
          <w:p>
            <w:pPr>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p>
          <w:p>
            <w:pPr>
              <w:ind w:left="89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(九)1</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(九)2</w:t>
            </w:r>
            <w:r/>
          </w:p>
        </w:tc>
        <w:tc>
          <w:tcPr>
            <w:tcW w:w="7220" w:type="dxa"/>
            <w:vAlign w:val="top"/>
            <w:textDirection w:val="lrTb"/>
            <w:noWrap w:val="false"/>
          </w:tcPr>
          <w:p>
            <w:pPr>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不安排现场考察。</w:t>
            </w:r>
            <w:r/>
          </w:p>
        </w:tc>
      </w:tr>
      <w:tr>
        <w:trPr>
          <w:trHeight w:val="375"/>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(九)3</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不安排开标前答疑会。</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w:t>
            </w:r>
            <w:r/>
          </w:p>
        </w:tc>
      </w:tr>
      <w:tr>
        <w:trPr>
          <w:trHeight w:val="510"/>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w:t>
            </w:r>
            <w:r/>
          </w:p>
        </w:tc>
        <w:tc>
          <w:tcPr>
            <w:tcW w:w="7220" w:type="dxa"/>
            <w:vAlign w:val="top"/>
            <w:textDirection w:val="lrTb"/>
            <w:noWrap w:val="false"/>
          </w:tcPr>
          <w:p>
            <w:pPr>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p>
        </w:tc>
      </w:tr>
      <w:tr>
        <w:trPr>
          <w:trHeight w:val="90"/>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(十二)1</w:t>
            </w:r>
            <w:r/>
          </w:p>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(十二)2</w:t>
            </w:r>
            <w:r/>
          </w:p>
        </w:tc>
        <w:tc>
          <w:tcPr>
            <w:tcW w:w="7220" w:type="dxa"/>
            <w:vAlign w:val="top"/>
            <w:textDirection w:val="lrTb"/>
            <w:noWrap w:val="false"/>
          </w:tcPr>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线上投标文件编制要求：</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请按照以下要求（包括但不限于以下要求）制作：</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，政府采购客户端工具输入报价自动生成）；</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2.《授权委托书》（提供原件的扫描件，格式见招标文件第七章《投标文件相关格式》）；</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3.所投产品的环境标志产品认证证书原件的扫描件（如有）。</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（2）环境标志产品认证证书是否符合要求，采购人评标时查询中国政府采购网（www.ccgp.gov.cn）相关内容后确定。</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4.所投产品的节能产品认证证书原件的扫描件（如有）。</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（2）节能产品认证证书是否符合要求，采购人评标时查询中国政府采购网（www.ccgp.gov.cn）相关内容后确定。</w:t>
            </w:r>
            <w:r/>
          </w:p>
          <w:p>
            <w:pPr>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二、资格条件（1-</w:t>
            </w:r>
            <w:r>
              <w:rPr>
                <w:rFonts w:hint="eastAsia" w:ascii="仿宋" w:hAnsi="仿宋" w:eastAsia="仿宋" w:cs="仿宋"/>
                <w:b/>
                <w:bCs/>
                <w:color w:val="000000"/>
                <w:sz w:val="28"/>
                <w:szCs w:val="28"/>
                <w:lang w:val="en-US" w:eastAsia="zh-CN"/>
              </w:rPr>
              <w:t xml:space="preserve">7</w:t>
            </w:r>
            <w:r>
              <w:rPr>
                <w:rFonts w:hint="eastAsia" w:ascii="仿宋" w:hAnsi="仿宋" w:eastAsia="仿宋" w:cs="仿宋"/>
                <w:b/>
                <w:bCs/>
                <w:color w:val="000000"/>
                <w:sz w:val="28"/>
                <w:szCs w:val="28"/>
              </w:rPr>
              <w:t xml:space="preserve">必须提供，否则投标无效）</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2.财务状况报告（即提供投标人的本项目开标时间前6个月内任何时间的资产负债表、利润表各一份或提供投标人上年度财务报告</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2024年度或2025年度</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或投标人的本项目开标时间前6个月内银行出具的资信证明</w:t>
            </w:r>
            <w:r>
              <w:rPr>
                <w:rFonts w:hint="eastAsia" w:ascii="仿宋" w:hAnsi="仿宋" w:eastAsia="仿宋" w:cs="仿宋"/>
                <w:color w:val="000000"/>
                <w:sz w:val="28"/>
                <w:szCs w:val="28"/>
                <w:lang w:val="en-US" w:eastAsia="zh-CN"/>
              </w:rPr>
              <w:t xml:space="preserve">扫描</w:t>
            </w:r>
            <w:r>
              <w:rPr>
                <w:rFonts w:hint="eastAsia" w:ascii="仿宋" w:hAnsi="仿宋" w:eastAsia="仿宋" w:cs="仿宋"/>
                <w:color w:val="000000"/>
                <w:sz w:val="28"/>
                <w:szCs w:val="28"/>
              </w:rPr>
              <w:t xml:space="preserve">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3.投标人的本项目开标时间前6个月内任何1个月的依法缴纳税收和社会保障资金的相关材料</w:t>
            </w:r>
            <w:r>
              <w:rPr>
                <w:rFonts w:hint="eastAsia" w:ascii="仿宋" w:hAnsi="仿宋" w:eastAsia="仿宋" w:cs="仿宋"/>
                <w:color w:val="000000"/>
                <w:sz w:val="28"/>
                <w:szCs w:val="28"/>
                <w:lang w:val="en-US" w:eastAsia="zh-CN"/>
              </w:rPr>
              <w:t xml:space="preserve">扫描</w:t>
            </w:r>
            <w:r>
              <w:rPr>
                <w:rFonts w:hint="eastAsia" w:ascii="仿宋" w:hAnsi="仿宋" w:eastAsia="仿宋" w:cs="仿宋"/>
                <w:color w:val="000000"/>
                <w:sz w:val="28"/>
                <w:szCs w:val="28"/>
              </w:rPr>
              <w:t xml:space="preserve">件（依法免税或不需要缴纳社会保障资金的供应商,提供相应文件证明其依法免税或不需要缴纳社会保障资金)；</w:t>
            </w:r>
            <w:r/>
          </w:p>
          <w:p>
            <w:pPr>
              <w:spacing w:line="400" w:lineRule="exact"/>
              <w:widowControl/>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4.具备履行合同所必需的设备和专业技术能力的证明材料</w:t>
            </w:r>
            <w:r>
              <w:rPr>
                <w:rFonts w:hint="eastAsia" w:ascii="仿宋" w:hAnsi="仿宋" w:eastAsia="仿宋" w:cs="仿宋"/>
                <w:b/>
                <w:bCs/>
                <w:color w:val="000000"/>
                <w:sz w:val="28"/>
                <w:szCs w:val="28"/>
              </w:rPr>
              <w:t xml:space="preserve">（即</w:t>
            </w:r>
            <w:r>
              <w:rPr>
                <w:rFonts w:hint="eastAsia" w:ascii="仿宋" w:hAnsi="仿宋" w:eastAsia="仿宋" w:cs="仿宋"/>
                <w:b/>
                <w:bCs/>
                <w:color w:val="000000"/>
                <w:sz w:val="28"/>
                <w:szCs w:val="28"/>
                <w:lang w:eastAsia="zh-CN"/>
              </w:rPr>
              <w:t xml:space="preserve">提供</w:t>
            </w:r>
            <w:r>
              <w:rPr>
                <w:rFonts w:hint="eastAsia" w:ascii="仿宋" w:hAnsi="仿宋" w:eastAsia="仿宋" w:cs="仿宋"/>
                <w:b/>
                <w:bCs/>
                <w:color w:val="000000"/>
                <w:sz w:val="28"/>
                <w:szCs w:val="28"/>
                <w:lang w:val="en-US" w:eastAsia="zh-CN"/>
              </w:rPr>
              <w:t xml:space="preserve">至</w:t>
            </w:r>
            <w:r>
              <w:rPr>
                <w:rFonts w:hint="eastAsia" w:ascii="仿宋" w:hAnsi="仿宋" w:eastAsia="仿宋" w:cs="仿宋"/>
                <w:b/>
                <w:bCs/>
                <w:color w:val="000000"/>
                <w:sz w:val="28"/>
                <w:szCs w:val="28"/>
                <w:lang w:eastAsia="zh-CN"/>
              </w:rPr>
              <w:t xml:space="preserve">少一名为本项目服务人员的劳动合同或身份证原件扫描件</w:t>
            </w:r>
            <w:r>
              <w:rPr>
                <w:rFonts w:hint="eastAsia" w:ascii="仿宋" w:hAnsi="仿宋" w:eastAsia="仿宋" w:cs="仿宋"/>
                <w:b/>
                <w:bCs/>
                <w:color w:val="000000"/>
                <w:sz w:val="28"/>
                <w:szCs w:val="28"/>
              </w:rPr>
              <w:t xml:space="preserve">）；</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，格式见招标文件第七章《投标文件相关格式》）。</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7.供应商不是为本采购项目提供整体设计、规范编制或者项目管理、监理、检测等服务的供应商的书面声明。（加盖电子签章，格式见招标文件第七章《投标文件相关格式》）。</w:t>
            </w:r>
            <w:r/>
          </w:p>
          <w:p>
            <w:pPr>
              <w:pStyle w:val="7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投标人信用信息（要求见本章条款项号“(六)”中“四、”内容）</w:t>
            </w:r>
            <w:r>
              <w:rPr>
                <w:rFonts w:hint="eastAsia" w:ascii="仿宋" w:hAnsi="仿宋" w:eastAsia="仿宋" w:cs="仿宋"/>
                <w:color w:val="000000"/>
                <w:sz w:val="28"/>
                <w:szCs w:val="28"/>
                <w:lang w:eastAsia="zh-CN"/>
              </w:rPr>
              <w:t xml:space="preserve">。</w:t>
            </w:r>
            <w:r/>
          </w:p>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三、符合条件（必须提供，否则投标无效）</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(一)报价</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1.《分项价格表》（加盖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（二）商务资信</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1.《投标函》（加盖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lang w:eastAsia="zh-CN"/>
              </w:rPr>
              <w:t xml:space="preserve">；</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2.《授权委托书》（提供原件的扫描件，格式见招标文件第七章《投标文件相关格式》）</w:t>
            </w:r>
            <w:r>
              <w:rPr>
                <w:rFonts w:hint="eastAsia" w:ascii="仿宋" w:hAnsi="仿宋" w:eastAsia="仿宋" w:cs="仿宋"/>
                <w:color w:val="000000"/>
                <w:sz w:val="28"/>
                <w:szCs w:val="28"/>
                <w:highlight w:val="none"/>
                <w:lang w:eastAsia="zh-CN"/>
              </w:rPr>
              <w:t xml:space="preserve">；</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（三）技术响应</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1.《偏离表》（加盖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p>
          <w:p>
            <w:pPr>
              <w:pStyle w:val="769"/>
              <w:ind w:left="0" w:right="0" w:firstLine="0"/>
              <w:jc w:val="both"/>
              <w:keepLines w:val="0"/>
              <w:keepNext w:val="0"/>
              <w:spacing w:before="0" w:beforeAutospacing="0" w:after="0" w:afterAutospacing="0"/>
              <w:widowControl w:val="off"/>
              <w:rPr>
                <w:rFonts w:hint="eastAsia" w:ascii="仿宋" w:hAnsi="仿宋" w:eastAsia="仿宋" w:cs="仿宋"/>
                <w:color w:val="000000"/>
                <w:sz w:val="28"/>
                <w:szCs w:val="28"/>
                <w:highlight w:val="none"/>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lang w:val="en-US" w:eastAsia="zh-CN" w:bidi="ar-SA"/>
              </w:rPr>
              <w:t xml:space="preserve">2</w:t>
            </w:r>
            <w:r>
              <w:rPr>
                <w:rFonts w:hint="eastAsia" w:ascii="仿宋" w:hAnsi="仿宋" w:eastAsia="仿宋" w:cs="仿宋"/>
                <w:color w:val="000000"/>
                <w:sz w:val="28"/>
                <w:szCs w:val="28"/>
                <w:highlight w:val="none"/>
                <w:lang w:bidi="ar-SA"/>
              </w:rPr>
              <w:t xml:space="preserve">.《采购需求符合性条件响应表》（加盖电子签章，格式见招标文件第七章《投标文件相关格式》。）</w:t>
            </w:r>
            <w:r/>
          </w:p>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四、综合评审评分项</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（一）技术部分</w:t>
            </w:r>
            <w:r/>
          </w:p>
          <w:p>
            <w:pPr>
              <w:pStyle w:val="79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1.所投产品的技术规格（技术性能）（格式自拟，要求见招标文件第四章《评标标准》）；</w:t>
            </w:r>
            <w:r/>
          </w:p>
          <w:p>
            <w:pPr>
              <w:pStyle w:val="79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2.系统集成方案（格式自拟，要求见招标文件第四章《评标标准》）；</w:t>
            </w:r>
            <w:r/>
          </w:p>
          <w:p>
            <w:pPr>
              <w:pStyle w:val="79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.安装调试方案（格式自拟，要求见招标文件第四章《评标标准》）；</w:t>
            </w:r>
            <w:r/>
          </w:p>
          <w:p>
            <w:pPr>
              <w:pStyle w:val="79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rPr>
              <w:t xml:space="preserve">.培训方案（格式自拟，要求见招标文件第四章《评标标准》）；</w:t>
            </w:r>
            <w:r/>
          </w:p>
          <w:p>
            <w:pPr>
              <w:pStyle w:val="79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.售后服务方案（格式自拟，要求见招标文件第四章《评标标准》）；</w:t>
            </w:r>
            <w:r/>
          </w:p>
          <w:p>
            <w:pPr>
              <w:pStyle w:val="79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6</w:t>
            </w:r>
            <w:r>
              <w:rPr>
                <w:rFonts w:hint="eastAsia" w:ascii="仿宋" w:hAnsi="仿宋" w:eastAsia="仿宋" w:cs="仿宋"/>
                <w:bCs/>
                <w:color w:val="000000"/>
                <w:sz w:val="28"/>
                <w:szCs w:val="28"/>
                <w:highlight w:val="none"/>
              </w:rPr>
              <w:t xml:space="preserve">.设计深化能力（格式自拟，要求见招标文件第四章《评标标准》）；</w:t>
            </w:r>
            <w:r/>
          </w:p>
          <w:p>
            <w:pPr>
              <w:pStyle w:val="797"/>
              <w:spacing w:line="40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rPr>
              <w:t xml:space="preserve">.项目实施方案（格式自拟，要求见招标文件第四章《评标标准》）</w:t>
            </w:r>
            <w:r>
              <w:rPr>
                <w:rFonts w:hint="eastAsia" w:ascii="仿宋" w:hAnsi="仿宋" w:eastAsia="仿宋" w:cs="仿宋"/>
                <w:bCs/>
                <w:color w:val="000000"/>
                <w:sz w:val="28"/>
                <w:szCs w:val="28"/>
                <w:highlight w:val="none"/>
                <w:lang w:eastAsia="zh-CN"/>
              </w:rPr>
              <w:t xml:space="preserve">。</w:t>
            </w:r>
            <w:r/>
          </w:p>
          <w:p>
            <w:pPr>
              <w:pStyle w:val="79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（二）商务部分</w:t>
            </w:r>
            <w:r/>
          </w:p>
          <w:p>
            <w:pPr>
              <w:spacing w:line="400" w:lineRule="exact"/>
              <w:widowControl/>
              <w:rPr>
                <w:rFonts w:hint="eastAsia" w:ascii="仿宋" w:hAnsi="仿宋" w:eastAsia="仿宋" w:cs="仿宋"/>
              </w:rPr>
            </w:pPr>
            <w:r>
              <w:rPr>
                <w:rFonts w:hint="eastAsia" w:ascii="仿宋" w:hAnsi="仿宋" w:eastAsia="仿宋" w:cs="仿宋"/>
                <w:bCs/>
                <w:color w:val="000000"/>
                <w:sz w:val="28"/>
                <w:szCs w:val="28"/>
                <w:highlight w:val="none"/>
              </w:rPr>
              <w:t xml:space="preserve">1.投标人业绩（要求见招标文件第四章《评标标准》）</w:t>
            </w:r>
            <w:r>
              <w:rPr>
                <w:rFonts w:hint="eastAsia" w:ascii="仿宋" w:hAnsi="仿宋" w:eastAsia="仿宋" w:cs="仿宋"/>
                <w:bCs/>
                <w:color w:val="000000"/>
                <w:sz w:val="28"/>
                <w:szCs w:val="28"/>
                <w:highlight w:val="none"/>
                <w:lang w:eastAsia="zh-CN"/>
              </w:rPr>
              <w:t xml:space="preserve">。</w:t>
            </w:r>
            <w:r/>
          </w:p>
          <w:p>
            <w:pPr>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rPr>
              <w:t xml:space="preserve">其他部分</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（一）投标人《关于符合本国产品标准的声明函》（填写完整，加盖公章，格式见招标文件第七章《投标文件相关格式》）（请填写完整，如不填写完整或未按要求填写的，视为非本国产品）。</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1、本国产品应当符合以下条件：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（一）在中国境内生产</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产品应当在中国境内生产，即在中华人民共和国关境内实现从原材料、组件到产品的属性改变。</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属性改变是指经过制造、加工或者组装等工序，产生完全不同于原材料、组件的新产品，并具有新的名称和特征（用途）。属性改变不包括以下细微操作：</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1.为确保产品在运输或者储存期间保持某种状态而进行的操作；</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2.为产品运输或者销售进行的包装或者展示；</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3.在产品或者其包装上粘贴或者印刷品牌、标志、标识以及其他用于区别的标记；</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4.简单的上漆、磨光和分装；</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5.其他不属于属性改变的情形。</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（二）在中国境内生产的组件成本占比达到规定比例</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产品在中国境内生产的组件成本占比应当达到规定比例，计算公式为：</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mc:AlternateContent>
                <mc:Choice Requires="wpg">
                  <w:drawing>
                    <wp:inline xmlns:wp="http://schemas.openxmlformats.org/drawingml/2006/wordprocessingDrawing" distT="0" distB="0" distL="0" distR="0">
                      <wp:extent cx="3467100" cy="523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3467100"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41.2pt;mso-wrap-distance-left:0.0pt;mso-wrap-distance-top:0.0pt;mso-wrap-distance-right:0.0pt;mso-wrap-distance-bottom:0.0pt;" stroked="f">
                      <v:path textboxrect="0,0,0,0"/>
                      <v:imagedata r:id="rId14" o:title=""/>
                    </v:shape>
                  </w:pict>
                </mc:Fallback>
              </mc:AlternateConten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（三）特定产品的关键组件、关键工序符合相关要求</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对特定产品，在符合本通知第一条第（一）项和第（二）项条件的基础上，应当符合财政部会同有关行业主管部门确定的其关键组件、关键工序在中国境内生产、完成等要求。</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2、本国产品标准的适用范围</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3、对本国产品的支持政策</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政府采购活动中既有本国产品又有非本国产品参与竞争的，依法对本国产品给予价格评审优惠，对本国产品的报价给予20%的价格扣除，用扣除后的价格参与评审。</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具体以《国务院办公厅关于在政府采购中实施本国产品标准及相关政策的通知》（国办发〔2025〕34号）规定为准。</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注：中国境内生产的组件成本核算基本规则</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一、产品的一级组件是指直接组成产品的组件。产品的二级组件是指直接组成产品一级组件的组件。一级组件不可分解的，视同二级组件。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二、二级组件在中国境内生产的，其全部成本计入中国境内生产的组件成本；二级组件不在中国境内生产的，其成本不计入中国境内生产的组件成本。</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三、产品总成本和组件成本以相关会计核算数据、采购合同、进货记录等为基础进行计算。</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四、需要对成本核算规则予以进一步明确的其他有关事项，由财政部会同有关部门另行规定。</w:t>
            </w:r>
            <w:r/>
          </w:p>
          <w:p>
            <w:pPr>
              <w:spacing w:line="40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、价格折扣文件格式</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企业报价折扣证明：</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投标人提供的货物全部由符合政策要求的中小企业制造，提供《中小企业声明函》（加盖电子签章，格式见招标文件第七章《投标文件相关格式》）。（如不填写完整或未按要求填写的，视为无效）《中小企业声明函》查询渠道用微信搜索“中小企业规模类型自测小程序”；</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注：具体以《政府采购促进中小企业发展管理办法》（财库[2020]46号）和《关于印发中小企业划型标准规定的通知》（工信部联企业[2011]300号）的规定为准。</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注：监狱企业和残疾人福利性单位等同于小微企业。</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投标人为监狱企业的，提供省级以上监狱管理局、戒毒管理局（含新疆生产建设兵团）出具的属于监狱企业的证明文件原件的扫描件。</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具体以《财政部 司法部关于政府采购支持监狱企业发展有关问题的通知》（财库〔2014〕68号）的规定为准。</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投标人为享受政府采购支持政策的残疾人福利性单位的，提供《残疾人福利性单位声明函》（加盖电子签章，格式见招标文件第七章《投标文件相关格式》）。</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享受政府采购支持政策的残疾人福利性单位应当同时满足以下条件：</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①安置的残疾人占本单位在职职工人数的比例不低于25%（含25%），并且安置的残疾人人数不少于10人（含10人）；</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②依法与安置的每位残疾人签订了一年以上（含一年）的劳动合同或服务协议；</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③为安置的每位残疾人按月足额缴纳了基本养老保险、基本医疗保险、失业保险、工伤保险和生育保险等社会保险费；</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④通过银行等金融机构向安置的每位残疾人，按月支付了不低于单位所在区县适用的经省级人民政府批准的月最低工资标准的工资；</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具体以《三部门联合发布关于促进残疾人就业政府采购政策的通知》（财库〔2017〕141号）规定为准。</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p>
          <w:p>
            <w:pPr>
              <w:ind w:firstLine="56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1.投标人应对以上文件的合法性、真实性负责。</w:t>
            </w:r>
            <w:r/>
          </w:p>
          <w:p>
            <w:pPr>
              <w:ind w:left="832" w:hanging="280"/>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bCs/>
                <w:color w:val="000000"/>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(十三)2</w:t>
            </w:r>
            <w:r/>
          </w:p>
        </w:tc>
        <w:tc>
          <w:tcPr>
            <w:tcW w:w="7220" w:type="dxa"/>
            <w:vAlign w:val="top"/>
            <w:textDirection w:val="lrTb"/>
            <w:noWrap w:val="false"/>
          </w:tcPr>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商务条件见：</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一、本文件第四章《评标标准》中《评分细则》。</w:t>
            </w:r>
            <w:r/>
          </w:p>
          <w:p>
            <w:pPr>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(十三)3</w:t>
            </w:r>
            <w:r/>
          </w:p>
        </w:tc>
        <w:tc>
          <w:tcPr>
            <w:tcW w:w="7220" w:type="dxa"/>
            <w:vAlign w:val="top"/>
            <w:textDirection w:val="lrTb"/>
            <w:noWrap w:val="false"/>
          </w:tcPr>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交货和提供服务的时间：见本文件第五章 《拟签订的合同文本》及或本文件第六章《采购需求》。</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(十四)3</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本项目不接受超</w:t>
            </w:r>
            <w:r>
              <w:rPr>
                <w:rFonts w:hint="eastAsia" w:ascii="仿宋" w:hAnsi="仿宋" w:eastAsia="仿宋" w:cs="仿宋"/>
                <w:bCs/>
                <w:color w:val="000000"/>
                <w:sz w:val="28"/>
                <w:szCs w:val="28"/>
                <w:highlight w:val="none"/>
              </w:rPr>
              <w:t xml:space="preserve">过</w:t>
            </w:r>
            <w:r>
              <w:rPr>
                <w:rFonts w:hint="eastAsia" w:ascii="仿宋" w:hAnsi="仿宋" w:eastAsia="仿宋" w:cs="仿宋"/>
                <w:color w:val="000000"/>
                <w:sz w:val="28"/>
                <w:szCs w:val="28"/>
                <w:highlight w:val="none"/>
                <w:u w:val="single"/>
                <w:lang w:val="en-US" w:eastAsia="zh-CN"/>
              </w:rPr>
              <w:t xml:space="preserve">440万元</w:t>
            </w:r>
            <w:r>
              <w:rPr>
                <w:rFonts w:hint="eastAsia" w:ascii="仿宋" w:hAnsi="仿宋" w:eastAsia="仿宋" w:cs="仿宋"/>
                <w:bCs/>
                <w:color w:val="000000"/>
                <w:sz w:val="28"/>
                <w:szCs w:val="28"/>
                <w:highlight w:val="none"/>
              </w:rPr>
              <w:t xml:space="preserve">人民币</w:t>
            </w:r>
            <w:r>
              <w:rPr>
                <w:rFonts w:hint="eastAsia" w:ascii="仿宋" w:hAnsi="仿宋" w:eastAsia="仿宋" w:cs="仿宋"/>
                <w:bCs/>
                <w:color w:val="000000"/>
                <w:sz w:val="28"/>
                <w:szCs w:val="28"/>
              </w:rPr>
              <w:t xml:space="preserve">（采购项目预算金额）的投标报价。</w:t>
            </w:r>
            <w:r>
              <w:rPr>
                <w:rFonts w:hint="eastAsia" w:ascii="仿宋" w:hAnsi="仿宋" w:eastAsia="仿宋" w:cs="仿宋"/>
                <w:color w:val="000000"/>
                <w:sz w:val="28"/>
                <w:szCs w:val="28"/>
              </w:rPr>
              <w:t xml:space="preserve">报价包括产品价、税金、运费、安装调试、检验、保险、验收等全部费用。用户不再支付报价以外的任何费用。</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五</w:t>
            </w:r>
            <w:r>
              <w:rPr>
                <w:rFonts w:hint="eastAsia" w:ascii="仿宋" w:hAnsi="仿宋" w:eastAsia="仿宋" w:cs="仿宋"/>
                <w:color w:val="000000"/>
                <w:sz w:val="28"/>
                <w:szCs w:val="28"/>
              </w:rPr>
              <w:t xml:space="preserve">)</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以人民币报价。</w:t>
            </w:r>
            <w:r/>
          </w:p>
        </w:tc>
      </w:tr>
      <w:tr>
        <w:trPr/>
        <w:tc>
          <w:tcPr>
            <w:tcW w:w="1560" w:type="dxa"/>
            <w:vAlign w:val="top"/>
            <w:textDirection w:val="lrTb"/>
            <w:noWrap w:val="false"/>
          </w:tcPr>
          <w:p>
            <w:pPr>
              <w:jc w:val="center"/>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（十七）</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p>
          <w:p>
            <w:pPr>
              <w:spacing w:line="400" w:lineRule="exact"/>
              <w:rPr>
                <w:rFonts w:hint="eastAsia" w:ascii="仿宋" w:hAnsi="仿宋" w:eastAsia="仿宋" w:cs="仿宋"/>
                <w:color w:val="000000"/>
              </w:rPr>
            </w:pPr>
            <w:r>
              <w:rPr>
                <w:rFonts w:hint="eastAsia" w:ascii="仿宋" w:hAnsi="仿宋" w:eastAsia="仿宋" w:cs="仿宋"/>
                <w:color w:val="000000"/>
                <w:sz w:val="28"/>
                <w:szCs w:val="28"/>
              </w:rPr>
              <w:t xml:space="preserve">说明：本项目采用线上投标，即供应商投标文件从政府采购客户端工具制作通过“苏采云”系统提交，未提供线上投标文件的，投标无效。</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线上投标文件的密封、签署、盖章要求：</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一、投标文件的密封（加密）要求：</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二、投标文件的签署要求：见招标文件第七章《投标文件相关格式》。</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w:t>
            </w:r>
            <w:r/>
          </w:p>
        </w:tc>
        <w:tc>
          <w:tcPr>
            <w:tcW w:w="7220" w:type="dxa"/>
            <w:vAlign w:val="top"/>
            <w:textDirection w:val="lrTb"/>
            <w:noWrap w:val="false"/>
          </w:tcPr>
          <w:p>
            <w:pPr>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投标文件的提交： </w:t>
            </w:r>
            <w:r/>
          </w:p>
          <w:p>
            <w:pPr>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1.投标文件提交时间：2026年06月10日北京时间09:30前。</w:t>
            </w:r>
            <w:r/>
          </w:p>
          <w:p>
            <w:pPr>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2.投标截止时间：2026年06月10日北京时间09:30。</w:t>
            </w:r>
            <w:r/>
          </w:p>
          <w:p>
            <w:pPr>
              <w:spacing w:line="400" w:lineRule="exact"/>
              <w:rPr>
                <w:rFonts w:hint="eastAsia" w:ascii="仿宋" w:hAnsi="仿宋" w:eastAsia="仿宋" w:cs="仿宋"/>
                <w:color w:val="000000"/>
                <w:sz w:val="28"/>
                <w:szCs w:val="28"/>
                <w:highlight w:val="yellow"/>
              </w:rPr>
            </w:pPr>
            <w:r>
              <w:rPr>
                <w:rFonts w:hint="eastAsia" w:ascii="仿宋" w:hAnsi="仿宋" w:eastAsia="仿宋" w:cs="仿宋"/>
                <w:color w:val="000000"/>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w:t>
            </w:r>
            <w:r/>
          </w:p>
        </w:tc>
        <w:tc>
          <w:tcPr>
            <w:tcW w:w="7220" w:type="dxa"/>
            <w:vAlign w:val="top"/>
            <w:textDirection w:val="lrTb"/>
            <w:noWrap w:val="false"/>
          </w:tcPr>
          <w:p>
            <w:pPr>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(二十五)1</w:t>
            </w:r>
            <w:r/>
          </w:p>
        </w:tc>
        <w:tc>
          <w:tcPr>
            <w:tcW w:w="7220" w:type="dxa"/>
            <w:vAlign w:val="top"/>
            <w:textDirection w:val="lrTb"/>
            <w:noWrap w:val="false"/>
          </w:tcPr>
          <w:p>
            <w:pPr>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开标时间及地点：</w:t>
            </w:r>
            <w:r/>
          </w:p>
          <w:p>
            <w:pPr>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1.开标时间：2026年06月10日09：30（标准时间）</w:t>
            </w:r>
            <w:r/>
          </w:p>
          <w:p>
            <w:pPr>
              <w:spacing w:line="400" w:lineRule="exact"/>
              <w:rPr>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2.开标地点：“苏采云”系统（网址： http://jszfcg.jsczt.cn/）“开标大厅”或进入徐州政府采购网（网址：https://czj.xz.gov.cn/zfcg/）--业务工作--用户登录，点击“苏采云”进入系统“开标大厅”。</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(二十五)3</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采用综合评分法。</w:t>
            </w:r>
            <w:r/>
          </w:p>
        </w:tc>
      </w:tr>
      <w:tr>
        <w:trPr>
          <w:trHeight w:val="90"/>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w:t>
            </w:r>
            <w:r/>
          </w:p>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(二十八)1（4）</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一、推荐中标候选供应商名单。中标候选供应商数量应当根据采购需要确定，但必须按顺序排列中标候选供应商。</w:t>
            </w:r>
            <w:r/>
          </w:p>
          <w:p>
            <w:pPr>
              <w:spacing w:line="400" w:lineRule="exact"/>
              <w:rPr>
                <w:rFonts w:hint="eastAsia" w:ascii="仿宋" w:hAnsi="仿宋" w:eastAsia="仿宋" w:cs="仿宋"/>
                <w:color w:val="000000"/>
              </w:rPr>
            </w:pPr>
            <w:r>
              <w:rPr>
                <w:rFonts w:hint="eastAsia" w:ascii="仿宋" w:hAnsi="仿宋" w:eastAsia="仿宋" w:cs="仿宋"/>
                <w:color w:val="000000"/>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s="仿宋"/>
                <w:color w:val="000000"/>
                <w:sz w:val="28"/>
                <w:szCs w:val="28"/>
                <w:lang w:val="en-US" w:eastAsia="zh-CN"/>
              </w:rPr>
              <w:t xml:space="preserve">“所投产品的技术参数”</w:t>
            </w:r>
            <w:r>
              <w:rPr>
                <w:rFonts w:hint="eastAsia" w:ascii="仿宋" w:hAnsi="仿宋" w:eastAsia="仿宋" w:cs="仿宋"/>
                <w:color w:val="000000"/>
                <w:sz w:val="28"/>
                <w:szCs w:val="28"/>
                <w:highlight w:val="none"/>
              </w:rPr>
              <w:t xml:space="preserve">得分</w:t>
            </w:r>
            <w:r>
              <w:rPr>
                <w:rFonts w:hint="eastAsia" w:ascii="仿宋" w:hAnsi="仿宋" w:eastAsia="仿宋" w:cs="仿宋"/>
                <w:color w:val="000000"/>
                <w:sz w:val="28"/>
                <w:szCs w:val="28"/>
                <w:lang w:eastAsia="zh-CN"/>
              </w:rPr>
              <w:t xml:space="preserve">由高到低</w:t>
            </w:r>
            <w:r>
              <w:rPr>
                <w:rFonts w:hint="eastAsia" w:ascii="仿宋" w:hAnsi="仿宋" w:eastAsia="仿宋" w:cs="仿宋"/>
                <w:color w:val="000000"/>
                <w:sz w:val="28"/>
                <w:szCs w:val="28"/>
              </w:rPr>
              <w:t xml:space="preserve">顺序排列。</w:t>
            </w:r>
            <w:r/>
          </w:p>
        </w:tc>
      </w:tr>
      <w:tr>
        <w:trPr/>
        <w:tc>
          <w:tcPr>
            <w:tcW w:w="1560" w:type="dxa"/>
            <w:vAlign w:val="top"/>
            <w:textDirection w:val="lrTb"/>
            <w:noWrap w:val="false"/>
          </w:tcPr>
          <w:p>
            <w:pPr>
              <w:jc w:val="center"/>
              <w:spacing w:line="400" w:lineRule="exact"/>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（二十九）</w:t>
            </w:r>
            <w:r/>
          </w:p>
          <w:p>
            <w:pPr>
              <w:jc w:val="center"/>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（4）</w:t>
            </w:r>
            <w:r/>
          </w:p>
        </w:tc>
        <w:tc>
          <w:tcPr>
            <w:tcW w:w="7220" w:type="dxa"/>
            <w:vAlign w:val="top"/>
            <w:textDirection w:val="lrTb"/>
            <w:noWrap w:val="false"/>
          </w:tcPr>
          <w:p>
            <w:pPr>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（三十）</w:t>
            </w:r>
            <w:r/>
          </w:p>
        </w:tc>
        <w:tc>
          <w:tcPr>
            <w:tcW w:w="7220" w:type="dxa"/>
            <w:vAlign w:val="top"/>
            <w:textDirection w:val="lrTb"/>
            <w:noWrap w:val="false"/>
          </w:tcPr>
          <w:p>
            <w:pPr>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cs="仿宋"/>
                <w:b w:val="0"/>
                <w:bCs w:val="0"/>
                <w:color w:val="000000"/>
                <w:sz w:val="30"/>
                <w:szCs w:val="30"/>
                <w:lang w:eastAsia="zh-CN"/>
              </w:rPr>
              <w:t xml:space="preserve">。</w:t>
            </w:r>
            <w:r/>
          </w:p>
          <w:p>
            <w:pPr>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bCs/>
                <w:color w:val="000000"/>
                <w:sz w:val="30"/>
                <w:szCs w:val="30"/>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（三十八）</w:t>
            </w:r>
            <w:r/>
          </w:p>
        </w:tc>
        <w:tc>
          <w:tcPr>
            <w:tcW w:w="7220" w:type="dxa"/>
            <w:vAlign w:val="top"/>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履约保证金：中标金额的5%，向采购人交纳。</w:t>
            </w:r>
            <w:r/>
          </w:p>
          <w:p>
            <w:pPr>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三十九</w:t>
            </w:r>
            <w:r>
              <w:rPr>
                <w:rFonts w:hint="eastAsia" w:ascii="仿宋" w:hAnsi="仿宋" w:eastAsia="仿宋" w:cs="仿宋"/>
                <w:color w:val="000000"/>
                <w:sz w:val="28"/>
                <w:szCs w:val="28"/>
              </w:rPr>
              <w:t xml:space="preserve">)</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二、供应商在法定质疑期内一次性提出针对同一采购程序环节的质疑。</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质疑接收人：</w:t>
            </w:r>
            <w:r>
              <w:rPr>
                <w:rFonts w:hint="eastAsia" w:ascii="仿宋" w:hAnsi="仿宋" w:eastAsia="仿宋" w:cs="仿宋"/>
                <w:color w:val="000000"/>
                <w:sz w:val="28"/>
                <w:szCs w:val="28"/>
                <w:lang w:eastAsia="zh-CN"/>
              </w:rPr>
              <w:t xml:space="preserve">李海沫、柴鑫</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lang w:eastAsia="zh-CN"/>
              </w:rPr>
              <w:t xml:space="preserve">0516-83205176</w:t>
            </w:r>
            <w:r>
              <w:rPr>
                <w:rFonts w:hint="eastAsia" w:ascii="仿宋" w:hAnsi="仿宋" w:eastAsia="仿宋" w:cs="仿宋"/>
                <w:color w:val="000000"/>
                <w:sz w:val="28"/>
                <w:szCs w:val="28"/>
              </w:rPr>
              <w:t xml:space="preserve">;</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办公地址：徐州市云龙区绿地商务城LOFT领海办公楼5#19</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室（汉风路和昆仑大道交叉口东北角）</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中标人在收到中标通知书时，须向采购代理机构提交《开标一览表》和《分项价格表》的数据文件（WORD格式）。</w:t>
            </w:r>
            <w:r/>
          </w:p>
        </w:tc>
      </w:tr>
    </w:tbl>
    <w:p>
      <w:pPr>
        <w:ind w:firstLine="600"/>
        <w:spacing w:line="520" w:lineRule="exact"/>
        <w:widowControl/>
        <w:rPr>
          <w:rFonts w:hint="eastAsia" w:ascii="仿宋" w:hAnsi="仿宋" w:eastAsia="仿宋" w:cs="仿宋"/>
          <w:b/>
          <w:color w:val="000000"/>
          <w:sz w:val="30"/>
          <w:szCs w:val="30"/>
        </w:rPr>
      </w:pPr>
      <w:r/>
      <w:bookmarkStart w:id="6" w:name="_Toc522790133"/>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本章附件：</w:t>
      </w:r>
      <w:r>
        <w:rPr>
          <w:rFonts w:hint="eastAsia" w:ascii="仿宋" w:hAnsi="仿宋" w:eastAsia="仿宋" w:cs="仿宋"/>
          <w:b/>
          <w:color w:val="000000"/>
          <w:sz w:val="30"/>
          <w:szCs w:val="30"/>
        </w:rPr>
        <w:t xml:space="preserve">招标代理服务收费标准</w:t>
      </w:r>
      <w:r/>
    </w:p>
    <w:tbl>
      <w:tblPr>
        <w:tblStyle w:val="697"/>
        <w:tblW w:w="7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jc w:val="center"/>
          <w:trHeight w:val="23"/>
        </w:trPr>
        <w:tc>
          <w:tcPr>
            <w:tcW w:w="4291" w:type="dxa"/>
            <w:vAlign w:val="center"/>
            <w:textDirection w:val="lrTb"/>
            <w:noWrap w:val="false"/>
          </w:tcPr>
          <w:p>
            <w:pPr>
              <w:pStyle w:val="974"/>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中标或者成交金额</w:t>
            </w:r>
            <w:r/>
          </w:p>
        </w:tc>
        <w:tc>
          <w:tcPr>
            <w:tcW w:w="3147" w:type="dxa"/>
            <w:vAlign w:val="center"/>
            <w:textDirection w:val="lrTb"/>
            <w:noWrap w:val="false"/>
          </w:tcPr>
          <w:p>
            <w:pPr>
              <w:pStyle w:val="974"/>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费率</w:t>
            </w:r>
            <w:r/>
          </w:p>
        </w:tc>
      </w:tr>
      <w:tr>
        <w:trPr>
          <w:jc w:val="center"/>
          <w:trHeight w:val="23"/>
        </w:trPr>
        <w:tc>
          <w:tcPr>
            <w:tcW w:w="4291" w:type="dxa"/>
            <w:vAlign w:val="center"/>
            <w:textDirection w:val="lrTb"/>
            <w:noWrap w:val="false"/>
          </w:tcPr>
          <w:p>
            <w:pPr>
              <w:pStyle w:val="974"/>
              <w:spacing w:before="154"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最低收费金额(每个委托项目)</w:t>
            </w:r>
            <w:r/>
          </w:p>
        </w:tc>
        <w:tc>
          <w:tcPr>
            <w:tcW w:w="3147" w:type="dxa"/>
            <w:vAlign w:val="center"/>
            <w:textDirection w:val="lrTb"/>
            <w:noWrap w:val="false"/>
          </w:tcPr>
          <w:p>
            <w:pPr>
              <w:pStyle w:val="974"/>
              <w:jc w:val="center"/>
              <w:spacing w:before="155"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5000元</w:t>
            </w:r>
            <w:r/>
          </w:p>
        </w:tc>
      </w:tr>
      <w:tr>
        <w:trPr>
          <w:jc w:val="center"/>
          <w:trHeight w:val="23"/>
        </w:trPr>
        <w:tc>
          <w:tcPr>
            <w:tcW w:w="4291" w:type="dxa"/>
            <w:vAlign w:val="center"/>
            <w:textDirection w:val="lrTb"/>
            <w:noWrap w:val="false"/>
          </w:tcPr>
          <w:p>
            <w:pPr>
              <w:pStyle w:val="974"/>
              <w:spacing w:before="155"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50万元以下(含50万元)</w:t>
            </w:r>
            <w:r/>
          </w:p>
        </w:tc>
        <w:tc>
          <w:tcPr>
            <w:tcW w:w="3147" w:type="dxa"/>
            <w:vAlign w:val="center"/>
            <w:textDirection w:val="lrTb"/>
            <w:noWrap w:val="false"/>
          </w:tcPr>
          <w:p>
            <w:pPr>
              <w:pStyle w:val="974"/>
              <w:jc w:val="center"/>
              <w:spacing w:before="236" w:line="184" w:lineRule="auto"/>
              <w:rPr>
                <w:rFonts w:hint="eastAsia" w:ascii="仿宋" w:hAnsi="仿宋" w:eastAsia="仿宋" w:cs="仿宋"/>
                <w:color w:val="000000"/>
                <w:sz w:val="28"/>
                <w:szCs w:val="28"/>
              </w:rPr>
            </w:pPr>
            <w:r>
              <w:rPr>
                <w:rFonts w:hint="eastAsia" w:ascii="仿宋" w:hAnsi="仿宋" w:eastAsia="仿宋" w:cs="仿宋"/>
                <w:color w:val="000000"/>
                <w:spacing w:val="-8"/>
                <w:sz w:val="28"/>
                <w:szCs w:val="28"/>
              </w:rPr>
              <w:t xml:space="preserve">1.6%</w:t>
            </w:r>
            <w:r/>
          </w:p>
        </w:tc>
      </w:tr>
      <w:tr>
        <w:trPr>
          <w:jc w:val="center"/>
          <w:trHeight w:val="23"/>
        </w:trPr>
        <w:tc>
          <w:tcPr>
            <w:tcW w:w="4291" w:type="dxa"/>
            <w:vAlign w:val="center"/>
            <w:textDirection w:val="lrTb"/>
            <w:noWrap w:val="false"/>
          </w:tcPr>
          <w:p>
            <w:pPr>
              <w:pStyle w:val="974"/>
              <w:spacing w:before="156"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50-400万元(含400万元)</w:t>
            </w:r>
            <w:r/>
          </w:p>
        </w:tc>
        <w:tc>
          <w:tcPr>
            <w:tcW w:w="3147" w:type="dxa"/>
            <w:vAlign w:val="center"/>
            <w:textDirection w:val="lrTb"/>
            <w:noWrap w:val="false"/>
          </w:tcPr>
          <w:p>
            <w:pPr>
              <w:pStyle w:val="974"/>
              <w:jc w:val="center"/>
              <w:spacing w:before="237" w:line="184"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1.5%</w:t>
            </w:r>
            <w:r/>
          </w:p>
        </w:tc>
      </w:tr>
      <w:tr>
        <w:trPr>
          <w:jc w:val="center"/>
          <w:trHeight w:val="23"/>
        </w:trPr>
        <w:tc>
          <w:tcPr>
            <w:tcW w:w="4291" w:type="dxa"/>
            <w:vAlign w:val="center"/>
            <w:textDirection w:val="lrTb"/>
            <w:noWrap w:val="false"/>
          </w:tcPr>
          <w:p>
            <w:pPr>
              <w:pStyle w:val="974"/>
              <w:spacing w:before="167"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400-1000万元(含1000万元)</w:t>
            </w:r>
            <w:r/>
          </w:p>
        </w:tc>
        <w:tc>
          <w:tcPr>
            <w:tcW w:w="3147" w:type="dxa"/>
            <w:vAlign w:val="center"/>
            <w:textDirection w:val="lrTb"/>
            <w:noWrap w:val="false"/>
          </w:tcPr>
          <w:p>
            <w:pPr>
              <w:pStyle w:val="974"/>
              <w:jc w:val="center"/>
              <w:spacing w:before="248" w:line="184"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w:t>
            </w:r>
            <w:r/>
          </w:p>
        </w:tc>
      </w:tr>
      <w:tr>
        <w:trPr>
          <w:jc w:val="center"/>
          <w:trHeight w:val="23"/>
        </w:trPr>
        <w:tc>
          <w:tcPr>
            <w:tcW w:w="4291" w:type="dxa"/>
            <w:vAlign w:val="center"/>
            <w:textDirection w:val="lrTb"/>
            <w:noWrap w:val="false"/>
          </w:tcPr>
          <w:p>
            <w:pPr>
              <w:pStyle w:val="974"/>
              <w:spacing w:before="158"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1000-5000万元(含5000万元)</w:t>
            </w:r>
            <w:r/>
          </w:p>
        </w:tc>
        <w:tc>
          <w:tcPr>
            <w:tcW w:w="3147" w:type="dxa"/>
            <w:vAlign w:val="center"/>
            <w:textDirection w:val="lrTb"/>
            <w:noWrap w:val="false"/>
          </w:tcPr>
          <w:p>
            <w:pPr>
              <w:pStyle w:val="974"/>
              <w:jc w:val="center"/>
              <w:spacing w:before="240"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0.8%</w:t>
            </w:r>
            <w:r/>
          </w:p>
        </w:tc>
      </w:tr>
      <w:tr>
        <w:trPr>
          <w:jc w:val="center"/>
          <w:trHeight w:val="23"/>
        </w:trPr>
        <w:tc>
          <w:tcPr>
            <w:tcW w:w="4291" w:type="dxa"/>
            <w:vAlign w:val="center"/>
            <w:textDirection w:val="lrTb"/>
            <w:noWrap w:val="false"/>
          </w:tcPr>
          <w:p>
            <w:pPr>
              <w:pStyle w:val="974"/>
              <w:spacing w:before="159"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5000-1亿元(含1亿元)</w:t>
            </w:r>
            <w:r/>
          </w:p>
        </w:tc>
        <w:tc>
          <w:tcPr>
            <w:tcW w:w="3147" w:type="dxa"/>
            <w:vAlign w:val="center"/>
            <w:textDirection w:val="lrTb"/>
            <w:noWrap w:val="false"/>
          </w:tcPr>
          <w:p>
            <w:pPr>
              <w:pStyle w:val="974"/>
              <w:jc w:val="center"/>
              <w:spacing w:before="241"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0.25%</w:t>
            </w:r>
            <w:r/>
          </w:p>
        </w:tc>
      </w:tr>
      <w:tr>
        <w:trPr>
          <w:jc w:val="center"/>
          <w:trHeight w:val="23"/>
        </w:trPr>
        <w:tc>
          <w:tcPr>
            <w:tcW w:w="4291" w:type="dxa"/>
            <w:vAlign w:val="center"/>
            <w:textDirection w:val="lrTb"/>
            <w:noWrap w:val="false"/>
          </w:tcPr>
          <w:p>
            <w:pPr>
              <w:pStyle w:val="974"/>
              <w:spacing w:before="170"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1-10亿元(含10亿元)</w:t>
            </w:r>
            <w:r/>
          </w:p>
        </w:tc>
        <w:tc>
          <w:tcPr>
            <w:tcW w:w="3147" w:type="dxa"/>
            <w:vAlign w:val="center"/>
            <w:textDirection w:val="lrTb"/>
            <w:noWrap w:val="false"/>
          </w:tcPr>
          <w:p>
            <w:pPr>
              <w:pStyle w:val="974"/>
              <w:jc w:val="center"/>
              <w:spacing w:before="252"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0.05%</w:t>
            </w:r>
            <w:r/>
          </w:p>
        </w:tc>
      </w:tr>
      <w:tr>
        <w:trPr>
          <w:jc w:val="center"/>
          <w:trHeight w:val="23"/>
        </w:trPr>
        <w:tc>
          <w:tcPr>
            <w:tcW w:w="4291" w:type="dxa"/>
            <w:vAlign w:val="center"/>
            <w:textDirection w:val="lrTb"/>
            <w:noWrap w:val="false"/>
          </w:tcPr>
          <w:p>
            <w:pPr>
              <w:pStyle w:val="974"/>
              <w:spacing w:before="162"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10-50亿元(含50亿元)</w:t>
            </w:r>
            <w:r/>
          </w:p>
        </w:tc>
        <w:tc>
          <w:tcPr>
            <w:tcW w:w="3147" w:type="dxa"/>
            <w:vAlign w:val="center"/>
            <w:textDirection w:val="lrTb"/>
            <w:noWrap w:val="false"/>
          </w:tcPr>
          <w:p>
            <w:pPr>
              <w:pStyle w:val="974"/>
              <w:jc w:val="center"/>
              <w:spacing w:before="243" w:line="184"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0.01%</w:t>
            </w:r>
            <w:r/>
          </w:p>
        </w:tc>
      </w:tr>
      <w:tr>
        <w:trPr>
          <w:jc w:val="center"/>
          <w:trHeight w:val="23"/>
        </w:trPr>
        <w:tc>
          <w:tcPr>
            <w:tcW w:w="4291" w:type="dxa"/>
            <w:vAlign w:val="center"/>
            <w:textDirection w:val="lrTb"/>
            <w:noWrap w:val="false"/>
          </w:tcPr>
          <w:p>
            <w:pPr>
              <w:pStyle w:val="974"/>
              <w:spacing w:before="164"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50亿元以上</w:t>
            </w:r>
            <w:r/>
          </w:p>
        </w:tc>
        <w:tc>
          <w:tcPr>
            <w:tcW w:w="3147" w:type="dxa"/>
            <w:vAlign w:val="center"/>
            <w:textDirection w:val="lrTb"/>
            <w:noWrap w:val="false"/>
          </w:tcPr>
          <w:p>
            <w:pPr>
              <w:pStyle w:val="974"/>
              <w:jc w:val="center"/>
              <w:spacing w:before="245"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0.005%</w:t>
            </w:r>
            <w:r/>
          </w:p>
        </w:tc>
      </w:tr>
    </w:tbl>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1.按上表计算的收费为代理服务全过程的收费金额。各社会代理机构不再收取采购文件制作售卖费用。</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2.代理服务费按差额定率累进法计算。</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3.代理服务费基准金额(按差额定率累进法计算的)=中标金额(按差额定率累进法计算的)*费率(%)</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4.代理服务费应收取金额=代理服务费基准金额(按差额定率累进法计算的)的合计数。</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5.定点类等无金额或事先不能计算出价格总额的项目，按中标(成交)金额按100万元计算。</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6.有分包(分标段)的以一个项目计算。</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7.以上价格为协会指导价，双方可根据项目难易程度和优质优价原则协商确定。</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8.账户信息：</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收款人：江苏中际招标代理有限公司 </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开户银行：徐州农村商业银行股份有限公司彭园支行 </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账号：3203020171010000003980</w:t>
      </w:r>
      <w:r/>
    </w:p>
    <w:p>
      <w:pPr>
        <w:ind w:firstLine="560"/>
        <w:spacing w:line="4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行号：314303000180</w:t>
      </w:r>
      <w:r/>
    </w:p>
    <w:p>
      <w:pPr>
        <w:ind w:firstLine="562"/>
        <w:spacing w:line="44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numPr>
          <w:ilvl w:val="0"/>
          <w:numId w:val="1"/>
        </w:numPr>
        <w:ind w:firstLine="420"/>
        <w:jc w:val="center"/>
        <w:spacing w:line="520" w:lineRule="exact"/>
        <w:widowControl/>
        <w:rPr>
          <w:rFonts w:hint="eastAsia" w:ascii="仿宋" w:hAnsi="仿宋" w:eastAsia="仿宋" w:cs="仿宋"/>
          <w:b/>
          <w:color w:val="000000"/>
          <w:sz w:val="32"/>
          <w:szCs w:val="28"/>
        </w:rPr>
      </w:pPr>
      <w:r>
        <w:rPr>
          <w:rFonts w:hint="eastAsia" w:ascii="仿宋" w:hAnsi="仿宋" w:eastAsia="仿宋" w:cs="仿宋"/>
          <w:color w:val="000000"/>
        </w:rPr>
        <w:br w:type="page" w:clear="all"/>
      </w:r>
      <w:bookmarkStart w:id="7" w:name="_Toc9429"/>
      <w:r>
        <w:rPr>
          <w:rStyle w:val="722"/>
          <w:rFonts w:hint="eastAsia" w:ascii="仿宋" w:hAnsi="仿宋" w:eastAsia="仿宋" w:cs="仿宋"/>
          <w:color w:val="000000"/>
        </w:rPr>
        <w:t xml:space="preserve"> 评标标准</w:t>
      </w:r>
      <w:bookmarkEnd w:id="6"/>
      <w:r/>
      <w:bookmarkEnd w:id="7"/>
      <w:r/>
      <w:r/>
    </w:p>
    <w:tbl>
      <w:tblPr>
        <w:tblStyle w:val="697"/>
        <w:tblpPr w:horzAnchor="page" w:tblpX="706" w:vertAnchor="text" w:tblpY="468" w:leftFromText="180" w:topFromText="0" w:rightFromText="180" w:bottomFromText="0"/>
        <w:tblW w:w="1055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8"/>
        <w:gridCol w:w="1347"/>
        <w:gridCol w:w="8315"/>
      </w:tblGrid>
      <w:tr>
        <w:trPr>
          <w:trHeight w:val="477"/>
        </w:trPr>
        <w:tc>
          <w:tcPr>
            <w:gridSpan w:val="2"/>
            <w:tcW w:w="2235" w:type="dxa"/>
            <w:vAlign w:val="center"/>
            <w:textDirection w:val="lrTb"/>
            <w:noWrap w:val="false"/>
          </w:tcPr>
          <w:p>
            <w:pPr>
              <w:spacing w:line="40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评审因素</w:t>
            </w:r>
            <w:r/>
          </w:p>
        </w:tc>
        <w:tc>
          <w:tcPr>
            <w:tcW w:w="8315" w:type="dxa"/>
            <w:vAlign w:val="center"/>
            <w:textDirection w:val="lrTb"/>
            <w:noWrap w:val="false"/>
          </w:tcPr>
          <w:p>
            <w:pPr>
              <w:ind w:firstLine="482"/>
              <w:jc w:val="center"/>
              <w:spacing w:line="40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评审因素细化和量化</w:t>
            </w:r>
            <w:r/>
          </w:p>
        </w:tc>
      </w:tr>
      <w:tr>
        <w:trPr>
          <w:trHeight w:val="1350"/>
        </w:trPr>
        <w:tc>
          <w:tcPr>
            <w:gridSpan w:val="2"/>
            <w:tcW w:w="2235" w:type="dxa"/>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w:t>
            </w:r>
            <w:r/>
          </w:p>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p>
        </w:tc>
        <w:tc>
          <w:tcPr>
            <w:tcW w:w="8315" w:type="dxa"/>
            <w:vAlign w:val="center"/>
            <w:textDirection w:val="lrTb"/>
            <w:noWrap w:val="false"/>
          </w:tcPr>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采用低价优先法计算，即满足招标文件要求且投标人评审价格最低的投标报价为评标基准价，其价格得分为满分；</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各投标人价格得分=评标基准价（投标人的最低评审价格）÷各投标人评审价格×</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w:t>
            </w:r>
            <w:r/>
          </w:p>
          <w:p>
            <w:pPr>
              <w:spacing w:line="0" w:lineRule="atLeas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得分四舍五入保留小数点后2位。</w:t>
            </w:r>
            <w:r/>
          </w:p>
        </w:tc>
      </w:tr>
      <w:tr>
        <w:trPr>
          <w:trHeight w:val="1350"/>
        </w:trPr>
        <w:tc>
          <w:tcPr>
            <w:tcW w:w="888" w:type="dxa"/>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商务部分（</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tc>
        <w:tc>
          <w:tcPr>
            <w:tcW w:w="1347" w:type="dxa"/>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投标人</w:t>
            </w:r>
            <w:r>
              <w:rPr>
                <w:rFonts w:hint="eastAsia" w:ascii="仿宋" w:hAnsi="仿宋" w:eastAsia="仿宋" w:cs="仿宋"/>
                <w:color w:val="000000"/>
                <w:sz w:val="24"/>
                <w:szCs w:val="24"/>
                <w:highlight w:val="none"/>
              </w:rPr>
              <w:t xml:space="preserve">业绩</w:t>
            </w:r>
            <w:r/>
          </w:p>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tc>
        <w:tc>
          <w:tcPr>
            <w:tcW w:w="8315" w:type="dxa"/>
            <w:vAlign w:val="center"/>
            <w:textDirection w:val="lrTb"/>
            <w:noWrap w:val="false"/>
          </w:tcPr>
          <w:p>
            <w:pPr>
              <w:spacing w:line="0" w:lineRule="atLeas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投标文件中提供投标人</w:t>
            </w:r>
            <w:r>
              <w:rPr>
                <w:rFonts w:hint="eastAsia" w:ascii="仿宋" w:hAnsi="仿宋" w:eastAsia="仿宋" w:cs="仿宋"/>
                <w:color w:val="000000"/>
                <w:sz w:val="24"/>
                <w:szCs w:val="24"/>
                <w:highlight w:val="none"/>
                <w:lang w:val="en-US" w:eastAsia="zh-CN"/>
              </w:rPr>
              <w:t xml:space="preserve">为卖方(乙方)，合同签订日期在2023年4月1日（含）之后，合同内容为本项目相同或类似业绩，每提供一个有效业绩的，得1分，本项最高得2分，未提供不得分。</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注：提供合同、具有甲方盖章的验收合格证明（竣工验收或项目完工证明），以上提供原件扫描件，业绩时间以合同签订时间为准，未提供或不符合不得分。</w:t>
            </w:r>
            <w:r/>
          </w:p>
        </w:tc>
      </w:tr>
      <w:tr>
        <w:trPr>
          <w:trHeight w:val="411"/>
        </w:trPr>
        <w:tc>
          <w:tcPr>
            <w:tcW w:w="888" w:type="dxa"/>
            <w:vAlign w:val="center"/>
            <w:vMerge w:val="restart"/>
            <w:textDirection w:val="lrTb"/>
            <w:noWrap w:val="false"/>
          </w:tcPr>
          <w:p>
            <w:pPr>
              <w:jc w:val="center"/>
              <w:spacing w:line="400" w:lineRule="exac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技术部分（68</w:t>
            </w:r>
            <w:r/>
          </w:p>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W w:w="1347" w:type="dxa"/>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所投产品的技术参数（</w:t>
            </w:r>
            <w:r>
              <w:rPr>
                <w:rFonts w:hint="eastAsia" w:ascii="仿宋" w:hAnsi="仿宋" w:eastAsia="仿宋" w:cs="仿宋"/>
                <w:color w:val="000000"/>
                <w:sz w:val="24"/>
                <w:szCs w:val="24"/>
                <w:highlight w:val="none"/>
                <w:lang w:val="en-US" w:eastAsia="zh-CN"/>
              </w:rPr>
              <w:t xml:space="preserve">31</w:t>
            </w:r>
            <w:r>
              <w:rPr>
                <w:rFonts w:hint="eastAsia" w:ascii="仿宋" w:hAnsi="仿宋" w:eastAsia="仿宋" w:cs="仿宋"/>
                <w:color w:val="000000"/>
                <w:sz w:val="24"/>
                <w:szCs w:val="24"/>
                <w:highlight w:val="none"/>
              </w:rPr>
              <w:t xml:space="preserve">分）</w:t>
            </w:r>
            <w:r/>
          </w:p>
        </w:tc>
        <w:tc>
          <w:tcPr>
            <w:tcW w:w="8315" w:type="dxa"/>
            <w:vAlign w:val="center"/>
            <w:textDirection w:val="lrTb"/>
            <w:noWrap w:val="false"/>
          </w:tcPr>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对投标文件中《所投产品的技术规格（技术性能）》进行评价。</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完全符合招标文件第六章《采购需求》中“三、主要技术要求”响应指标满足要求的得基础分20分。</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带“▲”号指标为重要响应指标，低于招标文件要求或负偏离的在基础分基础上每一项扣1分，其他一般响应指标低于招标文件要求或负偏离的在基础分基础上每一项扣0.5分，扣完为止。</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经评审委员会认定高于招标文件要求或正偏离的在基础分基础上每一项加1分。</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本项最高得31分，最低得0分。</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注：招标文件中要求提供佐证材料的，投标人须在投标文件中提供相应的佐证材料，否则不予认可。</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spacing w:line="0" w:lineRule="atLeast"/>
              <w:rPr>
                <w:rFonts w:hint="eastAsia" w:ascii="仿宋" w:hAnsi="仿宋" w:eastAsia="仿宋" w:cs="仿宋"/>
                <w:b/>
                <w:bCs/>
                <w:color w:val="000000"/>
                <w:sz w:val="24"/>
                <w:szCs w:val="24"/>
                <w:highlight w:val="none"/>
              </w:rPr>
            </w:pPr>
            <w:r>
              <w:rPr>
                <w:rFonts w:hint="eastAsia" w:ascii="仿宋" w:hAnsi="仿宋" w:eastAsia="仿宋" w:cs="仿宋"/>
                <w:i w:val="0"/>
                <w:iCs w:val="0"/>
                <w:caps w:val="0"/>
                <w:color w:val="000000"/>
                <w:spacing w:val="0"/>
                <w:sz w:val="24"/>
                <w:szCs w:val="24"/>
                <w:highlight w:val="none"/>
                <w:shd w:val="clear" w:color="auto" w:fill="auto"/>
              </w:rPr>
              <w:t xml:space="preserve">系统集成方案</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rPr>
                <w:rFonts w:hint="eastAsia" w:ascii="仿宋" w:hAnsi="仿宋" w:eastAsia="仿宋" w:cs="仿宋"/>
                <w:i w:val="0"/>
                <w:iCs w:val="0"/>
                <w:caps w:val="0"/>
                <w:color w:val="000000"/>
                <w:spacing w:val="0"/>
                <w:sz w:val="24"/>
                <w:szCs w:val="24"/>
                <w:highlight w:val="none"/>
                <w:shd w:val="clear" w:color="auto" w:fill="auto"/>
                <w:lang w:val="en-US" w:eastAsia="zh-CN"/>
              </w:rPr>
              <w:t xml:space="preserve">6</w:t>
            </w:r>
            <w:r>
              <w:rPr>
                <w:rFonts w:hint="eastAsia" w:ascii="仿宋" w:hAnsi="仿宋" w:eastAsia="仿宋" w:cs="仿宋"/>
                <w:i w:val="0"/>
                <w:iCs w:val="0"/>
                <w:caps w:val="0"/>
                <w:color w:val="000000"/>
                <w:spacing w:val="0"/>
                <w:sz w:val="24"/>
                <w:szCs w:val="24"/>
                <w:highlight w:val="none"/>
                <w:shd w:val="clear" w:color="auto" w:fill="auto"/>
              </w:rPr>
              <w:t xml:space="preserve">分</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p>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315" w:type="dxa"/>
            <w:vAlign w:val="center"/>
            <w:textDirection w:val="lrTb"/>
            <w:noWrap w:val="false"/>
          </w:tcPr>
          <w:p>
            <w:pPr>
              <w:spacing w:line="0" w:lineRule="atLeast"/>
              <w:rPr>
                <w:rFonts w:hint="eastAsia" w:ascii="仿宋" w:hAnsi="仿宋" w:eastAsia="仿宋" w:cs="仿宋"/>
                <w:i w:val="0"/>
                <w:iCs w:val="0"/>
                <w:caps w:val="0"/>
                <w:color w:val="000000"/>
                <w:spacing w:val="0"/>
                <w:sz w:val="24"/>
                <w:szCs w:val="24"/>
                <w:highlight w:val="none"/>
                <w:shd w:val="clear" w:color="auto" w:fill="auto"/>
              </w:rPr>
            </w:pPr>
            <w:r>
              <w:rPr>
                <w:rFonts w:hint="eastAsia" w:ascii="仿宋" w:hAnsi="仿宋" w:eastAsia="仿宋" w:cs="仿宋"/>
                <w:i w:val="0"/>
                <w:iCs w:val="0"/>
                <w:caps w:val="0"/>
                <w:color w:val="000000"/>
                <w:spacing w:val="0"/>
                <w:sz w:val="24"/>
                <w:szCs w:val="24"/>
                <w:highlight w:val="none"/>
                <w:shd w:val="clear" w:color="auto" w:fill="auto"/>
              </w:rPr>
              <w:tab/>
            </w:r>
            <w:r/>
          </w:p>
          <w:p>
            <w:pPr>
              <w:spacing w:line="0" w:lineRule="atLeast"/>
              <w:rPr>
                <w:rFonts w:hint="eastAsia" w:ascii="仿宋" w:hAnsi="仿宋" w:eastAsia="仿宋" w:cs="仿宋"/>
                <w:b/>
                <w:bCs/>
                <w:color w:val="000000"/>
                <w:sz w:val="24"/>
                <w:szCs w:val="24"/>
                <w:highlight w:val="none"/>
              </w:rPr>
            </w:pPr>
            <w:r>
              <w:rPr>
                <w:rFonts w:hint="eastAsia" w:ascii="仿宋" w:hAnsi="仿宋" w:eastAsia="仿宋" w:cs="仿宋"/>
                <w:i w:val="0"/>
                <w:iCs w:val="0"/>
                <w:caps w:val="0"/>
                <w:color w:val="000000"/>
                <w:spacing w:val="0"/>
                <w:sz w:val="24"/>
                <w:szCs w:val="24"/>
                <w:highlight w:val="none"/>
                <w:shd w:val="clear" w:color="auto" w:fill="auto"/>
              </w:rPr>
              <w:t xml:space="preserve">方案要求对招标文件第六章《采购需求》“三、主要技术要求”下“★（二）系统集成及声学性能要求”第1款中的内容（共3项：系统连接拓扑图、信号流程图、兼容性说明）进行完善，详细描述且列出具体方案措施。上述内容齐全，符合实际切实可行且无缺陷（缺陷是指：部分内容与项目无关、逻辑错误、科学原理错误、表述错误、不符合本项目涉及的相关规范或标准要求的任意一种情形）得6分，每缺少一项内容扣2分（最多扣6分）；单项内容存在缺陷的，单项内容分得0分。未提供的得0分，本项最高得6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供货保障方案</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rPr>
                <w:rFonts w:hint="eastAsia" w:ascii="仿宋" w:hAnsi="仿宋" w:eastAsia="仿宋" w:cs="仿宋"/>
                <w:i w:val="0"/>
                <w:iCs w:val="0"/>
                <w:caps w:val="0"/>
                <w:color w:val="000000"/>
                <w:spacing w:val="0"/>
                <w:sz w:val="24"/>
                <w:szCs w:val="24"/>
                <w:highlight w:val="none"/>
                <w:shd w:val="clear" w:color="auto" w:fill="auto"/>
                <w:lang w:val="en-US" w:eastAsia="zh-CN"/>
              </w:rPr>
              <w:t xml:space="preserve">4</w:t>
            </w:r>
            <w:r>
              <w:rPr>
                <w:rFonts w:hint="eastAsia" w:ascii="仿宋" w:hAnsi="仿宋" w:eastAsia="仿宋" w:cs="仿宋"/>
                <w:i w:val="0"/>
                <w:iCs w:val="0"/>
                <w:caps w:val="0"/>
                <w:color w:val="000000"/>
                <w:spacing w:val="0"/>
                <w:sz w:val="24"/>
                <w:szCs w:val="24"/>
                <w:highlight w:val="none"/>
                <w:shd w:val="clear" w:color="auto" w:fill="auto"/>
              </w:rPr>
              <w:t xml:space="preserve">分</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p>
          <w:p>
            <w:pPr>
              <w:jc w:val="left"/>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315"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ab/>
            </w:r>
            <w:r>
              <w:rPr>
                <w:rFonts w:hint="eastAsia" w:ascii="仿宋" w:hAnsi="仿宋" w:eastAsia="仿宋" w:cs="仿宋"/>
                <w:b w:val="0"/>
                <w:bCs w:val="0"/>
                <w:color w:val="000000"/>
                <w:sz w:val="24"/>
                <w:szCs w:val="24"/>
                <w:highlight w:val="none"/>
              </w:rPr>
              <w:t xml:space="preserve">方案要求对招标文件第六章《采购需求》“五、商务（服务）要求”中“★（一）工期要求”的供货时间要求（共4项：设备清单明细、分批到货计划、运输方式及路线、运输过程防护措施）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）得4分，每缺少一项内容扣1分，扣完为止；单项内容存在缺陷的，单项内容分得0分。未提供的得0分，本项最高得4分，最低得0分。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安装调试方案</w:t>
            </w:r>
            <w:r>
              <w:rPr>
                <w:rFonts w:hint="eastAsia" w:ascii="仿宋" w:hAnsi="仿宋" w:eastAsia="仿宋" w:cs="仿宋"/>
                <w:b w:val="0"/>
                <w:bCs w:val="0"/>
                <w:color w:val="000000"/>
                <w:sz w:val="24"/>
                <w:szCs w:val="24"/>
                <w:highlight w:val="none"/>
              </w:rPr>
              <w:tab/>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6分</w:t>
            </w:r>
            <w:r>
              <w:rPr>
                <w:rFonts w:hint="eastAsia" w:ascii="仿宋" w:hAnsi="仿宋" w:eastAsia="仿宋" w:cs="仿宋"/>
                <w:b w:val="0"/>
                <w:bCs w:val="0"/>
                <w:color w:val="000000"/>
                <w:sz w:val="24"/>
                <w:szCs w:val="24"/>
                <w:highlight w:val="none"/>
                <w:lang w:eastAsia="zh-CN"/>
              </w:rPr>
              <w:t xml:space="preserve">）</w:t>
            </w:r>
            <w:r/>
          </w:p>
          <w:p>
            <w:pPr>
              <w:jc w:val="left"/>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315"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方案要求对招标文件第六章《采购需求》的安装调试及验收时间要求以及“七、项目实施要求”（共4项：施工组织计划、人员安排、安全措施、阶段性验收节点）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）得6分，每缺少一项内容扣1.5分（最多扣6分）；单项内容存在缺陷的，单项内容分得0分。未提供的得0分，本项最高得6分，最低得0分。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rPr>
              <w:t xml:space="preserve">培训方案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5分</w:t>
            </w:r>
            <w:r>
              <w:rPr>
                <w:rFonts w:hint="eastAsia" w:ascii="仿宋" w:hAnsi="仿宋" w:eastAsia="仿宋" w:cs="仿宋"/>
                <w:b w:val="0"/>
                <w:bCs w:val="0"/>
                <w:color w:val="000000"/>
                <w:sz w:val="24"/>
                <w:szCs w:val="24"/>
                <w:highlight w:val="none"/>
                <w:lang w:eastAsia="zh-CN"/>
              </w:rPr>
              <w:t xml:space="preserve">）</w:t>
            </w:r>
            <w:r/>
          </w:p>
          <w:p>
            <w:pPr>
              <w:jc w:val="left"/>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315"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3.培训要求”（共4项：培训内容、培训计划安排、培训人员资质、培训教材）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）得5分，每缺少一项内容扣1.5分（最多扣5分）；单项内容存在缺陷的，单项内容分得0分。未提供的得0分，本项最高得5分，最低得0分。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售后服务方案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w:t>
            </w:r>
            <w:r>
              <w:rPr>
                <w:rFonts w:hint="eastAsia" w:ascii="仿宋" w:hAnsi="仿宋" w:eastAsia="仿宋" w:cs="仿宋"/>
                <w:b w:val="0"/>
                <w:bCs w:val="0"/>
                <w:color w:val="000000"/>
                <w:sz w:val="24"/>
                <w:szCs w:val="24"/>
                <w:highlight w:val="none"/>
              </w:rPr>
              <w:tab/>
            </w:r>
            <w:r/>
          </w:p>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eastAsia="zh-CN"/>
              </w:rPr>
              <w:t xml:space="preserve">）</w:t>
            </w:r>
            <w:r/>
          </w:p>
          <w:p>
            <w:pPr>
              <w:jc w:val="left"/>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315"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方案要求对招标文件第六章《采购需求》“五、商务（服务）要求”中“（二）质保期及服务要求”的“1.质保要求”（共</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项：4小时响应、24小时到场、12小时/24小时修复承诺、每年5次大型活动保障）进行完善，详细描述且列出具体方案措施。上述内容齐全，符合实际切实可行且无缺陷（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分，每缺少一项内容扣1分，扣完为止；单项内容存在缺陷的，单项内容分得0分。未提供的得0分，本项最高得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rPr>
              <w:t xml:space="preserve">设计深化能力</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4分</w:t>
            </w:r>
            <w:r>
              <w:rPr>
                <w:rFonts w:hint="eastAsia" w:ascii="仿宋" w:hAnsi="仿宋" w:eastAsia="仿宋" w:cs="仿宋"/>
                <w:b w:val="0"/>
                <w:bCs w:val="0"/>
                <w:color w:val="000000"/>
                <w:sz w:val="24"/>
                <w:szCs w:val="24"/>
                <w:highlight w:val="none"/>
                <w:lang w:eastAsia="zh-CN"/>
              </w:rPr>
              <w:t xml:space="preserve">）</w:t>
            </w:r>
            <w:r/>
          </w:p>
          <w:p>
            <w:pPr>
              <w:jc w:val="left"/>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315"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1.2”款（共1项：深化后图纸经总设计单位认可的承诺与计划）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分；未提供或存在缺陷的得0分。本项最高得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分，最低得0分。</w:t>
            </w:r>
            <w:r/>
          </w:p>
        </w:tc>
      </w:tr>
      <w:tr>
        <w:trPr>
          <w:trHeight w:val="411"/>
        </w:trPr>
        <w:tc>
          <w:tcPr>
            <w:tcW w:w="888" w:type="dxa"/>
            <w:vAlign w:val="center"/>
            <w:vMerge w:val="continue"/>
            <w:textDirection w:val="lrTb"/>
            <w:noWrap w:val="false"/>
          </w:tcPr>
          <w:p>
            <w:pPr>
              <w:jc w:val="center"/>
              <w:spacing w:line="400" w:lineRule="exact"/>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c>
          <w:tcPr>
            <w:tcW w:w="1347" w:type="dxa"/>
            <w:vAlign w:val="center"/>
            <w:textDirection w:val="lrTb"/>
            <w:noWrap w:val="false"/>
          </w:tcPr>
          <w:p>
            <w:pPr>
              <w:jc w:val="left"/>
              <w:keepLines w:val="0"/>
              <w:keepNext w:val="0"/>
              <w:spacing w:line="0" w:lineRule="atLeas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bCs w:val="0"/>
                <w:i w:val="0"/>
                <w:iCs w:val="0"/>
                <w:caps w:val="0"/>
                <w:color w:val="000000"/>
                <w:spacing w:val="0"/>
                <w:sz w:val="24"/>
                <w:szCs w:val="24"/>
                <w:highlight w:val="none"/>
                <w:lang w:val="en-US" w:eastAsia="zh-CN" w:bidi="ar"/>
              </w:rPr>
              <w:t xml:space="preserve">项目实施方案（4分）</w:t>
            </w:r>
            <w:r/>
          </w:p>
        </w:tc>
        <w:tc>
          <w:tcPr>
            <w:tcW w:w="8315" w:type="dxa"/>
            <w:vAlign w:val="center"/>
            <w:textDirection w:val="lrTb"/>
            <w:noWrap w:val="false"/>
          </w:tcPr>
          <w:p>
            <w:pPr>
              <w:jc w:val="left"/>
              <w:keepLines w:val="0"/>
              <w:keepNext w:val="0"/>
              <w:spacing w:line="0" w:lineRule="atLeast"/>
              <w:widowControl/>
              <w:rPr>
                <w:rFonts w:hint="eastAsia" w:ascii="仿宋" w:hAnsi="仿宋" w:eastAsia="仿宋" w:cs="仿宋"/>
                <w:b w:val="0"/>
                <w:bCs w:val="0"/>
                <w:color w:val="000000"/>
                <w:sz w:val="24"/>
                <w:szCs w:val="24"/>
                <w:highlight w:val="none"/>
              </w:rPr>
              <w:suppressLineNumbers w:val="0"/>
            </w:pPr>
            <w:r>
              <w:rPr>
                <w:rFonts w:hint="eastAsia" w:ascii="仿宋" w:hAnsi="仿宋" w:eastAsia="仿宋" w:cs="仿宋"/>
                <w:i w:val="0"/>
                <w:iCs w:val="0"/>
                <w:caps w:val="0"/>
                <w:color w:val="000000"/>
                <w:spacing w:val="0"/>
                <w:sz w:val="24"/>
                <w:szCs w:val="24"/>
                <w:highlight w:val="none"/>
                <w:lang w:val="en-US" w:eastAsia="zh-CN" w:bidi="ar"/>
              </w:rPr>
              <w:t xml:space="preserve">方案要求对招标文件第六章《采购需求》“七、项目实施要求”中（共1项：项目实施前报送详细的实施方案并经采购人审批）进行完善，详细描述且列出具体方案措施。上述内容齐全，符合实际切实可行且无缺陷（缺陷是指：部分内容与项目无关、逻辑错误、科学原理错误、表述错误、不符合本项目涉及的相关规范或标准要求的任意一种情形）得4分；未提供或存在缺陷的得0分。本项最高得4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69"/>
              <w:ind w:left="0" w:right="0"/>
              <w:jc w:val="both"/>
              <w:keepLines w:val="0"/>
              <w:keepNext w:val="0"/>
              <w:spacing w:before="0" w:beforeAutospacing="0" w:after="0" w:afterAutospacing="0"/>
              <w:widowControl w:val="off"/>
              <w:rPr>
                <w:rFonts w:hint="eastAsia" w:ascii="仿宋" w:hAnsi="仿宋" w:eastAsia="仿宋" w:cs="仿宋"/>
                <w:b w:val="0"/>
                <w:bCs w:val="0"/>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lang w:bidi="ar-SA"/>
              </w:rPr>
              <w:t xml:space="preserve">质保期（</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bidi="ar-SA"/>
              </w:rPr>
              <w:t xml:space="preserve">分）</w:t>
            </w:r>
            <w:r/>
          </w:p>
        </w:tc>
        <w:tc>
          <w:tcPr>
            <w:tcW w:w="8315" w:type="dxa"/>
            <w:vAlign w:val="center"/>
            <w:textDirection w:val="lrTb"/>
            <w:noWrap w:val="false"/>
          </w:tcPr>
          <w:p>
            <w:pPr>
              <w:pStyle w:val="769"/>
              <w:jc w:val="both"/>
              <w:keepLines w:val="0"/>
              <w:keepNext w:val="0"/>
              <w:spacing w:before="0" w:beforeAutospacing="0" w:after="0" w:afterAutospacing="0"/>
              <w:widowControl w:val="off"/>
              <w:rPr>
                <w:rFonts w:hint="eastAsia" w:ascii="仿宋" w:hAnsi="仿宋" w:eastAsia="仿宋" w:cs="仿宋"/>
                <w:i w:val="0"/>
                <w:iCs w:val="0"/>
                <w:caps w:val="0"/>
                <w:color w:val="000000"/>
                <w:spacing w:val="0"/>
                <w:sz w:val="24"/>
                <w:szCs w:val="24"/>
                <w:highlight w:val="none"/>
                <w:shd w:val="clear" w:color="auto" w:fill="auto"/>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提供</w:t>
            </w:r>
            <w:r>
              <w:rPr>
                <w:rFonts w:hint="eastAsia" w:ascii="仿宋" w:hAnsi="仿宋" w:eastAsia="仿宋" w:cs="仿宋"/>
                <w:i w:val="0"/>
                <w:iCs w:val="0"/>
                <w:caps w:val="0"/>
                <w:color w:val="000000"/>
                <w:spacing w:val="0"/>
                <w:sz w:val="24"/>
                <w:szCs w:val="24"/>
                <w:highlight w:val="none"/>
                <w:shd w:val="clear" w:color="auto" w:fill="auto"/>
                <w:lang w:bidi="ar-SA"/>
              </w:rPr>
              <w:t xml:space="preserve">不低于5年</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整体</w:t>
            </w:r>
            <w:r>
              <w:rPr>
                <w:rFonts w:hint="eastAsia" w:ascii="仿宋" w:hAnsi="仿宋" w:eastAsia="仿宋" w:cs="仿宋"/>
                <w:i w:val="0"/>
                <w:iCs w:val="0"/>
                <w:caps w:val="0"/>
                <w:color w:val="000000"/>
                <w:spacing w:val="0"/>
                <w:sz w:val="24"/>
                <w:szCs w:val="24"/>
                <w:highlight w:val="none"/>
                <w:shd w:val="clear" w:color="auto" w:fill="auto"/>
                <w:lang w:bidi="ar-SA"/>
              </w:rPr>
              <w:t xml:space="preserve">免费质保</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的</w:t>
            </w:r>
            <w:r>
              <w:rPr>
                <w:rFonts w:hint="eastAsia" w:ascii="仿宋" w:hAnsi="仿宋" w:eastAsia="仿宋" w:cs="仿宋"/>
                <w:i w:val="0"/>
                <w:iCs w:val="0"/>
                <w:caps w:val="0"/>
                <w:color w:val="000000"/>
                <w:spacing w:val="0"/>
                <w:sz w:val="24"/>
                <w:szCs w:val="24"/>
                <w:highlight w:val="none"/>
                <w:shd w:val="clear" w:color="auto" w:fill="auto"/>
                <w:lang w:bidi="ar-SA"/>
              </w:rPr>
              <w:t xml:space="preserve">得3分；</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在5年整体</w:t>
            </w:r>
            <w:r>
              <w:rPr>
                <w:rFonts w:hint="eastAsia" w:ascii="仿宋" w:hAnsi="仿宋" w:eastAsia="仿宋" w:cs="仿宋"/>
                <w:i w:val="0"/>
                <w:iCs w:val="0"/>
                <w:caps w:val="0"/>
                <w:color w:val="000000"/>
                <w:spacing w:val="0"/>
                <w:sz w:val="24"/>
                <w:szCs w:val="24"/>
                <w:highlight w:val="none"/>
                <w:shd w:val="clear" w:color="auto" w:fill="auto"/>
                <w:lang w:bidi="ar-SA"/>
              </w:rPr>
              <w:t xml:space="preserve">免费质保</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的基础上</w:t>
            </w:r>
            <w:r>
              <w:rPr>
                <w:rFonts w:hint="eastAsia" w:ascii="仿宋" w:hAnsi="仿宋" w:eastAsia="仿宋" w:cs="仿宋"/>
                <w:i w:val="0"/>
                <w:iCs w:val="0"/>
                <w:caps w:val="0"/>
                <w:color w:val="000000"/>
                <w:spacing w:val="0"/>
                <w:sz w:val="24"/>
                <w:szCs w:val="24"/>
                <w:highlight w:val="none"/>
                <w:shd w:val="clear" w:color="auto" w:fill="auto"/>
                <w:lang w:bidi="ar-SA"/>
              </w:rPr>
              <w:t xml:space="preserve">每增加1年加1分</w:t>
            </w:r>
            <w:r>
              <w:rPr>
                <w:rFonts w:hint="eastAsia" w:ascii="仿宋" w:hAnsi="仿宋" w:eastAsia="仿宋" w:cs="仿宋"/>
                <w:color w:val="000000"/>
                <w:sz w:val="24"/>
                <w:szCs w:val="24"/>
                <w:highlight w:val="none"/>
                <w:lang w:bidi="ar-SA"/>
              </w:rPr>
              <w:t xml:space="preserve">（不足一年不得分）</w:t>
            </w:r>
            <w:r>
              <w:rPr>
                <w:rFonts w:hint="eastAsia" w:ascii="仿宋" w:hAnsi="仿宋" w:eastAsia="仿宋" w:cs="仿宋"/>
                <w:i w:val="0"/>
                <w:iCs w:val="0"/>
                <w:caps w:val="0"/>
                <w:color w:val="000000"/>
                <w:spacing w:val="0"/>
                <w:sz w:val="24"/>
                <w:szCs w:val="24"/>
                <w:highlight w:val="none"/>
                <w:shd w:val="clear" w:color="auto" w:fill="auto"/>
                <w:lang w:bidi="ar-SA"/>
              </w:rPr>
              <w:t xml:space="preserve">，最高加</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1</w:t>
            </w:r>
            <w:r>
              <w:rPr>
                <w:rFonts w:hint="eastAsia" w:ascii="仿宋" w:hAnsi="仿宋" w:eastAsia="仿宋" w:cs="仿宋"/>
                <w:i w:val="0"/>
                <w:iCs w:val="0"/>
                <w:caps w:val="0"/>
                <w:color w:val="000000"/>
                <w:spacing w:val="0"/>
                <w:sz w:val="24"/>
                <w:szCs w:val="24"/>
                <w:highlight w:val="none"/>
                <w:shd w:val="clear" w:color="auto" w:fill="auto"/>
                <w:lang w:bidi="ar-SA"/>
              </w:rPr>
              <w:t xml:space="preserve">分。</w:t>
            </w:r>
            <w:r/>
          </w:p>
          <w:p>
            <w:pPr>
              <w:pStyle w:val="769"/>
              <w:ind w:left="0" w:right="0"/>
              <w:jc w:val="both"/>
              <w:keepLines w:val="0"/>
              <w:keepNext w:val="0"/>
              <w:spacing w:before="0" w:beforeAutospacing="0" w:after="0" w:afterAutospacing="0"/>
              <w:widowControl w:val="off"/>
              <w:rPr>
                <w:rFonts w:hint="eastAsia" w:ascii="仿宋" w:hAnsi="仿宋" w:eastAsia="仿宋" w:cs="仿宋"/>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aps w:val="0"/>
                <w:color w:val="000000"/>
                <w:spacing w:val="0"/>
                <w:sz w:val="24"/>
                <w:szCs w:val="24"/>
                <w:highlight w:val="none"/>
                <w:shd w:val="clear" w:color="auto" w:fill="auto"/>
                <w:lang w:bidi="ar-SA"/>
              </w:rPr>
              <w:t xml:space="preserve">本项最高得</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4</w:t>
            </w:r>
            <w:r>
              <w:rPr>
                <w:rFonts w:hint="eastAsia" w:ascii="仿宋" w:hAnsi="仿宋" w:eastAsia="仿宋" w:cs="仿宋"/>
                <w:i w:val="0"/>
                <w:iCs w:val="0"/>
                <w:caps w:val="0"/>
                <w:color w:val="000000"/>
                <w:spacing w:val="0"/>
                <w:sz w:val="24"/>
                <w:szCs w:val="24"/>
                <w:highlight w:val="none"/>
                <w:shd w:val="clear" w:color="auto" w:fill="auto"/>
                <w:lang w:bidi="ar-SA"/>
              </w:rPr>
              <w:t xml:space="preserve">分，最低得0分。</w:t>
            </w:r>
            <w:r/>
          </w:p>
        </w:tc>
      </w:tr>
    </w:tbl>
    <w:p>
      <w:pPr>
        <w:numPr>
          <w:ilvl w:val="0"/>
          <w:numId w:val="0"/>
        </w:numPr>
        <w:jc w:val="center"/>
        <w:spacing w:line="520" w:lineRule="exact"/>
        <w:widowControl/>
        <w:rPr>
          <w:rStyle w:val="722"/>
          <w:rFonts w:hint="eastAsia" w:ascii="仿宋" w:hAnsi="仿宋" w:eastAsia="仿宋" w:cs="仿宋"/>
          <w:color w:val="000000"/>
        </w:rPr>
      </w:pPr>
      <w:r>
        <w:rPr>
          <w:rFonts w:hint="eastAsia" w:ascii="仿宋" w:hAnsi="仿宋" w:eastAsia="仿宋" w:cs="仿宋"/>
          <w:color w:val="000000"/>
        </w:rPr>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本章说明：本项目采用综合评分法。</w:t>
      </w:r>
      <w:r/>
    </w:p>
    <w:p>
      <w:pPr>
        <w:pStyle w:val="723"/>
        <w:rPr>
          <w:rFonts w:hint="eastAsia" w:ascii="仿宋" w:hAnsi="仿宋" w:eastAsia="仿宋" w:cs="仿宋"/>
          <w:color w:val="000000"/>
        </w:rPr>
      </w:pPr>
      <w:r/>
      <w:bookmarkStart w:id="8" w:name="_Toc522790134"/>
      <w:r>
        <w:rPr>
          <w:rFonts w:hint="eastAsia" w:ascii="仿宋" w:hAnsi="仿宋" w:eastAsia="仿宋" w:cs="仿宋"/>
          <w:color w:val="000000"/>
        </w:rPr>
        <w:br w:type="page" w:clear="all"/>
      </w:r>
      <w:bookmarkStart w:id="9" w:name="_Toc14780"/>
      <w:r>
        <w:rPr>
          <w:rFonts w:hint="eastAsia" w:ascii="仿宋" w:hAnsi="仿宋" w:eastAsia="仿宋" w:cs="仿宋"/>
          <w:color w:val="000000"/>
        </w:rPr>
        <w:t xml:space="preserve">第五章  拟签订的合同文本</w:t>
      </w:r>
      <w:bookmarkEnd w:id="8"/>
      <w:r/>
      <w:bookmarkEnd w:id="9"/>
      <w:r/>
      <w:r/>
    </w:p>
    <w:p>
      <w:pPr>
        <w:pStyle w:val="747"/>
        <w:rPr>
          <w:rFonts w:hint="eastAsia" w:ascii="仿宋" w:hAnsi="仿宋" w:eastAsia="仿宋" w:cs="仿宋"/>
          <w:color w:val="000000"/>
          <w:sz w:val="28"/>
          <w:szCs w:val="28"/>
          <w:highlight w:val="none"/>
          <w:lang w:val="en-US" w:eastAsia="zh-CN"/>
        </w:rPr>
      </w:pPr>
      <w:r/>
      <w:bookmarkStart w:id="10" w:name="_Toc12097"/>
      <w:r/>
      <w:bookmarkStart w:id="11" w:name="_Toc522790135"/>
      <w:r>
        <w:rPr>
          <w:rFonts w:hint="eastAsia" w:ascii="仿宋" w:hAnsi="仿宋" w:eastAsia="仿宋" w:cs="仿宋"/>
          <w:color w:val="000000"/>
          <w:sz w:val="28"/>
          <w:szCs w:val="28"/>
          <w:highlight w:val="none"/>
        </w:rPr>
        <w:t xml:space="preserve">项目名称：</w:t>
      </w:r>
      <w:r>
        <w:rPr>
          <w:rFonts w:hint="eastAsia" w:ascii="仿宋" w:hAnsi="仿宋" w:eastAsia="仿宋" w:cs="仿宋"/>
          <w:i w:val="0"/>
          <w:iCs w:val="0"/>
          <w:caps w:val="0"/>
          <w:color w:val="000000"/>
          <w:spacing w:val="0"/>
          <w:sz w:val="28"/>
          <w:szCs w:val="28"/>
          <w:highlight w:val="none"/>
          <w:shd w:val="clear" w:color="auto" w:fill="auto"/>
          <w:lang w:eastAsia="zh-CN"/>
        </w:rPr>
        <w:t xml:space="preserve">徐州生物工程职业技术学院大学生活动中心舞美设备采购与安装</w:t>
      </w:r>
      <w:r/>
    </w:p>
    <w:p>
      <w:pPr>
        <w:pStyle w:val="747"/>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项目编号：</w:t>
      </w:r>
      <w:r/>
    </w:p>
    <w:p>
      <w:pPr>
        <w:pStyle w:val="747"/>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合</w:t>
      </w:r>
      <w:r/>
    </w:p>
    <w:p>
      <w:pPr>
        <w:pStyle w:val="747"/>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47"/>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47"/>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47"/>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同</w:t>
      </w:r>
      <w:r/>
    </w:p>
    <w:p>
      <w:pPr>
        <w:pStyle w:val="7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  购  人：</w:t>
      </w:r>
      <w:r/>
    </w:p>
    <w:p>
      <w:pPr>
        <w:pStyle w:val="74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w:t>
      </w:r>
      <w:r/>
    </w:p>
    <w:p>
      <w:pPr>
        <w:pStyle w:val="74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合同签订日期： 年 月 日</w:t>
      </w:r>
      <w:r/>
    </w:p>
    <w:p>
      <w:pPr>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友情提醒：采购人与中标、</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应当在中标、成交通知书发出之日起三十日内，按照采购文件确定的事项签订政府采购合同。</w:t>
      </w:r>
      <w:r/>
    </w:p>
    <w:p>
      <w:pPr>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left"/>
        <w:spacing w:line="3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42"/>
        <w:ind w:firstLine="600"/>
        <w:jc w:val="center"/>
        <w:tabs>
          <w:tab w:val="left" w:pos="1440" w:leader="none"/>
          <w:tab w:val="right" w:pos="8296" w:leader="dot"/>
        </w:tabs>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clear="all"/>
      </w:r>
      <w:r>
        <w:rPr>
          <w:rFonts w:hint="eastAsia" w:ascii="仿宋" w:hAnsi="仿宋" w:eastAsia="仿宋" w:cs="仿宋"/>
          <w:b/>
          <w:bCs/>
          <w:color w:val="000000"/>
          <w:sz w:val="28"/>
          <w:szCs w:val="28"/>
          <w:highlight w:val="none"/>
        </w:rPr>
        <w:t xml:space="preserve">第一节 政府采购合同协议书</w:t>
      </w:r>
      <w:r/>
    </w:p>
    <w:p>
      <w:pPr>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徐州生物工程职业技术学院 </w:t>
      </w:r>
      <w:r/>
    </w:p>
    <w:p>
      <w:pPr>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w:t>
      </w:r>
      <w:r/>
    </w:p>
    <w:p>
      <w:pPr>
        <w:pStyle w:val="976"/>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项目信息</w:t>
      </w:r>
      <w:r/>
    </w:p>
    <w:p>
      <w:pPr>
        <w:pStyle w:val="976"/>
        <w:numPr>
          <w:ilvl w:val="0"/>
          <w:numId w:val="3"/>
        </w:numPr>
        <w:ind w:left="0" w:firstLine="560"/>
        <w:spacing w:after="0"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p>
    <w:p>
      <w:pPr>
        <w:pStyle w:val="976"/>
        <w:ind w:left="0" w:firstLine="560"/>
        <w:spacing w:after="0" w:line="520" w:lineRule="exact"/>
        <w:tabs>
          <w:tab w:val="left" w:pos="99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采购项目编号：</w:t>
      </w:r>
      <w:r>
        <w:rPr>
          <w:rFonts w:hint="eastAsia" w:ascii="仿宋" w:hAnsi="仿宋" w:eastAsia="仿宋" w:cs="仿宋"/>
          <w:color w:val="000000"/>
          <w:sz w:val="24"/>
          <w:szCs w:val="24"/>
          <w:highlight w:val="none"/>
          <w:u w:val="single"/>
        </w:rPr>
        <w:t xml:space="preserve">                                          </w:t>
      </w:r>
      <w:r/>
    </w:p>
    <w:p>
      <w:pPr>
        <w:pStyle w:val="976"/>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（2）采购计划编号：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（3）项目内容：</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采购标的及数量（台/套</w:t>
      </w:r>
      <w:r>
        <w:rPr>
          <w:rFonts w:hint="eastAsia" w:ascii="仿宋" w:hAnsi="仿宋" w:eastAsia="仿宋" w:cs="仿宋"/>
          <w:color w:val="000000"/>
          <w:sz w:val="24"/>
          <w:szCs w:val="24"/>
          <w:highlight w:val="none"/>
          <w:lang w:val="en"/>
        </w:rPr>
        <w:t xml:space="preserve">/个/架/组等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ind w:firstLine="560"/>
        <w:spacing w:line="520" w:lineRule="exact"/>
        <w:rPr>
          <w:rFonts w:hint="eastAsia" w:ascii="仿宋" w:hAnsi="仿宋" w:eastAsia="仿宋" w:cs="仿宋"/>
          <w:color w:val="000000"/>
          <w:sz w:val="24"/>
          <w:szCs w:val="24"/>
          <w:highlight w:val="none"/>
          <w:lang w:val="en"/>
        </w:rPr>
      </w:pP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en"/>
        </w:rPr>
        <w:t xml:space="preserve">     </w:t>
      </w:r>
      <w:r>
        <w:rPr>
          <w:rFonts w:hint="eastAsia" w:ascii="仿宋" w:hAnsi="仿宋" w:eastAsia="仿宋" w:cs="仿宋"/>
          <w:color w:val="000000"/>
          <w:sz w:val="24"/>
          <w:szCs w:val="24"/>
          <w:highlight w:val="none"/>
        </w:rPr>
        <w:t xml:space="preserve">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采购标的的技术要求、商务要求具体见附件。</w:t>
      </w:r>
      <w:r/>
    </w:p>
    <w:p>
      <w:pPr>
        <w:pStyle w:val="97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4</w:t>
      </w:r>
      <w:r>
        <w:rPr>
          <w:rFonts w:hint="eastAsia" w:ascii="仿宋" w:hAnsi="仿宋" w:eastAsia="仿宋" w:cs="仿宋"/>
          <w:color w:val="000000"/>
          <w:sz w:val="24"/>
          <w:szCs w:val="24"/>
          <w:highlight w:val="none"/>
        </w:rPr>
        <w:t xml:space="preserve">）政府采购组织形式：□政府集中采购  □部门集中采购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分散采购</w:t>
      </w:r>
      <w:r/>
    </w:p>
    <w:p>
      <w:pPr>
        <w:pStyle w:val="977"/>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5</w:t>
      </w:r>
      <w:r>
        <w:rPr>
          <w:rFonts w:hint="eastAsia" w:ascii="仿宋" w:hAnsi="仿宋" w:eastAsia="仿宋" w:cs="仿宋"/>
          <w:color w:val="000000"/>
          <w:sz w:val="24"/>
          <w:szCs w:val="24"/>
          <w:highlight w:val="none"/>
        </w:rPr>
        <w:t xml:space="preserve">）政府采购方式：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公开招标 □邀请招标 □竞争性谈判 □竞争性磋商□询价 □单一来源 □框架协议 □其他：</w:t>
      </w:r>
      <w:r>
        <w:rPr>
          <w:rFonts w:hint="eastAsia" w:ascii="仿宋" w:hAnsi="仿宋" w:eastAsia="仿宋" w:cs="仿宋"/>
          <w:color w:val="000000"/>
          <w:sz w:val="24"/>
          <w:szCs w:val="24"/>
          <w:highlight w:val="none"/>
          <w:u w:val="single"/>
        </w:rPr>
        <w:t xml:space="preserve">          </w:t>
      </w:r>
      <w:r/>
    </w:p>
    <w:p>
      <w:pPr>
        <w:pStyle w:val="97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（注：在框架协议采购的第二阶段，可选择使用该合同文本）</w:t>
      </w:r>
      <w:r/>
    </w:p>
    <w:p>
      <w:pPr>
        <w:pStyle w:val="97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6</w:t>
      </w:r>
      <w:r>
        <w:rPr>
          <w:rFonts w:hint="eastAsia" w:ascii="仿宋" w:hAnsi="仿宋" w:eastAsia="仿宋" w:cs="仿宋"/>
          <w:color w:val="000000"/>
          <w:sz w:val="24"/>
          <w:szCs w:val="24"/>
          <w:highlight w:val="none"/>
        </w:rPr>
        <w:t xml:space="preserve">）中标（成交）采购标的制造商是否为中小企业：□是      □否</w:t>
      </w:r>
      <w:r/>
    </w:p>
    <w:p>
      <w:pPr>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本合同是否为专门面向中小企业的采购合同（中小企业预留合同）：</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p>
    <w:p>
      <w:pPr>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若本项目不专门面向中小企业采购，是否给予小微企业评审优惠：</w:t>
      </w:r>
      <w:r>
        <w:rPr>
          <w:rFonts w:hint="eastAsia" w:ascii="仿宋" w:hAnsi="仿宋" w:eastAsia="仿宋" w:cs="仿宋"/>
          <w:iCs/>
          <w:color w:val="000000"/>
          <w:sz w:val="24"/>
          <w:szCs w:val="24"/>
          <w:highlight w:val="none"/>
        </w:rPr>
        <w:t xml:space="preserve">□是   □否</w:t>
      </w:r>
      <w:r/>
    </w:p>
    <w:p>
      <w:pPr>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中标（成交）采购标的制造商是否为残疾人福利性单位：</w:t>
      </w:r>
      <w:r>
        <w:rPr>
          <w:rFonts w:hint="eastAsia" w:ascii="仿宋" w:hAnsi="仿宋" w:eastAsia="仿宋" w:cs="仿宋"/>
          <w:iCs/>
          <w:color w:val="000000"/>
          <w:sz w:val="24"/>
          <w:szCs w:val="24"/>
          <w:highlight w:val="none"/>
        </w:rPr>
        <w:t xml:space="preserve">□是   □否</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中标（成交）采购标的制造商是否为监狱企业：</w:t>
      </w:r>
      <w:r>
        <w:rPr>
          <w:rFonts w:hint="eastAsia" w:ascii="仿宋" w:hAnsi="仿宋" w:eastAsia="仿宋" w:cs="仿宋"/>
          <w:iCs/>
          <w:color w:val="000000"/>
          <w:sz w:val="24"/>
          <w:szCs w:val="24"/>
          <w:highlight w:val="none"/>
        </w:rPr>
        <w:t xml:space="preserve">□是       □否</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7</w:t>
      </w:r>
      <w:r>
        <w:rPr>
          <w:rFonts w:hint="eastAsia" w:ascii="仿宋" w:hAnsi="仿宋" w:eastAsia="仿宋" w:cs="仿宋"/>
          <w:color w:val="000000"/>
          <w:sz w:val="24"/>
          <w:szCs w:val="24"/>
          <w:highlight w:val="none"/>
        </w:rPr>
        <w:t xml:space="preserve">）合同是否分包：</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分包主要内容：</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分包供应商/制造商名称（如供应商和制造商不同，请分别填写）：</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分包供应商/制造商类型（如果供应商和制造商不同，只填写制造商类型）：</w:t>
      </w:r>
      <w:r>
        <w:rPr>
          <w:rFonts w:hint="eastAsia" w:ascii="仿宋" w:hAnsi="仿宋" w:eastAsia="仿宋" w:cs="仿宋"/>
          <w:iCs/>
          <w:color w:val="000000"/>
          <w:sz w:val="24"/>
          <w:szCs w:val="24"/>
          <w:highlight w:val="none"/>
        </w:rPr>
        <w:t xml:space="preserve">□大型企业  □中型企业  □小微型企业  □残疾人福利性单位 □监狱企业 □其他</w:t>
      </w:r>
      <w:r/>
    </w:p>
    <w:p>
      <w:pPr>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8</w:t>
      </w:r>
      <w:r>
        <w:rPr>
          <w:rFonts w:hint="eastAsia" w:ascii="仿宋" w:hAnsi="仿宋" w:eastAsia="仿宋" w:cs="仿宋"/>
          <w:color w:val="000000"/>
          <w:sz w:val="24"/>
          <w:szCs w:val="24"/>
          <w:highlight w:val="none"/>
        </w:rPr>
        <w:t xml:space="preserve">）中标（成交）供应商是否为外商投资企业：</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p>
    <w:p>
      <w:pPr>
        <w:pStyle w:val="977"/>
        <w:ind w:firstLine="560"/>
        <w:spacing w:line="520" w:lineRule="exact"/>
        <w:tabs>
          <w:tab w:val="left" w:pos="134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外商投资企业类型：</w:t>
      </w:r>
      <w:r>
        <w:rPr>
          <w:rFonts w:hint="eastAsia" w:ascii="仿宋" w:hAnsi="仿宋" w:eastAsia="仿宋" w:cs="仿宋"/>
          <w:iCs/>
          <w:color w:val="000000"/>
          <w:sz w:val="24"/>
          <w:szCs w:val="24"/>
          <w:highlight w:val="none"/>
        </w:rPr>
        <w:t xml:space="preserve">□</w:t>
      </w:r>
      <w:r>
        <w:rPr>
          <w:rFonts w:hint="eastAsia" w:ascii="仿宋" w:hAnsi="仿宋" w:eastAsia="仿宋" w:cs="仿宋"/>
          <w:color w:val="000000"/>
          <w:sz w:val="24"/>
          <w:szCs w:val="24"/>
          <w:highlight w:val="none"/>
        </w:rPr>
        <w:t xml:space="preserve">全部由外国投资者投资  </w:t>
      </w:r>
      <w:r>
        <w:rPr>
          <w:rFonts w:hint="eastAsia" w:ascii="仿宋" w:hAnsi="仿宋" w:eastAsia="仿宋" w:cs="仿宋"/>
          <w:iCs/>
          <w:color w:val="000000"/>
          <w:sz w:val="24"/>
          <w:szCs w:val="24"/>
          <w:highlight w:val="none"/>
        </w:rPr>
        <w:t xml:space="preserve">□部分由外国投资者投资</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9</w:t>
      </w:r>
      <w:r>
        <w:rPr>
          <w:rFonts w:hint="eastAsia" w:ascii="仿宋" w:hAnsi="仿宋" w:eastAsia="仿宋" w:cs="仿宋"/>
          <w:color w:val="000000"/>
          <w:sz w:val="24"/>
          <w:szCs w:val="24"/>
          <w:highlight w:val="none"/>
        </w:rPr>
        <w:t xml:space="preserve">）是否涉及进口产品：</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□是，《政府采购品目分类目录》底级品目名称：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金额：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国别：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p>
    <w:p>
      <w:pPr>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0</w:t>
      </w:r>
      <w:r>
        <w:rPr>
          <w:rFonts w:hint="eastAsia" w:ascii="仿宋" w:hAnsi="仿宋" w:eastAsia="仿宋" w:cs="仿宋"/>
          <w:color w:val="000000"/>
          <w:sz w:val="24"/>
          <w:szCs w:val="24"/>
          <w:highlight w:val="none"/>
        </w:rPr>
        <w:t xml:space="preserve">）是否涉及节能产品：</w:t>
      </w:r>
      <w:r/>
    </w:p>
    <w:p>
      <w:pPr>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□是，《节能产品政府采购品目清单》的底级品目名称：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p>
    <w:p>
      <w:pPr>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p>
    <w:p>
      <w:pPr>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p>
    <w:p>
      <w:pPr>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是否涉及环境标志产品：</w:t>
      </w:r>
      <w:r/>
    </w:p>
    <w:p>
      <w:pPr>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□是，《环境标志产品政府采购品目清单》的底级品目名称：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p>
    <w:p>
      <w:pPr>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p>
    <w:p>
      <w:pPr>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p>
    <w:p>
      <w:pPr>
        <w:pStyle w:val="97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是否涉及绿色产品： </w:t>
      </w:r>
      <w:r/>
    </w:p>
    <w:p>
      <w:pPr>
        <w:pStyle w:val="977"/>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□是，绿色产品政府采购相关政策确定的底级品目名称：</w:t>
      </w:r>
      <w:r>
        <w:rPr>
          <w:rFonts w:hint="eastAsia" w:ascii="仿宋" w:hAnsi="仿宋" w:eastAsia="仿宋" w:cs="仿宋"/>
          <w:color w:val="000000"/>
          <w:sz w:val="24"/>
          <w:szCs w:val="24"/>
          <w:highlight w:val="none"/>
          <w:u w:val="single"/>
        </w:rPr>
        <w:t xml:space="preserve">         </w:t>
      </w:r>
      <w:r/>
    </w:p>
    <w:p>
      <w:pPr>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p>
    <w:p>
      <w:pPr>
        <w:pStyle w:val="97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1</w:t>
      </w:r>
      <w:r>
        <w:rPr>
          <w:rFonts w:hint="eastAsia" w:ascii="仿宋" w:hAnsi="仿宋" w:eastAsia="仿宋" w:cs="仿宋"/>
          <w:color w:val="000000"/>
          <w:sz w:val="24"/>
          <w:szCs w:val="24"/>
          <w:highlight w:val="none"/>
        </w:rPr>
        <w:t xml:space="preserve">）涉及商品包装和快递包装的，是否参考《商品包装政府采购需求标准（试行）》、《快递包装政府采购需求标准（试行）》明确产品及相关快递服务的具体包装要求：</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       □否      □不涉及</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合同金额</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（1）合同金额小写：</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大写：</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（注：固定单价合同应填写单价和最高限价）</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（2）合同定价方式（采用组合定价方式的，可以勾选多项）：</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固定总价 □固定单价 □固定费率 □成本补偿 □绩效激励 □其他</w:t>
      </w:r>
      <w:r>
        <w:rPr>
          <w:rFonts w:hint="eastAsia" w:ascii="仿宋" w:hAnsi="仿宋" w:eastAsia="仿宋" w:cs="仿宋"/>
          <w:color w:val="000000"/>
          <w:sz w:val="24"/>
          <w:szCs w:val="24"/>
          <w:highlight w:val="none"/>
          <w:u w:val="single"/>
        </w:rPr>
        <w:t xml:space="preserve">       </w:t>
      </w:r>
      <w:r/>
    </w:p>
    <w:p>
      <w:pPr>
        <w:pStyle w:val="978"/>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（3）付款方式（按项目实际勾选填写）：</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□全额付款：</w:t>
      </w:r>
      <w:r>
        <w:rPr>
          <w:rFonts w:hint="eastAsia" w:ascii="仿宋" w:hAnsi="仿宋" w:eastAsia="仿宋" w:cs="仿宋"/>
          <w:color w:val="000000"/>
          <w:sz w:val="24"/>
          <w:szCs w:val="24"/>
          <w:highlight w:val="none"/>
          <w:u w:val="single"/>
        </w:rPr>
        <w:t xml:space="preserve">（应明确一次性支付合同款项的条件） </w:t>
      </w:r>
      <w:r/>
    </w:p>
    <w:p>
      <w:pPr>
        <w:ind w:firstLine="6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分期付款：本合同总金额为人民币大写金额</w:t>
      </w:r>
      <w:r>
        <w:rPr>
          <w:rFonts w:hint="eastAsia" w:ascii="仿宋" w:hAnsi="仿宋" w:eastAsia="仿宋" w:cs="仿宋"/>
          <w:color w:val="000000"/>
          <w:sz w:val="24"/>
          <w:szCs w:val="24"/>
          <w:highlight w:val="none"/>
          <w:u w:val="single"/>
        </w:rPr>
        <w:t xml:space="preserve">        元（小写金额：         元）</w:t>
      </w:r>
      <w:r>
        <w:rPr>
          <w:rFonts w:hint="eastAsia" w:ascii="仿宋" w:hAnsi="仿宋" w:eastAsia="仿宋" w:cs="仿宋"/>
          <w:color w:val="000000"/>
          <w:sz w:val="24"/>
          <w:szCs w:val="24"/>
          <w:highlight w:val="none"/>
        </w:rPr>
        <w:t xml:space="preserve">，经双方协商一致，选择以下第</w:t>
      </w:r>
      <w:r>
        <w:rPr>
          <w:rFonts w:hint="eastAsia" w:ascii="仿宋" w:hAnsi="仿宋" w:eastAsia="仿宋" w:cs="仿宋"/>
          <w:color w:val="000000"/>
          <w:sz w:val="24"/>
          <w:szCs w:val="24"/>
          <w:highlight w:val="none"/>
          <w:u w:val="single"/>
          <w:lang w:val="en-US" w:eastAsia="zh-CN"/>
        </w:rPr>
        <w:t xml:space="preserve">一 </w:t>
      </w:r>
      <w:r>
        <w:rPr>
          <w:rFonts w:hint="eastAsia" w:ascii="仿宋" w:hAnsi="仿宋" w:eastAsia="仿宋" w:cs="仿宋"/>
          <w:color w:val="000000"/>
          <w:sz w:val="24"/>
          <w:szCs w:val="24"/>
          <w:highlight w:val="none"/>
        </w:rPr>
        <w:t xml:space="preserve">种付款方式：</w:t>
      </w:r>
      <w:r/>
    </w:p>
    <w:p>
      <w:pPr>
        <w:pStyle w:val="946"/>
        <w:ind w:firstLine="60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（一）付款方式一：提交预付款保函的</w:t>
      </w:r>
      <w:r/>
    </w:p>
    <w:p>
      <w:pPr>
        <w:pStyle w:val="946"/>
        <w:ind w:firstLine="606"/>
        <w:spacing w:line="48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作为预付款，在合同签订生效且卖方向买方出具合同总价的百分之四十（40%)即￥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的预付款保函，买方自收到收据（收据金额为合同总价的40%）后10个工作日内，将资金支付到合同约定的卖方账户。</w:t>
      </w:r>
      <w:r/>
    </w:p>
    <w:p>
      <w:pPr>
        <w:pStyle w:val="946"/>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结算款:经甲方最终验收合格，乙方提交结算资料，经甲方审核确认后，甲方收到发票(发票金额为扣除预付款、考核扣款后的最终结算价款数额)后</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提交财政资金申请程序后20个工作日内</w:t>
      </w:r>
      <w:r>
        <w:rPr>
          <w:rFonts w:hint="eastAsia" w:ascii="仿宋" w:hAnsi="仿宋" w:eastAsia="仿宋" w:cs="仿宋"/>
          <w:bCs/>
          <w:color w:val="000000"/>
          <w:sz w:val="24"/>
          <w:szCs w:val="24"/>
          <w:highlight w:val="none"/>
        </w:rPr>
        <w:t xml:space="preserve">将资金支付到合同约定的乙方账户。</w:t>
      </w:r>
      <w:r/>
    </w:p>
    <w:p>
      <w:pPr>
        <w:ind w:firstLine="605"/>
        <w:spacing w:line="48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（二）</w:t>
      </w:r>
      <w:r>
        <w:rPr>
          <w:rFonts w:hint="eastAsia" w:ascii="仿宋" w:hAnsi="仿宋" w:eastAsia="仿宋" w:cs="仿宋"/>
          <w:b/>
          <w:color w:val="000000"/>
          <w:sz w:val="24"/>
          <w:szCs w:val="24"/>
          <w:highlight w:val="none"/>
        </w:rPr>
        <w:t xml:space="preserve">付款方式二：不提交预付款保函的</w:t>
      </w:r>
      <w:r/>
    </w:p>
    <w:p>
      <w:pPr>
        <w:pStyle w:val="946"/>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合同总价的百分之三十(30%)即￥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作为预付款，在合同签订生效</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甲方办理财政资金结算手续，将资金支付到合同约定的乙方账户。</w:t>
      </w:r>
      <w:r/>
    </w:p>
    <w:p>
      <w:pPr>
        <w:pStyle w:val="946"/>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乙方需提交的支付文件包括：</w:t>
      </w:r>
      <w:r/>
    </w:p>
    <w:p>
      <w:pPr>
        <w:pStyle w:val="946"/>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乙方出具的合同价款的百分之三十（30%）增值税专用发票。</w:t>
      </w:r>
      <w:r/>
    </w:p>
    <w:p>
      <w:pPr>
        <w:pStyle w:val="946"/>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lang w:val="en-US" w:eastAsia="zh-CN"/>
        </w:rPr>
        <w:t xml:space="preserve">合同总价的百分之三十（30%）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val="en-US" w:eastAsia="zh-CN"/>
        </w:rPr>
        <w:t xml:space="preserve">经甲方预验收合格，乙方设备及系统已调试完成，相关技术人员以及备用物料已准备妥当，满足设备进场条件，经甲方审核确认后10个工作日内，甲方办理财政资金结算手续，将资金支付到合同约定的乙方账户。</w:t>
      </w:r>
      <w:r/>
    </w:p>
    <w:p>
      <w:pPr>
        <w:pStyle w:val="946"/>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乙方需提交的支付文件包括：</w:t>
      </w:r>
      <w:r/>
    </w:p>
    <w:p>
      <w:pPr>
        <w:pStyle w:val="946"/>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项目预验收意见书；</w:t>
      </w:r>
      <w:r/>
    </w:p>
    <w:p>
      <w:pPr>
        <w:pStyle w:val="946"/>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乙方出具的合同价款的百分之三十（30%）增值税专用发票。</w:t>
      </w:r>
      <w:r/>
    </w:p>
    <w:p>
      <w:pPr>
        <w:pStyle w:val="946"/>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w:t>
      </w:r>
      <w:r>
        <w:rPr>
          <w:rFonts w:hint="eastAsia" w:ascii="仿宋" w:hAnsi="仿宋" w:eastAsia="仿宋" w:cs="仿宋"/>
          <w:bCs/>
          <w:color w:val="000000"/>
          <w:sz w:val="24"/>
          <w:szCs w:val="24"/>
          <w:highlight w:val="none"/>
          <w:lang w:val="en-US" w:eastAsia="zh-CN"/>
        </w:rPr>
        <w:t xml:space="preserve">四十</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eastAsia="zh-CN"/>
        </w:rPr>
        <w:t xml:space="preserve">，</w:t>
      </w:r>
      <w:r>
        <w:rPr>
          <w:rFonts w:hint="eastAsia" w:ascii="仿宋" w:hAnsi="仿宋" w:eastAsia="仿宋" w:cs="仿宋"/>
          <w:bCs/>
          <w:color w:val="000000"/>
          <w:sz w:val="24"/>
          <w:szCs w:val="24"/>
          <w:highlight w:val="none"/>
          <w:u w:val="none"/>
          <w:lang w:val="en-US" w:eastAsia="zh-CN"/>
        </w:rPr>
        <w:t xml:space="preserve">合同标的全部交付并安装完毕</w:t>
      </w:r>
      <w:r>
        <w:rPr>
          <w:rFonts w:hint="eastAsia" w:ascii="仿宋" w:hAnsi="仿宋" w:eastAsia="仿宋" w:cs="仿宋"/>
          <w:bCs/>
          <w:color w:val="000000"/>
          <w:sz w:val="24"/>
          <w:szCs w:val="24"/>
          <w:highlight w:val="none"/>
        </w:rPr>
        <w:t xml:space="preserve">经甲方最终验收合格</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，甲方办理财政资金结算手续，将资金支付到合同约定的乙方账户。</w:t>
      </w:r>
      <w:r/>
    </w:p>
    <w:p>
      <w:pPr>
        <w:pStyle w:val="946"/>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已</w:t>
      </w:r>
      <w:r>
        <w:rPr>
          <w:rFonts w:hint="eastAsia" w:ascii="仿宋" w:hAnsi="仿宋" w:eastAsia="仿宋" w:cs="仿宋"/>
          <w:bCs/>
          <w:color w:val="000000"/>
          <w:sz w:val="24"/>
          <w:szCs w:val="24"/>
          <w:highlight w:val="none"/>
        </w:rPr>
        <w:t xml:space="preserve">方需提交的支付文件包括：</w:t>
      </w:r>
      <w:r/>
    </w:p>
    <w:p>
      <w:pPr>
        <w:pStyle w:val="946"/>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项目移交确认单</w:t>
      </w:r>
      <w:r/>
    </w:p>
    <w:p>
      <w:pPr>
        <w:pStyle w:val="946"/>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项目终验收报告</w:t>
      </w:r>
      <w:r/>
    </w:p>
    <w:p>
      <w:pPr>
        <w:pStyle w:val="946"/>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val="0"/>
          <w:color w:val="000000"/>
          <w:sz w:val="24"/>
          <w:szCs w:val="24"/>
          <w:highlight w:val="none"/>
          <w:u w:val="none"/>
          <w:lang w:val="en-US" w:eastAsia="zh-CN"/>
        </w:rPr>
        <w:t xml:space="preserve">乙方出具的合同价款的百分之四十（40%）增值税专用发票。</w:t>
      </w:r>
      <w:r/>
    </w:p>
    <w:p>
      <w:pPr>
        <w:numPr>
          <w:ilvl w:val="0"/>
          <w:numId w:val="2"/>
        </w:numPr>
        <w:ind w:firstLine="562"/>
        <w:spacing w:line="520" w:lineRule="exact"/>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合同履行</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（1）合同生效日后，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30日内</w:t>
      </w:r>
      <w:r>
        <w:rPr>
          <w:rFonts w:hint="eastAsia" w:ascii="仿宋" w:hAnsi="仿宋" w:eastAsia="仿宋" w:cs="仿宋"/>
          <w:color w:val="000000"/>
          <w:sz w:val="24"/>
          <w:szCs w:val="24"/>
          <w:highlight w:val="none"/>
        </w:rPr>
        <w:t xml:space="preserve">将合同标的全部交付完毕。</w:t>
      </w:r>
      <w:r/>
    </w:p>
    <w:p>
      <w:pPr>
        <w:ind w:firstLine="560"/>
        <w:spacing w:line="5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）合同生效日后， </w:t>
      </w:r>
      <w:r>
        <w:rPr>
          <w:rFonts w:hint="eastAsia" w:ascii="仿宋" w:hAnsi="仿宋" w:eastAsia="仿宋" w:cs="仿宋"/>
          <w:color w:val="000000"/>
          <w:sz w:val="24"/>
          <w:szCs w:val="24"/>
          <w:highlight w:val="none"/>
          <w:u w:val="single"/>
          <w:lang w:val="en-US" w:eastAsia="zh-CN"/>
        </w:rPr>
        <w:t xml:space="preserve">50日内</w:t>
      </w:r>
      <w:r>
        <w:rPr>
          <w:rFonts w:hint="eastAsia" w:ascii="仿宋" w:hAnsi="仿宋" w:eastAsia="仿宋" w:cs="仿宋"/>
          <w:color w:val="000000"/>
          <w:sz w:val="24"/>
          <w:szCs w:val="24"/>
          <w:highlight w:val="none"/>
          <w:lang w:eastAsia="zh-CN"/>
        </w:rPr>
        <w:t xml:space="preserve">将合同标的全部</w:t>
      </w:r>
      <w:r>
        <w:rPr>
          <w:rFonts w:hint="eastAsia" w:ascii="仿宋" w:hAnsi="仿宋" w:eastAsia="仿宋" w:cs="仿宋"/>
          <w:color w:val="000000"/>
          <w:sz w:val="24"/>
          <w:szCs w:val="24"/>
          <w:highlight w:val="none"/>
          <w:lang w:val="en-US" w:eastAsia="zh-CN"/>
        </w:rPr>
        <w:t xml:space="preserve">安装</w:t>
      </w:r>
      <w:r>
        <w:rPr>
          <w:rFonts w:hint="eastAsia" w:ascii="仿宋" w:hAnsi="仿宋" w:eastAsia="仿宋" w:cs="仿宋"/>
          <w:color w:val="000000"/>
          <w:sz w:val="24"/>
          <w:szCs w:val="24"/>
          <w:highlight w:val="none"/>
          <w:lang w:eastAsia="zh-CN"/>
        </w:rPr>
        <w:t xml:space="preserve">完毕</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）履约地点</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）履约担保：</w:t>
      </w:r>
      <w:r>
        <w:rPr>
          <w:rFonts w:hint="eastAsia" w:ascii="仿宋" w:hAnsi="仿宋" w:eastAsia="仿宋" w:cs="仿宋"/>
          <w:color w:val="000000"/>
          <w:sz w:val="24"/>
          <w:szCs w:val="24"/>
          <w:highlight w:val="none"/>
        </w:rPr>
        <w:t xml:space="preserve">是否收取履约保证金：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否</w:t>
      </w:r>
      <w:r/>
    </w:p>
    <w:p>
      <w:pPr>
        <w:pStyle w:val="946"/>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b/>
          <w:bCs w:val="0"/>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收取履约保证金形式：</w:t>
      </w:r>
      <w:r>
        <w:rPr>
          <w:rFonts w:hint="eastAsia" w:ascii="仿宋" w:hAnsi="仿宋" w:eastAsia="仿宋" w:cs="仿宋"/>
          <w:bCs/>
          <w:color w:val="000000"/>
          <w:sz w:val="24"/>
          <w:szCs w:val="24"/>
          <w:highlight w:val="none"/>
          <w:u w:val="single"/>
        </w:rPr>
        <w:t xml:space="preserve">                            </w:t>
      </w:r>
      <w:r/>
    </w:p>
    <w:p>
      <w:pPr>
        <w:pStyle w:val="97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收取履约保证金金额：</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履约担保期限：</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（4）分期履行要求：</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bCs/>
          <w:color w:val="000000"/>
          <w:sz w:val="24"/>
          <w:szCs w:val="24"/>
          <w:highlight w:val="none"/>
        </w:rPr>
        <w:t xml:space="preserve">（5）风险处置措施和替代方案：</w:t>
      </w:r>
      <w:r>
        <w:rPr>
          <w:rFonts w:hint="eastAsia" w:ascii="仿宋" w:hAnsi="仿宋" w:eastAsia="仿宋" w:cs="仿宋"/>
          <w:color w:val="000000"/>
          <w:sz w:val="24"/>
          <w:szCs w:val="24"/>
          <w:highlight w:val="none"/>
          <w:u w:val="single"/>
        </w:rPr>
        <w:t xml:space="preserve">                                                               </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合同验收</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（1）验收组织方式：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自行组织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委托第三方组织</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验收主体：</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徐州生物工程职业技术学院</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是否邀请本项目的其他供应商参加验收：</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是否邀请专家参加验收：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是否邀请服务对象参加验收：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是否邀请第三方检测机构参加验收：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是否进行抽查检测：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是，抽查比例：</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是否存在破坏性检测：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w:t>
      </w:r>
      <w:r>
        <w:rPr>
          <w:rFonts w:hint="eastAsia" w:ascii="仿宋" w:hAnsi="仿宋" w:eastAsia="仿宋" w:cs="仿宋"/>
          <w:bCs/>
          <w:color w:val="000000"/>
          <w:sz w:val="24"/>
          <w:szCs w:val="24"/>
          <w:highlight w:val="none"/>
          <w:u w:val="single"/>
        </w:rPr>
        <w:t xml:space="preserve">（应明确对被破坏的检测产品的处理方式）</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验收组织的其他事项：</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（2）履约验收时间：</w:t>
      </w:r>
      <w:r>
        <w:rPr>
          <w:rFonts w:hint="eastAsia" w:ascii="仿宋" w:hAnsi="仿宋" w:eastAsia="仿宋" w:cs="仿宋"/>
          <w:bCs/>
          <w:color w:val="000000"/>
          <w:sz w:val="24"/>
          <w:szCs w:val="24"/>
          <w:highlight w:val="none"/>
          <w:u w:val="single"/>
        </w:rPr>
        <w:t xml:space="preserve">（供应商提出验收申请之日起</w:t>
      </w:r>
      <w:r>
        <w:rPr>
          <w:rFonts w:hint="eastAsia" w:ascii="仿宋" w:hAnsi="仿宋" w:eastAsia="仿宋" w:cs="仿宋"/>
          <w:bCs/>
          <w:color w:val="000000"/>
          <w:sz w:val="24"/>
          <w:szCs w:val="24"/>
          <w:highlight w:val="none"/>
          <w:u w:val="single"/>
          <w:lang w:val="en-US" w:eastAsia="zh-CN"/>
        </w:rPr>
        <w:t xml:space="preserve">7</w:t>
      </w:r>
      <w:r>
        <w:rPr>
          <w:rFonts w:hint="eastAsia" w:ascii="仿宋" w:hAnsi="仿宋" w:eastAsia="仿宋" w:cs="仿宋"/>
          <w:bCs/>
          <w:color w:val="000000"/>
          <w:sz w:val="24"/>
          <w:szCs w:val="24"/>
          <w:highlight w:val="none"/>
          <w:u w:val="single"/>
        </w:rPr>
        <w:t xml:space="preserve">日内组织验收） </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（3）履约验收方式：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一次性验收         </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分期/分项验收：</w:t>
      </w:r>
      <w:r>
        <w:rPr>
          <w:rFonts w:hint="eastAsia" w:ascii="仿宋" w:hAnsi="仿宋" w:eastAsia="仿宋" w:cs="仿宋"/>
          <w:bCs/>
          <w:color w:val="000000"/>
          <w:sz w:val="24"/>
          <w:szCs w:val="24"/>
          <w:highlight w:val="none"/>
          <w:u w:val="single"/>
        </w:rPr>
        <w:t xml:space="preserve">（应明确分期</w:t>
      </w:r>
      <w:r>
        <w:rPr>
          <w:rFonts w:hint="eastAsia" w:ascii="仿宋" w:hAnsi="仿宋" w:eastAsia="仿宋" w:cs="仿宋"/>
          <w:bCs/>
          <w:color w:val="000000"/>
          <w:sz w:val="24"/>
          <w:szCs w:val="24"/>
          <w:highlight w:val="none"/>
          <w:u w:val="single"/>
          <w:lang w:val="en"/>
        </w:rPr>
        <w:t xml:space="preserve">/分项验收的工作安排</w:t>
      </w:r>
      <w:r>
        <w:rPr>
          <w:rFonts w:hint="eastAsia" w:ascii="仿宋" w:hAnsi="仿宋" w:eastAsia="仿宋" w:cs="仿宋"/>
          <w:bCs/>
          <w:color w:val="000000"/>
          <w:sz w:val="24"/>
          <w:szCs w:val="24"/>
          <w:highlight w:val="none"/>
          <w:u w:val="single"/>
        </w:rPr>
        <w:t xml:space="preserve">）</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（4）履约验收程序：</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（5）履约验收的内容：</w:t>
      </w:r>
      <w:r>
        <w:rPr>
          <w:rFonts w:hint="eastAsia" w:ascii="仿宋" w:hAnsi="仿宋" w:eastAsia="仿宋" w:cs="仿宋"/>
          <w:bCs/>
          <w:color w:val="000000"/>
          <w:sz w:val="24"/>
          <w:szCs w:val="24"/>
          <w:highlight w:val="none"/>
          <w:u w:val="single"/>
        </w:rPr>
        <w:t xml:space="preserve"> （应当包括每一项技术和商务要求的履约情况，特别是落实政府采购扶持中小企业，支持绿色发展和乡村振兴等政策情况）                                      </w:t>
      </w:r>
      <w:r/>
    </w:p>
    <w:p>
      <w:pPr>
        <w:ind w:firstLine="560"/>
        <w:spacing w:line="520" w:lineRule="exact"/>
        <w:rPr>
          <w:rFonts w:hint="eastAsia" w:ascii="仿宋" w:hAnsi="仿宋" w:eastAsia="仿宋" w:cs="仿宋"/>
          <w:bCs/>
          <w:color w:val="000000"/>
          <w:sz w:val="24"/>
          <w:szCs w:val="24"/>
          <w:highlight w:val="none"/>
          <w:u w:val="single"/>
          <w:lang w:eastAsia="zh-CN"/>
        </w:rPr>
      </w:pPr>
      <w:r>
        <w:rPr>
          <w:rFonts w:hint="eastAsia" w:ascii="仿宋" w:hAnsi="仿宋" w:eastAsia="仿宋" w:cs="仿宋"/>
          <w:bCs/>
          <w:color w:val="000000"/>
          <w:sz w:val="24"/>
          <w:szCs w:val="24"/>
          <w:highlight w:val="none"/>
        </w:rPr>
        <w:t xml:space="preserve">（6）履约验收标准：</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1.场馆的声场、灯光效果要达到音乐2级及以上。2.舞台机械符合国家标准</w:t>
      </w:r>
      <w:r>
        <w:rPr>
          <w:rFonts w:hint="eastAsia" w:ascii="仿宋" w:hAnsi="仿宋" w:eastAsia="仿宋" w:cs="仿宋"/>
          <w:bCs/>
          <w:color w:val="000000"/>
          <w:sz w:val="24"/>
          <w:szCs w:val="24"/>
          <w:highlight w:val="none"/>
          <w:u w:val="single"/>
          <w:lang w:eastAsia="zh-CN"/>
        </w:rPr>
        <w:t xml:space="preserve">。</w:t>
      </w:r>
      <w:r/>
    </w:p>
    <w:p>
      <w:pPr>
        <w:pStyle w:val="97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（7）是否以采购活动中供应商提供的样品作为参考：</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（8）履约验收其他事项：</w:t>
      </w:r>
      <w:r>
        <w:rPr>
          <w:rFonts w:hint="eastAsia" w:ascii="仿宋" w:hAnsi="仿宋" w:eastAsia="仿宋" w:cs="仿宋"/>
          <w:bCs/>
          <w:color w:val="000000"/>
          <w:sz w:val="24"/>
          <w:szCs w:val="24"/>
          <w:highlight w:val="none"/>
          <w:u w:val="single"/>
        </w:rPr>
        <w:t xml:space="preserve">      （产权过户登记等）          </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组成合同的文件</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本协议书与下列文件一起构成合同文件，如下述文件之间有任何抵触、矛盾或歧义，应按以下顺序解释：</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（1）政府采购合同协议书及其变更、补充协议</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（2）政府采购合同专用条款</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（3）政府采购合同通用条款</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（4）中标（成交）通知书</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（5）投标（响应）文件</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（6）采购文件</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（7）有关技术文件，图纸</w:t>
      </w:r>
      <w:r/>
    </w:p>
    <w:p>
      <w:pPr>
        <w:pStyle w:val="97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（8）国家法律、行政法规和规章制度规定或合同约定的作为合同组成部分的其他文件</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合同生效</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本合同自</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生效。</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合同份数</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本合同一式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份，甲方执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份，乙方执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份，均具有同等法律效力。</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合同订立时间：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合同订立地点：</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附件：具体标的及其技术要求和商务要求、联合协议、分包意向协议等。</w:t>
      </w:r>
      <w:r/>
    </w:p>
    <w:tbl>
      <w:tblPr>
        <w:tblStyle w:val="697"/>
        <w:tblpPr w:horzAnchor="page" w:tblpXSpec="center" w:vertAnchor="text" w:tblpY="565"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1229"/>
        </w:trPr>
        <w:tc>
          <w:tcPr>
            <w:gridSpan w:val="2"/>
            <w:tcW w:w="4303" w:type="dxa"/>
            <w:vAlign w:val="center"/>
            <w:textDirection w:val="lrTb"/>
            <w:noWrap w:val="false"/>
          </w:tcPr>
          <w:p>
            <w:pP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乙方（供应商）</w:t>
            </w:r>
            <w:r/>
          </w:p>
        </w:tc>
      </w:tr>
      <w:tr>
        <w:trPr>
          <w:jc w:val="center"/>
          <w:trHeight w:val="917"/>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单位名称（公章或合同章）</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徐州生物工程职业技术学院</w:t>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单位名称（公章或合同章）</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1171"/>
        </w:trPr>
        <w:tc>
          <w:tcPr>
            <w:tcW w:w="1891" w:type="dxa"/>
            <w:vAlign w:val="center"/>
            <w:vMerge w:val="restart"/>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p>
            <w:pPr>
              <w:ind w:firstLine="134"/>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或其委托代理人（签章）</w:t>
            </w:r>
            <w:r/>
          </w:p>
        </w:tc>
        <w:tc>
          <w:tcPr>
            <w:tcW w:w="2412" w:type="dxa"/>
            <w:vAlign w:val="center"/>
            <w:vMerge w:val="restart"/>
            <w:textDirection w:val="lrTb"/>
            <w:noWrap w:val="false"/>
          </w:tcPr>
          <w:p>
            <w:pPr>
              <w:jc w:val="center"/>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或其委托代理人（签章）</w:t>
            </w:r>
            <w:r/>
          </w:p>
        </w:tc>
        <w:tc>
          <w:tcPr>
            <w:tcW w:w="2116"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83"/>
        </w:trPr>
        <w:tc>
          <w:tcPr>
            <w:tcW w:w="1891" w:type="dxa"/>
            <w:vAlign w:val="center"/>
            <w:vMerge w:val="continue"/>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12" w:type="dxa"/>
            <w:vAlign w:val="center"/>
            <w:vMerge w:val="continue"/>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拥有者性别</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  所</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  所</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540"/>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 系 人</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 系 人</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通信地址</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通信地址</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电子邮箱</w:t>
            </w:r>
            <w:r/>
          </w:p>
        </w:tc>
        <w:tc>
          <w:tcPr>
            <w:tcW w:w="2412" w:type="dxa"/>
            <w:vAlign w:val="center"/>
            <w:textDirection w:val="lrTb"/>
            <w:noWrap w:val="false"/>
          </w:tcPr>
          <w:p>
            <w:pPr>
              <w:jc w:val="both"/>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电子邮箱</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878"/>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统一社会信用代码</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统一社会信用代码</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开户名称</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银行账号</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586"/>
        </w:trPr>
        <w:tc>
          <w:tcPr>
            <w:gridSpan w:val="4"/>
            <w:tcW w:w="8398" w:type="dxa"/>
            <w:vAlign w:val="center"/>
            <w:textDirection w:val="lrTb"/>
            <w:noWrap w:val="false"/>
          </w:tcPr>
          <w:p>
            <w:pPr>
              <w:pStyle w:val="976"/>
              <w:ind w:left="0"/>
              <w:jc w:val="left"/>
              <w:spacing w:before="156" w:after="0" w:line="360" w:lineRule="auto"/>
              <w:rPr>
                <w:rFonts w:hint="eastAsia" w:ascii="仿宋" w:hAnsi="仿宋" w:eastAsia="仿宋" w:cs="仿宋"/>
                <w:color w:val="000000"/>
                <w:spacing w:val="20"/>
                <w:sz w:val="24"/>
                <w:szCs w:val="24"/>
                <w:highlight w:val="none"/>
              </w:rPr>
            </w:pPr>
            <w:r>
              <w:rPr>
                <w:rFonts w:hint="eastAsia" w:ascii="仿宋" w:hAnsi="仿宋" w:eastAsia="仿宋" w:cs="仿宋"/>
                <w:color w:val="000000"/>
                <w:sz w:val="24"/>
                <w:szCs w:val="24"/>
                <w:highlight w:val="none"/>
              </w:rPr>
              <w:t xml:space="preserve">注：涉及联合体或其他合同主体的信息应按上表格式加列。</w:t>
            </w:r>
            <w:r/>
          </w:p>
        </w:tc>
      </w:tr>
    </w:tbl>
    <w:p>
      <w:pPr>
        <w:pStyle w:val="801"/>
        <w:jc w:val="both"/>
        <w:spacing w:before="156"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br w:type="page" w:clear="all"/>
      </w:r>
      <w:bookmarkStart w:id="12" w:name="_Toc27624"/>
      <w:r>
        <w:rPr>
          <w:rFonts w:hint="eastAsia" w:ascii="仿宋" w:hAnsi="仿宋" w:eastAsia="仿宋" w:cs="仿宋"/>
          <w:color w:val="000000"/>
          <w:sz w:val="28"/>
          <w:szCs w:val="28"/>
          <w:highlight w:val="none"/>
        </w:rPr>
        <w:t xml:space="preserve">第二节 政府采购合同通用条款</w:t>
      </w:r>
      <w:bookmarkEnd w:id="12"/>
      <w:r/>
      <w:r/>
    </w:p>
    <w:p>
      <w:pPr>
        <w:ind w:firstLine="562"/>
        <w:jc w:val="left"/>
        <w:spacing w:line="520" w:lineRule="exact"/>
        <w:tabs>
          <w:tab w:val="left" w:pos="8820" w:leader="none"/>
          <w:tab w:val="left" w:pos="9345" w:leader="none"/>
          <w:tab w:val="left" w:pos="9765" w:leader="none"/>
        </w:tabs>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1. </w:t>
      </w:r>
      <w:r>
        <w:rPr>
          <w:rFonts w:hint="eastAsia" w:ascii="仿宋" w:hAnsi="仿宋" w:eastAsia="仿宋" w:cs="仿宋"/>
          <w:b/>
          <w:bCs/>
          <w:color w:val="000000"/>
          <w:sz w:val="24"/>
          <w:szCs w:val="24"/>
          <w:highlight w:val="none"/>
        </w:rPr>
        <w:t xml:space="preserve">定义</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1.1合同当事人</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（1）采购人（以下称甲方）是指使用财政性资金，通过政府采购方式向供应商购买货物及其相关服务的国家机关、事业单位、团体组织。</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（2）供应商（以下称乙方）是指参加政府采购活动并且中标（成交），向采购人提供合同约定的货物及其相关服务的法人、非法人组织或者自然人。</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（3）其他合同主体是指除采购人和供应商以外，</w:t>
      </w:r>
      <w:r>
        <w:rPr>
          <w:rFonts w:hint="eastAsia" w:ascii="仿宋" w:hAnsi="仿宋" w:eastAsia="仿宋" w:cs="仿宋"/>
          <w:bCs/>
          <w:color w:val="000000"/>
          <w:sz w:val="24"/>
          <w:szCs w:val="24"/>
          <w:highlight w:val="none"/>
        </w:rPr>
        <w:t xml:space="preserve">依法参与合同缔结或履行，享有权利、承担义务的合同当事人</w:t>
      </w:r>
      <w:r>
        <w:rPr>
          <w:rFonts w:hint="eastAsia" w:ascii="仿宋" w:hAnsi="仿宋" w:eastAsia="仿宋" w:cs="仿宋"/>
          <w:color w:val="000000"/>
          <w:sz w:val="24"/>
          <w:szCs w:val="24"/>
          <w:highlight w:val="none"/>
        </w:rPr>
        <w:t xml:space="preserve">。</w:t>
      </w:r>
      <w:r/>
    </w:p>
    <w:p>
      <w:pPr>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1.2本合同下列术语应解释为：</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（1）“合同”系指</w:t>
      </w:r>
      <w:r>
        <w:rPr>
          <w:rFonts w:hint="eastAsia" w:ascii="仿宋" w:hAnsi="仿宋" w:eastAsia="仿宋" w:cs="仿宋"/>
          <w:bCs/>
          <w:color w:val="000000"/>
          <w:sz w:val="24"/>
          <w:szCs w:val="24"/>
          <w:highlight w:val="none"/>
        </w:rPr>
        <w:t xml:space="preserve">合同当事人意思表示达成一致的任何协议，包括签署的</w:t>
      </w:r>
      <w:r>
        <w:rPr>
          <w:rFonts w:hint="eastAsia" w:ascii="仿宋" w:hAnsi="仿宋" w:eastAsia="仿宋" w:cs="仿宋"/>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（2）“合同价款”系指根据本合同规定乙方在全面履行合同义务后甲方应支付给乙方的价款。</w:t>
      </w:r>
      <w:r/>
    </w:p>
    <w:p>
      <w:pPr>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技术资料和材料等。</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（4）“相关服务”系指根据合同规定，乙方应提供的与货物有关的技术、管理和</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（7）其他术语解释，见【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numPr>
          <w:ilvl w:val="0"/>
          <w:numId w:val="0"/>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lang w:val="en-US" w:eastAsia="zh-CN" w:bidi="ar-SA"/>
        </w:rPr>
        <w:t xml:space="preserve">2.</w:t>
      </w:r>
      <w:r>
        <w:rPr>
          <w:rFonts w:hint="eastAsia" w:ascii="仿宋" w:hAnsi="仿宋" w:eastAsia="仿宋" w:cs="仿宋"/>
          <w:b/>
          <w:color w:val="000000"/>
          <w:sz w:val="24"/>
          <w:szCs w:val="24"/>
          <w:highlight w:val="none"/>
        </w:rPr>
        <w:t xml:space="preserve">合同标的及金额</w:t>
      </w:r>
      <w:r/>
    </w:p>
    <w:p>
      <w:pPr>
        <w:ind w:firstLine="560"/>
        <w:jc w:val="left"/>
        <w:spacing w:line="520" w:lineRule="exact"/>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任何费用。</w:t>
      </w:r>
      <w:r/>
    </w:p>
    <w:p>
      <w:p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 履行合同的时间、地点和方式</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乙方应当在约定的时间、地点，按照约定方式履行合同。</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4. 甲方的权利和义务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 甲方有权要求乙方对缺陷部分予以修复，并按合同约定享有货物保修及其他合同约定的权利。</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 甲方应当按照合同约定及时对交付的货物进行验收，未在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约定的期限内对乙方履约提出任何异议或者向乙方作出任何说明的，视为验收通过。</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 甲方应当根据合同约定及时向乙方支付合同价款，不得以内部人员变更、履行内部付款流程等为由，拒绝或迟延支付。</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 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约定应由甲方承担的其他义务和责任。</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 乙方的权利和义务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签署合同后，乙方应确定项目负责人（或项目联系人），负责与本合同有关的事务。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82"/>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5.3乙方有权根据合同约定向甲方收取合同价款。</w:t>
      </w:r>
      <w:r/>
    </w:p>
    <w:p>
      <w:pPr>
        <w:pStyle w:val="782"/>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约定应由乙方承担的其他义务和责任。</w:t>
      </w:r>
      <w:r/>
    </w:p>
    <w:p>
      <w:pPr>
        <w:numPr>
          <w:ilvl w:val="0"/>
          <w:numId w:val="6"/>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合同履行</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甲乙双方应当按照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约定顺序履行合同义务；如果没有先后顺序的，应当同时履行。</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7. 货物包装、运输、保险和交付要求</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本合同</w:t>
      </w:r>
      <w:r>
        <w:rPr>
          <w:rFonts w:hint="eastAsia" w:ascii="仿宋" w:hAnsi="仿宋" w:eastAsia="仿宋" w:cs="仿宋"/>
          <w:bCs/>
          <w:color w:val="000000"/>
          <w:sz w:val="24"/>
          <w:szCs w:val="24"/>
          <w:highlight w:val="none"/>
        </w:rPr>
        <w:t xml:space="preserve">涉及商品包装、快递包装的，</w:t>
      </w:r>
      <w:r>
        <w:rPr>
          <w:rFonts w:hint="eastAsia" w:ascii="仿宋" w:hAnsi="仿宋" w:eastAsia="仿宋" w:cs="仿宋"/>
          <w:color w:val="000000"/>
          <w:sz w:val="24"/>
          <w:szCs w:val="24"/>
          <w:highlight w:val="none"/>
        </w:rPr>
        <w:t xml:space="preserve">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包装应适应远距离运输、防潮、防震、防锈和防野蛮装卸等要求，确保货物安全无损地运抵</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约定的</w:t>
      </w:r>
      <w:r>
        <w:rPr>
          <w:rFonts w:hint="eastAsia" w:ascii="仿宋" w:hAnsi="仿宋" w:eastAsia="仿宋" w:cs="仿宋"/>
          <w:color w:val="000000"/>
          <w:sz w:val="24"/>
          <w:szCs w:val="24"/>
          <w:highlight w:val="none"/>
        </w:rPr>
        <w:t xml:space="preserve">指定现场。</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乙方负责办理将货物运抵本合同规定的交货地点，并装卸、交付至甲方的一切运输事项，相关费用应包含在合同价款中。</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 货物保险要求按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规定执行</w:t>
      </w:r>
      <w:r>
        <w:rPr>
          <w:rFonts w:hint="eastAsia" w:ascii="仿宋" w:hAnsi="仿宋" w:eastAsia="仿宋" w:cs="仿宋"/>
          <w:color w:val="000000"/>
          <w:sz w:val="24"/>
          <w:szCs w:val="24"/>
          <w:highlight w:val="none"/>
        </w:rPr>
        <w:t xml:space="preserve">。</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 乙方在运输到达之前应提前通知甲方，并提示货物运输装卸的注意事项，甲方配合乙方做好货物的接收工作。</w:t>
      </w:r>
      <w:r/>
    </w:p>
    <w:p>
      <w:pPr>
        <w:pStyle w:val="97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 质量标准和保证</w:t>
      </w:r>
      <w:r/>
    </w:p>
    <w:p>
      <w:pPr>
        <w:pStyle w:val="979"/>
        <w:ind w:firstLine="560"/>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8.1 质量标准</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79"/>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（2）采用中华人民共和国法定计量单位。</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（3）乙方所提供的货物应符合国家有关安全、环保、卫生的规定。</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 保证</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规定或乙方书面承诺（两者以较长的为准）的质量保证期内，本保证保持有效。</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（2）在质量保证期内所发现的缺陷，甲方应尽快以书面形式通知乙方。</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（3）乙方收到通知后，应在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规定的响应时间内以合理的速度免费维修或更换有缺陷的货物或部件。</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9. 权利瑕疵担保</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 乙方保证对其出售的货物享有合法的权利。</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乙方保证在交付的货物上不存在抵押权等担保物权。</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 如甲方使用上述货物构成对第三人侵权的，则由乙方承担全部责任。</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 知识产权保护</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乙方对其所销售的货物应当享有知识产权或经权利人合法授权，保证没有侵犯任何第三人的知识产权等权利。</w:t>
      </w:r>
      <w:bookmarkStart w:id="13" w:name="_Hlk163047038"/>
      <w:r>
        <w:rPr>
          <w:rFonts w:hint="eastAsia" w:ascii="仿宋" w:hAnsi="仿宋" w:eastAsia="仿宋" w:cs="仿宋"/>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
      <w:r>
        <w:rPr>
          <w:rFonts w:hint="eastAsia" w:ascii="仿宋" w:hAnsi="仿宋" w:eastAsia="仿宋" w:cs="仿宋"/>
          <w:color w:val="000000"/>
          <w:sz w:val="24"/>
          <w:szCs w:val="24"/>
          <w:highlight w:val="none"/>
        </w:rPr>
        <w:t xml:space="preserve">。</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11. 保密义务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中约定。</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12. 合同价款支付</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合同价款支付按照国库集中支付制度及财政管理相关规定执行。</w:t>
      </w:r>
      <w:r/>
    </w:p>
    <w:p>
      <w:pPr>
        <w:pStyle w:val="801"/>
        <w:ind w:firstLine="562"/>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82"/>
        <w:ind w:firstLine="562"/>
        <w:spacing w:after="0"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13. 履约保证金</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乙方应当以支票、汇票、本票或者金融机构、担保机构出具的保函等非现金形式提交。</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如果乙方出现</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甲方在项目通过验收后按照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规定支付。</w:t>
      </w:r>
      <w:r/>
    </w:p>
    <w:p>
      <w:p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14. </w:t>
      </w:r>
      <w:r>
        <w:rPr>
          <w:rFonts w:hint="eastAsia" w:ascii="仿宋" w:hAnsi="仿宋" w:eastAsia="仿宋" w:cs="仿宋"/>
          <w:b/>
          <w:color w:val="000000"/>
          <w:sz w:val="24"/>
          <w:szCs w:val="24"/>
          <w:highlight w:val="none"/>
        </w:rPr>
        <w:t xml:space="preserve">售后服务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除项目不涉及或采购活动中明确约定无须承担外，乙方还应提供下列服务：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（1）货物的现场移动、安装、调试、启动监督及技术支持；</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（2）提供货物组装和维修所需的专用工具和辅助材料；</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约定的期限内对所有的货物实施运行监督、维修，但前提条件是该服务并不能免除乙方在质量保证期内所承担的义务；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（4）在制造商所在地或指定现场就货物的安装、启动、运营、维护、废弃处置等对甲方操作人员进行培训；</w:t>
      </w:r>
      <w:r/>
    </w:p>
    <w:p>
      <w:pPr>
        <w:pStyle w:val="97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（5）依照法律、行政法规的规定或者按照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约定，货物在有效使用年限届满后应予回收的，乙方负有自行或者委托第三人对货物予以回收的义务；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规定由乙方提供的其他服务。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乙方提供的售后服务的费用已包含在合同价款中，甲方不再另行支付。</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15.违约责任</w:t>
      </w:r>
      <w:r/>
    </w:p>
    <w:p>
      <w:pPr>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15.1质量瑕疵的违约责任</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乙方提供的产品不符合合同约定的质量标准或存在产品质量缺陷，甲方有权要求乙方根据</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要求</w:t>
      </w:r>
      <w:r>
        <w:rPr>
          <w:rFonts w:hint="eastAsia" w:ascii="仿宋" w:hAnsi="仿宋" w:eastAsia="仿宋" w:cs="仿宋"/>
          <w:color w:val="000000"/>
          <w:sz w:val="24"/>
          <w:szCs w:val="24"/>
          <w:highlight w:val="none"/>
        </w:rPr>
        <w:t xml:space="preserve">及时修理、重作、更换，并承担由此给甲方造成的损失。</w:t>
      </w:r>
      <w:r/>
    </w:p>
    <w:p>
      <w:pPr>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15.2 迟延交货的违约责任</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规定执行。如果涉及公共利益，且赔偿金额无法弥补公共利益损失，甲方可要求继续履行或者采取其他补救措施。</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15.3 迟延支付的违约责任</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甲方存在迟延支付乙方合同款项的，应当承担</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规定的逾期付款利息。</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15.4其他违约责任根据项目实际需要按</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w:t>
      </w:r>
      <w:r/>
    </w:p>
    <w:p>
      <w:pPr>
        <w:numPr>
          <w:ilvl w:val="0"/>
          <w:numId w:val="7"/>
        </w:num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合同变更、中止与终止</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16.1合同的变更</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16.2合同的中止</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（1）合同履行过程中因供应商就采购文件、采购过程或结果提起投诉的，甲方认为有必要的，可以中止合同的履行。</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77"/>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（4）甲方不得以行政区划调整、政府换届、机构或者职能调整以及相关责任人更替为由中止合同。</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16.3合同的终止</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（1）合同因有效期限届满而终止；</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（2）乙方未按合同约定履行，构成根本性违约的，甲方有权终止合同，并追究乙方的违约责任。</w:t>
      </w:r>
      <w:r/>
    </w:p>
    <w:p>
      <w:pPr>
        <w:pStyle w:val="97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16.4 涉及国家利益、社会公共利益的情形</w:t>
      </w:r>
      <w:r/>
    </w:p>
    <w:p>
      <w:pPr>
        <w:pStyle w:val="977"/>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 合同分包</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 乙方不得将合同转包给其他供应商。涉及合同分包的，乙方应根据采购文件和投标（响应）文件规定进行合同分包。</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18. 不可抗力</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 不可抗力是指合同双方不能预见、不能避免且不能克服的客观情况。</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 任何一方对由于不可抗力造成的部分或全部不能履行合同不承担违约责任。但迟延履行后发生不可抗力的，不能免除责任。</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19. 解决争议的方法</w:t>
      </w:r>
      <w:r/>
    </w:p>
    <w:p>
      <w:pPr>
        <w:pStyle w:val="977"/>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77"/>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19.2选择仲裁的，应在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中明确仲裁机构及仲裁地；通过诉讼方式解决的，可以在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中进一步约定选择与争议有实际联系的地点的人民法院管辖，但管辖法院的约定不得违反级别管辖和专属管辖的规定。</w:t>
      </w:r>
      <w:r/>
    </w:p>
    <w:p>
      <w:pPr>
        <w:pStyle w:val="977"/>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19.3如甲乙双方有争议的事项不影响合同其他部分的履行，在争议解决期间，合同其他部分应当继续履行。</w:t>
      </w:r>
      <w:r/>
    </w:p>
    <w:p>
      <w:pPr>
        <w:ind w:firstLine="562"/>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20. 政府采购政策</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 </w:t>
      </w:r>
      <w:r>
        <w:rPr>
          <w:rFonts w:hint="eastAsia" w:ascii="仿宋" w:hAnsi="仿宋" w:eastAsia="仿宋" w:cs="仿宋"/>
          <w:color w:val="000000"/>
          <w:sz w:val="24"/>
          <w:szCs w:val="24"/>
          <w:highlight w:val="none"/>
          <w:lang w:val="en-GB"/>
        </w:rPr>
        <w:t xml:space="preserve">本合同应当按照规定执行政府采购政策。</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 本合同依法执行政府采购政策的方式和内容，属于合同履约验收的范围。甲乙双方</w:t>
      </w:r>
      <w:r>
        <w:rPr>
          <w:rFonts w:hint="eastAsia" w:ascii="仿宋" w:hAnsi="仿宋" w:eastAsia="仿宋" w:cs="仿宋"/>
          <w:color w:val="000000"/>
          <w:sz w:val="24"/>
          <w:szCs w:val="24"/>
          <w:highlight w:val="none"/>
          <w:lang w:val="en-GB"/>
        </w:rPr>
        <w:t xml:space="preserve">未按规定要求执行政府采购政策造成损失的</w:t>
      </w:r>
      <w:r>
        <w:rPr>
          <w:rFonts w:hint="eastAsia" w:ascii="仿宋" w:hAnsi="仿宋" w:eastAsia="仿宋" w:cs="仿宋"/>
          <w:color w:val="000000"/>
          <w:sz w:val="24"/>
          <w:szCs w:val="24"/>
          <w:highlight w:val="none"/>
        </w:rPr>
        <w:t xml:space="preserve">，有过错的一方应当承担赔偿责任，双方都有过错的，各自承担相应的责任。</w:t>
      </w:r>
      <w:r/>
    </w:p>
    <w:p>
      <w:pPr>
        <w:pStyle w:val="782"/>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 法律适用</w:t>
      </w:r>
      <w:r/>
    </w:p>
    <w:p>
      <w:pPr>
        <w:pStyle w:val="977"/>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21.1本合同的订立、生效、解释、履行及与本合同有关的争议解决，均适用法律、行政法规。</w:t>
      </w:r>
      <w:r/>
    </w:p>
    <w:p>
      <w:pPr>
        <w:pStyle w:val="977"/>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21.2本合同条款与法律、行政法规的强制性规定不一致的，双方当事人应按照法律、行政法规的强制性规定修改本合同的相关条款。</w:t>
      </w:r>
      <w:r/>
    </w:p>
    <w:p>
      <w:p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22. 通知</w:t>
      </w:r>
      <w:r/>
    </w:p>
    <w:p>
      <w:pPr>
        <w:pStyle w:val="977"/>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pStyle w:val="977"/>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22.2一方当事人变更名称、住所、联系人、联系电话或电子邮箱等信息的，应当在变更后3日内及时书面通知对方，对方实际收到变更通知前的送达仍为有效送达。</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22.3本合同一方给另一方的通知均应采用书面形式，传真或快递送到本合同中规定的对方的地址和办理签收手续。</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22.4通知以送达之日或通知书中规定的生效之日起生效，两者中以较迟之日为准。</w:t>
      </w:r>
      <w:r/>
    </w:p>
    <w:p>
      <w:pPr>
        <w:numPr>
          <w:ilvl w:val="0"/>
          <w:numId w:val="8"/>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合同未尽事项</w:t>
      </w:r>
      <w:r/>
    </w:p>
    <w:p>
      <w:pPr>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23.1合同未尽事项见</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23.2合同附件与合同正文具有同等的法律效力。</w:t>
      </w:r>
      <w:bookmarkStart w:id="14" w:name="_Toc20313"/>
      <w:r/>
      <w:r/>
    </w:p>
    <w:p>
      <w:pPr>
        <w:jc w:val="cente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第三节 政府采购合同专用条款</w:t>
      </w:r>
      <w:bookmarkEnd w:id="14"/>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5259"/>
      </w:tblGrid>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第1.2（6）项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联合体具体要求</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04"/>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第1.2（7）项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其他术语解释</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第4.4款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履约验收中甲方提出异议或作出说明的期限</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合同标的全部交付后，乙方可向甲方书面提出验收要求，甲方在接到书面要求后7日内进行验收。</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第4.6款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约定甲方承担的其他义务和责任</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第5.4款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约定乙方承担的其他义务和责任</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第6.1款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履行合同义务的顺序</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见第一节“2.合同金额”中“（3）付款方式”双方合同义务履行顺序</w:t>
            </w:r>
            <w:r/>
          </w:p>
        </w:tc>
      </w:tr>
      <w:tr>
        <w:trPr>
          <w:trHeight w:val="667"/>
        </w:trPr>
        <w:tc>
          <w:tcPr>
            <w:tcW w:w="2172" w:type="dxa"/>
            <w:vAlign w:val="center"/>
            <w:vMerge w:val="restart"/>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第7.1款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包装特殊要求</w:t>
            </w:r>
            <w:r/>
          </w:p>
        </w:tc>
        <w:tc>
          <w:tcPr>
            <w:tcW w:w="525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指定现场</w:t>
            </w:r>
            <w:r/>
          </w:p>
        </w:tc>
        <w:tc>
          <w:tcPr>
            <w:tcW w:w="525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甲方指定收货地点</w:t>
            </w:r>
            <w:r>
              <w:rPr>
                <w:rFonts w:hint="eastAsia" w:ascii="仿宋" w:hAnsi="仿宋" w:eastAsia="仿宋" w:cs="仿宋"/>
                <w:color w:val="000000"/>
                <w:sz w:val="24"/>
                <w:szCs w:val="24"/>
                <w:highlight w:val="none"/>
                <w:u w:val="single"/>
              </w:rPr>
              <w:t xml:space="preserve">              </w:t>
            </w:r>
            <w:r/>
          </w:p>
        </w:tc>
      </w:tr>
      <w:tr>
        <w:trPr>
          <w:trHeight w:val="772"/>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第7.2款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运输特殊要求</w:t>
            </w:r>
            <w:r/>
          </w:p>
        </w:tc>
        <w:tc>
          <w:tcPr>
            <w:tcW w:w="525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第7.3款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保险要求</w:t>
            </w:r>
            <w:r/>
          </w:p>
        </w:tc>
        <w:tc>
          <w:tcPr>
            <w:tcW w:w="525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货物在通过甲方验收前的保险责任及费用由乙方承担。</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第8.2（1）项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质量保证期</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从甲方验收合格之日起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第8.2（3）项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货物质量缺陷响应时间</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pStyle w:val="977"/>
              <w:ind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第11.1款</w:t>
            </w:r>
            <w:r/>
          </w:p>
        </w:tc>
        <w:tc>
          <w:tcPr>
            <w:tcW w:w="218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其他应当保密的信息</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97"/>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第12.2款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合同价款支付时间</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w:t>
            </w:r>
            <w:r/>
          </w:p>
        </w:tc>
      </w:tr>
      <w:tr>
        <w:trPr>
          <w:trHeight w:val="697"/>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第13.2款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履约保证金不予退还的情形</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第13.3款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履约保证金退还时间及逾期退还的违约金</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p>
        </w:tc>
      </w:tr>
      <w:tr>
        <w:trPr>
          <w:trHeight w:val="784"/>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第14.1（3）项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运行监督、维修期限</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同采购标的的使用寿命期限</w:t>
            </w:r>
            <w:r/>
          </w:p>
        </w:tc>
      </w:tr>
      <w:tr>
        <w:trPr>
          <w:trHeight w:val="784"/>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第14.1（5）项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货物回收的约定</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第14.1（6）项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乙方提供的其他服务</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第15.1款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修理、重作、更换相关具体规定</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第15.2（2）项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迟延交货赔偿费</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第15.3款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逾期付款利息</w:t>
            </w:r>
            <w:r/>
          </w:p>
        </w:tc>
        <w:tc>
          <w:tcPr>
            <w:tcW w:w="5259" w:type="dxa"/>
            <w:vAlign w:val="center"/>
            <w:textDirection w:val="lrTb"/>
            <w:noWrap w:val="false"/>
          </w:tcPr>
          <w:p>
            <w:pPr>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87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第15.4款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其他违约责任</w:t>
            </w:r>
            <w:r/>
          </w:p>
        </w:tc>
        <w:tc>
          <w:tcPr>
            <w:tcW w:w="5259" w:type="dxa"/>
            <w:vAlign w:val="center"/>
            <w:textDirection w:val="lrTb"/>
            <w:noWrap w:val="false"/>
          </w:tcPr>
          <w:p>
            <w:pPr>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90"/>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第19.2款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解决争议的方法</w:t>
            </w:r>
            <w:r/>
          </w:p>
        </w:tc>
        <w:tc>
          <w:tcPr>
            <w:tcW w:w="5259" w:type="dxa"/>
            <w:vAlign w:val="center"/>
            <w:textDirection w:val="lrTb"/>
            <w:noWrap w:val="false"/>
          </w:tcPr>
          <w:p>
            <w:pPr>
              <w:jc w:val="left"/>
              <w:spacing w:line="40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因本合同及合同有关事项发生的争议，按下列第</w:t>
            </w:r>
            <w:r>
              <w:rPr>
                <w:rFonts w:hint="eastAsia" w:ascii="仿宋" w:hAnsi="仿宋" w:eastAsia="仿宋" w:cs="仿宋"/>
                <w:iCs/>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种方式解决：</w:t>
            </w:r>
            <w:r/>
          </w:p>
          <w:p>
            <w:pPr>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（1）向甲方所在地仲裁委员会申请仲裁，仲裁地点为甲方所在地；</w:t>
            </w:r>
            <w:r/>
          </w:p>
          <w:p>
            <w:pPr>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（2）向甲方所在地人民法院起诉。</w:t>
            </w:r>
            <w:r/>
          </w:p>
        </w:tc>
      </w:tr>
      <w:tr>
        <w:trPr>
          <w:trHeight w:val="770"/>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第23.1款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其他专用条款</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bCs/>
                <w:color w:val="000000"/>
                <w:sz w:val="24"/>
                <w:szCs w:val="24"/>
                <w:highlight w:val="non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（2）合同其他未尽事宜及与招标文件有矛盾之处，以招标文件[项目编号：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]为准。</w:t>
            </w:r>
            <w:r/>
          </w:p>
        </w:tc>
      </w:tr>
    </w:tbl>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第四节 合同附件</w:t>
      </w:r>
      <w:r/>
    </w:p>
    <w:p>
      <w:pPr>
        <w:ind w:firstLine="24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合同附件1：技术规格和技术性能</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(见乙方投标文件中《所投产品的技术规格》。)</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合同附件2：售后服务</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(见乙方投标文件中《售后服务方案》。)</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合同附件3：供货范围和价格清单</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(见乙方投标文件中《开标一览表》和《分项价格表》。)</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合同附件4：验收标准（验收要求、验收标准和程序）</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合同附件5：采购需求</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合同附件6：项目实施</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(见乙方投标文件中《项目实施方案》。)</w:t>
      </w:r>
      <w:r/>
    </w:p>
    <w:p>
      <w:pPr>
        <w:ind w:firstLine="560"/>
        <w:keepLines w:val="0"/>
        <w:keepNext w:val="0"/>
        <w:pageBreakBefore w:val="0"/>
        <w:spacing w:line="24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23"/>
        <w:rPr>
          <w:rFonts w:hint="eastAsia" w:ascii="仿宋" w:hAnsi="仿宋" w:eastAsia="仿宋" w:cs="仿宋"/>
          <w:color w:val="000000"/>
        </w:rPr>
        <w:sectPr>
          <w:headerReference w:type="default" r:id="rId9"/>
          <w:footerReference w:type="default" r:id="rId10"/>
          <w:footerReference w:type="even" r:id="rId11"/>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color w:val="000000"/>
        </w:rPr>
      </w:r>
      <w:r/>
    </w:p>
    <w:p>
      <w:pPr>
        <w:pStyle w:val="723"/>
        <w:rPr>
          <w:rFonts w:hint="eastAsia" w:ascii="仿宋" w:hAnsi="仿宋" w:eastAsia="仿宋" w:cs="仿宋"/>
          <w:color w:val="000000"/>
        </w:rPr>
      </w:pPr>
      <w:r>
        <w:rPr>
          <w:rFonts w:hint="eastAsia" w:ascii="仿宋" w:hAnsi="仿宋" w:eastAsia="仿宋" w:cs="仿宋"/>
          <w:color w:val="000000"/>
        </w:rPr>
        <w:t xml:space="preserve">第六章  采购需求</w:t>
      </w:r>
      <w:bookmarkEnd w:id="10"/>
      <w:r/>
      <w:bookmarkEnd w:id="11"/>
      <w:r/>
      <w:r/>
    </w:p>
    <w:p>
      <w:pPr>
        <w:pStyle w:val="797"/>
        <w:ind w:firstLine="602"/>
        <w:keepLines w:val="0"/>
        <w:keepNext w:val="0"/>
        <w:pageBreakBefore w:val="0"/>
        <w:spacing w:line="4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一、采购标的</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1、采购人：徐州生物工程职业技术学院</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2、项目名称：徐州生物工程职业技术学院大学生活动中心舞美设备采购与安装项目。</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3、采购标的：具体详见本招标文件第六章《采购需求》中“主要技术参数”。</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4、本次采购的为非进口产品。</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、项目采购需求说明：</w:t>
      </w:r>
      <w:r>
        <w:rPr>
          <w:rFonts w:hint="eastAsia" w:ascii="仿宋" w:hAnsi="仿宋" w:eastAsia="仿宋" w:cs="仿宋"/>
          <w:color w:val="000000"/>
          <w:sz w:val="28"/>
          <w:szCs w:val="28"/>
          <w:highlight w:val="none"/>
          <w:lang w:val="en-US" w:eastAsia="zh-CN"/>
        </w:rPr>
        <w:t xml:space="preserve">徐州生物工程职业技术学院大学生活动中心舞美设备采购与安装，1批</w:t>
      </w:r>
      <w:r>
        <w:rPr>
          <w:rFonts w:hint="eastAsia" w:ascii="仿宋" w:hAnsi="仿宋" w:eastAsia="仿宋" w:cs="仿宋"/>
          <w:color w:val="000000"/>
          <w:sz w:val="28"/>
          <w:szCs w:val="28"/>
          <w:highlight w:val="none"/>
        </w:rPr>
        <w:t xml:space="preserve">。</w:t>
      </w:r>
      <w:r/>
    </w:p>
    <w:p>
      <w:pPr>
        <w:pStyle w:val="969"/>
        <w:ind w:firstLine="560"/>
        <w:spacing w:line="500" w:lineRule="exact"/>
        <w:rPr>
          <w:rFonts w:hint="eastAsia" w:ascii="仿宋" w:hAnsi="仿宋" w:eastAsia="仿宋" w:cs="仿宋"/>
          <w:b/>
          <w:bCs/>
          <w:color w:val="000000"/>
          <w:sz w:val="28"/>
          <w:szCs w:val="28"/>
          <w:highlight w:val="none"/>
          <w:u w:val="single"/>
          <w:lang w:eastAsia="zh-CN" w:bidi="ar"/>
        </w:rPr>
      </w:pPr>
      <w:r>
        <w:rPr>
          <w:rFonts w:hint="eastAsia" w:ascii="仿宋" w:hAnsi="仿宋" w:eastAsia="仿宋" w:cs="仿宋"/>
          <w:b/>
          <w:bCs/>
          <w:color w:val="000000"/>
          <w:sz w:val="28"/>
          <w:szCs w:val="28"/>
          <w:highlight w:val="none"/>
          <w:lang w:val="en-US" w:eastAsia="zh-CN"/>
        </w:rPr>
        <w:t xml:space="preserve">6、</w:t>
      </w:r>
      <w:r>
        <w:rPr>
          <w:rFonts w:hint="eastAsia" w:ascii="仿宋" w:hAnsi="仿宋" w:eastAsia="仿宋" w:cs="仿宋"/>
          <w:b/>
          <w:bCs/>
          <w:color w:val="000000"/>
          <w:sz w:val="28"/>
          <w:szCs w:val="28"/>
          <w:highlight w:val="none"/>
        </w:rPr>
        <w:t xml:space="preserve">本项目</w:t>
      </w:r>
      <w:r>
        <w:rPr>
          <w:rFonts w:hint="eastAsia" w:ascii="仿宋" w:hAnsi="仿宋" w:eastAsia="仿宋" w:cs="仿宋"/>
          <w:b/>
          <w:bCs/>
          <w:color w:val="000000"/>
          <w:sz w:val="28"/>
          <w:szCs w:val="28"/>
          <w:highlight w:val="none"/>
          <w:u w:val="none"/>
        </w:rPr>
        <w:t xml:space="preserve">核心产品</w:t>
      </w:r>
      <w:r>
        <w:rPr>
          <w:rFonts w:hint="eastAsia" w:ascii="仿宋" w:hAnsi="仿宋" w:eastAsia="仿宋" w:cs="仿宋"/>
          <w:b/>
          <w:bCs/>
          <w:color w:val="000000"/>
          <w:sz w:val="28"/>
          <w:szCs w:val="28"/>
          <w:highlight w:val="none"/>
          <w:u w:val="single"/>
        </w:rPr>
        <w:t xml:space="preserve">为</w:t>
      </w:r>
      <w:r>
        <w:rPr>
          <w:rFonts w:hint="eastAsia" w:ascii="仿宋" w:hAnsi="仿宋" w:eastAsia="仿宋" w:cs="仿宋"/>
          <w:b/>
          <w:bCs/>
          <w:color w:val="000000"/>
          <w:sz w:val="28"/>
          <w:szCs w:val="28"/>
          <w:highlight w:val="none"/>
          <w:u w:val="single"/>
          <w:lang w:eastAsia="zh-CN"/>
        </w:rPr>
        <w:t xml:space="preserve">：</w:t>
      </w:r>
      <w:r>
        <w:rPr>
          <w:rFonts w:hint="eastAsia" w:ascii="仿宋" w:hAnsi="仿宋" w:eastAsia="仿宋" w:cs="仿宋"/>
          <w:b/>
          <w:bCs/>
          <w:i w:val="0"/>
          <w:iCs w:val="0"/>
          <w:color w:val="000000"/>
          <w:sz w:val="28"/>
          <w:szCs w:val="28"/>
          <w:highlight w:val="none"/>
          <w:u w:val="single"/>
          <w:lang w:val="en-US" w:eastAsia="zh-CN" w:bidi="ar"/>
        </w:rPr>
        <w:t xml:space="preserve">一、大报告厅系统</w:t>
      </w:r>
      <w:r>
        <w:rPr>
          <w:rFonts w:hint="eastAsia" w:ascii="仿宋" w:hAnsi="仿宋" w:eastAsia="仿宋" w:cs="仿宋"/>
          <w:b/>
          <w:bCs/>
          <w:color w:val="000000"/>
          <w:sz w:val="28"/>
          <w:szCs w:val="28"/>
          <w:highlight w:val="none"/>
          <w:u w:val="single"/>
          <w:lang w:eastAsia="zh-CN" w:bidi="ar"/>
        </w:rPr>
        <w:t xml:space="preserve">中的“</w:t>
      </w:r>
      <w:r>
        <w:rPr>
          <w:rFonts w:hint="eastAsia" w:ascii="仿宋" w:hAnsi="仿宋" w:eastAsia="仿宋" w:cs="仿宋"/>
          <w:b/>
          <w:bCs/>
          <w:color w:val="000000"/>
          <w:sz w:val="28"/>
          <w:szCs w:val="28"/>
          <w:highlight w:val="none"/>
          <w:u w:val="single"/>
          <w:lang w:bidi="ar"/>
        </w:rPr>
        <w:t xml:space="preserve">左右主扩声线阵列扬声器</w:t>
      </w:r>
      <w:r>
        <w:rPr>
          <w:rFonts w:hint="eastAsia" w:ascii="仿宋" w:hAnsi="仿宋" w:eastAsia="仿宋" w:cs="仿宋"/>
          <w:b/>
          <w:bCs/>
          <w:color w:val="000000"/>
          <w:sz w:val="28"/>
          <w:szCs w:val="28"/>
          <w:highlight w:val="none"/>
          <w:u w:val="single"/>
          <w:lang w:eastAsia="zh-CN" w:bidi="ar"/>
        </w:rPr>
        <w:t xml:space="preserve">”</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7、本项目不属于专门面向中小微企业采购的项目。</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lang w:val="en-US" w:eastAsia="zh-CN"/>
        </w:rPr>
        <w:t xml:space="preserve">8、徐州生物工程职业技术学院大学生活动中心舞美设备采购与安装</w:t>
      </w:r>
      <w:r>
        <w:rPr>
          <w:rFonts w:hint="eastAsia" w:ascii="仿宋" w:hAnsi="仿宋" w:eastAsia="仿宋" w:cs="仿宋"/>
          <w:color w:val="000000"/>
          <w:sz w:val="28"/>
          <w:szCs w:val="28"/>
          <w:highlight w:val="none"/>
          <w:lang w:eastAsia="zh-CN"/>
        </w:rPr>
        <w:t xml:space="preserve">项目</w:t>
      </w:r>
      <w:r>
        <w:rPr>
          <w:rFonts w:hint="eastAsia" w:ascii="仿宋" w:hAnsi="仿宋" w:eastAsia="仿宋" w:cs="仿宋"/>
          <w:color w:val="000000"/>
          <w:sz w:val="28"/>
          <w:szCs w:val="28"/>
          <w:highlight w:val="none"/>
          <w:lang w:val="en-US" w:eastAsia="zh-CN"/>
        </w:rPr>
        <w:t xml:space="preserve">采购</w:t>
      </w:r>
      <w:r>
        <w:rPr>
          <w:rFonts w:hint="eastAsia" w:ascii="仿宋" w:hAnsi="仿宋" w:eastAsia="仿宋" w:cs="仿宋"/>
          <w:color w:val="000000"/>
          <w:sz w:val="28"/>
          <w:szCs w:val="28"/>
          <w:highlight w:val="none"/>
        </w:rPr>
        <w:t xml:space="preserve">对应的中小企业划分标准所属行业为</w:t>
      </w:r>
      <w:r>
        <w:rPr>
          <w:rFonts w:hint="eastAsia" w:ascii="仿宋" w:hAnsi="仿宋" w:eastAsia="仿宋" w:cs="仿宋"/>
          <w:color w:val="000000"/>
          <w:sz w:val="28"/>
          <w:szCs w:val="28"/>
          <w:highlight w:val="none"/>
          <w:u w:val="single"/>
        </w:rPr>
        <w:t xml:space="preserve">工业。</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9"/>
        <w:ind w:firstLine="562"/>
        <w:spacing w:line="500" w:lineRule="exact"/>
        <w:rPr>
          <w:rFonts w:hint="eastAsia" w:ascii="仿宋" w:hAnsi="仿宋" w:eastAsia="仿宋" w:cs="仿宋"/>
          <w:color w:val="000000"/>
          <w:sz w:val="30"/>
          <w:szCs w:val="30"/>
          <w:lang w:val="en-US" w:eastAsia="zh-CN" w:bidi="ar-SA"/>
        </w:rPr>
      </w:pP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30"/>
          <w:szCs w:val="30"/>
          <w:lang w:val="en-US" w:eastAsia="zh-CN" w:bidi="ar-SA"/>
        </w:rPr>
        <w:t xml:space="preserve">二、采购项目预算金额</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本项目不接受超过</w:t>
      </w:r>
      <w:r>
        <w:rPr>
          <w:rFonts w:hint="eastAsia" w:ascii="仿宋" w:hAnsi="仿宋" w:eastAsia="仿宋" w:cs="仿宋"/>
          <w:color w:val="000000"/>
          <w:sz w:val="28"/>
          <w:szCs w:val="28"/>
          <w:highlight w:val="none"/>
          <w:u w:val="single"/>
          <w:lang w:val="en-US" w:eastAsia="zh-CN"/>
        </w:rPr>
        <w:t xml:space="preserve">440万元</w:t>
      </w:r>
      <w:r>
        <w:rPr>
          <w:rFonts w:hint="eastAsia" w:ascii="仿宋" w:hAnsi="仿宋" w:eastAsia="仿宋" w:cs="仿宋"/>
          <w:color w:val="000000"/>
          <w:sz w:val="28"/>
          <w:szCs w:val="28"/>
          <w:highlight w:val="none"/>
        </w:rPr>
        <w:t xml:space="preserve">人民币（采购项目预算金额）的投标报价。</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报价应包括全部货物及伴随工程和服务的相应价格及相关税费、运输到指定地点的装运费用、安装调试、培训、售后服务等其他有关的所有费用，包括但不限于人工、材料、机械、管理、维护、保险、利润、税金、</w:t>
      </w:r>
      <w:r>
        <w:rPr>
          <w:rFonts w:hint="eastAsia" w:ascii="仿宋" w:hAnsi="仿宋" w:eastAsia="仿宋" w:cs="仿宋"/>
          <w:color w:val="000000"/>
          <w:sz w:val="28"/>
          <w:szCs w:val="28"/>
          <w:highlight w:val="none"/>
          <w:lang w:val="en-US" w:eastAsia="zh-CN"/>
        </w:rPr>
        <w:t xml:space="preserve">招标代理服务费、</w:t>
      </w:r>
      <w:r>
        <w:rPr>
          <w:rFonts w:hint="eastAsia" w:ascii="仿宋" w:hAnsi="仿宋" w:eastAsia="仿宋" w:cs="仿宋"/>
          <w:color w:val="000000"/>
          <w:sz w:val="28"/>
          <w:szCs w:val="28"/>
          <w:highlight w:val="none"/>
        </w:rPr>
        <w:t xml:space="preserve">政策性文件规定及合同包含的所有风险、责任等各项应有费用</w:t>
      </w:r>
      <w:r>
        <w:rPr>
          <w:rFonts w:hint="eastAsia" w:ascii="仿宋" w:hAnsi="仿宋" w:eastAsia="仿宋" w:cs="仿宋"/>
          <w:color w:val="000000"/>
          <w:sz w:val="28"/>
          <w:szCs w:val="28"/>
          <w:highlight w:val="none"/>
          <w:lang w:val="en-US" w:eastAsia="zh-CN"/>
        </w:rPr>
        <w:t xml:space="preserve">,且合同履行期间项目实施相关费用不因市场变化因素而变动。</w:t>
      </w:r>
      <w:r>
        <w:rPr>
          <w:rFonts w:hint="eastAsia" w:ascii="仿宋" w:hAnsi="仿宋" w:eastAsia="仿宋" w:cs="仿宋"/>
          <w:color w:val="000000"/>
          <w:sz w:val="28"/>
          <w:szCs w:val="28"/>
          <w:highlight w:val="none"/>
        </w:rPr>
        <w:t xml:space="preserve">用户不再支付报价以外的任何费用。</w:t>
      </w:r>
      <w:r/>
    </w:p>
    <w:p>
      <w:pPr>
        <w:pStyle w:val="969"/>
        <w:ind w:firstLine="562"/>
        <w:spacing w:line="500" w:lineRule="exact"/>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30"/>
          <w:szCs w:val="30"/>
          <w:lang w:val="en-US" w:eastAsia="zh-CN" w:bidi="ar-SA"/>
        </w:rPr>
        <w:t xml:space="preserve">三、主要技术要求</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以下“</w:t>
      </w: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28"/>
          <w:szCs w:val="28"/>
          <w:highlight w:val="none"/>
          <w:lang w:val="en-US" w:eastAsia="zh-CN"/>
        </w:rPr>
        <w:t xml:space="preserve">”标为实质性响应指标，有一项不满足做无效投标处理。“</w:t>
      </w: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28"/>
          <w:szCs w:val="28"/>
          <w:highlight w:val="none"/>
          <w:lang w:val="en-US" w:eastAsia="zh-CN"/>
        </w:rPr>
        <w:t xml:space="preserve">”标为重要响应指标，其他为一般响应指标。</w:t>
      </w:r>
      <w:r>
        <w:rPr>
          <w:rFonts w:hint="eastAsia" w:ascii="仿宋" w:hAnsi="仿宋" w:eastAsia="仿宋" w:cs="仿宋"/>
          <w:b/>
          <w:bCs/>
          <w:color w:val="000000"/>
          <w:sz w:val="28"/>
          <w:szCs w:val="28"/>
          <w:highlight w:val="none"/>
          <w:lang w:eastAsia="zh-CN"/>
        </w:rPr>
        <w:t xml:space="preserve">）</w:t>
      </w:r>
      <w:r/>
    </w:p>
    <w:tbl>
      <w:tblPr>
        <w:tblStyle w:val="697"/>
        <w:tblW w:w="9722"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056"/>
        <w:gridCol w:w="7056"/>
        <w:gridCol w:w="696"/>
        <w:gridCol w:w="457"/>
      </w:tblGrid>
      <w:tr>
        <w:trPr>
          <w:trHeight w:val="285"/>
        </w:trPr>
        <w:tc>
          <w:tcPr>
            <w:gridSpan w:val="5"/>
            <w:tcW w:w="972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一、大报告厅系统（场地尺寸：44米*31米*10米，舞台尺寸：18米*13米，舞台高度1米）</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285"/>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1、音频系统</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2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w:t>
            </w:r>
            <w:r/>
          </w:p>
        </w:tc>
        <w:tc>
          <w:tcPr>
            <w:tcW w:w="7056"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单元结构：三分频同轴，≥2*8寸(低音单元)+ ≥1*3寸(中音单元)+≥ 1*2寸(高音单元)；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2、系统带宽（频率响应）：不劣于70 Hz-18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3、标称覆盖角（指向性）水平H x 垂直V：≥90°×≥10°；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4、高音号角垂直指向≥10°，并根据现场需求选配不同覆盖角度型号；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6、系统峰值声压级（1m, 自由声场）：≥130dB；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7、功率容量：连续功率 MHF：≥150W/LF：≥700W； </w:t>
            </w:r>
            <w:r/>
          </w:p>
          <w:p>
            <w:pPr>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2-7项，中标后签订合同前需提供带有“CMA”或“CNAS”标志的检测报告原件（提供承诺，格式自拟）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316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中置线阵列扬声器</w:t>
            </w:r>
            <w:r/>
          </w:p>
        </w:tc>
        <w:tc>
          <w:tcPr>
            <w:tcW w:w="7056"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单元结构：三分频同轴，≥2*8寸(低音单元)+ ≥1*3寸(中音单元)+≥ 1*2寸(高音单元)；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 ：不劣于70 Hz-18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3、标称覆盖角（指向性）水平H x 垂直V：≥90°×≥10°；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4、高音号角垂直指向≥10°，并根据现场需求选配不同覆盖角度型号；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6、系统峰值声压级（1m, 自由声场）：≥130dB；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7、功率容量：连续功率 MHF：≥150W/LF：≥700W；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p>
          <w:p>
            <w:pPr>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2-7项，中标后签订合同前需提供带有“CMA”或“CNAS”标志的检测报告原件（提供承诺，格式自拟）；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2401"/>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线阵低频扬声器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1、单元结构：≥1*18"低音音箱；铝质盆架、防水纸盆；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2、系统带宽（频率响应）：（±3dB标准时）≤36-≥98 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自由声场）：≥133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5、功率容量：持续功率≥1200W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2-5，中标后签订合同前需提供带有“CMA”或“CNAS”标志的检测报告原件（提供承诺，格式自拟）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228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拉声像扬声器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 ：≤45Hz -≥20kHz；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 ：≥99dB；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3、系统最大声压级：≥127dB；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4、标称覆盖角（指向性）水平H x 垂直V：≥90°×60°；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5、功率容量：持续功率≥700W；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6、单元结构：≥1*15 寸（低音单元）+≥1*3寸（高音单元）；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1-5，中标后签订合同前需提供带有“CMA”或“CNAS”标志的检测报告原件（提供承诺，格式自拟）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259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同轴流动返听扬声器</w:t>
            </w:r>
            <w:r/>
          </w:p>
        </w:tc>
        <w:tc>
          <w:tcPr>
            <w:tcW w:w="7056" w:type="dxa"/>
            <w:vAlign w:val="top"/>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单元结构：≥1*15寸（低音单元）+≥1*2.87寸（约73mm）（高音单元）；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2、系统带宽（频率范围）：≤25Hz</w:t>
            </w:r>
            <w:r>
              <w:rPr>
                <w:rStyle w:val="984"/>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自由声场）：≥126dB；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5、标称覆盖角：水平≥60° × 垂直≥60；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7、分频点设计应满足整体声学性能要求，不限定具体数值</w:t>
            </w:r>
            <w:r/>
          </w:p>
          <w:p>
            <w:pPr>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lang w:val="en-US" w:eastAsia="zh-CN" w:bidi="ar-SA"/>
              </w:rPr>
              <w:t xml:space="preserve">8、</w:t>
            </w:r>
            <w:r>
              <w:rPr>
                <w:rFonts w:hint="eastAsia" w:ascii="仿宋" w:hAnsi="仿宋" w:eastAsia="仿宋" w:cs="仿宋"/>
                <w:i w:val="0"/>
                <w:iCs w:val="0"/>
                <w:color w:val="000000"/>
                <w:sz w:val="24"/>
                <w:szCs w:val="24"/>
                <w:u w:val="none"/>
                <w:lang w:val="en-US" w:eastAsia="zh-CN" w:bidi="ar"/>
              </w:rPr>
              <w:t xml:space="preserve">▲提供宣传彩页（或官网截图）及能够分辨产品单元数量正面实拍图。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2-6，中标后签订合同前需提供带有“CMA”或“CNAS”标志的检测报告原件（提供承诺，格式自拟）；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171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固定返听扬声器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1、系统带宽（频率响应）：（±3dB标准时）≤65Hz-≥18kHz；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自由声场）：≥129dB；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4、单元结构：1*12寸（低音单元）+1*2寸（高音单元）；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5、功率容量：持续功率：≥390w；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6、分频点设计应满足整体声学性能要求，不限定具体数值。</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9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1、单元结构：≥1*15寸（低音单元）+≥1*2.87寸（高音单元）；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2、系统带宽（频率范围）(-10dB标准时)：≤25Hz</w:t>
            </w:r>
            <w:r>
              <w:rPr>
                <w:rStyle w:val="984"/>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自由声场）：≥126dB；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5、标称覆盖角：水平≥60° × 垂直≥60；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7、分频点设计应满足整体声学性能要求，不限定具体数值</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2-6，中标后签订合同前需提供带有“CMA”或“CNAS”标志的检测报告原件（提供承诺，格式自拟）；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474"/>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超重低音扬声器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1、系统带宽（频率响应）：（-10dB标准）≤35Hz-≥190Hz；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自由声场）：≥138dB；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4、功率容量：连续功率≥1900W；</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5、单元结构：≥2*18寸（低音单元）；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1-4，中标后签订合同前需提供带有“CMA”或“CNAS”标志的检测报告原件（提供承诺，格式自拟）。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228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左右、中置主扩声同轴线阵列扬声器高频四通道数字功率放大器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1、输出功率：8Ω立体声 ≥4×340W，4Ω立体声 ≥4×580W，2Ω立体声 ≥4×1000W；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 ≥4×4 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8、保护：电源欠压、输出直流、过热、温度功率控制、过载功率控制。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17"/>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左右、中置主扩声同轴线阵列扬声器低频两通道数字功率放大器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1、8Ω/立体声：≥2×2000 W；4Ω/立体声：≥2×3400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2、定压输出：≥2× 2400 W /70 V；定压输出：≥2 × 3400 W /100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3、RMS输出电压（THD = 1%,1 kHz）：≥120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≥2×2通道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10、保护：电源欠压、输出直流、过热、温度功率控制、过载功率控制。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线阵低频两通道数字功率放大器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1、8Ω/立体声：≥2×2000 W；4Ω/立体声：≥2×3400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2、定压输出：≥2× 2400 W /70 V；定压输出：≥2 × 3400 W /100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3、RMS输出电压（THD = 1%,1 kHz）：≥120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≥2×2通道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10、保护：电源欠压、输出直流、过热、温度功率控制、过载功率控制。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89"/>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拉声像扬声器功率放大器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流动、固定、台唇返听扬声器功率放大器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超重低音扬声器功率放大器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388"/>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16路数字音频处理器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1、DSP芯片：Ti 450MHz FLOPS双核；USB2.0 录制/播放：支持；中控指令集生成器：支持；核心算法：反馈消除（AFC），回声消除 (AEC)；输入处理：前级放大、信号发生器、扩展器、压缩器、≥5段参量均衡、反相、自动增益、自动混音；输出处理：≥31段图示均衡器、延时器、分频器、高低通滤波器、限幅器、反相；</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2、矩阵混音：输入和输出信号矩阵式混音，混音分量控制；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3、自动摄像跟踪功能：支持；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4、场景预设：≥100组自定义设置；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5、模拟输入通道：≥16，模拟输出通道：≥16；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6、Ethernet控制端口：≥1；RS232：≥1；RS485：≥1；GPIO：≥8；</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7、支持WIFI联机；输入增益放大：-24～27dB，3dB一级共17级；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8、其他：平衡/非平衡,输入/输出支持；MIC\LINE,输入/输出支持；每路独立48V幻象供电开关；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9、软件及操作系统：控制处理软件及APP/Windows32位/Windows64位/IOS/android/机器内置客户端，支持联机下载；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10、采样：48k@24bit；幻象供电：DC48V；频率响应：≤20Hz ～ ≥20kHz，±1dB；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11、THD+N：≤0.004% @1k，4dBu；数模动态范围（（A加权））：≥120dB；模数动态范围（（A加权））：≥120dB；输入阻抗（平衡式）：≥20kΩ；输出阻抗（平衡式）：≤100Ω；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12、EIN（（A加权））：≤-131 dBu；通道隔离度：≥107dB @1k Hz，4dBu；共模抑制：≥70dB @80 Hz；最大输入电平：≥18dBu；最大输出电平：≥18dBu；本底噪声：≤-90dBu；系统延时：≤3ms。</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60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32路数字调音台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1、≥32路话筒输入通道，≥8个辅助输入通道，≥8个效果；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2、≥16个AUX通道，≥6个矩阵，LCR母线；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3、内部效果器（立体声/单声道）：≥8/16；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4、场景文件(场景快照/场景快照列表)：≥100/50；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5、储存点（包括处理参数和推子）：≥100；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6、信号处理能力：≥40位的浮点处理；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7、≥7英寸彩色显示屏。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32路舞台接口箱</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1、≥32个话放输入通道；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2、≥16个模拟平行XLR输出通道。</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08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有源同轴监听音箱</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1、系统带宽（频率响应）：≤65Hz – ≥20kHz ± 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2、最大声压级：≥110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3、分频器类型：≥2 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4、交越频率：≥1.5kHz；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5、传感器：≥1 *6.5 英寸+低频驱动器≥ 1 x 1 英寸高频驱动器；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6、最大输出功率：≥300 瓦。</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86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频系统该系统范围内所有设备所需要的串线及配件，本项目为交钥匙工程，不允许额外增加任何费用）；包含但不限于：≥200芯音箱线、≥300芯音箱线、六类屏蔽网线、话筒线、电源线≥RVV3*2.5㎡、电源线≥RVV3*1.5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570"/>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2、音源及拾音器</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70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一拖一无线手持话筒套装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427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一拖一无线头戴话筒套装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4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4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无源天线分配器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1、无源天线分配器/组合器套件。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228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大振膜话筒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1、最大声压：≥150dB；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2、信噪比：≥80dB；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3、指向性：心型；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4、声道：单声道；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5、频响范围：≥20Hz-≤20kHz；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6、灵敏度：≥25mV/Pa；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8、等效噪音：≤14dB/A，25dB（CCIR 468-3）。</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171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鼓用话筒套装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套装包括：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1、≥7条线和1个便携袋；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2、≥1只底鼓话筒；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3、≥3只鼓用话筒、≥3只鼓用话筒支架；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4、≥1只乐器话筒；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5、≥2只乐器话筒。</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9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5、输入阻抗：6000，平衡输出阻抗：6000，平衡。</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无线内通系统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1、电源：锂电池；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2、频率范围：≤403 -≥ 470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3、频道数量：≥16；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4、电池容量：≥2400mAh。</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有源指向天线≥SYV50-5-1、六类屏蔽网线、电源线≥RVV3*1.5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570"/>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3、摄像跟踪会议系统</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421"/>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有线方杆电容会议话筒</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1、音头：≥20mm镀金电容音头；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2、指向性：超心型；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3、响应：≤20-≥20,000Hz；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4、灵敏度：≥-30dB，31.6mV/Pa(0dB=1V/Pa@1kHz)；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6、最大声压级：≥130dB(1%THD@1kHz)；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7、等效噪声级：≤18dB  （A计权或A加权）；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8、信噪比：≥76dB  （A计权或A加权）；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9、幻象供电：48V DC；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2-8，中标后签订合同前需提供带有“CMA”或“CNAS”标志的检测报告原件（提供承诺，格式自拟）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智能混音器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1、输入通道数：（平衡）≥10；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2、输出通道数：（平衡）≥2；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3、电源供应：AC17V+AC17V 500MA/50Hz；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4、幻象电源：DC48V；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5、频率响应：≤20Hz-≥20kHz；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6、动态范围：（20Hz-20kHz ）≥ 117dB；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7、总谐波失真：@1kHz -20BFS输出0dB &lt;0.1%；</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8、输出削波电平：Line(线路) +20dBv辅助 0dBv麦克风-26dBV；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9、输出阻抗：（平衡）150kΩ；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10、输入阻抗：MIC(平衡) 4.3KΩ AUX 50KΩ。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70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演讲台有线鹅颈会议话筒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1、频率响应：≥100-≤16,000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2、低截：80 Hz, 18 dB/octave；</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3、阻抗：250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4、开路灵敏度：≥ -43 dB（7.0 mV）re 1 V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5、元件：固定式充电背板，永久极性电容收音头；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6、输入声压级上限：≤140 dB SPL，1 kHz @ c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7、指向性：单指向性；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8、动态范围 (典型值)：≥111 dB，1 kHz @ Max SPL；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9、信噪比：≥65 dB, 1 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10、输出阻抗：360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11、插入损耗：1 dB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12、静音衰减：≥55 dB @ 1000Hz，≥35 dB @ 100Hz， ≥30 dB @ 50Hz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13、话筒座配置：XLRF 卡农母座, XLRM 卡农公座, 开关带LED指示灯。</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矮推车式提词系统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1、提词器：尺寸：≥1233mm*718mm,接口≥2*HDMI；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2、矮推车：冷轧钢板材料；倾斜角度0-90度；内置束线，一体式底座。</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1、满足要求（此项包含摄像跟踪会议系统该系统范围内所有设备所需要的串线及配件，本项目为交钥匙工程，不允许额外增加任何费用）；包含但不限于：六类屏蔽网线、电源线≥RVV3*2.5㎡等。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285"/>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4、灯光设备</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28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LED变焦成像灯）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27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切割灯）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2、光源：LED ≥800W模组；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3、额定功率：≥1000W；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4、LED寿命：≥20000h；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5、色温：7200K；显色指数：标准模式Ra≥75,高显模式Ra≥90；光通量：五米流明55000；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6、信号接口：三芯卡侬座；控制方式：DMX512、RDM；通道模式：≥35个国际标准DMX512通道；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7、显示系统：LCD显示屏，可中英文切换；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8、固定颜色：≥5种颜色+ 白光；混色系统：独立的CMY混色系统；色温调节：独立的CTO2800-6000K线性调节；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棱镜盘：≥独立8棱镜可正反旋转；效果盘：超炫模拟动感窜动的火焰，潺潺流水等动态效果；固定图案：≥6个固定图案片+白圆；旋转玻璃图案：≥7个图案片（可插拔）+白圆；切割系统：≥4个独立切割片，每片可单独闭光，可旋转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10、雾化系统：独立0~100%线性雾化系统；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11、四合一光学镜头设计：(BEAM光束模式) ： 2°～6°；(SPOT 图案模式)：10°～48°； (WASH染色模式)：0°～52°。四种模式可任意切换，实现光束、染色、图案、切割四合一功能；调光系统：0-100%线性调节；调光频率：1200Hz到2400Hz可调，4K相机拍摄不闪烁；水平扫描：≥540° (16 bit精度扫描)；垂直扫描≥：270° (16 bit精度扫描)；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63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左右耳光(LED变焦成像灯）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1、全静音：输入电压：AC100-240V，50/60Hz；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659"/>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 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99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一道顶光（LED版平板灯）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11、防护等级：≥IP20；工作环境温度监控：-20℃—35℃，内置温度保护传感器过温保护。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557"/>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二道顶光（LED版平板灯）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二道顶光（三合一电脑摇头灯）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12"/>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三道顶光（LED版平板灯）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 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9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地面摇头灯（三合一电脑摇头灯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28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LED 追光灯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1、≥600瓦LED光源；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13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电脑灯光控制台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 个 DMX 输出输入口, 最高扩展可支持≥ 65536 个通道参数；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 1 个≥ 12.1 英寸触摸屏+1 个≥ 9 英寸触摸屏；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4、可外接 ≥1 个触摸显示屏(DVI)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5、≥10 个高精度电动推杆（60mm）；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6、≥2 个 AB 场电动推杆(100mm)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7、≥1 个主控电动推杆；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 个耐磨编码器（带 Push 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9、≥1 个高灵敏轨迹球；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10、≥1 个千兆以太网口；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11、≥4 个 USB2.0 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12、独立橙色背光按键；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13、MIDI 输入输出接口；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14、LTC/SMPTE 时间码；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15、支持扩展推杆侧翼；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16、≥1 个 LED 鹅颈灯插口；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17、AC 电源：90-240V,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18、支持中英文两种语言。</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71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DMX网络扩展器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1、实时计算，自带≥ 8 个 DMX512 输出口，可同时输出 ≥4,096 控制参数；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 个内置触摸式指令屏幕(7"SVGA)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3、≥1 个千兆以太网接口；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4、≥2 个 USB 2.0 连接接口；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6、中英文双语种操作界面。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DMX信号放大器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路输入，≥8 路输出或≥ 2 路输入，各 ≥4 路输出 每路输入输出光电隔离；</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2、输出信号 LED 指示灯 卡侬式电源输入，独立电源开关；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3、≥2 个电源接口，方便进行级联 三芯(DMX-EXP3XDS8)或五芯(DMX-EXP5XDS8)可选 标准机架式安装；</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4、输入电压：AC 100V-240V ,50Hz/60Hz 保险丝：1A/250V 。</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68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1、智能音乐解析：内置智能分析技术，实现对匹配音乐的音色音调的零延迟智能同步；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2、声光电影联动：基于OSC/UDP高级控制协议，实现灯光、音乐、视频播放器的三维一体深度同步；系统可根据PRS分析数据，实时驱动视频的播放速度与节奏变换；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i5处理器、≥4GB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6、触摸控制：配备≥10.4英寸高清多点电容触控屏；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8、兼容性：多协议兼容，支持DMX512、Art-Net、sACN、UDP/TCP、RS232/485及多种智能定制协议，可无缝对接市面上绝大多数灯光、音视频及中控设备；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11、照射控制：配备专用追光与面光控制推杆，可对亮度、位置等进行物理推杆式控制，并设有黑场、静音等专业快捷键；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12、内容管理：可选配视频模块，可内置高清视频素材库，支持用户通过U盘等方式自由上传、分类管理自制素材，可对节目进行分类管理与管控，节目数量与单节目时长无限制，满足海量编排需求；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w:t>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2、4、8、9</w:t>
            </w:r>
            <w:r>
              <w:rPr>
                <w:rFonts w:hint="eastAsia" w:ascii="仿宋" w:hAnsi="仿宋" w:eastAsia="仿宋" w:cs="仿宋"/>
                <w:color w:val="000000"/>
                <w:sz w:val="24"/>
                <w:lang w:bidi="ar"/>
              </w:rPr>
              <w:t xml:space="preserve">，中标后签订合同前需提供带有“CMA”或“CNAS”标志的检测报告原件（提供承诺，格式自拟）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1、≥8位总控开关；≥3米 防过载。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99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电源直通柜</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1、供电：三相五线制AC380V±10％，频率50Hz±5％；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2、输入额定电流：≥400A ,最大≥48路×4KW 可用于任何负载；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3、设有总开关，过载与短路双重保护高分断空气开关；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4、三相独立电压，电流，监测，三相A.B.C指示灯指；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5、输出：≥48路X4KW；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6、外形尺寸：≥国际标准16U；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7、输入方式：≥400A犀牛插。</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3、电压：AC220V～250V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p>
        </w:tc>
      </w:tr>
      <w:tr>
        <w:trPr>
          <w:trHeight w:val="171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泡泡机</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  率 ≥300W；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2、使用电压：AC220V～250V；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4、DMX512 √  吹泡高度 7～10米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5、泡泡覆盖面积 ≥600 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6、泡泡油容量： ≥2.5 L。</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泡泡油</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p>
        </w:tc>
      </w:tr>
      <w:tr>
        <w:trPr>
          <w:trHeight w:val="228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雪花机</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 ≥1200W；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 AC220V～250V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3、油瓶容量≥ 5 L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4、雪花覆盖机积≥ 60m³；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5、线控控制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6、雪花大小调节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8、内置DMX512 √ 。</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雪花油</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p>
        </w:tc>
      </w:tr>
      <w:tr>
        <w:trPr>
          <w:trHeight w:val="171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底盒：铝材质底盒  底盒尺寸：≥175*175*65mm。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85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设备系统该系统范围内所有设备所需要的串线及配件，本项目为交钥匙工程，不允许额外增加任何费用）；包含但不限于：国标主电缆（≥ZR-YJV4*95㎡+1及≥ZR-YJV4*25㎡+1）、VV3*2.5㎡电源线、RVV3*6㎡电源线、扁平电缆≥13*2.5㎡+2*（3*0.5P）、512信号线、六类网线、网罩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855"/>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5、舞台机械及舞台幕布系统</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99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电子会标屏吊杆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设置于主舞台上空的电动景物吊杆，主要用于悬挂电子会标屏使用；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399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电动会标横幅吊杆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设置于主舞台上空的电动景物吊杆，主要用于悬挂会标横幅使用；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313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399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电动灯光吊杆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主舞台上配置电动升降灯光吊杆，完整立体的满足了会议及演出模式中灯光布置的需求；设有电缆收线筐，便于垂直电缆的收纳；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2、杆体：防撞桁架式灯杆；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7、有效载荷：≥8.0kN；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399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电动景物吊杆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设置于主舞台上空的电动景物吊杆，主要用于悬挂会议装饰物品使用，满足演出、会议及放映模式中对装饰物品悬挂的需求；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边沿幕吊杆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1、固定安装于主舞台上空的景物吊杆，主要用于悬挂边沿幕使用。</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313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583"/>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电动侧光吊杆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设置于主舞台两侧，完整立体的满足了会议及演出模式中灯光布置的需求；设有电缆收线筐，便于垂直电缆的收纳；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2、杆体：三角桁架式杆体；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3、杆体长度： ≥12.0m；（带3组目字型结构架）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4、结构架规格： ≥2.0m*1.2m；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5、尺寸：≥9.0m；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6、吊点数：≥4；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7、行程：≥9.0m；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14、安全措施：行(超)程限位装置、防冲顶保护装置、自动定位装置、相序保护装置、急停装置等。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116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耳光支架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1、固定安装在耳光室内部；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2、杆体尺寸：≥1.2m*1.8m，上下可安装2排灯具；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3、载荷：≥1.0kN/m。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7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PLC控制系统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1、PLC控制方式，可编程控制，可进行人工干预；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2、并备有完善的安全保护及应急措施；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3、控制台可单独控制一道吊杆，也可编组同时控制4道吊杆升降；</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4、定位精度:≤士3mm,带相位检测电路；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5、控制设备采用模块化设计，维修方便。(含可编辑控制器，控制软件，弱电电气设备及组件、弱电电气柜、编码器、操作台)</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310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舞台机械栅顶及全沉浸式控制系统模块造型支架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1、舞台上空安装舞台机械吊杆，需制作基础栅顶层；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栅顶层设计承重主梁共5道，承重主梁由16#工字钢制作，通过吊筋（10#槽钢）与舞台上空结构梁连接，端部与两侧墙体固定连接；若现场无法满足承重梁悬吊，可采用在立柱及圈梁上制作牛腿支撑或悬吊承重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3、滑轮梁共6道，吊架安装梁左右各2道，滑轮梁及吊架安装梁由16#工字钢制作，安装在承重梁上；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4、80*40方管次梁，安装在承重梁上，次梁间安装5#角钢，上铺钢板网；以便工作人员安装、调试及后期检修维护；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5、沉浸式模块造型根据现场的实际情况，净尺寸分别≥13.44米*7.2米；≥3.52*2.24米*2块；≥8米*3.68米；左右可移动模块吊装结构，可以实现完整模块的横向移动，角度旋转；净尺寸：≥7.2米*2.56米*4块。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含按用户图纸设计要求（强/弱电桥架、马道式钢结构、面光桥现场定制，设置在屋盖下弦合理的位置，它是舞台机械安装的必备的基础钢结构；定制承重梁，为保证栅顶钢构在水平方向作用力下的稳定性，承重梁应与建筑主体结构可靠连接）实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7、含提供大小报告厅的操作控制室（包含但不限于光控室、音控室）静电地板、安装及配套辅材，约30平方。</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380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平米</w:t>
            </w:r>
            <w:r/>
          </w:p>
        </w:tc>
      </w:tr>
      <w:tr>
        <w:trPr>
          <w:trHeight w:val="552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全沉浸式系统模块</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1、像素点间距：≤2.0mm；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2、刷新率：≥3840Hz；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3、防护性能：具有防静电、防电磁干扰、防腐蚀、防潮等功能；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4、水平视角≥170°，垂直视角≥160°；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5、模组平整度：≤0.08mm，拼接缝：≤0.08mm；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6、单元板分辨率：≥12800 Dots；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7、色温：≤1000K—≤20000K可调;色温为6500K时，100%75%50%25%档电平白场调节色温误差≤100K；</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8、平均使用寿命≥100000h, MTBF≥100000h；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在器具输入插座端与屏正面之间施加试验电压3kv/50Hz，保持1min，不应出现飞弧和击穿现象，产品能正常工作；在高海拔环境下，产品可正常工作；输入电压：支持宽压输入在96-264VAC，支持窄压输入在200-240VAC，在该范围内能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10、为了所投产品的安全性和适应性，屏体内部所用排线需符合耐高温实验、耐压测试、折弯参数测试要求，耐燃等级符合VW-1/UL94V-0；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具有SELV电路，在SELV电路中任何两个导体之间或任何一个这样的导体和地之间的电压的限值为：正常工作条件下，不超过42.4V交流峰值或60V直流值，单一故障条件下，在200ms后不超过42.4V（30V有效值）交流峰值或60V直流值，并且在200ms内其极限值不超过71V（50V有效值）交流峰值或120V直流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12、防电击等级依据GB4943.1标准，使用基本绝缘作为基本安全防护，同时使用保护连接和保护接地作为附加安全防护，达到防电击保护I类设备；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13、支持软件自定义修改分辨率，自定义分辨率，更加适合产品的使用；支持分屏操作；支持任意比例拼接素材和多图层叠加；支持无线遥控、手机遥控，一键切换视频；支持与智能播控软件一键IP连接；</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4238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块</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大幕前檐幕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1、尺寸：≥20m*1.5m*3*1；（颜色暂定枣红，最终由业主确认）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85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大幕前沿幕衬里</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1、尺寸：≥20m*2m*1*1；</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85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对开大幕衬里</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228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1、尺寸：≥22m*2.5m*3*3；（颜色暂定墨绿，最终由业主确认）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495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85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横条幕衬里</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1、尺寸：≥22m*2.5m*1*3；</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165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1、尺寸：≥3.0m*10.5m*3*6；（颜色暂定墨绿，最终由业主确认）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567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85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侧条幕衬里</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189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1、尺寸：≥12m*9.5m*3*2；（颜色暂定胡兰\会议黄，最终由业主确认）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370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拾音话筒吊装器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1、输入电压：220V 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2、信号输出接口：XRL（1-地，2-正，3-负）；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3、信号输出通道数 ：≥1路；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4、静止输入功率： ≤0.8watts；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5、最大输入功率 ：≤20watts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6、最大提升重量 ：≥1kg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7、最大噪音：≤40dB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8、提升速度：≤5m/min；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9、拾音行程：1-8m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10、定位精度：≤5mm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11、采用专业优质四芯星绞音频线，高保真、高降噪、抗拉抗折；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12、具有上升极限保护，让操作无失误；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13、具有重力感应，下降遇阻保护装置；具有无线遥控、手柄线控、RS232、RS485等多种控制方式；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604"/>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手自一体PLC电源控制箱200KW</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1、通过浪涌（冲击)抗扰度试验；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2、通过电快速瞬变脉冲群抗扰度试验；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3、通过辐射骚扰抗扰度试验；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4、通过静电放电抗扰度试验；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5、手机控制：手机人机界面控制；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6、故障记录：异常报警(高温、烟雾、漏电、过载等）；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7、通讯接口：串口+网口（MODBUS-RTU+TCP）；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9、手动控制：一键启动、停止；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10、自动控制：电脑远程控制；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11、中控控制：中控协议通讯；</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伸缩合唱台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实木伸缩移动合唱台三层，≥120-130-75cm(长宽高)，层宽≥40cm，层高25cm；材质采用优质橡胶木齿接板≥18mm厚，硬度高不开裂特性，内部使用同等厚度板做龙骨支撑具有良好的静音和支撑能力，每层平面整体可承重≥500公斤以上，三层整体承重≥1500公斤，台阶整体式不可拆装，稳定性强，台阶边为圆边防磕碰，表面采用环保无味清漆喷涂原木色，整体台阶可伸缩，一二层可收纳第三层内部，收纳后尺寸≤120-50-75cm，台阶低部每层有≥4个静音万象轮，方便轻松移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2、护栏：后护栏采用≥40mm圆管，≥1.2mm厚为主管，尺寸长≥1150mm，≥高800mm 中间护栏管采用≥20mm圆管，≥1.2mm厚；多节组合后两侧安装侧护栏。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满足要求（此项包含舞台机械及舞台幕布系统该系统范围内所有设备所需要的串线及配件，本项目为交钥匙工程，不允许额外增加任何费用）；包含但不限于：桥架、H型桥架≥100×50×0.8、国标主电缆≥ZR-YJV4*16㎡+1、≥RVV4*2.5电源线、≥RVV6*0.75限位控制线、≥RVVP4*0.75编码屏蔽线、≥RVV2*1.0抱闸线、≥RVV4*1.0操作台电源、≥RVV4*1.5电源线、六类屏蔽网线、接线端子、配电箱、导轨、地排、航空插座蓝色、航空插座、全沉浸式系统模块需要的排线、磁珠、电源线、包边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285"/>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6、中控系统</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9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可编程中央控制主机（加触控终端）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1、主频≥2GHz的32位内嵌式CPU处理器，内存≥16G；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2、主机≥10路串口，≥8路IR，≥8路I0，≥8路弱继电器，≥4个模拟量输入接口，≥2路NET口，具备可视化调试功能，可通过HDMI接口输出设备状态及管理界面；</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3、≥8路红外可编程控制接口，内置红外学习器，可以支持对周边所有红外设备的控制，且单个红外接口可以同时连接控制多个不同设备；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4、具有自定义宏功能模块，可以创建自定义宏，支持编辑宏、导入宏或导出宏操作。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5、支持远程控制，控制接口可扩展，支持一键式联动控制功能，控制软件中文界面，提供开放式可编程控制平台，支持第三方设备控制；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页版KVM，在突发事件发生时，非本地专业业务人员可通过网络远程对指挥中心相关业务电脑进行控制，实现应急处突，保障指挥调度任务顺利进行；支持通过终端web远程访问，系统数据完全本地部署，恶意扫描、账号爆破手段无法触达本地服务器，保障安全可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7、支持多种控制模式如：PC控制、IPAD、Android触摸屏、墙上面板控制等，并支持IE浏览器（无需web服务器）；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8、中控系统支持冗余热备份，支持双向反馈，可显示温度、湿度、pm2.5及周边环境状态；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多种编程语言，如图形化编程（拖拽方块）、Lua、Python脚本、类C语言化编程；支持对平台内接入的所有设备进行可视化管控，可按需记录设备的多条实时运行参数，具备数据采集能力，本地历史数据存储时间不少于90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10、支持大型组网集中管理；开放式类C语言编程，程序可上传云端；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11、≥8路独立可编程控制串口接口，≥8路弱电继电器接口和≥8路数字输入/输出IO 接口，可联动相关人体红外感应器状态，进行智能化场景切换，实现人来灯亮，人走灯灭的功能；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2、7、8、9，中标后签订合同前需提供带有“CMA”或“CNAS”标志的检测报告原件（提供承诺，格式自拟）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无线接收器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1、无线速率：≥3000M；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2、无线协议：Wi-Fi6。</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红外发射棒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1、用于控制红外遥控设备，可延长至≥100米。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系统软件单元</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1、平板终端可感知单元控制的设备的状态和数据；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2、平板终端可实时反馈光感检测、PM2.5检测、门磁检测、温度检测湿度检测等各种感应检测器的检测结果；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3、平板终端之间控制状态同步；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4、平板终端接入自动与系统同步；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5、软件自动与系统和平板终端同步；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6、支持iOS、Windows平台下对系统进行交互式控制；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7、集成音频系统、数字会议系统、视频显示系统、录播系统等系统，集成可视化管理和一体化控制为一体；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8、后期系统编程、界面编辑、脚本语言编程，多平台解析软件，可根据用户要求定制化管理界面，设置多级管理权限，软件运稳定界面友好、简学易用；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9、支持对第三方设备控制。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9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协同中控控制接收系统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单个≥16 个标准接口；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通过对Gamma表算法的优化，确保显示屏在降低亮度运行时，依然能够保持灰阶的完整性与连续性，呈现优异的低亮度高灰阶显示效果；支持亮度、色度逐点校正，提供校正低灰补偿；支持RGB三基色Gamma独立调节，通过精准的算法修正颜色跳变、偏色及白平衡漂移等问题，有效消除低灰不均匀现象，确保显示屏在全亮度、全灰阶范围内均能实现真实、准确的色彩还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2、智能串线功能：无需了解接收卡串线顺序，用户可根据屏幕闪烁提示，在软件上完成映射设置，便于设备调试；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3、异形处理：支持抽点显示与数据偏移，可完成异形屏带载，搭配专用异形发送设备时还可实现高保真图像变形显示，在异形屏幕上播放普通素材时有效避免内容缺失；</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4、一键回读：可一键回读所有配置文件信息从而快速恢复参数设置；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5、主从备份功能：为保障播出正常，支持主从备份功能，备份状态下，网络数据为双向传输；主从串联线路中，当其中一条线路出现故障时，另一条线路会及时工作，保证显示屏正常工作；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6、升级保护：为保证产品后续升级的安全性，程序升级支持断电保护功能，产品固件升级过程中发生意外断电时，产品仍可正常使用；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7、模组任意旋转：支持模组任意角度旋转，呈现不同形状，展现更多变的画面；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313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电源控制器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1、配备≥3.5寸彩色TFT-LCD显示屏，可实时显示当前电压，日期时间，信道开关状态；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2、≥8路开关通道输出，每路延时开启和关闭时间可自由设置（范围0~999秒）；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3、每通道可以独立设置开启/关闭，方便设备灵活使用；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4、每通道独立滤波器，提供稳定，无干忧电流；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5、内置时钟芯片，可根据日期时间定时设置自动开启/关闭每一通道；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6、欠压、过压保护，可自定义设置保护值；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7、配置RS232和RS485接口，支持级联、中央设备控制；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8、额定输出总电流：≥40A，单路输出电流：≥20A；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9、每一路功率：可承载≥2000W；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10、每一路带滤波；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11、带级联功能。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1、满足要求（此项包含中控系统该系统范围内所有设备所需要的串线及配件，本项目为交钥匙工程，不允许额外增加任何费用）包含但不限于：≥RVV3*2.5㎡电源线、六类网线等。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855"/>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7、视频信号处理及录播系统</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846"/>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4K会议录播一体机（带显示终端）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1、通过电快速瞬变脉冲群抗扰度、浪涌（冲击）抗扰度、射频电磁场辐射抗扰度、射频场感应的传导骚扰抗扰度测试；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2、音频接口：支持≥3路LINE IN接口；≥1路3.5mm音频输入；≥2路MIC接口；具有≥1路HDMI；支持≥2路LINE OUT接口；≥1路3.5mm音频输出；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3、其他接口：要求支持≥3路RS232控制接口；具备≥3路USB3.0接口，具备≥1路USB2.0接口，支持连接鼠标、键盘进行导播控制以及主机连接U盘进行课程视频的录制、下载；要求具有≥1路TYPE-C接口；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4、要求支持≥4路RJ45网口，其中≥3路为POE网口，集供电、控制、视频传输于一体；支持摄像机智能组网，摄像机即插即用；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5、要求录播主机采用一体化嵌入式硬件设计架构；内置四核及以上处理器、Linux系统、≥8GB内存，≥1T硬盘；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6、视频编码：要求支持H.265和H.264两种视频编码协议，支持4K分辨率（3840*2160）视频的编码和录制；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7、要求支持IPV4、IPV6链路地址、IPV6外网地址三个网络地址配置，支持启用DHCP自动获取IP地址；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8、系统具有推送公网直播功能，支持通过微信扫码登录创建直播，也可以不登录直接创建直播，并可在设备上自动生成直播二维码，扫描即可观看直播，支持直播列表的查看；</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9、要求录播主机满足录制、直播、点播、互动、导播管理、存储、切换、视音频编码、语音转写、虚拟抠像、行为分析等功能，支持远程互动教学，实现远程互动网络课堂；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3"/>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录播系统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1、系统支持账号密码登录，录制模式支持电影模式、资源模式两种，能同时支持≥1路电影模式加≥6路资源录制，同步录制合成画面、教师全景、教师特写、学生全景、学生特写、电脑画面等；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2、录制格式至少支持MP4/FLV/TS，录制分辨率支持3840*2160、1920*1080等，支持录制帧率设定，可选择25fps/30fps，码流支持1000-20000kbps可选；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3、支持实时显示录播主机CPU的使用率，硬盘使用情况，≥6路预监画面；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4、导播模式支持视频预览、直播输出监视、视频切换、音频调整等功能；</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支持添加字幕，支持包括系统时间在内的九种预设字幕的设置，其中系统时间支持自动校准；可直接通过拖拽实现自定义字幕显示位置；支持设置多种字体、多种颜色。系统界面自带虚拟软键盘，无需外接USB键盘，支持多种格式的字幕，可输入中文、英文、数字、特殊符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6、支持导播模式设置：支持手动、半自动、全自动模式，支持查看软件版本，设备型号，硬件版本，设备编号；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7、提供多种画面布局模式，支持视频画面叠加与组合，包括单画面、双分屏画面、三分屏画面、四分屏画面显示；</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8、支持≥4种片头和≥4种片尾的添加，可以设置插入片头片尾的时间，支持jpg、png格式；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9、台标支持≥4个固定位置，分别为左上、右上、左下、右下，支持手动拖拽移动台标，实现界面任意位置的台标设置，支持设定图片台标，支持jpg、png格式；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10、支持上滑、下滑、左滑、右滑等多种切换特效，支持自定义选择≥4种特效切换速度；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11、系统支持摄像机云台控制，可以对摄像机进行变焦、上下左右位置调整以及≥8个预置位的设置；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12、系统支持录制倒计时和循环记录功能，支持录制到U盘；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13、所录制的视频文件既可本地存储，也可网络平台存储。支持用户随时通过录播主机点播回放视频，并可下载；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14、系统支持录制单个文件和限时自动分割录制功能，可选择多种自动分割时长；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15、系统具有推送公网直播功能，并可在设备上自动生成直播二维码，扫描即可观看直播，支持直播列表的查看；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16、要求内置微课制作功能，支持前景、人像、背景3层场景叠加，叠加的场景支持PPT、视频、图片，虚拟抠像后的人像等类型；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17、要求支持虚拟抠像后合成的画面实现和远端进行音视频互动；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18、可实现行为分析、实时字幕的语音转写和热词提取；</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19、系统内置行为分析系统，支持对教室人数、举手人数、站立人数、背身人数、趴下人数、低头人数、扭头人数的实时统计，并实时汇总学生的参与度、活跃度和抬头率；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20、内置互动系统，支持标准SIP和H.323互动协议，支持互动列表，列表中可以显示所有与会者的信息；支持互动画面布局的显示，布局支持单分屏，双分屏，四分屏显示；互动界面支持双流、一键静音、全屏、导播设置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21、支持对录播机进行网络检测，可实时检测服务器连通性、网络稳定性、上行下行速度、网络追踪性、网卡信息、信道状态；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22、进入互动系统时可支持查看永久课历史记录，可输入房间号快速加入远程互动，并显示对应的课程信息，包括时长、主讲人、房间名称、房间号、丢包率、网络延时等；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23、创建房间时支持对主题、主讲人、开课日期、开课时间和结束时间、验证方式的设置，其中验证方式支持公开和加密的选择；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24、支持对每个互动房间自动分配短号，可以通过短号直接实现多个设备间的互动；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25、系统支持中英文版本切换；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1、2、3、8、9、10、20，中标后签订合同前需提供带有“CMA”或“CNAS”标志的检测报告原件（提供承诺，格式自拟）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4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导播控制系统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1、要求配合录播系统使用，支持基于网络的远程导播；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2、要求支持局域网搜索功能，自动适配录播一体机，同时还支持手动添加，支持将指定的录播一体机通过IP搜索加入管理列表；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3、要求导播界面可以实时预览视频画面，包括主画面和每个通道画面；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4、要求支持远程管理录播系统，可进入后台管理界面，远程管理录播一体机的网络、视频、音频、互动、基础配置、直播、录制、文件管理等功能；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5、要求支持查看录播主机状态，支持管理多个录播主机。</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85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键鼠套装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1、键盘接口 USB；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2、键盘按键数 ≥104键；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3、具有多媒体功能键、音频接口、符合人体工学。</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334"/>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无线投屏器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1、为确保投屏稳定性，投屏需采用接收端与发送端双硬件设备;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2、兼容Windows 7/8/10、Windows平板、I0S平板/手机、Android平板/手机以及Mac 0SX;</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3、传屏不占用电脑wifi，电脑仍可以上网;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4、内置路由功能，网口连接互联网，手机连接盒子热点传屏时仍可上网，最大可同时连接≥8个发送端;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5、投屏分辨率≥3840*2160，帧率≥30帧每秒，且支持4:3分辨率;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6、支持传屏锁定功能，锁定模式下，新电脑无法投屏;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7、支持批注同步功能，可以对传屏画面进行实时批注;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8、批注后的画面，支持广域网/局域网二维码分享;</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9、主持人模式，主持人可以通过触摸或者鼠标选择指定电脑进行传屏或结束。</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28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视频程序设计实训处理平台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1、高清HDMI矩阵，标准机架设计，高度为2U；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2、支持≥16路HDMI输入，≥16路HDMI输出，输入输出均支持HDMI1.4a协议，分辨率可达4K@30Hz、1080@120Hz；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3、每路输入接口均支持HDCP解析、支持EDID透传和学习；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4、采用水晶可视化按键，同时首创两键式操作，让信号切换更加简单有效，操作人员零基础就可以轻松掌握所有操作；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5、支持可视化按键、RS-232、TCP/IP以及遥控多种控制方式；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6.、前面板LCD显示屏能够实时显示矩阵信号切换状态及系统配置；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7、采用ESD静电防护设计，能承受人体放电模式：± 8kV (气隙放电)，± 4kV (接触放电)，有效地避免了静电对设备的干扰及损害；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8、采用航空式螺旋电源接口，为电源的稳定性保驾护航。</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4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视频程序设计实训并发处理单元</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1、采用金属结构机箱，插卡式设计，具有灵活多变的扩展性能；外壳防护等级符合GB/T4208-2017中IP20的要求；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2、支持≥8张输入板卡，≥12张输出板卡，支持≥48个2K图层，最大带载≥7360万像素点；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3、支持输入板卡类型：≥ DP1.4、HDMI2.0、DP1.2、12G-SDI、HDMI1.4、HDMI1.3、DVI、3G-SDI、IP、HDBaseT、VGA；支持输出板卡类型：≥HDMI2.0、DP1.2、HDMI1.3、SDI、DVI、网口、光纤接口；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4、单板卡支持≥8路2K@60Hz输入，单张板卡与≥4路2K板卡物理尺寸相同,仅占用一个物理槽位,真正实现了物理扩容；板卡尺寸：≥192.2mm*168mm，档条尺寸：≥193mm*19.8mm；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5、支持DP1.4输入，最大分辨率8K*4K@30Hz；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6、HDMI2.0、DP1.2、HDMI1.4、HDMI1.3输入板卡支持内嵌音频；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7、4K输入（HDMI2.0、DP1.2）支持≥4096*2160@60Hz或7680*1200@60Hz、支持≥RGB444、YCbCr444、YCbCr422、YCbCr420视频格式；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8、HDMI1.3/DVI输出板卡支持自定义输出分辨率，单一输出接口宽度或高度最大支持≥4096像素；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9、网口输出板卡可直接连接LED显示屏，单板卡最大带载≥650万像素点；支持自定义带载区域，最宽≥40960像素点，最高≥40960像素点；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10、HDMI2.0、DP1.2、HDMI1.3输出板卡同时支持随路音频输出和3.5mm音频接口输出；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11、支持分组屏管理，可同时管理≥8组屏幕，每组屏幕相应的输出口分辨率可分别设定，以应对异形屏或复杂场景下多种显示终端的混合控制；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支持测试画面图像，无需接入有效视频源，即可快速检验物理输出接口是否正常；支持对输入源画面进行任意截取，截取后可作为一个新的输入源，不影响原输入源的使用；支持多次截取输入源，可快速调用不同截取参数的输入源；内嵌B/S拼接器配置软件，无需安装应用程序，支持在Windows、Mac、麒麟（Kylin）、 iOS、 Android、 Linux等操作系统环境下进行使用，轻松实现跨平台、跨系统的交互与访问控制；可通过移动终端进行无线控制，实现图层编辑、信号切换、场景保存\调用等操作；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13、可将不同预设参数保存为场景，一键调用，最大支持≥2000个场；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14、无需外加监视卡即可回显所有输入，用户可通过PC端或移动端APP，实时查看当前设备所有输入信号画面内容；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15、支持输入板卡、控制板卡的热插拔功能，设备无需关机重启和设置，更换板卡后快速恢复之前图层数据，保证画面正常播放；</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561"/>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视频程序设计实训推理分析单元</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1、支持 ffmpeg 软件解码和 DXVA 8K 硬件解码技术，支持 DX9、DX11、OpenGL 渲染引擎，有效降低CPU占用率，充分利用专业图形显卡性能，实现对4K屏幕的点对点显示和4K素材的流畅无损播控，支持16K 超长字幕点对点流畅播放，支持内容打折和首尾相接功能；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视频/图片/字幕/PDF/PPT/电子相册/网页程序/舞台提词等媒体播控，支持对网页、网络流媒体的播放与控制，对打开的网页可以进行后续的访问操作比如搜索、键入、跳转等，可以控制网页的显示尺寸；播放网页流媒体时可以对显示部分进行裁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3、支持包括序列帧在内的 200+种媒体格式播放，10+种小工具灵活叠加使用；可以流畅播放视频、音频、图片，对大分辨率图片支持图片自动优化，支持添加字幕，可以改变字幕的大小、颜色、位置、静止或者滚动、滚动方向以及滚动速率；支持增加模拟/数字时钟，可以改变模拟时钟的指针颜色以及位置大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4、支持异形屏幕拆分重组，可点对点带载30720X540像素分辨率的超长条屏，支持屏幕多边切片，不需要切割视频素材即可整屏播放一个完整视频画面。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5、支持数据存储和检索技术，可把节目或者素材的播放次数、时间和时长一键导出为 Excel 表格，单次做多存储一亿条数据；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多屏统一管理、画面可分可合，取代多台电脑独立控制，一人即可播控全场，支持自定义画面的位置大小以及尺寸，支持对画面进行旋转，支持对画面的透明度、边框大小颜色进行自定义；可以自定义分屏布局、播放模式、播放顺序，可以实时的查看播放进度，并且可以拉动进度条来控制视频的播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7、支持对视频进行倍速播放，最慢0.1倍速，最快4倍速，为方便现场效果精确调整，必须支持集体 Seek 和逐帧调节视频进度。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8、支持画面透析处理技术，可将全景视频、常规视频处理之后显示到房间屏、墙角屏、U 幕、球形屏，呈现沉浸式裸 3D 效果，满足 VR、全景、U 幕、3D、墙角屏等沉浸式场景输出。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9、支持将互动程序作为素材添加到媒体库内，通过拖拽的方式快速便捷的将互动画面播放上屏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10、服务器支持根据预案中素材的播放进度，对周边设备发送控制指令，实现视频内容与外围设备的联动控制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11、EDID锁：支持通过硬件锁定 EDID 通道序列，解决电脑显卡多通道拼接时容易显示错乱的问题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12、可视化云控：服务器支持可视化平板云控，移动平板可以实时显示服务器的媒体素材、屏幕画面和场景预案，以及拼接器的信号输入、回显画面和场景模式，支持 I0S、Andr iod 和鸿蒙系统；平板端支持拖拽替换屏幕画面，一键切换场景预案和模式，控制媒体素材的播放、暂停、静音和 PPT 翻页</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多台设备联机播控，总控端服务器控制播放端服务器更新发布编辑素材内容，实现内容分发、节目管理和设备中控，总控端服务器支持热备份，当总端服务器故障，控备端服务器会自动接管多联机控制，可自动回读原有工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14、KPF加密技术：为避免重要素材泄露，服务器支持 KPF 技术对素材格式进行私有化转码；服务器转码时可设置私有格式的素材只允许在该类服务器上播放或只允许在指定设备上播控，转码支持对视频设置密码加密，播放视频和二次转码时必须输入对应密码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15、定时计划：服务器支持界面自定义编辑定时计划任务，可指定日期、指定星期执行场景预案或关机命令，形成任务列表自动执行，实现无人值守</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智能中控：服务器可与智能电机、智能配电箱、发送卡和多功能卡连接，通过移动平板分发提前配置好的协议指令，完成对本地服务器、外部信号音/视频、窗帘、屏幕电源和亮度的集中管理和控制；可与监控摄像头连接，实时回显摄像头画面控制摄像头左右上下移动，聚焦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17、设备通过CCC认证；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18、播控系统、视频处理器系统、控制系统能够兼容使用；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★1、2、3、7、13、17，中标后签订合同前需提供带有“CMA”或“CNAS”标志的检测报告原件（提供承诺，格式自拟）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75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HDMI发送器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1、发送端：输入接口：≥1路HDMI输入，输出接口：≥1路RJ45出；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 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HDMI接收器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1、接收端：输入接口：≥1路RJ45，输出接口：≥1路HDMI输出；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84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两厅互通传输系统发送端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1、发送端：输入：≥1路HDMI；输出：环出≥1路HDMI，≥1路光纤模块口，≥1路红外接口；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2、电源规格：DC5V/2A；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2、整机功耗：TX≤3 W，RX≤3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4、HDMI版本：HDMI1.3，兼容HDCP1.4；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6、DDC信号电压：≥5Vp-p(TTL)；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6、中心波长：1310/1550nm；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8、光纤接口类型：LC；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9、传输速率：≥1.25Gbps；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10、光纤类型：单模光纤（SMF）；</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10、传输距离：≤40km；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12、发射光功率：±3dB；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13、接收光功率：±3dB；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14、接收灵敏度：≤-23dBm；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15、回波损耗：≥12dBm；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16、误码率：10へ(-12)；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17、红外回传：支持20~60kHz宽频红外遥控器。</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2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两厅互通传输系统接收端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1、接收端：输入：≥1路光纤模块口，≥1路红外接口；输出：≥1路HDMI；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2、电源规格：DC5V/2A；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3、整机功耗：TX≤3 W，RX≤3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4、HDMI版本：HDMI1.3，兼容HDCP1.4；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6、DDC信号电压：≥5Vp-p(TTL)；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7、中心波长：1310/1550nm；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8、光纤接口类型：LC；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9、传输速率：≥1.25Gbps；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10、光纤类型：单模光纤（SMF）；</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11、传输距离：≤40km；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12、发射光功率：±3dB；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13、接收光功率：±3dB；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14、接收灵敏度：≤-23dBm；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15、回波损耗：≥12dBm；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16、误码率：10へ(-12)；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17、红外回传：支持20~60kHz宽频红外遥控器。</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42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4K高清室内摄像机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1、采用≥1/1.8英寸高品质图像传感器，最大分辨率可达4K@60fps；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2、≥31X光学变焦，59°广角镜头； 焦距范围≥ f=6.91mm～214.21mm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9、为了保证摄像机图像输出效果，水平分辨率≥3840像素；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10、旋转角度范围：水平≥±110°；垂直≥±30°；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11、★9-10，中标后签订合同前需提供带有“CMA”或“CNAS”标志的检测报告原件（提供承诺，格式自拟）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42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4K高清室内摄像机</w:t>
            </w:r>
            <w:r/>
          </w:p>
        </w:tc>
        <w:tc>
          <w:tcPr>
            <w:tcW w:w="7056" w:type="dxa"/>
            <w:vAlign w:val="center"/>
            <w:textDirection w:val="lrTb"/>
            <w:noWrap w:val="false"/>
          </w:tcPr>
          <w:p>
            <w:pPr>
              <w:jc w:val="left"/>
              <w:keepLines w:val="0"/>
              <w:keepNext w:val="0"/>
              <w:widowControl/>
              <w:suppressLineNumbers w:val="0"/>
            </w:pPr>
            <w:r>
              <w:rPr>
                <w:rFonts w:hint="eastAsia" w:ascii="仿宋" w:hAnsi="仿宋" w:eastAsia="仿宋" w:cs="仿宋"/>
                <w:i w:val="0"/>
                <w:iCs w:val="0"/>
                <w:color w:val="000000"/>
                <w:sz w:val="24"/>
                <w:szCs w:val="24"/>
                <w:u w:val="none"/>
                <w:lang w:val="en-US" w:eastAsia="zh-CN" w:bidi="ar"/>
              </w:rPr>
              <w:t xml:space="preserve">1、采用≥1/2.5英寸高品质图像传感器，最大分辨率可达4K@60fps；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2、≥12X光学变焦,80.4°广角镜头； 焦距范围≥ f=3.85mm～46.2mm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9、为了保证摄像机图像输出效果，水平分辨率≥3840像素；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10、旋转角度范围：水平≥±110°；垂直≥±30°</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★9-10，中标后签订合同前需提供带有“CMA”或“CNAS”标志的检测报告原件（提供承诺，格式自拟）。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摄像头固定支架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1、配套吸顶或者壁挂。</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摄像机移动支架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1、云台类型：液压云台；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2、材质：碳纤维；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3、脚架节数：≥3节；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4、展开高度：≥1.6-1.7M。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85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视频信号处理及录播系统该系统范围内所有设备所需要的串线及配件，本项目为交钥匙工程，不允许额外增加任何费用）；包含但不限于：六类屏蔽网线、国标主电缆≥ZR-YJV4*70㎡+1、国标主电缆≥RVV3*2.5㎡、电源线≥RVV3*2.5㎡、电源线≥RVV3*1.5㎡、电源线≥RVV3*1.5㎡、HDMI高清线、光纤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285"/>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8、辅料</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1、尺寸：≥180cm*90cm*75cm。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 mm；横杆长度≥ 530-910 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线阵列扬声器吊挂支架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1、线阵音箱田字架。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 ；≥3米 防过载。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85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跳线盘</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1、多功能设计，经济适用的1/4"模块化跳线板，带两行插口；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2、≥48个平衡通道带PCB全布线插口（≥24个垂直安装PCB板），≥24对前端通道和后部≥24对通讯通道；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3、插口PC卡包含≥4个带不变色触点的平衡1/4"插口，安全保持，无须使用螺帽。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4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电动葫芦</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1、纯铜电机：220V纯紫铜电机；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2、电机外壳：合金外壳坚固高散热；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3、电机风罩风扇：合金风罩加≥8叶加大风扇；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4、电机钢丝绳：≥137股镀锌防旋转钢丝绳；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5、电机转速：每分钟≥3000转。</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56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对讲主机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1、频率响应：≤80Hz-≥12kHz（±3dB）；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2、100V定压输出，有电源、信号、削峰指示,话筒有自动默音功能；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3、可通过红外线遥控器控制；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4、内置MP3播放器，≥1路话筒输入，≥1路线路输入，≥1路线路输出；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5、高音、低音音调控制；话筒、线路单独音量调节；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6、额定输出功率：≥60W；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7、输入灵敏度：MIC1，2：≤3.5mV；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8、AUX1，2：≤280mV；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9、信噪比：MIC1，2：≥60dB；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 10、AUX1，2：≥71dB；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12、总谐波失真：≤1%（1kHz，1/3输出电压）；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13、辅助输出电压：1000mV±≤100mV；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14、音调：低音：≥±10dB（100Hz）；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15、高音：≥±10dB（10kHz）；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16、默音功能：话筒≥1输入覆盖其它输入；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17、消耗功率：≥80W。</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71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对讲话筒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1、类别：≥9.7背极电容式；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2、指向类型：超心型；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3、灵敏度：≥-35dB±3dB；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4、频率响应：≤100-≥12000Hz；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5、输出阻抗：200Ω平衡式；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6、电平输出量：15mV(1kHz/94dB)。</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14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壁挂音箱</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1、工作电压70/100V，功率1.5-10W（多个配接端子）；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2、最大声压级达≥100±2dB；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3、有效频率范围宽≤160Hz-≥18kHz；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4、优质工程塑料注塑成型；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5、扬声器悬边阻尼处理，寿命长，灵敏度高（≥92±2dB），声音清晰。</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音量控制开关</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1、产品类型：五档位音量控制、带强插，消防联动；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3、强插信号：24V DC 10mA；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4、档位频响（正常工作条件(-3dB)）：STEP：0V（关）。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协同控制终端系统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1、单块尺寸：≥0.304米*0.152米，数量≥465块；净尺寸分别≥17.632米*0.912米及≥8.512米*0.608米；点间距：≥0.00475米。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协同控制核心系统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1、≥4.5V-200W。</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761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块</w:t>
            </w:r>
            <w:r/>
          </w:p>
        </w:tc>
      </w:tr>
      <w:tr>
        <w:trPr>
          <w:trHeight w:val="60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协同控制孪生模块系统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1、驱动芯片模组具有WIFI+U盘+带天线功能；数量为≥2块；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2、单色带载：≤64*512 ；≤48*672 ；≤32*1024</w:t>
            </w:r>
            <w:r>
              <w:rPr>
                <w:rStyle w:val="984"/>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99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网络交换机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1、交换容量≥36Gbps，包转发≥26.8Mpps；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2、千兆电口≥16个，支持POE+，输出功率≥240W，千兆光口≥2个；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3、支持基于端口的 VLAN，支持 DHCP Snooping；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4、支持广播风暴抑制、未知单播抑制、多播风暴抑制；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5、支持web 管理，手机APP管理；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6、支持端口防雷≥6KV，风扇散热；</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3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高清200万网络红外半球</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1、产品类型：网络摄像机；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2、产品外形：半球；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3、成像色彩：日间彩色，夜间黑白；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4、成像器件≥ 1/3英寸CMOS；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5、镜头焦距：2.8mm，3.6mm，6mm，8mm；镜头接口：≥M12；镜头光圈：F2.5；F2.1；F2.0；F2.0；聚焦距离：2.8mm，0.4mm，3.6mm，0.7mm，6mm，1.3mm；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6、最低照度：0.01Lux(彩色模式)；0.001Lux(黑白模式)；0Lux(红外灯开启)；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7、电子快门：1/3s-1/100000s；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8、音频/视频；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9、压缩格式：H.265；H.264；H.264H；H.264B；MJPEG；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10、视频帧率：50Hz：主码流(1280x720/960@25fps)，辅码(704×576@25fps)；60Hz：主码流(1280x720/960@30fps)，辅码(704×480@30fps)。</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1507"/>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网络硬盘录像机（带显示终端）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1、支持嵌入式Linux系统，工业级嵌入式微控制器；支持WEB、本地GUI界面操作；可接驳支持ONVIF、PSIA、RTSP协议的第三方摄像机和主流品牌摄像机；支持IPv4、IPv6、s、UPnP、NTP、SNMP、PP</w:t>
            </w:r>
            <w:r>
              <w:rPr>
                <w:rFonts w:hint="eastAsia" w:ascii="仿宋" w:hAnsi="仿宋" w:eastAsia="仿宋" w:cs="仿宋"/>
                <w:i w:val="0"/>
                <w:iCs w:val="0"/>
                <w:color w:val="000000"/>
                <w:sz w:val="24"/>
                <w:szCs w:val="24"/>
                <w:u w:val="none"/>
                <w:lang w:val="en-US" w:eastAsia="zh-CN" w:bidi="ar"/>
              </w:rPr>
              <w:t xml:space="preserve">PoE、DNS、FTP、ONVIF（不支持ONVIF Server）网络协议；支持≥32路网络视频接入，网络性能接入200Mbps，储存128Mbps，转发32Mbps；支持6M/5M/4M/3M/1080P/1.3M/720P IPC分辨率接入；支持≥1×6M/1×5M/3×4M/6×1080P/12×720P/32×D1解码，支持≥16路视频回放；支持≥1路VGA，≥1路HDMI，支持VGA/HDMI视频同源输出；支持≥4个内置SATA接口，单盘容量支持6T，≥1个外置eSATA接口；支持≥IPC音频1</w:t>
            </w:r>
            <w:r>
              <w:rPr>
                <w:rFonts w:hint="eastAsia" w:ascii="仿宋" w:hAnsi="仿宋" w:eastAsia="仿宋" w:cs="仿宋"/>
                <w:i w:val="0"/>
                <w:iCs w:val="0"/>
                <w:color w:val="000000"/>
                <w:sz w:val="24"/>
                <w:szCs w:val="24"/>
                <w:u w:val="none"/>
                <w:lang w:val="en-US" w:eastAsia="zh-CN" w:bidi="ar"/>
              </w:rPr>
              <w:t xml:space="preserve">路输入，支持语音对讲≥1路输出，支持PC通过NVR与网络摄像机进行语音对讲；支持≥16路报警输入、≥4路报警输出，支持开关量输入输出模式；支持≥2个USB接口（≥1个前置USB2.0接口、≥1个后置USB3.0接口）；支持≥1个千兆以太网口；支持按时间、按事件等多种方式进行录像的检索、回放、备份，支持图片本地回放与查询；支持标签自定义功能，设备支持对指定时间的录像进行标签并归档，便于后续査看；支持本机硬盘、eSATA扩展柜、网络等存储方式，支持硬盘、外接USB存储设备、eSATA扩展柜备份方式；支持设备操作</w:t>
            </w:r>
            <w:r>
              <w:rPr>
                <w:rFonts w:hint="eastAsia" w:ascii="仿宋" w:hAnsi="仿宋" w:eastAsia="仿宋" w:cs="仿宋"/>
                <w:i w:val="0"/>
                <w:iCs w:val="0"/>
                <w:color w:val="000000"/>
                <w:sz w:val="24"/>
                <w:szCs w:val="24"/>
                <w:u w:val="none"/>
                <w:lang w:val="en-US" w:eastAsia="zh-CN" w:bidi="ar"/>
              </w:rPr>
              <w:t xml:space="preserve">日志、报警日志、系统日志的记录与查询功能；支持断网续传功能，能对前端摄像机断网这段时间内SD卡中的录像回传到NVR；支持即时回放功能，在预览画面下回放指定通道的录像；支持预览图像与回放图像的电子放大；可以通过鼠标控制云台转动、放大、定位等操作；支持远程管理IPC功能，支持对前端IPC远程升级，支持远程对IPC的编码配置修改等操作；支持一键添加摄像机显示监控画面；支持远程零通道预览功能，可将接入的多路视频图像多画面显示在一路视频图像上；支持走廊模式功能，支持IPC画面旋转90°或270°，成9：16走廊模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85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1995"/>
        </w:trPr>
        <w:tc>
          <w:tcPr>
            <w:tcW w:w="457"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二、小报告厅系统（场地尺寸：24米*17米*5.5米；舞台尺寸：11米*7米）</w:t>
            </w:r>
            <w:r/>
          </w:p>
        </w:tc>
        <w:tc>
          <w:tcPr>
            <w:tcW w:w="7056" w:type="dxa"/>
            <w:vAlign w:val="center"/>
            <w:textDirection w:val="lrTb"/>
            <w:noWrap w:val="false"/>
          </w:tcPr>
          <w:p>
            <w:pPr>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285"/>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1、音频系统</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419"/>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w:t>
            </w:r>
            <w:r/>
          </w:p>
        </w:tc>
        <w:tc>
          <w:tcPr>
            <w:tcW w:w="7056" w:type="dxa"/>
            <w:vAlign w:val="center"/>
            <w:textDirection w:val="lrTb"/>
            <w:noWrap w:val="false"/>
          </w:tcPr>
          <w:p>
            <w:pPr>
              <w:numPr>
                <w:ilvl w:val="0"/>
                <w:numId w:val="9"/>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单元结构：二分频同轴，≥1*12寸（低音单元）+≥1*2.87寸（高音单元）；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2、系统带宽（频率响应）：（-10dB标准）≤35 Hz–≥25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4、系统峰值声压级（1m, 自由声场）：≥126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5、标称覆盖角：水平≥90° × 垂直≥20；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6、功率容量：持续功率≥450W；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7、垂直可调角度：≥0°、≥- 5°、≥ - 10°、≥ - 15°；</w:t>
            </w:r>
            <w:r>
              <w:rPr>
                <w:rFonts w:hint="eastAsia" w:ascii="仿宋" w:hAnsi="仿宋" w:eastAsia="仿宋" w:cs="仿宋"/>
                <w:i w:val="0"/>
                <w:iCs w:val="0"/>
                <w:color w:val="000000"/>
                <w:sz w:val="24"/>
                <w:szCs w:val="24"/>
                <w:u w:val="none"/>
                <w:lang w:val="en-US" w:eastAsia="zh-CN" w:bidi="ar"/>
              </w:rPr>
              <w:br w:type="textWrapping" w:clear="all"/>
            </w:r>
            <w:r>
              <w:rPr>
                <w:rFonts w:hint="eastAsia" w:eastAsia="仿宋"/>
                <w:lang w:val="en-US" w:eastAsia="zh-CN"/>
              </w:rPr>
              <w:t xml:space="preserve">8</w:t>
            </w:r>
            <w:r>
              <w:rPr>
                <w:rFonts w:hint="eastAsia" w:ascii="仿宋" w:hAnsi="仿宋" w:eastAsia="仿宋" w:cs="仿宋"/>
                <w:i w:val="0"/>
                <w:iCs w:val="0"/>
                <w:color w:val="000000"/>
                <w:sz w:val="24"/>
                <w:szCs w:val="24"/>
                <w:u w:val="none"/>
                <w:lang w:val="en-US" w:eastAsia="zh-CN" w:bidi="ar"/>
              </w:rPr>
              <w:t xml:space="preserve">、▲提供宣传彩页（或官网截图）及能够分辨产品单元数量正面实拍图。</w:t>
            </w:r>
            <w:r/>
          </w:p>
          <w:p>
            <w:pPr>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228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低频扬声器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1、系统带宽（频率范围）（±3dB标准时）:≤27 Hz-≥100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2、灵敏度：≥100dB；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3、系统峰值声压级：≥132dB；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4、功率容量：持续功率≥1600W；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5、单元结构：≥1*21寸(低音单元）；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6、分频点设计应满足整体声学性能要求，不限定具体数值；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171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流动返听扬声器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1、系统带宽（频率响应）：（±3dB标准时）≤65Hz-≥18kHz；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自由声场）：≥123dB；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4、单元结构：≥1*12寸（低音单元）+≥1*2寸（高音单元）；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5、功率容量：持续功率：≥390w；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6、分频点设计应满足整体声学性能要求，不限定具体数值；</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259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w:t>
            </w:r>
            <w:r/>
          </w:p>
        </w:tc>
        <w:tc>
          <w:tcPr>
            <w:tcW w:w="7056" w:type="dxa"/>
            <w:vAlign w:val="top"/>
            <w:textDirection w:val="lrTb"/>
            <w:noWrap w:val="false"/>
          </w:tcPr>
          <w:p>
            <w:pPr>
              <w:numPr>
                <w:ilvl w:val="0"/>
                <w:numId w:val="1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单元结构：≥1*15寸（低音单元）+≥1*2.87寸（高音单元）；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2、系统带宽（频率范围）(-10dB标准时)：≤25Hz</w:t>
            </w:r>
            <w:r>
              <w:rPr>
                <w:rStyle w:val="984"/>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自由声场）：≥124dB；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5、标称覆盖角：水平≥60° × 垂直≥60；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7、分频点设计应满足整体声学性能要求，不限定具体数值；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p>
          <w:p>
            <w:pPr>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左右主扩声线阵列扬声器功率放大器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低频扬声器功率放大器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931"/>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流动返听扬声器功率放大器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1、立体声功率8Ω：≥700W，立体声功率4Ω：≥1100W，桥接模式8Ω：≥1800W；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 10Hz - 400Hz：≥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同轴台唇扬声器功率放大器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56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16路数字音频处理器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1、DSP芯片：Ti 450MHz FLOPS双核；USB2.0 录制/播放：支持；中控指令集生成器：支持；核心算法：反馈消除（AFC），回声消除 (AEC)；输入处理：前级放大、信号发生器、扩展器、压缩器、≥5段参量均衡、反相、自动增益、自动混音；输出处理：≥31段图示均衡器、延时器、分频器、高低通滤波器、限幅器、反相；</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2、矩阵混音：输入和输出信号矩阵式混音，混音分量控制；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3、自动摄像跟踪功能：支持；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4、场景预设：≥100组自定义设置；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5、模拟输入通道：≥16，模拟输出通道：≥16；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6、Ethernet控制端口：≥1；RS232：≥1；RS485：≥1；GPIO：≥8；</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7、WIFI联机：√；输入增益放大：-24～27dB，3dB一级共17级；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8、其他：平衡/非平衡,输入/输出支持；MIC\LINE,输入/输出支持；每路独立48V幻象供电开关；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9、软件及操作系统：控制处理软件及APP/Windows32位/Windows64位/IOS/android/机器内置客户端，支持联机下载；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10、采样：48k@24bit；幻象供电：DC48V；频率响应：≤20Hz ～ ≥20KHz，±1dB；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11、THD+N：≤0.004% @1k，4dBu；数模动态范围（（A加权））：≥120dB；模数动态范围（（A加权））：≥120dB；输入阻抗（平衡式）：≥20kΩ；输出阻抗（平衡式）：≤100Ω；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12、EIN（（A加权））：≤-131 dBu；通道隔离度：≥107dB @1k Hz，4dBu；共模抑制：≥70dB @80 Hz；最大输入电平：≥18dBu；最大输出电平：≥18dBu；本底噪声：≤-90dBu；系统延时：≤3ms。</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04"/>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16路数字调音台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1、≥16个话放，≥25条混音母线，≥40位浮点数字信号处理；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2、≥8个编组和6个静音编组；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3、≥8个立体声效果器；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4、≥17个100mm电动推子；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5、≥5寸日光全彩TFT显示屏；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6、通过USB 2.0可支持≥32 x 32通道的数字音频传输。</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71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同轴有源监听音箱</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1、系统带宽（频率响应）：≤70Hz – ≥20kHz ± 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2、最大声压级：≥110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3、分频器类型：≥2 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4、交越频率：≥1.5kHz；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5、传感器：≥1 *6.5 英寸+低频驱动器≥ 1 x 1 英寸高频驱动器；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6、最大输出功率：≥300 瓦。</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频系统该系统范围内所有设备所需要的串线及配件，本项目为交钥匙工程，不允许额外增加任何费用）；包含但不限于：≥200芯音箱线、≥300芯音箱线、六类屏蔽网线、话筒线、电源线≥RVV3*2.5㎡、电源线≥RVV3*1.5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570"/>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2、音源及拾音器</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四通道真分集接收机(Dante)</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1、具有Dante网络音频输出，连接Dante音频设备可自动识别出产品的Dante通道；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 频率稳定度： ±0.005%；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3、外置天线接口： 双BNC 支持 +12V/150mA 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4、支持BNC天线级联；</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5、外置音频接口： MIXER混合平衡音频输出、BALANCED单通道平衡音频输出；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6、接收频段：≤522MHz-≥936MHz；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7、振荡方式：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8、频带宽度： 单通道≥130MHz；最大偏移度： ±45kHz；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9、音频采样率：≥ 96kHz 24-bit；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供电方式：交流输入，ICE接头，100-240伏交流；          </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456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无线会议话筒（方管）</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1、载波频段：≤521.25MHz-≥936.85MHz；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2、振蕩方式：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3、谐波辐射： 低于主波50dBm以上；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4、频带宽度：≥134MHz（视地区而定）；</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5、最大偏移度：±45kHz；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6、RF功率输出：≥10mW；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7、低切开关：≤200Hz；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8、电池：AAx4；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9、电流消耗：≤180mA(典型)；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10、传声器类型：电容式超心型指向；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11、频率响应：≤100Hz-≥15kHz；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12、灵敏度：≥-38/kHz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13、最大输入声压：≥120dB SPL/1kHz @ 1%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14、输出阻抗：600Ω ± 20％ @ 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15、谐波失真：≤0.9％1kHz；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16、接口：带锁三针式平衡卡侬母。</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370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无线手持话筒套装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427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无线头戴话筒套装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11、触式开关，XLR和¼英寸输出接口；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4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4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p>
        </w:tc>
      </w:tr>
      <w:tr>
        <w:trPr>
          <w:trHeight w:val="370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演讲台有线鹅颈会议话筒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1、频率响应：≥100-≤16,000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2、低截：80 Hz, 18 dB/octave；</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3、阻抗：250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4、开路灵敏度：≥ -43 dB（7.0 mV）re 1 V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5、元件：固定式充电背板，永久极性电容收音头；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6、输入声压级上限：≤140 dB SPL，1 kHz @ c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7、指向性：单指向性；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8、动态范围 (典型值)：≥111 dB，1 kHz @ Max SPL；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9、信噪比：≥65 dB, 1 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10、输出阻抗：360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11、插入损耗：1 dB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12、静音衰减：≥55 dB @ 1000Hz，≥35 dB @ 100Hz， ≥30 dB @ 50Hz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13、话筒座配置：XLRF 卡农母座, XLRM 卡农公座, 开关带LED指示灯。</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矮推车式提词系统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1、提词器：尺寸：≥1233mm*718mm,接口≥2*HDMI；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2、矮推车：冷轧钢板材料；倾斜角度0-90度；内置束线，一体式底座。</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4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 输出阻抗：6000，平衡。</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1、满足要求（此项包含音源及拾音器系统该系统范围内所有设备所需要的串线及配件，本项目为交钥匙工程，不允许额外增加任何费用）；包含但不限于：话筒线、六类屏蔽网线、电源线≥RVV3*1.5㎡等。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570"/>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3、灯光及舞台机械设备</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70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LED远程聚光灯）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3、LED光源：≥4颗50W 高亮度；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4、色温：3200K-5600k；</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5、光源寿命:60000h；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6、调光：0-100%线性调节；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7、频闪： 独立电子频闪，1-20次/秒；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8、透镜角度：25o（常用）、35o、45o（可选）；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9、控制方式：标准DMX512信号，3芯接口，主从控制、自走、声控模式；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10、DMX通道： ≥8 通道（数码显示）；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11、冷却系统：自然风冷；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12、灯体部分及颜色：压铸铝，黑色 /白色；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13、防护等级：≥IP35。</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一道顶光（LED平板会议灯）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701"/>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二道顶光（LED平板会议灯）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267"/>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二道顶光（光束摇头灯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一道逆光（光束摇头灯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13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两道侧光（光束摇头灯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10、使用寿命：≥2000h。</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28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追光灯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1、≥600W的LED光源；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2、灯珠采用优质芯片寿命≥50000小时；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5、采用≥12根8mm粗的铜管导热再通过大面积的铝片散热，确保LED灯珠散热达到最佳效果；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信号放大器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1、输入/输出：≥1路DMX512数码输入，≥1路DMX512直接输出，≥8路独立放大驱动输出；功能：输入输出光电隔离，信号放大整形功能，延长信号传输距离；显示：独立的LED信号指示。</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13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智能配电柜</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2、额定功率：≥12路×4KW；  可适用于任何负载；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4、≥12路40A胶木插输出；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5、内置≥12个继电器带远程控制，继电器采用高品质铜镀镍材质瞬间触发；带国际DMX512信号协议、Art-net灯光网络协议、智能控制定制协议三种控制模式；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6、可通过配套的智能控制系统，单独电控界面实时控制；主机也可通过电柜主机物理按键手动开启每一路通断或灯光控台实时操作工作指令；可独立设置每一路通电时初始的通断状态模式；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7、模式选择：A开机执行、B延时执行、C立即执行三种模式；开机执行模式下：当电柜通电后每一路电力会间隔0.6秒给设备上电，通电后电流会有一个缓冲，更好保护设备，此模式可以替代时驱器功能；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8、机身设有可操作主机界面的液晶屏。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94"/>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电脑灯控台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1、独立主板，独立CPU，≥120GB固态硬盘，≥4GB内存；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2、支持中文菜单显示且内置多国语言；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3、内置一个≥15.6寸EDP高清显示液晶屏，一个≥15.6寸触摸屏并可扩展外接触摸屏；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4、内置UPS电源避免交流220V突然断电方便保存数据；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5、支持Artnet并可扩展更多通道；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6、≥10个宏按键可编辑任何程序；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7、≥20个重放推杆支持10000个虚拟重放；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8、强大的CMY调色板功能；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9、支持涂鸦式手写命名功能；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10、支持CITP协议可预览服务器或数字灯的内置素材；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11、预留外部的WI-FI接入点，可使用Ipod Touch和iphone 进行遥控；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12、内置超过≥1000个世界主流灯具灯库并内置Personality Builder 灯库编辑写入软件；内置Visualiser可视化舞台模拟软件，支持视频；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13、提供MIDI时间码控制，由MIDI遥控重放按钮和推子；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14、内置像素映射及内置图形发生器。</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9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1、智能音乐解析：内置智能分析技术，实现对匹配音乐的音色音调的零延迟智能同步；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2、声光电影联动：基于OSC/UDP高级控制协议，基于OSC/UDP高级控制协议，实现灯光、音乐、视频播放器的三维一体深度同步；系统可根据PRS分析数据，实时驱动视频的播放速度与节奏变换；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i5处理器、≥4GB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6、触摸控制：配备≥10.4英寸高清多点电容触控屏，操作流畅直观，符合专业场景高强度使用；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8、兼容性：多协议兼容，支持DMX512、Art-Net、sACN、UDP/TCP、RS232/485及多种智能定制协议，可无缝对接市面上绝大多数灯光、音视频及中控设备；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9、多端口连接：内置≥4路独立DMX512输出端口，≥4路独立DMX512输入端口；≥2路千兆以太网口(用于Art-Net传输及智能电箱或者智控墙板的连接)、≥2路RS232、≥1路485接口及多路USB接口；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11、照射控制：配备专用追光与面光控制推杆，可对亮度、位置等进行物理推杆式控制，并设有黑场、静音等专业快捷键；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12、内容管理：可选配视频模块，可内置高清视频素材库，支持用户通 过U盘等方式自由上传、分类管理自制素材，可对节目进行分类管理与管控，节目数量与单节目时长无限制，满足海量编排需求；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15、场景预设：支持对音量、播放、模式切换等功能进行一键场景化预设，极大提升现场操作效率与应急响应速度；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color w:val="000000"/>
                <w:sz w:val="24"/>
                <w:lang w:val="en-US" w:eastAsia="zh-CN" w:bidi="ar"/>
              </w:rPr>
              <w:t xml:space="preserve">2、4、8、9</w:t>
            </w:r>
            <w:r>
              <w:rPr>
                <w:rFonts w:hint="eastAsia" w:ascii="仿宋" w:hAnsi="仿宋" w:eastAsia="仿宋" w:cs="仿宋"/>
                <w:color w:val="000000"/>
                <w:sz w:val="24"/>
                <w:lang w:bidi="ar"/>
              </w:rPr>
              <w:t xml:space="preserve">，中标后签订合同前需提供带有“CMA”或“CNAS”标志的检测报告原件（提供承诺，格式自拟）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3、电压：AC220-250V，50/60Hz；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5、具有连续喷烟、定时定量、油瓶密封技术；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10、耗油量：≤0.25L/小时。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舞台机械控制终端吊杆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1、根据图纸现场定制。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456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舞台机械全沉浸式控制系统模块</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单块≥16 路千兆网口；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1、设备配备有真彩色 LCD 面板，可生动地显示设备状态信息；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2、支持≥4 路 HDMI1.3，≥1 路 HDMI2.0，≥1 路 DP1.2；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3、单台设备总像素带载能力≥650万像素，输出接口至少包括2路10G光口和2路千兆网口；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8 个 2k 画面显示，画面大小位置任意，可以随意叠加；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5、支持添加≥ 1 路 OSD 文字显示，不需要输入源即可在输出显示标语等文字信息，内容可通过软件编辑；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6、支持网口任意串线，留空部分不计入网口带载点数，提高网口利用率；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7、LED发送卡与视频处理器二合一，连线少，稳定性兼容性提升；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 USB、网口及串口控制，并支持中控控制；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 EDID 的读取，修改，自定义；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10、搭配3D发射器和3D眼睛，可以实现3D显示效果；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11、可对设备的亮度和对比度进行调节，调节范围 0-255；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12、搭配多功能卡实现亮度随环境自动控制；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13、支持多台设备拼接使用；设备间保持完全同步；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14、支持网口间互相备份；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★1-9项，中标后签订合同前需提供带有“CMA”或“CNAS”标志的检测报告原件（提供承诺，格式自拟）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p>
        </w:tc>
      </w:tr>
      <w:tr>
        <w:trPr>
          <w:trHeight w:val="171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 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及舞台机械设备系统该系统范围内所有设备所需要的串线及配件，本项目为交钥匙工程，不允许额外增加任何费用）；包含但不限于：国标主电缆≥ZR-YJV4*16㎡+1、电源线≥RVV3*2.5㎡、512信号线≥2*0.35mm²+1p、六类网线、16A胶木插头、沉浸式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285"/>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4、中控系统</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128"/>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可编程中央控制主机（加触控终端）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1、主频≥2GHz的32位内嵌式CPU处理器，内存≥16G；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2、主机≥10路串口，≥8路IR，≥8路I0，≥8路弱继电器，≥4个模拟量输入接口，≥2路NET口，具备可视化调试功能，可通过HDMI接口输出设备状态及管理界面；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3、≥8路红外可编程控制接口，内置红外学习器，可以支持对周边所有红外设备（如：DVD/TV）的控制，且单个红外接口可以同时连接控制多个不同设备；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4、具有自定义宏功能模块，可以创建自定义宏。具有存储调用组功能模块，可以创建存储调用组，对变量数据进行保存，实现按钮状态，拖动条状态，文本状态数据掉电重启的恢复功能；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5、支持远程控制，控制接口可扩展，支持一键式联动控制功能，控制软件中文界面，提供开放式可编程控制平台，支持第三方设备控制；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页版KVM，在突发事件发生时，非本地专业业务人员可通过网络远程对指挥中心相关业务电脑进行控制，实现应急处突，保障指挥调度任务顺利进行；支持通过终端web远程访问，系统数据完全本地部署，恶意扫描、账号爆破手段无法触达本地服务器，保障安全可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7、支持多种控制模式如：PC控制、IPAD、Android触摸屏、墙上面板控制等，并支持IE浏览器（无需web服务器）；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8、中控系统支持冗余热备份，支持双向反馈，可显示温度、湿度、pm2.5及周边环境状态；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多种编程语言，如图形化编程（拖拽方块）、Lua、Python脚本、类C语言化编程；支持对平台内接入的所有设备进行可视化管控，可按需记录设备的多条实时运行参数，具备数据采集能力，本地历史数据存储时间不少于90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10、支持大型组网集中管理；开放式类C语言编程，程序可上传云端；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11、≥8路独立可编程控制串口接口，≥8路弱电继电器接口和≥8路数字输入/输出IO 接口，可联动相关人体红外感应器状态，进行智能化场景切换，实现人来灯亮，人走灯灭的功能；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★2、7、8、9，中标后签订合同前需提供带有“CMA”或“CNAS”标志的检测报告原件（提供承诺，格式自拟）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无线接收器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1、无线速率：≥3000m；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2、无线协议：Wi-Fi6。</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红外发射棒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1、用于控制红外遥控设备，可延长至≥100米。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p>
        </w:tc>
      </w:tr>
      <w:tr>
        <w:trPr>
          <w:trHeight w:val="754"/>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协同中控控制子系统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单块 ≥12 个标准接口；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1、通过对Gamma表算法的优化，使得显示屏在降低亮度时能保持灰阶的完整无损失、完美显示， 呈现低亮度高灰阶的显示效果；亮色度校正：为保障屏幕色彩一致性，支持亮度、色度逐点校正，提供校正低灰补偿，保障低灰显示效果；Gamma 独立调节：支持 RGB Gamma 独立调节功能，红、绿、蓝 gamma 值可独立调节，修正颜色跳变及偏色，有效控制设备低灰不均匀、白平衡漂移等问题，使画面更加真实；</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2、智能串线功能：无需了解接收卡串线顺序，用户可根据屏幕闪烁提示，在软件上完成映射设置，便于屏幕调试；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3、异形处理：支持抽点显示与数据偏移，可完成异形屏带载，搭配专用异形发送设备时还可实现高保真图像变形显示，在异形屏幕上播放普通素材时有效避免内容缺失；</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4、一键回读：可一键回读所有配置文件信息从而快速恢复参数设置；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5、主从备份功能：为保障设备播出正常，支持接收卡主从备份功能，备份状态下，接收卡网络数据为双向传输；主从串联线路中，当其中一条线路出现故障时，另一条线路会及时工作，保证显示屏正常工作；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6、升级保护：为保证产品后续升级的安全性，程序升级支持断电保护功能，产品固件升级过程中发生意外断电时，产品仍可正常使用；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7、模组任意旋转：支持模组任意角度旋转，呈现不同形状，展现更多变的画面；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285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系统软件单元</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1、平板终端可感知单元控制的设备的状态和数据；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2、平板终端可实时反馈光感检测、PM2.5检测、门磁检测、温度检测湿度检测等各种感应检测器的检测结果；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3、平板终端之间控制状态同步；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4、平板终端接入自动与系统同步；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5、软件自动与系统和平板终端同步；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6、支持iOS、Windows平台下对系统进行交互式控制；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7、集成音频系统、数字会议系统、视频显示系统、录播系统等系统，集成可视化管理和一体化控制为一体；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8、后期系统编程、界面编辑、脚本语言编程，多平台解析软件，可根据用户要求定制化管理界面，设置多级管理权限，软件运稳定界面友好、简学易用；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9、支持对第三方设备控制。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1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电源控制器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1、配备≥3.5寸彩色TFT-LCD显示屏，可实时显示当前电压，日期时间，信道开关状态；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2、≥8路开关通道输出，每路延时开启和关闭时间可自由设置（范围0~999秒）；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3、每通道可以独立设置开启/关闭，方便设备灵活使用；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4、每通道独立滤波器，提供稳定，无干忧电流；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5、内置时钟芯片，可根据日期时间定时设置自动开启/关闭每一通道；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6、欠压、过压保护，可自定义设置保护值；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7、配置RS232和RS485接口，支持级联、中央设备控制；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8、额定输出总电流：≥40A，单路输出电流：≥20A；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9、每一路功率：可承载≥2000W；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10、每一路带滤波；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11、带级联功能。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42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手自一体PLC电源控制箱40KW</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1、通过浪涌（冲击)抗扰度试验；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2、通过电快速瞬变脉冲群抗扰度试验；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3、通过辐射骚扰抗扰度试验；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4、通过静电放电抗扰度试验；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5、手机控制：手机人机界面控制；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6、故障记录：异常报警(高温、烟雾、漏电、过载等）；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7、通讯接口：串口+网口（MODBUS-RTU+TCP）；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9、手动控制：一键启动、停止；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10、自动控制：电脑远程控制；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11、中控控制：中控协议通讯；</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1、满足要求（此项包含中控系统该系统范围内所有设备所需要的串线及配件，本项目为交钥匙工程，不允许额外增加任何费用）；包含但不限于：六类网线、电源线≥RVV3*2.5㎡等。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570"/>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5、视频信号处理系统</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159"/>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4K会议录播一体机（带显示终端）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1、通过电快速瞬变脉冲群抗扰度、浪涌（冲击）抗扰度、射频电磁场辐射抗扰度、射频场感应的传导骚扰抗扰度测试；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2、音频接口：支持≥3路LINE IN接口；≥1路3.5mm音频输入；≥2路MIC接口；具有≥1路HDMI；支持≥2路LINE OUT接口；≥1路3.5mm音频输出；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3、其他接口：要求支持≥3路RS232控制接口；具备≥3路USB3.0接口，具备≥1路USB2.0接口，支持连接鼠标、键盘进行导播控制以及主机连接U盘进行课程视频的录制、下载；要求具有≥1路TYPE-C接口；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4、要求支持≥4路RJ45网口，其中≥3路为POE网口，集供电、控制、视频传输于一体；支持摄像机智能组网，摄像机即插即用；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5、要求录播主机采用一体化嵌入式硬件设计架构；内置四核及以上处理器、Linux系统、≥8GB内存，≥1T硬盘；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6、视频编码：要求支持H.265和H.264两种视频编码协议，支持4K分辨率（3840*2160）视频的编码和录制；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7、要求支持IPV4、IPV6链路地址、IPV6外网地址三个网络地址配置，支持启用DHCP自动获取IP地址；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8、系统具有推送公网直播功能，支持通过微信扫码登录创建直播，也可以不登录直接创建直播，并可在设备上自动生成直播二维码，扫描即可观看直播，支持直播列表的查看；</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9、要求录播主机满足录制、直播、点播、互动、导播管理、存储、切换、视音频编码、语音转写、虚拟抠像、行为分析等功能，支持远程互动教学，实现远程互动网络课堂；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972"/>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录播系统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1、系统支持账号密码登录，录制模式支持电影模式、资源模式两种，能同时支持≥1路电影模式加≥6路资源录制，同时录制合成画面、教师全景、教师特写、学生全景、学生特写、电脑画面等；</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2、录制格式至少支持MP4/FLV/TS，录制分辨率支持3840*2160、1920*1080等，支持录制帧率设定，可选择25fps/30fps，码流支持1000-20000kbps可选；</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3、支持实时显示录播主机CPU的使用率，硬盘使用情况，≥6路预监画面；</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4、导播模式支持视频预览、直播输出监视、视频切换、音频调整等功能；</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支持添加字幕，支持包括系统时间在内的九种预设字幕的设置，其中系统时间支持自动校准；可直接通过拖拽实现自定义字幕显示位置；支持设置多种字体、多种颜色。系统界面自带虚拟软键盘，无需外接USB键盘，支持多种格式的字幕，可输入中文、英文、数字、特殊符号；</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6、支持导播模式设置：支持手动、半自动、全自动模式，支持查看软件版本，设备型号，硬件版本，设备编号；</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7、提供多种画面布局模式，支持视频画面叠加与组合，包括单画面、双分屏画面、三分屏画面、四分屏画面显示；</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8、支持≥4种片头和≥4种片尾的添加，可以设置插入片头片尾的时间，支持jpg、png格式；</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9、台标支持≥4个固定位置，分别为左上、右上、左下、右下，支持手动拖拽移动台标，实现界面任意位置的台标设置，支持设定图片台标，支持jpg、png格式；</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10、支持上滑、下滑、左滑、右滑等多种切换特效，支持自定义选择≥4种特效切换速度；</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11、系统支持摄像机云台控制，可以对摄像机进行变焦、上下左右位置调整以及≥8个预置位的设置；</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12、系统支持录制倒计时和循环记录功能，支持录制到U盘；</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13、所录制的视频文件既可本地存储，也可网络平台存储。支持用户随时通过录播主机点播回放视频，并可下载；</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14、系统支持录制单个文件和限时自动分割录制功能，可选择多种自动分割时长；</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15、系统具有推送公网直播功能，并可在设备上自动生成直播二维码，扫描即可观看直播，支持直播列表的查看；</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16、要求内置微课制作功能，支持前景、人像、背景3层场景叠加，叠加的场景支持PPT、视频、图片，虚拟抠像后的人像等类型；</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17、要求支持虚拟抠像后合成的画面实现和远端进行音视频互动；</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18、可实现行为分析、实时字幕的语音转写和热词提取；</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19、系统内置行为分析系统，支持对教室人数、举手人数、站立人数、背身人数、趴下人数、低头人数、扭头人数的实时统计，并实时汇总学生的参与度、活跃度和抬头率；</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内置互动系统，支持标准SIP和H.323互动协议，支持互动列表，列表中可以显示所有与会者的信息；支持互动画面布局的显示，布局支持单分屏，双分屏，四分屏显示；互动界面支持双流、一键静音、全屏、导播设置等功能；</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21、支持对录播机进行网络检测，可实时检测服务器连通性、网络稳定性、上行下行速度、网络追踪性、网卡信息、信道状态；</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22、进入互动系统时可支持查看永久课历史记录，可输入房间号快速加入远程互动，并显示对应的课程信息，包括时长、主讲人、房间名称、房间号、丢包率、网络延时等；</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23、创建房间时支持对主题、主讲人、开课日期、开课时间和结束时间、验证方式的设置，其中验证方式支持公开和加密的选择；</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24、支持对每个互动房间自动分配短号，可以通过短号直接实现多个设备间的互动；</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25、系统支持中英文版本切换；</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color w:val="000000"/>
                <w:sz w:val="24"/>
                <w:lang w:val="en-US" w:eastAsia="zh-CN" w:bidi="ar"/>
              </w:rPr>
              <w:t xml:space="preserve">1、2、3、8、9、10、20</w:t>
            </w:r>
            <w:r>
              <w:rPr>
                <w:rFonts w:hint="eastAsia" w:ascii="仿宋" w:hAnsi="仿宋" w:eastAsia="仿宋" w:cs="仿宋"/>
                <w:color w:val="000000"/>
                <w:sz w:val="24"/>
                <w:lang w:bidi="ar"/>
              </w:rPr>
              <w:t xml:space="preserve">，中标后签订合同前需提供带有“CMA”或“CNAS”标志的检测报告原件（提供承诺，格式自拟）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4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导播控制系统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1、要求配合录播系统使用，支持基于网络的远程导播；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2、要求支持局域网搜索功能，自动适配录播一体机；同时还支持手动添加，支持将指定的录播一体机通过IP搜索加入管理列表；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3、要求导播界面可以实时预览视频画面，包括主画面和每个通道画面；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4、要求支持远程管理录播系统；可进入后台管理界面，远程管理录播一体机的网络、视频、音频、互动、基础配置、直播、录制、文件管理等功能；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5、要求支持查看录播主机状态，支持管理多个录播主机。</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85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键鼠套装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1、键盘接口 USB；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2、键盘按键数 ≥104键；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3、具有多媒体功能键、音频接口、符合人体工学。</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99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实际大数据处理决策中控平台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1、高清HDMI矩阵，标准机架设计，高度为1U；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2、支持≥8路HDMI输入，≥8路HDMI输出，输入输出均支持HDMI1.4a协议，分辨率可达4K@30Hz、1080@120Hz；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3、每路输入接口均支持HDCP解析、支持EDID透传和学习；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4、采用水晶可视化按键，同时首创两键式操作，让信号切换更加简单有效，操作人员零基础就可以轻松掌握所有操作；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5、支持可视化按键、RS-232、TCP/IP以及遥控多种控制方式；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6、前面板LCD显示屏能够实时显示矩阵信号切换状态及系统配置；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7、采用ESD静电防护设计，能承受人体放电模式：  ± 8kV (气隙放电)，± 4kV (接触放电)，有效地避免了静电对设备的干扰及损害。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HDMI发送器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1、发送端：输入接口：≥1路HDMI输入，输出接口：≥1路RJ45出；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 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HDMI接收器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1、接收端：输入接口：≥1路RJ45，输出接口：≥1路HDMI输出；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184"/>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4K带云台高清室内摄像机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1、采用≥1/2.5英寸高品质图像传感器，最大分辨率可达4K@60fps；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2、≥12X光学变焦,80.4°广角镜头； 焦距范围≥ f=3.85mm～46.2mm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9、为了保证摄像机图像输出效果，水平分辨率≥3840像素；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10、旋转角度范围：水平≥±110°；垂直≥±30°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★9-10，中标后签订合同前需提供带有“CMA”或“CNAS”标志的检测报告原件（提供承诺，格式自拟）。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摄像头固定支架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1、配套吸顶或者壁挂。</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摄像头移动支架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1、云台类型：液压云台；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2、材质：碳纤维；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3、脚架节数：≥3节；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4、展开高度：≥1.6-1.7m。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1、满足要求（此项包含视频信号处理系统该系统范围内所有设备所需要的串线及配件，本项目为交钥匙工程，不允许额外增加任何费用）；包含但不限于：HDMI高清线、六类屏蔽网线、电源线≥RVV3*1.5㎡等。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285"/>
        </w:trPr>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6、辅料</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1、尺寸：≥120㎝*90㎝*75㎝。</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≥1000-1760mm；横杆长度≥ 530-910mm。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1154"/>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线阵列扬声器吊挂支架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1、线阵音箱田字架。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425"/>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电动葫芦</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1、纯铜电机：220V纯紫铜电机；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2、电机外壳：合金外壳坚固高散热；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3、电机风罩风扇：合金风罩加≥8叶加大风扇；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4、电机钢丝绳：≥137股镀锌防旋转钢丝绳；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5、电机转速：每分钟≥3000转。</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1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24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无线投屏器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1、为确保投屏稳定性，投屏需采用接收端与发送端双硬件设备;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2、兼容Windows 7/8/10、Windows平板、I0S平板/手机、Android平板/手机以及Mac 0SX;</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3、传屏不占用电脑wifi，电脑仍可以上网;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4、内置路由功能，网口连接互联网，手机连接盒子热点传屏时仍可上网，最大可同时连接≥8个发送端;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5、投屏分辨率≥3840*2160，帧率≥30帧每秒，且支持4:3分辨率;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6、支持传屏锁定功能，锁定模式下，新电脑无法投屏;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7、支持批注同步功能，可以对传屏画面进行实时批注;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8、批注后的画面，支持广域网/局域网二维码分享;</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9、主持人模式，主持人可以通过触摸或者鼠标选择指定电脑进行传屏或结束。</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70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1、现场定制。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960"/>
        </w:trPr>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5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bl>
    <w:p>
      <w:pPr>
        <w:pStyle w:val="747"/>
        <w:jc w:val="left"/>
        <w:spacing w:line="48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w:t>
      </w:r>
      <w:r>
        <w:rPr>
          <w:rFonts w:ascii="Segoe UI" w:hAnsi="Segoe UI" w:eastAsia="Segoe UI" w:cs="Segoe UI"/>
          <w:b/>
          <w:bCs/>
          <w:i w:val="0"/>
          <w:iCs w:val="0"/>
          <w:caps w:val="0"/>
          <w:color w:val="0f1115"/>
          <w:spacing w:val="0"/>
          <w:sz w:val="24"/>
          <w:szCs w:val="24"/>
          <w:shd w:val="clear" w:color="auto" w:fill="ffffff"/>
        </w:rPr>
        <w:t xml:space="preserve">（二）系统集成及声学性能要求</w:t>
      </w:r>
      <w:r/>
    </w:p>
    <w:p>
      <w:pPr>
        <w:pStyle w:val="747"/>
        <w:ind w:firstLine="600"/>
        <w:jc w:val="left"/>
        <w:spacing w:line="480" w:lineRule="exact"/>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1.大报告厅清单“1、音频系统”中1-18项”、小报告厅清单“1、音频系统”中1-11项”各设备能满足系统兼容性要求，投标人应确保所投设备能够组成完整、稳定、性能达标的音频系统，并提供详细的系统集成方案（含系统连接拓扑图、信号流程图及兼容性说明）。</w:t>
      </w:r>
      <w:r/>
    </w:p>
    <w:p>
      <w:pPr>
        <w:pStyle w:val="747"/>
        <w:numPr>
          <w:ilvl w:val="0"/>
          <w:numId w:val="0"/>
        </w:numPr>
        <w:ind w:firstLine="562"/>
        <w:jc w:val="left"/>
        <w:spacing w:line="480" w:lineRule="exact"/>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lang w:val="en-US" w:eastAsia="zh-CN" w:bidi="ar-SA"/>
        </w:rPr>
        <w:t xml:space="preserve">2.</w:t>
      </w:r>
      <w:r>
        <w:rPr>
          <w:rFonts w:hint="eastAsia" w:ascii="仿宋" w:hAnsi="仿宋" w:eastAsia="仿宋" w:cs="仿宋"/>
          <w:b w:val="0"/>
          <w:bCs w:val="0"/>
          <w:color w:val="000000"/>
          <w:sz w:val="30"/>
          <w:szCs w:val="30"/>
          <w:highlight w:val="none"/>
          <w:lang w:val="en-US" w:eastAsia="zh-CN"/>
        </w:rPr>
        <w:t xml:space="preserve">投标人应提供所投线阵列扬声器的声学性能参数（包括但不限于频率响应、指向性、灵敏度、最大声压级等），并提供第三方声学模拟软件数据或实测检测报告作为佐证。</w:t>
      </w:r>
      <w:r/>
    </w:p>
    <w:p>
      <w:pPr>
        <w:pStyle w:val="769"/>
        <w:ind w:left="0" w:right="0" w:firstLine="240"/>
        <w:jc w:val="both"/>
        <w:keepLines w:val="0"/>
        <w:keepNext w:val="0"/>
        <w:spacing w:before="0" w:beforeAutospacing="0" w:after="0" w:afterAutospacing="0"/>
        <w:widowControl w:val="off"/>
        <w:tabs>
          <w:tab w:val="left" w:pos="0" w:leader="none"/>
        </w:tabs>
        <w:rPr>
          <w:rFonts w:hint="eastAsia" w:ascii="仿宋" w:hAnsi="仿宋" w:eastAsia="仿宋" w:cs="仿宋"/>
          <w:color w:val="000000"/>
          <w:sz w:val="30"/>
          <w:szCs w:val="30"/>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0"/>
          <w:szCs w:val="30"/>
          <w:lang w:bidi="ar-SA"/>
        </w:rPr>
        <w:t xml:space="preserve">（</w:t>
      </w:r>
      <w:r>
        <w:rPr>
          <w:rFonts w:hint="eastAsia" w:ascii="仿宋" w:hAnsi="仿宋" w:eastAsia="仿宋" w:cs="仿宋"/>
          <w:color w:val="000000"/>
          <w:sz w:val="30"/>
          <w:szCs w:val="30"/>
          <w:lang w:val="en-US" w:eastAsia="zh-CN" w:bidi="ar-SA"/>
        </w:rPr>
        <w:t xml:space="preserve">三</w:t>
      </w:r>
      <w:r>
        <w:rPr>
          <w:rFonts w:hint="eastAsia" w:ascii="仿宋" w:hAnsi="仿宋" w:eastAsia="仿宋" w:cs="仿宋"/>
          <w:color w:val="000000"/>
          <w:sz w:val="30"/>
          <w:szCs w:val="30"/>
          <w:lang w:bidi="ar-SA"/>
        </w:rPr>
        <w:t xml:space="preserve">）投标文件要求：</w:t>
      </w:r>
      <w:r/>
    </w:p>
    <w:p>
      <w:pPr>
        <w:pStyle w:val="769"/>
        <w:ind w:left="0" w:firstLine="485"/>
        <w:jc w:val="both"/>
        <w:keepLines w:val="0"/>
        <w:keepNext w:val="0"/>
        <w:spacing w:before="0" w:beforeAutospacing="0" w:after="0" w:afterAutospacing="0"/>
        <w:widowControl w:val="off"/>
        <w:tabs>
          <w:tab w:val="left" w:pos="0" w:leader="none"/>
        </w:tabs>
        <w:rPr>
          <w:rFonts w:hint="eastAsia" w:ascii="仿宋" w:hAnsi="仿宋" w:eastAsia="仿宋" w:cs="仿宋"/>
          <w:color w:val="000000"/>
          <w:sz w:val="30"/>
          <w:szCs w:val="30"/>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0"/>
          <w:szCs w:val="30"/>
          <w:lang w:bidi="ar-SA"/>
        </w:rPr>
        <w:t xml:space="preserve">1.投标文件中提供《所投产品的技术规格(技术性能)》文件。</w:t>
      </w:r>
      <w:r/>
    </w:p>
    <w:p>
      <w:pPr>
        <w:pStyle w:val="769"/>
        <w:ind w:firstLine="485"/>
        <w:jc w:val="both"/>
        <w:spacing w:after="0"/>
        <w:tabs>
          <w:tab w:val="left" w:pos="0" w:leader="none"/>
        </w:tabs>
        <w:rPr>
          <w:rFonts w:hint="eastAsia" w:ascii="仿宋" w:hAnsi="仿宋" w:eastAsia="仿宋" w:cs="仿宋"/>
          <w:b w:val="0"/>
          <w:bCs w:val="0"/>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30"/>
          <w:szCs w:val="30"/>
          <w:lang w:bidi="ar-SA"/>
        </w:rPr>
        <w:t xml:space="preserve">2.《所投产品的技术规格(技术性能)》文件按照“（一）技术规格（技术性能）具体要求”编制。</w:t>
      </w:r>
      <w:r/>
    </w:p>
    <w:p>
      <w:pPr>
        <w:pStyle w:val="969"/>
        <w:ind w:firstLine="562"/>
        <w:spacing w:line="500" w:lineRule="exact"/>
        <w:rPr>
          <w:rFonts w:hint="eastAsia" w:ascii="Times New Roman" w:hAnsi="Times New Roman" w:eastAsia="宋体" w:cs="Times New Roman"/>
          <w:b/>
          <w:bCs/>
          <w:color w:val="000000"/>
          <w:sz w:val="24"/>
          <w:szCs w:val="24"/>
          <w:lang w:val="en-US" w:eastAsia="zh-CN" w:bidi="ar-SA"/>
        </w:rPr>
      </w:pPr>
      <w:r>
        <w:rPr>
          <w:rFonts w:hint="eastAsia" w:ascii="Times New Roman" w:hAnsi="Times New Roman" w:eastAsia="宋体" w:cs="Times New Roman"/>
          <w:b/>
          <w:bCs/>
          <w:color w:val="000000"/>
          <w:sz w:val="24"/>
          <w:szCs w:val="24"/>
          <w:lang w:val="en-US" w:eastAsia="zh-CN" w:bidi="ar-SA"/>
        </w:rPr>
        <w:t xml:space="preserve">四、基本要求</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30"/>
          <w:szCs w:val="30"/>
          <w:lang w:val="en-US" w:eastAsia="zh-CN" w:bidi="ar-SA"/>
        </w:rPr>
        <w:t xml:space="preserve">1.场馆的声场效果要达到音乐2级及以上。</w:t>
      </w:r>
      <w:r>
        <w:rPr>
          <w:rFonts w:hint="eastAsia" w:ascii="仿宋" w:hAnsi="仿宋" w:eastAsia="仿宋" w:cs="仿宋"/>
          <w:color w:val="000000"/>
          <w:sz w:val="28"/>
          <w:szCs w:val="28"/>
          <w:lang w:val="en-US" w:eastAsia="zh-CN"/>
        </w:rPr>
        <w:t xml:space="preserve">确保扩声系统具备良好的清晰度、均匀性和自然感，满足大型演出、会议、讲座等多场景使用需求。</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2.所投产品必须是全新、未使用过的原装合格正品，完全符合采购文件规定的质量、规格和性能要求，达到国家或行业规定的相关标准。属于国家强制认证的产品，必须通过认证。</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产品必须为生产厂家整机原包装，进场时应附有完整的装箱单、使用说明书、产品合格证书、保修单及相关附件、备件等资料，且齐全有效。对非原厂原包装进场的设备，或相关资料、配件不全的，采购人有权拒绝签收。</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投标人须在项目实施前提交详细的实施方案，包括但不限于技术路线、施工组织计划、人员安排、安全措施等内容，并报采购人审批后方可实施。项目实施期间，中标人应无条件接受采购人的监督管理，发现问题须立即整改，整改完成后通知采购人复查验收并备案。</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中标人应对本项目中所有货物、技术、资料、服务及其他组成部分享有无偿使用权，采购人可自由使用而不受第三方知识产权主张影响。若因中标人提供的成果引发专利权、著作权、商标权等侵权纠纷，由中标人承担全部法律责任及费用。</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6.与本次采购项目相关的质量、安全问题均由中标人全面负责，相关的人身、财产责任风险亦由中标人自行承担。</w:t>
      </w:r>
      <w:r/>
    </w:p>
    <w:p>
      <w:pPr>
        <w:pStyle w:val="969"/>
        <w:ind w:firstLine="562"/>
        <w:spacing w:line="500" w:lineRule="exact"/>
        <w:rPr>
          <w:rFonts w:hint="eastAsia"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7.图纸获取方式</w:t>
      </w:r>
      <w:r/>
    </w:p>
    <w:p>
      <w:pPr>
        <w:pStyle w:val="969"/>
        <w:ind w:firstLine="562"/>
        <w:spacing w:line="500" w:lineRule="exact"/>
        <w:rPr>
          <w:rFonts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注：因苏采云系统原因，电子版图纸无法上传到“徐州政府采购网”。电子版图纸获取方法：发送获取申请至邮箱jszjlihaimo@163.com领取；联系人：李海沫、柴鑫；联系电话：0516-83205176。</w:t>
      </w:r>
      <w:r/>
    </w:p>
    <w:p>
      <w:pPr>
        <w:pStyle w:val="969"/>
        <w:ind w:firstLine="562"/>
        <w:spacing w:line="500" w:lineRule="exact"/>
        <w:rPr>
          <w:rFonts w:hint="eastAsia" w:ascii="仿宋" w:hAnsi="仿宋" w:eastAsia="仿宋" w:cs="仿宋"/>
          <w:b/>
          <w:bCs/>
          <w:color w:val="000000"/>
          <w:sz w:val="30"/>
          <w:szCs w:val="30"/>
          <w:lang w:val="en-US" w:eastAsia="zh-CN" w:bidi="ar-SA"/>
        </w:rPr>
      </w:pPr>
      <w:r>
        <w:rPr>
          <w:rFonts w:hint="eastAsia"/>
          <w:b/>
          <w:bCs/>
          <w:lang w:val="en-US" w:eastAsia="zh-CN"/>
        </w:rPr>
        <w:t xml:space="preserve">五</w:t>
      </w:r>
      <w:r>
        <w:rPr>
          <w:rFonts w:hint="eastAsia" w:ascii="仿宋" w:hAnsi="仿宋" w:eastAsia="仿宋" w:cs="仿宋"/>
          <w:b/>
          <w:bCs/>
          <w:color w:val="000000"/>
          <w:sz w:val="30"/>
          <w:szCs w:val="30"/>
          <w:lang w:val="en-US" w:eastAsia="zh-CN" w:bidi="ar-SA"/>
        </w:rPr>
        <w:t xml:space="preserve">、商务（服务）要求</w:t>
      </w:r>
      <w:r/>
    </w:p>
    <w:p>
      <w:pPr>
        <w:pStyle w:val="969"/>
        <w:ind w:firstLine="560"/>
        <w:spacing w:line="500" w:lineRule="exact"/>
        <w:rPr>
          <w:rFonts w:hint="eastAsia" w:ascii="仿宋" w:hAnsi="仿宋" w:eastAsia="仿宋" w:cs="仿宋"/>
          <w:color w:val="000000"/>
          <w:sz w:val="28"/>
          <w:szCs w:val="28"/>
        </w:rPr>
      </w:pPr>
      <w:r>
        <w:rPr>
          <w:rFonts w:hint="eastAsia" w:ascii="宋体" w:hAnsi="宋体" w:eastAsia="宋体" w:cs="宋体"/>
          <w:color w:val="000000"/>
          <w:sz w:val="28"/>
          <w:szCs w:val="28"/>
          <w:lang w:val="en-US" w:eastAsia="zh-CN"/>
        </w:rPr>
        <w:t xml:space="preserve">★</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lang w:val="en-US" w:eastAsia="zh-CN"/>
        </w:rPr>
        <w:t xml:space="preserve">工期</w:t>
      </w:r>
      <w:r>
        <w:rPr>
          <w:rFonts w:hint="eastAsia" w:ascii="仿宋" w:hAnsi="仿宋" w:eastAsia="仿宋" w:cs="仿宋"/>
          <w:color w:val="000000"/>
          <w:sz w:val="28"/>
          <w:szCs w:val="28"/>
        </w:rPr>
        <w:t xml:space="preserve">要求：</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供货：签订合同后30天内所有设备进场；</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安装：签订合同后50天内完成设备安装、调试及验收工作。</w:t>
      </w:r>
      <w:r/>
    </w:p>
    <w:p>
      <w:pPr>
        <w:pStyle w:val="969"/>
        <w:ind w:firstLine="560"/>
        <w:spacing w:line="50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提供详细的供货保障方案</w:t>
      </w:r>
      <w:r>
        <w:rPr>
          <w:rFonts w:hint="eastAsia" w:ascii="仿宋" w:hAnsi="仿宋" w:eastAsia="仿宋" w:cs="仿宋"/>
          <w:b w:val="0"/>
          <w:bCs w:val="0"/>
          <w:color w:val="000000"/>
          <w:sz w:val="30"/>
          <w:szCs w:val="30"/>
          <w:highlight w:val="none"/>
        </w:rPr>
        <w:t xml:space="preserve">（设备清单明细、分批到货计划、运输方式及路线、运输过程防护措施）</w:t>
      </w:r>
      <w:r>
        <w:rPr>
          <w:rFonts w:hint="eastAsia" w:ascii="仿宋" w:hAnsi="仿宋" w:eastAsia="仿宋" w:cs="仿宋"/>
          <w:b w:val="0"/>
          <w:bCs w:val="0"/>
          <w:color w:val="000000"/>
          <w:sz w:val="30"/>
          <w:szCs w:val="30"/>
          <w:highlight w:val="none"/>
          <w:lang w:eastAsia="zh-CN"/>
        </w:rPr>
        <w:t xml:space="preserve">，</w:t>
      </w:r>
      <w:r>
        <w:rPr>
          <w:rFonts w:hint="eastAsia" w:ascii="仿宋" w:hAnsi="仿宋" w:eastAsia="仿宋" w:cs="仿宋"/>
          <w:b w:val="0"/>
          <w:bCs w:val="0"/>
          <w:color w:val="000000"/>
          <w:sz w:val="30"/>
          <w:szCs w:val="30"/>
          <w:highlight w:val="none"/>
          <w:lang w:val="en-US" w:eastAsia="zh-CN"/>
        </w:rPr>
        <w:t xml:space="preserve">格式自拟。</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(二）质保期及服务要求：</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1.质保要求</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1.1保修范围包括整机及其所有附件。保证产品为全新原厂设备，保修期内，提供免费的维修、更换损坏零部件及技术咨询服务。</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1.2中标人要根据现有图纸进行二次深化，深化后的图纸要经总设计单位认可。对由于设计、工艺或材料的缺陷等原因而发生的任何不足或故障由中标人负责。</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1.3所投产品提供5年免费原厂质保，提供售后服务承诺书。所有</w:t>
      </w:r>
      <w:r>
        <w:rPr>
          <w:rFonts w:hint="eastAsia" w:ascii="仿宋" w:hAnsi="仿宋" w:eastAsia="仿宋" w:cs="仿宋"/>
          <w:color w:val="000000"/>
          <w:sz w:val="28"/>
          <w:szCs w:val="28"/>
          <w:lang w:val="zh-CN" w:eastAsia="zh-CN"/>
        </w:rPr>
        <w:t xml:space="preserve">设备</w:t>
      </w:r>
      <w:r>
        <w:rPr>
          <w:rFonts w:hint="eastAsia" w:ascii="仿宋" w:hAnsi="仿宋" w:eastAsia="仿宋" w:cs="仿宋"/>
          <w:color w:val="000000"/>
          <w:sz w:val="28"/>
          <w:szCs w:val="28"/>
          <w:lang w:val="en-US" w:eastAsia="zh-CN"/>
        </w:rPr>
        <w:t xml:space="preserve">需</w:t>
      </w:r>
      <w:r>
        <w:rPr>
          <w:rFonts w:hint="eastAsia" w:ascii="仿宋" w:hAnsi="仿宋" w:eastAsia="仿宋" w:cs="仿宋"/>
          <w:color w:val="000000"/>
          <w:sz w:val="28"/>
          <w:szCs w:val="28"/>
          <w:lang w:val="zh-CN" w:eastAsia="zh-CN"/>
        </w:rPr>
        <w:t xml:space="preserve">提供终身维修、维护，软件终身维护</w:t>
      </w:r>
      <w:r>
        <w:rPr>
          <w:rFonts w:hint="eastAsia" w:ascii="仿宋" w:hAnsi="仿宋" w:eastAsia="仿宋" w:cs="仿宋"/>
          <w:color w:val="000000"/>
          <w:sz w:val="28"/>
          <w:szCs w:val="28"/>
          <w:lang w:val="en-US" w:eastAsia="zh-CN"/>
        </w:rPr>
        <w:t xml:space="preserve">且中标人承担软件年费、信息费等相关费用</w:t>
      </w: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中标人接到保修请求，应在4小时内响应，24小时内维修人员到达现场，必要时应向采购人提供应急备用设备。中标人应提供咨询与全面技术支持，及时将其发现并掌握的有关设备的操作、故障检测、故障排除方法及一些新的技术发展通知采购人。</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1.4 保修期内，每年提供5次大型活动保障。</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2.安装要求：中标人按照采购人的要求免费安装和调试。</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3.培训要求：</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3.1免费为使用单位操作及工程技术人员提供培训，保证操作及工程技术人员能够正常使用设备的各种功能；</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3.2培训内容：主要培训内容为仪器的基本原理、设备的硬件组成、安装，上机操作、日常保养与维护，常见故障的排除，紧急情况的处理等。</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3.3培训材料：中标人免费提供全面、完整、详细的技术手册，包括介绍、现场安装、软件操作、故障处理、维护以及使用安全。</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4.定期巡检服务：每学期开学初和学期末对软硬件巡检一次。</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宋体" w:hAnsi="宋体" w:eastAsia="宋体" w:cs="宋体"/>
          <w:color w:val="000000"/>
          <w:sz w:val="28"/>
          <w:szCs w:val="28"/>
          <w:lang w:val="en-US" w:eastAsia="zh-CN"/>
        </w:rPr>
        <w:t xml:space="preserve">★</w:t>
      </w:r>
      <w:r>
        <w:rPr>
          <w:rFonts w:hint="eastAsia" w:ascii="仿宋" w:hAnsi="仿宋" w:eastAsia="仿宋" w:cs="仿宋"/>
          <w:color w:val="000000"/>
          <w:sz w:val="28"/>
          <w:szCs w:val="28"/>
          <w:lang w:val="en-US" w:eastAsia="zh-CN"/>
        </w:rPr>
        <w:t xml:space="preserve">5.验收方法及标准：</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5.1标的物验收包括但不限于检查项目资料的完整性、中标人对本项目中提出的采购需求的实现情况及其一致性等。</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5.2标的物符合我国最新颁布的与之相关的质量技术规范与标准，并同时满足招标文件要求、中标人所作承诺和采购人等部门的考核要求。在中标人完成全部采购内容并交付达到国家相关验收标准时，采购人应当自标的物交付验收之日起七个工作日内组织验收，采购人独立委托第三方对声学、舞台机械、灯光、中控和录播系统进行验收，验收结论如不符合招标要求，或设备安装调试后支行三个月内出现任何故障，中标人要无条件更换全新设备。中标人对货物或服务缺陷不予更正，采购人有权另请其他单位更正。验收所发生的费用由中标人承担。</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6.其他需要明确的内容：</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中标人交货时需提供货物所必备的各种证书及相关证明材料、技术资料；</w:t>
      </w:r>
      <w:r/>
    </w:p>
    <w:p>
      <w:pPr>
        <w:pStyle w:val="969"/>
        <w:ind w:firstLine="562"/>
        <w:spacing w:line="500" w:lineRule="exact"/>
        <w:rPr>
          <w:rFonts w:hint="eastAsia" w:ascii="仿宋" w:hAnsi="仿宋" w:eastAsia="仿宋" w:cs="仿宋"/>
          <w:color w:val="000000"/>
          <w:sz w:val="30"/>
          <w:szCs w:val="30"/>
          <w:lang w:val="en-US" w:eastAsia="zh-CN" w:bidi="ar-SA"/>
        </w:rPr>
      </w:pPr>
      <w:r/>
      <w:bookmarkStart w:id="15" w:name="_Toc13543213"/>
      <w:r>
        <w:rPr>
          <w:rFonts w:hint="eastAsia" w:ascii="仿宋" w:hAnsi="仿宋" w:eastAsia="仿宋" w:cs="仿宋"/>
          <w:b/>
          <w:bCs/>
          <w:color w:val="000000"/>
          <w:sz w:val="30"/>
          <w:szCs w:val="30"/>
          <w:lang w:val="en-US" w:eastAsia="zh-CN" w:bidi="ar-SA"/>
        </w:rPr>
        <w:t xml:space="preserve">五、履约保证金收取</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（一）拟中标人应当在中标公告起三日内向采购人交纳招标项目履约保证金，具体金额为中标价的5%。拟中标人应当按照采购人的要求及时、足额缴纳履约保证金。</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单位名称：徐州生物工程职业技术学院</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开户行名称：江苏银行徐州科技支行</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银行帐号：60200188000406012</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地址：徐州市西三环路297号</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电话：0516-85753082</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（三）中标公告后三日内交纳履约保证金。</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如果拟中标人没有在规定的时间内交纳履约保证金，或对招标项目的质疑（投诉）成立，或拒绝遵守招标文件规定、响应承诺，或拒绝签订合同，或虽签署合同但不予履行等，则取消（拟）中标人资格，已经缴纳的履约保证金作为违约金不予退还。</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履约保证金退还：中标人缴纳的履约保证金，待合同标的履约完成、验收合格、合同期限结束（或服务期结束）后30日内一次性无息退还（凭“履约保证金退付申请书”及“收款收据原件”到学校财务处办理退款手续）。如果中标人不履行合同约定的义务，未能完全履行合同规定的义务或其履行不符合合同的约定，采购人有权扣除履约保证金取得补偿。</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（六）因（拟）中标人提供的基本帐户信息错误而导致保证金误退等情况由（拟）中标人承担。</w:t>
      </w:r>
      <w:r/>
    </w:p>
    <w:p>
      <w:pPr>
        <w:pStyle w:val="969"/>
        <w:ind w:firstLine="562"/>
        <w:spacing w:line="500" w:lineRule="exact"/>
        <w:rPr>
          <w:rFonts w:hint="eastAsia" w:ascii="仿宋" w:hAnsi="仿宋" w:eastAsia="仿宋" w:cs="仿宋"/>
          <w:b/>
          <w:bCs/>
          <w:color w:val="000000"/>
          <w:sz w:val="30"/>
          <w:szCs w:val="30"/>
          <w:lang w:val="en-US" w:eastAsia="zh-CN" w:bidi="ar-SA"/>
        </w:rPr>
      </w:pPr>
      <w:r/>
      <w:bookmarkStart w:id="16" w:name="_Toc13543220"/>
      <w:r>
        <w:rPr>
          <w:rFonts w:hint="eastAsia" w:ascii="仿宋" w:hAnsi="仿宋" w:eastAsia="仿宋" w:cs="仿宋"/>
          <w:b/>
          <w:bCs/>
          <w:color w:val="000000"/>
          <w:sz w:val="30"/>
          <w:szCs w:val="30"/>
          <w:lang w:val="en-US" w:eastAsia="zh-CN" w:bidi="ar-SA"/>
        </w:rPr>
        <w:t xml:space="preserve">六、</w:t>
      </w:r>
      <w:bookmarkEnd w:id="16"/>
      <w:r>
        <w:rPr>
          <w:rFonts w:hint="eastAsia" w:ascii="仿宋" w:hAnsi="仿宋" w:eastAsia="仿宋" w:cs="仿宋"/>
          <w:b/>
          <w:bCs/>
          <w:color w:val="000000"/>
          <w:sz w:val="30"/>
          <w:szCs w:val="30"/>
          <w:lang w:val="en-US" w:eastAsia="zh-CN" w:bidi="ar-SA"/>
        </w:rPr>
        <w:t xml:space="preserve">合同签订要求</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（一）投标人如对合同中的具体条款有异议，需在投标文件（偏离表）中写明相应修改意见。</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（二）投标人如对合同中的具体条款有异议，但是没有在投标文件（偏离表）中写明相应修改意见的，在中标后不得再以对合同具体条款有异议为由拒绝签订合同。</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（三）投标人如对合同中的具体条款没有异议，请在中标后根据招投标文件实质性条款补充、完善合同相应条款内容。</w:t>
      </w:r>
      <w:r/>
    </w:p>
    <w:p>
      <w:pPr>
        <w:pStyle w:val="969"/>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中标人应当自中标通知书发出之日起十五日内按照采购文件确定的事项签订采购合同，最迟不得超过三十日。如因中标人原因导致双方无法签订书面合同的，采购人有权取消中标人中标资格，并要求中标人依法承担法律责任。</w:t>
      </w:r>
      <w:r/>
    </w:p>
    <w:p>
      <w:pPr>
        <w:pStyle w:val="969"/>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七、</w:t>
      </w:r>
      <w:bookmarkEnd w:id="15"/>
      <w:r>
        <w:rPr>
          <w:rFonts w:hint="eastAsia" w:ascii="仿宋" w:hAnsi="仿宋" w:eastAsia="仿宋" w:cs="仿宋"/>
          <w:b/>
          <w:bCs/>
          <w:color w:val="000000"/>
          <w:sz w:val="30"/>
          <w:szCs w:val="30"/>
          <w:lang w:val="en-US" w:eastAsia="zh-CN" w:bidi="ar-SA"/>
        </w:rPr>
        <w:t xml:space="preserve">项目实施要求</w:t>
      </w:r>
      <w:r/>
    </w:p>
    <w:p>
      <w:pPr>
        <w:pStyle w:val="969"/>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项目实施质量必须严格按照国家规范及江苏省、徐州市相应地方规范、采购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p>
    <w:p>
      <w:pPr>
        <w:pStyle w:val="969"/>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2.中标人须在项目实施前把详细的实施方案报送采购人审批，经批准同意后方可以组织实施。在项目实施期间中标人应遵守项目现场及采购人的各项规章制度。</w:t>
      </w:r>
      <w:r/>
    </w:p>
    <w:p>
      <w:pPr>
        <w:pStyle w:val="969"/>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3.中标人在项目实施期间应无条件的接受采购人的监督管理，提出的质量问题要及时整改，整改完毕后通知采购人检查验收，合格后书面报送采购人备案。</w:t>
      </w:r>
      <w:r/>
    </w:p>
    <w:p>
      <w:pPr>
        <w:pStyle w:val="969"/>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采购人使用中标人的货物、技术、资料、服务或其他任何一部分时，享有无偿使用权，并免受第三方提出的侵犯其专利权、著作权、商标权或其他知识产权的起诉。如果第三方提出侵权指控，中标人应承担由此而引起的一切法律责任和费用。</w:t>
      </w:r>
      <w:r/>
    </w:p>
    <w:p>
      <w:pPr>
        <w:pStyle w:val="969"/>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5.与本次采购项目有关的质量、安全问题均由中标人负责，相关的人员、财产责任风险均由中标人承担。</w:t>
      </w:r>
      <w:r/>
    </w:p>
    <w:p>
      <w:pPr>
        <w:ind w:firstLine="56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6.为保证本项目的顺利实施，投标人应结合各自产品特点，自行设计实施方案。</w:t>
      </w:r>
      <w:r/>
    </w:p>
    <w:p>
      <w:pPr>
        <w:pStyle w:val="969"/>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八、其他要求</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商品包装要求：详见招标文件第五章《拟签订的合同文本》中“商品（合同标的）包装具体要求”。</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快递包装要求：详见招标文件第五章《拟签订的合同文本》中“快递包装具体要求”。</w:t>
      </w:r>
      <w:r/>
    </w:p>
    <w:p>
      <w:pPr>
        <w:pStyle w:val="969"/>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付款方式要求：详见招标文件第五章《拟签订的合同文本》中《第一节 政府采购合同协议书》“2.合同金额”下的“（3）付款方式”，</w:t>
      </w:r>
      <w:r>
        <w:rPr>
          <w:rFonts w:hint="eastAsia" w:ascii="仿宋" w:hAnsi="仿宋" w:eastAsia="仿宋" w:cs="仿宋"/>
          <w:b/>
          <w:bCs/>
          <w:color w:val="000000"/>
          <w:sz w:val="28"/>
          <w:szCs w:val="28"/>
          <w:lang w:val="en-US" w:eastAsia="zh-CN"/>
        </w:rPr>
        <w:t xml:space="preserve">该条款为不允许偏离的实质性要求，如有偏离，在符合性审查阶段按投标无效处理。</w:t>
      </w:r>
      <w:r/>
    </w:p>
    <w:p>
      <w:pPr>
        <w:pStyle w:val="969"/>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lang w:val="en-US" w:eastAsia="zh-CN"/>
        </w:rPr>
        <w:t xml:space="preserve">供货时间要求：见本节“五、商务（服务）要求”“</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lang w:val="en-US" w:eastAsia="zh-CN"/>
        </w:rPr>
        <w:t xml:space="preserve">工期</w:t>
      </w:r>
      <w:r>
        <w:rPr>
          <w:rFonts w:hint="eastAsia" w:ascii="仿宋" w:hAnsi="仿宋" w:eastAsia="仿宋" w:cs="仿宋"/>
          <w:color w:val="000000"/>
          <w:sz w:val="28"/>
          <w:szCs w:val="28"/>
        </w:rPr>
        <w:t xml:space="preserve">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w:t>
      </w:r>
      <w:r>
        <w:rPr>
          <w:rFonts w:hint="eastAsia" w:ascii="仿宋" w:hAnsi="仿宋" w:eastAsia="仿宋" w:cs="仿宋"/>
          <w:b/>
          <w:bCs/>
          <w:color w:val="000000"/>
          <w:sz w:val="28"/>
          <w:szCs w:val="28"/>
          <w:lang w:val="en-US" w:eastAsia="zh-CN"/>
        </w:rPr>
        <w:t xml:space="preserve">此条为不允许偏离的实质性要求和条件，如有偏离，在符合性审查时按投标无效处理。</w:t>
      </w:r>
      <w:r/>
    </w:p>
    <w:p>
      <w:pPr>
        <w:pStyle w:val="969"/>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lang w:val="en-US" w:eastAsia="zh-CN"/>
        </w:rPr>
        <w:t xml:space="preserve">验收标准：见本节“五、商务（服务）要求”“5.验收方法及标准”，</w:t>
      </w:r>
      <w:r>
        <w:rPr>
          <w:rFonts w:hint="eastAsia" w:ascii="仿宋" w:hAnsi="仿宋" w:eastAsia="仿宋" w:cs="仿宋"/>
          <w:b/>
          <w:bCs/>
          <w:color w:val="000000"/>
          <w:sz w:val="28"/>
          <w:szCs w:val="28"/>
          <w:lang w:val="en-US" w:eastAsia="zh-CN"/>
        </w:rPr>
        <w:t xml:space="preserve">为不允许偏离的实质性要求和条件，如有偏离，在符合性审查时按投标无效处理。</w:t>
      </w:r>
      <w:r/>
    </w:p>
    <w:p>
      <w:pPr>
        <w:pStyle w:val="969"/>
        <w:ind w:firstLine="562"/>
        <w:spacing w:line="500" w:lineRule="exact"/>
        <w:rPr>
          <w:rStyle w:val="722"/>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其他</w:t>
      </w:r>
      <w:r>
        <w:rPr>
          <w:rFonts w:hint="eastAsia" w:ascii="仿宋" w:hAnsi="仿宋" w:eastAsia="仿宋" w:cs="仿宋"/>
          <w:color w:val="000000"/>
          <w:sz w:val="28"/>
          <w:szCs w:val="28"/>
        </w:rPr>
        <w:t xml:space="preserve">见招标文件第五章《拟签订的合同文本》。</w:t>
      </w:r>
      <w:bookmarkStart w:id="17" w:name="_Toc17335"/>
      <w:r/>
      <w:bookmarkStart w:id="18" w:name="_Toc522790136"/>
      <w:r>
        <w:rPr>
          <w:rStyle w:val="722"/>
          <w:rFonts w:hint="eastAsia" w:ascii="仿宋" w:hAnsi="仿宋" w:eastAsia="仿宋" w:cs="仿宋"/>
          <w:color w:val="000000"/>
        </w:rPr>
        <w:br w:type="page" w:clear="all"/>
      </w:r>
      <w:r>
        <w:rPr>
          <w:rStyle w:val="722"/>
          <w:rFonts w:hint="eastAsia" w:ascii="仿宋" w:hAnsi="仿宋" w:eastAsia="仿宋" w:cs="仿宋"/>
          <w:color w:val="000000"/>
        </w:rPr>
        <w:t xml:space="preserve">第七章  投标文件相关格式</w:t>
      </w:r>
      <w:bookmarkEnd w:id="17"/>
      <w:r/>
      <w:bookmarkEnd w:id="18"/>
      <w:r/>
      <w:r/>
    </w:p>
    <w:p>
      <w:pPr>
        <w:jc w:val="center"/>
        <w:rPr>
          <w:rFonts w:hint="eastAsia" w:ascii="仿宋" w:hAnsi="仿宋" w:eastAsia="仿宋" w:cs="仿宋"/>
          <w:color w:val="000000"/>
          <w:sz w:val="24"/>
        </w:rPr>
      </w:pPr>
      <w:r>
        <w:rPr>
          <w:rFonts w:hint="eastAsia" w:ascii="仿宋" w:hAnsi="仿宋" w:eastAsia="仿宋" w:cs="仿宋"/>
          <w:color w:val="000000"/>
          <w:sz w:val="24"/>
        </w:rPr>
      </w:r>
      <w:r/>
    </w:p>
    <w:p>
      <w:pPr>
        <w:spacing w:line="520" w:lineRule="exac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一、投标函格式</w:t>
      </w:r>
      <w:r/>
    </w:p>
    <w:p>
      <w:pPr>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致：</w:t>
      </w:r>
      <w:r>
        <w:rPr>
          <w:rFonts w:hint="eastAsia" w:ascii="仿宋" w:hAnsi="仿宋" w:eastAsia="仿宋" w:cs="仿宋"/>
          <w:color w:val="000000"/>
          <w:sz w:val="30"/>
          <w:szCs w:val="30"/>
          <w:u w:val="single"/>
        </w:rPr>
        <w:t xml:space="preserve">江苏中际招标代理有限公司</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根据</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]招标文件，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(姓名)代表我方</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（投标人的名称）全权处理本次投标的有关事宜。</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据此函，投标人承诺并同意如下： </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 投标人唯一投标报价见《开标一览表》。</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 投标人将按招标文件的规定履行合同责任和义务。</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4. 投标有效期为开标之日后90天。</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5. 投标人同意提供按照贵方可能要求的与其投标有关的一切数据或资料，完全理解贵方不一定接受最低价的投标或收到的任何投标。</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6. 投标人同意在授予合同后，按照有关规定支付公证费(如有)。</w:t>
      </w:r>
      <w:r/>
    </w:p>
    <w:p>
      <w:pPr>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7. 江苏中际招标代理有限公司有权将我单位本项目的《开标一览表》和《分项价格表》予以公示，公示的方式由江苏中际招标代理有限公司确定。</w:t>
      </w:r>
      <w:r/>
    </w:p>
    <w:p>
      <w:pPr>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9. 与本投标有关的一切正式往来信函请寄：</w:t>
      </w:r>
      <w:r/>
    </w:p>
    <w:p>
      <w:pPr>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地址： </w:t>
      </w:r>
      <w:r/>
    </w:p>
    <w:p>
      <w:pPr>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电话： </w:t>
      </w:r>
      <w:r/>
    </w:p>
    <w:p>
      <w:pPr>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传真： </w:t>
      </w:r>
      <w:r/>
    </w:p>
    <w:p>
      <w:pPr>
        <w:ind w:firstLine="27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2700"/>
        <w:keepLines w:val="0"/>
        <w:keepNext w:val="0"/>
        <w:pageBreakBefore w:val="0"/>
        <w:spacing w:line="240" w:lineRule="auto"/>
        <w:widowControl w:val="off"/>
        <w:rPr>
          <w:rFonts w:hint="eastAsia" w:ascii="仿宋" w:hAnsi="仿宋" w:eastAsia="仿宋" w:cs="仿宋"/>
          <w:color w:val="000000"/>
          <w:sz w:val="32"/>
          <w:szCs w:val="32"/>
        </w:rPr>
        <w:outlineLvl w:val="9"/>
      </w:pPr>
      <w:r>
        <w:rPr>
          <w:rFonts w:hint="eastAsia" w:ascii="仿宋" w:hAnsi="仿宋" w:eastAsia="仿宋" w:cs="仿宋"/>
          <w:color w:val="000000"/>
          <w:sz w:val="30"/>
          <w:szCs w:val="30"/>
        </w:rPr>
        <w:t xml:space="preserve">日期：   年  月  日</w:t>
      </w:r>
      <w:r/>
    </w:p>
    <w:p>
      <w:pPr>
        <w:ind w:firstLine="640"/>
        <w:spacing w:line="480" w:lineRule="exact"/>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二、开标一览表格式</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52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 </w:t>
      </w:r>
      <w:r/>
    </w:p>
    <w:p>
      <w:pPr>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p>
    <w:p>
      <w:pPr>
        <w:ind w:firstLine="600"/>
        <w:spacing w:line="52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格式见苏采云系统。</w:t>
      </w:r>
      <w:r/>
    </w:p>
    <w:p>
      <w:pPr>
        <w:rPr>
          <w:rFonts w:hint="eastAsia" w:ascii="仿宋" w:hAnsi="仿宋" w:eastAsia="仿宋" w:cs="仿宋"/>
          <w:color w:val="000000"/>
          <w:sz w:val="24"/>
        </w:rPr>
      </w:pPr>
      <w:r>
        <w:rPr>
          <w:rFonts w:hint="eastAsia" w:ascii="仿宋" w:hAnsi="仿宋" w:eastAsia="仿宋" w:cs="仿宋"/>
          <w:color w:val="000000"/>
          <w:sz w:val="24"/>
        </w:rPr>
      </w:r>
      <w:r/>
    </w:p>
    <w:p>
      <w:pPr>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p>
    <w:p>
      <w:pPr>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三、分项价格表格式</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  </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   </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p>
    <w:p>
      <w:pPr>
        <w:pStyle w:val="785"/>
        <w:ind w:firstLine="600"/>
        <w:rPr>
          <w:rFonts w:hint="eastAsia" w:ascii="仿宋" w:hAnsi="仿宋" w:eastAsia="仿宋" w:cs="仿宋"/>
          <w:color w:val="000000"/>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p>
    <w:tbl>
      <w:tblPr>
        <w:tblStyle w:val="697"/>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1232"/>
        <w:gridCol w:w="2510"/>
        <w:gridCol w:w="1025"/>
        <w:gridCol w:w="837"/>
        <w:gridCol w:w="875"/>
        <w:gridCol w:w="705"/>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品牌</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如有</w:t>
            </w:r>
            <w:r>
              <w:rPr>
                <w:rFonts w:hint="eastAsia" w:ascii="仿宋" w:hAnsi="仿宋" w:eastAsia="仿宋" w:cs="仿宋"/>
                <w:color w:val="000000"/>
                <w:sz w:val="24"/>
                <w:highlight w:val="none"/>
                <w:lang w:eastAsia="zh-CN"/>
              </w:rPr>
              <w:t xml:space="preserve">）</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规格型号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单价</w:t>
            </w:r>
            <w:r/>
          </w:p>
        </w:tc>
        <w:tc>
          <w:tcPr>
            <w:shd w:val="clear" w:color="auto" w:fill="c0c0c0"/>
            <w:tcMar>
              <w:left w:w="15" w:type="dxa"/>
              <w:top w:w="15" w:type="dxa"/>
              <w:right w:w="15" w:type="dxa"/>
              <w:bottom w:w="0" w:type="dxa"/>
            </w:tcMar>
            <w:tcW w:w="705"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8"/>
              <w:rPr>
                <w:rFonts w:hint="eastAsia" w:ascii="仿宋" w:hAnsi="仿宋" w:eastAsia="仿宋" w:cs="仿宋"/>
                <w:lang w:val="en-US" w:eastAsia="zh-CN"/>
              </w:rPr>
            </w:pPr>
            <w:r>
              <w:rPr>
                <w:rFonts w:hint="eastAsia" w:ascii="仿宋" w:hAnsi="仿宋" w:eastAsia="仿宋" w:cs="仿宋"/>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88"/>
        </w:trPr>
        <w:tc>
          <w:tcPr>
            <w:gridSpan w:val="5"/>
            <w:tcMar>
              <w:left w:w="15" w:type="dxa"/>
              <w:top w:w="15" w:type="dxa"/>
              <w:right w:w="15" w:type="dxa"/>
              <w:bottom w:w="0" w:type="dxa"/>
            </w:tcMar>
            <w:tcW w:w="6798"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总价合计（即《开标一览表》中的“总价”）</w:t>
            </w:r>
            <w:r/>
          </w:p>
        </w:tc>
        <w:tc>
          <w:tcPr>
            <w:gridSpan w:val="4"/>
            <w:tcMar>
              <w:left w:w="15" w:type="dxa"/>
              <w:top w:w="15" w:type="dxa"/>
              <w:right w:w="15" w:type="dxa"/>
              <w:bottom w:w="0" w:type="dxa"/>
            </w:tcMar>
            <w:tcW w:w="344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28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p>
    <w:p>
      <w:pPr>
        <w:ind w:firstLine="39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56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四、偏离表格式</w:t>
      </w:r>
      <w:r/>
    </w:p>
    <w:p>
      <w:pPr>
        <w:ind w:firstLine="600"/>
        <w:spacing w:line="48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p>
    <w:p>
      <w:pPr>
        <w:ind w:firstLine="600"/>
        <w:spacing w:line="48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p>
    <w:p>
      <w:pPr>
        <w:pStyle w:val="785"/>
        <w:ind w:firstLine="600"/>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p>
    <w:tbl>
      <w:tblPr>
        <w:tblStyle w:val="697"/>
        <w:tblW w:w="90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序号</w:t>
            </w:r>
            <w:r/>
          </w:p>
        </w:tc>
        <w:tc>
          <w:tcPr>
            <w:tcW w:w="1404"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偏离内容</w:t>
            </w:r>
            <w:r/>
          </w:p>
        </w:tc>
        <w:tc>
          <w:tcPr>
            <w:tcW w:w="1476"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olor w:val="000000"/>
                <w:sz w:val="24"/>
              </w:rPr>
              <w:t xml:space="preserve">招标文件的要求</w:t>
            </w:r>
            <w:r/>
          </w:p>
        </w:tc>
        <w:tc>
          <w:tcPr>
            <w:tcW w:w="1620"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olor w:val="000000"/>
                <w:sz w:val="24"/>
              </w:rPr>
              <w:t xml:space="preserve">投标文件中的内容</w:t>
            </w:r>
            <w:r/>
          </w:p>
        </w:tc>
        <w:tc>
          <w:tcPr>
            <w:tcW w:w="1260"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（正/负/无）偏离</w:t>
            </w:r>
            <w:r/>
          </w:p>
        </w:tc>
        <w:tc>
          <w:tcPr>
            <w:tcW w:w="2520"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说明</w:t>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bl>
    <w:p>
      <w:pPr>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ind w:firstLine="562"/>
        <w:spacing w:line="44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954"/>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rPr>
      </w:pPr>
      <w:r>
        <w:rPr>
          <w:rFonts w:hint="eastAsia" w:ascii="仿宋" w:hAnsi="仿宋" w:eastAsia="仿宋" w:cs="仿宋"/>
          <w:color w:val="000000"/>
        </w:rPr>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p>
    <w:p>
      <w:pPr>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p>
    <w:p>
      <w:pPr>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jc w:val="left"/>
        <w:widowControl/>
        <w:rPr>
          <w:rFonts w:hint="eastAsia" w:ascii="仿宋" w:hAnsi="仿宋" w:eastAsia="仿宋" w:cs="仿宋"/>
          <w:color w:val="000000"/>
          <w:sz w:val="30"/>
          <w:szCs w:val="30"/>
        </w:rPr>
      </w:pPr>
      <w:r>
        <w:rPr>
          <w:rFonts w:hint="eastAsia" w:ascii="仿宋" w:hAnsi="仿宋" w:eastAsia="仿宋" w:cs="仿宋"/>
          <w:bCs/>
          <w:color w:val="000000"/>
          <w:sz w:val="30"/>
          <w:szCs w:val="30"/>
        </w:rPr>
        <w:br w:type="page" w:clear="all"/>
      </w:r>
      <w:r>
        <w:rPr>
          <w:rFonts w:hint="eastAsia" w:ascii="仿宋" w:hAnsi="仿宋" w:eastAsia="仿宋" w:cs="仿宋"/>
          <w:bCs/>
          <w:color w:val="000000"/>
          <w:sz w:val="30"/>
          <w:szCs w:val="30"/>
        </w:rPr>
        <w:t xml:space="preserve">五、法定代表人授权书格式</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地  址：</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               职务：</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统一社会信用代码：</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                   性别：男（女）  </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年龄：  岁                 民族：   族</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职务：</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身份证号：</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兹委托（       ）全权代表我企业（公司）参与（</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特此授权委托。</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委托人（公章）：               受托人（签字或盖章）：</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法定代表人（签字或盖章）： </w:t>
      </w:r>
      <w:r/>
    </w:p>
    <w:p>
      <w:pPr>
        <w:ind w:right="600"/>
        <w:jc w:val="right"/>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   月   日 </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(受托人身份证复印件附后)</w:t>
      </w:r>
      <w:r/>
    </w:p>
    <w:p>
      <w:pPr>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六、中小企业声明函格式</w:t>
      </w:r>
      <w:r/>
    </w:p>
    <w:p>
      <w:pPr>
        <w:spacing w:line="46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p>
    <w:p>
      <w:pP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p>
    <w:p>
      <w:pPr>
        <w:pStyle w:val="785"/>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p>
    <w:p>
      <w:pPr>
        <w:pStyle w:val="769"/>
        <w:ind w:left="0" w:righ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8"/>
          <w:szCs w:val="28"/>
          <w:highlight w:val="none"/>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lang w:bidi="ar-SA"/>
        </w:rPr>
        <w:t xml:space="preserve">本公司郑重声明，根据《政府采购促进中小企业发展管理办法》（财库[2020]46号）的规定，本公司参加（</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28"/>
          <w:szCs w:val="28"/>
          <w:highlight w:val="none"/>
          <w:lang w:bidi="ar-SA"/>
        </w:rPr>
        <w:t xml:space="preserve">）的（</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28"/>
          <w:szCs w:val="28"/>
          <w:highlight w:val="none"/>
          <w:lang w:bidi="ar-SA"/>
        </w:rPr>
        <w:t xml:space="preserve">）采购活动，提供的</w:t>
      </w:r>
      <w:r>
        <w:rPr>
          <w:rFonts w:hint="eastAsia" w:ascii="仿宋" w:hAnsi="仿宋" w:eastAsia="仿宋" w:cs="仿宋"/>
          <w:b w:val="0"/>
          <w:bCs w:val="0"/>
          <w:color w:val="000000"/>
          <w:sz w:val="28"/>
          <w:szCs w:val="28"/>
          <w:highlight w:val="none"/>
          <w:u w:val="none"/>
          <w:lang w:bidi="ar-SA"/>
        </w:rPr>
        <w:t xml:space="preserve">货物全部</w:t>
      </w:r>
      <w:r>
        <w:rPr>
          <w:rFonts w:hint="eastAsia" w:ascii="仿宋" w:hAnsi="仿宋" w:eastAsia="仿宋" w:cs="仿宋"/>
          <w:color w:val="000000"/>
          <w:sz w:val="28"/>
          <w:szCs w:val="28"/>
          <w:highlight w:val="none"/>
          <w:lang w:bidi="ar-SA"/>
        </w:rPr>
        <w:t xml:space="preserve">由符合政策要求的中小企业制造。相关企业的具体情况如下：</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1.标的名称：</w:t>
      </w:r>
      <w:r>
        <w:rPr>
          <w:rFonts w:hint="eastAsia" w:ascii="仿宋" w:hAnsi="仿宋" w:eastAsia="仿宋" w:cs="仿宋"/>
          <w:b/>
          <w:bCs/>
          <w:color w:val="000000"/>
          <w:sz w:val="28"/>
          <w:szCs w:val="28"/>
          <w:highlight w:val="none"/>
          <w:u w:val="single"/>
          <w:lang w:val="en-US" w:eastAsia="zh-CN"/>
        </w:rPr>
        <w:t xml:space="preserve">左右主扩声线阵列扬声器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2.标的名称：</w:t>
      </w:r>
      <w:r>
        <w:rPr>
          <w:rFonts w:hint="eastAsia" w:ascii="仿宋" w:hAnsi="仿宋" w:eastAsia="仿宋" w:cs="仿宋"/>
          <w:b/>
          <w:bCs/>
          <w:color w:val="000000"/>
          <w:sz w:val="28"/>
          <w:szCs w:val="28"/>
          <w:highlight w:val="none"/>
          <w:u w:val="single"/>
          <w:lang w:val="en-US" w:eastAsia="zh-CN"/>
        </w:rPr>
        <w:t xml:space="preserve">中置线阵列扬声器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3.标的名称：</w:t>
      </w:r>
      <w:r>
        <w:rPr>
          <w:rFonts w:hint="eastAsia" w:ascii="仿宋" w:hAnsi="仿宋" w:eastAsia="仿宋" w:cs="仿宋"/>
          <w:b/>
          <w:bCs/>
          <w:color w:val="000000"/>
          <w:sz w:val="28"/>
          <w:szCs w:val="28"/>
          <w:highlight w:val="none"/>
          <w:u w:val="single"/>
          <w:lang w:val="en-US" w:eastAsia="zh-CN"/>
        </w:rPr>
        <w:t xml:space="preserve">线阵低频扬声器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4.标的名称：</w:t>
      </w:r>
      <w:r>
        <w:rPr>
          <w:rFonts w:hint="eastAsia" w:ascii="仿宋" w:hAnsi="仿宋" w:eastAsia="仿宋" w:cs="仿宋"/>
          <w:b/>
          <w:bCs/>
          <w:color w:val="000000"/>
          <w:sz w:val="28"/>
          <w:szCs w:val="28"/>
          <w:highlight w:val="none"/>
          <w:u w:val="single"/>
          <w:lang w:val="en-US" w:eastAsia="zh-CN"/>
        </w:rPr>
        <w:t xml:space="preserve">拉声像扬声器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5.标的名称：</w:t>
      </w:r>
      <w:r>
        <w:rPr>
          <w:rFonts w:hint="eastAsia" w:ascii="仿宋" w:hAnsi="仿宋" w:eastAsia="仿宋" w:cs="仿宋"/>
          <w:b/>
          <w:bCs/>
          <w:color w:val="000000"/>
          <w:sz w:val="28"/>
          <w:szCs w:val="28"/>
          <w:highlight w:val="none"/>
          <w:u w:val="single"/>
          <w:lang w:val="en-US" w:eastAsia="zh-CN"/>
        </w:rPr>
        <w:t xml:space="preserve">同轴流动返听扬声器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6.标的名称：</w:t>
      </w:r>
      <w:r>
        <w:rPr>
          <w:rFonts w:hint="eastAsia" w:ascii="仿宋" w:hAnsi="仿宋" w:eastAsia="仿宋" w:cs="仿宋"/>
          <w:b/>
          <w:bCs/>
          <w:color w:val="000000"/>
          <w:sz w:val="28"/>
          <w:szCs w:val="28"/>
          <w:highlight w:val="none"/>
          <w:u w:val="single"/>
          <w:lang w:val="en-US" w:eastAsia="zh-CN"/>
        </w:rPr>
        <w:t xml:space="preserve">固定返听扬声器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7.标的名称：</w:t>
      </w:r>
      <w:r>
        <w:rPr>
          <w:rFonts w:hint="eastAsia" w:ascii="仿宋" w:hAnsi="仿宋" w:eastAsia="仿宋" w:cs="仿宋"/>
          <w:b/>
          <w:bCs/>
          <w:color w:val="000000"/>
          <w:sz w:val="28"/>
          <w:szCs w:val="28"/>
          <w:highlight w:val="none"/>
          <w:u w:val="single"/>
          <w:lang w:val="en-US" w:eastAsia="zh-CN"/>
        </w:rPr>
        <w:t xml:space="preserve">同轴台唇扬声器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8.标的名称：</w:t>
      </w:r>
      <w:r>
        <w:rPr>
          <w:rFonts w:hint="eastAsia" w:ascii="仿宋" w:hAnsi="仿宋" w:eastAsia="仿宋" w:cs="仿宋"/>
          <w:b/>
          <w:bCs/>
          <w:color w:val="000000"/>
          <w:sz w:val="28"/>
          <w:szCs w:val="28"/>
          <w:highlight w:val="none"/>
          <w:u w:val="single"/>
          <w:lang w:val="en-US" w:eastAsia="zh-CN"/>
        </w:rPr>
        <w:t xml:space="preserve">超重低音扬声器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9.标的名称：</w:t>
      </w:r>
      <w:r>
        <w:rPr>
          <w:rFonts w:hint="eastAsia" w:ascii="仿宋" w:hAnsi="仿宋" w:eastAsia="仿宋" w:cs="仿宋"/>
          <w:b/>
          <w:bCs/>
          <w:color w:val="000000"/>
          <w:sz w:val="28"/>
          <w:szCs w:val="28"/>
          <w:highlight w:val="none"/>
          <w:u w:val="single"/>
          <w:lang w:val="en-US" w:eastAsia="zh-CN"/>
        </w:rPr>
        <w:t xml:space="preserve">左右、中置主扩声同轴线阵列扬声器高频四通道数字功率放大器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10.标的名称：</w:t>
      </w:r>
      <w:r>
        <w:rPr>
          <w:rFonts w:hint="eastAsia" w:ascii="仿宋" w:hAnsi="仿宋" w:eastAsia="仿宋" w:cs="仿宋"/>
          <w:b/>
          <w:bCs/>
          <w:color w:val="000000"/>
          <w:sz w:val="28"/>
          <w:szCs w:val="28"/>
          <w:highlight w:val="none"/>
          <w:u w:val="single"/>
          <w:lang w:val="en-US" w:eastAsia="zh-CN"/>
        </w:rPr>
        <w:t xml:space="preserve">左右、中置主扩声同轴线阵列扬声器低频两通道数字功率放大器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11.标的名称：</w:t>
      </w:r>
      <w:r>
        <w:rPr>
          <w:rFonts w:hint="eastAsia" w:ascii="仿宋" w:hAnsi="仿宋" w:eastAsia="仿宋" w:cs="仿宋"/>
          <w:b/>
          <w:bCs/>
          <w:color w:val="000000"/>
          <w:sz w:val="28"/>
          <w:szCs w:val="28"/>
          <w:highlight w:val="none"/>
          <w:u w:val="single"/>
          <w:lang w:val="en-US" w:eastAsia="zh-CN"/>
        </w:rPr>
        <w:t xml:space="preserve">线阵低频两通道数字功率放大器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12.标的名称：</w:t>
      </w:r>
      <w:r>
        <w:rPr>
          <w:rFonts w:hint="eastAsia" w:ascii="仿宋" w:hAnsi="仿宋" w:eastAsia="仿宋" w:cs="仿宋"/>
          <w:b/>
          <w:bCs/>
          <w:color w:val="000000"/>
          <w:sz w:val="28"/>
          <w:szCs w:val="28"/>
          <w:highlight w:val="none"/>
          <w:u w:val="single"/>
          <w:lang w:val="en-US" w:eastAsia="zh-CN"/>
        </w:rPr>
        <w:t xml:space="preserve">拉声像扬声器功率放大器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13.标的名称：</w:t>
      </w:r>
      <w:r>
        <w:rPr>
          <w:rFonts w:hint="eastAsia" w:ascii="仿宋" w:hAnsi="仿宋" w:eastAsia="仿宋" w:cs="仿宋"/>
          <w:b/>
          <w:bCs/>
          <w:color w:val="000000"/>
          <w:sz w:val="28"/>
          <w:szCs w:val="28"/>
          <w:highlight w:val="none"/>
          <w:u w:val="single"/>
          <w:lang w:val="en-US" w:eastAsia="zh-CN"/>
        </w:rPr>
        <w:t xml:space="preserve">流动、固定、台唇返听扬声器功率放大器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14.标的名称：</w:t>
      </w:r>
      <w:r>
        <w:rPr>
          <w:rFonts w:hint="eastAsia" w:ascii="仿宋" w:hAnsi="仿宋" w:eastAsia="仿宋" w:cs="仿宋"/>
          <w:b/>
          <w:bCs/>
          <w:color w:val="000000"/>
          <w:sz w:val="28"/>
          <w:szCs w:val="28"/>
          <w:highlight w:val="none"/>
          <w:u w:val="single"/>
          <w:lang w:val="en-US" w:eastAsia="zh-CN"/>
        </w:rPr>
        <w:t xml:space="preserve">超重低音扬声器功率放大器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15.标的名称：</w:t>
      </w:r>
      <w:r>
        <w:rPr>
          <w:rFonts w:hint="eastAsia" w:ascii="仿宋" w:hAnsi="仿宋" w:eastAsia="仿宋" w:cs="仿宋"/>
          <w:b/>
          <w:bCs/>
          <w:color w:val="000000"/>
          <w:sz w:val="28"/>
          <w:szCs w:val="28"/>
          <w:highlight w:val="none"/>
          <w:u w:val="single"/>
          <w:lang w:val="en-US" w:eastAsia="zh-CN"/>
        </w:rPr>
        <w:t xml:space="preserve">16路数字音频处理器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16.标的名称：</w:t>
      </w:r>
      <w:r>
        <w:rPr>
          <w:rFonts w:hint="eastAsia" w:ascii="仿宋" w:hAnsi="仿宋" w:eastAsia="仿宋" w:cs="仿宋"/>
          <w:b/>
          <w:bCs/>
          <w:color w:val="000000"/>
          <w:sz w:val="28"/>
          <w:szCs w:val="28"/>
          <w:highlight w:val="none"/>
          <w:u w:val="single"/>
          <w:lang w:val="en-US" w:eastAsia="zh-CN"/>
        </w:rPr>
        <w:t xml:space="preserve">32路数字调音台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17.标的名称：</w:t>
      </w:r>
      <w:r>
        <w:rPr>
          <w:rFonts w:hint="eastAsia" w:ascii="仿宋" w:hAnsi="仿宋" w:eastAsia="仿宋" w:cs="仿宋"/>
          <w:b/>
          <w:bCs/>
          <w:color w:val="000000"/>
          <w:sz w:val="28"/>
          <w:szCs w:val="28"/>
          <w:highlight w:val="none"/>
          <w:u w:val="single"/>
          <w:lang w:val="en-US" w:eastAsia="zh-CN"/>
        </w:rPr>
        <w:t xml:space="preserve">32路舞台接口箱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18.标的名称：</w:t>
      </w:r>
      <w:r>
        <w:rPr>
          <w:rFonts w:hint="eastAsia" w:ascii="仿宋" w:hAnsi="仿宋" w:eastAsia="仿宋" w:cs="仿宋"/>
          <w:b/>
          <w:bCs/>
          <w:color w:val="000000"/>
          <w:sz w:val="28"/>
          <w:szCs w:val="28"/>
          <w:highlight w:val="none"/>
          <w:u w:val="single"/>
          <w:lang w:val="en-US" w:eastAsia="zh-CN"/>
        </w:rPr>
        <w:t xml:space="preserve">有源同轴监听音箱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20.标的名称：</w:t>
      </w:r>
      <w:r>
        <w:rPr>
          <w:rFonts w:hint="eastAsia" w:ascii="仿宋" w:hAnsi="仿宋" w:eastAsia="仿宋" w:cs="仿宋"/>
          <w:b/>
          <w:bCs/>
          <w:color w:val="000000"/>
          <w:sz w:val="28"/>
          <w:szCs w:val="28"/>
          <w:highlight w:val="none"/>
          <w:u w:val="single"/>
          <w:lang w:val="en-US" w:eastAsia="zh-CN"/>
        </w:rPr>
        <w:t xml:space="preserve">一拖一无线手持话筒套装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21.标的名称：</w:t>
      </w:r>
      <w:r>
        <w:rPr>
          <w:rFonts w:hint="eastAsia" w:ascii="仿宋" w:hAnsi="仿宋" w:eastAsia="仿宋" w:cs="仿宋"/>
          <w:b/>
          <w:bCs/>
          <w:color w:val="000000"/>
          <w:sz w:val="28"/>
          <w:szCs w:val="28"/>
          <w:highlight w:val="none"/>
          <w:u w:val="single"/>
          <w:lang w:val="en-US" w:eastAsia="zh-CN"/>
        </w:rPr>
        <w:t xml:space="preserve">一拖一无线头戴话筒套装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22.标的名称：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23.标的名称：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24.标的名称：</w:t>
      </w:r>
      <w:r>
        <w:rPr>
          <w:rFonts w:hint="eastAsia" w:ascii="仿宋" w:hAnsi="仿宋" w:eastAsia="仿宋" w:cs="仿宋"/>
          <w:b/>
          <w:bCs/>
          <w:color w:val="000000"/>
          <w:sz w:val="28"/>
          <w:szCs w:val="28"/>
          <w:highlight w:val="none"/>
          <w:u w:val="single"/>
          <w:lang w:val="en-US" w:eastAsia="zh-CN"/>
        </w:rPr>
        <w:t xml:space="preserve">无源天线分配器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25.标的名称：</w:t>
      </w:r>
      <w:r>
        <w:rPr>
          <w:rFonts w:hint="eastAsia" w:ascii="仿宋" w:hAnsi="仿宋" w:eastAsia="仿宋" w:cs="仿宋"/>
          <w:b/>
          <w:bCs/>
          <w:color w:val="000000"/>
          <w:sz w:val="28"/>
          <w:szCs w:val="28"/>
          <w:highlight w:val="none"/>
          <w:u w:val="single"/>
          <w:lang w:val="en-US" w:eastAsia="zh-CN"/>
        </w:rPr>
        <w:t xml:space="preserve">大振膜话筒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26.标的名称：</w:t>
      </w:r>
      <w:r>
        <w:rPr>
          <w:rFonts w:hint="eastAsia" w:ascii="仿宋" w:hAnsi="仿宋" w:eastAsia="仿宋" w:cs="仿宋"/>
          <w:b/>
          <w:bCs/>
          <w:color w:val="000000"/>
          <w:sz w:val="28"/>
          <w:szCs w:val="28"/>
          <w:highlight w:val="none"/>
          <w:u w:val="single"/>
          <w:lang w:val="en-US" w:eastAsia="zh-CN"/>
        </w:rPr>
        <w:t xml:space="preserve">鼓用话筒套装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27.标的名称：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28.标的名称：</w:t>
      </w:r>
      <w:r>
        <w:rPr>
          <w:rFonts w:hint="eastAsia" w:ascii="仿宋" w:hAnsi="仿宋" w:eastAsia="仿宋" w:cs="仿宋"/>
          <w:b/>
          <w:bCs/>
          <w:color w:val="000000"/>
          <w:sz w:val="28"/>
          <w:szCs w:val="28"/>
          <w:highlight w:val="none"/>
          <w:u w:val="single"/>
          <w:lang w:val="en-US" w:eastAsia="zh-CN"/>
        </w:rPr>
        <w:t xml:space="preserve">无线内通系统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29.标的名称：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30.标的名称：</w:t>
      </w:r>
      <w:r>
        <w:rPr>
          <w:rFonts w:hint="eastAsia" w:ascii="仿宋" w:hAnsi="仿宋" w:eastAsia="仿宋" w:cs="仿宋"/>
          <w:b/>
          <w:bCs/>
          <w:color w:val="000000"/>
          <w:sz w:val="28"/>
          <w:szCs w:val="28"/>
          <w:highlight w:val="none"/>
          <w:u w:val="single"/>
          <w:lang w:val="en-US" w:eastAsia="zh-CN"/>
        </w:rPr>
        <w:t xml:space="preserve">有线方杆电容会议话筒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31.标的名称：</w:t>
      </w:r>
      <w:r>
        <w:rPr>
          <w:rFonts w:hint="eastAsia" w:ascii="仿宋" w:hAnsi="仿宋" w:eastAsia="仿宋" w:cs="仿宋"/>
          <w:b/>
          <w:bCs/>
          <w:color w:val="000000"/>
          <w:sz w:val="28"/>
          <w:szCs w:val="28"/>
          <w:highlight w:val="none"/>
          <w:u w:val="single"/>
          <w:lang w:val="en-US" w:eastAsia="zh-CN"/>
        </w:rPr>
        <w:t xml:space="preserve">智能混音器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32.标的名称：</w:t>
      </w:r>
      <w:r>
        <w:rPr>
          <w:rFonts w:hint="eastAsia" w:ascii="仿宋" w:hAnsi="仿宋" w:eastAsia="仿宋" w:cs="仿宋"/>
          <w:b/>
          <w:bCs/>
          <w:color w:val="000000"/>
          <w:sz w:val="28"/>
          <w:szCs w:val="28"/>
          <w:highlight w:val="none"/>
          <w:u w:val="single"/>
          <w:lang w:val="en-US" w:eastAsia="zh-CN"/>
        </w:rPr>
        <w:t xml:space="preserve">演讲台有线鹅颈会议话筒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33.标的名称：</w:t>
      </w:r>
      <w:r>
        <w:rPr>
          <w:rFonts w:hint="eastAsia" w:ascii="仿宋" w:hAnsi="仿宋" w:eastAsia="仿宋" w:cs="仿宋"/>
          <w:b/>
          <w:bCs/>
          <w:color w:val="000000"/>
          <w:sz w:val="28"/>
          <w:szCs w:val="28"/>
          <w:highlight w:val="none"/>
          <w:u w:val="single"/>
          <w:lang w:val="en-US" w:eastAsia="zh-CN"/>
        </w:rPr>
        <w:t xml:space="preserve">矮推车式提词系统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35.标的名称：</w:t>
      </w:r>
      <w:r>
        <w:rPr>
          <w:rFonts w:hint="eastAsia" w:ascii="仿宋" w:hAnsi="仿宋" w:eastAsia="仿宋" w:cs="仿宋"/>
          <w:b/>
          <w:bCs/>
          <w:color w:val="000000"/>
          <w:sz w:val="28"/>
          <w:szCs w:val="28"/>
          <w:highlight w:val="none"/>
          <w:u w:val="single"/>
          <w:lang w:val="en-US" w:eastAsia="zh-CN"/>
        </w:rPr>
        <w:t xml:space="preserve">一道面光( 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36.标的名称：</w:t>
      </w:r>
      <w:r>
        <w:rPr>
          <w:rFonts w:hint="eastAsia" w:ascii="仿宋" w:hAnsi="仿宋" w:eastAsia="仿宋" w:cs="仿宋"/>
          <w:b/>
          <w:bCs/>
          <w:color w:val="000000"/>
          <w:sz w:val="28"/>
          <w:szCs w:val="28"/>
          <w:highlight w:val="none"/>
          <w:u w:val="single"/>
          <w:lang w:val="en-US" w:eastAsia="zh-CN"/>
        </w:rPr>
        <w:t xml:space="preserve">一道面光( 切割灯）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37.标的名称：</w:t>
      </w:r>
      <w:r>
        <w:rPr>
          <w:rFonts w:hint="eastAsia" w:ascii="仿宋" w:hAnsi="仿宋" w:eastAsia="仿宋" w:cs="仿宋"/>
          <w:b/>
          <w:bCs/>
          <w:color w:val="000000"/>
          <w:sz w:val="28"/>
          <w:szCs w:val="28"/>
          <w:highlight w:val="none"/>
          <w:u w:val="single"/>
          <w:lang w:val="en-US" w:eastAsia="zh-CN"/>
        </w:rPr>
        <w:t xml:space="preserve">左右耳光(LED变焦成像灯）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38.标的名称：</w:t>
      </w:r>
      <w:r>
        <w:rPr>
          <w:rFonts w:hint="eastAsia" w:ascii="仿宋" w:hAnsi="仿宋" w:eastAsia="仿宋" w:cs="仿宋"/>
          <w:b/>
          <w:bCs/>
          <w:color w:val="000000"/>
          <w:sz w:val="28"/>
          <w:szCs w:val="28"/>
          <w:highlight w:val="none"/>
          <w:u w:val="single"/>
          <w:lang w:val="en-US" w:eastAsia="zh-CN"/>
        </w:rPr>
        <w:t xml:space="preserve">一道顶光（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39.标的名称：</w:t>
      </w:r>
      <w:r>
        <w:rPr>
          <w:rFonts w:hint="eastAsia" w:ascii="仿宋" w:hAnsi="仿宋" w:eastAsia="仿宋" w:cs="仿宋"/>
          <w:b/>
          <w:bCs/>
          <w:color w:val="000000"/>
          <w:sz w:val="28"/>
          <w:szCs w:val="28"/>
          <w:highlight w:val="none"/>
          <w:u w:val="single"/>
          <w:lang w:val="en-US" w:eastAsia="zh-CN"/>
        </w:rPr>
        <w:t xml:space="preserve">一道顶光（LED版平板灯）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40.标的名称：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41.标的名称：</w:t>
      </w:r>
      <w:r>
        <w:rPr>
          <w:rFonts w:hint="eastAsia" w:ascii="仿宋" w:hAnsi="仿宋" w:eastAsia="仿宋" w:cs="仿宋"/>
          <w:b/>
          <w:bCs/>
          <w:color w:val="000000"/>
          <w:sz w:val="28"/>
          <w:szCs w:val="28"/>
          <w:highlight w:val="none"/>
          <w:u w:val="single"/>
          <w:lang w:val="en-US" w:eastAsia="zh-CN"/>
        </w:rPr>
        <w:t xml:space="preserve">二道顶光（LED版平板灯）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42.标的名称：</w:t>
      </w:r>
      <w:r>
        <w:rPr>
          <w:rFonts w:hint="eastAsia" w:ascii="仿宋" w:hAnsi="仿宋" w:eastAsia="仿宋" w:cs="仿宋"/>
          <w:b/>
          <w:bCs/>
          <w:color w:val="000000"/>
          <w:sz w:val="28"/>
          <w:szCs w:val="28"/>
          <w:highlight w:val="none"/>
          <w:u w:val="single"/>
          <w:lang w:val="en-US" w:eastAsia="zh-CN"/>
        </w:rPr>
        <w:t xml:space="preserve">二道顶光（三合一电脑摇头灯）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43.标的名称：</w:t>
      </w:r>
      <w:r>
        <w:rPr>
          <w:rFonts w:hint="eastAsia" w:ascii="仿宋" w:hAnsi="仿宋" w:eastAsia="仿宋" w:cs="仿宋"/>
          <w:b/>
          <w:bCs/>
          <w:color w:val="000000"/>
          <w:sz w:val="28"/>
          <w:szCs w:val="28"/>
          <w:highlight w:val="none"/>
          <w:u w:val="single"/>
          <w:lang w:val="en-US" w:eastAsia="zh-CN"/>
        </w:rPr>
        <w:t xml:space="preserve">三道顶光（LED染色灯）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44.标的名称：</w:t>
      </w:r>
      <w:r>
        <w:rPr>
          <w:rFonts w:hint="eastAsia" w:ascii="仿宋" w:hAnsi="仿宋" w:eastAsia="仿宋" w:cs="仿宋"/>
          <w:b/>
          <w:bCs/>
          <w:color w:val="000000"/>
          <w:sz w:val="28"/>
          <w:szCs w:val="28"/>
          <w:highlight w:val="none"/>
          <w:u w:val="single"/>
          <w:lang w:val="en-US" w:eastAsia="zh-CN"/>
        </w:rPr>
        <w:t xml:space="preserve">三道顶光（LED版平板灯）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45.标的名称：</w:t>
      </w:r>
      <w:r>
        <w:rPr>
          <w:rFonts w:hint="eastAsia" w:ascii="仿宋" w:hAnsi="仿宋" w:eastAsia="仿宋" w:cs="仿宋"/>
          <w:b/>
          <w:bCs/>
          <w:color w:val="000000"/>
          <w:sz w:val="28"/>
          <w:szCs w:val="28"/>
          <w:highlight w:val="none"/>
          <w:u w:val="single"/>
          <w:lang w:val="en-US" w:eastAsia="zh-CN"/>
        </w:rPr>
        <w:t xml:space="preserve">三道顶光（三合一电脑摇头灯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46.标的名称：</w:t>
      </w:r>
      <w:r>
        <w:rPr>
          <w:rFonts w:hint="eastAsia" w:ascii="仿宋" w:hAnsi="仿宋" w:eastAsia="仿宋" w:cs="仿宋"/>
          <w:b/>
          <w:bCs/>
          <w:color w:val="000000"/>
          <w:sz w:val="28"/>
          <w:szCs w:val="28"/>
          <w:highlight w:val="none"/>
          <w:u w:val="single"/>
          <w:lang w:val="en-US" w:eastAsia="zh-CN"/>
        </w:rPr>
        <w:t xml:space="preserve">四道顶光（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47.标的名称：</w:t>
      </w:r>
      <w:r>
        <w:rPr>
          <w:rFonts w:hint="eastAsia" w:ascii="仿宋" w:hAnsi="仿宋" w:eastAsia="仿宋" w:cs="仿宋"/>
          <w:b/>
          <w:bCs/>
          <w:color w:val="000000"/>
          <w:sz w:val="28"/>
          <w:szCs w:val="28"/>
          <w:highlight w:val="none"/>
          <w:u w:val="single"/>
          <w:lang w:val="en-US" w:eastAsia="zh-CN"/>
        </w:rPr>
        <w:t xml:space="preserve">四道顶光（三合一电脑摇头灯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48.标的名称：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49.标的名称：</w:t>
      </w:r>
      <w:r>
        <w:rPr>
          <w:rFonts w:hint="eastAsia" w:ascii="仿宋" w:hAnsi="仿宋" w:eastAsia="仿宋" w:cs="仿宋"/>
          <w:b/>
          <w:bCs/>
          <w:color w:val="000000"/>
          <w:sz w:val="28"/>
          <w:szCs w:val="28"/>
          <w:highlight w:val="none"/>
          <w:u w:val="single"/>
          <w:lang w:val="en-US" w:eastAsia="zh-CN"/>
        </w:rPr>
        <w:t xml:space="preserve">一道逆光（三合一电脑摇头灯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50.标的名称：</w:t>
      </w:r>
      <w:r>
        <w:rPr>
          <w:rFonts w:hint="eastAsia" w:ascii="仿宋" w:hAnsi="仿宋" w:eastAsia="仿宋" w:cs="仿宋"/>
          <w:b/>
          <w:bCs/>
          <w:color w:val="000000"/>
          <w:sz w:val="28"/>
          <w:szCs w:val="28"/>
          <w:highlight w:val="none"/>
          <w:u w:val="single"/>
          <w:lang w:val="en-US" w:eastAsia="zh-CN"/>
        </w:rPr>
        <w:t xml:space="preserve">二道逆光（LED染色灯）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51.标的名称：</w:t>
      </w:r>
      <w:r>
        <w:rPr>
          <w:rFonts w:hint="eastAsia" w:ascii="仿宋" w:hAnsi="仿宋" w:eastAsia="仿宋" w:cs="仿宋"/>
          <w:b/>
          <w:bCs/>
          <w:color w:val="000000"/>
          <w:sz w:val="28"/>
          <w:szCs w:val="28"/>
          <w:highlight w:val="none"/>
          <w:u w:val="single"/>
          <w:lang w:val="en-US" w:eastAsia="zh-CN"/>
        </w:rPr>
        <w:t xml:space="preserve">二道逆光（三合一电脑摇头灯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52.标的名称：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53.标的名称：</w:t>
      </w:r>
      <w:r>
        <w:rPr>
          <w:rFonts w:hint="eastAsia" w:ascii="仿宋" w:hAnsi="仿宋" w:eastAsia="仿宋" w:cs="仿宋"/>
          <w:b/>
          <w:bCs/>
          <w:color w:val="000000"/>
          <w:sz w:val="28"/>
          <w:szCs w:val="28"/>
          <w:highlight w:val="none"/>
          <w:u w:val="single"/>
          <w:lang w:val="en-US" w:eastAsia="zh-CN"/>
        </w:rPr>
        <w:t xml:space="preserve">两道侧光（三合一电脑摇头灯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54.标的名称：</w:t>
      </w:r>
      <w:r>
        <w:rPr>
          <w:rFonts w:hint="eastAsia" w:ascii="仿宋" w:hAnsi="仿宋" w:eastAsia="仿宋" w:cs="仿宋"/>
          <w:b/>
          <w:bCs/>
          <w:i w:val="0"/>
          <w:iCs w:val="0"/>
          <w:color w:val="000000"/>
          <w:sz w:val="28"/>
          <w:szCs w:val="28"/>
          <w:highlight w:val="none"/>
          <w:u w:val="single"/>
          <w:lang w:val="en-US" w:eastAsia="zh-CN" w:bidi="ar"/>
        </w:rPr>
        <w:t xml:space="preserve">地面摇头灯（三合一电脑摇头灯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55.标的名称：</w:t>
      </w:r>
      <w:r>
        <w:rPr>
          <w:rFonts w:hint="eastAsia" w:ascii="仿宋" w:hAnsi="仿宋" w:eastAsia="仿宋" w:cs="仿宋"/>
          <w:b/>
          <w:bCs/>
          <w:color w:val="000000"/>
          <w:sz w:val="28"/>
          <w:szCs w:val="28"/>
          <w:highlight w:val="none"/>
          <w:u w:val="single"/>
          <w:lang w:val="en-US" w:eastAsia="zh-CN"/>
        </w:rPr>
        <w:t xml:space="preserve">LED 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56.标的名称：</w:t>
      </w:r>
      <w:r>
        <w:rPr>
          <w:rFonts w:hint="eastAsia" w:ascii="仿宋" w:hAnsi="仿宋" w:eastAsia="仿宋" w:cs="仿宋"/>
          <w:b/>
          <w:bCs/>
          <w:color w:val="000000"/>
          <w:sz w:val="28"/>
          <w:szCs w:val="28"/>
          <w:highlight w:val="none"/>
          <w:u w:val="single"/>
          <w:lang w:val="en-US" w:eastAsia="zh-CN"/>
        </w:rPr>
        <w:t xml:space="preserve">电脑灯光控制台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57.标的名称：</w:t>
      </w:r>
      <w:r>
        <w:rPr>
          <w:rFonts w:hint="eastAsia" w:ascii="仿宋" w:hAnsi="仿宋" w:eastAsia="仿宋" w:cs="仿宋"/>
          <w:b/>
          <w:bCs/>
          <w:color w:val="000000"/>
          <w:sz w:val="28"/>
          <w:szCs w:val="28"/>
          <w:highlight w:val="none"/>
          <w:u w:val="single"/>
          <w:lang w:val="en-US" w:eastAsia="zh-CN"/>
        </w:rPr>
        <w:t xml:space="preserve">DMX网络扩展器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58.标的名称：</w:t>
      </w:r>
      <w:r>
        <w:rPr>
          <w:rFonts w:hint="eastAsia" w:ascii="仿宋" w:hAnsi="仿宋" w:eastAsia="仿宋" w:cs="仿宋"/>
          <w:b/>
          <w:bCs/>
          <w:color w:val="000000"/>
          <w:sz w:val="28"/>
          <w:szCs w:val="28"/>
          <w:highlight w:val="none"/>
          <w:u w:val="single"/>
          <w:lang w:val="en-US" w:eastAsia="zh-CN"/>
        </w:rPr>
        <w:t xml:space="preserve">DMX信号放大器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59.标的名称：</w:t>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60.标的名称：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61.标的名称：</w:t>
      </w:r>
      <w:r>
        <w:rPr>
          <w:rFonts w:hint="eastAsia" w:ascii="仿宋" w:hAnsi="仿宋" w:eastAsia="仿宋" w:cs="仿宋"/>
          <w:b/>
          <w:bCs/>
          <w:color w:val="000000"/>
          <w:sz w:val="28"/>
          <w:szCs w:val="28"/>
          <w:highlight w:val="none"/>
          <w:u w:val="single"/>
          <w:lang w:val="en-US" w:eastAsia="zh-CN"/>
        </w:rPr>
        <w:t xml:space="preserve">电源直通柜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62.标的名称：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63.标的名称：</w:t>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64.标的名称：</w:t>
      </w:r>
      <w:r>
        <w:rPr>
          <w:rFonts w:hint="eastAsia" w:ascii="仿宋" w:hAnsi="仿宋" w:eastAsia="仿宋" w:cs="仿宋"/>
          <w:b/>
          <w:bCs/>
          <w:color w:val="000000"/>
          <w:sz w:val="28"/>
          <w:szCs w:val="28"/>
          <w:highlight w:val="none"/>
          <w:u w:val="single"/>
          <w:lang w:val="en-US" w:eastAsia="zh-CN"/>
        </w:rPr>
        <w:t xml:space="preserve">泡泡机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65.标的名称：</w:t>
      </w:r>
      <w:r>
        <w:rPr>
          <w:rFonts w:hint="eastAsia" w:ascii="仿宋" w:hAnsi="仿宋" w:eastAsia="仿宋" w:cs="仿宋"/>
          <w:b/>
          <w:bCs/>
          <w:color w:val="000000"/>
          <w:sz w:val="28"/>
          <w:szCs w:val="28"/>
          <w:highlight w:val="none"/>
          <w:u w:val="single"/>
          <w:lang w:val="en-US" w:eastAsia="zh-CN"/>
        </w:rPr>
        <w:t xml:space="preserve">泡泡油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66.标的名称：</w:t>
      </w:r>
      <w:r>
        <w:rPr>
          <w:rFonts w:hint="eastAsia" w:ascii="仿宋" w:hAnsi="仿宋" w:eastAsia="仿宋" w:cs="仿宋"/>
          <w:b/>
          <w:bCs/>
          <w:color w:val="000000"/>
          <w:sz w:val="28"/>
          <w:szCs w:val="28"/>
          <w:highlight w:val="none"/>
          <w:u w:val="single"/>
          <w:lang w:val="en-US" w:eastAsia="zh-CN"/>
        </w:rPr>
        <w:t xml:space="preserve">雪花机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67.标的名称：</w:t>
      </w:r>
      <w:r>
        <w:rPr>
          <w:rFonts w:hint="eastAsia" w:ascii="仿宋" w:hAnsi="仿宋" w:eastAsia="仿宋" w:cs="仿宋"/>
          <w:b/>
          <w:bCs/>
          <w:color w:val="000000"/>
          <w:sz w:val="28"/>
          <w:szCs w:val="28"/>
          <w:highlight w:val="none"/>
          <w:u w:val="single"/>
          <w:lang w:val="en-US" w:eastAsia="zh-CN"/>
        </w:rPr>
        <w:t xml:space="preserve">雪花油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68.标的名称：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69.标的名称：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70.标的名称：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71.标的名称：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72.标的名称：</w:t>
      </w:r>
      <w:r>
        <w:rPr>
          <w:rFonts w:hint="eastAsia" w:ascii="仿宋" w:hAnsi="仿宋" w:eastAsia="仿宋" w:cs="仿宋"/>
          <w:b/>
          <w:bCs/>
          <w:color w:val="000000"/>
          <w:sz w:val="28"/>
          <w:szCs w:val="28"/>
          <w:highlight w:val="none"/>
          <w:u w:val="single"/>
          <w:lang w:val="en-US" w:eastAsia="zh-CN"/>
        </w:rPr>
        <w:t xml:space="preserve">其他</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73.标的名称：</w:t>
      </w:r>
      <w:r>
        <w:rPr>
          <w:rFonts w:hint="eastAsia" w:ascii="仿宋" w:hAnsi="仿宋" w:eastAsia="仿宋" w:cs="仿宋"/>
          <w:b/>
          <w:bCs/>
          <w:color w:val="000000"/>
          <w:sz w:val="28"/>
          <w:szCs w:val="28"/>
          <w:highlight w:val="none"/>
          <w:u w:val="single"/>
          <w:lang w:val="en-US" w:eastAsia="zh-CN"/>
        </w:rPr>
        <w:t xml:space="preserve">电子会标屏吊杆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74.标的名称：</w:t>
      </w:r>
      <w:r>
        <w:rPr>
          <w:rFonts w:hint="eastAsia" w:ascii="仿宋" w:hAnsi="仿宋" w:eastAsia="仿宋" w:cs="仿宋"/>
          <w:b/>
          <w:bCs/>
          <w:color w:val="000000"/>
          <w:sz w:val="28"/>
          <w:szCs w:val="28"/>
          <w:highlight w:val="none"/>
          <w:u w:val="single"/>
          <w:lang w:val="en-US" w:eastAsia="zh-CN"/>
        </w:rPr>
        <w:t xml:space="preserve">电动会标横幅吊杆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75.标的名称：</w:t>
      </w:r>
      <w:r>
        <w:rPr>
          <w:rFonts w:hint="eastAsia" w:ascii="仿宋" w:hAnsi="仿宋" w:eastAsia="仿宋" w:cs="仿宋"/>
          <w:b/>
          <w:bCs/>
          <w:color w:val="000000"/>
          <w:sz w:val="28"/>
          <w:szCs w:val="28"/>
          <w:highlight w:val="none"/>
          <w:u w:val="single"/>
          <w:lang w:val="en-US" w:eastAsia="zh-CN"/>
        </w:rPr>
        <w:t xml:space="preserve">对开大幕机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76.标的名称：</w:t>
      </w:r>
      <w:r>
        <w:rPr>
          <w:rFonts w:hint="eastAsia" w:ascii="仿宋" w:hAnsi="仿宋" w:eastAsia="仿宋" w:cs="仿宋"/>
          <w:b/>
          <w:bCs/>
          <w:color w:val="000000"/>
          <w:sz w:val="28"/>
          <w:szCs w:val="28"/>
          <w:highlight w:val="none"/>
          <w:u w:val="single"/>
          <w:lang w:val="en-US" w:eastAsia="zh-CN"/>
        </w:rPr>
        <w:t xml:space="preserve">电动灯光吊杆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77.标的名称：</w:t>
      </w:r>
      <w:r>
        <w:rPr>
          <w:rFonts w:hint="eastAsia" w:ascii="仿宋" w:hAnsi="仿宋" w:eastAsia="仿宋" w:cs="仿宋"/>
          <w:b/>
          <w:bCs/>
          <w:color w:val="000000"/>
          <w:sz w:val="28"/>
          <w:szCs w:val="28"/>
          <w:highlight w:val="none"/>
          <w:u w:val="single"/>
          <w:lang w:val="en-US" w:eastAsia="zh-CN"/>
        </w:rPr>
        <w:t xml:space="preserve">电动景物吊杆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78.标的名称：</w:t>
      </w:r>
      <w:r>
        <w:rPr>
          <w:rFonts w:hint="eastAsia" w:ascii="仿宋" w:hAnsi="仿宋" w:eastAsia="仿宋" w:cs="仿宋"/>
          <w:b/>
          <w:bCs/>
          <w:color w:val="000000"/>
          <w:sz w:val="28"/>
          <w:szCs w:val="28"/>
          <w:highlight w:val="none"/>
          <w:u w:val="single"/>
          <w:lang w:val="en-US" w:eastAsia="zh-CN"/>
        </w:rPr>
        <w:t xml:space="preserve">边沿幕吊杆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79.标的名称：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80.标的名称：</w:t>
      </w:r>
      <w:r>
        <w:rPr>
          <w:rFonts w:hint="eastAsia" w:ascii="仿宋" w:hAnsi="仿宋" w:eastAsia="仿宋" w:cs="仿宋"/>
          <w:b/>
          <w:bCs/>
          <w:color w:val="000000"/>
          <w:sz w:val="28"/>
          <w:szCs w:val="28"/>
          <w:highlight w:val="none"/>
          <w:u w:val="single"/>
          <w:lang w:val="en-US" w:eastAsia="zh-CN"/>
        </w:rPr>
        <w:t xml:space="preserve">电动侧光吊杆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81.标的名称：</w:t>
      </w:r>
      <w:r>
        <w:rPr>
          <w:rFonts w:hint="eastAsia" w:ascii="仿宋" w:hAnsi="仿宋" w:eastAsia="仿宋" w:cs="仿宋"/>
          <w:b/>
          <w:bCs/>
          <w:color w:val="000000"/>
          <w:sz w:val="28"/>
          <w:szCs w:val="28"/>
          <w:highlight w:val="none"/>
          <w:u w:val="single"/>
          <w:lang w:val="en-US" w:eastAsia="zh-CN"/>
        </w:rPr>
        <w:t xml:space="preserve">耳光支架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82.标的名称：</w:t>
      </w:r>
      <w:r>
        <w:rPr>
          <w:rFonts w:hint="eastAsia" w:ascii="仿宋" w:hAnsi="仿宋" w:eastAsia="仿宋" w:cs="仿宋"/>
          <w:b/>
          <w:bCs/>
          <w:color w:val="000000"/>
          <w:sz w:val="28"/>
          <w:szCs w:val="28"/>
          <w:highlight w:val="none"/>
          <w:u w:val="single"/>
          <w:lang w:val="en-US" w:eastAsia="zh-CN"/>
        </w:rPr>
        <w:t xml:space="preserve">PLC控制系统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83标的名称：</w:t>
      </w:r>
      <w:r>
        <w:rPr>
          <w:rFonts w:hint="eastAsia" w:ascii="仿宋" w:hAnsi="仿宋" w:eastAsia="仿宋" w:cs="仿宋"/>
          <w:b/>
          <w:bCs/>
          <w:color w:val="000000"/>
          <w:sz w:val="28"/>
          <w:szCs w:val="28"/>
          <w:highlight w:val="none"/>
          <w:u w:val="single"/>
          <w:lang w:val="en-US" w:eastAsia="zh-CN"/>
        </w:rPr>
        <w:t xml:space="preserve">舞台机械栅顶及全沉浸式控制系统模块造型支架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84.标的名称：</w:t>
      </w:r>
      <w:r>
        <w:rPr>
          <w:rFonts w:hint="eastAsia" w:ascii="仿宋" w:hAnsi="仿宋" w:eastAsia="仿宋" w:cs="仿宋"/>
          <w:b/>
          <w:bCs/>
          <w:color w:val="000000"/>
          <w:sz w:val="28"/>
          <w:szCs w:val="28"/>
          <w:highlight w:val="none"/>
          <w:u w:val="single"/>
          <w:lang w:val="en-US" w:eastAsia="zh-CN"/>
        </w:rPr>
        <w:t xml:space="preserve">全沉浸式系统模块</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85.标的名称：</w:t>
      </w:r>
      <w:r>
        <w:rPr>
          <w:rFonts w:hint="eastAsia" w:ascii="仿宋" w:hAnsi="仿宋" w:eastAsia="仿宋" w:cs="仿宋"/>
          <w:b/>
          <w:bCs/>
          <w:color w:val="000000"/>
          <w:sz w:val="28"/>
          <w:szCs w:val="28"/>
          <w:highlight w:val="none"/>
          <w:u w:val="single"/>
          <w:lang w:val="en-US" w:eastAsia="zh-CN"/>
        </w:rPr>
        <w:t xml:space="preserve">大幕前檐幕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86.标的名称：</w:t>
      </w:r>
      <w:r>
        <w:rPr>
          <w:rFonts w:hint="eastAsia" w:ascii="仿宋" w:hAnsi="仿宋" w:eastAsia="仿宋" w:cs="仿宋"/>
          <w:b/>
          <w:bCs/>
          <w:color w:val="000000"/>
          <w:sz w:val="28"/>
          <w:szCs w:val="28"/>
          <w:highlight w:val="none"/>
          <w:u w:val="single"/>
          <w:lang w:val="en-US" w:eastAsia="zh-CN"/>
        </w:rPr>
        <w:t xml:space="preserve">大幕前沿幕衬里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87.标的名称：</w:t>
      </w:r>
      <w:r>
        <w:rPr>
          <w:rFonts w:hint="eastAsia" w:ascii="仿宋" w:hAnsi="仿宋" w:eastAsia="仿宋" w:cs="仿宋"/>
          <w:b/>
          <w:bCs/>
          <w:color w:val="000000"/>
          <w:sz w:val="28"/>
          <w:szCs w:val="28"/>
          <w:highlight w:val="none"/>
          <w:u w:val="single"/>
          <w:lang w:val="en-US" w:eastAsia="zh-CN"/>
        </w:rPr>
        <w:t xml:space="preserve">对开大幕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88.标的名称：</w:t>
      </w:r>
      <w:r>
        <w:rPr>
          <w:rFonts w:hint="eastAsia" w:ascii="仿宋" w:hAnsi="仿宋" w:eastAsia="仿宋" w:cs="仿宋"/>
          <w:b/>
          <w:bCs/>
          <w:color w:val="000000"/>
          <w:sz w:val="28"/>
          <w:szCs w:val="28"/>
          <w:highlight w:val="none"/>
          <w:u w:val="single"/>
          <w:lang w:val="en-US" w:eastAsia="zh-CN"/>
        </w:rPr>
        <w:t xml:space="preserve">对开大幕衬里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89.标的名称：</w:t>
      </w:r>
      <w:r>
        <w:rPr>
          <w:rFonts w:hint="eastAsia" w:ascii="仿宋" w:hAnsi="仿宋" w:eastAsia="仿宋" w:cs="仿宋"/>
          <w:b/>
          <w:bCs/>
          <w:color w:val="000000"/>
          <w:sz w:val="28"/>
          <w:szCs w:val="28"/>
          <w:highlight w:val="none"/>
          <w:u w:val="single"/>
          <w:lang w:val="en-US" w:eastAsia="zh-CN"/>
        </w:rPr>
        <w:t xml:space="preserve">横条幕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90.标的名称：</w:t>
      </w:r>
      <w:r>
        <w:rPr>
          <w:rFonts w:hint="eastAsia" w:ascii="仿宋" w:hAnsi="仿宋" w:eastAsia="仿宋" w:cs="仿宋"/>
          <w:b/>
          <w:bCs/>
          <w:color w:val="000000"/>
          <w:sz w:val="28"/>
          <w:szCs w:val="28"/>
          <w:highlight w:val="none"/>
          <w:u w:val="single"/>
          <w:lang w:val="en-US" w:eastAsia="zh-CN"/>
        </w:rPr>
        <w:t xml:space="preserve">横条幕衬里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91.标的名称：</w:t>
      </w:r>
      <w:r>
        <w:rPr>
          <w:rFonts w:hint="eastAsia" w:ascii="仿宋" w:hAnsi="仿宋" w:eastAsia="仿宋" w:cs="仿宋"/>
          <w:b/>
          <w:bCs/>
          <w:color w:val="000000"/>
          <w:sz w:val="28"/>
          <w:szCs w:val="28"/>
          <w:highlight w:val="none"/>
          <w:u w:val="single"/>
          <w:lang w:val="en-US" w:eastAsia="zh-CN"/>
        </w:rPr>
        <w:t xml:space="preserve">侧条幕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92.标的名称：</w:t>
      </w:r>
      <w:r>
        <w:rPr>
          <w:rFonts w:hint="eastAsia" w:ascii="仿宋" w:hAnsi="仿宋" w:eastAsia="仿宋" w:cs="仿宋"/>
          <w:b/>
          <w:bCs/>
          <w:color w:val="000000"/>
          <w:sz w:val="28"/>
          <w:szCs w:val="28"/>
          <w:highlight w:val="none"/>
          <w:u w:val="single"/>
          <w:lang w:val="en-US" w:eastAsia="zh-CN"/>
        </w:rPr>
        <w:t xml:space="preserve">侧条幕衬里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93.标的名称：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94.标的名称：</w:t>
      </w:r>
      <w:r>
        <w:rPr>
          <w:rFonts w:hint="eastAsia" w:ascii="仿宋" w:hAnsi="仿宋" w:eastAsia="仿宋" w:cs="仿宋"/>
          <w:b/>
          <w:bCs/>
          <w:color w:val="000000"/>
          <w:sz w:val="28"/>
          <w:szCs w:val="28"/>
          <w:highlight w:val="none"/>
          <w:u w:val="single"/>
          <w:lang w:val="en-US" w:eastAsia="zh-CN"/>
        </w:rPr>
        <w:t xml:space="preserve">拾音话筒吊装器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95.标的名称：</w:t>
      </w:r>
      <w:r>
        <w:rPr>
          <w:rFonts w:hint="eastAsia" w:ascii="仿宋" w:hAnsi="仿宋" w:eastAsia="仿宋" w:cs="仿宋"/>
          <w:b/>
          <w:bCs/>
          <w:color w:val="000000"/>
          <w:sz w:val="28"/>
          <w:szCs w:val="28"/>
          <w:highlight w:val="none"/>
          <w:u w:val="single"/>
          <w:lang w:val="en-US" w:eastAsia="zh-CN"/>
        </w:rPr>
        <w:t xml:space="preserve">手自一体PLC电源控制箱200KW</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96.标的名称：</w:t>
      </w:r>
      <w:r>
        <w:rPr>
          <w:rFonts w:hint="eastAsia" w:ascii="仿宋" w:hAnsi="仿宋" w:eastAsia="仿宋" w:cs="仿宋"/>
          <w:b/>
          <w:bCs/>
          <w:color w:val="000000"/>
          <w:sz w:val="28"/>
          <w:szCs w:val="28"/>
          <w:highlight w:val="none"/>
          <w:u w:val="single"/>
          <w:lang w:val="en-US" w:eastAsia="zh-CN"/>
        </w:rPr>
        <w:t xml:space="preserve">伸缩合唱台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98.标的名称：</w:t>
      </w:r>
      <w:r>
        <w:rPr>
          <w:rFonts w:hint="eastAsia" w:ascii="仿宋" w:hAnsi="仿宋" w:eastAsia="仿宋" w:cs="仿宋"/>
          <w:b/>
          <w:bCs/>
          <w:color w:val="000000"/>
          <w:sz w:val="28"/>
          <w:szCs w:val="28"/>
          <w:highlight w:val="none"/>
          <w:u w:val="single"/>
          <w:lang w:val="en-US" w:eastAsia="zh-CN"/>
        </w:rPr>
        <w:t xml:space="preserve">可编程中央控制主机（加触控终端）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99.标的名称：</w:t>
      </w:r>
      <w:r>
        <w:rPr>
          <w:rFonts w:hint="eastAsia" w:ascii="仿宋" w:hAnsi="仿宋" w:eastAsia="仿宋" w:cs="仿宋"/>
          <w:b/>
          <w:bCs/>
          <w:color w:val="000000"/>
          <w:sz w:val="28"/>
          <w:szCs w:val="28"/>
          <w:highlight w:val="none"/>
          <w:u w:val="single"/>
          <w:lang w:val="en-US" w:eastAsia="zh-CN"/>
        </w:rPr>
        <w:t xml:space="preserve">无线接收器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100.标的名称：</w:t>
      </w:r>
      <w:r>
        <w:rPr>
          <w:rFonts w:hint="eastAsia" w:ascii="仿宋" w:hAnsi="仿宋" w:eastAsia="仿宋" w:cs="仿宋"/>
          <w:b/>
          <w:bCs/>
          <w:color w:val="000000"/>
          <w:sz w:val="28"/>
          <w:szCs w:val="28"/>
          <w:highlight w:val="none"/>
          <w:u w:val="single"/>
          <w:lang w:val="en-US" w:eastAsia="zh-CN"/>
        </w:rPr>
        <w:t xml:space="preserve">红外发射棒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101.标的名称：</w:t>
      </w:r>
      <w:r>
        <w:rPr>
          <w:rFonts w:hint="eastAsia" w:ascii="仿宋" w:hAnsi="仿宋" w:eastAsia="仿宋" w:cs="仿宋"/>
          <w:b/>
          <w:bCs/>
          <w:color w:val="000000"/>
          <w:sz w:val="28"/>
          <w:szCs w:val="28"/>
          <w:highlight w:val="none"/>
          <w:u w:val="single"/>
          <w:lang w:val="en-US" w:eastAsia="zh-CN"/>
        </w:rPr>
        <w:t xml:space="preserve">系统软件单元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102.标的名称：</w:t>
      </w:r>
      <w:r>
        <w:rPr>
          <w:rFonts w:hint="eastAsia" w:ascii="仿宋" w:hAnsi="仿宋" w:eastAsia="仿宋" w:cs="仿宋"/>
          <w:b/>
          <w:bCs/>
          <w:color w:val="000000"/>
          <w:sz w:val="28"/>
          <w:szCs w:val="28"/>
          <w:highlight w:val="none"/>
          <w:u w:val="single"/>
          <w:lang w:val="en-US" w:eastAsia="zh-CN"/>
        </w:rPr>
        <w:t xml:space="preserve">协同中控控制接收系统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103.标的名称：</w:t>
      </w:r>
      <w:r>
        <w:rPr>
          <w:rFonts w:hint="eastAsia" w:ascii="仿宋" w:hAnsi="仿宋" w:eastAsia="仿宋" w:cs="仿宋"/>
          <w:b/>
          <w:bCs/>
          <w:color w:val="000000"/>
          <w:sz w:val="28"/>
          <w:szCs w:val="28"/>
          <w:highlight w:val="none"/>
          <w:u w:val="single"/>
          <w:lang w:val="en-US" w:eastAsia="zh-CN"/>
        </w:rPr>
        <w:t xml:space="preserve">电源控制器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105.标的名称：</w:t>
      </w:r>
      <w:r>
        <w:rPr>
          <w:rFonts w:hint="eastAsia" w:ascii="仿宋" w:hAnsi="仿宋" w:eastAsia="仿宋" w:cs="仿宋"/>
          <w:b/>
          <w:bCs/>
          <w:color w:val="000000"/>
          <w:sz w:val="28"/>
          <w:szCs w:val="28"/>
          <w:highlight w:val="none"/>
          <w:u w:val="single"/>
          <w:lang w:val="en-US" w:eastAsia="zh-CN"/>
        </w:rPr>
        <w:t xml:space="preserve">4K会议录播一体机（带显示终端）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106.标的名称：</w:t>
      </w:r>
      <w:r>
        <w:rPr>
          <w:rFonts w:hint="eastAsia" w:ascii="仿宋" w:hAnsi="仿宋" w:eastAsia="仿宋" w:cs="仿宋"/>
          <w:b/>
          <w:bCs/>
          <w:color w:val="000000"/>
          <w:sz w:val="28"/>
          <w:szCs w:val="28"/>
          <w:highlight w:val="none"/>
          <w:u w:val="single"/>
          <w:lang w:val="en-US" w:eastAsia="zh-CN"/>
        </w:rPr>
        <w:t xml:space="preserve">录播系统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107.标的名称：</w:t>
      </w:r>
      <w:r>
        <w:rPr>
          <w:rFonts w:hint="eastAsia" w:ascii="仿宋" w:hAnsi="仿宋" w:eastAsia="仿宋" w:cs="仿宋"/>
          <w:b/>
          <w:bCs/>
          <w:color w:val="000000"/>
          <w:sz w:val="28"/>
          <w:szCs w:val="28"/>
          <w:highlight w:val="none"/>
          <w:u w:val="single"/>
          <w:lang w:val="en-US" w:eastAsia="zh-CN"/>
        </w:rPr>
        <w:t xml:space="preserve">导播控制系统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108.标的名称：</w:t>
      </w:r>
      <w:r>
        <w:rPr>
          <w:rFonts w:hint="eastAsia" w:ascii="仿宋" w:hAnsi="仿宋" w:eastAsia="仿宋" w:cs="仿宋"/>
          <w:b/>
          <w:bCs/>
          <w:color w:val="000000"/>
          <w:sz w:val="28"/>
          <w:szCs w:val="28"/>
          <w:highlight w:val="none"/>
          <w:u w:val="single"/>
          <w:lang w:val="en-US" w:eastAsia="zh-CN"/>
        </w:rPr>
        <w:t xml:space="preserve">键鼠套装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109.标的名称：</w:t>
      </w:r>
      <w:r>
        <w:rPr>
          <w:rFonts w:hint="eastAsia" w:ascii="仿宋" w:hAnsi="仿宋" w:eastAsia="仿宋" w:cs="仿宋"/>
          <w:b/>
          <w:bCs/>
          <w:color w:val="000000"/>
          <w:sz w:val="28"/>
          <w:szCs w:val="28"/>
          <w:highlight w:val="none"/>
          <w:u w:val="single"/>
          <w:lang w:val="en-US" w:eastAsia="zh-CN"/>
        </w:rPr>
        <w:t xml:space="preserve">无线投屏器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110.标的名称：</w:t>
      </w:r>
      <w:r>
        <w:rPr>
          <w:rFonts w:hint="eastAsia" w:ascii="仿宋" w:hAnsi="仿宋" w:eastAsia="仿宋" w:cs="仿宋"/>
          <w:b/>
          <w:bCs/>
          <w:color w:val="000000"/>
          <w:sz w:val="28"/>
          <w:szCs w:val="28"/>
          <w:highlight w:val="none"/>
          <w:u w:val="single"/>
          <w:lang w:val="en-US" w:eastAsia="zh-CN"/>
        </w:rPr>
        <w:t xml:space="preserve">视频程序设计实训处理平台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111.标的名称：</w:t>
      </w:r>
      <w:r>
        <w:rPr>
          <w:rFonts w:hint="eastAsia" w:ascii="仿宋" w:hAnsi="仿宋" w:eastAsia="仿宋" w:cs="仿宋"/>
          <w:b/>
          <w:bCs/>
          <w:color w:val="000000"/>
          <w:sz w:val="28"/>
          <w:szCs w:val="28"/>
          <w:highlight w:val="none"/>
          <w:u w:val="single"/>
          <w:lang w:val="en-US" w:eastAsia="zh-CN"/>
        </w:rPr>
        <w:t xml:space="preserve">视频程序设计实训并发处理单元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112.标的名称：</w:t>
      </w:r>
      <w:r>
        <w:rPr>
          <w:rFonts w:hint="eastAsia" w:ascii="仿宋" w:hAnsi="仿宋" w:eastAsia="仿宋" w:cs="仿宋"/>
          <w:b/>
          <w:bCs/>
          <w:color w:val="000000"/>
          <w:sz w:val="28"/>
          <w:szCs w:val="28"/>
          <w:highlight w:val="none"/>
          <w:u w:val="single"/>
          <w:lang w:val="en-US" w:eastAsia="zh-CN"/>
        </w:rPr>
        <w:t xml:space="preserve">视频程序设计实训推理分析单元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113.标的名称：</w:t>
      </w:r>
      <w:r>
        <w:rPr>
          <w:rFonts w:hint="eastAsia" w:ascii="仿宋" w:hAnsi="仿宋" w:eastAsia="仿宋" w:cs="仿宋"/>
          <w:b/>
          <w:bCs/>
          <w:color w:val="000000"/>
          <w:sz w:val="28"/>
          <w:szCs w:val="28"/>
          <w:highlight w:val="none"/>
          <w:u w:val="single"/>
          <w:lang w:val="en-US" w:eastAsia="zh-CN"/>
        </w:rPr>
        <w:t xml:space="preserve">HDMI发送器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114.标的名称：</w:t>
      </w:r>
      <w:r>
        <w:rPr>
          <w:rFonts w:hint="eastAsia" w:ascii="仿宋" w:hAnsi="仿宋" w:eastAsia="仿宋" w:cs="仿宋"/>
          <w:b/>
          <w:bCs/>
          <w:color w:val="000000"/>
          <w:sz w:val="28"/>
          <w:szCs w:val="28"/>
          <w:highlight w:val="none"/>
          <w:u w:val="single"/>
          <w:lang w:val="en-US" w:eastAsia="zh-CN"/>
        </w:rPr>
        <w:t xml:space="preserve">HDMI接收器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115.标的名称：</w:t>
      </w:r>
      <w:r>
        <w:rPr>
          <w:rFonts w:hint="eastAsia" w:ascii="仿宋" w:hAnsi="仿宋" w:eastAsia="仿宋" w:cs="仿宋"/>
          <w:b/>
          <w:bCs/>
          <w:color w:val="000000"/>
          <w:sz w:val="28"/>
          <w:szCs w:val="28"/>
          <w:highlight w:val="none"/>
          <w:u w:val="single"/>
          <w:lang w:val="en-US" w:eastAsia="zh-CN"/>
        </w:rPr>
        <w:t xml:space="preserve">两厅互通传输系统发送端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116.标的名称：</w:t>
      </w:r>
      <w:r>
        <w:rPr>
          <w:rFonts w:hint="eastAsia" w:ascii="仿宋" w:hAnsi="仿宋" w:eastAsia="仿宋" w:cs="仿宋"/>
          <w:b/>
          <w:bCs/>
          <w:color w:val="000000"/>
          <w:sz w:val="28"/>
          <w:szCs w:val="28"/>
          <w:highlight w:val="none"/>
          <w:u w:val="single"/>
          <w:lang w:val="en-US" w:eastAsia="zh-CN"/>
        </w:rPr>
        <w:t xml:space="preserve">两厅互通传输系统接收端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117.标的名称：</w:t>
      </w:r>
      <w:r>
        <w:rPr>
          <w:rFonts w:hint="eastAsia" w:ascii="仿宋" w:hAnsi="仿宋" w:eastAsia="仿宋" w:cs="仿宋"/>
          <w:b/>
          <w:bCs/>
          <w:color w:val="000000"/>
          <w:sz w:val="28"/>
          <w:szCs w:val="28"/>
          <w:highlight w:val="none"/>
          <w:u w:val="single"/>
          <w:lang w:val="en-US" w:eastAsia="zh-CN"/>
        </w:rPr>
        <w:t xml:space="preserve">4K高清室内摄像机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118.标的名称：</w:t>
      </w:r>
      <w:r>
        <w:rPr>
          <w:rFonts w:hint="eastAsia" w:ascii="仿宋" w:hAnsi="仿宋" w:eastAsia="仿宋" w:cs="仿宋"/>
          <w:b/>
          <w:bCs/>
          <w:color w:val="000000"/>
          <w:sz w:val="28"/>
          <w:szCs w:val="28"/>
          <w:highlight w:val="none"/>
          <w:u w:val="single"/>
          <w:lang w:val="en-US" w:eastAsia="zh-CN"/>
        </w:rPr>
        <w:t xml:space="preserve">4K高清室内摄像机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119.标的名称：</w:t>
      </w:r>
      <w:r>
        <w:rPr>
          <w:rFonts w:hint="eastAsia" w:ascii="仿宋" w:hAnsi="仿宋" w:eastAsia="仿宋" w:cs="仿宋"/>
          <w:b/>
          <w:bCs/>
          <w:color w:val="000000"/>
          <w:sz w:val="28"/>
          <w:szCs w:val="28"/>
          <w:highlight w:val="none"/>
          <w:u w:val="single"/>
          <w:lang w:val="en-US" w:eastAsia="zh-CN"/>
        </w:rPr>
        <w:t xml:space="preserve">摄像头固定支架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120.标的名称：</w:t>
      </w:r>
      <w:r>
        <w:rPr>
          <w:rFonts w:hint="eastAsia" w:ascii="仿宋" w:hAnsi="仿宋" w:eastAsia="仿宋" w:cs="仿宋"/>
          <w:b/>
          <w:bCs/>
          <w:color w:val="000000"/>
          <w:sz w:val="28"/>
          <w:szCs w:val="28"/>
          <w:highlight w:val="none"/>
          <w:u w:val="single"/>
          <w:lang w:val="en-US" w:eastAsia="zh-CN"/>
        </w:rPr>
        <w:t xml:space="preserve">摄像机移动支架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121.标的名称：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122.标的名称：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123.标的名称：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124.标的名称：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125.标的名称：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126.标的名称：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127.标的名称：</w:t>
      </w:r>
      <w:r>
        <w:rPr>
          <w:rFonts w:hint="eastAsia" w:ascii="仿宋" w:hAnsi="仿宋" w:eastAsia="仿宋" w:cs="仿宋"/>
          <w:b/>
          <w:bCs/>
          <w:color w:val="000000"/>
          <w:sz w:val="28"/>
          <w:szCs w:val="28"/>
          <w:highlight w:val="none"/>
          <w:u w:val="single"/>
          <w:lang w:val="en-US" w:eastAsia="zh-CN"/>
        </w:rPr>
        <w:t xml:space="preserve">线阵列扬声器吊挂支架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128.标的名称：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129.标的名称：</w:t>
      </w:r>
      <w:r>
        <w:rPr>
          <w:rFonts w:hint="eastAsia" w:ascii="仿宋" w:hAnsi="仿宋" w:eastAsia="仿宋" w:cs="仿宋"/>
          <w:b/>
          <w:bCs/>
          <w:color w:val="000000"/>
          <w:sz w:val="28"/>
          <w:szCs w:val="28"/>
          <w:highlight w:val="none"/>
          <w:u w:val="single"/>
          <w:lang w:val="en-US" w:eastAsia="zh-CN"/>
        </w:rPr>
        <w:t xml:space="preserve">跳线盘</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130.标的名称：</w:t>
      </w:r>
      <w:r>
        <w:rPr>
          <w:rFonts w:hint="eastAsia" w:ascii="仿宋" w:hAnsi="仿宋" w:eastAsia="仿宋" w:cs="仿宋"/>
          <w:b/>
          <w:bCs/>
          <w:color w:val="000000"/>
          <w:sz w:val="28"/>
          <w:szCs w:val="28"/>
          <w:highlight w:val="none"/>
          <w:u w:val="single"/>
          <w:lang w:val="en-US" w:eastAsia="zh-CN"/>
        </w:rPr>
        <w:t xml:space="preserve">电动葫芦</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131.标的名称：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132.标的名称：</w:t>
      </w:r>
      <w:r>
        <w:rPr>
          <w:rFonts w:hint="eastAsia" w:ascii="仿宋" w:hAnsi="仿宋" w:eastAsia="仿宋" w:cs="仿宋"/>
          <w:b/>
          <w:bCs/>
          <w:color w:val="000000"/>
          <w:sz w:val="28"/>
          <w:szCs w:val="28"/>
          <w:highlight w:val="none"/>
          <w:u w:val="single"/>
          <w:lang w:val="en-US" w:eastAsia="zh-CN"/>
        </w:rPr>
        <w:t xml:space="preserve">对讲主机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133.标的名称：</w:t>
      </w:r>
      <w:r>
        <w:rPr>
          <w:rFonts w:hint="eastAsia" w:ascii="仿宋" w:hAnsi="仿宋" w:eastAsia="仿宋" w:cs="仿宋"/>
          <w:b/>
          <w:bCs/>
          <w:color w:val="000000"/>
          <w:sz w:val="28"/>
          <w:szCs w:val="28"/>
          <w:highlight w:val="none"/>
          <w:u w:val="single"/>
          <w:lang w:val="en-US" w:eastAsia="zh-CN"/>
        </w:rPr>
        <w:t xml:space="preserve">对讲话筒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134.标的名称：</w:t>
      </w:r>
      <w:r>
        <w:rPr>
          <w:rFonts w:hint="eastAsia" w:ascii="仿宋" w:hAnsi="仿宋" w:eastAsia="仿宋" w:cs="仿宋"/>
          <w:b/>
          <w:bCs/>
          <w:color w:val="000000"/>
          <w:sz w:val="28"/>
          <w:szCs w:val="28"/>
          <w:highlight w:val="none"/>
          <w:u w:val="single"/>
          <w:lang w:val="en-US" w:eastAsia="zh-CN"/>
        </w:rPr>
        <w:t xml:space="preserve">壁挂音箱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135.标的名称：</w:t>
      </w:r>
      <w:r>
        <w:rPr>
          <w:rFonts w:hint="eastAsia" w:ascii="仿宋" w:hAnsi="仿宋" w:eastAsia="仿宋" w:cs="仿宋"/>
          <w:b/>
          <w:bCs/>
          <w:color w:val="000000"/>
          <w:sz w:val="28"/>
          <w:szCs w:val="28"/>
          <w:highlight w:val="none"/>
          <w:u w:val="single"/>
          <w:lang w:val="en-US" w:eastAsia="zh-CN"/>
        </w:rPr>
        <w:t xml:space="preserve">音量控制开关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136.标的名称：</w:t>
      </w:r>
      <w:r>
        <w:rPr>
          <w:rFonts w:hint="eastAsia" w:ascii="仿宋" w:hAnsi="仿宋" w:eastAsia="仿宋" w:cs="仿宋"/>
          <w:b/>
          <w:bCs/>
          <w:color w:val="000000"/>
          <w:sz w:val="28"/>
          <w:szCs w:val="28"/>
          <w:highlight w:val="none"/>
          <w:u w:val="single"/>
          <w:lang w:val="en-US" w:eastAsia="zh-CN"/>
        </w:rPr>
        <w:t xml:space="preserve">协同控制终端系统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137.标的名称：</w:t>
      </w:r>
      <w:r>
        <w:rPr>
          <w:rFonts w:hint="eastAsia" w:ascii="仿宋" w:hAnsi="仿宋" w:eastAsia="仿宋" w:cs="仿宋"/>
          <w:b/>
          <w:bCs/>
          <w:color w:val="000000"/>
          <w:sz w:val="28"/>
          <w:szCs w:val="28"/>
          <w:highlight w:val="none"/>
          <w:u w:val="single"/>
          <w:lang w:val="en-US" w:eastAsia="zh-CN"/>
        </w:rPr>
        <w:t xml:space="preserve">协同控制核心系统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138.标的名称：</w:t>
      </w:r>
      <w:r>
        <w:rPr>
          <w:rFonts w:hint="eastAsia" w:ascii="仿宋" w:hAnsi="仿宋" w:eastAsia="仿宋" w:cs="仿宋"/>
          <w:b/>
          <w:bCs/>
          <w:color w:val="000000"/>
          <w:sz w:val="28"/>
          <w:szCs w:val="28"/>
          <w:highlight w:val="none"/>
          <w:u w:val="single"/>
          <w:lang w:val="en-US" w:eastAsia="zh-CN"/>
        </w:rPr>
        <w:t xml:space="preserve">协同控制孪生模块系统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139.标的名称：</w:t>
      </w:r>
      <w:r>
        <w:rPr>
          <w:rFonts w:hint="eastAsia" w:ascii="仿宋" w:hAnsi="仿宋" w:eastAsia="仿宋" w:cs="仿宋"/>
          <w:b/>
          <w:bCs/>
          <w:color w:val="000000"/>
          <w:sz w:val="28"/>
          <w:szCs w:val="28"/>
          <w:highlight w:val="none"/>
          <w:u w:val="single"/>
          <w:lang w:val="en-US" w:eastAsia="zh-CN"/>
        </w:rPr>
        <w:t xml:space="preserve">网络交换机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140.标的名称：</w:t>
      </w:r>
      <w:r>
        <w:rPr>
          <w:rFonts w:hint="eastAsia" w:ascii="仿宋" w:hAnsi="仿宋" w:eastAsia="仿宋" w:cs="仿宋"/>
          <w:b/>
          <w:bCs/>
          <w:color w:val="000000"/>
          <w:sz w:val="28"/>
          <w:szCs w:val="28"/>
          <w:highlight w:val="none"/>
          <w:u w:val="single"/>
          <w:lang w:val="en-US" w:eastAsia="zh-CN"/>
        </w:rPr>
        <w:t xml:space="preserve">高清200万网络红外半球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141.标的名称：</w:t>
      </w:r>
      <w:r>
        <w:rPr>
          <w:rFonts w:hint="eastAsia" w:ascii="仿宋" w:hAnsi="仿宋" w:eastAsia="仿宋" w:cs="仿宋"/>
          <w:b/>
          <w:bCs/>
          <w:color w:val="000000"/>
          <w:sz w:val="28"/>
          <w:szCs w:val="28"/>
          <w:highlight w:val="none"/>
          <w:u w:val="single"/>
          <w:lang w:val="en-US" w:eastAsia="zh-CN"/>
        </w:rPr>
        <w:t xml:space="preserve">网络硬盘录像机（带显示终端）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142.标的名称：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143.标的名称：</w:t>
      </w:r>
      <w:r>
        <w:rPr>
          <w:rFonts w:hint="eastAsia" w:ascii="仿宋" w:hAnsi="仿宋" w:eastAsia="仿宋" w:cs="仿宋"/>
          <w:b/>
          <w:bCs/>
          <w:color w:val="000000"/>
          <w:sz w:val="28"/>
          <w:szCs w:val="28"/>
          <w:highlight w:val="none"/>
          <w:u w:val="single"/>
          <w:lang w:val="en-US" w:eastAsia="zh-CN"/>
        </w:rPr>
        <w:t xml:space="preserve">左右主扩声线阵列扬声器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144.标的名称：</w:t>
      </w:r>
      <w:r>
        <w:rPr>
          <w:rFonts w:hint="eastAsia" w:ascii="仿宋" w:hAnsi="仿宋" w:eastAsia="仿宋" w:cs="仿宋"/>
          <w:b/>
          <w:bCs/>
          <w:color w:val="000000"/>
          <w:sz w:val="28"/>
          <w:szCs w:val="28"/>
          <w:highlight w:val="none"/>
          <w:u w:val="single"/>
          <w:lang w:val="en-US" w:eastAsia="zh-CN"/>
        </w:rPr>
        <w:t xml:space="preserve">低频扬声器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145.标的名称：</w:t>
      </w:r>
      <w:r>
        <w:rPr>
          <w:rFonts w:hint="eastAsia" w:ascii="仿宋" w:hAnsi="仿宋" w:eastAsia="仿宋" w:cs="仿宋"/>
          <w:b/>
          <w:bCs/>
          <w:color w:val="000000"/>
          <w:sz w:val="28"/>
          <w:szCs w:val="28"/>
          <w:highlight w:val="none"/>
          <w:u w:val="single"/>
          <w:lang w:val="en-US" w:eastAsia="zh-CN"/>
        </w:rPr>
        <w:t xml:space="preserve">流动返听扬声器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146.标的名称：</w:t>
      </w:r>
      <w:r>
        <w:rPr>
          <w:rFonts w:hint="eastAsia" w:ascii="仿宋" w:hAnsi="仿宋" w:eastAsia="仿宋" w:cs="仿宋"/>
          <w:b/>
          <w:bCs/>
          <w:color w:val="000000"/>
          <w:sz w:val="28"/>
          <w:szCs w:val="28"/>
          <w:highlight w:val="none"/>
          <w:u w:val="single"/>
          <w:lang w:val="en-US" w:eastAsia="zh-CN"/>
        </w:rPr>
        <w:t xml:space="preserve">同轴台唇扬声器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147.标的名称：</w:t>
      </w:r>
      <w:r>
        <w:rPr>
          <w:rFonts w:hint="eastAsia" w:ascii="仿宋" w:hAnsi="仿宋" w:eastAsia="仿宋" w:cs="仿宋"/>
          <w:b/>
          <w:bCs/>
          <w:color w:val="000000"/>
          <w:sz w:val="28"/>
          <w:szCs w:val="28"/>
          <w:highlight w:val="none"/>
          <w:u w:val="single"/>
          <w:lang w:val="en-US" w:eastAsia="zh-CN"/>
        </w:rPr>
        <w:t xml:space="preserve">左右主扩声线阵列扬声器功率放大器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148.标的名称：</w:t>
      </w:r>
      <w:r>
        <w:rPr>
          <w:rFonts w:hint="eastAsia" w:ascii="仿宋" w:hAnsi="仿宋" w:eastAsia="仿宋" w:cs="仿宋"/>
          <w:b/>
          <w:bCs/>
          <w:color w:val="000000"/>
          <w:sz w:val="28"/>
          <w:szCs w:val="28"/>
          <w:highlight w:val="none"/>
          <w:u w:val="single"/>
          <w:lang w:val="en-US" w:eastAsia="zh-CN"/>
        </w:rPr>
        <w:t xml:space="preserve">低频扬声器功率放大器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149.标的名称：</w:t>
      </w:r>
      <w:r>
        <w:rPr>
          <w:rFonts w:hint="eastAsia" w:ascii="仿宋" w:hAnsi="仿宋" w:eastAsia="仿宋" w:cs="仿宋"/>
          <w:b/>
          <w:bCs/>
          <w:color w:val="000000"/>
          <w:sz w:val="28"/>
          <w:szCs w:val="28"/>
          <w:highlight w:val="none"/>
          <w:u w:val="single"/>
          <w:lang w:val="en-US" w:eastAsia="zh-CN"/>
        </w:rPr>
        <w:t xml:space="preserve">流动返听扬声器功率放大器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150.标的名称：</w:t>
      </w:r>
      <w:r>
        <w:rPr>
          <w:rFonts w:hint="eastAsia" w:ascii="仿宋" w:hAnsi="仿宋" w:eastAsia="仿宋" w:cs="仿宋"/>
          <w:b/>
          <w:bCs/>
          <w:color w:val="000000"/>
          <w:sz w:val="28"/>
          <w:szCs w:val="28"/>
          <w:highlight w:val="none"/>
          <w:u w:val="single"/>
          <w:lang w:val="en-US" w:eastAsia="zh-CN"/>
        </w:rPr>
        <w:t xml:space="preserve">同轴台唇扬声器功率放大器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151.标的名称：</w:t>
      </w:r>
      <w:r>
        <w:rPr>
          <w:rFonts w:hint="eastAsia" w:ascii="仿宋" w:hAnsi="仿宋" w:eastAsia="仿宋" w:cs="仿宋"/>
          <w:b/>
          <w:bCs/>
          <w:color w:val="000000"/>
          <w:sz w:val="28"/>
          <w:szCs w:val="28"/>
          <w:highlight w:val="none"/>
          <w:u w:val="single"/>
          <w:lang w:val="en-US" w:eastAsia="zh-CN"/>
        </w:rPr>
        <w:t xml:space="preserve">16路数字音频处理器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152.标的名称：</w:t>
      </w:r>
      <w:r>
        <w:rPr>
          <w:rFonts w:hint="eastAsia" w:ascii="仿宋" w:hAnsi="仿宋" w:eastAsia="仿宋" w:cs="仿宋"/>
          <w:b/>
          <w:bCs/>
          <w:color w:val="000000"/>
          <w:sz w:val="28"/>
          <w:szCs w:val="28"/>
          <w:highlight w:val="none"/>
          <w:u w:val="single"/>
          <w:lang w:val="en-US" w:eastAsia="zh-CN"/>
        </w:rPr>
        <w:t xml:space="preserve">16路数字调音台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153.标的名称：</w:t>
      </w:r>
      <w:r>
        <w:rPr>
          <w:rFonts w:hint="eastAsia" w:ascii="仿宋" w:hAnsi="仿宋" w:eastAsia="仿宋" w:cs="仿宋"/>
          <w:b/>
          <w:bCs/>
          <w:color w:val="000000"/>
          <w:sz w:val="28"/>
          <w:szCs w:val="28"/>
          <w:highlight w:val="none"/>
          <w:u w:val="single"/>
          <w:lang w:val="en-US" w:eastAsia="zh-CN"/>
        </w:rPr>
        <w:t xml:space="preserve">同轴有源监听音箱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155.标的名称：</w:t>
      </w:r>
      <w:r>
        <w:rPr>
          <w:rFonts w:hint="eastAsia" w:ascii="仿宋" w:hAnsi="仿宋" w:eastAsia="仿宋" w:cs="仿宋"/>
          <w:b/>
          <w:bCs/>
          <w:color w:val="000000"/>
          <w:sz w:val="28"/>
          <w:szCs w:val="28"/>
          <w:highlight w:val="none"/>
          <w:u w:val="single"/>
          <w:lang w:val="en-US" w:eastAsia="zh-CN"/>
        </w:rPr>
        <w:t xml:space="preserve">四通道真分集接收机(Dante)</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156.标的名称：</w:t>
      </w:r>
      <w:r>
        <w:rPr>
          <w:rFonts w:hint="eastAsia" w:ascii="仿宋" w:hAnsi="仿宋" w:eastAsia="仿宋" w:cs="仿宋"/>
          <w:b/>
          <w:bCs/>
          <w:color w:val="000000"/>
          <w:sz w:val="28"/>
          <w:szCs w:val="28"/>
          <w:highlight w:val="none"/>
          <w:u w:val="single"/>
          <w:lang w:val="en-US" w:eastAsia="zh-CN"/>
        </w:rPr>
        <w:t xml:space="preserve">无线会议话筒（方管）</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157.标的名称：</w:t>
      </w:r>
      <w:r>
        <w:rPr>
          <w:rFonts w:hint="eastAsia" w:ascii="仿宋" w:hAnsi="仿宋" w:eastAsia="仿宋" w:cs="仿宋"/>
          <w:b/>
          <w:bCs/>
          <w:color w:val="000000"/>
          <w:sz w:val="28"/>
          <w:szCs w:val="28"/>
          <w:highlight w:val="none"/>
          <w:u w:val="single"/>
          <w:lang w:val="en-US" w:eastAsia="zh-CN"/>
        </w:rPr>
        <w:t xml:space="preserve">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158.标的名称：</w:t>
      </w:r>
      <w:r>
        <w:rPr>
          <w:rFonts w:hint="eastAsia" w:ascii="仿宋" w:hAnsi="仿宋" w:eastAsia="仿宋" w:cs="仿宋"/>
          <w:b/>
          <w:bCs/>
          <w:color w:val="000000"/>
          <w:sz w:val="28"/>
          <w:szCs w:val="28"/>
          <w:highlight w:val="none"/>
          <w:u w:val="single"/>
          <w:lang w:val="en-US" w:eastAsia="zh-CN"/>
        </w:rPr>
        <w:t xml:space="preserve">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159.标的名称：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160.标的名称：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161.标的名称：</w:t>
      </w:r>
      <w:r>
        <w:rPr>
          <w:rFonts w:hint="eastAsia" w:ascii="仿宋" w:hAnsi="仿宋" w:eastAsia="仿宋" w:cs="仿宋"/>
          <w:b/>
          <w:bCs/>
          <w:color w:val="000000"/>
          <w:sz w:val="28"/>
          <w:szCs w:val="28"/>
          <w:highlight w:val="none"/>
          <w:u w:val="single"/>
          <w:lang w:val="en-US" w:eastAsia="zh-CN"/>
        </w:rPr>
        <w:t xml:space="preserve">演讲台有线鹅颈会议话筒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162.标的名称：</w:t>
      </w:r>
      <w:r>
        <w:rPr>
          <w:rFonts w:hint="eastAsia" w:ascii="仿宋" w:hAnsi="仿宋" w:eastAsia="仿宋" w:cs="仿宋"/>
          <w:b/>
          <w:bCs/>
          <w:color w:val="000000"/>
          <w:sz w:val="28"/>
          <w:szCs w:val="28"/>
          <w:highlight w:val="none"/>
          <w:u w:val="single"/>
          <w:lang w:val="en-US" w:eastAsia="zh-CN"/>
        </w:rPr>
        <w:t xml:space="preserve">矮推车式提词系统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163.标的名称：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165.标的名称：</w:t>
      </w:r>
      <w:r>
        <w:rPr>
          <w:rFonts w:hint="eastAsia" w:ascii="仿宋" w:hAnsi="仿宋" w:eastAsia="仿宋" w:cs="仿宋"/>
          <w:b/>
          <w:bCs/>
          <w:color w:val="000000"/>
          <w:sz w:val="28"/>
          <w:szCs w:val="28"/>
          <w:highlight w:val="none"/>
          <w:u w:val="single"/>
          <w:lang w:val="en-US" w:eastAsia="zh-CN"/>
        </w:rPr>
        <w:t xml:space="preserve">一道面光( LED远程聚光灯）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166.标的名称：</w:t>
      </w:r>
      <w:r>
        <w:rPr>
          <w:rFonts w:hint="eastAsia" w:ascii="仿宋" w:hAnsi="仿宋" w:eastAsia="仿宋" w:cs="仿宋"/>
          <w:b/>
          <w:bCs/>
          <w:color w:val="000000"/>
          <w:sz w:val="28"/>
          <w:szCs w:val="28"/>
          <w:highlight w:val="none"/>
          <w:u w:val="single"/>
          <w:lang w:val="en-US" w:eastAsia="zh-CN"/>
        </w:rPr>
        <w:t xml:space="preserve">一道顶光（LED染色灯）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167.标的名称：</w:t>
      </w:r>
      <w:r>
        <w:rPr>
          <w:rFonts w:hint="eastAsia" w:ascii="仿宋" w:hAnsi="仿宋" w:eastAsia="仿宋" w:cs="仿宋"/>
          <w:b/>
          <w:bCs/>
          <w:color w:val="000000"/>
          <w:sz w:val="28"/>
          <w:szCs w:val="28"/>
          <w:highlight w:val="none"/>
          <w:u w:val="single"/>
          <w:lang w:val="en-US" w:eastAsia="zh-CN"/>
        </w:rPr>
        <w:t xml:space="preserve">一道顶光（LED平板会议灯）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168.标的名称：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169.标的名称：</w:t>
      </w:r>
      <w:r>
        <w:rPr>
          <w:rFonts w:hint="eastAsia" w:ascii="仿宋" w:hAnsi="仿宋" w:eastAsia="仿宋" w:cs="仿宋"/>
          <w:b/>
          <w:bCs/>
          <w:color w:val="000000"/>
          <w:sz w:val="28"/>
          <w:szCs w:val="28"/>
          <w:highlight w:val="none"/>
          <w:u w:val="single"/>
          <w:lang w:val="en-US" w:eastAsia="zh-CN"/>
        </w:rPr>
        <w:t xml:space="preserve">二道顶光（LED平板会议灯）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170.标的名称：</w:t>
      </w:r>
      <w:r>
        <w:rPr>
          <w:rFonts w:hint="eastAsia" w:ascii="仿宋" w:hAnsi="仿宋" w:eastAsia="仿宋" w:cs="仿宋"/>
          <w:b/>
          <w:bCs/>
          <w:color w:val="000000"/>
          <w:sz w:val="28"/>
          <w:szCs w:val="28"/>
          <w:highlight w:val="none"/>
          <w:u w:val="single"/>
          <w:lang w:val="en-US" w:eastAsia="zh-CN"/>
        </w:rPr>
        <w:t xml:space="preserve">二道顶光（光束摇头灯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171.标的名称：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172.标的名称：</w:t>
      </w:r>
      <w:r>
        <w:rPr>
          <w:rFonts w:hint="eastAsia" w:ascii="仿宋" w:hAnsi="仿宋" w:eastAsia="仿宋" w:cs="仿宋"/>
          <w:b/>
          <w:bCs/>
          <w:color w:val="000000"/>
          <w:sz w:val="28"/>
          <w:szCs w:val="28"/>
          <w:highlight w:val="none"/>
          <w:u w:val="single"/>
          <w:lang w:val="en-US" w:eastAsia="zh-CN"/>
        </w:rPr>
        <w:t xml:space="preserve">一道逆光（光束摇头灯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173.标的名称：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174.标的名称：</w:t>
      </w:r>
      <w:r>
        <w:rPr>
          <w:rFonts w:hint="eastAsia" w:ascii="仿宋" w:hAnsi="仿宋" w:eastAsia="仿宋" w:cs="仿宋"/>
          <w:b/>
          <w:bCs/>
          <w:color w:val="000000"/>
          <w:sz w:val="28"/>
          <w:szCs w:val="28"/>
          <w:highlight w:val="none"/>
          <w:u w:val="single"/>
          <w:lang w:val="en-US" w:eastAsia="zh-CN"/>
        </w:rPr>
        <w:t xml:space="preserve">两道侧光（光束摇头灯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175.标的名称：</w:t>
      </w:r>
      <w:r>
        <w:rPr>
          <w:rFonts w:hint="eastAsia" w:ascii="仿宋" w:hAnsi="仿宋" w:eastAsia="仿宋" w:cs="仿宋"/>
          <w:b/>
          <w:bCs/>
          <w:color w:val="000000"/>
          <w:sz w:val="28"/>
          <w:szCs w:val="28"/>
          <w:highlight w:val="none"/>
          <w:u w:val="single"/>
          <w:lang w:val="en-US" w:eastAsia="zh-CN"/>
        </w:rPr>
        <w:t xml:space="preserve">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176.标的名称：</w:t>
      </w:r>
      <w:r>
        <w:rPr>
          <w:rFonts w:hint="eastAsia" w:ascii="仿宋" w:hAnsi="仿宋" w:eastAsia="仿宋" w:cs="仿宋"/>
          <w:b/>
          <w:bCs/>
          <w:color w:val="000000"/>
          <w:sz w:val="28"/>
          <w:szCs w:val="28"/>
          <w:highlight w:val="none"/>
          <w:u w:val="single"/>
          <w:lang w:val="en-US" w:eastAsia="zh-CN"/>
        </w:rPr>
        <w:t xml:space="preserve">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177.标的名称：</w:t>
      </w:r>
      <w:r>
        <w:rPr>
          <w:rFonts w:hint="eastAsia" w:ascii="仿宋" w:hAnsi="仿宋" w:eastAsia="仿宋" w:cs="仿宋"/>
          <w:b/>
          <w:bCs/>
          <w:color w:val="000000"/>
          <w:sz w:val="28"/>
          <w:szCs w:val="28"/>
          <w:highlight w:val="none"/>
          <w:u w:val="single"/>
          <w:lang w:val="en-US" w:eastAsia="zh-CN"/>
        </w:rPr>
        <w:t xml:space="preserve">智能配电柜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178.标的名称：</w:t>
      </w:r>
      <w:r>
        <w:rPr>
          <w:rFonts w:hint="eastAsia" w:ascii="仿宋" w:hAnsi="仿宋" w:eastAsia="仿宋" w:cs="仿宋"/>
          <w:b/>
          <w:bCs/>
          <w:color w:val="000000"/>
          <w:sz w:val="28"/>
          <w:szCs w:val="28"/>
          <w:highlight w:val="none"/>
          <w:u w:val="single"/>
          <w:lang w:val="en-US" w:eastAsia="zh-CN"/>
        </w:rPr>
        <w:t xml:space="preserve">电脑灯控台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179.标的名称：</w:t>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180.标的名称：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181.标的名称：</w:t>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182.标的名称：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183.标的名称：</w:t>
      </w:r>
      <w:r>
        <w:rPr>
          <w:rFonts w:hint="eastAsia" w:ascii="仿宋" w:hAnsi="仿宋" w:eastAsia="仿宋" w:cs="仿宋"/>
          <w:b/>
          <w:bCs/>
          <w:color w:val="000000"/>
          <w:sz w:val="28"/>
          <w:szCs w:val="28"/>
          <w:highlight w:val="none"/>
          <w:u w:val="single"/>
          <w:lang w:val="en-US" w:eastAsia="zh-CN"/>
        </w:rPr>
        <w:t xml:space="preserve">舞台机械控制终端吊杆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184.标的名称：</w:t>
      </w:r>
      <w:r>
        <w:rPr>
          <w:rFonts w:hint="eastAsia" w:ascii="仿宋" w:hAnsi="仿宋" w:eastAsia="仿宋" w:cs="仿宋"/>
          <w:b/>
          <w:bCs/>
          <w:color w:val="000000"/>
          <w:sz w:val="28"/>
          <w:szCs w:val="28"/>
          <w:highlight w:val="none"/>
          <w:u w:val="single"/>
          <w:lang w:val="en-US" w:eastAsia="zh-CN"/>
        </w:rPr>
        <w:t xml:space="preserve">舞台机械全沉浸式控制系统模块</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185.标的名称：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186.标的名称：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188.标的名称：</w:t>
      </w:r>
      <w:r>
        <w:rPr>
          <w:rFonts w:hint="eastAsia" w:ascii="仿宋" w:hAnsi="仿宋" w:eastAsia="仿宋" w:cs="仿宋"/>
          <w:b/>
          <w:bCs/>
          <w:color w:val="000000"/>
          <w:sz w:val="28"/>
          <w:szCs w:val="28"/>
          <w:highlight w:val="none"/>
          <w:u w:val="single"/>
          <w:lang w:val="en-US" w:eastAsia="zh-CN"/>
        </w:rPr>
        <w:t xml:space="preserve">可编程中央控制主机（加触控终端）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189.标的名称：</w:t>
      </w:r>
      <w:r>
        <w:rPr>
          <w:rFonts w:hint="eastAsia" w:ascii="仿宋" w:hAnsi="仿宋" w:eastAsia="仿宋" w:cs="仿宋"/>
          <w:b/>
          <w:bCs/>
          <w:color w:val="000000"/>
          <w:sz w:val="28"/>
          <w:szCs w:val="28"/>
          <w:highlight w:val="none"/>
          <w:u w:val="single"/>
          <w:lang w:val="en-US" w:eastAsia="zh-CN"/>
        </w:rPr>
        <w:t xml:space="preserve">无线接收器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190.标的名称：</w:t>
      </w:r>
      <w:r>
        <w:rPr>
          <w:rFonts w:hint="eastAsia" w:ascii="仿宋" w:hAnsi="仿宋" w:eastAsia="仿宋" w:cs="仿宋"/>
          <w:b/>
          <w:bCs/>
          <w:color w:val="000000"/>
          <w:sz w:val="28"/>
          <w:szCs w:val="28"/>
          <w:highlight w:val="none"/>
          <w:u w:val="single"/>
          <w:lang w:val="en-US" w:eastAsia="zh-CN"/>
        </w:rPr>
        <w:t xml:space="preserve">红外发射棒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191.标的名称：</w:t>
      </w:r>
      <w:r>
        <w:rPr>
          <w:rFonts w:hint="eastAsia" w:ascii="仿宋" w:hAnsi="仿宋" w:eastAsia="仿宋" w:cs="仿宋"/>
          <w:b/>
          <w:bCs/>
          <w:color w:val="000000"/>
          <w:sz w:val="28"/>
          <w:szCs w:val="28"/>
          <w:highlight w:val="none"/>
          <w:u w:val="single"/>
          <w:lang w:val="en-US" w:eastAsia="zh-CN"/>
        </w:rPr>
        <w:t xml:space="preserve">协同中控控制子系统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192.标的名称：</w:t>
      </w:r>
      <w:r>
        <w:rPr>
          <w:rFonts w:hint="eastAsia" w:ascii="仿宋" w:hAnsi="仿宋" w:eastAsia="仿宋" w:cs="仿宋"/>
          <w:b/>
          <w:bCs/>
          <w:color w:val="000000"/>
          <w:sz w:val="28"/>
          <w:szCs w:val="28"/>
          <w:highlight w:val="none"/>
          <w:u w:val="single"/>
          <w:lang w:val="en-US" w:eastAsia="zh-CN"/>
        </w:rPr>
        <w:t xml:space="preserve">系统软件单元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193.标的名称：</w:t>
      </w:r>
      <w:r>
        <w:rPr>
          <w:rFonts w:hint="eastAsia" w:ascii="仿宋" w:hAnsi="仿宋" w:eastAsia="仿宋" w:cs="仿宋"/>
          <w:b/>
          <w:bCs/>
          <w:color w:val="000000"/>
          <w:sz w:val="28"/>
          <w:szCs w:val="28"/>
          <w:highlight w:val="none"/>
          <w:u w:val="single"/>
          <w:lang w:val="en-US" w:eastAsia="zh-CN"/>
        </w:rPr>
        <w:t xml:space="preserve">电源控制器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194.标的名称：</w:t>
      </w:r>
      <w:r>
        <w:rPr>
          <w:rFonts w:hint="eastAsia" w:ascii="仿宋" w:hAnsi="仿宋" w:eastAsia="仿宋" w:cs="仿宋"/>
          <w:b/>
          <w:bCs/>
          <w:color w:val="000000"/>
          <w:sz w:val="28"/>
          <w:szCs w:val="28"/>
          <w:highlight w:val="none"/>
          <w:u w:val="single"/>
          <w:lang w:val="en-US" w:eastAsia="zh-CN"/>
        </w:rPr>
        <w:t xml:space="preserve">手自一体PLC电源控制箱40KW</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195.标的名称：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196.标的名称：</w:t>
      </w:r>
      <w:r>
        <w:rPr>
          <w:rFonts w:hint="eastAsia" w:ascii="仿宋" w:hAnsi="仿宋" w:eastAsia="仿宋" w:cs="仿宋"/>
          <w:b/>
          <w:bCs/>
          <w:color w:val="000000"/>
          <w:sz w:val="28"/>
          <w:szCs w:val="28"/>
          <w:highlight w:val="none"/>
          <w:u w:val="single"/>
          <w:lang w:val="en-US" w:eastAsia="zh-CN"/>
        </w:rPr>
        <w:t xml:space="preserve">4K会议录播一体机（带显示终端）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197.标的名称：</w:t>
      </w:r>
      <w:r>
        <w:rPr>
          <w:rFonts w:hint="eastAsia" w:ascii="仿宋" w:hAnsi="仿宋" w:eastAsia="仿宋" w:cs="仿宋"/>
          <w:b/>
          <w:bCs/>
          <w:color w:val="000000"/>
          <w:sz w:val="28"/>
          <w:szCs w:val="28"/>
          <w:highlight w:val="none"/>
          <w:u w:val="single"/>
          <w:lang w:val="en-US" w:eastAsia="zh-CN"/>
        </w:rPr>
        <w:t xml:space="preserve">录播系统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198.标的名称：</w:t>
      </w:r>
      <w:r>
        <w:rPr>
          <w:rFonts w:hint="eastAsia" w:ascii="仿宋" w:hAnsi="仿宋" w:eastAsia="仿宋" w:cs="仿宋"/>
          <w:b/>
          <w:bCs/>
          <w:color w:val="000000"/>
          <w:sz w:val="28"/>
          <w:szCs w:val="28"/>
          <w:highlight w:val="none"/>
          <w:u w:val="single"/>
          <w:lang w:val="en-US" w:eastAsia="zh-CN"/>
        </w:rPr>
        <w:t xml:space="preserve">导播控制系统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199.标的名称：</w:t>
      </w:r>
      <w:r>
        <w:rPr>
          <w:rFonts w:hint="eastAsia" w:ascii="仿宋" w:hAnsi="仿宋" w:eastAsia="仿宋" w:cs="仿宋"/>
          <w:b/>
          <w:bCs/>
          <w:color w:val="000000"/>
          <w:sz w:val="28"/>
          <w:szCs w:val="28"/>
          <w:highlight w:val="none"/>
          <w:u w:val="single"/>
          <w:lang w:val="en-US" w:eastAsia="zh-CN"/>
        </w:rPr>
        <w:t xml:space="preserve">键鼠套装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200.标的名称：</w:t>
      </w:r>
      <w:r>
        <w:rPr>
          <w:rFonts w:hint="eastAsia" w:ascii="仿宋" w:hAnsi="仿宋" w:eastAsia="仿宋" w:cs="仿宋"/>
          <w:b/>
          <w:bCs/>
          <w:color w:val="000000"/>
          <w:sz w:val="28"/>
          <w:szCs w:val="28"/>
          <w:highlight w:val="none"/>
          <w:u w:val="single"/>
          <w:lang w:val="en-US" w:eastAsia="zh-CN"/>
        </w:rPr>
        <w:t xml:space="preserve">实际大数据处理决策中控平台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201.标的名称：</w:t>
      </w:r>
      <w:r>
        <w:rPr>
          <w:rFonts w:hint="eastAsia" w:ascii="仿宋" w:hAnsi="仿宋" w:eastAsia="仿宋" w:cs="仿宋"/>
          <w:b/>
          <w:bCs/>
          <w:color w:val="000000"/>
          <w:sz w:val="28"/>
          <w:szCs w:val="28"/>
          <w:highlight w:val="none"/>
          <w:u w:val="single"/>
          <w:lang w:val="en-US" w:eastAsia="zh-CN"/>
        </w:rPr>
        <w:t xml:space="preserve">HDMI发送器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202.标的名称：</w:t>
      </w:r>
      <w:r>
        <w:rPr>
          <w:rFonts w:hint="eastAsia" w:ascii="仿宋" w:hAnsi="仿宋" w:eastAsia="仿宋" w:cs="仿宋"/>
          <w:b/>
          <w:bCs/>
          <w:color w:val="000000"/>
          <w:sz w:val="28"/>
          <w:szCs w:val="28"/>
          <w:highlight w:val="none"/>
          <w:u w:val="single"/>
          <w:lang w:val="en-US" w:eastAsia="zh-CN"/>
        </w:rPr>
        <w:t xml:space="preserve">HDMI接收器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203.标的名称：</w:t>
      </w:r>
      <w:r>
        <w:rPr>
          <w:rFonts w:hint="eastAsia" w:ascii="仿宋" w:hAnsi="仿宋" w:eastAsia="仿宋" w:cs="仿宋"/>
          <w:b/>
          <w:bCs/>
          <w:color w:val="000000"/>
          <w:sz w:val="28"/>
          <w:szCs w:val="28"/>
          <w:highlight w:val="none"/>
          <w:u w:val="single"/>
          <w:lang w:val="en-US" w:eastAsia="zh-CN"/>
        </w:rPr>
        <w:t xml:space="preserve">4K带云台高清室内摄像机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204.标的名称：</w:t>
      </w:r>
      <w:r>
        <w:rPr>
          <w:rFonts w:hint="eastAsia" w:ascii="仿宋" w:hAnsi="仿宋" w:eastAsia="仿宋" w:cs="仿宋"/>
          <w:b/>
          <w:bCs/>
          <w:color w:val="000000"/>
          <w:sz w:val="28"/>
          <w:szCs w:val="28"/>
          <w:highlight w:val="none"/>
          <w:u w:val="single"/>
          <w:lang w:val="en-US" w:eastAsia="zh-CN"/>
        </w:rPr>
        <w:t xml:space="preserve">摄像头固定支架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205.标的名称：</w:t>
      </w:r>
      <w:r>
        <w:rPr>
          <w:rFonts w:hint="eastAsia" w:ascii="仿宋" w:hAnsi="仿宋" w:eastAsia="仿宋" w:cs="仿宋"/>
          <w:b/>
          <w:bCs/>
          <w:color w:val="000000"/>
          <w:sz w:val="28"/>
          <w:szCs w:val="28"/>
          <w:highlight w:val="none"/>
          <w:u w:val="single"/>
          <w:lang w:val="en-US" w:eastAsia="zh-CN"/>
        </w:rPr>
        <w:t xml:space="preserve">摄像头移动支架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206.标的名称：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207.标的名称：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208.标的名称：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209.标的名称：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210.标的名称：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211.标的名称：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212.标的名称：</w:t>
      </w:r>
      <w:r>
        <w:rPr>
          <w:rFonts w:hint="eastAsia" w:ascii="仿宋" w:hAnsi="仿宋" w:eastAsia="仿宋" w:cs="仿宋"/>
          <w:b/>
          <w:bCs/>
          <w:color w:val="000000"/>
          <w:sz w:val="28"/>
          <w:szCs w:val="28"/>
          <w:highlight w:val="none"/>
          <w:u w:val="single"/>
          <w:lang w:val="en-US" w:eastAsia="zh-CN"/>
        </w:rPr>
        <w:t xml:space="preserve">线阵列扬声器吊挂支架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213.标的名称：</w:t>
      </w:r>
      <w:r>
        <w:rPr>
          <w:rFonts w:hint="eastAsia" w:ascii="仿宋" w:hAnsi="仿宋" w:eastAsia="仿宋" w:cs="仿宋"/>
          <w:b/>
          <w:bCs/>
          <w:color w:val="000000"/>
          <w:sz w:val="28"/>
          <w:szCs w:val="28"/>
          <w:highlight w:val="none"/>
          <w:u w:val="single"/>
          <w:lang w:val="en-US" w:eastAsia="zh-CN"/>
        </w:rPr>
        <w:t xml:space="preserve">电动葫芦</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214.标的名称：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215.标的名称：</w:t>
      </w:r>
      <w:r>
        <w:rPr>
          <w:rFonts w:hint="eastAsia" w:ascii="仿宋" w:hAnsi="仿宋" w:eastAsia="仿宋" w:cs="仿宋"/>
          <w:b/>
          <w:bCs/>
          <w:i w:val="0"/>
          <w:iCs w:val="0"/>
          <w:color w:val="000000"/>
          <w:sz w:val="28"/>
          <w:szCs w:val="28"/>
          <w:highlight w:val="none"/>
          <w:u w:val="single"/>
          <w:lang w:val="en-US" w:eastAsia="zh-CN" w:bidi="ar"/>
        </w:rPr>
        <w:t xml:space="preserve">无线投屏器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216.标的名称：</w:t>
      </w:r>
      <w:r>
        <w:rPr>
          <w:rFonts w:hint="eastAsia" w:ascii="仿宋" w:hAnsi="仿宋" w:eastAsia="仿宋" w:cs="仿宋"/>
          <w:b/>
          <w:bCs/>
          <w:color w:val="000000"/>
          <w:sz w:val="28"/>
          <w:szCs w:val="28"/>
          <w:highlight w:val="none"/>
          <w:u w:val="single"/>
          <w:lang w:val="en-US" w:eastAsia="zh-CN"/>
        </w:rPr>
        <w:t xml:space="preserve">电动会标</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9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785"/>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p>
      <w:pPr>
        <w:pStyle w:val="797"/>
        <w:ind w:firstLine="560"/>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以上企业，不属于大企业的分支机构，不存在控股股东为大企业的情形，也不存在与大企业的负责人为同一人的情形。</w:t>
      </w:r>
      <w:r/>
    </w:p>
    <w:p>
      <w:pPr>
        <w:pStyle w:val="797"/>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本企业对上述声明内容的真实性负责。如有虚假，将依法承担相应责任。</w:t>
      </w:r>
      <w:r/>
    </w:p>
    <w:p>
      <w:pPr>
        <w:pStyle w:val="797"/>
        <w:ind w:right="48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p>
    <w:p>
      <w:pPr>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企业名称（供应商名称）（盖章）：</w:t>
      </w:r>
      <w:r/>
    </w:p>
    <w:p>
      <w:pPr>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    期：</w:t>
      </w:r>
      <w:r/>
    </w:p>
    <w:p>
      <w:pPr>
        <w:ind w:firstLine="600"/>
        <w:jc w:val="left"/>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注：本项目采购的货物属于</w:t>
      </w:r>
      <w:r>
        <w:rPr>
          <w:rFonts w:hint="eastAsia" w:ascii="仿宋" w:hAnsi="仿宋" w:eastAsia="仿宋" w:cs="仿宋"/>
          <w:color w:val="000000"/>
          <w:sz w:val="30"/>
          <w:szCs w:val="30"/>
          <w:u w:val="single"/>
        </w:rPr>
        <w:t xml:space="preserve">工业</w:t>
      </w:r>
      <w:r>
        <w:rPr>
          <w:rFonts w:hint="eastAsia" w:ascii="仿宋" w:hAnsi="仿宋" w:eastAsia="仿宋" w:cs="仿宋"/>
          <w:color w:val="000000"/>
          <w:sz w:val="30"/>
          <w:szCs w:val="30"/>
        </w:rPr>
        <w:t xml:space="preserve">。</w:t>
      </w:r>
      <w:r/>
    </w:p>
    <w:p>
      <w:pPr>
        <w:pStyle w:val="795"/>
        <w:ind w:firstLine="602"/>
        <w:jc w:val="lef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说明：</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2.从业人员、营业收入、资产总额填报供应商上一年度数据，无上一年度数据的新成立企业可不填报。</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4.执行江苏省财政厅关于进一步加大政府采购支持中小企业力度的通知（苏财购〔2022〕45号）的规定。</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5.供应商提供的《中小企业声明函》与事实不符的，依照《政府采购法》第七十七条第一款的规定追究法律责任。</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5" o:title=""/>
              </v:shape>
            </w:pict>
          </mc:Fallback>
        </mc:AlternateContent>
      </w:r>
      <w:r>
        <w:rPr>
          <w:rFonts w:hint="eastAsia" w:ascii="仿宋" w:hAnsi="仿宋" w:eastAsia="仿宋" w:cs="仿宋"/>
          <w:b/>
          <w:bCs/>
          <w:color w:val="000000"/>
          <w:sz w:val="30"/>
          <w:szCs w:val="30"/>
        </w:rPr>
        <w:t xml:space="preserve">6.《中小企业声明函》查询渠道用微信搜索“中小企业规模类型自测小程序”。</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480" w:lineRule="exact"/>
        <w:rPr>
          <w:rFonts w:hint="eastAsia" w:ascii="仿宋" w:hAnsi="仿宋" w:eastAsia="仿宋" w:cs="仿宋"/>
          <w:b/>
          <w:color w:val="000000"/>
          <w:spacing w:val="6"/>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七、残疾人福利性单位声明函格式</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徐州生物工程职业技术学院大学生活动中心舞美设备采购与安装</w:t>
      </w:r>
      <w:r>
        <w:rPr>
          <w:rFonts w:hint="eastAsia" w:ascii="仿宋" w:hAnsi="仿宋" w:eastAsia="仿宋" w:cs="仿宋"/>
          <w:color w:val="000000"/>
          <w:spacing w:val="6"/>
          <w:sz w:val="30"/>
          <w:szCs w:val="30"/>
        </w:rPr>
        <w:t xml:space="preserve"> </w:t>
      </w:r>
      <w:r/>
    </w:p>
    <w:p>
      <w:pPr>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JSZC-320300-ZJZB-G2026-0042</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本单位郑重声明，根据《财政部 民政部 中国残疾人联合会关于促进残疾人就业政府采购政策的通知》（财库</w:t>
      </w:r>
      <w:r>
        <w:rPr>
          <w:rFonts w:hint="eastAsia" w:ascii="仿宋" w:hAnsi="仿宋" w:eastAsia="仿宋" w:cs="仿宋"/>
          <w:color w:val="000000"/>
          <w:sz w:val="30"/>
          <w:szCs w:val="30"/>
        </w:rPr>
        <w:t xml:space="preserve">〔2017〕 141</w:t>
      </w:r>
      <w:r>
        <w:rPr>
          <w:rFonts w:hint="eastAsia" w:ascii="仿宋" w:hAnsi="仿宋" w:eastAsia="仿宋" w:cs="仿宋"/>
          <w:color w:val="000000"/>
          <w:spacing w:val="6"/>
          <w:sz w:val="30"/>
          <w:szCs w:val="30"/>
        </w:rPr>
        <w:t xml:space="preserve">号）的规定，本单位为符合条件的残疾人福利性单位，且本单位参加</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单位的</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本单位对上述声明的真实性负责。如有虚假，将依法承担相应责任。</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说明：</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仿宋" w:hAnsi="仿宋" w:eastAsia="仿宋" w:cs="仿宋"/>
          <w:color w:val="000000"/>
          <w:sz w:val="30"/>
          <w:szCs w:val="30"/>
        </w:rPr>
      </w:pPr>
      <w:r>
        <w:rPr>
          <w:rFonts w:hint="eastAsia" w:ascii="仿宋" w:hAnsi="仿宋" w:eastAsia="仿宋" w:cs="仿宋"/>
          <w:color w:val="000000"/>
          <w:spacing w:val="6"/>
          <w:sz w:val="30"/>
          <w:szCs w:val="30"/>
        </w:rPr>
        <w:t xml:space="preserve">供应商提供的《残疾人福利性单位声明函》与事实不符的，依照《政府采购法》第七十七条第一款的规定追究法律责任。</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八、投标人参加政府采购活动前3年内在经营活动中没有重大违法记录的书面声明格式</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我单位在参加</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56"/>
        <w:ind w:firstLine="600"/>
        <w:spacing w:before="0" w:beforeAutospacing="0" w:after="0" w:afterAutospacing="0"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p>
    <w:p>
      <w:pPr>
        <w:pStyle w:val="938"/>
        <w:rPr>
          <w:rFonts w:hint="eastAsia" w:ascii="仿宋" w:hAnsi="仿宋" w:eastAsia="仿宋" w:cs="仿宋"/>
          <w:color w:val="000000"/>
        </w:rPr>
      </w:pPr>
      <w:r>
        <w:rPr>
          <w:rFonts w:hint="eastAsia" w:ascii="仿宋" w:hAnsi="仿宋" w:eastAsia="仿宋" w:cs="仿宋"/>
          <w:color w:val="000000"/>
        </w:rPr>
      </w:r>
      <w:r/>
    </w:p>
    <w:p>
      <w:pPr>
        <w:pStyle w:val="939"/>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38"/>
        <w:rPr>
          <w:rFonts w:hint="eastAsia" w:ascii="仿宋" w:hAnsi="仿宋" w:eastAsia="仿宋" w:cs="仿宋"/>
          <w:color w:val="000000"/>
        </w:rPr>
      </w:pPr>
      <w:r>
        <w:rPr>
          <w:rFonts w:hint="eastAsia" w:ascii="仿宋" w:hAnsi="仿宋" w:eastAsia="仿宋" w:cs="仿宋"/>
          <w:color w:val="000000"/>
        </w:rPr>
      </w:r>
      <w:r/>
    </w:p>
    <w:p>
      <w:pPr>
        <w:pStyle w:val="939"/>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38"/>
        <w:rPr>
          <w:rFonts w:hint="eastAsia" w:ascii="仿宋" w:hAnsi="仿宋" w:eastAsia="仿宋" w:cs="仿宋"/>
          <w:color w:val="000000"/>
        </w:rPr>
      </w:pPr>
      <w:r>
        <w:rPr>
          <w:rFonts w:hint="eastAsia" w:ascii="仿宋" w:hAnsi="仿宋" w:eastAsia="仿宋" w:cs="仿宋"/>
          <w:color w:val="000000"/>
        </w:rPr>
      </w:r>
      <w:r/>
    </w:p>
    <w:p>
      <w:pPr>
        <w:pStyle w:val="939"/>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38"/>
        <w:rPr>
          <w:rFonts w:hint="eastAsia" w:ascii="仿宋" w:hAnsi="仿宋" w:eastAsia="仿宋" w:cs="仿宋"/>
          <w:color w:val="000000"/>
        </w:rPr>
      </w:pPr>
      <w:r>
        <w:rPr>
          <w:rFonts w:hint="eastAsia" w:ascii="仿宋" w:hAnsi="仿宋" w:eastAsia="仿宋" w:cs="仿宋"/>
          <w:color w:val="000000"/>
        </w:rPr>
      </w:r>
      <w:r/>
    </w:p>
    <w:p>
      <w:pPr>
        <w:pStyle w:val="939"/>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38"/>
        <w:rPr>
          <w:rFonts w:hint="eastAsia" w:ascii="仿宋" w:hAnsi="仿宋" w:eastAsia="仿宋" w:cs="仿宋"/>
          <w:color w:val="000000"/>
        </w:rPr>
      </w:pPr>
      <w:r>
        <w:rPr>
          <w:rFonts w:hint="eastAsia" w:ascii="仿宋" w:hAnsi="仿宋" w:eastAsia="仿宋" w:cs="仿宋"/>
          <w:color w:val="000000"/>
        </w:rPr>
      </w:r>
      <w:r/>
    </w:p>
    <w:p>
      <w:pPr>
        <w:pStyle w:val="939"/>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38"/>
        <w:rPr>
          <w:rFonts w:hint="eastAsia" w:ascii="仿宋" w:hAnsi="仿宋" w:eastAsia="仿宋" w:cs="仿宋"/>
          <w:color w:val="000000"/>
        </w:rPr>
      </w:pPr>
      <w:r>
        <w:rPr>
          <w:rFonts w:hint="eastAsia" w:ascii="仿宋" w:hAnsi="仿宋" w:eastAsia="仿宋" w:cs="仿宋"/>
          <w:color w:val="000000"/>
        </w:rPr>
      </w:r>
      <w:r/>
    </w:p>
    <w:p>
      <w:pPr>
        <w:pStyle w:val="939"/>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38"/>
        <w:rPr>
          <w:rFonts w:hint="eastAsia" w:ascii="仿宋" w:hAnsi="仿宋" w:eastAsia="仿宋" w:cs="仿宋"/>
          <w:color w:val="000000"/>
        </w:rPr>
      </w:pPr>
      <w:r>
        <w:rPr>
          <w:rFonts w:hint="eastAsia" w:ascii="仿宋" w:hAnsi="仿宋" w:eastAsia="仿宋" w:cs="仿宋"/>
          <w:color w:val="000000"/>
        </w:rPr>
      </w:r>
      <w:r/>
    </w:p>
    <w:p>
      <w:pPr>
        <w:pStyle w:val="939"/>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ind w:firstLine="56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480" w:lineRule="exact"/>
        <w:rPr>
          <w:rFonts w:hint="eastAsia" w:ascii="仿宋" w:hAnsi="仿宋" w:eastAsia="仿宋" w:cs="仿宋"/>
          <w:bCs/>
          <w:color w:val="000000"/>
          <w:sz w:val="30"/>
          <w:szCs w:val="30"/>
        </w:rPr>
      </w:pPr>
      <w:r>
        <w:rPr>
          <w:rFonts w:hint="eastAsia" w:ascii="仿宋" w:hAnsi="仿宋" w:eastAsia="仿宋" w:cs="仿宋"/>
          <w:color w:val="000000"/>
          <w:sz w:val="30"/>
          <w:szCs w:val="30"/>
        </w:rPr>
        <w:t xml:space="preserve">九、投标人相关承诺</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徐州生物工程职业技术学院大学生活动中心舞美设备采购与安装</w:t>
      </w:r>
      <w:r>
        <w:rPr>
          <w:rFonts w:hint="eastAsia" w:ascii="仿宋" w:hAnsi="仿宋" w:eastAsia="仿宋" w:cs="仿宋"/>
          <w:color w:val="000000"/>
          <w:spacing w:val="6"/>
          <w:sz w:val="30"/>
          <w:szCs w:val="30"/>
        </w:rPr>
        <w:t xml:space="preserve"> </w:t>
      </w:r>
      <w:r/>
    </w:p>
    <w:p>
      <w:pPr>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JSZC-320300-ZJZB-G2026-0042</w:t>
      </w:r>
      <w:r/>
    </w:p>
    <w:p>
      <w:pPr>
        <w:pStyle w:val="797"/>
        <w:ind w:firstLine="58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97"/>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我单位承诺：</w:t>
      </w:r>
      <w:r/>
    </w:p>
    <w:p>
      <w:pPr>
        <w:pStyle w:val="797"/>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p>
    <w:p>
      <w:pPr>
        <w:pStyle w:val="797"/>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97"/>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我单位对上述承诺负责，并依法承担相应责任。</w:t>
      </w:r>
      <w:r/>
    </w:p>
    <w:p>
      <w:pPr>
        <w:pStyle w:val="788"/>
        <w:ind w:left="0" w:firstLine="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88"/>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97"/>
        <w:ind w:firstLine="3120"/>
        <w:spacing w:line="30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投标人（电子签章）： </w:t>
      </w:r>
      <w:r/>
    </w:p>
    <w:p>
      <w:pPr>
        <w:pStyle w:val="797"/>
        <w:ind w:firstLine="3120"/>
        <w:spacing w:line="36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日期：   年  月  日</w:t>
      </w:r>
      <w:r/>
    </w:p>
    <w:p>
      <w:pPr>
        <w:pStyle w:val="797"/>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97"/>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97"/>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rPr>
          <w:rFonts w:hint="eastAsia" w:ascii="仿宋" w:hAnsi="仿宋" w:eastAsia="仿宋" w:cs="仿宋"/>
          <w:color w:val="000000"/>
        </w:rPr>
      </w:pPr>
      <w:r>
        <w:rPr>
          <w:rFonts w:hint="eastAsia" w:ascii="仿宋" w:hAnsi="仿宋" w:eastAsia="仿宋" w:cs="仿宋"/>
          <w:color w:val="000000"/>
        </w:rPr>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30"/>
          <w:szCs w:val="30"/>
        </w:rPr>
        <w:t xml:space="preserve">十、投标人书面声明</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徐州生物工程职业技术学院大学生活动中心舞美设备采购与安装</w:t>
      </w:r>
      <w:r>
        <w:rPr>
          <w:rFonts w:hint="eastAsia" w:ascii="仿宋" w:hAnsi="仿宋" w:eastAsia="仿宋" w:cs="仿宋"/>
          <w:color w:val="000000"/>
          <w:spacing w:val="6"/>
          <w:sz w:val="30"/>
          <w:szCs w:val="30"/>
        </w:rPr>
        <w:t xml:space="preserve"> </w:t>
      </w:r>
      <w:r/>
    </w:p>
    <w:p>
      <w:pPr>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JSZC-320300-ZJZB-G2026-0042</w:t>
      </w:r>
      <w:r/>
    </w:p>
    <w:p>
      <w:pPr>
        <w:pStyle w:val="797"/>
        <w:ind w:firstLine="480"/>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9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我单位不是为本采购项目提供整体设计、规范编制或者项目管理、监理、检测等服务的供应商。</w:t>
      </w:r>
      <w:r/>
    </w:p>
    <w:p>
      <w:pPr>
        <w:pStyle w:val="79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特此声明。</w:t>
      </w:r>
      <w:r/>
    </w:p>
    <w:p>
      <w:pPr>
        <w:pStyle w:val="79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p>
    <w:p>
      <w:pPr>
        <w:pStyle w:val="788"/>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88"/>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37"/>
        <w:ind w:left="0" w:firstLine="0"/>
        <w:jc w:val="righ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p>
    <w:p>
      <w:pPr>
        <w:jc w:val="right"/>
        <w:spacing w:line="480" w:lineRule="exact"/>
        <w:rPr>
          <w:rFonts w:hint="eastAsia" w:ascii="仿宋" w:hAnsi="仿宋" w:eastAsia="仿宋" w:cs="仿宋"/>
          <w:b/>
          <w:color w:val="000000"/>
          <w:sz w:val="28"/>
          <w:szCs w:val="28"/>
        </w:rPr>
      </w:pPr>
      <w:r>
        <w:rPr>
          <w:rFonts w:hint="eastAsia" w:ascii="仿宋" w:hAnsi="仿宋" w:eastAsia="仿宋" w:cs="仿宋"/>
          <w:color w:val="000000"/>
          <w:sz w:val="30"/>
          <w:szCs w:val="30"/>
        </w:rPr>
        <w:t xml:space="preserve">日期：   年  月  日</w:t>
      </w:r>
      <w:r/>
    </w:p>
    <w:p>
      <w:pPr>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十一</w:t>
      </w:r>
      <w:r>
        <w:rPr>
          <w:rFonts w:hint="eastAsia" w:ascii="仿宋" w:hAnsi="仿宋" w:eastAsia="仿宋" w:cs="仿宋"/>
          <w:color w:val="000000"/>
          <w:sz w:val="30"/>
          <w:szCs w:val="30"/>
        </w:rPr>
        <w:t xml:space="preserve">、预付款保函支付条款模板</w:t>
      </w:r>
      <w:r/>
    </w:p>
    <w:p>
      <w:pPr>
        <w:pStyle w:val="938"/>
        <w:rPr>
          <w:rFonts w:hint="eastAsia" w:ascii="仿宋" w:hAnsi="仿宋" w:eastAsia="仿宋" w:cs="仿宋"/>
          <w:color w:val="000000"/>
        </w:rPr>
      </w:pPr>
      <w:r>
        <w:rPr>
          <w:rFonts w:hint="eastAsia" w:ascii="仿宋" w:hAnsi="仿宋" w:eastAsia="仿宋" w:cs="仿宋"/>
          <w:color w:val="000000"/>
        </w:rPr>
      </w:r>
      <w:r/>
    </w:p>
    <w:p>
      <w:pPr>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符合条件一：提交预付款保函的</w:t>
      </w:r>
      <w:r/>
    </w:p>
    <w:p>
      <w:pPr>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（1）合同签订且乙方向甲方出具预付款保函后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        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p>
    <w:p>
      <w:pPr>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符合条件二：不提交预付款保函的</w:t>
      </w:r>
      <w:r/>
    </w:p>
    <w:p>
      <w:pPr>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p>
    <w:p>
      <w:pPr>
        <w:ind w:left="140"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注:</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1、付款条件一中，出具预付款保函后支付的合同款应当与保函金额一致。</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2、付款条件二中，预付款比例设定应符合《关于做好政府采购支持企业发展有关事项的通知》(苏财购〔2020〕52号)要求。</w:t>
      </w:r>
      <w:r/>
    </w:p>
    <w:p>
      <w:pPr>
        <w:pStyle w:val="785"/>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br w:type="page" w:clear="all"/>
      </w:r>
      <w:r/>
    </w:p>
    <w:p>
      <w:pPr>
        <w:ind w:firstLine="600"/>
        <w:spacing w:line="48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十二、关于符合本国产品标准的声明函</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9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9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p>
    <w:p>
      <w:pPr>
        <w:pStyle w:val="79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p>
    <w:p>
      <w:pPr>
        <w:pStyle w:val="79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本公司（单位）对上述声明内容的真实性负责。如有虚假，愿承担相应法律责任。</w:t>
      </w:r>
      <w:r/>
    </w:p>
    <w:p>
      <w:pPr>
        <w:pStyle w:val="785"/>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97"/>
        <w:rPr>
          <w:rFonts w:hint="eastAsia" w:ascii="仿宋" w:hAnsi="仿宋" w:eastAsia="仿宋" w:cs="仿宋"/>
          <w:sz w:val="30"/>
          <w:szCs w:val="30"/>
        </w:rPr>
      </w:pPr>
      <w:r>
        <w:rPr>
          <w:rFonts w:hint="eastAsia" w:ascii="仿宋" w:hAnsi="仿宋" w:eastAsia="仿宋" w:cs="仿宋"/>
          <w:sz w:val="30"/>
          <w:szCs w:val="30"/>
        </w:rPr>
      </w:r>
      <w:r/>
    </w:p>
    <w:p>
      <w:pPr>
        <w:pStyle w:val="937"/>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p>
    <w:p>
      <w:pPr>
        <w:pStyle w:val="937"/>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注：</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1.产品如有型号，请在“产品名称”栏一并填写。</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2.生产厂名与厂址应与生产厂营业执照载明的相关信息保持一致。</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3.该产品的中国境内生产的组件成本占比相关要求实施前，“规定比例”栏可不填，下同。</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4.该产品的关键组件要求实施前，“关键组件”栏可不填，下同。</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5.该产品的关键工序要求实施前，“关键工序”栏可不填，下同。</w:t>
      </w:r>
      <w:r/>
    </w:p>
    <w:p>
      <w:pPr>
        <w:pStyle w:val="956"/>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956"/>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附件</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956"/>
        <w:ind w:left="0" w:right="0" w:firstLine="0"/>
        <w:jc w:val="center"/>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中国境内生产的组件成本核算基本规则</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三、产品总成本和组件成本以相关会计核算数据、采购合同、进货记录等为基础进行计算。</w:t>
      </w:r>
      <w:r/>
    </w:p>
    <w:p>
      <w:pPr>
        <w:pStyle w:val="956"/>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四、需要对成本核算规则予以进一步明确的其他有关事项，由财政部会同有关部门另行规定。</w:t>
      </w:r>
      <w:r/>
    </w:p>
    <w:p>
      <w:pPr>
        <w:ind w:firstLine="624"/>
        <w:spacing w:line="480" w:lineRule="exact"/>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34"/>
        <w:rPr>
          <w:rFonts w:hint="eastAsia" w:ascii="仿宋" w:hAnsi="仿宋" w:eastAsia="仿宋" w:cs="仿宋"/>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rPr>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十三</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采购需求符合性条件响应表</w:t>
      </w:r>
      <w:r/>
    </w:p>
    <w:p>
      <w:pPr>
        <w:pStyle w:val="769"/>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69"/>
        <w:jc w:val="both"/>
        <w:keepLines w:val="0"/>
        <w:keepNext w:val="0"/>
        <w:spacing w:before="0" w:beforeAutospacing="0" w:after="0" w:afterAutospacing="0"/>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lang w:eastAsia="zh-CN"/>
        </w:rPr>
        <w:t xml:space="preserve">徐州生物工程职业技术学院大学生活动中心舞美设备采购与安装</w:t>
      </w:r>
      <w:r/>
    </w:p>
    <w:p>
      <w:pPr>
        <w:pStyle w:val="769"/>
        <w:jc w:val="both"/>
        <w:keepLines w:val="0"/>
        <w:keepNext w:val="0"/>
        <w:spacing w:before="0" w:beforeAutospacing="0" w:after="0" w:afterAutospacing="0"/>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lang w:eastAsia="zh-CN"/>
        </w:rPr>
        <w:t xml:space="preserve">JSZC-320300-ZJZB-G2026-0042</w:t>
      </w:r>
      <w:r/>
    </w:p>
    <w:p>
      <w:pPr>
        <w:pStyle w:val="769"/>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769"/>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bl>
      <w:tblPr>
        <w:tblStyle w:val="697"/>
        <w:tblW w:w="0" w:type="auto"/>
        <w:tblCellSpacing w:w="0" w:type="dxa"/>
        <w:tblInd w:w="-5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59"/>
        <w:gridCol w:w="2734"/>
        <w:gridCol w:w="1922"/>
        <w:gridCol w:w="2475"/>
        <w:gridCol w:w="1206"/>
      </w:tblGrid>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序号</w:t>
            </w:r>
            <w:r/>
          </w:p>
        </w:tc>
        <w:tc>
          <w:tcPr>
            <w:tcW w:w="2734"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采购需求符合性条件</w:t>
            </w:r>
            <w:r/>
          </w:p>
        </w:tc>
        <w:tc>
          <w:tcPr>
            <w:tcW w:w="1922"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招标文件的要求</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投标文件中的响应情况</w:t>
            </w:r>
            <w:r/>
          </w:p>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（完全响应/未完全响应）</w:t>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说明</w:t>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w:t>
            </w:r>
            <w:r/>
          </w:p>
        </w:tc>
        <w:tc>
          <w:tcPr>
            <w:tcW w:w="2734"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关于“大报告厅音频系统检测报告承诺函”的响应情况</w:t>
            </w:r>
            <w:r/>
          </w:p>
        </w:tc>
        <w:tc>
          <w:tcPr>
            <w:tcW w:w="1922"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左右主扩声线阵列扬声器★2-7、中置线阵列扬声器★2-7、线阵低频扬声器★2-5、拉声像扬声器★1-5、同轴流动返听扬声器★2-6、同轴台唇扬声器★2-6、超重低音扬声器★1-4。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“三、主要技术要求”中大报告厅音频系统部分）</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2</w:t>
            </w:r>
            <w:r/>
          </w:p>
        </w:tc>
        <w:tc>
          <w:tcPr>
            <w:tcW w:w="2734"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大报告厅摄像跟踪会议系统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p>
        </w:tc>
        <w:tc>
          <w:tcPr>
            <w:tcW w:w="1922"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有线方杆电容会议话筒★2-8。投标时须提供承诺（格式自拟），中标后签订合同前提供CMA/CNAS检测报告原件（详见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“三、主要技术要求”中大报告厅摄像跟踪会议系统部分）</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3</w:t>
            </w:r>
            <w:r/>
          </w:p>
        </w:tc>
        <w:tc>
          <w:tcPr>
            <w:tcW w:w="2734"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大报告厅灯光设备</w:t>
            </w:r>
            <w:r>
              <w:rPr>
                <w:rFonts w:hint="eastAsia" w:ascii="仿宋" w:hAnsi="仿宋" w:eastAsia="仿宋" w:cs="仿宋"/>
                <w:b/>
                <w:bCs/>
                <w:i w:val="0"/>
                <w:iCs w:val="0"/>
                <w:color w:val="000000"/>
                <w:sz w:val="24"/>
                <w:szCs w:val="24"/>
                <w:u w:val="none"/>
                <w:lang w:val="en-US" w:eastAsia="zh-CN" w:bidi="ar"/>
              </w:rPr>
              <w:t xml:space="preserve">检测报告承诺函”的响应情况</w:t>
            </w:r>
            <w:r/>
          </w:p>
        </w:tc>
        <w:tc>
          <w:tcPr>
            <w:tcW w:w="1922"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智能控制系统★2、4、8、9。投标时须提供承诺（格式自拟），中标后签订合同前提供CMA/CNAS检测报告原件（详见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“三、主要技术要求”中大报告厅灯光设备部分）</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4</w:t>
            </w:r>
            <w:r/>
          </w:p>
        </w:tc>
        <w:tc>
          <w:tcPr>
            <w:tcW w:w="2734"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大报告厅中控系统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p>
        </w:tc>
        <w:tc>
          <w:tcPr>
            <w:tcW w:w="1922"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可编程中央控制主机★2、7、8、9。投标时须提供承诺（格式自拟），中标后签订合同前提供CMA/CNAS检测报告原件（（详见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“三、主要技术要求”中大报告厅中控系统部分）</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5</w:t>
            </w:r>
            <w:r/>
          </w:p>
        </w:tc>
        <w:tc>
          <w:tcPr>
            <w:tcW w:w="2734"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大报告厅视频信号处理及录播系统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p>
        </w:tc>
        <w:tc>
          <w:tcPr>
            <w:tcW w:w="1922"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4K会议录播一体机★2-7、录播系统★1、2、3、8、9、10、20、视频程序设计实训推理分析单元★1、2、3、7、13、17。投标时须提供承诺（格式自拟），中标后签订合同前提供CMA/CNAS检测报告原件（详见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“三、主要技术要求”中大报告厅视频信号处理及录播系统部分）</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6</w:t>
            </w:r>
            <w:r/>
          </w:p>
        </w:tc>
        <w:tc>
          <w:tcPr>
            <w:tcW w:w="2734"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小报告厅音频系统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p>
        </w:tc>
        <w:tc>
          <w:tcPr>
            <w:tcW w:w="1922"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左右主扩声线阵列扬声器★2-7、低频扬声器★2-5、同轴台唇扬声器★2-7。投标时须提供承诺（格式自拟），中标后签订合同前提供CMA/CNAS检测报告原件（详见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“三、主要技术要求”中小报告厅音频系统部分）</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7</w:t>
            </w:r>
            <w:r/>
          </w:p>
        </w:tc>
        <w:tc>
          <w:tcPr>
            <w:tcW w:w="2734"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小报告厅中控系统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p>
        </w:tc>
        <w:tc>
          <w:tcPr>
            <w:tcW w:w="1922"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可编程中央控制主机★2、7、8、9。投标时须提供承诺（格式自拟），中标后签订合同前提供CMA/CNAS检测报告原件（详见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“三、主要技术要求”中小报告厅中控系统部分）</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8</w:t>
            </w:r>
            <w:r/>
          </w:p>
        </w:tc>
        <w:tc>
          <w:tcPr>
            <w:tcW w:w="2734"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小报告厅视频信号处理系统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p>
        </w:tc>
        <w:tc>
          <w:tcPr>
            <w:tcW w:w="1922"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4K会议录播一体机★2-7、录播系统★1、2、3、8、9、10、20、4K带云台高清室内摄像机★9-10。投标时须提供承诺（格式自拟），中标后签订合同前提供CMA/CNAS检测报告原件（详见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“三、主要技术要求”中小报告厅视频信号处理系统部分）</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9</w:t>
            </w:r>
            <w:r/>
          </w:p>
        </w:tc>
        <w:tc>
          <w:tcPr>
            <w:tcW w:w="2734"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关于“小报告厅系统灯光及舞台机械设备检测报告承诺函”的响应情况</w:t>
            </w:r>
            <w:r/>
          </w:p>
        </w:tc>
        <w:tc>
          <w:tcPr>
            <w:tcW w:w="1922" w:type="dxa"/>
            <w:vAlign w:val="center"/>
            <w:textDirection w:val="lrTb"/>
            <w:noWrap w:val="false"/>
          </w:tcPr>
          <w:p>
            <w:pPr>
              <w:jc w:val="left"/>
              <w:keepLines w:val="0"/>
              <w:keepNext w:val="0"/>
              <w:widowControl/>
              <w:rPr>
                <w:rFonts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舞台机械全沉浸式控制系统模块★1-9项投标时须提供承诺（格式自拟），中标后签订合同前提供CMA/CNAS检测报告原件（详见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w:t>
            </w:r>
            <w:r>
              <w:rPr>
                <w:rFonts w:hint="eastAsia" w:ascii="仿宋" w:hAnsi="仿宋" w:eastAsia="仿宋" w:cs="仿宋"/>
                <w:b/>
                <w:bCs/>
                <w:i w:val="0"/>
                <w:iCs w:val="0"/>
                <w:color w:val="000000"/>
                <w:sz w:val="24"/>
                <w:szCs w:val="24"/>
                <w:u w:val="none"/>
                <w:lang w:val="en-US" w:eastAsia="zh-CN" w:bidi="ar"/>
              </w:rPr>
              <w:t xml:space="preserve">小报告厅系统灯光及舞台机械设备部分。</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rPr>
                <w:rFonts w:hint="eastAsia" w:ascii="仿宋" w:hAnsi="仿宋" w:eastAsia="仿宋" w:cs="仿宋"/>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10</w:t>
            </w:r>
            <w:r/>
          </w:p>
        </w:tc>
        <w:tc>
          <w:tcPr>
            <w:tcW w:w="2734"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其他标注★的实质性技术参数</w:t>
            </w:r>
            <w:r/>
          </w:p>
        </w:tc>
        <w:tc>
          <w:tcPr>
            <w:tcW w:w="1922" w:type="dxa"/>
            <w:vAlign w:val="center"/>
            <w:textDirection w:val="lrTb"/>
            <w:noWrap w:val="false"/>
          </w:tcPr>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除上述已列明的★条款外，招标文件第六章中凡标注“★”的条款均为实质性响应指标，有一项不满足做无效投标处理。</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11</w:t>
            </w:r>
            <w:r/>
          </w:p>
        </w:tc>
        <w:tc>
          <w:tcPr>
            <w:tcW w:w="2734" w:type="dxa"/>
            <w:vAlign w:val="center"/>
            <w:textDirection w:val="lrTb"/>
            <w:noWrap w:val="false"/>
          </w:tcPr>
          <w:p>
            <w:pPr>
              <w:pStyle w:val="769"/>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关于“投标报价的相关说明”的响应情况</w:t>
            </w:r>
            <w:r/>
          </w:p>
        </w:tc>
        <w:tc>
          <w:tcPr>
            <w:tcW w:w="1922" w:type="dxa"/>
            <w:vAlign w:val="center"/>
            <w:textDirection w:val="lrTb"/>
            <w:noWrap w:val="false"/>
          </w:tcPr>
          <w:p>
            <w:pPr>
              <w:pStyle w:val="769"/>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12</w:t>
            </w:r>
            <w:r/>
          </w:p>
        </w:tc>
        <w:tc>
          <w:tcPr>
            <w:tcW w:w="2734" w:type="dxa"/>
            <w:vAlign w:val="center"/>
            <w:textDirection w:val="lrTb"/>
            <w:noWrap w:val="false"/>
          </w:tcPr>
          <w:p>
            <w:pPr>
              <w:pStyle w:val="769"/>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关于“付款方式”的响应情况</w:t>
            </w:r>
            <w:r/>
          </w:p>
        </w:tc>
        <w:tc>
          <w:tcPr>
            <w:tcW w:w="1922" w:type="dxa"/>
            <w:vAlign w:val="center"/>
            <w:textDirection w:val="lrTb"/>
            <w:noWrap w:val="false"/>
          </w:tcPr>
          <w:p>
            <w:pPr>
              <w:pStyle w:val="769"/>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13</w:t>
            </w:r>
            <w:r/>
          </w:p>
        </w:tc>
        <w:tc>
          <w:tcPr>
            <w:tcW w:w="2734" w:type="dxa"/>
            <w:vAlign w:val="center"/>
            <w:textDirection w:val="lrTb"/>
            <w:noWrap w:val="false"/>
          </w:tcPr>
          <w:p>
            <w:pPr>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color w:val="000000"/>
                <w:sz w:val="24"/>
                <w:szCs w:val="24"/>
              </w:rPr>
              <w:t xml:space="preserve">关于“</w:t>
            </w:r>
            <w:r>
              <w:rPr>
                <w:rFonts w:ascii="仿宋" w:hAnsi="仿宋" w:eastAsia="仿宋" w:cs="仿宋"/>
                <w:sz w:val="24"/>
                <w:szCs w:val="24"/>
                <w:lang w:val="en-US" w:eastAsia="zh-CN" w:bidi="ar"/>
              </w:rPr>
              <w:t xml:space="preserve">供货时间</w:t>
            </w:r>
            <w:r>
              <w:rPr>
                <w:rFonts w:hint="eastAsia" w:ascii="仿宋" w:hAnsi="仿宋" w:eastAsia="仿宋" w:cs="仿宋"/>
                <w:color w:val="000000"/>
                <w:sz w:val="24"/>
                <w:szCs w:val="24"/>
              </w:rPr>
              <w:t xml:space="preserve">”的响应情况</w:t>
            </w:r>
            <w:r/>
          </w:p>
        </w:tc>
        <w:tc>
          <w:tcPr>
            <w:tcW w:w="1922" w:type="dxa"/>
            <w:vAlign w:val="center"/>
            <w:textDirection w:val="lrTb"/>
            <w:noWrap w:val="false"/>
          </w:tcPr>
          <w:p>
            <w:pPr>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color w:val="000000"/>
                <w:sz w:val="24"/>
                <w:szCs w:val="24"/>
              </w:rPr>
              <w:t xml:space="preserve">见招标文件第六章《采购需求》中相关要求</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69"/>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14</w:t>
            </w:r>
            <w:r/>
          </w:p>
        </w:tc>
        <w:tc>
          <w:tcPr>
            <w:tcW w:w="2734"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w:t>
            </w:r>
            <w:r>
              <w:rPr>
                <w:rFonts w:ascii="仿宋" w:hAnsi="仿宋" w:eastAsia="仿宋" w:cs="仿宋"/>
                <w:color w:val="000000"/>
                <w:sz w:val="24"/>
                <w:szCs w:val="24"/>
                <w:lang w:val="en-US" w:eastAsia="zh-CN"/>
              </w:rPr>
              <w:t xml:space="preserve">验收标准</w:t>
            </w:r>
            <w:r>
              <w:rPr>
                <w:rFonts w:hint="eastAsia" w:ascii="仿宋" w:hAnsi="仿宋" w:eastAsia="仿宋" w:cs="仿宋"/>
                <w:color w:val="000000"/>
                <w:sz w:val="24"/>
                <w:szCs w:val="24"/>
              </w:rPr>
              <w:t xml:space="preserve">”的响应情况</w:t>
            </w:r>
            <w:r/>
          </w:p>
        </w:tc>
        <w:tc>
          <w:tcPr>
            <w:tcW w:w="1922"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p>
        </w:tc>
        <w:tc>
          <w:tcPr>
            <w:tcW w:w="2475"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206" w:type="dxa"/>
            <w:vAlign w:val="center"/>
            <w:textDirection w:val="lrTb"/>
            <w:noWrap w:val="false"/>
          </w:tcPr>
          <w:p>
            <w:pPr>
              <w:pStyle w:val="769"/>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bl>
    <w:p>
      <w:pPr>
        <w:pStyle w:val="769"/>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仿宋" w:hAnsi="仿宋" w:eastAsia="仿宋" w:cs="仿宋"/>
          <w:color w:val="000000"/>
          <w:sz w:val="24"/>
          <w:szCs w:val="24"/>
        </w:rPr>
        <w:t xml:space="preserve">注：</w:t>
      </w:r>
      <w:r/>
    </w:p>
    <w:p>
      <w:pPr>
        <w:pStyle w:val="769"/>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u w:val="single"/>
        </w:rPr>
        <w:t xml:space="preserve">1.上表</w:t>
      </w:r>
      <w:r>
        <w:rPr>
          <w:rFonts w:hint="eastAsia" w:ascii="仿宋" w:hAnsi="仿宋" w:eastAsia="仿宋" w:cs="仿宋"/>
          <w:b/>
          <w:bCs/>
          <w:color w:val="000000"/>
          <w:sz w:val="24"/>
          <w:szCs w:val="24"/>
          <w:u w:val="single"/>
        </w:rPr>
        <w:t xml:space="preserve">响应情况栏为必填内容</w:t>
      </w:r>
      <w:r>
        <w:rPr>
          <w:rFonts w:hint="eastAsia" w:ascii="仿宋" w:hAnsi="仿宋" w:eastAsia="仿宋" w:cs="仿宋"/>
          <w:color w:val="000000"/>
          <w:sz w:val="24"/>
          <w:szCs w:val="24"/>
          <w:u w:val="single"/>
        </w:rPr>
        <w:t xml:space="preserve">。</w:t>
      </w:r>
      <w:r/>
    </w:p>
    <w:p>
      <w:pPr>
        <w:pStyle w:val="769"/>
        <w:jc w:val="both"/>
        <w:keepLines w:val="0"/>
        <w:keepNext w:val="0"/>
        <w:spacing w:before="0" w:beforeAutospacing="0" w:after="0" w:afterAutospacing="0"/>
        <w:widowControl w:val="off"/>
        <w:rPr>
          <w:rFonts w:hint="eastAsia" w:ascii="仿宋" w:hAnsi="仿宋" w:eastAsia="仿宋" w:cs="仿宋"/>
          <w:b/>
          <w:b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u w:val="single"/>
        </w:rPr>
        <w:t xml:space="preserve">2.</w:t>
      </w:r>
      <w:r>
        <w:rPr>
          <w:rFonts w:hint="eastAsia" w:ascii="仿宋" w:hAnsi="仿宋" w:eastAsia="仿宋" w:cs="仿宋"/>
          <w:b/>
          <w:bCs/>
          <w:color w:val="000000"/>
          <w:sz w:val="24"/>
          <w:szCs w:val="24"/>
          <w:u w:val="single"/>
        </w:rPr>
        <w:t xml:space="preserve">如响应情况栏未填写或填写“未完全响应”，或未实质性响应说明栏内相关内容（如有）的</w:t>
      </w:r>
      <w:r>
        <w:rPr>
          <w:rFonts w:hint="eastAsia" w:ascii="仿宋" w:hAnsi="仿宋" w:eastAsia="仿宋" w:cs="仿宋"/>
          <w:b/>
          <w:bCs/>
          <w:color w:val="000000"/>
          <w:sz w:val="24"/>
          <w:szCs w:val="24"/>
          <w:u w:val="single"/>
          <w:lang w:eastAsia="zh-CN"/>
        </w:rPr>
        <w:t xml:space="preserve">，</w:t>
      </w:r>
      <w:r>
        <w:rPr>
          <w:rFonts w:hint="eastAsia" w:ascii="仿宋" w:hAnsi="仿宋" w:eastAsia="仿宋" w:cs="仿宋"/>
          <w:b/>
          <w:bCs/>
          <w:color w:val="000000"/>
          <w:sz w:val="24"/>
          <w:szCs w:val="24"/>
          <w:u w:val="single"/>
        </w:rPr>
        <w:t xml:space="preserve">在符合性审查时均按照投标无效处理。</w:t>
      </w:r>
      <w:r/>
    </w:p>
    <w:p>
      <w:pPr>
        <w:pStyle w:val="769"/>
        <w:jc w:val="both"/>
        <w:keepLines w:val="0"/>
        <w:keepNext w:val="0"/>
        <w:spacing w:before="0" w:beforeAutospacing="0" w:after="0" w:afterAutospacing="0"/>
        <w:widowControl w:val="off"/>
        <w:rPr>
          <w:rFonts w:hint="eastAsia" w:ascii="仿宋" w:hAnsi="仿宋" w:eastAsia="仿宋" w:cs="仿宋"/>
          <w:b/>
          <w:b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u w:val="single"/>
        </w:rPr>
      </w:r>
      <w:r/>
    </w:p>
    <w:p>
      <w:pPr>
        <w:pStyle w:val="769"/>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69"/>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69"/>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69"/>
        <w:ind w:left="0" w:firstLine="3120"/>
        <w:jc w:val="both"/>
        <w:keepLines w:val="0"/>
        <w:keepNext w:val="0"/>
        <w:spacing w:before="0" w:beforeAutospacing="0" w:after="0" w:afterAutospacing="0" w:line="30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  </w:t>
      </w:r>
      <w:r/>
    </w:p>
    <w:p>
      <w:pPr>
        <w:pStyle w:val="769"/>
        <w:ind w:left="0" w:firstLine="31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日期：   年  月  日</w:t>
      </w:r>
      <w:r/>
    </w:p>
    <w:p>
      <w:r/>
      <w:r/>
    </w:p>
    <w:p>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楷体">
    <w:panose1 w:val="02010600040101010101"/>
  </w:font>
  <w:font w:name="Wingdings">
    <w:panose1 w:val="05000000000000000000"/>
  </w:font>
  <w:font w:name="Courier New">
    <w:panose1 w:val="02070309020205020404"/>
  </w:font>
  <w:font w:name="Calibri Light">
    <w:panose1 w:val="020F0302020204030204"/>
  </w:font>
  <w:font w:name="仿宋">
    <w:panose1 w:val="02010609060101010101"/>
  </w:font>
  <w:font w:name="仿宋_GB2312">
    <w:panose1 w:val="02010609060101010101"/>
  </w:font>
  <w:font w:name="黑体">
    <w:panose1 w:val="02010609060101010101"/>
  </w:font>
  <w:font w:name="新宋体">
    <w:panose1 w:val="02010609030101010101"/>
  </w:font>
  <w:font w:name="Symbol">
    <w:panose1 w:val="05050102010706020507"/>
  </w:font>
  <w:font w:name="微软雅黑">
    <w:panose1 w:val="020B0503020204020204"/>
  </w:font>
  <w:font w:name="Calibri">
    <w:panose1 w:val="020F0502020204030204"/>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1"/>
                            <w:tabs>
                              <w:tab w:val="clear" w:pos="4153" w:leader="none"/>
                              <w:tab w:val="clear" w:pos="8306" w:leader="none"/>
                            </w:tabs>
                            <w:rPr>
                              <w:rStyle w:val="958"/>
                            </w:rPr>
                          </w:pPr>
                          <w:r>
                            <w:fldChar w:fldCharType="begin"/>
                          </w:r>
                          <w:r>
                            <w:rPr>
                              <w:rStyle w:val="958"/>
                            </w:rPr>
                            <w:instrText xml:space="preserve">PAGE  </w:instrText>
                          </w:r>
                          <w:r>
                            <w:fldChar w:fldCharType="separate"/>
                          </w:r>
                          <w:r>
                            <w:rPr>
                              <w:rStyle w:val="958"/>
                            </w:rP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1"/>
                      <w:tabs>
                        <w:tab w:val="clear" w:pos="4153" w:leader="none"/>
                        <w:tab w:val="clear" w:pos="8306" w:leader="none"/>
                      </w:tabs>
                      <w:rPr>
                        <w:rStyle w:val="958"/>
                      </w:rPr>
                    </w:pPr>
                    <w:r>
                      <w:fldChar w:fldCharType="begin"/>
                    </w:r>
                    <w:r>
                      <w:rPr>
                        <w:rStyle w:val="958"/>
                      </w:rPr>
                      <w:instrText xml:space="preserve">PAGE  </w:instrText>
                    </w:r>
                    <w:r>
                      <w:fldChar w:fldCharType="separate"/>
                    </w:r>
                    <w:r>
                      <w:rPr>
                        <w:rStyle w:val="958"/>
                      </w:rPr>
                      <w:t xml:space="preserve">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58"/>
      </w:rPr>
      <w:framePr w:wrap="around" w:vAnchor="text" w:hAnchor="margin" w:xAlign="center" w:y="1"/>
    </w:pPr>
    <w:r>
      <w:fldChar w:fldCharType="begin"/>
    </w:r>
    <w:r>
      <w:rPr>
        <w:rStyle w:val="958"/>
      </w:rPr>
      <w:instrText xml:space="preserve">PAGE  </w:instrTex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9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right="0" w:firstLine="0"/>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toc 5"/>
    <w:basedOn w:val="686"/>
    <w:next w:val="686"/>
    <w:uiPriority w:val="39"/>
    <w:unhideWhenUsed/>
    <w:qFormat/>
    <w:pPr>
      <w:ind w:left="1134" w:right="0" w:firstLine="0"/>
      <w:spacing w:after="57"/>
    </w:pPr>
  </w:style>
  <w:style w:type="paragraph" w:styleId="701">
    <w:name w:val="toc 3"/>
    <w:basedOn w:val="686"/>
    <w:next w:val="686"/>
    <w:uiPriority w:val="39"/>
    <w:unhideWhenUsed/>
    <w:qFormat/>
    <w:pPr>
      <w:ind w:left="567" w:right="0" w:firstLine="0"/>
      <w:spacing w:after="57"/>
    </w:pPr>
  </w:style>
  <w:style w:type="paragraph" w:styleId="702">
    <w:name w:val="toc 8"/>
    <w:basedOn w:val="686"/>
    <w:next w:val="686"/>
    <w:uiPriority w:val="39"/>
    <w:unhideWhenUsed/>
    <w:qFormat/>
    <w:pPr>
      <w:ind w:left="1984" w:right="0" w:firstLine="0"/>
      <w:spacing w:after="57"/>
    </w:pPr>
  </w:style>
  <w:style w:type="paragraph" w:styleId="703">
    <w:name w:val="endnote text"/>
    <w:basedOn w:val="686"/>
    <w:uiPriority w:val="99"/>
    <w:semiHidden/>
    <w:unhideWhenUsed/>
    <w:qFormat/>
    <w:pPr>
      <w:spacing w:after="0" w:line="240" w:lineRule="auto"/>
    </w:pPr>
    <w:rPr>
      <w:sz w:val="20"/>
    </w:rPr>
  </w:style>
  <w:style w:type="paragraph" w:styleId="704">
    <w:name w:val="Footer"/>
    <w:basedOn w:val="686"/>
    <w:uiPriority w:val="99"/>
    <w:unhideWhenUsed/>
    <w:qFormat/>
    <w:pPr>
      <w:spacing w:after="0" w:line="240" w:lineRule="auto"/>
      <w:tabs>
        <w:tab w:val="center" w:pos="7143" w:leader="none"/>
        <w:tab w:val="right" w:pos="14287" w:leader="none"/>
      </w:tabs>
    </w:pPr>
  </w:style>
  <w:style w:type="paragraph" w:styleId="705">
    <w:name w:val="Header"/>
    <w:basedOn w:val="686"/>
    <w:uiPriority w:val="99"/>
    <w:unhideWhenUsed/>
    <w:qFormat/>
    <w:pPr>
      <w:spacing w:after="0" w:line="240" w:lineRule="auto"/>
      <w:tabs>
        <w:tab w:val="center" w:pos="7143" w:leader="none"/>
        <w:tab w:val="right" w:pos="14287" w:leader="none"/>
      </w:tabs>
    </w:pPr>
  </w:style>
  <w:style w:type="paragraph" w:styleId="706">
    <w:name w:val="toc 1"/>
    <w:basedOn w:val="686"/>
    <w:next w:val="686"/>
    <w:uiPriority w:val="39"/>
    <w:unhideWhenUsed/>
    <w:pPr>
      <w:ind w:left="0" w:right="0" w:firstLine="0"/>
      <w:spacing w:after="57"/>
    </w:pPr>
  </w:style>
  <w:style w:type="paragraph" w:styleId="707">
    <w:name w:val="toc 4"/>
    <w:basedOn w:val="686"/>
    <w:next w:val="686"/>
    <w:uiPriority w:val="39"/>
    <w:unhideWhenUsed/>
    <w:pPr>
      <w:ind w:left="850" w:right="0" w:firstLine="0"/>
      <w:spacing w:after="57"/>
    </w:pPr>
  </w:style>
  <w:style w:type="paragraph" w:styleId="708">
    <w:name w:val="Subtitle"/>
    <w:basedOn w:val="686"/>
    <w:next w:val="686"/>
    <w:uiPriority w:val="11"/>
    <w:qFormat/>
    <w:pPr>
      <w:spacing w:before="200" w:after="200"/>
    </w:pPr>
    <w:rPr>
      <w:sz w:val="24"/>
      <w:szCs w:val="24"/>
    </w:rPr>
  </w:style>
  <w:style w:type="paragraph" w:styleId="709">
    <w:name w:val="footnote text"/>
    <w:basedOn w:val="686"/>
    <w:uiPriority w:val="99"/>
    <w:semiHidden/>
    <w:unhideWhenUsed/>
    <w:qFormat/>
    <w:pPr>
      <w:spacing w:after="40" w:line="240" w:lineRule="auto"/>
    </w:pPr>
    <w:rPr>
      <w:sz w:val="18"/>
    </w:rPr>
  </w:style>
  <w:style w:type="paragraph" w:styleId="710">
    <w:name w:val="toc 6"/>
    <w:basedOn w:val="686"/>
    <w:next w:val="686"/>
    <w:uiPriority w:val="39"/>
    <w:unhideWhenUsed/>
    <w:pPr>
      <w:ind w:left="1417" w:right="0" w:firstLine="0"/>
      <w:spacing w:after="57"/>
    </w:pPr>
  </w:style>
  <w:style w:type="paragraph" w:styleId="711">
    <w:name w:val="table of figures"/>
    <w:basedOn w:val="686"/>
    <w:next w:val="686"/>
    <w:uiPriority w:val="99"/>
    <w:unhideWhenUsed/>
    <w:qFormat/>
    <w:pPr>
      <w:spacing w:after="0" w:afterAutospacing="0"/>
    </w:pPr>
  </w:style>
  <w:style w:type="paragraph" w:styleId="712">
    <w:name w:val="toc 2"/>
    <w:basedOn w:val="686"/>
    <w:next w:val="686"/>
    <w:uiPriority w:val="39"/>
    <w:unhideWhenUsed/>
    <w:pPr>
      <w:ind w:left="283" w:right="0" w:firstLine="0"/>
      <w:spacing w:after="57"/>
    </w:pPr>
  </w:style>
  <w:style w:type="paragraph" w:styleId="713">
    <w:name w:val="toc 9"/>
    <w:basedOn w:val="686"/>
    <w:next w:val="686"/>
    <w:uiPriority w:val="39"/>
    <w:unhideWhenUsed/>
    <w:qFormat/>
    <w:pPr>
      <w:ind w:left="2268" w:right="0" w:firstLine="0"/>
      <w:spacing w:after="57"/>
    </w:pPr>
  </w:style>
  <w:style w:type="paragraph" w:styleId="714">
    <w:name w:val="Title"/>
    <w:basedOn w:val="686"/>
    <w:next w:val="686"/>
    <w:uiPriority w:val="10"/>
    <w:qFormat/>
    <w:pPr>
      <w:contextualSpacing/>
      <w:spacing w:before="300" w:after="200"/>
    </w:pPr>
    <w:rPr>
      <w:sz w:val="48"/>
      <w:szCs w:val="48"/>
    </w:rPr>
  </w:style>
  <w:style w:type="table" w:styleId="7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uiPriority w:val="99"/>
    <w:semiHidden/>
    <w:unhideWhenUsed/>
    <w:qFormat/>
    <w:rPr>
      <w:vertAlign w:val="superscript"/>
    </w:rPr>
  </w:style>
  <w:style w:type="character" w:styleId="717">
    <w:name w:val="Hyperlink"/>
    <w:uiPriority w:val="99"/>
    <w:unhideWhenUsed/>
    <w:qFormat/>
    <w:rPr>
      <w:color w:val="0000ff" w:themeColor="hyperlink"/>
      <w:u w:val="single"/>
      <w14:textFill>
        <w14:solidFill>
          <w14:schemeClr w14:val="hlink"/>
        </w14:solidFill>
      </w14:textFill>
    </w:rPr>
  </w:style>
  <w:style w:type="character" w:styleId="718">
    <w:name w:val="footnote reference"/>
    <w:uiPriority w:val="99"/>
    <w:unhideWhenUsed/>
    <w:qFormat/>
    <w:rPr>
      <w:vertAlign w:val="superscript"/>
    </w:rPr>
  </w:style>
  <w:style w:type="character" w:styleId="719" w:customStyle="1">
    <w:name w:val="标题 3 Char"/>
    <w:basedOn w:val="720"/>
    <w:link w:val="721"/>
    <w:uiPriority w:val="9"/>
    <w:qFormat/>
    <w:rPr>
      <w:rFonts w:ascii="Tahoma" w:hAnsi="Tahoma" w:eastAsia="微软雅黑" w:cs="Times New Roman"/>
      <w:b/>
      <w:bCs/>
      <w:sz w:val="32"/>
      <w:szCs w:val="32"/>
    </w:rPr>
  </w:style>
  <w:style w:type="character" w:styleId="720" w:customStyle="1">
    <w:name w:val="默认段落字体1"/>
    <w:link w:val="686"/>
    <w:uiPriority w:val="1"/>
    <w:unhideWhenUsed/>
    <w:qFormat/>
  </w:style>
  <w:style w:type="paragraph" w:styleId="721" w:customStyle="1">
    <w:name w:val="标题 31"/>
    <w:basedOn w:val="686"/>
    <w:next w:val="686"/>
    <w:link w:val="719"/>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character" w:styleId="722" w:customStyle="1">
    <w:name w:val="标题 1 Char"/>
    <w:link w:val="723"/>
    <w:uiPriority w:val="0"/>
    <w:qFormat/>
    <w:rPr>
      <w:rFonts w:eastAsia="新宋体"/>
      <w:b/>
      <w:bCs/>
      <w:sz w:val="30"/>
      <w:szCs w:val="44"/>
    </w:rPr>
  </w:style>
  <w:style w:type="paragraph" w:styleId="723" w:customStyle="1">
    <w:name w:val="标题 11"/>
    <w:basedOn w:val="686"/>
    <w:next w:val="686"/>
    <w:link w:val="722"/>
    <w:uiPriority w:val="0"/>
    <w:qFormat/>
    <w:pPr>
      <w:jc w:val="center"/>
      <w:keepLines/>
      <w:keepNext/>
      <w:spacing w:line="578" w:lineRule="auto"/>
      <w:outlineLvl w:val="0"/>
    </w:pPr>
    <w:rPr>
      <w:rFonts w:eastAsia="新宋体"/>
      <w:b/>
      <w:bCs/>
      <w:sz w:val="30"/>
      <w:szCs w:val="44"/>
    </w:rPr>
  </w:style>
  <w:style w:type="paragraph" w:styleId="724" w:customStyle="1">
    <w:name w:val="标题 111"/>
    <w:basedOn w:val="686"/>
    <w:next w:val="686"/>
    <w:link w:val="735"/>
    <w:uiPriority w:val="9"/>
    <w:qFormat/>
    <w:pPr>
      <w:keepLines/>
      <w:keepNext/>
      <w:spacing w:before="480" w:after="200"/>
      <w:outlineLvl w:val="0"/>
    </w:pPr>
    <w:rPr>
      <w:rFonts w:ascii="Arial" w:hAnsi="Arial" w:eastAsia="Arial" w:cs="Arial"/>
      <w:sz w:val="40"/>
      <w:szCs w:val="40"/>
    </w:rPr>
  </w:style>
  <w:style w:type="paragraph" w:styleId="725" w:customStyle="1">
    <w:name w:val="标题 211"/>
    <w:basedOn w:val="686"/>
    <w:next w:val="686"/>
    <w:link w:val="736"/>
    <w:uiPriority w:val="9"/>
    <w:unhideWhenUsed/>
    <w:qFormat/>
    <w:pPr>
      <w:keepLines/>
      <w:keepNext/>
      <w:spacing w:before="360" w:after="200"/>
      <w:outlineLvl w:val="1"/>
    </w:pPr>
    <w:rPr>
      <w:rFonts w:ascii="Arial" w:hAnsi="Arial" w:eastAsia="Arial" w:cs="Arial"/>
      <w:sz w:val="34"/>
    </w:rPr>
  </w:style>
  <w:style w:type="paragraph" w:styleId="726" w:customStyle="1">
    <w:name w:val="标题 311"/>
    <w:basedOn w:val="686"/>
    <w:next w:val="686"/>
    <w:link w:val="737"/>
    <w:uiPriority w:val="9"/>
    <w:unhideWhenUsed/>
    <w:qFormat/>
    <w:pPr>
      <w:keepLines/>
      <w:keepNext/>
      <w:spacing w:before="320" w:after="200"/>
      <w:outlineLvl w:val="2"/>
    </w:pPr>
    <w:rPr>
      <w:rFonts w:ascii="Arial" w:hAnsi="Arial" w:eastAsia="Arial" w:cs="Arial"/>
      <w:sz w:val="30"/>
      <w:szCs w:val="30"/>
    </w:rPr>
  </w:style>
  <w:style w:type="paragraph" w:styleId="727" w:customStyle="1">
    <w:name w:val="标题 411"/>
    <w:basedOn w:val="686"/>
    <w:next w:val="686"/>
    <w:link w:val="738"/>
    <w:uiPriority w:val="9"/>
    <w:unhideWhenUsed/>
    <w:qFormat/>
    <w:pPr>
      <w:keepLines/>
      <w:keepNext/>
      <w:spacing w:before="320" w:after="200"/>
      <w:outlineLvl w:val="3"/>
    </w:pPr>
    <w:rPr>
      <w:rFonts w:ascii="Arial" w:hAnsi="Arial" w:eastAsia="Arial" w:cs="Arial"/>
      <w:b/>
      <w:bCs/>
      <w:sz w:val="26"/>
      <w:szCs w:val="26"/>
    </w:rPr>
  </w:style>
  <w:style w:type="paragraph" w:styleId="728" w:customStyle="1">
    <w:name w:val="标题 51"/>
    <w:basedOn w:val="686"/>
    <w:next w:val="686"/>
    <w:link w:val="739"/>
    <w:uiPriority w:val="9"/>
    <w:unhideWhenUsed/>
    <w:qFormat/>
    <w:pPr>
      <w:keepLines/>
      <w:keepNext/>
      <w:spacing w:before="320" w:after="200"/>
      <w:outlineLvl w:val="4"/>
    </w:pPr>
    <w:rPr>
      <w:rFonts w:ascii="Arial" w:hAnsi="Arial" w:eastAsia="Arial" w:cs="Arial"/>
      <w:b/>
      <w:bCs/>
      <w:sz w:val="24"/>
      <w:szCs w:val="24"/>
    </w:rPr>
  </w:style>
  <w:style w:type="paragraph" w:styleId="729" w:customStyle="1">
    <w:name w:val="标题 61"/>
    <w:basedOn w:val="686"/>
    <w:next w:val="686"/>
    <w:link w:val="740"/>
    <w:uiPriority w:val="9"/>
    <w:unhideWhenUsed/>
    <w:qFormat/>
    <w:pPr>
      <w:keepLines/>
      <w:keepNext/>
      <w:spacing w:before="320" w:after="200"/>
      <w:outlineLvl w:val="5"/>
    </w:pPr>
    <w:rPr>
      <w:rFonts w:ascii="Arial" w:hAnsi="Arial" w:eastAsia="Arial" w:cs="Arial"/>
      <w:b/>
      <w:bCs/>
      <w:sz w:val="22"/>
      <w:szCs w:val="22"/>
    </w:rPr>
  </w:style>
  <w:style w:type="paragraph" w:styleId="730" w:customStyle="1">
    <w:name w:val="标题 71"/>
    <w:basedOn w:val="686"/>
    <w:next w:val="686"/>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31" w:customStyle="1">
    <w:name w:val="标题 81"/>
    <w:basedOn w:val="686"/>
    <w:next w:val="686"/>
    <w:link w:val="742"/>
    <w:uiPriority w:val="9"/>
    <w:unhideWhenUsed/>
    <w:qFormat/>
    <w:pPr>
      <w:keepLines/>
      <w:keepNext/>
      <w:spacing w:before="320" w:after="200"/>
      <w:outlineLvl w:val="7"/>
    </w:pPr>
    <w:rPr>
      <w:rFonts w:ascii="Arial" w:hAnsi="Arial" w:eastAsia="Arial" w:cs="Arial"/>
      <w:i/>
      <w:iCs/>
      <w:sz w:val="22"/>
      <w:szCs w:val="22"/>
    </w:rPr>
  </w:style>
  <w:style w:type="paragraph" w:styleId="732" w:customStyle="1">
    <w:name w:val="标题 91"/>
    <w:basedOn w:val="686"/>
    <w:next w:val="686"/>
    <w:link w:val="743"/>
    <w:uiPriority w:val="9"/>
    <w:unhideWhenUsed/>
    <w:qFormat/>
    <w:pPr>
      <w:keepLines/>
      <w:keepNext/>
      <w:spacing w:before="320" w:after="200"/>
      <w:outlineLvl w:val="8"/>
    </w:pPr>
    <w:rPr>
      <w:rFonts w:ascii="Arial" w:hAnsi="Arial" w:eastAsia="Arial" w:cs="Arial"/>
      <w:i/>
      <w:iCs/>
      <w:sz w:val="21"/>
      <w:szCs w:val="21"/>
    </w:rPr>
  </w:style>
  <w:style w:type="character" w:styleId="733" w:customStyle="1">
    <w:name w:val="默认段落字体11"/>
    <w:link w:val="686"/>
    <w:uiPriority w:val="1"/>
    <w:unhideWhenUsed/>
    <w:qFormat/>
  </w:style>
  <w:style w:type="table" w:styleId="734" w:customStyle="1">
    <w:name w:val="普通表格11"/>
    <w:uiPriority w:val="99"/>
    <w:unhideWhenUsed/>
    <w:qFormat/>
    <w:tblPr/>
  </w:style>
  <w:style w:type="character" w:styleId="735" w:customStyle="1">
    <w:name w:val="Heading 1 Char"/>
    <w:link w:val="724"/>
    <w:uiPriority w:val="9"/>
    <w:qFormat/>
    <w:rPr>
      <w:rFonts w:ascii="Arial" w:hAnsi="Arial" w:eastAsia="Arial" w:cs="Arial"/>
      <w:sz w:val="40"/>
      <w:szCs w:val="40"/>
    </w:rPr>
  </w:style>
  <w:style w:type="character" w:styleId="736" w:customStyle="1">
    <w:name w:val="Heading 2 Char"/>
    <w:link w:val="725"/>
    <w:uiPriority w:val="9"/>
    <w:qFormat/>
    <w:rPr>
      <w:rFonts w:ascii="Arial" w:hAnsi="Arial" w:eastAsia="Arial" w:cs="Arial"/>
      <w:sz w:val="34"/>
    </w:rPr>
  </w:style>
  <w:style w:type="character" w:styleId="737" w:customStyle="1">
    <w:name w:val="Heading 3 Char"/>
    <w:link w:val="726"/>
    <w:uiPriority w:val="9"/>
    <w:qFormat/>
    <w:rPr>
      <w:rFonts w:ascii="Arial" w:hAnsi="Arial" w:eastAsia="Arial" w:cs="Arial"/>
      <w:sz w:val="30"/>
      <w:szCs w:val="30"/>
    </w:rPr>
  </w:style>
  <w:style w:type="character" w:styleId="738" w:customStyle="1">
    <w:name w:val="Heading 4 Char"/>
    <w:link w:val="727"/>
    <w:uiPriority w:val="9"/>
    <w:qFormat/>
    <w:rPr>
      <w:rFonts w:ascii="Arial" w:hAnsi="Arial" w:eastAsia="Arial" w:cs="Arial"/>
      <w:b/>
      <w:bCs/>
      <w:sz w:val="26"/>
      <w:szCs w:val="26"/>
    </w:rPr>
  </w:style>
  <w:style w:type="character" w:styleId="739" w:customStyle="1">
    <w:name w:val="Heading 5 Char"/>
    <w:link w:val="728"/>
    <w:uiPriority w:val="9"/>
    <w:qFormat/>
    <w:rPr>
      <w:rFonts w:ascii="Arial" w:hAnsi="Arial" w:eastAsia="Arial" w:cs="Arial"/>
      <w:b/>
      <w:bCs/>
      <w:sz w:val="24"/>
      <w:szCs w:val="24"/>
    </w:rPr>
  </w:style>
  <w:style w:type="character" w:styleId="740" w:customStyle="1">
    <w:name w:val="Heading 6 Char"/>
    <w:link w:val="729"/>
    <w:uiPriority w:val="9"/>
    <w:qFormat/>
    <w:rPr>
      <w:rFonts w:ascii="Arial" w:hAnsi="Arial" w:eastAsia="Arial" w:cs="Arial"/>
      <w:b/>
      <w:bCs/>
      <w:sz w:val="22"/>
      <w:szCs w:val="22"/>
    </w:rPr>
  </w:style>
  <w:style w:type="character" w:styleId="741" w:customStyle="1">
    <w:name w:val="Heading 7 Char"/>
    <w:link w:val="730"/>
    <w:uiPriority w:val="9"/>
    <w:qFormat/>
    <w:rPr>
      <w:rFonts w:ascii="Arial" w:hAnsi="Arial" w:eastAsia="Arial" w:cs="Arial"/>
      <w:b/>
      <w:bCs/>
      <w:i/>
      <w:iCs/>
      <w:sz w:val="22"/>
      <w:szCs w:val="22"/>
    </w:rPr>
  </w:style>
  <w:style w:type="character" w:styleId="742" w:customStyle="1">
    <w:name w:val="Heading 8 Char"/>
    <w:link w:val="731"/>
    <w:uiPriority w:val="9"/>
    <w:qFormat/>
    <w:rPr>
      <w:rFonts w:ascii="Arial" w:hAnsi="Arial" w:eastAsia="Arial" w:cs="Arial"/>
      <w:i/>
      <w:iCs/>
      <w:sz w:val="22"/>
      <w:szCs w:val="22"/>
    </w:rPr>
  </w:style>
  <w:style w:type="character" w:styleId="743" w:customStyle="1">
    <w:name w:val="Heading 9 Char"/>
    <w:link w:val="732"/>
    <w:uiPriority w:val="9"/>
    <w:qFormat/>
    <w:rPr>
      <w:rFonts w:ascii="Arial" w:hAnsi="Arial" w:eastAsia="Arial" w:cs="Arial"/>
      <w:i/>
      <w:iCs/>
      <w:sz w:val="21"/>
      <w:szCs w:val="21"/>
    </w:rPr>
  </w:style>
  <w:style w:type="paragraph" w:styleId="744" w:customStyle="1">
    <w:name w:val="目录 71"/>
    <w:basedOn w:val="686"/>
    <w:next w:val="686"/>
    <w:uiPriority w:val="39"/>
    <w:unhideWhenUsed/>
    <w:qFormat/>
    <w:pPr>
      <w:ind w:left="1701" w:right="0" w:firstLine="0"/>
      <w:spacing w:after="57"/>
    </w:pPr>
  </w:style>
  <w:style w:type="paragraph" w:styleId="745" w:customStyle="1">
    <w:name w:val="题注1"/>
    <w:basedOn w:val="686"/>
    <w:next w:val="686"/>
    <w:uiPriority w:val="35"/>
    <w:unhideWhenUsed/>
    <w:qFormat/>
    <w:pPr>
      <w:spacing w:line="276" w:lineRule="auto"/>
    </w:pPr>
    <w:rPr>
      <w:b/>
      <w:bCs/>
      <w:color w:val="4f81bd"/>
      <w:sz w:val="18"/>
      <w:szCs w:val="18"/>
    </w:rPr>
  </w:style>
  <w:style w:type="paragraph" w:styleId="746" w:customStyle="1">
    <w:name w:val="批注文字11"/>
    <w:basedOn w:val="686"/>
    <w:uiPriority w:val="99"/>
    <w:unhideWhenUsed/>
    <w:qFormat/>
    <w:pPr>
      <w:jc w:val="left"/>
    </w:pPr>
  </w:style>
  <w:style w:type="paragraph" w:styleId="747" w:customStyle="1">
    <w:name w:val="正文文本121"/>
    <w:basedOn w:val="686"/>
    <w:uiPriority w:val="1"/>
    <w:qFormat/>
    <w:pPr>
      <w:spacing w:after="120"/>
    </w:pPr>
    <w:rPr>
      <w:rFonts w:ascii="Calibri" w:hAnsi="Calibri"/>
    </w:rPr>
  </w:style>
  <w:style w:type="paragraph" w:styleId="748" w:customStyle="1">
    <w:name w:val="文本块11"/>
    <w:basedOn w:val="686"/>
    <w:next w:val="686"/>
    <w:uiPriority w:val="99"/>
    <w:qFormat/>
    <w:pPr>
      <w:ind w:left="420" w:right="33"/>
      <w:jc w:val="left"/>
    </w:pPr>
    <w:rPr>
      <w:sz w:val="24"/>
      <w:szCs w:val="20"/>
    </w:rPr>
  </w:style>
  <w:style w:type="paragraph" w:styleId="749" w:customStyle="1">
    <w:name w:val="目录 51"/>
    <w:basedOn w:val="686"/>
    <w:next w:val="686"/>
    <w:uiPriority w:val="39"/>
    <w:unhideWhenUsed/>
    <w:qFormat/>
    <w:pPr>
      <w:ind w:left="1134" w:right="0" w:firstLine="0"/>
      <w:spacing w:after="57"/>
    </w:pPr>
  </w:style>
  <w:style w:type="paragraph" w:styleId="750" w:customStyle="1">
    <w:name w:val="目录 31"/>
    <w:basedOn w:val="686"/>
    <w:next w:val="686"/>
    <w:uiPriority w:val="39"/>
    <w:unhideWhenUsed/>
    <w:qFormat/>
    <w:pPr>
      <w:ind w:left="567" w:right="0" w:firstLine="0"/>
      <w:spacing w:after="57"/>
    </w:pPr>
  </w:style>
  <w:style w:type="paragraph" w:styleId="751" w:customStyle="1">
    <w:name w:val="目录 81"/>
    <w:basedOn w:val="686"/>
    <w:next w:val="686"/>
    <w:uiPriority w:val="39"/>
    <w:unhideWhenUsed/>
    <w:qFormat/>
    <w:pPr>
      <w:ind w:left="1984" w:right="0" w:firstLine="0"/>
      <w:spacing w:after="57"/>
    </w:pPr>
  </w:style>
  <w:style w:type="paragraph" w:styleId="752" w:customStyle="1">
    <w:name w:val="尾注文本1"/>
    <w:basedOn w:val="686"/>
    <w:link w:val="753"/>
    <w:uiPriority w:val="99"/>
    <w:unhideWhenUsed/>
    <w:qFormat/>
    <w:pPr>
      <w:spacing w:after="0" w:line="240" w:lineRule="auto"/>
    </w:pPr>
    <w:rPr>
      <w:sz w:val="20"/>
    </w:rPr>
  </w:style>
  <w:style w:type="character" w:styleId="753" w:customStyle="1">
    <w:name w:val="Endnote Text Char"/>
    <w:link w:val="752"/>
    <w:uiPriority w:val="99"/>
    <w:qFormat/>
    <w:rPr>
      <w:sz w:val="20"/>
    </w:rPr>
  </w:style>
  <w:style w:type="paragraph" w:styleId="754" w:customStyle="1">
    <w:name w:val="页脚11"/>
    <w:basedOn w:val="686"/>
    <w:link w:val="777"/>
    <w:uiPriority w:val="99"/>
    <w:unhideWhenUsed/>
    <w:qFormat/>
    <w:pPr>
      <w:spacing w:after="0" w:line="240" w:lineRule="auto"/>
      <w:tabs>
        <w:tab w:val="center" w:pos="7143" w:leader="none"/>
        <w:tab w:val="right" w:pos="14287" w:leader="none"/>
      </w:tabs>
    </w:pPr>
  </w:style>
  <w:style w:type="character" w:styleId="755" w:customStyle="1">
    <w:name w:val="Caption Char"/>
    <w:link w:val="754"/>
    <w:uiPriority w:val="99"/>
    <w:qFormat/>
  </w:style>
  <w:style w:type="paragraph" w:styleId="756" w:customStyle="1">
    <w:name w:val="页眉11"/>
    <w:basedOn w:val="686"/>
    <w:link w:val="757"/>
    <w:uiPriority w:val="99"/>
    <w:unhideWhenUsed/>
    <w:qFormat/>
    <w:pPr>
      <w:spacing w:after="0" w:line="240" w:lineRule="auto"/>
      <w:tabs>
        <w:tab w:val="center" w:pos="7143" w:leader="none"/>
        <w:tab w:val="right" w:pos="14287" w:leader="none"/>
      </w:tabs>
    </w:pPr>
  </w:style>
  <w:style w:type="character" w:styleId="757" w:customStyle="1">
    <w:name w:val="Header Char"/>
    <w:link w:val="756"/>
    <w:uiPriority w:val="99"/>
    <w:qFormat/>
  </w:style>
  <w:style w:type="paragraph" w:styleId="758" w:customStyle="1">
    <w:name w:val="目录 11112"/>
    <w:basedOn w:val="686"/>
    <w:next w:val="686"/>
    <w:uiPriority w:val="39"/>
    <w:unhideWhenUsed/>
    <w:qFormat/>
    <w:pPr>
      <w:ind w:left="0" w:right="0" w:firstLine="0"/>
      <w:spacing w:after="57"/>
    </w:pPr>
  </w:style>
  <w:style w:type="paragraph" w:styleId="759" w:customStyle="1">
    <w:name w:val="目录 41"/>
    <w:basedOn w:val="686"/>
    <w:next w:val="686"/>
    <w:uiPriority w:val="39"/>
    <w:unhideWhenUsed/>
    <w:qFormat/>
    <w:pPr>
      <w:ind w:left="850" w:right="0" w:firstLine="0"/>
      <w:spacing w:after="57"/>
    </w:pPr>
  </w:style>
  <w:style w:type="paragraph" w:styleId="760" w:customStyle="1">
    <w:name w:val="副标题1"/>
    <w:basedOn w:val="686"/>
    <w:next w:val="686"/>
    <w:link w:val="761"/>
    <w:uiPriority w:val="11"/>
    <w:qFormat/>
    <w:pPr>
      <w:spacing w:before="200" w:after="200"/>
    </w:pPr>
    <w:rPr>
      <w:sz w:val="24"/>
      <w:szCs w:val="24"/>
    </w:rPr>
  </w:style>
  <w:style w:type="character" w:styleId="761" w:customStyle="1">
    <w:name w:val="Subtitle Char"/>
    <w:link w:val="760"/>
    <w:uiPriority w:val="11"/>
    <w:qFormat/>
    <w:rPr>
      <w:sz w:val="24"/>
      <w:szCs w:val="24"/>
    </w:rPr>
  </w:style>
  <w:style w:type="paragraph" w:styleId="762" w:customStyle="1">
    <w:name w:val="脚注文本11"/>
    <w:basedOn w:val="686"/>
    <w:link w:val="763"/>
    <w:uiPriority w:val="99"/>
    <w:unhideWhenUsed/>
    <w:qFormat/>
    <w:pPr>
      <w:spacing w:after="40" w:line="240" w:lineRule="auto"/>
    </w:pPr>
    <w:rPr>
      <w:sz w:val="18"/>
    </w:rPr>
  </w:style>
  <w:style w:type="character" w:styleId="763" w:customStyle="1">
    <w:name w:val="Footnote Text Char"/>
    <w:link w:val="762"/>
    <w:uiPriority w:val="99"/>
    <w:qFormat/>
    <w:rPr>
      <w:sz w:val="18"/>
    </w:rPr>
  </w:style>
  <w:style w:type="paragraph" w:styleId="764" w:customStyle="1">
    <w:name w:val="目录 61"/>
    <w:basedOn w:val="686"/>
    <w:next w:val="686"/>
    <w:uiPriority w:val="39"/>
    <w:unhideWhenUsed/>
    <w:qFormat/>
    <w:pPr>
      <w:ind w:left="1417" w:right="0" w:firstLine="0"/>
      <w:spacing w:after="57"/>
    </w:pPr>
  </w:style>
  <w:style w:type="paragraph" w:styleId="765" w:customStyle="1">
    <w:name w:val="索引 91"/>
    <w:basedOn w:val="686"/>
    <w:next w:val="686"/>
    <w:uiPriority w:val="0"/>
    <w:qFormat/>
    <w:pPr>
      <w:ind w:left="3360"/>
    </w:pPr>
  </w:style>
  <w:style w:type="paragraph" w:styleId="766" w:customStyle="1">
    <w:name w:val="图表目录1"/>
    <w:basedOn w:val="686"/>
    <w:next w:val="686"/>
    <w:uiPriority w:val="99"/>
    <w:unhideWhenUsed/>
    <w:qFormat/>
    <w:pPr>
      <w:spacing w:after="0" w:afterAutospacing="0"/>
    </w:pPr>
  </w:style>
  <w:style w:type="paragraph" w:styleId="767" w:customStyle="1">
    <w:name w:val="目录 211"/>
    <w:basedOn w:val="686"/>
    <w:next w:val="686"/>
    <w:uiPriority w:val="39"/>
    <w:unhideWhenUsed/>
    <w:qFormat/>
    <w:pPr>
      <w:ind w:left="283" w:right="0" w:firstLine="0"/>
      <w:spacing w:after="57"/>
    </w:pPr>
  </w:style>
  <w:style w:type="paragraph" w:styleId="768" w:customStyle="1">
    <w:name w:val="目录 91"/>
    <w:basedOn w:val="686"/>
    <w:next w:val="686"/>
    <w:uiPriority w:val="39"/>
    <w:unhideWhenUsed/>
    <w:qFormat/>
    <w:pPr>
      <w:ind w:left="2268" w:right="0" w:firstLine="0"/>
      <w:spacing w:after="57"/>
    </w:pPr>
  </w:style>
  <w:style w:type="paragraph" w:styleId="769" w:customStyle="1">
    <w:name w:val="普通(网站)11"/>
    <w:basedOn w:val="686"/>
    <w:uiPriority w:val="99"/>
    <w:unhideWhenUsed/>
    <w:qFormat/>
    <w:pPr>
      <w:ind w:left="0" w:right="0"/>
      <w:jc w:val="left"/>
      <w:spacing w:before="100" w:beforeAutospacing="1" w:after="100" w:afterAutospacing="1"/>
    </w:pPr>
    <w:rPr>
      <w:sz w:val="24"/>
      <w:lang w:val="en-US" w:eastAsia="zh-CN" w:bidi="ar"/>
    </w:rPr>
  </w:style>
  <w:style w:type="paragraph" w:styleId="770" w:customStyle="1">
    <w:name w:val="标题11"/>
    <w:basedOn w:val="686"/>
    <w:next w:val="686"/>
    <w:link w:val="771"/>
    <w:uiPriority w:val="10"/>
    <w:qFormat/>
    <w:pPr>
      <w:contextualSpacing/>
      <w:spacing w:before="300" w:after="200"/>
    </w:pPr>
    <w:rPr>
      <w:sz w:val="48"/>
      <w:szCs w:val="48"/>
    </w:rPr>
  </w:style>
  <w:style w:type="character" w:styleId="771" w:customStyle="1">
    <w:name w:val="Title Char"/>
    <w:link w:val="770"/>
    <w:uiPriority w:val="10"/>
    <w:qFormat/>
    <w:rPr>
      <w:sz w:val="48"/>
      <w:szCs w:val="48"/>
    </w:rPr>
  </w:style>
  <w:style w:type="table" w:styleId="772" w:customStyle="1">
    <w:name w:val="网格型11"/>
    <w:uiPriority w:val="59"/>
    <w:qFormat/>
    <w:pPr>
      <w:spacing w:after="0" w:line="240" w:lineRule="auto"/>
    </w:pPr>
    <w:tblPr/>
  </w:style>
  <w:style w:type="character" w:styleId="773" w:customStyle="1">
    <w:name w:val="要点1"/>
    <w:basedOn w:val="733"/>
    <w:link w:val="686"/>
    <w:uiPriority w:val="22"/>
    <w:qFormat/>
    <w:rPr>
      <w:b/>
    </w:rPr>
  </w:style>
  <w:style w:type="character" w:styleId="774" w:customStyle="1">
    <w:name w:val="尾注引用1"/>
    <w:link w:val="686"/>
    <w:uiPriority w:val="99"/>
    <w:unhideWhenUsed/>
    <w:qFormat/>
    <w:rPr>
      <w:vertAlign w:val="superscript"/>
    </w:rPr>
  </w:style>
  <w:style w:type="character" w:styleId="775" w:customStyle="1">
    <w:name w:val="超链接111"/>
    <w:link w:val="686"/>
    <w:uiPriority w:val="99"/>
    <w:unhideWhenUsed/>
    <w:qFormat/>
    <w:rPr>
      <w:color w:val="0000ff"/>
      <w:u w:val="single"/>
    </w:rPr>
  </w:style>
  <w:style w:type="character" w:styleId="776" w:customStyle="1">
    <w:name w:val="脚注引用1"/>
    <w:link w:val="686"/>
    <w:uiPriority w:val="99"/>
    <w:unhideWhenUsed/>
    <w:qFormat/>
    <w:rPr>
      <w:vertAlign w:val="superscript"/>
    </w:rPr>
  </w:style>
  <w:style w:type="character" w:styleId="777" w:customStyle="1">
    <w:name w:val="Footer Char"/>
    <w:link w:val="754"/>
    <w:uiPriority w:val="99"/>
    <w:qFormat/>
  </w:style>
  <w:style w:type="character" w:styleId="778" w:customStyle="1">
    <w:name w:val="ql-font-songti"/>
    <w:basedOn w:val="720"/>
    <w:link w:val="686"/>
    <w:uiPriority w:val="0"/>
    <w:qFormat/>
  </w:style>
  <w:style w:type="paragraph" w:styleId="779" w:customStyle="1">
    <w:name w:val="一级条标题"/>
    <w:basedOn w:val="780"/>
    <w:next w:val="6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0" w:customStyle="1">
    <w:name w:val="章标题"/>
    <w:basedOn w:val="781"/>
    <w:next w:val="797"/>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81" w:customStyle="1">
    <w:name w:val="正文112"/>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正文文本11"/>
    <w:basedOn w:val="781"/>
    <w:next w:val="783"/>
    <w:uiPriority w:val="1"/>
    <w:qFormat/>
    <w:pPr>
      <w:spacing w:after="120"/>
    </w:pPr>
  </w:style>
  <w:style w:type="paragraph" w:styleId="783" w:customStyle="1">
    <w:name w:val="正文11"/>
    <w:next w:val="784"/>
    <w:link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customStyle="1">
    <w:name w:val="正文首行缩进11"/>
    <w:basedOn w:val="785"/>
    <w:next w:val="794"/>
    <w:uiPriority w:val="0"/>
    <w:qFormat/>
    <w:pPr>
      <w:ind w:firstLine="420"/>
    </w:pPr>
    <w:rPr>
      <w:rFonts w:ascii="仿宋_GB2312" w:eastAsia="仿宋_GB2312"/>
      <w:sz w:val="30"/>
      <w:szCs w:val="30"/>
    </w:rPr>
  </w:style>
  <w:style w:type="paragraph" w:styleId="785" w:customStyle="1">
    <w:name w:val="正文文本1"/>
    <w:basedOn w:val="786"/>
    <w:next w:val="779"/>
    <w:uiPriority w:val="0"/>
    <w:qFormat/>
    <w:pPr>
      <w:spacing w:after="120"/>
    </w:pPr>
    <w:rPr>
      <w:rFonts w:ascii="Calibri" w:hAnsi="Calibri"/>
    </w:rPr>
  </w:style>
  <w:style w:type="paragraph" w:styleId="786" w:customStyle="1">
    <w:name w:val="正文13"/>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首行缩进1"/>
    <w:basedOn w:val="782"/>
    <w:next w:val="788"/>
    <w:uiPriority w:val="0"/>
    <w:qFormat/>
    <w:pPr>
      <w:ind w:firstLine="420"/>
      <w:spacing w:after="120"/>
    </w:pPr>
    <w:rPr>
      <w:rFonts w:ascii="Times New Roman"/>
      <w:szCs w:val="24"/>
    </w:rPr>
  </w:style>
  <w:style w:type="paragraph" w:styleId="788" w:customStyle="1">
    <w:name w:val="正文首行缩进 21"/>
    <w:basedOn w:val="789"/>
    <w:next w:val="793"/>
    <w:uiPriority w:val="0"/>
    <w:qFormat/>
    <w:pPr>
      <w:ind w:firstLine="420"/>
    </w:pPr>
  </w:style>
  <w:style w:type="paragraph" w:styleId="789" w:customStyle="1">
    <w:name w:val="正文文本缩进1"/>
    <w:basedOn w:val="790"/>
    <w:next w:val="792"/>
    <w:uiPriority w:val="0"/>
    <w:qFormat/>
    <w:pPr>
      <w:ind w:left="420"/>
      <w:spacing w:after="120"/>
    </w:pPr>
    <w:rPr>
      <w:rFonts w:ascii="Calibri" w:hAnsi="Calibri"/>
    </w:rPr>
  </w:style>
  <w:style w:type="paragraph" w:styleId="790" w:customStyle="1">
    <w:name w:val="正文12"/>
    <w:next w:val="79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1" w:customStyle="1">
    <w:name w:val="正文文本111"/>
    <w:basedOn w:val="790"/>
    <w:next w:val="790"/>
    <w:uiPriority w:val="0"/>
    <w:qFormat/>
  </w:style>
  <w:style w:type="paragraph" w:styleId="792" w:customStyle="1">
    <w:name w:val="寄信人地址1"/>
    <w:basedOn w:val="783"/>
    <w:uiPriority w:val="0"/>
    <w:qFormat/>
    <w:rPr>
      <w:rFonts w:ascii="Arial" w:hAnsi="Arial"/>
    </w:rPr>
  </w:style>
  <w:style w:type="paragraph" w:styleId="793" w:customStyle="1">
    <w:name w:val="正文111"/>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正文首行缩进 211"/>
    <w:basedOn w:val="795"/>
    <w:uiPriority w:val="0"/>
    <w:qFormat/>
    <w:pPr>
      <w:ind w:firstLine="420"/>
    </w:pPr>
    <w:rPr>
      <w:sz w:val="24"/>
    </w:rPr>
  </w:style>
  <w:style w:type="paragraph" w:styleId="795" w:customStyle="1">
    <w:name w:val="正文文本缩进11"/>
    <w:basedOn w:val="781"/>
    <w:next w:val="796"/>
    <w:uiPriority w:val="0"/>
    <w:qFormat/>
    <w:pPr>
      <w:ind w:firstLine="425"/>
      <w:spacing w:line="360" w:lineRule="auto"/>
    </w:pPr>
  </w:style>
  <w:style w:type="paragraph" w:styleId="796" w:customStyle="1">
    <w:name w:val="寄信人地址11"/>
    <w:basedOn w:val="686"/>
    <w:uiPriority w:val="0"/>
    <w:qFormat/>
    <w:rPr>
      <w:rFonts w:ascii="Arial" w:hAnsi="Arial"/>
    </w:rPr>
  </w:style>
  <w:style w:type="paragraph" w:styleId="797" w:customStyle="1">
    <w:name w:val="正文1"/>
    <w:basedOn w:val="793"/>
    <w:next w:val="798"/>
    <w:uiPriority w:val="0"/>
    <w:qFormat/>
    <w:pPr>
      <w:jc w:val="both"/>
      <w:widowControl w:val="off"/>
    </w:pPr>
    <w:rPr>
      <w:rFonts w:ascii="Times New Roman" w:hAnsi="Times New Roman" w:eastAsia="宋体" w:cs="Times New Roman"/>
      <w:sz w:val="21"/>
      <w:szCs w:val="24"/>
      <w:lang w:val="en-US" w:eastAsia="zh-CN" w:bidi="ar-SA"/>
    </w:rPr>
  </w:style>
  <w:style w:type="paragraph" w:styleId="798" w:customStyle="1">
    <w:name w:val="目录 11"/>
    <w:basedOn w:val="790"/>
    <w:next w:val="797"/>
    <w:uiPriority w:val="0"/>
    <w:qFormat/>
    <w:pPr>
      <w:jc w:val="left"/>
      <w:spacing w:after="100" w:line="259" w:lineRule="auto"/>
      <w:widowControl/>
    </w:pPr>
    <w:rPr>
      <w:rFonts w:ascii="Calibri" w:hAnsi="Calibri"/>
      <w:sz w:val="22"/>
      <w:szCs w:val="22"/>
    </w:rPr>
  </w:style>
  <w:style w:type="character" w:styleId="799" w:customStyle="1">
    <w:name w:val="超链接1"/>
    <w:link w:val="783"/>
    <w:uiPriority w:val="0"/>
    <w:qFormat/>
    <w:rPr>
      <w:rFonts w:ascii="Times New Roman" w:hAnsi="Times New Roman" w:eastAsia="宋体" w:cs="Times New Roman"/>
      <w:sz w:val="21"/>
      <w:szCs w:val="24"/>
      <w:lang w:val="en-US" w:eastAsia="zh-CN" w:bidi="ar-SA"/>
    </w:rPr>
  </w:style>
  <w:style w:type="character" w:styleId="800" w:customStyle="1">
    <w:name w:val="NormalCharacter1"/>
    <w:link w:val="783"/>
    <w:uiPriority w:val="0"/>
    <w:semiHidden/>
    <w:qFormat/>
    <w:rPr>
      <w:sz w:val="28"/>
      <w:lang w:val="en-US" w:eastAsia="zh-CN" w:bidi="ar-SA"/>
    </w:rPr>
  </w:style>
  <w:style w:type="paragraph" w:styleId="801" w:customStyle="1">
    <w:name w:val="标题 21"/>
    <w:basedOn w:val="686"/>
    <w:next w:val="686"/>
    <w:uiPriority w:val="99"/>
    <w:qFormat/>
    <w:pPr>
      <w:jc w:val="center"/>
      <w:keepLines/>
      <w:keepNext/>
      <w:spacing w:before="260" w:after="260" w:line="360" w:lineRule="auto"/>
      <w:outlineLvl w:val="1"/>
    </w:pPr>
    <w:rPr>
      <w:rFonts w:ascii="Arial" w:hAnsi="Arial" w:eastAsia="仿宋"/>
      <w:bCs/>
      <w:sz w:val="24"/>
      <w:szCs w:val="32"/>
    </w:rPr>
  </w:style>
  <w:style w:type="paragraph" w:styleId="802" w:customStyle="1">
    <w:name w:val="正文文本12"/>
    <w:basedOn w:val="686"/>
    <w:next w:val="686"/>
    <w:uiPriority w:val="99"/>
    <w:unhideWhenUsed/>
    <w:qFormat/>
    <w:pPr>
      <w:spacing w:after="120"/>
    </w:pPr>
    <w:rPr>
      <w:szCs w:val="24"/>
    </w:rPr>
  </w:style>
  <w:style w:type="paragraph" w:styleId="803">
    <w:name w:val="No Spacing"/>
    <w:uiPriority w:val="1"/>
    <w:qFormat/>
    <w:pPr>
      <w:spacing w:before="0" w:after="0" w:line="240" w:lineRule="auto"/>
    </w:pPr>
    <w:rPr>
      <w:rFonts w:hint="default" w:ascii="Times New Roman" w:hAnsi="Times New Roman" w:eastAsia="宋体" w:cs="Times New Roman"/>
    </w:rPr>
  </w:style>
  <w:style w:type="paragraph" w:styleId="804">
    <w:name w:val="Quote"/>
    <w:basedOn w:val="686"/>
    <w:next w:val="686"/>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686"/>
    <w:next w:val="686"/>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table" w:styleId="808" w:customStyle="1">
    <w:name w:val="Table Grid Light"/>
    <w:uiPriority w:val="59"/>
    <w:qFormat/>
    <w:pPr>
      <w:spacing w:after="0" w:line="240" w:lineRule="auto"/>
    </w:pPr>
    <w:tblPr/>
  </w:style>
  <w:style w:type="table" w:styleId="809" w:customStyle="1">
    <w:name w:val="Plain Table 1"/>
    <w:uiPriority w:val="59"/>
    <w:qFormat/>
    <w:pPr>
      <w:spacing w:after="0" w:line="240" w:lineRule="auto"/>
    </w:pPr>
    <w:tblPr/>
  </w:style>
  <w:style w:type="table" w:styleId="810" w:customStyle="1">
    <w:name w:val="Plain Table 2"/>
    <w:uiPriority w:val="59"/>
    <w:qFormat/>
    <w:pPr>
      <w:spacing w:after="0" w:line="240" w:lineRule="auto"/>
    </w:pPr>
    <w:tblPr/>
  </w:style>
  <w:style w:type="table" w:styleId="811" w:customStyle="1">
    <w:name w:val="Plain Table 3"/>
    <w:uiPriority w:val="99"/>
    <w:qFormat/>
    <w:pPr>
      <w:spacing w:after="0" w:line="240" w:lineRule="auto"/>
    </w:pPr>
    <w:tblPr/>
  </w:style>
  <w:style w:type="table" w:styleId="812" w:customStyle="1">
    <w:name w:val="Plain Table 4"/>
    <w:uiPriority w:val="99"/>
    <w:qFormat/>
    <w:pPr>
      <w:spacing w:after="0" w:line="240" w:lineRule="auto"/>
    </w:pPr>
    <w:tblPr/>
  </w:style>
  <w:style w:type="table" w:styleId="813" w:customStyle="1">
    <w:name w:val="Plain Table 5"/>
    <w:uiPriority w:val="99"/>
    <w:qFormat/>
    <w:pPr>
      <w:spacing w:after="0" w:line="240" w:lineRule="auto"/>
    </w:pPr>
    <w:tblPr/>
  </w:style>
  <w:style w:type="table" w:styleId="814" w:customStyle="1">
    <w:name w:val="Grid Table 1 Light"/>
    <w:uiPriority w:val="99"/>
    <w:qFormat/>
    <w:pPr>
      <w:spacing w:after="0" w:line="240" w:lineRule="auto"/>
    </w:pPr>
    <w:tblPr/>
  </w:style>
  <w:style w:type="table" w:styleId="815" w:customStyle="1">
    <w:name w:val="Grid Table 1 Light - Accent 1"/>
    <w:uiPriority w:val="99"/>
    <w:qFormat/>
    <w:pPr>
      <w:spacing w:after="0" w:line="240" w:lineRule="auto"/>
    </w:pPr>
    <w:tblPr/>
  </w:style>
  <w:style w:type="table" w:styleId="816" w:customStyle="1">
    <w:name w:val="Grid Table 1 Light - Accent 2"/>
    <w:uiPriority w:val="99"/>
    <w:qFormat/>
    <w:pPr>
      <w:spacing w:after="0" w:line="240" w:lineRule="auto"/>
    </w:pPr>
    <w:tblPr/>
  </w:style>
  <w:style w:type="table" w:styleId="817" w:customStyle="1">
    <w:name w:val="Grid Table 1 Light - Accent 3"/>
    <w:uiPriority w:val="99"/>
    <w:qFormat/>
    <w:pPr>
      <w:spacing w:after="0" w:line="240" w:lineRule="auto"/>
    </w:pPr>
    <w:tblPr/>
  </w:style>
  <w:style w:type="table" w:styleId="818" w:customStyle="1">
    <w:name w:val="Grid Table 1 Light - Accent 4"/>
    <w:uiPriority w:val="99"/>
    <w:qFormat/>
    <w:pPr>
      <w:spacing w:after="0" w:line="240" w:lineRule="auto"/>
    </w:pPr>
    <w:tblPr/>
  </w:style>
  <w:style w:type="table" w:styleId="819" w:customStyle="1">
    <w:name w:val="Grid Table 1 Light - Accent 5"/>
    <w:uiPriority w:val="99"/>
    <w:qFormat/>
    <w:pPr>
      <w:spacing w:after="0" w:line="240" w:lineRule="auto"/>
    </w:pPr>
    <w:tblPr/>
  </w:style>
  <w:style w:type="table" w:styleId="820" w:customStyle="1">
    <w:name w:val="Grid Table 1 Light - Accent 6"/>
    <w:uiPriority w:val="99"/>
    <w:qFormat/>
    <w:pPr>
      <w:spacing w:after="0" w:line="240" w:lineRule="auto"/>
    </w:pPr>
    <w:tblPr/>
  </w:style>
  <w:style w:type="table" w:styleId="821" w:customStyle="1">
    <w:name w:val="Grid Table 2"/>
    <w:uiPriority w:val="99"/>
    <w:qFormat/>
    <w:pPr>
      <w:spacing w:after="0" w:line="240" w:lineRule="auto"/>
    </w:pPr>
    <w:tblPr/>
  </w:style>
  <w:style w:type="table" w:styleId="822" w:customStyle="1">
    <w:name w:val="Grid Table 2 - Accent 1"/>
    <w:uiPriority w:val="99"/>
    <w:qFormat/>
    <w:pPr>
      <w:spacing w:after="0" w:line="240" w:lineRule="auto"/>
    </w:pPr>
    <w:tblPr/>
  </w:style>
  <w:style w:type="table" w:styleId="823" w:customStyle="1">
    <w:name w:val="Grid Table 2 - Accent 2"/>
    <w:uiPriority w:val="99"/>
    <w:qFormat/>
    <w:pPr>
      <w:spacing w:after="0" w:line="240" w:lineRule="auto"/>
    </w:pPr>
    <w:tblPr/>
  </w:style>
  <w:style w:type="table" w:styleId="824" w:customStyle="1">
    <w:name w:val="Grid Table 2 - Accent 3"/>
    <w:uiPriority w:val="99"/>
    <w:qFormat/>
    <w:pPr>
      <w:spacing w:after="0" w:line="240" w:lineRule="auto"/>
    </w:pPr>
    <w:tblPr/>
  </w:style>
  <w:style w:type="table" w:styleId="825" w:customStyle="1">
    <w:name w:val="Grid Table 2 - Accent 4"/>
    <w:uiPriority w:val="99"/>
    <w:qFormat/>
    <w:pPr>
      <w:spacing w:after="0" w:line="240" w:lineRule="auto"/>
    </w:pPr>
    <w:tblPr/>
  </w:style>
  <w:style w:type="table" w:styleId="826" w:customStyle="1">
    <w:name w:val="Grid Table 2 - Accent 5"/>
    <w:uiPriority w:val="99"/>
    <w:qFormat/>
    <w:pPr>
      <w:spacing w:after="0" w:line="240" w:lineRule="auto"/>
    </w:pPr>
    <w:tblPr/>
  </w:style>
  <w:style w:type="table" w:styleId="827" w:customStyle="1">
    <w:name w:val="Grid Table 2 - Accent 6"/>
    <w:uiPriority w:val="99"/>
    <w:qFormat/>
    <w:pPr>
      <w:spacing w:after="0" w:line="240" w:lineRule="auto"/>
    </w:pPr>
    <w:tblPr/>
  </w:style>
  <w:style w:type="table" w:styleId="828" w:customStyle="1">
    <w:name w:val="Grid Table 3"/>
    <w:uiPriority w:val="99"/>
    <w:qFormat/>
    <w:pPr>
      <w:spacing w:after="0" w:line="240" w:lineRule="auto"/>
    </w:pPr>
    <w:tblPr/>
  </w:style>
  <w:style w:type="table" w:styleId="829" w:customStyle="1">
    <w:name w:val="Grid Table 3 - Accent 1"/>
    <w:uiPriority w:val="99"/>
    <w:qFormat/>
    <w:pPr>
      <w:spacing w:after="0" w:line="240" w:lineRule="auto"/>
    </w:pPr>
    <w:tblPr/>
  </w:style>
  <w:style w:type="table" w:styleId="830" w:customStyle="1">
    <w:name w:val="Grid Table 3 - Accent 2"/>
    <w:uiPriority w:val="99"/>
    <w:qFormat/>
    <w:pPr>
      <w:spacing w:after="0" w:line="240" w:lineRule="auto"/>
    </w:pPr>
    <w:tblPr/>
  </w:style>
  <w:style w:type="table" w:styleId="831" w:customStyle="1">
    <w:name w:val="Grid Table 3 - Accent 3"/>
    <w:uiPriority w:val="99"/>
    <w:qFormat/>
    <w:pPr>
      <w:spacing w:after="0" w:line="240" w:lineRule="auto"/>
    </w:pPr>
    <w:tblPr/>
  </w:style>
  <w:style w:type="table" w:styleId="832" w:customStyle="1">
    <w:name w:val="Grid Table 3 - Accent 4"/>
    <w:uiPriority w:val="99"/>
    <w:qFormat/>
    <w:pPr>
      <w:spacing w:after="0" w:line="240" w:lineRule="auto"/>
    </w:pPr>
    <w:tblPr/>
  </w:style>
  <w:style w:type="table" w:styleId="833" w:customStyle="1">
    <w:name w:val="Grid Table 3 - Accent 5"/>
    <w:uiPriority w:val="99"/>
    <w:qFormat/>
    <w:pPr>
      <w:spacing w:after="0" w:line="240" w:lineRule="auto"/>
    </w:pPr>
    <w:tblPr/>
  </w:style>
  <w:style w:type="table" w:styleId="834" w:customStyle="1">
    <w:name w:val="Grid Table 3 - Accent 6"/>
    <w:uiPriority w:val="99"/>
    <w:qFormat/>
    <w:pPr>
      <w:spacing w:after="0" w:line="240" w:lineRule="auto"/>
    </w:pPr>
    <w:tblPr/>
  </w:style>
  <w:style w:type="table" w:styleId="835" w:customStyle="1">
    <w:name w:val="Grid Table 4"/>
    <w:uiPriority w:val="59"/>
    <w:qFormat/>
    <w:pPr>
      <w:spacing w:after="0" w:line="240" w:lineRule="auto"/>
    </w:pPr>
    <w:tblPr/>
  </w:style>
  <w:style w:type="table" w:styleId="836" w:customStyle="1">
    <w:name w:val="Grid Table 4 - Accent 1"/>
    <w:uiPriority w:val="59"/>
    <w:qFormat/>
    <w:pPr>
      <w:spacing w:after="0" w:line="240" w:lineRule="auto"/>
    </w:pPr>
    <w:tblPr/>
  </w:style>
  <w:style w:type="table" w:styleId="837" w:customStyle="1">
    <w:name w:val="Grid Table 4 - Accent 2"/>
    <w:uiPriority w:val="59"/>
    <w:qFormat/>
    <w:pPr>
      <w:spacing w:after="0" w:line="240" w:lineRule="auto"/>
    </w:pPr>
    <w:tblPr/>
  </w:style>
  <w:style w:type="table" w:styleId="838" w:customStyle="1">
    <w:name w:val="Grid Table 4 - Accent 3"/>
    <w:uiPriority w:val="59"/>
    <w:qFormat/>
    <w:pPr>
      <w:spacing w:after="0" w:line="240" w:lineRule="auto"/>
    </w:pPr>
    <w:tblPr/>
  </w:style>
  <w:style w:type="table" w:styleId="839" w:customStyle="1">
    <w:name w:val="Grid Table 4 - Accent 4"/>
    <w:uiPriority w:val="59"/>
    <w:qFormat/>
    <w:pPr>
      <w:spacing w:after="0" w:line="240" w:lineRule="auto"/>
    </w:pPr>
    <w:tblPr/>
  </w:style>
  <w:style w:type="table" w:styleId="840" w:customStyle="1">
    <w:name w:val="Grid Table 4 - Accent 5"/>
    <w:uiPriority w:val="59"/>
    <w:qFormat/>
    <w:pPr>
      <w:spacing w:after="0" w:line="240" w:lineRule="auto"/>
    </w:pPr>
    <w:tblPr/>
  </w:style>
  <w:style w:type="table" w:styleId="841" w:customStyle="1">
    <w:name w:val="Grid Table 4 - Accent 6"/>
    <w:uiPriority w:val="59"/>
    <w:qFormat/>
    <w:pPr>
      <w:spacing w:after="0" w:line="240" w:lineRule="auto"/>
    </w:pPr>
    <w:tblPr/>
  </w:style>
  <w:style w:type="table" w:styleId="842" w:customStyle="1">
    <w:name w:val="Grid Table 5 Dark"/>
    <w:uiPriority w:val="99"/>
    <w:qFormat/>
    <w:pPr>
      <w:spacing w:after="0" w:line="240" w:lineRule="auto"/>
    </w:pPr>
    <w:tblPr/>
  </w:style>
  <w:style w:type="table" w:styleId="843" w:customStyle="1">
    <w:name w:val="Grid Table 5 Dark- Accent 1"/>
    <w:uiPriority w:val="99"/>
    <w:qFormat/>
    <w:pPr>
      <w:spacing w:after="0" w:line="240" w:lineRule="auto"/>
    </w:pPr>
    <w:tblPr/>
  </w:style>
  <w:style w:type="table" w:styleId="844" w:customStyle="1">
    <w:name w:val="Grid Table 5 Dark - Accent 2"/>
    <w:uiPriority w:val="99"/>
    <w:qFormat/>
    <w:pPr>
      <w:spacing w:after="0" w:line="240" w:lineRule="auto"/>
    </w:pPr>
    <w:tblPr/>
  </w:style>
  <w:style w:type="table" w:styleId="845" w:customStyle="1">
    <w:name w:val="Grid Table 5 Dark - Accent 3"/>
    <w:uiPriority w:val="99"/>
    <w:qFormat/>
    <w:pPr>
      <w:spacing w:after="0" w:line="240" w:lineRule="auto"/>
    </w:pPr>
    <w:tblPr/>
  </w:style>
  <w:style w:type="table" w:styleId="846" w:customStyle="1">
    <w:name w:val="Grid Table 5 Dark- Accent 4"/>
    <w:uiPriority w:val="99"/>
    <w:qFormat/>
    <w:pPr>
      <w:spacing w:after="0" w:line="240" w:lineRule="auto"/>
    </w:pPr>
    <w:tblPr/>
  </w:style>
  <w:style w:type="table" w:styleId="847" w:customStyle="1">
    <w:name w:val="Grid Table 5 Dark - Accent 5"/>
    <w:uiPriority w:val="99"/>
    <w:qFormat/>
    <w:pPr>
      <w:spacing w:after="0" w:line="240" w:lineRule="auto"/>
    </w:pPr>
    <w:tblPr/>
  </w:style>
  <w:style w:type="table" w:styleId="848" w:customStyle="1">
    <w:name w:val="Grid Table 5 Dark - Accent 6"/>
    <w:uiPriority w:val="99"/>
    <w:qFormat/>
    <w:pPr>
      <w:spacing w:after="0" w:line="240" w:lineRule="auto"/>
    </w:pPr>
    <w:tblPr/>
  </w:style>
  <w:style w:type="table" w:styleId="849" w:customStyle="1">
    <w:name w:val="Grid Table 6 Colorful"/>
    <w:uiPriority w:val="99"/>
    <w:qFormat/>
    <w:pPr>
      <w:spacing w:after="0" w:line="240" w:lineRule="auto"/>
    </w:pPr>
    <w:tblPr/>
  </w:style>
  <w:style w:type="table" w:styleId="850" w:customStyle="1">
    <w:name w:val="Grid Table 6 Colorful - Accent 1"/>
    <w:uiPriority w:val="99"/>
    <w:qFormat/>
    <w:pPr>
      <w:spacing w:after="0" w:line="240" w:lineRule="auto"/>
    </w:pPr>
    <w:tblPr/>
  </w:style>
  <w:style w:type="table" w:styleId="851" w:customStyle="1">
    <w:name w:val="Grid Table 6 Colorful - Accent 2"/>
    <w:uiPriority w:val="99"/>
    <w:qFormat/>
    <w:pPr>
      <w:spacing w:after="0" w:line="240" w:lineRule="auto"/>
    </w:pPr>
    <w:tblPr/>
  </w:style>
  <w:style w:type="table" w:styleId="852" w:customStyle="1">
    <w:name w:val="Grid Table 6 Colorful - Accent 3"/>
    <w:uiPriority w:val="99"/>
    <w:qFormat/>
    <w:pPr>
      <w:spacing w:after="0" w:line="240" w:lineRule="auto"/>
    </w:pPr>
    <w:tblPr/>
  </w:style>
  <w:style w:type="table" w:styleId="853" w:customStyle="1">
    <w:name w:val="Grid Table 6 Colorful - Accent 4"/>
    <w:uiPriority w:val="99"/>
    <w:qFormat/>
    <w:pPr>
      <w:spacing w:after="0" w:line="240" w:lineRule="auto"/>
    </w:pPr>
    <w:tblPr/>
  </w:style>
  <w:style w:type="table" w:styleId="854" w:customStyle="1">
    <w:name w:val="Grid Table 6 Colorful - Accent 5"/>
    <w:uiPriority w:val="99"/>
    <w:qFormat/>
    <w:pPr>
      <w:spacing w:after="0" w:line="240" w:lineRule="auto"/>
    </w:pPr>
    <w:tblPr/>
  </w:style>
  <w:style w:type="table" w:styleId="855" w:customStyle="1">
    <w:name w:val="Grid Table 6 Colorful - Accent 6"/>
    <w:uiPriority w:val="99"/>
    <w:qFormat/>
    <w:pPr>
      <w:spacing w:after="0" w:line="240" w:lineRule="auto"/>
    </w:pPr>
    <w:tblPr/>
  </w:style>
  <w:style w:type="table" w:styleId="856" w:customStyle="1">
    <w:name w:val="Grid Table 7 Colorful"/>
    <w:uiPriority w:val="99"/>
    <w:qFormat/>
    <w:pPr>
      <w:spacing w:after="0" w:line="240" w:lineRule="auto"/>
    </w:pPr>
    <w:tblPr/>
  </w:style>
  <w:style w:type="table" w:styleId="857" w:customStyle="1">
    <w:name w:val="Grid Table 7 Colorful - Accent 1"/>
    <w:uiPriority w:val="99"/>
    <w:qFormat/>
    <w:pPr>
      <w:spacing w:after="0" w:line="240" w:lineRule="auto"/>
    </w:pPr>
    <w:tblPr/>
  </w:style>
  <w:style w:type="table" w:styleId="858" w:customStyle="1">
    <w:name w:val="Grid Table 7 Colorful - Accent 2"/>
    <w:uiPriority w:val="99"/>
    <w:qFormat/>
    <w:pPr>
      <w:spacing w:after="0" w:line="240" w:lineRule="auto"/>
    </w:pPr>
    <w:tblPr/>
  </w:style>
  <w:style w:type="table" w:styleId="859" w:customStyle="1">
    <w:name w:val="Grid Table 7 Colorful - Accent 3"/>
    <w:uiPriority w:val="99"/>
    <w:qFormat/>
    <w:pPr>
      <w:spacing w:after="0" w:line="240" w:lineRule="auto"/>
    </w:pPr>
    <w:tblPr/>
  </w:style>
  <w:style w:type="table" w:styleId="860" w:customStyle="1">
    <w:name w:val="Grid Table 7 Colorful - Accent 4"/>
    <w:uiPriority w:val="99"/>
    <w:qFormat/>
    <w:pPr>
      <w:spacing w:after="0" w:line="240" w:lineRule="auto"/>
    </w:pPr>
    <w:tblPr/>
  </w:style>
  <w:style w:type="table" w:styleId="861" w:customStyle="1">
    <w:name w:val="Grid Table 7 Colorful - Accent 5"/>
    <w:uiPriority w:val="99"/>
    <w:qFormat/>
    <w:pPr>
      <w:spacing w:after="0" w:line="240" w:lineRule="auto"/>
    </w:pPr>
    <w:tblPr/>
  </w:style>
  <w:style w:type="table" w:styleId="862" w:customStyle="1">
    <w:name w:val="Grid Table 7 Colorful - Accent 6"/>
    <w:uiPriority w:val="99"/>
    <w:qFormat/>
    <w:pPr>
      <w:spacing w:after="0" w:line="240" w:lineRule="auto"/>
    </w:pPr>
    <w:tblPr/>
  </w:style>
  <w:style w:type="table" w:styleId="863" w:customStyle="1">
    <w:name w:val="List Table 1 Light"/>
    <w:uiPriority w:val="99"/>
    <w:qFormat/>
    <w:pPr>
      <w:spacing w:after="0" w:line="240" w:lineRule="auto"/>
    </w:pPr>
    <w:tblPr/>
  </w:style>
  <w:style w:type="table" w:styleId="864" w:customStyle="1">
    <w:name w:val="List Table 1 Light - Accent 1"/>
    <w:uiPriority w:val="99"/>
    <w:qFormat/>
    <w:pPr>
      <w:spacing w:after="0" w:line="240" w:lineRule="auto"/>
    </w:pPr>
    <w:tblPr/>
  </w:style>
  <w:style w:type="table" w:styleId="865" w:customStyle="1">
    <w:name w:val="List Table 1 Light - Accent 2"/>
    <w:uiPriority w:val="99"/>
    <w:qFormat/>
    <w:pPr>
      <w:spacing w:after="0" w:line="240" w:lineRule="auto"/>
    </w:pPr>
    <w:tblPr/>
  </w:style>
  <w:style w:type="table" w:styleId="866" w:customStyle="1">
    <w:name w:val="List Table 1 Light - Accent 3"/>
    <w:uiPriority w:val="99"/>
    <w:qFormat/>
    <w:pPr>
      <w:spacing w:after="0" w:line="240" w:lineRule="auto"/>
    </w:pPr>
    <w:tblPr/>
  </w:style>
  <w:style w:type="table" w:styleId="867" w:customStyle="1">
    <w:name w:val="List Table 1 Light - Accent 4"/>
    <w:uiPriority w:val="99"/>
    <w:qFormat/>
    <w:pPr>
      <w:spacing w:after="0" w:line="240" w:lineRule="auto"/>
    </w:pPr>
    <w:tblPr/>
  </w:style>
  <w:style w:type="table" w:styleId="868" w:customStyle="1">
    <w:name w:val="List Table 1 Light - Accent 5"/>
    <w:uiPriority w:val="99"/>
    <w:qFormat/>
    <w:pPr>
      <w:spacing w:after="0" w:line="240" w:lineRule="auto"/>
    </w:pPr>
    <w:tblPr/>
  </w:style>
  <w:style w:type="table" w:styleId="869" w:customStyle="1">
    <w:name w:val="List Table 1 Light - Accent 6"/>
    <w:uiPriority w:val="99"/>
    <w:qFormat/>
    <w:pPr>
      <w:spacing w:after="0" w:line="240" w:lineRule="auto"/>
    </w:pPr>
    <w:tblPr/>
  </w:style>
  <w:style w:type="table" w:styleId="870" w:customStyle="1">
    <w:name w:val="List Table 2"/>
    <w:uiPriority w:val="99"/>
    <w:qFormat/>
    <w:pPr>
      <w:spacing w:after="0" w:line="240" w:lineRule="auto"/>
    </w:pPr>
    <w:tblPr/>
  </w:style>
  <w:style w:type="table" w:styleId="871" w:customStyle="1">
    <w:name w:val="List Table 2 - Accent 1"/>
    <w:uiPriority w:val="99"/>
    <w:qFormat/>
    <w:pPr>
      <w:spacing w:after="0" w:line="240" w:lineRule="auto"/>
    </w:pPr>
    <w:tblPr/>
  </w:style>
  <w:style w:type="table" w:styleId="872" w:customStyle="1">
    <w:name w:val="List Table 2 - Accent 2"/>
    <w:uiPriority w:val="99"/>
    <w:qFormat/>
    <w:pPr>
      <w:spacing w:after="0" w:line="240" w:lineRule="auto"/>
    </w:pPr>
    <w:tblPr/>
  </w:style>
  <w:style w:type="table" w:styleId="873" w:customStyle="1">
    <w:name w:val="List Table 2 - Accent 3"/>
    <w:uiPriority w:val="99"/>
    <w:qFormat/>
    <w:pPr>
      <w:spacing w:after="0" w:line="240" w:lineRule="auto"/>
    </w:pPr>
    <w:tblPr/>
  </w:style>
  <w:style w:type="table" w:styleId="874" w:customStyle="1">
    <w:name w:val="List Table 2 - Accent 4"/>
    <w:uiPriority w:val="99"/>
    <w:qFormat/>
    <w:pPr>
      <w:spacing w:after="0" w:line="240" w:lineRule="auto"/>
    </w:pPr>
    <w:tblPr/>
  </w:style>
  <w:style w:type="table" w:styleId="875" w:customStyle="1">
    <w:name w:val="List Table 2 - Accent 5"/>
    <w:uiPriority w:val="99"/>
    <w:qFormat/>
    <w:pPr>
      <w:spacing w:after="0" w:line="240" w:lineRule="auto"/>
    </w:pPr>
    <w:tblPr/>
  </w:style>
  <w:style w:type="table" w:styleId="876" w:customStyle="1">
    <w:name w:val="List Table 2 - Accent 6"/>
    <w:uiPriority w:val="99"/>
    <w:qFormat/>
    <w:pPr>
      <w:spacing w:after="0" w:line="240" w:lineRule="auto"/>
    </w:pPr>
    <w:tblPr/>
  </w:style>
  <w:style w:type="table" w:styleId="877" w:customStyle="1">
    <w:name w:val="List Table 3"/>
    <w:uiPriority w:val="99"/>
    <w:qFormat/>
    <w:pPr>
      <w:spacing w:after="0" w:line="240" w:lineRule="auto"/>
    </w:pPr>
    <w:tblPr/>
  </w:style>
  <w:style w:type="table" w:styleId="878" w:customStyle="1">
    <w:name w:val="List Table 3 - Accent 1"/>
    <w:uiPriority w:val="99"/>
    <w:qFormat/>
    <w:pPr>
      <w:spacing w:after="0" w:line="240" w:lineRule="auto"/>
    </w:pPr>
    <w:tblPr/>
  </w:style>
  <w:style w:type="table" w:styleId="879" w:customStyle="1">
    <w:name w:val="List Table 3 - Accent 2"/>
    <w:uiPriority w:val="99"/>
    <w:qFormat/>
    <w:pPr>
      <w:spacing w:after="0" w:line="240" w:lineRule="auto"/>
    </w:pPr>
    <w:tblPr/>
  </w:style>
  <w:style w:type="table" w:styleId="880" w:customStyle="1">
    <w:name w:val="List Table 3 - Accent 3"/>
    <w:uiPriority w:val="99"/>
    <w:qFormat/>
    <w:pPr>
      <w:spacing w:after="0" w:line="240" w:lineRule="auto"/>
    </w:pPr>
    <w:tblPr/>
  </w:style>
  <w:style w:type="table" w:styleId="881" w:customStyle="1">
    <w:name w:val="List Table 3 - Accent 4"/>
    <w:uiPriority w:val="99"/>
    <w:qFormat/>
    <w:pPr>
      <w:spacing w:after="0" w:line="240" w:lineRule="auto"/>
    </w:pPr>
    <w:tblPr/>
  </w:style>
  <w:style w:type="table" w:styleId="882" w:customStyle="1">
    <w:name w:val="List Table 3 - Accent 5"/>
    <w:uiPriority w:val="99"/>
    <w:qFormat/>
    <w:pPr>
      <w:spacing w:after="0" w:line="240" w:lineRule="auto"/>
    </w:pPr>
    <w:tblPr/>
  </w:style>
  <w:style w:type="table" w:styleId="883" w:customStyle="1">
    <w:name w:val="List Table 3 - Accent 6"/>
    <w:uiPriority w:val="99"/>
    <w:qFormat/>
    <w:pPr>
      <w:spacing w:after="0" w:line="240" w:lineRule="auto"/>
    </w:pPr>
    <w:tblPr/>
  </w:style>
  <w:style w:type="table" w:styleId="884" w:customStyle="1">
    <w:name w:val="List Table 4"/>
    <w:uiPriority w:val="99"/>
    <w:qFormat/>
    <w:pPr>
      <w:spacing w:after="0" w:line="240" w:lineRule="auto"/>
    </w:pPr>
    <w:tblPr/>
  </w:style>
  <w:style w:type="table" w:styleId="885" w:customStyle="1">
    <w:name w:val="List Table 4 - Accent 1"/>
    <w:uiPriority w:val="99"/>
    <w:qFormat/>
    <w:pPr>
      <w:spacing w:after="0" w:line="240" w:lineRule="auto"/>
    </w:pPr>
    <w:tblPr/>
  </w:style>
  <w:style w:type="table" w:styleId="886" w:customStyle="1">
    <w:name w:val="List Table 4 - Accent 2"/>
    <w:uiPriority w:val="99"/>
    <w:qFormat/>
    <w:pPr>
      <w:spacing w:after="0" w:line="240" w:lineRule="auto"/>
    </w:pPr>
    <w:tblPr/>
  </w:style>
  <w:style w:type="table" w:styleId="887" w:customStyle="1">
    <w:name w:val="List Table 4 - Accent 3"/>
    <w:uiPriority w:val="99"/>
    <w:qFormat/>
    <w:pPr>
      <w:spacing w:after="0" w:line="240" w:lineRule="auto"/>
    </w:pPr>
    <w:tblPr/>
  </w:style>
  <w:style w:type="table" w:styleId="888" w:customStyle="1">
    <w:name w:val="List Table 4 - Accent 4"/>
    <w:uiPriority w:val="99"/>
    <w:qFormat/>
    <w:pPr>
      <w:spacing w:after="0" w:line="240" w:lineRule="auto"/>
    </w:pPr>
    <w:tblPr/>
  </w:style>
  <w:style w:type="table" w:styleId="889" w:customStyle="1">
    <w:name w:val="List Table 4 - Accent 5"/>
    <w:uiPriority w:val="99"/>
    <w:qFormat/>
    <w:pPr>
      <w:spacing w:after="0" w:line="240" w:lineRule="auto"/>
    </w:pPr>
    <w:tblPr/>
  </w:style>
  <w:style w:type="table" w:styleId="890" w:customStyle="1">
    <w:name w:val="List Table 4 - Accent 6"/>
    <w:uiPriority w:val="99"/>
    <w:qFormat/>
    <w:pPr>
      <w:spacing w:after="0" w:line="240" w:lineRule="auto"/>
    </w:pPr>
    <w:tblPr/>
  </w:style>
  <w:style w:type="table" w:styleId="891" w:customStyle="1">
    <w:name w:val="List Table 5 Dark"/>
    <w:uiPriority w:val="99"/>
    <w:qFormat/>
    <w:pPr>
      <w:spacing w:after="0" w:line="240" w:lineRule="auto"/>
    </w:pPr>
    <w:tblPr/>
  </w:style>
  <w:style w:type="table" w:styleId="892" w:customStyle="1">
    <w:name w:val="List Table 5 Dark - Accent 1"/>
    <w:uiPriority w:val="99"/>
    <w:qFormat/>
    <w:pPr>
      <w:spacing w:after="0" w:line="240" w:lineRule="auto"/>
    </w:pPr>
    <w:tblPr/>
  </w:style>
  <w:style w:type="table" w:styleId="893" w:customStyle="1">
    <w:name w:val="List Table 5 Dark - Accent 2"/>
    <w:uiPriority w:val="99"/>
    <w:qFormat/>
    <w:pPr>
      <w:spacing w:after="0" w:line="240" w:lineRule="auto"/>
    </w:pPr>
    <w:tblPr/>
  </w:style>
  <w:style w:type="table" w:styleId="894" w:customStyle="1">
    <w:name w:val="List Table 5 Dark - Accent 3"/>
    <w:uiPriority w:val="99"/>
    <w:qFormat/>
    <w:pPr>
      <w:spacing w:after="0" w:line="240" w:lineRule="auto"/>
    </w:pPr>
    <w:tblPr/>
  </w:style>
  <w:style w:type="table" w:styleId="895" w:customStyle="1">
    <w:name w:val="List Table 5 Dark - Accent 4"/>
    <w:uiPriority w:val="99"/>
    <w:qFormat/>
    <w:pPr>
      <w:spacing w:after="0" w:line="240" w:lineRule="auto"/>
    </w:pPr>
    <w:tblPr/>
  </w:style>
  <w:style w:type="table" w:styleId="896" w:customStyle="1">
    <w:name w:val="List Table 5 Dark - Accent 5"/>
    <w:uiPriority w:val="99"/>
    <w:qFormat/>
    <w:pPr>
      <w:spacing w:after="0" w:line="240" w:lineRule="auto"/>
    </w:pPr>
    <w:tblPr/>
  </w:style>
  <w:style w:type="table" w:styleId="897" w:customStyle="1">
    <w:name w:val="List Table 5 Dark - Accent 6"/>
    <w:uiPriority w:val="99"/>
    <w:qFormat/>
    <w:pPr>
      <w:spacing w:after="0" w:line="240" w:lineRule="auto"/>
    </w:pPr>
    <w:tblPr/>
  </w:style>
  <w:style w:type="table" w:styleId="898" w:customStyle="1">
    <w:name w:val="List Table 6 Colorful"/>
    <w:uiPriority w:val="99"/>
    <w:qFormat/>
    <w:pPr>
      <w:spacing w:after="0" w:line="240" w:lineRule="auto"/>
    </w:pPr>
    <w:tblPr/>
  </w:style>
  <w:style w:type="table" w:styleId="899" w:customStyle="1">
    <w:name w:val="List Table 6 Colorful - Accent 1"/>
    <w:uiPriority w:val="99"/>
    <w:qFormat/>
    <w:pPr>
      <w:spacing w:after="0" w:line="240" w:lineRule="auto"/>
    </w:pPr>
    <w:tblPr/>
  </w:style>
  <w:style w:type="table" w:styleId="900" w:customStyle="1">
    <w:name w:val="List Table 6 Colorful - Accent 2"/>
    <w:uiPriority w:val="99"/>
    <w:qFormat/>
    <w:pPr>
      <w:spacing w:after="0" w:line="240" w:lineRule="auto"/>
    </w:pPr>
    <w:tblPr/>
  </w:style>
  <w:style w:type="table" w:styleId="901" w:customStyle="1">
    <w:name w:val="List Table 6 Colorful - Accent 3"/>
    <w:uiPriority w:val="99"/>
    <w:qFormat/>
    <w:pPr>
      <w:spacing w:after="0" w:line="240" w:lineRule="auto"/>
    </w:pPr>
    <w:tblPr/>
  </w:style>
  <w:style w:type="table" w:styleId="902" w:customStyle="1">
    <w:name w:val="List Table 6 Colorful - Accent 4"/>
    <w:uiPriority w:val="99"/>
    <w:qFormat/>
    <w:pPr>
      <w:spacing w:after="0" w:line="240" w:lineRule="auto"/>
    </w:pPr>
    <w:tblPr/>
  </w:style>
  <w:style w:type="table" w:styleId="903" w:customStyle="1">
    <w:name w:val="List Table 6 Colorful - Accent 5"/>
    <w:uiPriority w:val="99"/>
    <w:qFormat/>
    <w:pPr>
      <w:spacing w:after="0" w:line="240" w:lineRule="auto"/>
    </w:pPr>
    <w:tblPr/>
  </w:style>
  <w:style w:type="table" w:styleId="904" w:customStyle="1">
    <w:name w:val="List Table 6 Colorful - Accent 6"/>
    <w:uiPriority w:val="99"/>
    <w:qFormat/>
    <w:pPr>
      <w:spacing w:after="0" w:line="240" w:lineRule="auto"/>
    </w:pPr>
    <w:tblPr/>
  </w:style>
  <w:style w:type="table" w:styleId="905" w:customStyle="1">
    <w:name w:val="List Table 7 Colorful"/>
    <w:uiPriority w:val="99"/>
    <w:qFormat/>
    <w:pPr>
      <w:spacing w:after="0" w:line="240" w:lineRule="auto"/>
    </w:pPr>
    <w:tblPr/>
  </w:style>
  <w:style w:type="table" w:styleId="906" w:customStyle="1">
    <w:name w:val="List Table 7 Colorful - Accent 1"/>
    <w:uiPriority w:val="99"/>
    <w:qFormat/>
    <w:pPr>
      <w:spacing w:after="0" w:line="240" w:lineRule="auto"/>
    </w:pPr>
    <w:tblPr/>
  </w:style>
  <w:style w:type="table" w:styleId="907" w:customStyle="1">
    <w:name w:val="List Table 7 Colorful - Accent 2"/>
    <w:uiPriority w:val="99"/>
    <w:qFormat/>
    <w:pPr>
      <w:spacing w:after="0" w:line="240" w:lineRule="auto"/>
    </w:pPr>
    <w:tblPr/>
  </w:style>
  <w:style w:type="table" w:styleId="908" w:customStyle="1">
    <w:name w:val="List Table 7 Colorful - Accent 3"/>
    <w:uiPriority w:val="99"/>
    <w:qFormat/>
    <w:pPr>
      <w:spacing w:after="0" w:line="240" w:lineRule="auto"/>
    </w:pPr>
    <w:tblPr/>
  </w:style>
  <w:style w:type="table" w:styleId="909" w:customStyle="1">
    <w:name w:val="List Table 7 Colorful - Accent 4"/>
    <w:uiPriority w:val="99"/>
    <w:qFormat/>
    <w:pPr>
      <w:spacing w:after="0" w:line="240" w:lineRule="auto"/>
    </w:pPr>
    <w:tblPr/>
  </w:style>
  <w:style w:type="table" w:styleId="910" w:customStyle="1">
    <w:name w:val="List Table 7 Colorful - Accent 5"/>
    <w:uiPriority w:val="99"/>
    <w:qFormat/>
    <w:pPr>
      <w:spacing w:after="0" w:line="240" w:lineRule="auto"/>
    </w:pPr>
    <w:tblPr/>
  </w:style>
  <w:style w:type="table" w:styleId="911" w:customStyle="1">
    <w:name w:val="List Table 7 Colorful - Accent 6"/>
    <w:uiPriority w:val="99"/>
    <w:qFormat/>
    <w:pPr>
      <w:spacing w:after="0" w:line="240" w:lineRule="auto"/>
    </w:pPr>
    <w:tblPr/>
  </w:style>
  <w:style w:type="table" w:styleId="912" w:customStyle="1">
    <w:name w:val="Lined - Accent"/>
    <w:uiPriority w:val="99"/>
    <w:qFormat/>
    <w:pPr>
      <w:spacing w:after="0" w:line="240" w:lineRule="auto"/>
    </w:pPr>
    <w:rPr>
      <w:color w:val="404040"/>
    </w:rPr>
    <w:tblPr/>
  </w:style>
  <w:style w:type="table" w:styleId="913" w:customStyle="1">
    <w:name w:val="Lined - Accent 1"/>
    <w:uiPriority w:val="99"/>
    <w:qFormat/>
    <w:pPr>
      <w:spacing w:after="0" w:line="240" w:lineRule="auto"/>
    </w:pPr>
    <w:rPr>
      <w:color w:val="404040"/>
    </w:rPr>
    <w:tblPr/>
  </w:style>
  <w:style w:type="table" w:styleId="914" w:customStyle="1">
    <w:name w:val="Lined - Accent 2"/>
    <w:uiPriority w:val="99"/>
    <w:qFormat/>
    <w:pPr>
      <w:spacing w:after="0" w:line="240" w:lineRule="auto"/>
    </w:pPr>
    <w:rPr>
      <w:color w:val="404040"/>
    </w:rPr>
    <w:tblPr/>
  </w:style>
  <w:style w:type="table" w:styleId="915" w:customStyle="1">
    <w:name w:val="Lined - Accent 3"/>
    <w:uiPriority w:val="99"/>
    <w:qFormat/>
    <w:pPr>
      <w:spacing w:after="0" w:line="240" w:lineRule="auto"/>
    </w:pPr>
    <w:rPr>
      <w:color w:val="404040"/>
    </w:rPr>
    <w:tblPr/>
  </w:style>
  <w:style w:type="table" w:styleId="916" w:customStyle="1">
    <w:name w:val="Lined - Accent 4"/>
    <w:uiPriority w:val="99"/>
    <w:qFormat/>
    <w:pPr>
      <w:spacing w:after="0" w:line="240" w:lineRule="auto"/>
    </w:pPr>
    <w:rPr>
      <w:color w:val="404040"/>
    </w:rPr>
    <w:tblPr/>
  </w:style>
  <w:style w:type="table" w:styleId="917" w:customStyle="1">
    <w:name w:val="Lined - Accent 5"/>
    <w:uiPriority w:val="99"/>
    <w:qFormat/>
    <w:pPr>
      <w:spacing w:after="0" w:line="240" w:lineRule="auto"/>
    </w:pPr>
    <w:rPr>
      <w:color w:val="404040"/>
    </w:rPr>
    <w:tblPr/>
  </w:style>
  <w:style w:type="table" w:styleId="918" w:customStyle="1">
    <w:name w:val="Lined - Accent 6"/>
    <w:uiPriority w:val="99"/>
    <w:qFormat/>
    <w:pPr>
      <w:spacing w:after="0" w:line="240" w:lineRule="auto"/>
    </w:pPr>
    <w:rPr>
      <w:color w:val="404040"/>
    </w:rPr>
    <w:tblPr/>
  </w:style>
  <w:style w:type="table" w:styleId="919" w:customStyle="1">
    <w:name w:val="Bordered &amp; Lined - Accent"/>
    <w:uiPriority w:val="99"/>
    <w:qFormat/>
    <w:pPr>
      <w:spacing w:after="0" w:line="240" w:lineRule="auto"/>
    </w:pPr>
    <w:rPr>
      <w:color w:val="404040"/>
    </w:rPr>
    <w:tblPr/>
  </w:style>
  <w:style w:type="table" w:styleId="920" w:customStyle="1">
    <w:name w:val="Bordered &amp; Lined - Accent 1"/>
    <w:uiPriority w:val="99"/>
    <w:qFormat/>
    <w:pPr>
      <w:spacing w:after="0" w:line="240" w:lineRule="auto"/>
    </w:pPr>
    <w:rPr>
      <w:color w:val="404040"/>
    </w:rPr>
    <w:tblPr/>
  </w:style>
  <w:style w:type="table" w:styleId="921" w:customStyle="1">
    <w:name w:val="Bordered &amp; Lined - Accent 2"/>
    <w:uiPriority w:val="99"/>
    <w:qFormat/>
    <w:pPr>
      <w:spacing w:after="0" w:line="240" w:lineRule="auto"/>
    </w:pPr>
    <w:rPr>
      <w:color w:val="404040"/>
    </w:rPr>
    <w:tblPr/>
  </w:style>
  <w:style w:type="table" w:styleId="922" w:customStyle="1">
    <w:name w:val="Bordered &amp; Lined - Accent 3"/>
    <w:uiPriority w:val="99"/>
    <w:qFormat/>
    <w:pPr>
      <w:spacing w:after="0" w:line="240" w:lineRule="auto"/>
    </w:pPr>
    <w:rPr>
      <w:color w:val="404040"/>
    </w:rPr>
    <w:tblPr/>
  </w:style>
  <w:style w:type="table" w:styleId="923" w:customStyle="1">
    <w:name w:val="Bordered &amp; Lined - Accent 4"/>
    <w:uiPriority w:val="99"/>
    <w:qFormat/>
    <w:pPr>
      <w:spacing w:after="0" w:line="240" w:lineRule="auto"/>
    </w:pPr>
    <w:rPr>
      <w:color w:val="404040"/>
    </w:rPr>
    <w:tblPr/>
  </w:style>
  <w:style w:type="table" w:styleId="924" w:customStyle="1">
    <w:name w:val="Bordered &amp; Lined - Accent 5"/>
    <w:uiPriority w:val="99"/>
    <w:qFormat/>
    <w:pPr>
      <w:spacing w:after="0" w:line="240" w:lineRule="auto"/>
    </w:pPr>
    <w:rPr>
      <w:color w:val="404040"/>
    </w:rPr>
    <w:tblPr/>
  </w:style>
  <w:style w:type="table" w:styleId="925" w:customStyle="1">
    <w:name w:val="Bordered &amp; Lined - Accent 6"/>
    <w:uiPriority w:val="99"/>
    <w:qFormat/>
    <w:pPr>
      <w:spacing w:after="0" w:line="240" w:lineRule="auto"/>
    </w:pPr>
    <w:rPr>
      <w:color w:val="404040"/>
    </w:rPr>
    <w:tblPr/>
  </w:style>
  <w:style w:type="table" w:styleId="926" w:customStyle="1">
    <w:name w:val="Bordered"/>
    <w:uiPriority w:val="99"/>
    <w:qFormat/>
    <w:pPr>
      <w:spacing w:after="0" w:line="240" w:lineRule="auto"/>
    </w:pPr>
    <w:tblPr/>
  </w:style>
  <w:style w:type="table" w:styleId="927" w:customStyle="1">
    <w:name w:val="Bordered - Accent 1"/>
    <w:uiPriority w:val="99"/>
    <w:qFormat/>
    <w:pPr>
      <w:spacing w:after="0" w:line="240" w:lineRule="auto"/>
    </w:pPr>
    <w:tblPr/>
  </w:style>
  <w:style w:type="table" w:styleId="928" w:customStyle="1">
    <w:name w:val="Bordered - Accent 2"/>
    <w:uiPriority w:val="99"/>
    <w:qFormat/>
    <w:pPr>
      <w:spacing w:after="0" w:line="240" w:lineRule="auto"/>
    </w:pPr>
    <w:tblPr/>
  </w:style>
  <w:style w:type="table" w:styleId="929" w:customStyle="1">
    <w:name w:val="Bordered - Accent 3"/>
    <w:uiPriority w:val="99"/>
    <w:qFormat/>
    <w:pPr>
      <w:spacing w:after="0" w:line="240" w:lineRule="auto"/>
    </w:pPr>
    <w:tblPr/>
  </w:style>
  <w:style w:type="table" w:styleId="930" w:customStyle="1">
    <w:name w:val="Bordered - Accent 4"/>
    <w:uiPriority w:val="99"/>
    <w:qFormat/>
    <w:pPr>
      <w:spacing w:after="0" w:line="240" w:lineRule="auto"/>
    </w:pPr>
    <w:tblPr/>
  </w:style>
  <w:style w:type="table" w:styleId="931" w:customStyle="1">
    <w:name w:val="Bordered - Accent 5"/>
    <w:uiPriority w:val="99"/>
    <w:qFormat/>
    <w:pPr>
      <w:spacing w:after="0" w:line="240" w:lineRule="auto"/>
    </w:pPr>
    <w:tblPr/>
  </w:style>
  <w:style w:type="table" w:styleId="932" w:customStyle="1">
    <w:name w:val="Bordered - Accent 6"/>
    <w:uiPriority w:val="99"/>
    <w:qFormat/>
    <w:pPr>
      <w:spacing w:after="0" w:line="240" w:lineRule="auto"/>
    </w:pPr>
    <w:tbl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41"/>
    <w:basedOn w:val="935"/>
    <w:next w:val="783"/>
    <w:link w:val="936"/>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935" w:customStyle="1">
    <w:name w:val="标题1"/>
    <w:basedOn w:val="686"/>
    <w:next w:val="781"/>
    <w:uiPriority w:val="10"/>
    <w:qFormat/>
    <w:pPr>
      <w:contextualSpacing/>
      <w:spacing w:before="300" w:after="200"/>
    </w:pPr>
    <w:rPr>
      <w:sz w:val="48"/>
      <w:szCs w:val="48"/>
    </w:rPr>
  </w:style>
  <w:style w:type="character" w:styleId="936" w:customStyle="1">
    <w:name w:val="标题 4 Char"/>
    <w:basedOn w:val="720"/>
    <w:link w:val="934"/>
    <w:uiPriority w:val="0"/>
    <w:semiHidden/>
    <w:qFormat/>
    <w:rPr>
      <w:rFonts w:ascii="Calibri Light" w:hAnsi="Calibri Light" w:eastAsia="宋体" w:cs="Times New Roman"/>
      <w:b/>
      <w:bCs/>
      <w:sz w:val="28"/>
      <w:szCs w:val="28"/>
    </w:rPr>
  </w:style>
  <w:style w:type="paragraph" w:styleId="937" w:customStyle="1">
    <w:name w:val="文本块1"/>
    <w:basedOn w:val="686"/>
    <w:next w:val="934"/>
    <w:uiPriority w:val="6"/>
    <w:unhideWhenUsed/>
    <w:qFormat/>
    <w:pPr>
      <w:ind w:left="1440" w:right="1440"/>
      <w:spacing w:after="120"/>
    </w:pPr>
  </w:style>
  <w:style w:type="paragraph" w:styleId="938" w:customStyle="1">
    <w:name w:val="脚注文本1"/>
    <w:basedOn w:val="797"/>
    <w:next w:val="939"/>
    <w:link w:val="940"/>
    <w:uiPriority w:val="99"/>
    <w:qFormat/>
    <w:pPr>
      <w:jc w:val="left"/>
    </w:pPr>
    <w:rPr>
      <w:rFonts w:ascii="宋体" w:eastAsia="Times New Roman"/>
      <w:sz w:val="18"/>
      <w:szCs w:val="18"/>
    </w:rPr>
  </w:style>
  <w:style w:type="paragraph" w:styleId="939" w:customStyle="1">
    <w:name w:val="索引 51"/>
    <w:basedOn w:val="686"/>
    <w:next w:val="797"/>
    <w:uiPriority w:val="0"/>
    <w:qFormat/>
    <w:pPr>
      <w:ind w:left="798"/>
      <w:jc w:val="left"/>
    </w:pPr>
    <w:rPr>
      <w:rFonts w:ascii="Calibri" w:hAnsi="Calibri"/>
    </w:rPr>
  </w:style>
  <w:style w:type="character" w:styleId="940" w:customStyle="1">
    <w:name w:val="脚注文本 Char"/>
    <w:basedOn w:val="720"/>
    <w:link w:val="938"/>
    <w:uiPriority w:val="99"/>
    <w:qFormat/>
    <w:rPr>
      <w:rFonts w:ascii="宋体" w:hAnsi="Times New Roman" w:eastAsia="Times New Roman" w:cs="Times New Roman"/>
      <w:sz w:val="18"/>
      <w:szCs w:val="18"/>
    </w:rPr>
  </w:style>
  <w:style w:type="paragraph" w:styleId="941" w:customStyle="1">
    <w:name w:val="段"/>
    <w:basedOn w:val="686"/>
    <w:next w:val="686"/>
    <w:uiPriority w:val="0"/>
    <w:qFormat/>
    <w:pPr>
      <w:ind w:firstLine="200"/>
      <w:widowControl/>
    </w:pPr>
    <w:rPr>
      <w:rFonts w:hint="eastAsia" w:ascii="宋体"/>
    </w:rPr>
  </w:style>
  <w:style w:type="paragraph" w:styleId="942" w:customStyle="1">
    <w:name w:val="目录 111"/>
    <w:basedOn w:val="793"/>
    <w:next w:val="686"/>
    <w:uiPriority w:val="39"/>
    <w:unhideWhenUsed/>
    <w:qFormat/>
    <w:pPr>
      <w:jc w:val="left"/>
      <w:spacing w:after="100" w:line="259" w:lineRule="auto"/>
      <w:widowControl/>
    </w:pPr>
    <w:rPr>
      <w:rFonts w:ascii="Calibri" w:hAnsi="Calibri" w:eastAsia="宋体"/>
      <w:sz w:val="22"/>
      <w:szCs w:val="22"/>
    </w:rPr>
  </w:style>
  <w:style w:type="table" w:styleId="943" w:customStyle="1">
    <w:name w:val="普通表格1"/>
    <w:uiPriority w:val="99"/>
    <w:unhideWhenUsed/>
    <w:qFormat/>
    <w:tblPr/>
  </w:style>
  <w:style w:type="paragraph" w:styleId="944" w:customStyle="1">
    <w:name w:val="正文缩进1"/>
    <w:basedOn w:val="686"/>
    <w:uiPriority w:val="0"/>
    <w:qFormat/>
    <w:pPr>
      <w:ind w:firstLine="420"/>
    </w:pPr>
  </w:style>
  <w:style w:type="paragraph" w:styleId="945" w:customStyle="1">
    <w:name w:val="批注文字1"/>
    <w:basedOn w:val="686"/>
    <w:uiPriority w:val="99"/>
    <w:qFormat/>
    <w:pPr>
      <w:jc w:val="left"/>
    </w:pPr>
  </w:style>
  <w:style w:type="paragraph" w:styleId="946" w:customStyle="1">
    <w:name w:val="纯文本1"/>
    <w:basedOn w:val="686"/>
    <w:uiPriority w:val="0"/>
    <w:qFormat/>
    <w:rPr>
      <w:rFonts w:ascii="宋体" w:hAnsi="Courier New"/>
      <w:szCs w:val="20"/>
    </w:rPr>
  </w:style>
  <w:style w:type="paragraph" w:styleId="947" w:customStyle="1">
    <w:name w:val="日期1"/>
    <w:basedOn w:val="686"/>
    <w:next w:val="686"/>
    <w:uiPriority w:val="0"/>
    <w:qFormat/>
    <w:rPr>
      <w:rFonts w:eastAsia="仿宋_GB2312"/>
      <w:sz w:val="28"/>
      <w:szCs w:val="20"/>
    </w:rPr>
  </w:style>
  <w:style w:type="paragraph" w:styleId="948" w:customStyle="1">
    <w:name w:val="正文文本缩进 21"/>
    <w:basedOn w:val="686"/>
    <w:uiPriority w:val="0"/>
    <w:qFormat/>
    <w:pPr>
      <w:ind w:firstLine="560"/>
      <w:spacing w:line="500" w:lineRule="exact"/>
    </w:pPr>
    <w:rPr>
      <w:color w:val="000000"/>
      <w:sz w:val="28"/>
    </w:rPr>
  </w:style>
  <w:style w:type="paragraph" w:styleId="949" w:customStyle="1">
    <w:name w:val="批注框文本1"/>
    <w:basedOn w:val="686"/>
    <w:link w:val="950"/>
    <w:uiPriority w:val="0"/>
    <w:qFormat/>
    <w:rPr>
      <w:sz w:val="18"/>
      <w:szCs w:val="18"/>
    </w:rPr>
  </w:style>
  <w:style w:type="character" w:styleId="950" w:customStyle="1">
    <w:name w:val="批注框文本 Char"/>
    <w:basedOn w:val="720"/>
    <w:link w:val="949"/>
    <w:uiPriority w:val="0"/>
    <w:qFormat/>
    <w:rPr>
      <w:rFonts w:ascii="Times New Roman" w:hAnsi="Times New Roman" w:eastAsia="宋体" w:cs="Times New Roman"/>
      <w:sz w:val="18"/>
      <w:szCs w:val="18"/>
    </w:rPr>
  </w:style>
  <w:style w:type="paragraph" w:styleId="951" w:customStyle="1">
    <w:name w:val="页脚1"/>
    <w:basedOn w:val="686"/>
    <w:link w:val="952"/>
    <w:uiPriority w:val="99"/>
    <w:qFormat/>
    <w:pPr>
      <w:jc w:val="left"/>
      <w:tabs>
        <w:tab w:val="center" w:pos="4153" w:leader="none"/>
        <w:tab w:val="right" w:pos="8306" w:leader="none"/>
      </w:tabs>
    </w:pPr>
    <w:rPr>
      <w:sz w:val="18"/>
      <w:szCs w:val="18"/>
    </w:rPr>
  </w:style>
  <w:style w:type="character" w:styleId="952" w:customStyle="1">
    <w:name w:val="页脚 Char"/>
    <w:basedOn w:val="720"/>
    <w:link w:val="951"/>
    <w:uiPriority w:val="99"/>
    <w:qFormat/>
    <w:rPr>
      <w:rFonts w:ascii="Times New Roman" w:hAnsi="Times New Roman" w:eastAsia="宋体" w:cs="Times New Roman"/>
      <w:sz w:val="18"/>
      <w:szCs w:val="18"/>
    </w:rPr>
  </w:style>
  <w:style w:type="paragraph" w:styleId="953" w:customStyle="1">
    <w:name w:val="页眉1"/>
    <w:basedOn w:val="686"/>
    <w:uiPriority w:val="99"/>
    <w:qFormat/>
    <w:pPr>
      <w:jc w:val="center"/>
      <w:tabs>
        <w:tab w:val="center" w:pos="4153" w:leader="none"/>
        <w:tab w:val="right" w:pos="8306" w:leader="none"/>
      </w:tabs>
      <w:pBdr>
        <w:bottom w:val="single" w:color="000000" w:sz="6" w:space="1"/>
      </w:pBdr>
    </w:pPr>
    <w:rPr>
      <w:sz w:val="18"/>
      <w:szCs w:val="18"/>
    </w:rPr>
  </w:style>
  <w:style w:type="paragraph" w:styleId="954" w:customStyle="1">
    <w:name w:val="目录 11111"/>
    <w:basedOn w:val="686"/>
    <w:next w:val="686"/>
    <w:uiPriority w:val="39"/>
    <w:qFormat/>
  </w:style>
  <w:style w:type="paragraph" w:styleId="955" w:customStyle="1">
    <w:name w:val="目录 21"/>
    <w:basedOn w:val="686"/>
    <w:next w:val="686"/>
    <w:uiPriority w:val="0"/>
    <w:unhideWhenUsed/>
    <w:qFormat/>
    <w:pPr>
      <w:ind w:left="420"/>
    </w:pPr>
  </w:style>
  <w:style w:type="paragraph" w:styleId="956" w:customStyle="1">
    <w:name w:val="普通(网站)1"/>
    <w:basedOn w:val="686"/>
    <w:uiPriority w:val="99"/>
    <w:qFormat/>
    <w:pPr>
      <w:jc w:val="left"/>
      <w:spacing w:before="100" w:beforeAutospacing="1" w:after="100" w:afterAutospacing="1"/>
      <w:widowControl/>
    </w:pPr>
    <w:rPr>
      <w:rFonts w:ascii="宋体" w:hAnsi="宋体" w:cs="宋体"/>
      <w:sz w:val="24"/>
    </w:rPr>
  </w:style>
  <w:style w:type="table" w:styleId="957" w:customStyle="1">
    <w:name w:val="网格型1"/>
    <w:basedOn w:val="943"/>
    <w:uiPriority w:val="0"/>
    <w:qFormat/>
    <w:tblPr/>
  </w:style>
  <w:style w:type="character" w:styleId="958" w:customStyle="1">
    <w:name w:val="页码1"/>
    <w:basedOn w:val="720"/>
    <w:link w:val="686"/>
    <w:uiPriority w:val="0"/>
    <w:qFormat/>
  </w:style>
  <w:style w:type="character" w:styleId="959" w:customStyle="1">
    <w:name w:val="已访问的超链接1"/>
    <w:basedOn w:val="720"/>
    <w:link w:val="686"/>
    <w:uiPriority w:val="0"/>
    <w:unhideWhenUsed/>
    <w:qFormat/>
    <w:rPr>
      <w:color w:val="800080"/>
      <w:u w:val="none"/>
    </w:rPr>
  </w:style>
  <w:style w:type="character" w:styleId="960" w:customStyle="1">
    <w:name w:val="超链接11"/>
    <w:basedOn w:val="720"/>
    <w:link w:val="686"/>
    <w:uiPriority w:val="99"/>
    <w:unhideWhenUsed/>
    <w:qFormat/>
    <w:rPr>
      <w:color w:val="0000ff"/>
      <w:u w:val="none"/>
    </w:rPr>
  </w:style>
  <w:style w:type="character" w:styleId="961" w:customStyle="1">
    <w:name w:val="ql-font-timesnewroman"/>
    <w:basedOn w:val="720"/>
    <w:link w:val="686"/>
    <w:uiPriority w:val="0"/>
    <w:qFormat/>
  </w:style>
  <w:style w:type="paragraph" w:styleId="962" w:customStyle="1">
    <w:name w:val="样式 样式 样式 样式 小四 左 首行缩进:  2 字符 + 首行缩进:  2 字符 Char + 右  0 字符1 + 首行缩...3"/>
    <w:basedOn w:val="686"/>
    <w:uiPriority w:val="99"/>
    <w:qFormat/>
    <w:pPr>
      <w:ind w:firstLine="480"/>
      <w:jc w:val="left"/>
      <w:spacing w:line="360" w:lineRule="auto"/>
    </w:pPr>
    <w:rPr>
      <w:sz w:val="24"/>
    </w:rPr>
  </w:style>
  <w:style w:type="paragraph" w:styleId="963" w:customStyle="1">
    <w:name w:val="Heading21"/>
    <w:basedOn w:val="686"/>
    <w:next w:val="686"/>
    <w:uiPriority w:val="0"/>
    <w:qFormat/>
    <w:pPr>
      <w:jc w:val="left"/>
      <w:keepLines/>
      <w:keepNext/>
      <w:spacing w:before="260" w:after="260" w:line="416" w:lineRule="auto"/>
    </w:pPr>
    <w:rPr>
      <w:rFonts w:ascii="Calibri Light" w:hAnsi="Calibri Light"/>
      <w:b/>
      <w:bCs/>
      <w:sz w:val="24"/>
      <w:szCs w:val="32"/>
    </w:rPr>
  </w:style>
  <w:style w:type="paragraph" w:styleId="964" w:customStyle="1">
    <w:name w:val="Table Paragraph"/>
    <w:basedOn w:val="686"/>
    <w:uiPriority w:val="1"/>
    <w:qFormat/>
    <w:pPr>
      <w:jc w:val="left"/>
    </w:pPr>
    <w:rPr>
      <w:rFonts w:ascii="Arial Unicode MS" w:hAnsi="Arial Unicode MS" w:eastAsia="Arial Unicode MS" w:cs="Arial Unicode MS"/>
      <w:sz w:val="22"/>
      <w:szCs w:val="22"/>
      <w:lang w:val="zh-CN" w:bidi="zh-CN"/>
    </w:rPr>
  </w:style>
  <w:style w:type="paragraph" w:styleId="965" w:customStyle="1">
    <w:name w:val="标准"/>
    <w:basedOn w:val="686"/>
    <w:uiPriority w:val="0"/>
    <w:qFormat/>
    <w:pPr>
      <w:ind w:firstLine="200"/>
      <w:spacing w:line="360" w:lineRule="auto"/>
    </w:pPr>
    <w:rPr>
      <w:rFonts w:cs="宋体"/>
      <w:szCs w:val="21"/>
    </w:rPr>
  </w:style>
  <w:style w:type="paragraph" w:styleId="96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67" w:customStyle="1">
    <w:name w:val="p0"/>
    <w:basedOn w:val="686"/>
    <w:uiPriority w:val="0"/>
    <w:qFormat/>
    <w:pPr>
      <w:widowControl/>
    </w:pPr>
    <w:rPr>
      <w:szCs w:val="21"/>
    </w:rPr>
  </w:style>
  <w:style w:type="paragraph" w:styleId="968">
    <w:name w:val="List Paragraph"/>
    <w:basedOn w:val="686"/>
    <w:uiPriority w:val="34"/>
    <w:qFormat/>
    <w:pPr>
      <w:ind w:firstLine="420"/>
    </w:pPr>
  </w:style>
  <w:style w:type="paragraph" w:styleId="96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70" w:customStyle="1">
    <w:name w:val="目录 1111"/>
    <w:basedOn w:val="686"/>
    <w:next w:val="686"/>
    <w:uiPriority w:val="39"/>
    <w:unhideWhenUsed/>
    <w:qFormat/>
    <w:pPr>
      <w:jc w:val="left"/>
      <w:spacing w:after="100" w:line="259" w:lineRule="auto"/>
      <w:widowControl/>
    </w:pPr>
    <w:rPr>
      <w:rFonts w:ascii="Calibri" w:hAnsi="Calibri" w:eastAsia="宋体"/>
      <w:sz w:val="22"/>
      <w:szCs w:val="22"/>
    </w:rPr>
  </w:style>
  <w:style w:type="paragraph" w:styleId="971" w:customStyle="1">
    <w:name w:val="ql-align-justify"/>
    <w:basedOn w:val="686"/>
    <w:uiPriority w:val="0"/>
    <w:qFormat/>
    <w:pPr>
      <w:jc w:val="left"/>
      <w:spacing w:before="100" w:beforeAutospacing="1" w:after="100" w:afterAutospacing="1"/>
      <w:widowControl/>
    </w:pPr>
    <w:rPr>
      <w:rFonts w:ascii="宋体" w:hAnsi="宋体" w:cs="宋体"/>
      <w:sz w:val="24"/>
    </w:rPr>
  </w:style>
  <w:style w:type="paragraph" w:styleId="972" w:customStyle="1">
    <w:name w:val="179"/>
    <w:basedOn w:val="686"/>
    <w:uiPriority w:val="0"/>
    <w:qFormat/>
    <w:pPr>
      <w:ind w:firstLine="420"/>
      <w:jc w:val="left"/>
      <w:widowControl/>
    </w:pPr>
    <w:rPr>
      <w:rFonts w:ascii="宋体" w:hAnsi="宋体"/>
      <w:sz w:val="24"/>
    </w:rPr>
  </w:style>
  <w:style w:type="paragraph" w:styleId="973" w:customStyle="1">
    <w:name w:val="ql-align-center"/>
    <w:basedOn w:val="686"/>
    <w:uiPriority w:val="0"/>
    <w:qFormat/>
    <w:pPr>
      <w:jc w:val="left"/>
      <w:spacing w:before="100" w:beforeAutospacing="1" w:after="100" w:afterAutospacing="1"/>
      <w:widowControl/>
    </w:pPr>
    <w:rPr>
      <w:rFonts w:ascii="宋体" w:hAnsi="宋体" w:cs="宋体"/>
      <w:sz w:val="24"/>
    </w:rPr>
  </w:style>
  <w:style w:type="paragraph" w:styleId="974" w:customStyle="1">
    <w:name w:val="Table Text"/>
    <w:basedOn w:val="686"/>
    <w:uiPriority w:val="0"/>
    <w:semiHidden/>
    <w:qFormat/>
    <w:rPr>
      <w:rFonts w:ascii="宋体" w:hAnsi="宋体" w:eastAsia="宋体" w:cs="宋体"/>
      <w:sz w:val="32"/>
      <w:szCs w:val="32"/>
      <w:lang w:val="en-US" w:eastAsia="en-US" w:bidi="ar-SA"/>
    </w:rPr>
  </w:style>
  <w:style w:type="paragraph" w:styleId="975" w:customStyle="1">
    <w:name w:val="普通(网站)111"/>
    <w:basedOn w:val="686"/>
    <w:uiPriority w:val="99"/>
    <w:qFormat/>
    <w:pPr>
      <w:spacing w:before="100" w:beforeAutospacing="1" w:after="100" w:afterAutospacing="1"/>
    </w:pPr>
    <w:rPr>
      <w:rFonts w:ascii="宋体" w:hAnsi="宋体" w:cs="宋体"/>
      <w:sz w:val="24"/>
      <w:szCs w:val="24"/>
    </w:rPr>
  </w:style>
  <w:style w:type="paragraph" w:styleId="976" w:customStyle="1">
    <w:name w:val="正文文本缩进111"/>
    <w:basedOn w:val="686"/>
    <w:uiPriority w:val="99"/>
    <w:qFormat/>
    <w:pPr>
      <w:ind w:left="420"/>
      <w:spacing w:after="120"/>
    </w:pPr>
  </w:style>
  <w:style w:type="paragraph" w:styleId="97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78" w:customStyle="1">
    <w:name w:val="列出段落1"/>
    <w:basedOn w:val="686"/>
    <w:next w:val="765"/>
    <w:uiPriority w:val="34"/>
    <w:qFormat/>
    <w:pPr>
      <w:ind w:firstLine="420"/>
    </w:pPr>
    <w:rPr>
      <w:rFonts w:ascii="Calibri" w:hAnsi="Calibri"/>
    </w:rPr>
  </w:style>
  <w:style w:type="paragraph" w:styleId="979" w:customStyle="1">
    <w:name w:val="纯文本11"/>
    <w:basedOn w:val="686"/>
    <w:uiPriority w:val="0"/>
    <w:qFormat/>
    <w:rPr>
      <w:rFonts w:ascii="宋体" w:hAnsi="Courier New"/>
      <w:szCs w:val="20"/>
    </w:rPr>
  </w:style>
  <w:style w:type="paragraph" w:styleId="980" w:customStyle="1">
    <w:name w:val="目录 112"/>
    <w:basedOn w:val="686"/>
    <w:next w:val="686"/>
    <w:uiPriority w:val="39"/>
    <w:qFormat/>
  </w:style>
  <w:style w:type="character" w:styleId="981" w:customStyle="1">
    <w:name w:val="font31"/>
    <w:basedOn w:val="733"/>
    <w:link w:val="686"/>
    <w:uiPriority w:val="0"/>
    <w:qFormat/>
    <w:rPr>
      <w:rFonts w:ascii="Times New Roman" w:hAnsi="Times New Roman" w:cs="Times New Roman"/>
      <w:color w:val="000000"/>
      <w:sz w:val="24"/>
      <w:szCs w:val="24"/>
      <w:u w:val="none"/>
    </w:rPr>
  </w:style>
  <w:style w:type="character" w:styleId="982" w:customStyle="1">
    <w:name w:val="font21"/>
    <w:basedOn w:val="733"/>
    <w:link w:val="686"/>
    <w:uiPriority w:val="0"/>
    <w:qFormat/>
    <w:rPr>
      <w:rFonts w:hint="eastAsia" w:ascii="宋体" w:hAnsi="宋体" w:eastAsia="宋体" w:cs="宋体"/>
      <w:color w:val="000000"/>
      <w:sz w:val="24"/>
      <w:szCs w:val="24"/>
      <w:u w:val="none"/>
    </w:rPr>
  </w:style>
  <w:style w:type="character" w:styleId="983" w:customStyle="1">
    <w:name w:val="font61"/>
    <w:basedOn w:val="733"/>
    <w:link w:val="686"/>
    <w:uiPriority w:val="0"/>
    <w:qFormat/>
    <w:rPr>
      <w:rFonts w:ascii="Arial" w:hAnsi="Arial" w:cs="Arial"/>
      <w:color w:val="000000"/>
      <w:sz w:val="24"/>
      <w:szCs w:val="24"/>
      <w:u w:val="none"/>
    </w:rPr>
  </w:style>
  <w:style w:type="character" w:styleId="984" w:customStyle="1">
    <w:name w:val="font41"/>
    <w:basedOn w:val="733"/>
    <w:link w:val="686"/>
    <w:uiPriority w:val="0"/>
    <w:qFormat/>
    <w:rPr>
      <w:rFonts w:ascii="Times New Roman" w:hAnsi="Times New Roman" w:cs="Times New Roman"/>
      <w:color w:val="000000"/>
      <w:sz w:val="24"/>
      <w:szCs w:val="24"/>
      <w:u w:val="none"/>
    </w:rPr>
  </w:style>
  <w:style w:type="numbering" w:styleId="314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李海沫</cp:lastModifiedBy>
  <cp:revision>3</cp:revision>
  <dcterms:created xsi:type="dcterms:W3CDTF">2022-01-18T09:01:00Z</dcterms:created>
  <dcterms:modified xsi:type="dcterms:W3CDTF">2026-05-25T08:32:27Z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eyJoZGlkIjoiNmIzMTk1NzQ2YzNkNWM4Y2Q3MjI4NzI3N2JjN2E2MjgiLCJ1c2VySWQiOiIzMzAwMjEyNzAifQ==</vt:lpwstr>
  </property>
  <property fmtid="{D5CDD505-2E9C-101B-9397-08002B2CF9AE}" pid="3" name="KSOProductBuildVer">
    <vt:lpwstr>2052-12.1.0.26890</vt:lpwstr>
  </property>
  <property fmtid="{D5CDD505-2E9C-101B-9397-08002B2CF9AE}" pid="4" name="ICV">
    <vt:lpwstr>498206B7C559459083AFA89A14FF241A_13</vt:lpwstr>
  </property>
</Properties>
</file>