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JSZC-320206-JZCG-G2026-0022</w:t>
      </w:r>
      <w:r/>
    </w:p>
    <w:p>
      <w:pPr>
        <w:ind w:left="3293" w:hanging="21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2026-2028年度阳山镇桃盛苑、新渎苑及17个老旧小区物业管理服务采购项目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五月</w:t>
      </w:r>
      <w:r/>
    </w:p>
    <w:p>
      <w:pPr>
        <w:ind w:firstLine="960"/>
        <w:rPr>
          <w:rStyle w:val="1037"/>
          <w:rFonts w:eastAsia="黑体"/>
          <w:bCs/>
          <w:color w:val="auto"/>
          <w:sz w:val="48"/>
          <w:highlight w:val="none"/>
        </w:rPr>
      </w:pPr>
      <w:r>
        <w:rPr>
          <w:rFonts w:eastAsia="黑体"/>
          <w:bCs/>
          <w:color w:val="auto"/>
          <w:sz w:val="48"/>
          <w:highlight w:val="none"/>
        </w:rPr>
      </w:r>
      <w:r/>
    </w:p>
    <w:p>
      <w:pPr>
        <w:ind w:firstLine="960"/>
        <w:rPr>
          <w:rStyle w:val="1037"/>
          <w:rFonts w:eastAsia="黑体"/>
          <w:bCs/>
          <w:color w:val="auto"/>
          <w:sz w:val="48"/>
          <w:highlight w:val="none"/>
        </w:rPr>
      </w:pPr>
      <w:r>
        <w:rPr>
          <w:rFonts w:eastAsia="黑体"/>
          <w:bCs/>
          <w:color w:val="auto"/>
          <w:sz w:val="48"/>
          <w:highlight w:val="none"/>
        </w:rPr>
      </w:r>
      <w:r/>
    </w:p>
    <w:p>
      <w:pPr>
        <w:ind w:firstLine="960"/>
        <w:rPr>
          <w:rStyle w:val="1037"/>
          <w:rFonts w:eastAsia="黑体"/>
          <w:bCs/>
          <w:color w:val="auto"/>
          <w:sz w:val="48"/>
          <w:highlight w:val="none"/>
        </w:rPr>
        <w:sectPr>
          <w:headerReference w:type="default" r:id="rId9"/>
          <w:footerReference w:type="default" r:id="rId12"/>
          <w:footerReference w:type="even" r:id="rId13"/>
          <w:footnotePr/>
          <w:endnotePr/>
          <w:type w:val="nextPage"/>
          <w:pgSz w:w="11906" w:h="16838" w:orient="portrait"/>
          <w:pgMar w:top="567" w:right="851" w:bottom="567" w:left="1134" w:header="624" w:footer="907" w:gutter="0"/>
          <w:cols w:num="1" w:sep="0" w:space="720" w:equalWidth="1"/>
          <w:docGrid w:linePitch="360"/>
          <w:titlePg/>
        </w:sectPr>
      </w:pPr>
      <w:r>
        <w:rPr>
          <w:rFonts w:eastAsia="黑体"/>
          <w:bCs/>
          <w:color w:val="auto"/>
          <w:sz w:val="48"/>
          <w:highlight w:val="none"/>
        </w:rPr>
      </w:r>
      <w:r/>
    </w:p>
    <w:p>
      <w:pPr>
        <w:ind w:firstLine="960"/>
        <w:jc w:val="center"/>
        <w:pageBreakBefore/>
        <w:rPr>
          <w:rStyle w:val="1037"/>
          <w:rFonts w:eastAsia="黑体"/>
          <w:bCs/>
          <w:color w:val="auto"/>
          <w:sz w:val="48"/>
          <w:highlight w:val="none"/>
        </w:rPr>
      </w:pPr>
      <w:r>
        <w:rPr>
          <w:rStyle w:val="1037"/>
          <w:rFonts w:hint="eastAsia" w:eastAsia="黑体"/>
          <w:bCs/>
          <w:color w:val="auto"/>
          <w:sz w:val="48"/>
          <w:highlight w:val="none"/>
        </w:rPr>
        <w:t xml:space="preserve">目</w:t>
      </w:r>
      <w:r>
        <w:rPr>
          <w:rStyle w:val="1037"/>
          <w:rFonts w:eastAsia="黑体"/>
          <w:bCs/>
          <w:color w:val="auto"/>
          <w:sz w:val="48"/>
          <w:highlight w:val="none"/>
        </w:rPr>
        <w:t xml:space="preserve">     </w:t>
      </w:r>
      <w:r>
        <w:rPr>
          <w:rStyle w:val="1037"/>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1018"/>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1039"/>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rPr>
        <w:t xml:space="preserve">3</w:t>
      </w:r>
      <w:r>
        <w:rPr>
          <w:rFonts w:hint="eastAsia" w:ascii="宋体" w:hAnsi="宋体"/>
          <w:color w:val="auto"/>
          <w:sz w:val="32"/>
          <w:szCs w:val="32"/>
          <w:highlight w:val="none"/>
        </w:rPr>
        <w:fldChar w:fldCharType="end"/>
      </w:r>
      <w:r/>
    </w:p>
    <w:p>
      <w:pPr>
        <w:pStyle w:val="1018"/>
        <w:ind w:firstLine="48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1039"/>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rPr>
        <w:t xml:space="preserve">6</w:t>
      </w:r>
      <w:r>
        <w:rPr>
          <w:rFonts w:hint="eastAsia" w:ascii="宋体" w:hAnsi="宋体"/>
          <w:color w:val="auto"/>
          <w:sz w:val="32"/>
          <w:szCs w:val="32"/>
          <w:highlight w:val="none"/>
        </w:rPr>
        <w:fldChar w:fldCharType="end"/>
      </w:r>
      <w:r/>
    </w:p>
    <w:p>
      <w:pPr>
        <w:pStyle w:val="1018"/>
        <w:ind w:firstLine="480"/>
        <w:spacing w:line="720" w:lineRule="auto"/>
        <w:tabs>
          <w:tab w:val="right" w:pos="9911" w:leader="dot"/>
        </w:tabs>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1039"/>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1039"/>
          <w:rFonts w:hint="eastAsia" w:ascii="宋体" w:hAnsi="宋体"/>
          <w:color w:val="auto"/>
          <w:sz w:val="32"/>
          <w:szCs w:val="32"/>
          <w:highlight w:val="none"/>
        </w:rPr>
        <w:t xml:space="preserve">1</w:t>
      </w:r>
      <w:r>
        <w:rPr>
          <w:rStyle w:val="1039"/>
          <w:rFonts w:hint="eastAsia" w:ascii="宋体" w:hAnsi="宋体"/>
          <w:color w:val="auto"/>
          <w:sz w:val="32"/>
          <w:szCs w:val="32"/>
          <w:highlight w:val="none"/>
          <w:lang w:val="en-US" w:eastAsia="zh-CN"/>
        </w:rPr>
        <w:t xml:space="preserve">9</w:t>
      </w:r>
      <w:r/>
    </w:p>
    <w:p>
      <w:pPr>
        <w:pStyle w:val="1018"/>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1039"/>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1039"/>
          <w:rFonts w:hint="eastAsia" w:ascii="宋体" w:hAnsi="宋体"/>
          <w:color w:val="auto"/>
          <w:sz w:val="32"/>
          <w:szCs w:val="32"/>
          <w:highlight w:val="none"/>
          <w:lang w:val="en-US" w:eastAsia="zh-CN"/>
        </w:rPr>
        <w:t xml:space="preserve">44</w:t>
      </w:r>
      <w:r/>
    </w:p>
    <w:p>
      <w:pPr>
        <w:pStyle w:val="1018"/>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1039"/>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1039"/>
          <w:rFonts w:hint="eastAsia" w:ascii="宋体" w:hAnsi="宋体"/>
          <w:color w:val="auto"/>
          <w:sz w:val="32"/>
          <w:szCs w:val="32"/>
          <w:highlight w:val="none"/>
          <w:lang w:val="en-US" w:eastAsia="zh-CN"/>
        </w:rPr>
        <w:t xml:space="preserve">49</w:t>
      </w:r>
      <w:r/>
    </w:p>
    <w:p>
      <w:pPr>
        <w:pStyle w:val="1018"/>
        <w:ind w:firstLine="480"/>
        <w:spacing w:line="720" w:lineRule="auto"/>
        <w:tabs>
          <w:tab w:val="right" w:pos="9911" w:leader="dot"/>
        </w:tabs>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1039"/>
          <w:rFonts w:hint="eastAsia" w:ascii="宋体" w:hAnsi="宋体"/>
          <w:color w:val="auto"/>
          <w:sz w:val="32"/>
          <w:szCs w:val="32"/>
          <w:highlight w:val="none"/>
        </w:rPr>
        <w:t xml:space="preserve">六</w:t>
      </w:r>
      <w:r>
        <w:rPr>
          <w:rStyle w:val="1039"/>
          <w:rFonts w:ascii="宋体" w:hAnsi="宋体"/>
          <w:color w:val="auto"/>
          <w:sz w:val="32"/>
          <w:szCs w:val="32"/>
          <w:highlight w:val="none"/>
        </w:rPr>
        <w:t xml:space="preserve">.</w:t>
      </w:r>
      <w:r>
        <w:rPr>
          <w:rStyle w:val="1039"/>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1039"/>
          <w:rFonts w:hint="eastAsia" w:ascii="宋体" w:hAnsi="宋体" w:eastAsia="黑体"/>
          <w:color w:val="auto"/>
          <w:sz w:val="32"/>
          <w:szCs w:val="32"/>
          <w:highlight w:val="none"/>
          <w:lang w:val="en-US" w:eastAsia="zh-CN"/>
        </w:rPr>
        <w:t xml:space="preserve">57</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986"/>
        <w:ind w:firstLine="640"/>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numPr>
          <w:ilvl w:val="0"/>
          <w:numId w:val="0"/>
        </w:num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eastAsia="zh-CN"/>
        </w:rPr>
        <w:t xml:space="preserve">无锡市惠山区阳山镇人民政府</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2026-2028年度阳山镇桃盛苑、新渎苑及17个老旧小区物业管理服务采购项目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2026-2028年度阳山镇桃盛苑、新渎苑及17个老旧小区物业管理服务采购项目</w:t>
      </w:r>
      <w:r/>
    </w:p>
    <w:p>
      <w:pPr>
        <w:numPr>
          <w:ilvl w:val="0"/>
          <w:numId w:val="0"/>
        </w:numPr>
        <w:ind w:firstLine="480"/>
        <w:spacing w:line="500" w:lineRule="exact"/>
        <w:tabs>
          <w:tab w:val="left" w:pos="900"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JSZC-320206-JZCG-G2026-0022</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3.项目预算：</w:t>
      </w:r>
      <w:r>
        <w:rPr>
          <w:rFonts w:hint="default" w:ascii="宋体" w:hAnsi="宋体" w:eastAsia="宋体"/>
          <w:color w:val="auto"/>
          <w:sz w:val="24"/>
          <w:highlight w:val="none"/>
        </w:rPr>
        <w:t xml:space="preserve">1935.713052 万元</w:t>
      </w:r>
      <w:r/>
    </w:p>
    <w:p>
      <w:p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rPr>
          <w:rFonts w:hint="default" w:ascii="宋体" w:hAnsi="宋体" w:eastAsia="宋体"/>
          <w:bCs/>
          <w:color w:val="auto"/>
          <w:sz w:val="24"/>
          <w:szCs w:val="24"/>
          <w:highlight w:val="none"/>
          <w:lang w:val="en-US" w:eastAsia="zh-CN"/>
        </w:rPr>
        <w:t xml:space="preserve">最高限价：</w:t>
      </w:r>
      <w:r>
        <w:rPr>
          <w:rFonts w:hint="default" w:ascii="宋体" w:hAnsi="宋体" w:eastAsia="宋体"/>
          <w:color w:val="auto"/>
          <w:sz w:val="24"/>
          <w:highlight w:val="none"/>
        </w:rPr>
        <w:t xml:space="preserve">1935.713052 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三年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无锡市惠山区阳山镇人民政府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163"/>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无锡市惠山区阳山镇人民政府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址：无锡市惠山区人民西路10号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人：蔡婉琳</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2" w:name="_Toc28359086"/>
      <w:r/>
      <w:bookmarkStart w:id="3" w:name="_Toc28359009"/>
      <w:r>
        <w:rPr>
          <w:rFonts w:hint="eastAsia" w:ascii="宋体" w:hAnsi="宋体" w:cs="宋体"/>
          <w:color w:val="auto"/>
          <w:sz w:val="24"/>
          <w:szCs w:val="24"/>
          <w:highlight w:val="none"/>
        </w:rPr>
        <w:t xml:space="preserve">13812532200</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人：马胜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联系方式：0510-83596131</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86"/>
        <w:ind w:firstLine="640"/>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1042"/>
        <w:ind w:left="0" w:firstLine="643"/>
        <w:keepLines w:val="0"/>
        <w:keepNext w:val="0"/>
        <w:spacing w:before="0" w:after="0"/>
        <w:rPr>
          <w:color w:val="auto"/>
          <w:szCs w:val="32"/>
          <w:highlight w:val="none"/>
        </w:rPr>
      </w:pPr>
      <w:r/>
      <w:bookmarkStart w:id="5" w:name="_Toc20823275"/>
      <w:r/>
      <w:bookmarkStart w:id="6" w:name="_Toc513029203"/>
      <w:r/>
      <w:bookmarkStart w:id="7" w:name="_Toc16938519"/>
      <w:r/>
      <w:bookmarkStart w:id="8" w:name="_Toc120614214"/>
      <w:r>
        <w:rPr>
          <w:rFonts w:hint="eastAsia"/>
          <w:color w:val="auto"/>
          <w:szCs w:val="32"/>
          <w:highlight w:val="none"/>
        </w:rPr>
        <w:t xml:space="preserve">一、总则</w:t>
      </w:r>
      <w:bookmarkEnd w:id="5"/>
      <w:r/>
      <w:bookmarkEnd w:id="6"/>
      <w:r/>
      <w:bookmarkEnd w:id="7"/>
      <w:r/>
      <w:bookmarkEnd w:id="8"/>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513029204"/>
      <w:r/>
      <w:bookmarkStart w:id="11" w:name="_Toc16938520"/>
      <w:r/>
      <w:bookmarkStart w:id="12" w:name="_Toc20823276"/>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16938521"/>
      <w:r/>
      <w:bookmarkStart w:id="14" w:name="_Toc513029205"/>
      <w:r/>
      <w:bookmarkStart w:id="15" w:name="_Toc20823277"/>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513029206"/>
      <w:r/>
      <w:bookmarkStart w:id="17" w:name="_Toc16938522"/>
      <w:r/>
      <w:bookmarkStart w:id="18" w:name="_Toc20823278"/>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513029207"/>
      <w:r/>
      <w:bookmarkStart w:id="20" w:name="_Toc462564067"/>
      <w:r/>
      <w:bookmarkStart w:id="21" w:name="_Toc16938523"/>
      <w:r/>
      <w:bookmarkStart w:id="22" w:name="_Toc20823279"/>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1042"/>
        <w:jc w:val="center"/>
        <w:keepLines w:val="0"/>
        <w:keepNext w:val="0"/>
        <w:spacing w:before="0" w:after="0" w:line="500" w:lineRule="exact"/>
        <w:rPr>
          <w:rFonts w:hint="eastAsia"/>
          <w:i w:val="0"/>
          <w:iCs w:val="0"/>
          <w:color w:val="auto"/>
          <w:sz w:val="32"/>
          <w:szCs w:val="32"/>
          <w:highlight w:val="none"/>
        </w:rPr>
      </w:pPr>
      <w:r/>
      <w:bookmarkStart w:id="23" w:name="_Toc120614215"/>
      <w:r/>
      <w:bookmarkStart w:id="24" w:name="_Toc513029209"/>
      <w:r/>
      <w:bookmarkStart w:id="25" w:name="_Toc20823281"/>
      <w:r/>
      <w:bookmarkStart w:id="26" w:name="_Toc16938525"/>
      <w:r>
        <w:rPr>
          <w:rFonts w:hint="eastAsia"/>
          <w:i w:val="0"/>
          <w:iCs w:val="0"/>
          <w:color w:val="auto"/>
          <w:sz w:val="32"/>
          <w:szCs w:val="32"/>
          <w:highlight w:val="none"/>
        </w:rPr>
        <w:t xml:space="preserve">二、招标文件</w:t>
      </w:r>
      <w:bookmarkEnd w:id="23"/>
      <w:r/>
      <w:bookmarkEnd w:id="24"/>
      <w:r/>
      <w:bookmarkEnd w:id="25"/>
      <w:r/>
      <w:bookmarkEnd w:id="26"/>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513029210"/>
      <w:r/>
      <w:bookmarkStart w:id="28" w:name="_Toc16938526"/>
      <w:r/>
      <w:bookmarkStart w:id="29" w:name="_Toc20823282"/>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513029211"/>
      <w:r/>
      <w:bookmarkStart w:id="31" w:name="_Toc16938527"/>
      <w:r/>
      <w:bookmarkStart w:id="32" w:name="_Toc462564070"/>
      <w:r/>
      <w:bookmarkStart w:id="33" w:name="_Toc20823283"/>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将</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513029212"/>
      <w:r/>
      <w:bookmarkStart w:id="35" w:name="_Toc20823284"/>
      <w:r/>
      <w:bookmarkStart w:id="36" w:name="_Toc16938528"/>
      <w:r/>
      <w:bookmarkStart w:id="37" w:name="_Toc462564071"/>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42"/>
        <w:jc w:val="center"/>
        <w:keepLines w:val="0"/>
        <w:keepNext w:val="0"/>
        <w:spacing w:before="0" w:after="0" w:line="500" w:lineRule="exact"/>
        <w:rPr>
          <w:rFonts w:hint="eastAsia"/>
          <w:i w:val="0"/>
          <w:iCs w:val="0"/>
          <w:color w:val="auto"/>
          <w:sz w:val="32"/>
          <w:szCs w:val="32"/>
          <w:highlight w:val="none"/>
        </w:rPr>
      </w:pPr>
      <w:r/>
      <w:bookmarkStart w:id="38" w:name="_Toc20823285"/>
      <w:r/>
      <w:bookmarkStart w:id="39" w:name="_Toc462564072"/>
      <w:r/>
      <w:bookmarkStart w:id="40" w:name="_Toc120614216"/>
      <w:r/>
      <w:bookmarkStart w:id="41" w:name="_Toc16938529"/>
      <w:r/>
      <w:bookmarkStart w:id="42" w:name="_Toc513029213"/>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3" w:name="_Toc20823286"/>
      <w:r/>
      <w:bookmarkStart w:id="44" w:name="_Toc16938530"/>
      <w:r/>
      <w:bookmarkStart w:id="45" w:name="_Toc513029214"/>
      <w:r/>
      <w:bookmarkStart w:id="46" w:name="_Toc462564073"/>
      <w:r>
        <w:rPr>
          <w:rFonts w:hint="eastAsia" w:ascii="宋体" w:hAnsi="宋体" w:eastAsia="宋体"/>
          <w:bCs w:val="0"/>
          <w:i w:val="0"/>
          <w:iCs w:val="0"/>
          <w:color w:val="auto"/>
          <w:sz w:val="24"/>
          <w:szCs w:val="24"/>
          <w:highlight w:val="none"/>
        </w:rPr>
        <w:t xml:space="preserve">9.投标文件的语言及度量衡单位</w:t>
      </w:r>
      <w:bookmarkEnd w:id="43"/>
      <w:r/>
      <w:bookmarkEnd w:id="44"/>
      <w:r/>
      <w:bookmarkEnd w:id="45"/>
      <w:r/>
      <w:bookmarkEnd w:id="46"/>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9.1</w:t>
      </w:r>
      <w:r>
        <w:rPr>
          <w:rFonts w:hint="eastAsia" w:ascii="宋体" w:hAnsi="宋体"/>
          <w:i w:val="0"/>
          <w:iCs w:val="0"/>
          <w:color w:val="auto"/>
          <w:sz w:val="24"/>
          <w:szCs w:val="24"/>
          <w:highlight w:val="none"/>
        </w:rPr>
        <w:t xml:space="preserve">投标人提交的投标文件以及投标人与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就有关投标的所有来往通知、函件和文件均应使用</w:t>
      </w:r>
      <w:r>
        <w:rPr>
          <w:rFonts w:hint="eastAsia" w:ascii="宋体" w:hAnsi="宋体"/>
          <w:bCs/>
          <w:i w:val="0"/>
          <w:iCs w:val="0"/>
          <w:color w:val="auto"/>
          <w:sz w:val="24"/>
          <w:szCs w:val="24"/>
          <w:highlight w:val="none"/>
        </w:rPr>
        <w:t xml:space="preserve">简体中文（规格、型号辅助符号例外）</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9.2</w:t>
      </w:r>
      <w:r>
        <w:rPr>
          <w:rFonts w:hint="eastAsia" w:ascii="宋体" w:hAnsi="宋体"/>
          <w:i w:val="0"/>
          <w:iCs w:val="0"/>
          <w:color w:val="auto"/>
          <w:sz w:val="24"/>
          <w:szCs w:val="24"/>
          <w:highlight w:val="none"/>
        </w:rPr>
        <w:t xml:space="preserve">除技术性能另有规定外，投标文件所使用的度量衡单位，均须采用国家法定计量单位。</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ind w:firstLine="48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9.8在评分标准中除了投标报价外，还须包含明标（商务部分）和暗标（技术部分）两大部分，其暗标编制要求如下：</w:t>
      </w:r>
      <w:r/>
    </w:p>
    <w:p>
      <w:pPr>
        <w:ind w:firstLine="48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（1）技术部分不得更改，不得在其中涂改、标注或做任何可以辨认投标人及所属人员身份的名称、印章、商标等标记；</w:t>
      </w:r>
      <w:r/>
    </w:p>
    <w:p>
      <w:pPr>
        <w:ind w:firstLine="48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（2）技术部分应当版面整洁、字迹清楚、不许批注或进行底纹、阴影、水印等特殊设置，不得采用任何不符合常规、有别于其他投标人的特殊做法；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（3）不得有其他体现投标人身份的内容。</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10.2投标人所</w:t>
      </w:r>
      <w:r>
        <w:rPr>
          <w:rFonts w:hint="eastAsia" w:ascii="宋体" w:hAnsi="宋体"/>
          <w:i w:val="0"/>
          <w:iCs w:val="0"/>
          <w:color w:val="auto"/>
          <w:sz w:val="24"/>
          <w:szCs w:val="24"/>
          <w:highlight w:val="none"/>
          <w:lang w:eastAsia="zh-CN"/>
        </w:rPr>
        <w:t xml:space="preserve">需</w:t>
      </w:r>
      <w:r>
        <w:rPr>
          <w:rFonts w:hint="eastAsia" w:ascii="宋体" w:hAnsi="宋体"/>
          <w:i w:val="0"/>
          <w:iCs w:val="0"/>
          <w:color w:val="auto"/>
          <w:sz w:val="24"/>
          <w:szCs w:val="24"/>
          <w:highlight w:val="none"/>
        </w:rPr>
        <w:t xml:space="preserve">提供的相关证明文件和要求以及投标文件的部分格式要求，详见第六章《投标文件内容与格式》。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10.3如标书制作工具中格式和内容与招标文件不一致的，请以招标文件为准。</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7" w:name="_Hlt26670360"/>
      <w:r/>
      <w:bookmarkEnd w:id="47"/>
      <w:r/>
      <w:bookmarkStart w:id="48" w:name="_Hlt26668975"/>
      <w:r/>
      <w:bookmarkEnd w:id="48"/>
      <w:r/>
      <w:bookmarkStart w:id="49" w:name="_Hlt26954838"/>
      <w:r/>
      <w:bookmarkEnd w:id="49"/>
      <w:r/>
      <w:bookmarkStart w:id="50" w:name="_Toc14577357"/>
      <w:r/>
      <w:bookmarkStart w:id="51" w:name="_Toc49090509"/>
      <w:r/>
      <w:bookmarkStart w:id="52" w:name="_Toc513029219"/>
      <w:r/>
      <w:bookmarkStart w:id="53" w:name="_Toc49090507"/>
      <w:r/>
      <w:bookmarkStart w:id="54" w:name="_Toc14577354"/>
      <w:r/>
      <w:bookmarkStart w:id="55" w:name="_Toc513029216"/>
      <w:r>
        <w:rPr>
          <w:rFonts w:hint="eastAsia" w:ascii="宋体" w:hAnsi="宋体" w:eastAsia="宋体"/>
          <w:bCs w:val="0"/>
          <w:i w:val="0"/>
          <w:iCs w:val="0"/>
          <w:color w:val="auto"/>
          <w:sz w:val="24"/>
          <w:szCs w:val="24"/>
          <w:highlight w:val="none"/>
        </w:rPr>
        <w:t xml:space="preserve">11.证明投标人及投标标的符合招标文件规定的文件</w:t>
      </w:r>
      <w:bookmarkEnd w:id="50"/>
      <w:r/>
      <w:bookmarkEnd w:id="51"/>
      <w:r/>
      <w:bookmarkEnd w:id="52"/>
      <w:r/>
      <w:bookmarkEnd w:id="53"/>
      <w:bookmarkEnd w:id="54"/>
      <w:bookmarkEnd w:id="55"/>
      <w:r/>
    </w:p>
    <w:p>
      <w:pPr>
        <w:ind w:firstLine="480"/>
        <w:spacing w:line="500" w:lineRule="exact"/>
        <w:rPr>
          <w:rFonts w:hint="eastAsia" w:ascii="宋体" w:hAnsi="宋体"/>
          <w:bCs/>
          <w:i w:val="0"/>
          <w:iCs w:val="0"/>
          <w:color w:val="auto"/>
          <w:sz w:val="24"/>
          <w:szCs w:val="24"/>
          <w:highlight w:val="none"/>
        </w:rPr>
      </w:pPr>
      <w:r/>
      <w:bookmarkStart w:id="56" w:name="_Toc49090508"/>
      <w:r/>
      <w:bookmarkStart w:id="57" w:name="_Toc14577355"/>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8" w:name="_Toc49090510"/>
      <w:r/>
      <w:bookmarkStart w:id="59" w:name="_Toc14577359"/>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58"/>
      <w:bookmarkEnd w:id="59"/>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56"/>
      <w:r/>
      <w:bookmarkEnd w:id="57"/>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0" w:name="_Hlt26954840"/>
      <w:r/>
      <w:bookmarkEnd w:id="60"/>
      <w:r>
        <w:rPr>
          <w:rFonts w:hint="eastAsia" w:ascii="宋体" w:hAnsi="宋体"/>
          <w:i w:val="0"/>
          <w:iCs w:val="0"/>
          <w:color w:val="auto"/>
          <w:sz w:val="24"/>
          <w:szCs w:val="24"/>
          <w:highlight w:val="none"/>
        </w:rPr>
        <w:t xml:space="preserve">标人应按照招标文件规定格式填报</w:t>
      </w:r>
      <w:bookmarkStart w:id="61" w:name="_Hlt26670399"/>
      <w:r/>
      <w:bookmarkEnd w:id="61"/>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Hlt26954848"/>
      <w:r/>
      <w:bookmarkEnd w:id="62"/>
      <w:r/>
      <w:bookmarkStart w:id="63" w:name="_Hlt26954731"/>
      <w:r/>
      <w:bookmarkEnd w:id="63"/>
      <w:r/>
      <w:bookmarkStart w:id="64" w:name="_Hlt26670425"/>
      <w:r/>
      <w:bookmarkEnd w:id="64"/>
      <w:r/>
      <w:bookmarkStart w:id="65" w:name="_Hlt26954844"/>
      <w:r/>
      <w:bookmarkEnd w:id="65"/>
      <w:r/>
      <w:bookmarkStart w:id="66" w:name="_Hlt26954846"/>
      <w:r/>
      <w:bookmarkEnd w:id="66"/>
      <w:r/>
      <w:bookmarkStart w:id="67" w:name="_Hlt26670482"/>
      <w:r/>
      <w:bookmarkEnd w:id="67"/>
      <w:r/>
      <w:bookmarkStart w:id="68" w:name="_Hlt26670486"/>
      <w:r/>
      <w:bookmarkEnd w:id="68"/>
      <w:r/>
      <w:bookmarkStart w:id="69" w:name="_Hlt26954842"/>
      <w:r/>
      <w:bookmarkEnd w:id="69"/>
      <w:r/>
      <w:bookmarkStart w:id="70" w:name="_Hlt26668983"/>
      <w:r/>
      <w:bookmarkEnd w:id="70"/>
      <w:r/>
      <w:bookmarkStart w:id="71" w:name="_Hlt26670403"/>
      <w:r/>
      <w:bookmarkEnd w:id="71"/>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2" w:name="_Hlt26954850"/>
      <w:r/>
      <w:bookmarkEnd w:id="72"/>
      <w:r/>
      <w:bookmarkStart w:id="73" w:name="_Hlt26670489"/>
      <w:r/>
      <w:bookmarkEnd w:id="73"/>
      <w:r/>
      <w:bookmarkStart w:id="74" w:name="_Hlt26954734"/>
      <w:r/>
      <w:bookmarkEnd w:id="74"/>
      <w:r/>
      <w:bookmarkStart w:id="75" w:name="_Toc14577360"/>
      <w:r/>
      <w:bookmarkStart w:id="76" w:name="_Toc49090511"/>
      <w:r>
        <w:rPr>
          <w:rFonts w:hint="eastAsia" w:ascii="宋体" w:hAnsi="宋体" w:eastAsia="宋体"/>
          <w:bCs w:val="0"/>
          <w:i w:val="0"/>
          <w:iCs w:val="0"/>
          <w:color w:val="auto"/>
          <w:sz w:val="24"/>
          <w:szCs w:val="24"/>
          <w:highlight w:val="none"/>
        </w:rPr>
        <w:t xml:space="preserve">15.投标有效期</w:t>
      </w:r>
      <w:bookmarkEnd w:id="75"/>
      <w:r/>
      <w:bookmarkEnd w:id="76"/>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1042"/>
        <w:jc w:val="center"/>
        <w:keepLines w:val="0"/>
        <w:keepNext w:val="0"/>
        <w:spacing w:before="0" w:after="0" w:line="500" w:lineRule="exact"/>
        <w:rPr>
          <w:rFonts w:hint="eastAsia"/>
          <w:i w:val="0"/>
          <w:iCs w:val="0"/>
          <w:color w:val="auto"/>
          <w:sz w:val="32"/>
          <w:szCs w:val="32"/>
          <w:highlight w:val="none"/>
        </w:rPr>
      </w:pPr>
      <w:r/>
      <w:bookmarkStart w:id="77" w:name="_Hlt26954852"/>
      <w:r/>
      <w:bookmarkEnd w:id="77"/>
      <w:r/>
      <w:bookmarkStart w:id="78" w:name="_Hlt26954739"/>
      <w:r/>
      <w:bookmarkEnd w:id="78"/>
      <w:r/>
      <w:bookmarkStart w:id="79" w:name="_Toc120614217"/>
      <w:r/>
      <w:bookmarkStart w:id="80" w:name="_Toc20823296"/>
      <w:r/>
      <w:bookmarkStart w:id="81" w:name="_Toc16938540"/>
      <w:r/>
      <w:bookmarkStart w:id="82" w:name="_Toc513029224"/>
      <w:r>
        <w:rPr>
          <w:rFonts w:hint="eastAsia"/>
          <w:i w:val="0"/>
          <w:iCs w:val="0"/>
          <w:color w:val="auto"/>
          <w:sz w:val="32"/>
          <w:szCs w:val="32"/>
          <w:highlight w:val="none"/>
        </w:rPr>
        <w:t xml:space="preserve">四、投标文件的递交</w:t>
      </w:r>
      <w:bookmarkEnd w:id="79"/>
      <w:r/>
      <w:bookmarkEnd w:id="80"/>
      <w:r/>
      <w:bookmarkEnd w:id="81"/>
      <w:r/>
      <w:bookmarkEnd w:id="82"/>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3" w:name="_Toc462564084"/>
      <w:r/>
      <w:bookmarkStart w:id="84" w:name="_Toc16938541"/>
      <w:r/>
      <w:bookmarkStart w:id="85" w:name="_Toc20823297"/>
      <w:r/>
      <w:bookmarkStart w:id="86" w:name="_Toc513029225"/>
      <w:r>
        <w:rPr>
          <w:rFonts w:hint="eastAsia" w:ascii="宋体" w:hAnsi="宋体" w:eastAsia="宋体"/>
          <w:bCs w:val="0"/>
          <w:i w:val="0"/>
          <w:iCs w:val="0"/>
          <w:color w:val="auto"/>
          <w:sz w:val="24"/>
          <w:szCs w:val="24"/>
          <w:highlight w:val="none"/>
        </w:rPr>
        <w:t xml:space="preserve">17.投标文件</w:t>
      </w:r>
      <w:bookmarkEnd w:id="83"/>
      <w:r/>
      <w:bookmarkEnd w:id="84"/>
      <w:r/>
      <w:bookmarkEnd w:id="85"/>
      <w:r/>
      <w:bookmarkEnd w:id="86"/>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175"/>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87" w:name="_Toc513029226"/>
      <w:r/>
      <w:bookmarkStart w:id="88" w:name="_Toc16938542"/>
      <w:r/>
      <w:bookmarkStart w:id="89" w:name="_Toc20823298"/>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87"/>
      <w:r/>
      <w:bookmarkEnd w:id="88"/>
      <w:r/>
      <w:bookmarkEnd w:id="89"/>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0" w:name="_Toc16938543"/>
      <w:r/>
      <w:bookmarkStart w:id="91" w:name="_Toc513029227"/>
      <w:r/>
      <w:bookmarkStart w:id="92" w:name="_Toc20823299"/>
      <w:r>
        <w:rPr>
          <w:rFonts w:hint="eastAsia" w:ascii="宋体" w:hAnsi="宋体" w:eastAsia="宋体"/>
          <w:bCs w:val="0"/>
          <w:i w:val="0"/>
          <w:iCs w:val="0"/>
          <w:color w:val="auto"/>
          <w:sz w:val="24"/>
          <w:szCs w:val="24"/>
          <w:highlight w:val="none"/>
        </w:rPr>
        <w:t xml:space="preserve">19.投标文件</w:t>
      </w:r>
      <w:bookmarkEnd w:id="90"/>
      <w:r/>
      <w:bookmarkEnd w:id="91"/>
      <w:r/>
      <w:bookmarkEnd w:id="92"/>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3" w:name="_Toc16938544"/>
      <w:r/>
      <w:bookmarkStart w:id="94" w:name="_Toc513029228"/>
      <w:r/>
      <w:bookmarkStart w:id="95" w:name="_Toc20823300"/>
      <w:r>
        <w:rPr>
          <w:rFonts w:hint="eastAsia" w:ascii="宋体" w:hAnsi="宋体" w:eastAsia="宋体"/>
          <w:bCs w:val="0"/>
          <w:i w:val="0"/>
          <w:iCs w:val="0"/>
          <w:color w:val="auto"/>
          <w:sz w:val="24"/>
          <w:szCs w:val="24"/>
          <w:highlight w:val="none"/>
        </w:rPr>
        <w:t xml:space="preserve">20.投标文件的撤回和修改</w:t>
      </w:r>
      <w:bookmarkEnd w:id="93"/>
      <w:r/>
      <w:bookmarkEnd w:id="94"/>
      <w:r/>
      <w:bookmarkEnd w:id="95"/>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1042"/>
        <w:jc w:val="center"/>
        <w:keepLines w:val="0"/>
        <w:keepNext w:val="0"/>
        <w:spacing w:before="0" w:after="0" w:line="500" w:lineRule="exact"/>
        <w:rPr>
          <w:rFonts w:hint="eastAsia"/>
          <w:i w:val="0"/>
          <w:iCs w:val="0"/>
          <w:color w:val="auto"/>
          <w:sz w:val="32"/>
          <w:szCs w:val="32"/>
          <w:highlight w:val="none"/>
        </w:rPr>
      </w:pPr>
      <w:r/>
      <w:bookmarkStart w:id="96" w:name="_Toc20823301"/>
      <w:r/>
      <w:bookmarkStart w:id="97" w:name="_Toc16938545"/>
      <w:r/>
      <w:bookmarkStart w:id="98" w:name="_Toc120614218"/>
      <w:r/>
      <w:bookmarkStart w:id="99" w:name="_Toc513029229"/>
      <w:r>
        <w:rPr>
          <w:rFonts w:hint="eastAsia"/>
          <w:i w:val="0"/>
          <w:iCs w:val="0"/>
          <w:color w:val="auto"/>
          <w:sz w:val="32"/>
          <w:szCs w:val="32"/>
          <w:highlight w:val="none"/>
        </w:rPr>
        <w:t xml:space="preserve">五、开标与评标</w:t>
      </w:r>
      <w:bookmarkEnd w:id="96"/>
      <w:r/>
      <w:bookmarkEnd w:id="97"/>
      <w:r/>
      <w:bookmarkEnd w:id="98"/>
      <w:r/>
      <w:bookmarkEnd w:id="99"/>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0" w:name="_Toc16938546"/>
      <w:r/>
      <w:bookmarkStart w:id="101" w:name="_Toc513029230"/>
      <w:r/>
      <w:bookmarkStart w:id="102" w:name="_Toc20823302"/>
      <w:r>
        <w:rPr>
          <w:rFonts w:hint="eastAsia" w:ascii="宋体" w:hAnsi="宋体" w:eastAsia="宋体"/>
          <w:bCs w:val="0"/>
          <w:i w:val="0"/>
          <w:iCs w:val="0"/>
          <w:color w:val="auto"/>
          <w:sz w:val="24"/>
          <w:szCs w:val="24"/>
          <w:highlight w:val="none"/>
        </w:rPr>
        <w:t xml:space="preserve">21.开标</w:t>
      </w:r>
      <w:bookmarkEnd w:id="100"/>
      <w:r/>
      <w:bookmarkEnd w:id="101"/>
      <w:r/>
      <w:bookmarkEnd w:id="102"/>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3" w:name="_Toc513029231"/>
      <w:r/>
      <w:bookmarkStart w:id="104" w:name="_Toc16938547"/>
      <w:r/>
      <w:bookmarkStart w:id="105" w:name="_Toc20823303"/>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3"/>
      <w:bookmarkEnd w:id="104"/>
      <w:bookmarkEnd w:id="105"/>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6" w:name="_Toc20823304"/>
      <w:r/>
      <w:bookmarkStart w:id="107" w:name="_Toc16938548"/>
      <w:r/>
      <w:bookmarkStart w:id="108" w:name="_Toc513029232"/>
      <w:r>
        <w:rPr>
          <w:rFonts w:hint="eastAsia" w:ascii="宋体" w:hAnsi="宋体" w:eastAsia="宋体"/>
          <w:bCs w:val="0"/>
          <w:i w:val="0"/>
          <w:iCs w:val="0"/>
          <w:color w:val="auto"/>
          <w:sz w:val="24"/>
          <w:szCs w:val="24"/>
          <w:highlight w:val="none"/>
        </w:rPr>
        <w:t xml:space="preserve">24.投标文件的澄清</w:t>
      </w:r>
      <w:bookmarkEnd w:id="106"/>
      <w:r/>
      <w:bookmarkEnd w:id="107"/>
      <w:r/>
      <w:bookmarkEnd w:id="108"/>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9" w:name="_Toc16938549"/>
      <w:r/>
      <w:bookmarkStart w:id="110" w:name="_Toc20823305"/>
      <w:r/>
      <w:bookmarkStart w:id="111" w:name="_Toc513029233"/>
      <w:r>
        <w:rPr>
          <w:rFonts w:hint="eastAsia" w:ascii="宋体" w:hAnsi="宋体" w:eastAsia="宋体"/>
          <w:bCs w:val="0"/>
          <w:i w:val="0"/>
          <w:iCs w:val="0"/>
          <w:color w:val="auto"/>
          <w:sz w:val="24"/>
          <w:szCs w:val="24"/>
          <w:highlight w:val="none"/>
        </w:rPr>
        <w:t xml:space="preserve">25.对投标文件的初审</w:t>
      </w:r>
      <w:bookmarkEnd w:id="109"/>
      <w:r/>
      <w:bookmarkEnd w:id="110"/>
      <w:r/>
      <w:bookmarkEnd w:id="111"/>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2" w:name="_Toc16938550"/>
      <w:r/>
      <w:bookmarkStart w:id="113" w:name="_Toc513029234"/>
      <w:r/>
      <w:bookmarkStart w:id="114" w:name="_Toc20823306"/>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2"/>
      <w:r/>
      <w:bookmarkEnd w:id="113"/>
      <w:r/>
      <w:bookmarkEnd w:id="114"/>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5" w:name="_Toc20823307"/>
      <w:r/>
      <w:bookmarkStart w:id="116" w:name="_Toc513029235"/>
      <w:r/>
      <w:bookmarkStart w:id="117" w:name="_Toc16938551"/>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i w:val="0"/>
          <w:iCs w:val="0"/>
          <w:color w:val="auto"/>
          <w:sz w:val="24"/>
          <w:szCs w:val="24"/>
          <w:highlight w:val="none"/>
        </w:rPr>
      </w:pPr>
      <w:r>
        <w:rPr>
          <w:rFonts w:hint="eastAsia"/>
          <w:color w:val="auto"/>
          <w:sz w:val="24"/>
          <w:szCs w:val="24"/>
          <w:highlight w:val="none"/>
        </w:rPr>
        <w:t xml:space="preserve">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42"/>
        <w:jc w:val="center"/>
        <w:keepLines w:val="0"/>
        <w:keepNext w:val="0"/>
        <w:spacing w:before="0" w:after="0" w:line="500" w:lineRule="exact"/>
        <w:rPr>
          <w:rFonts w:hint="eastAsia"/>
          <w:i w:val="0"/>
          <w:iCs w:val="0"/>
          <w:color w:val="auto"/>
          <w:sz w:val="32"/>
          <w:szCs w:val="32"/>
          <w:highlight w:val="none"/>
        </w:rPr>
      </w:pPr>
      <w:r/>
      <w:bookmarkStart w:id="118" w:name="_Toc120614219"/>
      <w:r>
        <w:rPr>
          <w:rFonts w:hint="eastAsia"/>
          <w:i w:val="0"/>
          <w:iCs w:val="0"/>
          <w:color w:val="auto"/>
          <w:sz w:val="32"/>
          <w:szCs w:val="32"/>
          <w:highlight w:val="none"/>
        </w:rPr>
        <w:t xml:space="preserve">六、</w:t>
      </w:r>
      <w:bookmarkEnd w:id="115"/>
      <w:r/>
      <w:bookmarkEnd w:id="116"/>
      <w:r/>
      <w:bookmarkEnd w:id="117"/>
      <w:r>
        <w:rPr>
          <w:rFonts w:hint="eastAsia"/>
          <w:i w:val="0"/>
          <w:iCs w:val="0"/>
          <w:color w:val="auto"/>
          <w:sz w:val="32"/>
          <w:szCs w:val="32"/>
          <w:highlight w:val="none"/>
        </w:rPr>
        <w:t xml:space="preserve">定标</w:t>
      </w:r>
      <w:bookmarkEnd w:id="118"/>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9" w:name="_Toc513029238"/>
      <w:r/>
      <w:bookmarkStart w:id="120" w:name="_Toc20823310"/>
      <w:r/>
      <w:bookmarkStart w:id="121" w:name="_Toc16938554"/>
      <w:r>
        <w:rPr>
          <w:rFonts w:hint="eastAsia" w:ascii="宋体" w:hAnsi="宋体" w:eastAsia="宋体"/>
          <w:bCs w:val="0"/>
          <w:i w:val="0"/>
          <w:iCs w:val="0"/>
          <w:color w:val="auto"/>
          <w:sz w:val="24"/>
          <w:szCs w:val="24"/>
          <w:highlight w:val="none"/>
        </w:rPr>
        <w:t xml:space="preserve">27、</w:t>
      </w:r>
      <w:bookmarkEnd w:id="119"/>
      <w:r>
        <w:rPr>
          <w:rFonts w:hint="eastAsia" w:ascii="宋体" w:hAnsi="宋体" w:eastAsia="宋体"/>
          <w:bCs w:val="0"/>
          <w:i w:val="0"/>
          <w:iCs w:val="0"/>
          <w:color w:val="auto"/>
          <w:sz w:val="24"/>
          <w:szCs w:val="24"/>
          <w:highlight w:val="none"/>
        </w:rPr>
        <w:t xml:space="preserve">确定</w:t>
      </w:r>
      <w:bookmarkEnd w:id="120"/>
      <w:r/>
      <w:bookmarkEnd w:id="121"/>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2"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42"/>
        <w:jc w:val="center"/>
        <w:keepLines w:val="0"/>
        <w:keepNext w:val="0"/>
        <w:spacing w:before="0" w:after="0" w:line="500" w:lineRule="exact"/>
        <w:rPr>
          <w:rFonts w:hint="eastAsia"/>
          <w:i w:val="0"/>
          <w:iCs w:val="0"/>
          <w:color w:val="auto"/>
          <w:sz w:val="32"/>
          <w:szCs w:val="32"/>
          <w:highlight w:val="none"/>
        </w:rPr>
      </w:pPr>
      <w:r/>
      <w:bookmarkStart w:id="123" w:name="_Toc120614220"/>
      <w:r/>
      <w:bookmarkStart w:id="124" w:name="_Toc20823308"/>
      <w:r/>
      <w:bookmarkStart w:id="125" w:name="_Toc513029236"/>
      <w:r/>
      <w:bookmarkStart w:id="126" w:name="_Toc16938552"/>
      <w:r>
        <w:rPr>
          <w:rFonts w:hint="eastAsia"/>
          <w:i w:val="0"/>
          <w:iCs w:val="0"/>
          <w:color w:val="auto"/>
          <w:sz w:val="32"/>
          <w:szCs w:val="32"/>
          <w:highlight w:val="none"/>
        </w:rPr>
        <w:t xml:space="preserve">七、授予合同</w:t>
      </w:r>
      <w:bookmarkEnd w:id="123"/>
      <w:r/>
      <w:bookmarkEnd w:id="124"/>
      <w:bookmarkEnd w:id="125"/>
      <w:bookmarkEnd w:id="126"/>
      <w:r/>
    </w:p>
    <w:p>
      <w:pPr>
        <w:pStyle w:val="116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986"/>
        <w:ind w:firstLine="640"/>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spacing w:line="500" w:lineRule="exact"/>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 xml:space="preserve">投标供应商所投内容必须满足以下要求，不得有负偏离。</w:t>
      </w:r>
      <w:r/>
    </w:p>
    <w:p>
      <w:pPr>
        <w:ind w:firstLine="480"/>
        <w:spacing w:line="500" w:lineRule="exact"/>
        <w:rPr>
          <w:rFonts w:hint="eastAsia" w:ascii="宋体" w:hAnsi="宋体"/>
          <w:b/>
          <w:bCs/>
          <w:i w:val="0"/>
          <w:iCs w:val="0"/>
          <w:color w:val="auto"/>
          <w:sz w:val="24"/>
          <w:szCs w:val="24"/>
          <w:highlight w:val="none"/>
          <w:lang w:eastAsia="zh-CN"/>
        </w:rPr>
      </w:pPr>
      <w:r>
        <w:rPr>
          <w:rFonts w:hint="eastAsia" w:ascii="宋体" w:hAnsi="宋体"/>
          <w:b/>
          <w:bCs/>
          <w:i w:val="0"/>
          <w:iCs w:val="0"/>
          <w:color w:val="auto"/>
          <w:sz w:val="24"/>
          <w:szCs w:val="24"/>
          <w:highlight w:val="none"/>
          <w:lang w:eastAsia="zh-CN"/>
        </w:rPr>
        <w:t xml:space="preserve">一、项目概况</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1、项目名称：</w:t>
      </w:r>
      <w:bookmarkStart w:id="127" w:name="_Hlk110113559"/>
      <w:r>
        <w:rPr>
          <w:rFonts w:hint="eastAsia" w:ascii="宋体" w:hAnsi="宋体"/>
          <w:i w:val="0"/>
          <w:iCs w:val="0"/>
          <w:color w:val="auto"/>
          <w:sz w:val="24"/>
          <w:szCs w:val="24"/>
          <w:highlight w:val="none"/>
          <w:lang w:val="en-US" w:eastAsia="zh-CN"/>
        </w:rPr>
        <w:t xml:space="preserve">2026-2028年度</w:t>
      </w:r>
      <w:r>
        <w:rPr>
          <w:rFonts w:hint="eastAsia" w:ascii="宋体" w:hAnsi="宋体"/>
          <w:i w:val="0"/>
          <w:iCs w:val="0"/>
          <w:color w:val="auto"/>
          <w:sz w:val="24"/>
          <w:szCs w:val="24"/>
          <w:highlight w:val="none"/>
        </w:rPr>
        <w:t xml:space="preserve">阳山镇</w:t>
      </w:r>
      <w:r>
        <w:rPr>
          <w:rFonts w:hint="eastAsia" w:ascii="宋体" w:hAnsi="宋体"/>
          <w:i w:val="0"/>
          <w:iCs w:val="0"/>
          <w:color w:val="auto"/>
          <w:sz w:val="24"/>
          <w:szCs w:val="24"/>
          <w:highlight w:val="none"/>
          <w:lang w:val="en-US" w:eastAsia="zh-CN"/>
        </w:rPr>
        <w:t xml:space="preserve">桃盛苑、新渎苑及17个老旧小区物业管理服务项目</w:t>
      </w:r>
      <w:bookmarkEnd w:id="127"/>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 xml:space="preserve">2、项目概况：本项目为2026—2028年度阳山镇桃盛苑、新渎苑及17个老旧小区物业管理服务项目，总建筑面积为59.0877万平方米。其中老旧小区建筑面积14.03万平方米，新渎苑15.65万平方米，桃盛苑29.4077万平方米。为提高小区物业管理服务水平，从而提升小区居民的居住环境，增强居民的幸福感，且根据区住建局要求各乡镇（街道）安置房必须实行市场化管理的需求，提升服务质量，拟推进阳山镇桃盛苑、新渎苑及17个老旧小区物业管理服务采购。</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 xml:space="preserve">3</w:t>
      </w:r>
      <w:r>
        <w:rPr>
          <w:rFonts w:hint="eastAsia" w:ascii="宋体" w:hAnsi="宋体"/>
          <w:i w:val="0"/>
          <w:iCs w:val="0"/>
          <w:color w:val="auto"/>
          <w:sz w:val="24"/>
          <w:szCs w:val="24"/>
          <w:highlight w:val="none"/>
        </w:rPr>
        <w:t xml:space="preserve">、项目地点：无锡市惠山区阳山镇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 xml:space="preserve">4</w:t>
      </w:r>
      <w:r>
        <w:rPr>
          <w:rFonts w:hint="eastAsia" w:ascii="宋体" w:hAnsi="宋体"/>
          <w:i w:val="0"/>
          <w:iCs w:val="0"/>
          <w:color w:val="auto"/>
          <w:sz w:val="24"/>
          <w:szCs w:val="24"/>
          <w:highlight w:val="none"/>
        </w:rPr>
        <w:t xml:space="preserve">、服务期限：</w:t>
      </w:r>
      <w:r>
        <w:rPr>
          <w:rFonts w:hint="eastAsia" w:ascii="宋体" w:hAnsi="宋体"/>
          <w:i w:val="0"/>
          <w:iCs w:val="0"/>
          <w:color w:val="auto"/>
          <w:sz w:val="24"/>
          <w:szCs w:val="24"/>
          <w:highlight w:val="none"/>
          <w:lang w:val="zh-CN"/>
        </w:rPr>
        <w:t xml:space="preserve">3年</w:t>
      </w:r>
      <w:r>
        <w:rPr>
          <w:rFonts w:hint="eastAsia" w:ascii="宋体" w:hAnsi="宋体"/>
          <w:i w:val="0"/>
          <w:iCs w:val="0"/>
          <w:color w:val="auto"/>
          <w:sz w:val="24"/>
          <w:szCs w:val="24"/>
          <w:highlight w:val="none"/>
        </w:rPr>
        <w:t xml:space="preserve">（具体起始日期以合同签订日期为准）</w:t>
      </w:r>
      <w:r>
        <w:rPr>
          <w:rFonts w:hint="eastAsia" w:ascii="宋体" w:hAnsi="宋体"/>
          <w:i w:val="0"/>
          <w:iCs w:val="0"/>
          <w:color w:val="auto"/>
          <w:sz w:val="24"/>
          <w:szCs w:val="24"/>
          <w:highlight w:val="none"/>
          <w:lang w:val="zh-CN"/>
        </w:rPr>
        <w:t xml:space="preserve">，采取“</w:t>
      </w:r>
      <w:r>
        <w:rPr>
          <w:rFonts w:hint="eastAsia" w:ascii="宋体" w:hAnsi="宋体"/>
          <w:i w:val="0"/>
          <w:iCs w:val="0"/>
          <w:color w:val="auto"/>
          <w:sz w:val="24"/>
          <w:szCs w:val="24"/>
          <w:highlight w:val="none"/>
        </w:rPr>
        <w:t xml:space="preserve">1+1+1</w:t>
      </w:r>
      <w:r>
        <w:rPr>
          <w:rFonts w:hint="eastAsia" w:ascii="宋体" w:hAnsi="宋体"/>
          <w:i w:val="0"/>
          <w:iCs w:val="0"/>
          <w:color w:val="auto"/>
          <w:sz w:val="24"/>
          <w:szCs w:val="24"/>
          <w:highlight w:val="none"/>
          <w:lang w:val="zh-CN"/>
        </w:rPr>
        <w:t xml:space="preserve">”模式，合同一年一签，若上一年度物业管理未达到采购人要求，采购人有权拒签下一年度物业管理合同。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 xml:space="preserve">5</w:t>
      </w:r>
      <w:r>
        <w:rPr>
          <w:rFonts w:hint="eastAsia" w:ascii="宋体" w:hAnsi="宋体"/>
          <w:i w:val="0"/>
          <w:iCs w:val="0"/>
          <w:color w:val="auto"/>
          <w:sz w:val="24"/>
          <w:szCs w:val="24"/>
          <w:highlight w:val="none"/>
          <w:lang w:eastAsia="zh-CN"/>
        </w:rPr>
        <w:t xml:space="preserve">、</w:t>
      </w:r>
      <w:r>
        <w:rPr>
          <w:rFonts w:hint="eastAsia" w:ascii="宋体" w:hAnsi="宋体"/>
          <w:i w:val="0"/>
          <w:iCs w:val="0"/>
          <w:color w:val="auto"/>
          <w:sz w:val="24"/>
          <w:szCs w:val="24"/>
          <w:highlight w:val="none"/>
        </w:rPr>
        <w:t xml:space="preserve">服务要求：符合国家、行业、地方法律法规相关规定，并满足采购人要求。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 xml:space="preserve">6</w:t>
      </w:r>
      <w:r>
        <w:rPr>
          <w:rFonts w:hint="eastAsia" w:ascii="宋体" w:hAnsi="宋体"/>
          <w:i w:val="0"/>
          <w:iCs w:val="0"/>
          <w:color w:val="auto"/>
          <w:sz w:val="24"/>
          <w:szCs w:val="24"/>
          <w:highlight w:val="none"/>
        </w:rPr>
        <w:t xml:space="preserve">、付款方式：</w:t>
      </w:r>
      <w:r>
        <w:rPr>
          <w:rFonts w:hint="eastAsia" w:ascii="宋体" w:hAnsi="宋体"/>
          <w:i w:val="0"/>
          <w:iCs w:val="0"/>
          <w:color w:val="auto"/>
          <w:sz w:val="24"/>
          <w:szCs w:val="24"/>
          <w:highlight w:val="none"/>
          <w:lang w:val="zh-CN"/>
        </w:rPr>
        <w:t xml:space="preserve">中标供应商中标签订合同后，采购人向中标供应商支付中标总价10%的预付款。采购人每季度初结合考核情况及履约情况向中标供应商支付上一季度的物业服务费用。以上均不计利息，每次付款时中标供应商须提供符合采购人财务要求的税金发票</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 xml:space="preserve">7、</w:t>
      </w:r>
      <w:r>
        <w:rPr>
          <w:rFonts w:hint="eastAsia" w:ascii="宋体" w:hAnsi="宋体"/>
          <w:i w:val="0"/>
          <w:iCs w:val="0"/>
          <w:color w:val="auto"/>
          <w:sz w:val="24"/>
          <w:szCs w:val="24"/>
          <w:highlight w:val="none"/>
        </w:rPr>
        <w:t xml:space="preserve">预算金额：人民币</w:t>
      </w:r>
      <w:r>
        <w:rPr>
          <w:rFonts w:hint="eastAsia" w:ascii="宋体" w:hAnsi="宋体"/>
          <w:i w:val="0"/>
          <w:iCs w:val="0"/>
          <w:color w:val="auto"/>
          <w:sz w:val="24"/>
          <w:szCs w:val="24"/>
          <w:highlight w:val="none"/>
          <w:lang w:val="en-US" w:eastAsia="zh-CN"/>
        </w:rPr>
        <w:t xml:space="preserve">1935.713052</w:t>
      </w:r>
      <w:r>
        <w:rPr>
          <w:rFonts w:hint="eastAsia" w:ascii="宋体" w:hAnsi="宋体"/>
          <w:i w:val="0"/>
          <w:iCs w:val="0"/>
          <w:color w:val="auto"/>
          <w:sz w:val="24"/>
          <w:szCs w:val="24"/>
          <w:highlight w:val="none"/>
        </w:rPr>
        <w:t xml:space="preserve">万元</w:t>
      </w:r>
      <w:r/>
    </w:p>
    <w:p>
      <w:pPr>
        <w:ind w:firstLine="480"/>
        <w:spacing w:line="500" w:lineRule="exact"/>
        <w:rPr>
          <w:rFonts w:hint="eastAsia" w:ascii="宋体" w:hAnsi="宋体"/>
          <w:i w:val="0"/>
          <w:iCs w:val="0"/>
          <w:color w:val="auto"/>
          <w:sz w:val="24"/>
          <w:szCs w:val="24"/>
          <w:highlight w:val="none"/>
          <w:lang w:val="zh-CN"/>
        </w:rPr>
      </w:pPr>
      <w:r>
        <w:rPr>
          <w:rFonts w:hint="eastAsia" w:ascii="宋体" w:hAnsi="宋体"/>
          <w:i w:val="0"/>
          <w:iCs w:val="0"/>
          <w:color w:val="auto"/>
          <w:sz w:val="24"/>
          <w:szCs w:val="24"/>
          <w:highlight w:val="none"/>
          <w:lang w:val="en-US" w:eastAsia="zh-CN"/>
        </w:rPr>
        <w:t xml:space="preserve">8、</w:t>
      </w:r>
      <w:r>
        <w:rPr>
          <w:rFonts w:hint="eastAsia" w:ascii="宋体" w:hAnsi="宋体"/>
          <w:i w:val="0"/>
          <w:iCs w:val="0"/>
          <w:color w:val="auto"/>
          <w:sz w:val="24"/>
          <w:szCs w:val="24"/>
          <w:highlight w:val="none"/>
        </w:rPr>
        <w:t xml:space="preserve">最高限价：人民币</w:t>
      </w:r>
      <w:r>
        <w:rPr>
          <w:rFonts w:hint="eastAsia" w:ascii="宋体" w:hAnsi="宋体"/>
          <w:i w:val="0"/>
          <w:iCs w:val="0"/>
          <w:color w:val="auto"/>
          <w:sz w:val="24"/>
          <w:szCs w:val="24"/>
          <w:highlight w:val="none"/>
          <w:lang w:val="en-US" w:eastAsia="zh-CN"/>
        </w:rPr>
        <w:t xml:space="preserve">1935.713052</w:t>
      </w:r>
      <w:r>
        <w:rPr>
          <w:rFonts w:hint="eastAsia" w:ascii="宋体" w:hAnsi="宋体"/>
          <w:i w:val="0"/>
          <w:iCs w:val="0"/>
          <w:color w:val="auto"/>
          <w:sz w:val="24"/>
          <w:szCs w:val="24"/>
          <w:highlight w:val="none"/>
        </w:rPr>
        <w:t xml:space="preserve">万元</w:t>
      </w:r>
      <w:r/>
    </w:p>
    <w:p>
      <w:pPr>
        <w:ind w:firstLine="480"/>
        <w:spacing w:line="500" w:lineRule="exact"/>
        <w:rPr>
          <w:rFonts w:hint="eastAsia" w:ascii="宋体" w:hAnsi="宋体"/>
          <w:b/>
          <w:bCs/>
          <w:i w:val="0"/>
          <w:iCs w:val="0"/>
          <w:color w:val="auto"/>
          <w:sz w:val="24"/>
          <w:szCs w:val="24"/>
          <w:highlight w:val="none"/>
        </w:rPr>
      </w:pPr>
      <w:r>
        <w:rPr>
          <w:rFonts w:hint="eastAsia" w:ascii="宋体" w:hAnsi="宋体"/>
          <w:b/>
          <w:bCs/>
          <w:i w:val="0"/>
          <w:iCs w:val="0"/>
          <w:color w:val="auto"/>
          <w:sz w:val="24"/>
          <w:szCs w:val="24"/>
          <w:highlight w:val="none"/>
        </w:rPr>
        <w:t xml:space="preserve">二、服务具体内容与要求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zh-CN"/>
        </w:rPr>
        <w:t xml:space="preserve">1、项目情况简述：</w:t>
      </w:r>
      <w:r/>
    </w:p>
    <w:p>
      <w:pPr>
        <w:ind w:firstLine="480"/>
        <w:spacing w:line="500" w:lineRule="exact"/>
        <w:rPr>
          <w:rFonts w:hint="eastAsia" w:ascii="宋体" w:hAnsi="宋体"/>
          <w:i w:val="0"/>
          <w:iCs w:val="0"/>
          <w:color w:val="auto"/>
          <w:sz w:val="24"/>
          <w:szCs w:val="24"/>
          <w:highlight w:val="none"/>
          <w:lang w:val="zh-CN"/>
        </w:rPr>
      </w:pPr>
      <w:r>
        <w:rPr>
          <w:rFonts w:hint="eastAsia" w:ascii="宋体" w:hAnsi="宋体"/>
          <w:i w:val="0"/>
          <w:iCs w:val="0"/>
          <w:color w:val="auto"/>
          <w:sz w:val="24"/>
          <w:szCs w:val="24"/>
          <w:highlight w:val="none"/>
        </w:rPr>
        <w:t xml:space="preserve">1</w:t>
      </w:r>
      <w:r>
        <w:rPr>
          <w:rFonts w:hint="eastAsia" w:ascii="宋体" w:hAnsi="宋体"/>
          <w:i w:val="0"/>
          <w:iCs w:val="0"/>
          <w:color w:val="auto"/>
          <w:sz w:val="24"/>
          <w:szCs w:val="24"/>
          <w:highlight w:val="none"/>
          <w:lang w:eastAsia="zh-CN"/>
        </w:rPr>
        <w:t xml:space="preserve">）</w:t>
      </w:r>
      <w:r>
        <w:rPr>
          <w:rFonts w:hint="eastAsia" w:ascii="宋体" w:hAnsi="宋体"/>
          <w:i w:val="0"/>
          <w:iCs w:val="0"/>
          <w:color w:val="auto"/>
          <w:sz w:val="24"/>
          <w:szCs w:val="24"/>
          <w:highlight w:val="none"/>
        </w:rPr>
        <w:t xml:space="preserve">、桃盛苑</w:t>
      </w:r>
      <w:r>
        <w:rPr>
          <w:rFonts w:hint="eastAsia" w:ascii="宋体" w:hAnsi="宋体"/>
          <w:i w:val="0"/>
          <w:iCs w:val="0"/>
          <w:color w:val="auto"/>
          <w:sz w:val="24"/>
          <w:szCs w:val="24"/>
          <w:highlight w:val="none"/>
          <w:lang w:val="en-US" w:eastAsia="zh-CN"/>
        </w:rPr>
        <w:t xml:space="preserve">及新渎苑</w:t>
      </w:r>
      <w:r>
        <w:rPr>
          <w:rFonts w:hint="eastAsia" w:ascii="宋体" w:hAnsi="宋体"/>
          <w:i w:val="0"/>
          <w:iCs w:val="0"/>
          <w:color w:val="auto"/>
          <w:sz w:val="24"/>
          <w:szCs w:val="24"/>
          <w:highlight w:val="none"/>
        </w:rPr>
        <w:t xml:space="preserve">概况：</w:t>
      </w:r>
      <w:r>
        <w:rPr>
          <w:rFonts w:hint="eastAsia" w:ascii="宋体" w:hAnsi="宋体"/>
          <w:i w:val="0"/>
          <w:iCs w:val="0"/>
          <w:color w:val="auto"/>
          <w:sz w:val="24"/>
          <w:szCs w:val="24"/>
          <w:highlight w:val="none"/>
          <w:lang w:val="zh-CN"/>
        </w:rPr>
        <w:t xml:space="preserve"> </w:t>
      </w:r>
      <w:r/>
    </w:p>
    <w:tbl>
      <w:tblPr>
        <w:tblStyle w:val="807"/>
        <w:tblW w:w="972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1283"/>
        <w:gridCol w:w="2100"/>
        <w:gridCol w:w="1534"/>
        <w:gridCol w:w="2750"/>
        <w:gridCol w:w="1366"/>
      </w:tblGrid>
      <w:tr>
        <w:trPr>
          <w:trHeight w:val="600"/>
        </w:trPr>
        <w:tc>
          <w:tcPr>
            <w:gridSpan w:val="6"/>
            <w:tcBorders>
              <w:top w:val="single" w:color="000000" w:sz="4" w:space="0"/>
              <w:left w:val="single" w:color="000000" w:sz="4" w:space="0"/>
              <w:bottom w:val="single" w:color="000000" w:sz="4" w:space="0"/>
              <w:right w:val="single" w:color="000000" w:sz="4" w:space="0"/>
            </w:tcBorders>
            <w:tcW w:w="9721" w:type="dxa"/>
            <w:vAlign w:val="center"/>
            <w:textDirection w:val="lrTb"/>
            <w:noWrap w:val="false"/>
          </w:tcPr>
          <w:p>
            <w:pPr>
              <w:jc w:val="center"/>
              <w:keepLines w:val="0"/>
              <w:keepNext w:val="0"/>
              <w:widowControl/>
              <w:rPr>
                <w:rFonts w:ascii="方正小标宋简体" w:hAnsi="方正小标宋简体" w:eastAsia="方正小标宋简体" w:cs="方正小标宋简体"/>
                <w:i w:val="0"/>
                <w:iCs w:val="0"/>
                <w:color w:val="auto"/>
                <w:sz w:val="40"/>
                <w:szCs w:val="40"/>
                <w:highlight w:val="none"/>
                <w:u w:val="none"/>
              </w:rPr>
              <w:suppressLineNumbers w:val="0"/>
            </w:pPr>
            <w:r>
              <w:rPr>
                <w:rFonts w:hint="default" w:ascii="方正小标宋简体" w:hAnsi="方正小标宋简体" w:eastAsia="方正小标宋简体" w:cs="方正小标宋简体"/>
                <w:i w:val="0"/>
                <w:iCs w:val="0"/>
                <w:color w:val="auto"/>
                <w:sz w:val="40"/>
                <w:szCs w:val="40"/>
                <w:highlight w:val="none"/>
                <w:u w:val="none"/>
                <w:lang w:val="en-US" w:eastAsia="zh-CN" w:bidi="ar"/>
              </w:rPr>
              <w:t xml:space="preserve">新渎苑及桃盛苑情况表</w:t>
            </w:r>
            <w:r/>
          </w:p>
        </w:tc>
      </w:tr>
      <w:tr>
        <w:trPr>
          <w:trHeight w:val="68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小区性质</w:t>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住宅建筑面积（万平方米）</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80"/>
        </w:trPr>
        <w:tc>
          <w:tcPr>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8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新渎社区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新渎苑</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安置房</w:t>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15.65</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83"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其中：新渎苑一期</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12.25</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580"/>
        </w:trPr>
        <w:tc>
          <w:tcPr>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83"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其中：新渎苑二期</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高层</w:t>
            </w:r>
            <w:r/>
          </w:p>
        </w:tc>
      </w:tr>
      <w:tr>
        <w:trPr>
          <w:trHeight w:val="580"/>
        </w:trPr>
        <w:tc>
          <w:tcPr>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冬青社区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桃盛苑</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安置房</w:t>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29.4077</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其中：桃盛苑一期</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22.69</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高层</w:t>
            </w:r>
            <w:r/>
          </w:p>
        </w:tc>
      </w:tr>
      <w:tr>
        <w:trPr>
          <w:trHeight w:val="460"/>
        </w:trPr>
        <w:tc>
          <w:tcPr>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其中：桃盛苑二期</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6.7177</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高层</w:t>
            </w:r>
            <w:r/>
          </w:p>
        </w:tc>
      </w:tr>
    </w:tbl>
    <w:p>
      <w:pPr>
        <w:jc w:val="left"/>
        <w:tabs>
          <w:tab w:val="left" w:pos="683" w:leader="none"/>
        </w:tabs>
        <w:rPr>
          <w:rFonts w:hint="eastAsia" w:hAnsi="宋体" w:eastAsia="宋体" w:cs="宋体"/>
          <w:color w:val="auto"/>
          <w:highlight w:val="none"/>
          <w:lang w:val="en-US" w:eastAsia="zh-CN"/>
        </w:rPr>
      </w:pPr>
      <w:r>
        <w:rPr>
          <w:rFonts w:hint="eastAsia" w:hAnsi="宋体" w:eastAsia="宋体" w:cs="宋体"/>
          <w:color w:val="auto"/>
          <w:highlight w:val="none"/>
          <w:lang w:val="en-US" w:eastAsia="zh-CN"/>
        </w:rPr>
      </w:r>
      <w:r/>
    </w:p>
    <w:p>
      <w:pPr>
        <w:jc w:val="left"/>
        <w:tabs>
          <w:tab w:val="left" w:pos="683" w:leader="none"/>
        </w:tabs>
        <w:rPr>
          <w:rFonts w:hint="eastAsia" w:hAnsi="宋体" w:cs="宋体"/>
          <w:color w:val="auto"/>
          <w:highlight w:val="none"/>
          <w:lang w:val="en-US" w:eastAsia="zh-CN"/>
        </w:rPr>
      </w:pPr>
      <w:r>
        <w:rPr>
          <w:rFonts w:hint="eastAsia" w:hAnsi="宋体" w:cs="宋体"/>
          <w:color w:val="auto"/>
          <w:highlight w:val="none"/>
          <w:lang w:val="en-US" w:eastAsia="zh-CN"/>
        </w:rPr>
        <w:t xml:space="preserve">2）17个老旧小区概况</w:t>
      </w:r>
      <w:r/>
    </w:p>
    <w:tbl>
      <w:tblPr>
        <w:tblStyle w:val="807"/>
        <w:tblW w:w="965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63"/>
        <w:gridCol w:w="1343"/>
        <w:gridCol w:w="2499"/>
        <w:gridCol w:w="1500"/>
        <w:gridCol w:w="2050"/>
        <w:gridCol w:w="1300"/>
      </w:tblGrid>
      <w:tr>
        <w:trPr>
          <w:trHeight w:val="600"/>
        </w:trPr>
        <w:tc>
          <w:tcPr>
            <w:gridSpan w:val="6"/>
            <w:tcBorders>
              <w:top w:val="single" w:color="000000" w:sz="4" w:space="0"/>
              <w:left w:val="single" w:color="000000" w:sz="4" w:space="0"/>
              <w:bottom w:val="single" w:color="000000" w:sz="4" w:space="0"/>
              <w:right w:val="single" w:color="000000" w:sz="4" w:space="0"/>
            </w:tcBorders>
            <w:tcW w:w="9655" w:type="dxa"/>
            <w:vAlign w:val="center"/>
            <w:textDirection w:val="lrTb"/>
            <w:noWrap w:val="false"/>
          </w:tcPr>
          <w:p>
            <w:pPr>
              <w:jc w:val="center"/>
              <w:keepLines w:val="0"/>
              <w:keepNext w:val="0"/>
              <w:widowControl/>
              <w:rPr>
                <w:rFonts w:ascii="方正小标宋简体" w:hAnsi="方正小标宋简体" w:eastAsia="方正小标宋简体" w:cs="方正小标宋简体"/>
                <w:i w:val="0"/>
                <w:iCs w:val="0"/>
                <w:color w:val="auto"/>
                <w:sz w:val="40"/>
                <w:szCs w:val="40"/>
                <w:highlight w:val="none"/>
                <w:u w:val="none"/>
              </w:rPr>
              <w:suppressLineNumbers w:val="0"/>
            </w:pPr>
            <w:r>
              <w:rPr>
                <w:rFonts w:hint="default" w:ascii="方正小标宋简体" w:hAnsi="方正小标宋简体" w:eastAsia="方正小标宋简体" w:cs="方正小标宋简体"/>
                <w:i w:val="0"/>
                <w:iCs w:val="0"/>
                <w:color w:val="auto"/>
                <w:sz w:val="40"/>
                <w:szCs w:val="40"/>
                <w:highlight w:val="none"/>
                <w:u w:val="none"/>
                <w:lang w:val="en-US" w:eastAsia="zh-CN" w:bidi="ar"/>
              </w:rPr>
              <w:t xml:space="preserve">17个老旧小区情况表</w:t>
            </w:r>
            <w:r/>
          </w:p>
        </w:tc>
      </w:tr>
      <w:tr>
        <w:trPr>
          <w:trHeight w:val="68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小区性质</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住宅建筑面积（万平方米）</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玲珑苑</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富民苑</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陆苑小区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陆园</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蓝天小区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陆中综合楼</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0.29</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药店综合楼</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西桥综合楼</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0.29</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老街别墅</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圆盘综合楼</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三家舍（供电所）</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东方苑</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南山公寓</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陆区社区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健康苑</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2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新渎社区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阳山医院家舍楼、康吟苑</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134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新渎社区</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阳山西路26、28、30、32号，阳山西路振华楼，阳山西路83-1、83-2，113-1、113-2，99-1、99-2，职中7号楼、8号楼</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44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尹城村</w:t>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华东苑</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商品房</w:t>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多层</w:t>
            </w:r>
            <w:r/>
          </w:p>
        </w:tc>
      </w:tr>
      <w:tr>
        <w:trPr>
          <w:trHeight w:val="600"/>
        </w:trPr>
        <w:tc>
          <w:tcPr>
            <w:tcBorders>
              <w:top w:val="non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14.03</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jc w:val="left"/>
        <w:tabs>
          <w:tab w:val="left" w:pos="683" w:leader="none"/>
        </w:tabs>
        <w:rPr>
          <w:rFonts w:hint="default" w:hAnsi="宋体" w:cs="宋体"/>
          <w:color w:val="auto"/>
          <w:highlight w:val="none"/>
          <w:lang w:val="en-US" w:eastAsia="zh-CN"/>
        </w:rPr>
      </w:pPr>
      <w:r>
        <w:rPr>
          <w:rFonts w:hint="default" w:hAnsi="宋体" w:cs="宋体"/>
          <w:color w:val="auto"/>
          <w:highlight w:val="none"/>
          <w:lang w:val="en-US" w:eastAsia="zh-CN"/>
        </w:rPr>
      </w:r>
      <w:r/>
    </w:p>
    <w:p>
      <w:pPr>
        <w:pStyle w:val="811"/>
        <w:rPr>
          <w:rFonts w:hint="eastAsia"/>
          <w:color w:val="auto"/>
          <w:highlight w:val="none"/>
          <w:lang w:val="zh-CN"/>
        </w:rPr>
      </w:pPr>
      <w:r>
        <w:rPr>
          <w:rFonts w:hint="eastAsia"/>
          <w:color w:val="auto"/>
          <w:highlight w:val="none"/>
          <w:lang w:val="zh-CN"/>
        </w:rPr>
      </w:r>
      <w:r/>
    </w:p>
    <w:p>
      <w:pPr>
        <w:ind w:firstLine="480"/>
        <w:jc w:val="left"/>
        <w:spacing w:line="360" w:lineRule="auto"/>
        <w:tabs>
          <w:tab w:val="left" w:pos="1388"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2</w:t>
      </w:r>
      <w:r>
        <w:rPr>
          <w:rFonts w:hint="eastAsia" w:ascii="宋体" w:hAnsi="宋体"/>
          <w:b w:val="0"/>
          <w:bCs/>
          <w:color w:val="auto"/>
          <w:sz w:val="24"/>
          <w:szCs w:val="24"/>
          <w:highlight w:val="none"/>
        </w:rPr>
        <w:t xml:space="preserve">、人员配置要求</w:t>
      </w:r>
      <w:r/>
    </w:p>
    <w:p>
      <w:pPr>
        <w:ind w:firstLine="480"/>
        <w:jc w:val="left"/>
        <w:tabs>
          <w:tab w:val="left" w:pos="683" w:leader="none"/>
        </w:tabs>
        <w:rPr>
          <w:rFonts w:hAnsi="宋体" w:cs="宋体"/>
          <w:color w:val="auto"/>
          <w:sz w:val="24"/>
          <w:szCs w:val="24"/>
          <w:highlight w:val="none"/>
        </w:rPr>
      </w:pPr>
      <w:r>
        <w:rPr>
          <w:rFonts w:hint="eastAsia" w:hAnsi="宋体" w:cs="宋体"/>
          <w:color w:val="auto"/>
          <w:sz w:val="24"/>
          <w:szCs w:val="24"/>
          <w:highlight w:val="none"/>
          <w:lang w:val="en-US" w:eastAsia="zh-CN"/>
        </w:rPr>
        <w:t xml:space="preserve">项目</w:t>
      </w:r>
      <w:r>
        <w:rPr>
          <w:rFonts w:hint="eastAsia" w:hAnsi="宋体" w:cs="宋体"/>
          <w:color w:val="auto"/>
          <w:sz w:val="24"/>
          <w:szCs w:val="24"/>
          <w:highlight w:val="none"/>
        </w:rPr>
        <w:t xml:space="preserve">人员配置表（共</w:t>
      </w:r>
      <w:r>
        <w:rPr>
          <w:rFonts w:hint="eastAsia" w:hAnsi="宋体" w:cs="宋体"/>
          <w:color w:val="auto"/>
          <w:sz w:val="24"/>
          <w:szCs w:val="24"/>
          <w:highlight w:val="none"/>
          <w:lang w:val="en-US" w:eastAsia="zh-CN"/>
        </w:rPr>
        <w:t xml:space="preserve">100</w:t>
      </w:r>
      <w:r>
        <w:rPr>
          <w:rFonts w:hint="eastAsia" w:hAnsi="宋体" w:cs="宋体"/>
          <w:color w:val="auto"/>
          <w:sz w:val="24"/>
          <w:szCs w:val="24"/>
          <w:highlight w:val="none"/>
        </w:rPr>
        <w:t xml:space="preserve">人）</w:t>
      </w:r>
      <w:r/>
    </w:p>
    <w:p>
      <w:pPr>
        <w:jc w:val="left"/>
        <w:tabs>
          <w:tab w:val="left" w:pos="683" w:leader="none"/>
        </w:tabs>
        <w:rPr>
          <w:rFonts w:hint="eastAsia" w:hAnsi="宋体" w:cs="宋体"/>
          <w:color w:val="auto"/>
          <w:sz w:val="24"/>
          <w:szCs w:val="24"/>
          <w:highlight w:val="none"/>
        </w:rPr>
      </w:pPr>
      <w:r>
        <w:rPr>
          <w:rFonts w:hint="eastAsia" w:hAnsi="宋体" w:cs="宋体"/>
          <w:color w:val="auto"/>
          <w:sz w:val="24"/>
          <w:szCs w:val="24"/>
          <w:highlight w:val="none"/>
        </w:rPr>
      </w:r>
      <w:r/>
    </w:p>
    <w:tbl>
      <w:tblPr>
        <w:tblStyle w:val="807"/>
        <w:tblW w:w="9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840"/>
        <w:gridCol w:w="1696"/>
        <w:gridCol w:w="847"/>
        <w:gridCol w:w="1413"/>
        <w:gridCol w:w="1154"/>
        <w:gridCol w:w="1672"/>
        <w:gridCol w:w="1279"/>
      </w:tblGrid>
      <w:tr>
        <w:trPr>
          <w:jc w:val="center"/>
          <w:trHeight w:val="482"/>
        </w:trPr>
        <w:tc>
          <w:tcPr>
            <w:gridSpan w:val="3"/>
            <w:tcMar>
              <w:left w:w="15" w:type="dxa"/>
              <w:top w:w="15" w:type="dxa"/>
              <w:right w:w="15" w:type="dxa"/>
              <w:bottom w:w="15" w:type="dxa"/>
            </w:tcMar>
            <w:tcW w:w="3152"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项目</w:t>
            </w:r>
            <w:r/>
          </w:p>
        </w:tc>
        <w:tc>
          <w:tcPr>
            <w:tcMar>
              <w:left w:w="15" w:type="dxa"/>
              <w:top w:w="15" w:type="dxa"/>
              <w:right w:w="15" w:type="dxa"/>
              <w:bottom w:w="15" w:type="dxa"/>
            </w:tcMar>
            <w:tcW w:w="847"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性别</w:t>
            </w:r>
            <w:r/>
          </w:p>
        </w:tc>
        <w:tc>
          <w:tcPr>
            <w:tcMar>
              <w:left w:w="15" w:type="dxa"/>
              <w:top w:w="15" w:type="dxa"/>
              <w:right w:w="15" w:type="dxa"/>
              <w:bottom w:w="15" w:type="dxa"/>
            </w:tcMar>
            <w:tcW w:w="1413"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年龄要求</w:t>
            </w:r>
            <w:r/>
          </w:p>
        </w:tc>
        <w:tc>
          <w:tcPr>
            <w:tcMar>
              <w:left w:w="15" w:type="dxa"/>
              <w:top w:w="15" w:type="dxa"/>
              <w:right w:w="15" w:type="dxa"/>
              <w:bottom w:w="15" w:type="dxa"/>
            </w:tcMar>
            <w:tcW w:w="1154"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人数</w:t>
            </w:r>
            <w:r/>
          </w:p>
        </w:tc>
        <w:tc>
          <w:tcPr>
            <w:tcMar>
              <w:left w:w="15" w:type="dxa"/>
              <w:top w:w="15" w:type="dxa"/>
              <w:right w:w="15" w:type="dxa"/>
              <w:bottom w:w="15" w:type="dxa"/>
            </w:tcMar>
            <w:tcW w:w="1672"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上班时制</w:t>
            </w:r>
            <w:r/>
          </w:p>
        </w:tc>
        <w:tc>
          <w:tcPr>
            <w:tcMar>
              <w:left w:w="15" w:type="dxa"/>
              <w:top w:w="15" w:type="dxa"/>
              <w:right w:w="15" w:type="dxa"/>
              <w:bottom w:w="15" w:type="dxa"/>
            </w:tcMar>
            <w:tcW w:w="1279" w:type="dxa"/>
            <w:vAlign w:val="center"/>
            <w:textDirection w:val="lrTb"/>
            <w:noWrap w:val="false"/>
          </w:tcPr>
          <w:p>
            <w:pPr>
              <w:jc w:val="center"/>
              <w:widowControl/>
              <w:rPr>
                <w:rFonts w:ascii="宋体"/>
                <w:b/>
                <w:bCs/>
                <w:color w:val="auto"/>
                <w:szCs w:val="21"/>
                <w:highlight w:val="none"/>
              </w:rPr>
            </w:pPr>
            <w:r>
              <w:rPr>
                <w:rFonts w:hint="eastAsia" w:ascii="宋体" w:hAnsi="宋体" w:cs="宋体"/>
                <w:b/>
                <w:bCs/>
                <w:color w:val="auto"/>
                <w:szCs w:val="21"/>
                <w:highlight w:val="none"/>
              </w:rPr>
              <w:t xml:space="preserve">说明</w:t>
            </w:r>
            <w:r/>
          </w:p>
        </w:tc>
      </w:tr>
      <w:tr>
        <w:trPr>
          <w:jc w:val="center"/>
          <w:trHeight w:val="405"/>
        </w:trPr>
        <w:tc>
          <w:tcPr>
            <w:tcMar>
              <w:left w:w="15" w:type="dxa"/>
              <w:top w:w="15" w:type="dxa"/>
              <w:right w:w="15" w:type="dxa"/>
              <w:bottom w:w="15" w:type="dxa"/>
            </w:tcMar>
            <w:tcW w:w="616" w:type="dxa"/>
            <w:vAlign w:val="center"/>
            <w:vMerge w:val="restart"/>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1</w:t>
            </w:r>
            <w:r/>
          </w:p>
        </w:tc>
        <w:tc>
          <w:tcPr>
            <w:tcMar>
              <w:left w:w="15" w:type="dxa"/>
              <w:top w:w="15" w:type="dxa"/>
              <w:right w:w="15" w:type="dxa"/>
              <w:bottom w:w="15" w:type="dxa"/>
            </w:tcMar>
            <w:tcW w:w="840" w:type="dxa"/>
            <w:vAlign w:val="center"/>
            <w:vMerge w:val="restart"/>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管理部</w:t>
            </w:r>
            <w:r/>
          </w:p>
        </w:tc>
        <w:tc>
          <w:tcPr>
            <w:tcMar>
              <w:left w:w="15" w:type="dxa"/>
              <w:top w:w="15" w:type="dxa"/>
              <w:right w:w="15" w:type="dxa"/>
              <w:bottom w:w="15" w:type="dxa"/>
            </w:tcMar>
            <w:tcW w:w="1696" w:type="dxa"/>
            <w:vAlign w:val="center"/>
            <w:textDirection w:val="lrTb"/>
            <w:noWrap w:val="false"/>
          </w:tcPr>
          <w:p>
            <w:pPr>
              <w:jc w:val="center"/>
              <w:spacing w:line="300" w:lineRule="auto"/>
              <w:widowControl/>
              <w:rPr>
                <w:rFonts w:ascii="宋体" w:hAnsi="宋体" w:cs="宋体"/>
                <w:color w:val="auto"/>
                <w:szCs w:val="21"/>
                <w:highlight w:val="none"/>
              </w:rPr>
            </w:pPr>
            <w:r>
              <w:rPr>
                <w:rFonts w:hint="eastAsia" w:ascii="宋体" w:hAnsi="宋体" w:cs="宋体"/>
                <w:color w:val="auto"/>
                <w:szCs w:val="21"/>
                <w:highlight w:val="none"/>
              </w:rPr>
              <w:t xml:space="preserve">物业经理</w:t>
            </w:r>
            <w:r/>
          </w:p>
        </w:tc>
        <w:tc>
          <w:tcPr>
            <w:tcMar>
              <w:left w:w="15" w:type="dxa"/>
              <w:top w:w="15" w:type="dxa"/>
              <w:right w:w="15" w:type="dxa"/>
              <w:bottom w:w="15" w:type="dxa"/>
            </w:tcMar>
            <w:tcW w:w="847" w:type="dxa"/>
            <w:vAlign w:val="center"/>
            <w:textDirection w:val="lrTb"/>
            <w:noWrap w:val="false"/>
          </w:tcPr>
          <w:p>
            <w:pPr>
              <w:jc w:val="center"/>
              <w:spacing w:line="300" w:lineRule="auto"/>
              <w:widowControl/>
              <w:rPr>
                <w:rFonts w:hint="eastAsia" w:ascii="宋体"/>
                <w:color w:val="auto"/>
                <w:szCs w:val="21"/>
                <w:highlight w:val="none"/>
              </w:rPr>
            </w:pPr>
            <w:r>
              <w:rPr>
                <w:rFonts w:hint="eastAsia" w:ascii="宋体"/>
                <w:color w:val="auto"/>
                <w:szCs w:val="21"/>
                <w:highlight w:val="none"/>
              </w:rPr>
              <w:t xml:space="preserve">不限</w:t>
            </w:r>
            <w:r/>
          </w:p>
        </w:tc>
        <w:tc>
          <w:tcPr>
            <w:tcMar>
              <w:left w:w="15" w:type="dxa"/>
              <w:top w:w="15" w:type="dxa"/>
              <w:right w:w="15" w:type="dxa"/>
              <w:bottom w:w="15" w:type="dxa"/>
            </w:tcMar>
            <w:tcW w:w="1413"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50周岁以下</w:t>
            </w:r>
            <w:r/>
          </w:p>
        </w:tc>
        <w:tc>
          <w:tcPr>
            <w:tcMar>
              <w:left w:w="15" w:type="dxa"/>
              <w:top w:w="15" w:type="dxa"/>
              <w:right w:w="15" w:type="dxa"/>
              <w:bottom w:w="15" w:type="dxa"/>
            </w:tcMar>
            <w:tcW w:w="1154" w:type="dxa"/>
            <w:vAlign w:val="center"/>
            <w:textDirection w:val="lrTb"/>
            <w:noWrap w:val="false"/>
          </w:tcPr>
          <w:p>
            <w:pPr>
              <w:jc w:val="center"/>
              <w:spacing w:line="300" w:lineRule="auto"/>
              <w:widowControl/>
              <w:rPr>
                <w:rFonts w:ascii="宋体"/>
                <w:color w:val="auto"/>
                <w:szCs w:val="21"/>
                <w:highlight w:val="none"/>
              </w:rPr>
            </w:pPr>
            <w:r>
              <w:rPr>
                <w:rFonts w:hint="eastAsia" w:ascii="宋体"/>
                <w:color w:val="auto"/>
                <w:szCs w:val="21"/>
                <w:highlight w:val="none"/>
              </w:rPr>
              <w:t xml:space="preserve">2</w:t>
            </w:r>
            <w:r/>
          </w:p>
        </w:tc>
        <w:tc>
          <w:tcPr>
            <w:tcMar>
              <w:left w:w="15" w:type="dxa"/>
              <w:top w:w="15" w:type="dxa"/>
              <w:right w:w="15" w:type="dxa"/>
              <w:bottom w:w="15" w:type="dxa"/>
            </w:tcMar>
            <w:tcW w:w="1672"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Mar>
              <w:left w:w="15" w:type="dxa"/>
              <w:top w:w="15" w:type="dxa"/>
              <w:right w:w="15" w:type="dxa"/>
              <w:bottom w:w="15" w:type="dxa"/>
            </w:tcMar>
            <w:tcW w:w="1279" w:type="dxa"/>
            <w:vAlign w:val="center"/>
            <w:vMerge w:val="restart"/>
            <w:textDirection w:val="lrTb"/>
            <w:noWrap w:val="false"/>
          </w:tcPr>
          <w:p>
            <w:pPr>
              <w:jc w:val="center"/>
              <w:spacing w:line="300" w:lineRule="auto"/>
              <w:widowControl/>
              <w:rPr>
                <w:rFonts w:ascii="宋体"/>
                <w:color w:val="auto"/>
                <w:szCs w:val="21"/>
                <w:highlight w:val="none"/>
              </w:rPr>
            </w:pPr>
            <w:r>
              <w:rPr>
                <w:rFonts w:ascii="宋体"/>
                <w:color w:val="auto"/>
                <w:szCs w:val="21"/>
                <w:highlight w:val="none"/>
              </w:rPr>
            </w:r>
            <w:r/>
          </w:p>
        </w:tc>
      </w:tr>
      <w:tr>
        <w:trPr>
          <w:jc w:val="center"/>
          <w:trHeight w:val="405"/>
        </w:trPr>
        <w:tc>
          <w:tcPr>
            <w:tcW w:w="616"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c>
          <w:tcPr>
            <w:tcW w:w="840"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c>
          <w:tcPr>
            <w:tcMar>
              <w:left w:w="15" w:type="dxa"/>
              <w:top w:w="15" w:type="dxa"/>
              <w:right w:w="15" w:type="dxa"/>
              <w:bottom w:w="15" w:type="dxa"/>
            </w:tcMar>
            <w:tcW w:w="1696" w:type="dxa"/>
            <w:vAlign w:val="center"/>
            <w:textDirection w:val="lrTb"/>
            <w:noWrap w:val="false"/>
          </w:tcPr>
          <w:p>
            <w:pPr>
              <w:jc w:val="center"/>
              <w:spacing w:line="300" w:lineRule="auto"/>
              <w:widowControl/>
              <w:rPr>
                <w:rFonts w:ascii="宋体" w:hAnsi="宋体" w:cs="宋体"/>
                <w:color w:val="auto"/>
                <w:szCs w:val="21"/>
                <w:highlight w:val="none"/>
              </w:rPr>
            </w:pPr>
            <w:r>
              <w:rPr>
                <w:rFonts w:hint="eastAsia" w:ascii="宋体" w:hAnsi="宋体" w:cs="宋体"/>
                <w:color w:val="auto"/>
                <w:szCs w:val="21"/>
                <w:highlight w:val="none"/>
              </w:rPr>
              <w:t xml:space="preserve">客服</w:t>
            </w:r>
            <w:r/>
          </w:p>
        </w:tc>
        <w:tc>
          <w:tcPr>
            <w:tcMar>
              <w:left w:w="15" w:type="dxa"/>
              <w:top w:w="15" w:type="dxa"/>
              <w:right w:w="15" w:type="dxa"/>
              <w:bottom w:w="15" w:type="dxa"/>
            </w:tcMar>
            <w:tcW w:w="847"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女</w:t>
            </w:r>
            <w:r/>
          </w:p>
        </w:tc>
        <w:tc>
          <w:tcPr>
            <w:tcMar>
              <w:left w:w="15" w:type="dxa"/>
              <w:top w:w="15" w:type="dxa"/>
              <w:right w:w="15" w:type="dxa"/>
              <w:bottom w:w="15" w:type="dxa"/>
            </w:tcMar>
            <w:tcW w:w="1413"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45周岁以下</w:t>
            </w:r>
            <w:r/>
          </w:p>
        </w:tc>
        <w:tc>
          <w:tcPr>
            <w:tcMar>
              <w:left w:w="15" w:type="dxa"/>
              <w:top w:w="15" w:type="dxa"/>
              <w:right w:w="15" w:type="dxa"/>
              <w:bottom w:w="15" w:type="dxa"/>
            </w:tcMar>
            <w:tcW w:w="1154" w:type="dxa"/>
            <w:vAlign w:val="center"/>
            <w:textDirection w:val="lrTb"/>
            <w:noWrap w:val="false"/>
          </w:tcPr>
          <w:p>
            <w:pPr>
              <w:jc w:val="center"/>
              <w:spacing w:line="300" w:lineRule="auto"/>
              <w:widowControl/>
              <w:rPr>
                <w:rFonts w:ascii="宋体"/>
                <w:color w:val="auto"/>
                <w:szCs w:val="21"/>
                <w:highlight w:val="none"/>
              </w:rPr>
            </w:pPr>
            <w:r>
              <w:rPr>
                <w:rFonts w:hint="eastAsia" w:ascii="宋体"/>
                <w:color w:val="auto"/>
                <w:szCs w:val="21"/>
                <w:highlight w:val="none"/>
              </w:rPr>
              <w:t xml:space="preserve">4</w:t>
            </w:r>
            <w:r/>
          </w:p>
        </w:tc>
        <w:tc>
          <w:tcPr>
            <w:tcMar>
              <w:left w:w="15" w:type="dxa"/>
              <w:top w:w="15" w:type="dxa"/>
              <w:right w:w="15" w:type="dxa"/>
              <w:bottom w:w="15" w:type="dxa"/>
            </w:tcMar>
            <w:tcW w:w="1672"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W w:w="1279"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r>
      <w:tr>
        <w:trPr>
          <w:jc w:val="center"/>
          <w:trHeight w:val="405"/>
        </w:trPr>
        <w:tc>
          <w:tcPr>
            <w:tcMar>
              <w:left w:w="15" w:type="dxa"/>
              <w:top w:w="15" w:type="dxa"/>
              <w:right w:w="15" w:type="dxa"/>
              <w:bottom w:w="15" w:type="dxa"/>
            </w:tcMar>
            <w:tcW w:w="616" w:type="dxa"/>
            <w:vAlign w:val="center"/>
            <w:vMerge w:val="restart"/>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2</w:t>
            </w:r>
            <w:r/>
          </w:p>
        </w:tc>
        <w:tc>
          <w:tcPr>
            <w:tcMar>
              <w:left w:w="15" w:type="dxa"/>
              <w:top w:w="15" w:type="dxa"/>
              <w:right w:w="15" w:type="dxa"/>
              <w:bottom w:w="15" w:type="dxa"/>
            </w:tcMar>
            <w:tcW w:w="840" w:type="dxa"/>
            <w:vAlign w:val="center"/>
            <w:vMerge w:val="restart"/>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保安部</w:t>
            </w:r>
            <w:r/>
          </w:p>
        </w:tc>
        <w:tc>
          <w:tcPr>
            <w:tcMar>
              <w:left w:w="15" w:type="dxa"/>
              <w:top w:w="15" w:type="dxa"/>
              <w:right w:w="15" w:type="dxa"/>
              <w:bottom w:w="15" w:type="dxa"/>
            </w:tcMar>
            <w:tcW w:w="1696" w:type="dxa"/>
            <w:vAlign w:val="center"/>
            <w:textDirection w:val="lrTb"/>
            <w:noWrap w:val="false"/>
          </w:tcPr>
          <w:p>
            <w:pPr>
              <w:jc w:val="center"/>
              <w:spacing w:line="300" w:lineRule="auto"/>
              <w:widowControl/>
              <w:rPr>
                <w:rFonts w:ascii="宋体" w:hAnsi="宋体" w:cs="宋体"/>
                <w:color w:val="auto"/>
                <w:szCs w:val="21"/>
                <w:highlight w:val="none"/>
              </w:rPr>
            </w:pPr>
            <w:r>
              <w:rPr>
                <w:rFonts w:hint="eastAsia" w:ascii="宋体" w:hAnsi="宋体" w:cs="宋体"/>
                <w:color w:val="auto"/>
                <w:szCs w:val="21"/>
                <w:highlight w:val="none"/>
              </w:rPr>
              <w:t xml:space="preserve">保安队长</w:t>
            </w:r>
            <w:r/>
          </w:p>
        </w:tc>
        <w:tc>
          <w:tcPr>
            <w:tcMar>
              <w:left w:w="15" w:type="dxa"/>
              <w:top w:w="15" w:type="dxa"/>
              <w:right w:w="15" w:type="dxa"/>
              <w:bottom w:w="15" w:type="dxa"/>
            </w:tcMar>
            <w:tcW w:w="847" w:type="dxa"/>
            <w:vAlign w:val="center"/>
            <w:textDirection w:val="lrTb"/>
            <w:noWrap w:val="false"/>
          </w:tcPr>
          <w:p>
            <w:pPr>
              <w:jc w:val="center"/>
              <w:spacing w:line="300" w:lineRule="auto"/>
              <w:widowControl/>
              <w:rPr>
                <w:rFonts w:ascii="宋体" w:hAnsi="宋体" w:cs="宋体"/>
                <w:color w:val="auto"/>
                <w:szCs w:val="21"/>
                <w:highlight w:val="none"/>
              </w:rPr>
            </w:pPr>
            <w:r>
              <w:rPr>
                <w:rFonts w:hint="eastAsia" w:ascii="宋体" w:hAnsi="宋体" w:cs="宋体"/>
                <w:color w:val="auto"/>
                <w:szCs w:val="21"/>
                <w:highlight w:val="none"/>
              </w:rPr>
              <w:t xml:space="preserve">男</w:t>
            </w:r>
            <w:r/>
          </w:p>
        </w:tc>
        <w:tc>
          <w:tcPr>
            <w:tcMar>
              <w:left w:w="15" w:type="dxa"/>
              <w:top w:w="15" w:type="dxa"/>
              <w:right w:w="15" w:type="dxa"/>
              <w:bottom w:w="15" w:type="dxa"/>
            </w:tcMar>
            <w:tcW w:w="1413" w:type="dxa"/>
            <w:vAlign w:val="center"/>
            <w:textDirection w:val="lrTb"/>
            <w:noWrap w:val="false"/>
          </w:tcPr>
          <w:p>
            <w:pPr>
              <w:jc w:val="center"/>
              <w:spacing w:line="300" w:lineRule="auto"/>
              <w:widowControl/>
              <w:rPr>
                <w:rFonts w:ascii="宋体" w:hAnsi="宋体" w:cs="宋体"/>
                <w:color w:val="auto"/>
                <w:szCs w:val="21"/>
                <w:highlight w:val="none"/>
              </w:rPr>
            </w:pPr>
            <w:r>
              <w:rPr>
                <w:rFonts w:hint="eastAsia" w:ascii="宋体" w:hAnsi="宋体" w:cs="宋体"/>
                <w:color w:val="auto"/>
                <w:szCs w:val="21"/>
                <w:highlight w:val="none"/>
              </w:rPr>
              <w:t xml:space="preserve">60周岁以下</w:t>
            </w:r>
            <w:r/>
          </w:p>
        </w:tc>
        <w:tc>
          <w:tcPr>
            <w:tcMar>
              <w:left w:w="15" w:type="dxa"/>
              <w:top w:w="15" w:type="dxa"/>
              <w:right w:w="15" w:type="dxa"/>
              <w:bottom w:w="15" w:type="dxa"/>
            </w:tcMar>
            <w:tcW w:w="1154" w:type="dxa"/>
            <w:vAlign w:val="center"/>
            <w:textDirection w:val="lrTb"/>
            <w:noWrap w:val="false"/>
          </w:tcPr>
          <w:p>
            <w:pPr>
              <w:jc w:val="center"/>
              <w:spacing w:line="30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Mar>
              <w:left w:w="15" w:type="dxa"/>
              <w:top w:w="15" w:type="dxa"/>
              <w:right w:w="15" w:type="dxa"/>
              <w:bottom w:w="15" w:type="dxa"/>
            </w:tcMar>
            <w:tcW w:w="1672"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Mar>
              <w:left w:w="15" w:type="dxa"/>
              <w:top w:w="15" w:type="dxa"/>
              <w:right w:w="15" w:type="dxa"/>
              <w:bottom w:w="15" w:type="dxa"/>
            </w:tcMar>
            <w:tcW w:w="1279" w:type="dxa"/>
            <w:vAlign w:val="center"/>
            <w:textDirection w:val="lrTb"/>
            <w:noWrap w:val="false"/>
          </w:tcPr>
          <w:p>
            <w:pPr>
              <w:jc w:val="center"/>
              <w:spacing w:line="300" w:lineRule="auto"/>
              <w:widowControl/>
              <w:rPr>
                <w:rFonts w:ascii="宋体"/>
                <w:color w:val="auto"/>
                <w:szCs w:val="21"/>
                <w:highlight w:val="none"/>
              </w:rPr>
            </w:pPr>
            <w:r>
              <w:rPr>
                <w:rFonts w:ascii="宋体"/>
                <w:color w:val="auto"/>
                <w:szCs w:val="21"/>
                <w:highlight w:val="none"/>
              </w:rPr>
            </w:r>
            <w:r/>
          </w:p>
        </w:tc>
      </w:tr>
      <w:tr>
        <w:trPr>
          <w:jc w:val="center"/>
          <w:trHeight w:val="405"/>
        </w:trPr>
        <w:tc>
          <w:tcPr>
            <w:tcMar>
              <w:left w:w="15" w:type="dxa"/>
              <w:top w:w="15" w:type="dxa"/>
              <w:right w:w="15" w:type="dxa"/>
              <w:bottom w:w="15" w:type="dxa"/>
            </w:tcMar>
            <w:tcW w:w="616" w:type="dxa"/>
            <w:vAlign w:val="center"/>
            <w:vMerge w:val="continue"/>
            <w:textDirection w:val="lrTb"/>
            <w:noWrap w:val="false"/>
          </w:tcPr>
          <w:p>
            <w:pPr>
              <w:jc w:val="center"/>
              <w:spacing w:line="30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5" w:type="dxa"/>
              <w:top w:w="15" w:type="dxa"/>
              <w:right w:w="15" w:type="dxa"/>
              <w:bottom w:w="15" w:type="dxa"/>
            </w:tcMar>
            <w:tcW w:w="840" w:type="dxa"/>
            <w:vAlign w:val="center"/>
            <w:vMerge w:val="continue"/>
            <w:textDirection w:val="lrTb"/>
            <w:noWrap w:val="false"/>
          </w:tcPr>
          <w:p>
            <w:pPr>
              <w:jc w:val="center"/>
              <w:spacing w:line="30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5" w:type="dxa"/>
              <w:top w:w="15" w:type="dxa"/>
              <w:right w:w="15" w:type="dxa"/>
              <w:bottom w:w="15" w:type="dxa"/>
            </w:tcMar>
            <w:tcW w:w="1696" w:type="dxa"/>
            <w:vAlign w:val="center"/>
            <w:textDirection w:val="lrTb"/>
            <w:noWrap w:val="false"/>
          </w:tcPr>
          <w:p>
            <w:pPr>
              <w:jc w:val="center"/>
              <w:spacing w:line="300" w:lineRule="auto"/>
              <w:widowControl/>
              <w:rPr>
                <w:rFonts w:ascii="宋体" w:hAnsi="宋体" w:cs="宋体"/>
                <w:color w:val="auto"/>
                <w:szCs w:val="21"/>
                <w:highlight w:val="none"/>
              </w:rPr>
            </w:pPr>
            <w:r>
              <w:rPr>
                <w:rFonts w:hint="eastAsia" w:ascii="宋体" w:hAnsi="宋体" w:cs="宋体"/>
                <w:color w:val="auto"/>
                <w:szCs w:val="21"/>
                <w:highlight w:val="none"/>
              </w:rPr>
              <w:t xml:space="preserve">保安班长兼巡逻</w:t>
            </w:r>
            <w:r/>
          </w:p>
        </w:tc>
        <w:tc>
          <w:tcPr>
            <w:tcMar>
              <w:left w:w="15" w:type="dxa"/>
              <w:top w:w="15" w:type="dxa"/>
              <w:right w:w="15" w:type="dxa"/>
              <w:bottom w:w="15" w:type="dxa"/>
            </w:tcMar>
            <w:tcW w:w="847"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男</w:t>
            </w:r>
            <w:r/>
          </w:p>
        </w:tc>
        <w:tc>
          <w:tcPr>
            <w:tcMar>
              <w:left w:w="15" w:type="dxa"/>
              <w:top w:w="15" w:type="dxa"/>
              <w:right w:w="15" w:type="dxa"/>
              <w:bottom w:w="15" w:type="dxa"/>
            </w:tcMar>
            <w:tcW w:w="1413"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60周岁以下</w:t>
            </w:r>
            <w:r/>
          </w:p>
        </w:tc>
        <w:tc>
          <w:tcPr>
            <w:tcMar>
              <w:left w:w="15" w:type="dxa"/>
              <w:top w:w="15" w:type="dxa"/>
              <w:right w:w="15" w:type="dxa"/>
              <w:bottom w:w="15" w:type="dxa"/>
            </w:tcMar>
            <w:tcW w:w="1154" w:type="dxa"/>
            <w:vAlign w:val="center"/>
            <w:textDirection w:val="lrTb"/>
            <w:noWrap w:val="false"/>
          </w:tcPr>
          <w:p>
            <w:pPr>
              <w:jc w:val="center"/>
              <w:spacing w:line="300" w:lineRule="auto"/>
              <w:widowControl/>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20</w:t>
            </w:r>
            <w:r/>
          </w:p>
        </w:tc>
        <w:tc>
          <w:tcPr>
            <w:tcMar>
              <w:left w:w="15" w:type="dxa"/>
              <w:top w:w="15" w:type="dxa"/>
              <w:right w:w="15" w:type="dxa"/>
              <w:bottom w:w="15" w:type="dxa"/>
            </w:tcMar>
            <w:tcW w:w="1672"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Mar>
              <w:left w:w="15" w:type="dxa"/>
              <w:top w:w="15" w:type="dxa"/>
              <w:right w:w="15" w:type="dxa"/>
              <w:bottom w:w="15" w:type="dxa"/>
            </w:tcMar>
            <w:tcW w:w="1279" w:type="dxa"/>
            <w:vAlign w:val="center"/>
            <w:textDirection w:val="lrTb"/>
            <w:noWrap w:val="false"/>
          </w:tcPr>
          <w:p>
            <w:pPr>
              <w:jc w:val="center"/>
              <w:spacing w:line="300" w:lineRule="auto"/>
              <w:widowControl/>
              <w:rPr>
                <w:rFonts w:hint="eastAsia" w:ascii="宋体" w:eastAsia="宋体"/>
                <w:color w:val="auto"/>
                <w:szCs w:val="21"/>
                <w:highlight w:val="none"/>
                <w:lang w:val="en-US" w:eastAsia="zh-CN"/>
              </w:rPr>
            </w:pPr>
            <w:r>
              <w:rPr>
                <w:rFonts w:hint="eastAsia" w:ascii="宋体" w:eastAsia="宋体"/>
                <w:color w:val="auto"/>
                <w:szCs w:val="21"/>
                <w:highlight w:val="none"/>
                <w:lang w:val="en-US" w:eastAsia="zh-CN"/>
              </w:rPr>
            </w:r>
            <w:r/>
          </w:p>
        </w:tc>
      </w:tr>
      <w:tr>
        <w:trPr>
          <w:jc w:val="center"/>
          <w:trHeight w:val="388"/>
        </w:trPr>
        <w:tc>
          <w:tcPr>
            <w:tcW w:w="616"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c>
          <w:tcPr>
            <w:tcW w:w="840"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c>
          <w:tcPr>
            <w:tcMar>
              <w:left w:w="15" w:type="dxa"/>
              <w:top w:w="15" w:type="dxa"/>
              <w:right w:w="15" w:type="dxa"/>
              <w:bottom w:w="15" w:type="dxa"/>
            </w:tcMar>
            <w:tcW w:w="1696"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门岗</w:t>
            </w:r>
            <w:r/>
          </w:p>
        </w:tc>
        <w:tc>
          <w:tcPr>
            <w:tcMar>
              <w:left w:w="15" w:type="dxa"/>
              <w:top w:w="15" w:type="dxa"/>
              <w:right w:w="15" w:type="dxa"/>
              <w:bottom w:w="15" w:type="dxa"/>
            </w:tcMar>
            <w:tcW w:w="847"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男</w:t>
            </w:r>
            <w:r/>
          </w:p>
        </w:tc>
        <w:tc>
          <w:tcPr>
            <w:tcMar>
              <w:left w:w="15" w:type="dxa"/>
              <w:top w:w="15" w:type="dxa"/>
              <w:right w:w="15" w:type="dxa"/>
              <w:bottom w:w="15" w:type="dxa"/>
            </w:tcMar>
            <w:tcW w:w="1413"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60周岁以下</w:t>
            </w:r>
            <w:r/>
          </w:p>
        </w:tc>
        <w:tc>
          <w:tcPr>
            <w:tcMar>
              <w:left w:w="15" w:type="dxa"/>
              <w:top w:w="15" w:type="dxa"/>
              <w:right w:w="15" w:type="dxa"/>
              <w:bottom w:w="15" w:type="dxa"/>
            </w:tcMar>
            <w:tcW w:w="1154" w:type="dxa"/>
            <w:vAlign w:val="center"/>
            <w:textDirection w:val="lrTb"/>
            <w:noWrap w:val="false"/>
          </w:tcPr>
          <w:p>
            <w:pPr>
              <w:jc w:val="center"/>
              <w:spacing w:line="300" w:lineRule="auto"/>
              <w:widowControl/>
              <w:rPr>
                <w:rFonts w:hint="eastAsia" w:ascii="宋体" w:eastAsia="宋体"/>
                <w:color w:val="auto"/>
                <w:szCs w:val="21"/>
                <w:highlight w:val="none"/>
                <w:lang w:val="en-US" w:eastAsia="zh-CN"/>
              </w:rPr>
            </w:pPr>
            <w:r>
              <w:rPr>
                <w:rFonts w:hint="eastAsia" w:ascii="宋体"/>
                <w:color w:val="auto"/>
                <w:szCs w:val="21"/>
                <w:highlight w:val="none"/>
              </w:rPr>
              <w:t xml:space="preserve">2</w:t>
            </w:r>
            <w:r>
              <w:rPr>
                <w:rFonts w:hint="eastAsia" w:ascii="宋体"/>
                <w:color w:val="auto"/>
                <w:szCs w:val="21"/>
                <w:highlight w:val="none"/>
                <w:lang w:val="en-US" w:eastAsia="zh-CN"/>
              </w:rPr>
              <w:t xml:space="preserve">4</w:t>
            </w:r>
            <w:r/>
          </w:p>
        </w:tc>
        <w:tc>
          <w:tcPr>
            <w:tcMar>
              <w:left w:w="15" w:type="dxa"/>
              <w:top w:w="15" w:type="dxa"/>
              <w:right w:w="15" w:type="dxa"/>
              <w:bottom w:w="15" w:type="dxa"/>
            </w:tcMar>
            <w:tcW w:w="1672"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四班三运转8小时制</w:t>
            </w:r>
            <w:r/>
          </w:p>
        </w:tc>
        <w:tc>
          <w:tcPr>
            <w:tcMar>
              <w:left w:w="15" w:type="dxa"/>
              <w:top w:w="15" w:type="dxa"/>
              <w:right w:w="15" w:type="dxa"/>
              <w:bottom w:w="15" w:type="dxa"/>
            </w:tcMar>
            <w:tcW w:w="1279" w:type="dxa"/>
            <w:vAlign w:val="center"/>
            <w:textDirection w:val="lrTb"/>
            <w:noWrap w:val="false"/>
          </w:tcPr>
          <w:p>
            <w:pPr>
              <w:spacing w:line="300" w:lineRule="auto"/>
              <w:rPr>
                <w:rFonts w:ascii="宋体"/>
                <w:color w:val="auto"/>
                <w:szCs w:val="21"/>
                <w:highlight w:val="none"/>
              </w:rPr>
            </w:pPr>
            <w:r>
              <w:rPr>
                <w:rFonts w:ascii="宋体"/>
                <w:color w:val="auto"/>
                <w:szCs w:val="21"/>
                <w:highlight w:val="none"/>
              </w:rPr>
            </w:r>
            <w:r/>
          </w:p>
        </w:tc>
      </w:tr>
      <w:tr>
        <w:trPr>
          <w:jc w:val="center"/>
          <w:trHeight w:val="381"/>
        </w:trPr>
        <w:tc>
          <w:tcPr>
            <w:tcW w:w="616"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c>
          <w:tcPr>
            <w:tcW w:w="840"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c>
          <w:tcPr>
            <w:tcMar>
              <w:left w:w="15" w:type="dxa"/>
              <w:top w:w="15" w:type="dxa"/>
              <w:right w:w="15" w:type="dxa"/>
              <w:bottom w:w="15" w:type="dxa"/>
            </w:tcMar>
            <w:tcW w:w="1696"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中控</w:t>
            </w:r>
            <w:r/>
          </w:p>
        </w:tc>
        <w:tc>
          <w:tcPr>
            <w:tcMar>
              <w:left w:w="15" w:type="dxa"/>
              <w:top w:w="15" w:type="dxa"/>
              <w:right w:w="15" w:type="dxa"/>
              <w:bottom w:w="15" w:type="dxa"/>
            </w:tcMar>
            <w:tcW w:w="847"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不限</w:t>
            </w:r>
            <w:r/>
          </w:p>
        </w:tc>
        <w:tc>
          <w:tcPr>
            <w:tcMar>
              <w:left w:w="15" w:type="dxa"/>
              <w:top w:w="15" w:type="dxa"/>
              <w:right w:w="15" w:type="dxa"/>
              <w:bottom w:w="15" w:type="dxa"/>
            </w:tcMar>
            <w:tcW w:w="1413"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60周岁以下</w:t>
            </w:r>
            <w:r/>
          </w:p>
        </w:tc>
        <w:tc>
          <w:tcPr>
            <w:tcMar>
              <w:left w:w="15" w:type="dxa"/>
              <w:top w:w="15" w:type="dxa"/>
              <w:right w:w="15" w:type="dxa"/>
              <w:bottom w:w="15" w:type="dxa"/>
            </w:tcMar>
            <w:tcW w:w="1154" w:type="dxa"/>
            <w:vAlign w:val="center"/>
            <w:textDirection w:val="lrTb"/>
            <w:noWrap w:val="false"/>
          </w:tcPr>
          <w:p>
            <w:pPr>
              <w:jc w:val="center"/>
              <w:spacing w:line="300" w:lineRule="auto"/>
              <w:widowControl/>
              <w:rPr>
                <w:rFonts w:hint="eastAsia" w:ascii="宋体" w:eastAsia="宋体"/>
                <w:color w:val="auto"/>
                <w:szCs w:val="21"/>
                <w:highlight w:val="none"/>
                <w:lang w:val="en-US" w:eastAsia="zh-CN"/>
              </w:rPr>
            </w:pPr>
            <w:r>
              <w:rPr>
                <w:rFonts w:hint="eastAsia" w:ascii="宋体"/>
                <w:color w:val="auto"/>
                <w:szCs w:val="21"/>
                <w:highlight w:val="none"/>
              </w:rPr>
              <w:t xml:space="preserve">1</w:t>
            </w:r>
            <w:r>
              <w:rPr>
                <w:rFonts w:hint="eastAsia" w:ascii="宋体"/>
                <w:color w:val="auto"/>
                <w:szCs w:val="21"/>
                <w:highlight w:val="none"/>
                <w:lang w:val="en-US" w:eastAsia="zh-CN"/>
              </w:rPr>
              <w:t xml:space="preserve">2</w:t>
            </w:r>
            <w:r/>
          </w:p>
        </w:tc>
        <w:tc>
          <w:tcPr>
            <w:tcMar>
              <w:left w:w="15" w:type="dxa"/>
              <w:top w:w="15" w:type="dxa"/>
              <w:right w:w="15" w:type="dxa"/>
              <w:bottom w:w="15" w:type="dxa"/>
            </w:tcMar>
            <w:tcW w:w="1672"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四班三运转8小时制</w:t>
            </w:r>
            <w:r/>
          </w:p>
        </w:tc>
        <w:tc>
          <w:tcPr>
            <w:tcMar>
              <w:left w:w="15" w:type="dxa"/>
              <w:top w:w="15" w:type="dxa"/>
              <w:right w:w="15" w:type="dxa"/>
              <w:bottom w:w="15" w:type="dxa"/>
            </w:tcMar>
            <w:tcW w:w="1279" w:type="dxa"/>
            <w:vAlign w:val="center"/>
            <w:textDirection w:val="lrTb"/>
            <w:noWrap w:val="false"/>
          </w:tcPr>
          <w:p>
            <w:pPr>
              <w:jc w:val="center"/>
              <w:spacing w:line="300" w:lineRule="auto"/>
              <w:widowControl/>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中控室3个，新渎一个，桃盛2个</w:t>
            </w:r>
            <w:r/>
          </w:p>
        </w:tc>
      </w:tr>
      <w:tr>
        <w:trPr>
          <w:jc w:val="center"/>
          <w:trHeight w:val="374"/>
        </w:trPr>
        <w:tc>
          <w:tcPr>
            <w:tcMar>
              <w:left w:w="15" w:type="dxa"/>
              <w:top w:w="15" w:type="dxa"/>
              <w:right w:w="15" w:type="dxa"/>
              <w:bottom w:w="15" w:type="dxa"/>
            </w:tcMar>
            <w:tcW w:w="616" w:type="dxa"/>
            <w:vAlign w:val="center"/>
            <w:vMerge w:val="restart"/>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3</w:t>
            </w:r>
            <w:r/>
          </w:p>
        </w:tc>
        <w:tc>
          <w:tcPr>
            <w:tcMar>
              <w:left w:w="15" w:type="dxa"/>
              <w:top w:w="15" w:type="dxa"/>
              <w:right w:w="15" w:type="dxa"/>
              <w:bottom w:w="15" w:type="dxa"/>
            </w:tcMar>
            <w:tcW w:w="840" w:type="dxa"/>
            <w:vAlign w:val="center"/>
            <w:vMerge w:val="restart"/>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保洁部</w:t>
            </w:r>
            <w:r/>
          </w:p>
        </w:tc>
        <w:tc>
          <w:tcPr>
            <w:tcMar>
              <w:left w:w="15" w:type="dxa"/>
              <w:top w:w="15" w:type="dxa"/>
              <w:right w:w="15" w:type="dxa"/>
              <w:bottom w:w="15" w:type="dxa"/>
            </w:tcMar>
            <w:tcW w:w="1696" w:type="dxa"/>
            <w:vAlign w:val="center"/>
            <w:textDirection w:val="lrTb"/>
            <w:noWrap w:val="false"/>
          </w:tcPr>
          <w:p>
            <w:pPr>
              <w:jc w:val="center"/>
              <w:spacing w:line="300" w:lineRule="auto"/>
              <w:widowControl/>
              <w:rPr>
                <w:rFonts w:ascii="宋体" w:hAnsi="宋体" w:cs="宋体"/>
                <w:color w:val="auto"/>
                <w:szCs w:val="21"/>
                <w:highlight w:val="none"/>
              </w:rPr>
            </w:pPr>
            <w:r>
              <w:rPr>
                <w:rFonts w:hint="eastAsia" w:ascii="宋体" w:hAnsi="宋体" w:cs="宋体"/>
                <w:color w:val="auto"/>
                <w:szCs w:val="21"/>
                <w:highlight w:val="none"/>
              </w:rPr>
              <w:t xml:space="preserve">保洁主管</w:t>
            </w:r>
            <w:r/>
          </w:p>
        </w:tc>
        <w:tc>
          <w:tcPr>
            <w:tcMar>
              <w:left w:w="15" w:type="dxa"/>
              <w:top w:w="15" w:type="dxa"/>
              <w:right w:w="15" w:type="dxa"/>
              <w:bottom w:w="15" w:type="dxa"/>
            </w:tcMar>
            <w:tcW w:w="847"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不限</w:t>
            </w:r>
            <w:r/>
          </w:p>
        </w:tc>
        <w:tc>
          <w:tcPr>
            <w:tcMar>
              <w:left w:w="15" w:type="dxa"/>
              <w:top w:w="15" w:type="dxa"/>
              <w:right w:w="15" w:type="dxa"/>
              <w:bottom w:w="15" w:type="dxa"/>
            </w:tcMar>
            <w:tcW w:w="1413"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60周岁以下</w:t>
            </w:r>
            <w:r/>
          </w:p>
        </w:tc>
        <w:tc>
          <w:tcPr>
            <w:tcMar>
              <w:left w:w="15" w:type="dxa"/>
              <w:top w:w="15" w:type="dxa"/>
              <w:right w:w="15" w:type="dxa"/>
              <w:bottom w:w="15" w:type="dxa"/>
            </w:tcMar>
            <w:tcW w:w="1154" w:type="dxa"/>
            <w:vAlign w:val="center"/>
            <w:textDirection w:val="lrTb"/>
            <w:noWrap w:val="false"/>
          </w:tcPr>
          <w:p>
            <w:pPr>
              <w:jc w:val="center"/>
              <w:spacing w:line="300" w:lineRule="auto"/>
              <w:widowControl/>
              <w:rPr>
                <w:rFonts w:ascii="宋体"/>
                <w:color w:val="auto"/>
                <w:szCs w:val="21"/>
                <w:highlight w:val="none"/>
              </w:rPr>
            </w:pPr>
            <w:r>
              <w:rPr>
                <w:rFonts w:hint="eastAsia" w:ascii="宋体"/>
                <w:color w:val="auto"/>
                <w:szCs w:val="21"/>
                <w:highlight w:val="none"/>
              </w:rPr>
              <w:t xml:space="preserve">2</w:t>
            </w:r>
            <w:r/>
          </w:p>
        </w:tc>
        <w:tc>
          <w:tcPr>
            <w:tcMar>
              <w:left w:w="15" w:type="dxa"/>
              <w:top w:w="15" w:type="dxa"/>
              <w:right w:w="15" w:type="dxa"/>
              <w:bottom w:w="15" w:type="dxa"/>
            </w:tcMar>
            <w:tcW w:w="1672"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Mar>
              <w:left w:w="15" w:type="dxa"/>
              <w:top w:w="15" w:type="dxa"/>
              <w:right w:w="15" w:type="dxa"/>
              <w:bottom w:w="15" w:type="dxa"/>
            </w:tcMar>
            <w:tcW w:w="1279" w:type="dxa"/>
            <w:vAlign w:val="center"/>
            <w:textDirection w:val="lrTb"/>
            <w:noWrap w:val="false"/>
          </w:tcPr>
          <w:p>
            <w:pPr>
              <w:jc w:val="center"/>
              <w:spacing w:line="300" w:lineRule="auto"/>
              <w:widowControl/>
              <w:rPr>
                <w:rFonts w:hint="eastAsia" w:ascii="宋体"/>
                <w:color w:val="auto"/>
                <w:szCs w:val="21"/>
                <w:highlight w:val="none"/>
              </w:rPr>
            </w:pPr>
            <w:r>
              <w:rPr>
                <w:rFonts w:hint="eastAsia" w:ascii="宋体"/>
                <w:color w:val="auto"/>
                <w:szCs w:val="21"/>
                <w:highlight w:val="none"/>
              </w:rPr>
            </w:r>
            <w:r/>
          </w:p>
        </w:tc>
      </w:tr>
      <w:tr>
        <w:trPr>
          <w:jc w:val="center"/>
          <w:trHeight w:val="382"/>
        </w:trPr>
        <w:tc>
          <w:tcPr>
            <w:tcW w:w="616"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c>
          <w:tcPr>
            <w:tcW w:w="840"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c>
          <w:tcPr>
            <w:tcMar>
              <w:left w:w="15" w:type="dxa"/>
              <w:top w:w="15" w:type="dxa"/>
              <w:right w:w="15" w:type="dxa"/>
              <w:bottom w:w="15" w:type="dxa"/>
            </w:tcMar>
            <w:tcW w:w="1696"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保洁员</w:t>
            </w:r>
            <w:r/>
          </w:p>
        </w:tc>
        <w:tc>
          <w:tcPr>
            <w:tcMar>
              <w:left w:w="15" w:type="dxa"/>
              <w:top w:w="15" w:type="dxa"/>
              <w:right w:w="15" w:type="dxa"/>
              <w:bottom w:w="15" w:type="dxa"/>
            </w:tcMar>
            <w:tcW w:w="847"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不限</w:t>
            </w:r>
            <w:r/>
          </w:p>
        </w:tc>
        <w:tc>
          <w:tcPr>
            <w:tcMar>
              <w:left w:w="15" w:type="dxa"/>
              <w:top w:w="15" w:type="dxa"/>
              <w:right w:w="15" w:type="dxa"/>
              <w:bottom w:w="15" w:type="dxa"/>
            </w:tcMar>
            <w:tcW w:w="1413"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60周岁以下</w:t>
            </w:r>
            <w:r/>
          </w:p>
        </w:tc>
        <w:tc>
          <w:tcPr>
            <w:tcMar>
              <w:left w:w="15" w:type="dxa"/>
              <w:top w:w="15" w:type="dxa"/>
              <w:right w:w="15" w:type="dxa"/>
              <w:bottom w:w="15" w:type="dxa"/>
            </w:tcMar>
            <w:tcW w:w="1154" w:type="dxa"/>
            <w:vAlign w:val="center"/>
            <w:textDirection w:val="lrTb"/>
            <w:noWrap w:val="false"/>
          </w:tcPr>
          <w:p>
            <w:pPr>
              <w:jc w:val="center"/>
              <w:spacing w:line="300" w:lineRule="auto"/>
              <w:widowControl/>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28</w:t>
            </w:r>
            <w:r/>
          </w:p>
        </w:tc>
        <w:tc>
          <w:tcPr>
            <w:tcMar>
              <w:left w:w="15" w:type="dxa"/>
              <w:top w:w="15" w:type="dxa"/>
              <w:right w:w="15" w:type="dxa"/>
              <w:bottom w:w="15" w:type="dxa"/>
            </w:tcMar>
            <w:tcW w:w="1672"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Mar>
              <w:left w:w="15" w:type="dxa"/>
              <w:top w:w="15" w:type="dxa"/>
              <w:right w:w="15" w:type="dxa"/>
              <w:bottom w:w="15" w:type="dxa"/>
            </w:tcMar>
            <w:tcW w:w="1279" w:type="dxa"/>
            <w:vAlign w:val="center"/>
            <w:textDirection w:val="lrTb"/>
            <w:noWrap w:val="false"/>
          </w:tcPr>
          <w:p>
            <w:pPr>
              <w:jc w:val="center"/>
              <w:spacing w:line="300" w:lineRule="auto"/>
              <w:rPr>
                <w:rFonts w:ascii="宋体"/>
                <w:color w:val="auto"/>
                <w:szCs w:val="21"/>
                <w:highlight w:val="none"/>
              </w:rPr>
            </w:pPr>
            <w:r>
              <w:rPr>
                <w:rFonts w:ascii="宋体"/>
                <w:color w:val="auto"/>
                <w:szCs w:val="21"/>
                <w:highlight w:val="none"/>
              </w:rPr>
            </w:r>
            <w:r/>
          </w:p>
        </w:tc>
      </w:tr>
      <w:tr>
        <w:trPr>
          <w:jc w:val="center"/>
          <w:trHeight w:val="382"/>
        </w:trPr>
        <w:tc>
          <w:tcPr>
            <w:tcW w:w="616"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c>
          <w:tcPr>
            <w:tcW w:w="840" w:type="dxa"/>
            <w:vAlign w:val="center"/>
            <w:vMerge w:val="continue"/>
            <w:textDirection w:val="lrTb"/>
            <w:noWrap w:val="false"/>
          </w:tcPr>
          <w:p>
            <w:pPr>
              <w:jc w:val="left"/>
              <w:spacing w:line="300" w:lineRule="auto"/>
              <w:widowControl/>
              <w:rPr>
                <w:rFonts w:ascii="宋体"/>
                <w:color w:val="auto"/>
                <w:szCs w:val="21"/>
                <w:highlight w:val="none"/>
              </w:rPr>
            </w:pPr>
            <w:r>
              <w:rPr>
                <w:rFonts w:ascii="宋体"/>
                <w:color w:val="auto"/>
                <w:szCs w:val="21"/>
                <w:highlight w:val="none"/>
              </w:rPr>
            </w:r>
            <w:r/>
          </w:p>
        </w:tc>
        <w:tc>
          <w:tcPr>
            <w:tcMar>
              <w:left w:w="15" w:type="dxa"/>
              <w:top w:w="15" w:type="dxa"/>
              <w:right w:w="15" w:type="dxa"/>
              <w:bottom w:w="15" w:type="dxa"/>
            </w:tcMar>
            <w:tcW w:w="1696" w:type="dxa"/>
            <w:vAlign w:val="center"/>
            <w:textDirection w:val="lrTb"/>
            <w:noWrap w:val="false"/>
          </w:tcPr>
          <w:p>
            <w:pPr>
              <w:jc w:val="center"/>
              <w:spacing w:line="30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保洁员</w:t>
            </w:r>
            <w:r/>
          </w:p>
        </w:tc>
        <w:tc>
          <w:tcPr>
            <w:tcMar>
              <w:left w:w="15" w:type="dxa"/>
              <w:top w:w="15" w:type="dxa"/>
              <w:right w:w="15" w:type="dxa"/>
              <w:bottom w:w="15" w:type="dxa"/>
            </w:tcMar>
            <w:tcW w:w="847"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t xml:space="preserve">不限</w:t>
            </w:r>
            <w:r/>
          </w:p>
        </w:tc>
        <w:tc>
          <w:tcPr>
            <w:tcMar>
              <w:left w:w="15" w:type="dxa"/>
              <w:top w:w="15" w:type="dxa"/>
              <w:right w:w="15" w:type="dxa"/>
              <w:bottom w:w="15" w:type="dxa"/>
            </w:tcMar>
            <w:tcW w:w="1413" w:type="dxa"/>
            <w:vAlign w:val="center"/>
            <w:textDirection w:val="lrTb"/>
            <w:noWrap w:val="false"/>
          </w:tcPr>
          <w:p>
            <w:pPr>
              <w:jc w:val="center"/>
              <w:widowControl/>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周岁（含）以下</w:t>
            </w:r>
            <w:r/>
          </w:p>
        </w:tc>
        <w:tc>
          <w:tcPr>
            <w:tcMar>
              <w:left w:w="15" w:type="dxa"/>
              <w:top w:w="15" w:type="dxa"/>
              <w:right w:w="15" w:type="dxa"/>
              <w:bottom w:w="15" w:type="dxa"/>
            </w:tcMar>
            <w:tcW w:w="1154" w:type="dxa"/>
            <w:vAlign w:val="center"/>
            <w:textDirection w:val="lrTb"/>
            <w:noWrap w:val="false"/>
          </w:tcPr>
          <w:p>
            <w:pPr>
              <w:jc w:val="center"/>
              <w:widowControl/>
              <w:rPr>
                <w:rFonts w:hint="eastAsia" w:ascii="宋体"/>
                <w:color w:val="auto"/>
                <w:sz w:val="21"/>
                <w:szCs w:val="21"/>
                <w:highlight w:val="none"/>
                <w:lang w:val="en-US" w:eastAsia="zh-CN" w:bidi="ar-SA"/>
              </w:rPr>
            </w:pPr>
            <w:r>
              <w:rPr>
                <w:rFonts w:hint="eastAsia" w:ascii="宋体"/>
                <w:color w:val="auto"/>
                <w:szCs w:val="21"/>
                <w:highlight w:val="none"/>
              </w:rPr>
              <w:t xml:space="preserve">2</w:t>
            </w:r>
            <w:r/>
          </w:p>
        </w:tc>
        <w:tc>
          <w:tcPr>
            <w:tcMar>
              <w:left w:w="15" w:type="dxa"/>
              <w:top w:w="15" w:type="dxa"/>
              <w:right w:w="15" w:type="dxa"/>
              <w:bottom w:w="15" w:type="dxa"/>
            </w:tcMar>
            <w:tcW w:w="1672" w:type="dxa"/>
            <w:vAlign w:val="center"/>
            <w:textDirection w:val="lrTb"/>
            <w:noWrap w:val="false"/>
          </w:tcPr>
          <w:p>
            <w:pPr>
              <w:jc w:val="center"/>
              <w:widowControl/>
              <w:rPr>
                <w:rFonts w:hint="eastAsia" w:ascii="宋体"/>
                <w:color w:val="auto"/>
                <w:sz w:val="21"/>
                <w:szCs w:val="21"/>
                <w:highlight w:val="none"/>
                <w:lang w:val="en-US" w:eastAsia="zh-CN" w:bidi="ar-SA"/>
              </w:rPr>
            </w:pPr>
            <w:r>
              <w:rPr>
                <w:rFonts w:hint="eastAsia" w:ascii="宋体"/>
                <w:color w:val="auto"/>
                <w:sz w:val="21"/>
                <w:szCs w:val="21"/>
                <w:highlight w:val="none"/>
                <w:lang w:val="en-US" w:eastAsia="zh-CN" w:bidi="ar-SA"/>
              </w:rPr>
            </w:r>
            <w:r/>
          </w:p>
        </w:tc>
        <w:tc>
          <w:tcPr>
            <w:tcMar>
              <w:left w:w="15" w:type="dxa"/>
              <w:top w:w="15" w:type="dxa"/>
              <w:right w:w="15" w:type="dxa"/>
              <w:bottom w:w="15" w:type="dxa"/>
            </w:tcMar>
            <w:tcW w:w="1279" w:type="dxa"/>
            <w:vAlign w:val="center"/>
            <w:textDirection w:val="lrTb"/>
            <w:noWrap w:val="false"/>
          </w:tcPr>
          <w:p>
            <w:pPr>
              <w:jc w:val="center"/>
              <w:rPr>
                <w:rFonts w:ascii="宋体"/>
                <w:color w:val="auto"/>
                <w:sz w:val="21"/>
                <w:szCs w:val="21"/>
                <w:highlight w:val="none"/>
                <w:lang w:val="en-US" w:eastAsia="zh-CN" w:bidi="ar-SA"/>
              </w:rPr>
            </w:pPr>
            <w:r>
              <w:rPr>
                <w:rFonts w:hint="eastAsia" w:ascii="宋体"/>
                <w:color w:val="auto"/>
                <w:szCs w:val="21"/>
                <w:highlight w:val="none"/>
              </w:rPr>
              <w:t xml:space="preserve">垃圾桶的拖倒复位以及垃圾桶的保洁工作</w:t>
            </w:r>
            <w:r/>
          </w:p>
        </w:tc>
      </w:tr>
      <w:tr>
        <w:trPr>
          <w:jc w:val="center"/>
          <w:trHeight w:val="466"/>
        </w:trPr>
        <w:tc>
          <w:tcPr>
            <w:tcMar>
              <w:left w:w="15" w:type="dxa"/>
              <w:top w:w="15" w:type="dxa"/>
              <w:right w:w="15" w:type="dxa"/>
              <w:bottom w:w="15" w:type="dxa"/>
            </w:tcMar>
            <w:tcW w:w="616" w:type="dxa"/>
            <w:vAlign w:val="center"/>
            <w:textDirection w:val="lrTb"/>
            <w:noWrap w:val="false"/>
          </w:tcPr>
          <w:p>
            <w:pPr>
              <w:jc w:val="center"/>
              <w:spacing w:line="300" w:lineRule="auto"/>
              <w:widowControl/>
              <w:rPr>
                <w:rFonts w:ascii="宋体"/>
                <w:color w:val="auto"/>
                <w:szCs w:val="21"/>
                <w:highlight w:val="none"/>
              </w:rPr>
            </w:pPr>
            <w:r>
              <w:rPr>
                <w:rFonts w:hint="eastAsia" w:ascii="宋体"/>
                <w:color w:val="auto"/>
                <w:szCs w:val="21"/>
                <w:highlight w:val="none"/>
              </w:rPr>
              <w:t xml:space="preserve">4</w:t>
            </w:r>
            <w:r/>
          </w:p>
        </w:tc>
        <w:tc>
          <w:tcPr>
            <w:tcMar>
              <w:left w:w="15" w:type="dxa"/>
              <w:top w:w="15" w:type="dxa"/>
              <w:right w:w="15" w:type="dxa"/>
              <w:bottom w:w="15" w:type="dxa"/>
            </w:tcMar>
            <w:tcW w:w="840" w:type="dxa"/>
            <w:vAlign w:val="center"/>
            <w:textDirection w:val="lrTb"/>
            <w:noWrap w:val="false"/>
          </w:tcPr>
          <w:p>
            <w:pPr>
              <w:jc w:val="center"/>
              <w:spacing w:line="300" w:lineRule="auto"/>
              <w:widowControl/>
              <w:rPr>
                <w:rFonts w:ascii="宋体"/>
                <w:color w:val="auto"/>
                <w:szCs w:val="21"/>
                <w:highlight w:val="none"/>
              </w:rPr>
            </w:pPr>
            <w:r>
              <w:rPr>
                <w:rFonts w:hint="eastAsia" w:ascii="宋体"/>
                <w:color w:val="auto"/>
                <w:szCs w:val="21"/>
                <w:highlight w:val="none"/>
              </w:rPr>
              <w:t xml:space="preserve">工程部</w:t>
            </w:r>
            <w:r/>
          </w:p>
        </w:tc>
        <w:tc>
          <w:tcPr>
            <w:tcMar>
              <w:left w:w="15" w:type="dxa"/>
              <w:top w:w="15" w:type="dxa"/>
              <w:right w:w="15" w:type="dxa"/>
              <w:bottom w:w="15" w:type="dxa"/>
            </w:tcMar>
            <w:tcW w:w="1696" w:type="dxa"/>
            <w:vAlign w:val="center"/>
            <w:textDirection w:val="lrTb"/>
            <w:noWrap w:val="false"/>
          </w:tcPr>
          <w:p>
            <w:pPr>
              <w:jc w:val="center"/>
              <w:spacing w:line="300" w:lineRule="auto"/>
              <w:widowControl/>
              <w:rPr>
                <w:rFonts w:ascii="宋体"/>
                <w:color w:val="auto"/>
                <w:szCs w:val="21"/>
                <w:highlight w:val="none"/>
              </w:rPr>
            </w:pPr>
            <w:r>
              <w:rPr>
                <w:rFonts w:hint="eastAsia" w:ascii="宋体"/>
                <w:color w:val="auto"/>
                <w:szCs w:val="21"/>
                <w:highlight w:val="none"/>
              </w:rPr>
              <w:t xml:space="preserve">维修（水电）</w:t>
            </w:r>
            <w:r/>
          </w:p>
        </w:tc>
        <w:tc>
          <w:tcPr>
            <w:tcMar>
              <w:left w:w="15" w:type="dxa"/>
              <w:top w:w="15" w:type="dxa"/>
              <w:right w:w="15" w:type="dxa"/>
              <w:bottom w:w="15" w:type="dxa"/>
            </w:tcMar>
            <w:tcW w:w="847"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男</w:t>
            </w:r>
            <w:r/>
          </w:p>
        </w:tc>
        <w:tc>
          <w:tcPr>
            <w:tcMar>
              <w:left w:w="15" w:type="dxa"/>
              <w:top w:w="15" w:type="dxa"/>
              <w:right w:w="15" w:type="dxa"/>
              <w:bottom w:w="15" w:type="dxa"/>
            </w:tcMar>
            <w:tcW w:w="1413"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50周岁以下</w:t>
            </w:r>
            <w:r/>
          </w:p>
        </w:tc>
        <w:tc>
          <w:tcPr>
            <w:tcMar>
              <w:left w:w="15" w:type="dxa"/>
              <w:top w:w="15" w:type="dxa"/>
              <w:right w:w="15" w:type="dxa"/>
              <w:bottom w:w="15" w:type="dxa"/>
            </w:tcMar>
            <w:tcW w:w="1154" w:type="dxa"/>
            <w:vAlign w:val="center"/>
            <w:textDirection w:val="lrTb"/>
            <w:noWrap w:val="false"/>
          </w:tcPr>
          <w:p>
            <w:pPr>
              <w:jc w:val="center"/>
              <w:spacing w:line="300" w:lineRule="auto"/>
              <w:widowControl/>
              <w:rPr>
                <w:rFonts w:ascii="宋体"/>
                <w:color w:val="auto"/>
                <w:szCs w:val="21"/>
                <w:highlight w:val="none"/>
              </w:rPr>
            </w:pPr>
            <w:r>
              <w:rPr>
                <w:rFonts w:hint="eastAsia" w:ascii="宋体"/>
                <w:color w:val="auto"/>
                <w:szCs w:val="21"/>
                <w:highlight w:val="none"/>
              </w:rPr>
              <w:t xml:space="preserve">3</w:t>
            </w:r>
            <w:r/>
          </w:p>
        </w:tc>
        <w:tc>
          <w:tcPr>
            <w:tcMar>
              <w:left w:w="15" w:type="dxa"/>
              <w:top w:w="15" w:type="dxa"/>
              <w:right w:w="15" w:type="dxa"/>
              <w:bottom w:w="15" w:type="dxa"/>
            </w:tcMar>
            <w:tcW w:w="1672" w:type="dxa"/>
            <w:vAlign w:val="center"/>
            <w:textDirection w:val="lrTb"/>
            <w:noWrap w:val="false"/>
          </w:tcPr>
          <w:p>
            <w:pPr>
              <w:jc w:val="center"/>
              <w:spacing w:line="300" w:lineRule="auto"/>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Mar>
              <w:left w:w="15" w:type="dxa"/>
              <w:top w:w="15" w:type="dxa"/>
              <w:right w:w="15" w:type="dxa"/>
              <w:bottom w:w="15" w:type="dxa"/>
            </w:tcMar>
            <w:tcW w:w="1279" w:type="dxa"/>
            <w:vAlign w:val="center"/>
            <w:textDirection w:val="lrTb"/>
            <w:noWrap w:val="false"/>
          </w:tcPr>
          <w:p>
            <w:pPr>
              <w:jc w:val="center"/>
              <w:spacing w:line="300" w:lineRule="auto"/>
              <w:rPr>
                <w:rFonts w:hint="eastAsia" w:ascii="宋体"/>
                <w:color w:val="auto"/>
                <w:szCs w:val="21"/>
                <w:highlight w:val="none"/>
              </w:rPr>
            </w:pPr>
            <w:r>
              <w:rPr>
                <w:rFonts w:hint="eastAsia" w:ascii="宋体"/>
                <w:color w:val="auto"/>
                <w:szCs w:val="21"/>
                <w:highlight w:val="none"/>
              </w:rPr>
            </w:r>
            <w:r/>
          </w:p>
        </w:tc>
      </w:tr>
      <w:tr>
        <w:trPr>
          <w:jc w:val="center"/>
          <w:trHeight w:val="416"/>
        </w:trPr>
        <w:tc>
          <w:tcPr>
            <w:gridSpan w:val="3"/>
            <w:tcMar>
              <w:left w:w="15" w:type="dxa"/>
              <w:top w:w="15" w:type="dxa"/>
              <w:right w:w="15" w:type="dxa"/>
              <w:bottom w:w="15" w:type="dxa"/>
            </w:tcMar>
            <w:tcW w:w="3152" w:type="dxa"/>
            <w:vAlign w:val="center"/>
            <w:textDirection w:val="lrTb"/>
            <w:noWrap w:val="false"/>
          </w:tcPr>
          <w:p>
            <w:pPr>
              <w:jc w:val="center"/>
              <w:spacing w:line="300" w:lineRule="auto"/>
              <w:widowControl/>
              <w:rPr>
                <w:rFonts w:ascii="宋体"/>
                <w:b/>
                <w:bCs/>
                <w:color w:val="auto"/>
                <w:szCs w:val="21"/>
                <w:highlight w:val="none"/>
              </w:rPr>
            </w:pPr>
            <w:r>
              <w:rPr>
                <w:rFonts w:hint="eastAsia" w:ascii="宋体"/>
                <w:b/>
                <w:bCs/>
                <w:color w:val="auto"/>
                <w:szCs w:val="21"/>
                <w:highlight w:val="none"/>
              </w:rPr>
              <w:t xml:space="preserve">小  计</w:t>
            </w:r>
            <w:r/>
          </w:p>
        </w:tc>
        <w:tc>
          <w:tcPr>
            <w:tcMar>
              <w:left w:w="15" w:type="dxa"/>
              <w:top w:w="15" w:type="dxa"/>
              <w:right w:w="15" w:type="dxa"/>
              <w:bottom w:w="15" w:type="dxa"/>
            </w:tcMar>
            <w:tcW w:w="847" w:type="dxa"/>
            <w:vAlign w:val="center"/>
            <w:textDirection w:val="lrTb"/>
            <w:noWrap w:val="false"/>
          </w:tcPr>
          <w:p>
            <w:pPr>
              <w:jc w:val="center"/>
              <w:spacing w:line="300" w:lineRule="auto"/>
              <w:rPr>
                <w:rFonts w:ascii="宋体"/>
                <w:b/>
                <w:bCs/>
                <w:color w:val="auto"/>
                <w:szCs w:val="21"/>
                <w:highlight w:val="none"/>
              </w:rPr>
            </w:pPr>
            <w:r>
              <w:rPr>
                <w:rFonts w:ascii="宋体"/>
                <w:b/>
                <w:bCs/>
                <w:color w:val="auto"/>
                <w:szCs w:val="21"/>
                <w:highlight w:val="none"/>
              </w:rPr>
            </w:r>
            <w:r/>
          </w:p>
        </w:tc>
        <w:tc>
          <w:tcPr>
            <w:tcMar>
              <w:left w:w="15" w:type="dxa"/>
              <w:top w:w="15" w:type="dxa"/>
              <w:right w:w="15" w:type="dxa"/>
              <w:bottom w:w="15" w:type="dxa"/>
            </w:tcMar>
            <w:tcW w:w="1413" w:type="dxa"/>
            <w:vAlign w:val="center"/>
            <w:textDirection w:val="lrTb"/>
            <w:noWrap w:val="false"/>
          </w:tcPr>
          <w:p>
            <w:pPr>
              <w:jc w:val="center"/>
              <w:spacing w:line="300" w:lineRule="auto"/>
              <w:rPr>
                <w:rFonts w:ascii="宋体"/>
                <w:b/>
                <w:bCs/>
                <w:color w:val="auto"/>
                <w:szCs w:val="21"/>
                <w:highlight w:val="none"/>
              </w:rPr>
            </w:pPr>
            <w:r>
              <w:rPr>
                <w:rFonts w:ascii="宋体"/>
                <w:b/>
                <w:bCs/>
                <w:color w:val="auto"/>
                <w:szCs w:val="21"/>
                <w:highlight w:val="none"/>
              </w:rPr>
            </w:r>
            <w:r/>
          </w:p>
        </w:tc>
        <w:tc>
          <w:tcPr>
            <w:tcMar>
              <w:left w:w="15" w:type="dxa"/>
              <w:top w:w="15" w:type="dxa"/>
              <w:right w:w="15" w:type="dxa"/>
              <w:bottom w:w="15" w:type="dxa"/>
            </w:tcMar>
            <w:tcW w:w="1154" w:type="dxa"/>
            <w:vAlign w:val="center"/>
            <w:textDirection w:val="lrTb"/>
            <w:noWrap w:val="false"/>
          </w:tcPr>
          <w:p>
            <w:pPr>
              <w:jc w:val="center"/>
              <w:spacing w:line="300" w:lineRule="auto"/>
              <w:widowControl/>
              <w:rPr>
                <w:rFonts w:hint="default" w:ascii="宋体" w:eastAsia="宋体"/>
                <w:b/>
                <w:bCs/>
                <w:color w:val="auto"/>
                <w:szCs w:val="21"/>
                <w:highlight w:val="none"/>
                <w:lang w:val="en-US" w:eastAsia="zh-CN"/>
              </w:rPr>
            </w:pPr>
            <w:r>
              <w:rPr>
                <w:rFonts w:hint="eastAsia" w:ascii="宋体"/>
                <w:b/>
                <w:bCs/>
                <w:color w:val="auto"/>
                <w:szCs w:val="21"/>
                <w:highlight w:val="none"/>
                <w:lang w:val="en-US" w:eastAsia="zh-CN"/>
              </w:rPr>
              <w:t xml:space="preserve">100</w:t>
            </w:r>
            <w:r/>
          </w:p>
        </w:tc>
        <w:tc>
          <w:tcPr>
            <w:tcMar>
              <w:left w:w="15" w:type="dxa"/>
              <w:top w:w="15" w:type="dxa"/>
              <w:right w:w="15" w:type="dxa"/>
              <w:bottom w:w="15" w:type="dxa"/>
            </w:tcMar>
            <w:tcW w:w="1672" w:type="dxa"/>
            <w:vAlign w:val="center"/>
            <w:textDirection w:val="lrTb"/>
            <w:noWrap w:val="false"/>
          </w:tcPr>
          <w:p>
            <w:pPr>
              <w:jc w:val="center"/>
              <w:spacing w:line="300" w:lineRule="auto"/>
              <w:rPr>
                <w:rFonts w:ascii="宋体"/>
                <w:b/>
                <w:bCs/>
                <w:color w:val="auto"/>
                <w:szCs w:val="21"/>
                <w:highlight w:val="none"/>
              </w:rPr>
            </w:pPr>
            <w:r>
              <w:rPr>
                <w:rFonts w:ascii="宋体"/>
                <w:b/>
                <w:bCs/>
                <w:color w:val="auto"/>
                <w:szCs w:val="21"/>
                <w:highlight w:val="none"/>
              </w:rPr>
            </w:r>
            <w:r/>
          </w:p>
        </w:tc>
        <w:tc>
          <w:tcPr>
            <w:tcMar>
              <w:left w:w="15" w:type="dxa"/>
              <w:top w:w="15" w:type="dxa"/>
              <w:right w:w="15" w:type="dxa"/>
              <w:bottom w:w="15" w:type="dxa"/>
            </w:tcMar>
            <w:tcW w:w="1279" w:type="dxa"/>
            <w:vAlign w:val="center"/>
            <w:textDirection w:val="lrTb"/>
            <w:noWrap w:val="false"/>
          </w:tcPr>
          <w:p>
            <w:pPr>
              <w:jc w:val="center"/>
              <w:spacing w:line="300" w:lineRule="auto"/>
              <w:rPr>
                <w:rFonts w:ascii="宋体"/>
                <w:color w:val="auto"/>
                <w:szCs w:val="21"/>
                <w:highlight w:val="none"/>
              </w:rPr>
            </w:pPr>
            <w:r>
              <w:rPr>
                <w:rFonts w:ascii="宋体"/>
                <w:color w:val="auto"/>
                <w:szCs w:val="21"/>
                <w:highlight w:val="none"/>
              </w:rPr>
            </w:r>
            <w:r/>
          </w:p>
        </w:tc>
      </w:tr>
    </w:tbl>
    <w:p>
      <w:pPr>
        <w:jc w:val="left"/>
        <w:spacing w:line="300" w:lineRule="auto"/>
        <w:tabs>
          <w:tab w:val="left" w:pos="683"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42"/>
        <w:spacing w:line="360" w:lineRule="auto"/>
        <w:rPr>
          <w:rFonts w:hint="eastAsia" w:ascii="宋体" w:hAnsi="宋体" w:eastAsia="宋体" w:cs="宋体"/>
          <w:bCs/>
          <w:color w:val="auto"/>
          <w:sz w:val="32"/>
          <w:szCs w:val="32"/>
          <w:highlight w:val="none"/>
        </w:rPr>
      </w:pPr>
      <w:r>
        <w:rPr>
          <w:rFonts w:hint="eastAsia" w:ascii="宋体" w:hAnsi="宋体" w:eastAsia="宋体" w:cs="宋体"/>
          <w:b/>
          <w:bCs/>
          <w:color w:val="auto"/>
          <w:sz w:val="22"/>
          <w:szCs w:val="22"/>
          <w:highlight w:val="none"/>
        </w:rPr>
        <w:t xml:space="preserve">注：（1）根据《中华人民共和国劳动合同法</w:t>
      </w:r>
      <w:r>
        <w:rPr>
          <w:rFonts w:hint="eastAsia" w:ascii="宋体" w:hAnsi="宋体" w:eastAsia="宋体" w:cs="宋体"/>
          <w:b/>
          <w:bCs/>
          <w:color w:val="auto"/>
          <w:sz w:val="22"/>
          <w:szCs w:val="22"/>
          <w:highlight w:val="none"/>
          <w:lang w:eastAsia="zh-CN"/>
        </w:rPr>
        <w:t xml:space="preserve">》和《</w:t>
      </w:r>
      <w:r>
        <w:rPr>
          <w:rFonts w:hint="eastAsia" w:ascii="宋体" w:hAnsi="宋体" w:eastAsia="宋体" w:cs="宋体"/>
          <w:b/>
          <w:bCs/>
          <w:color w:val="auto"/>
          <w:sz w:val="22"/>
          <w:szCs w:val="22"/>
          <w:highlight w:val="none"/>
        </w:rPr>
        <w:t xml:space="preserve">中华人民共和国社会保险法》，中标供应商必须依法规范用工，符合规定条件的人员须签订劳动合同，依法参加社会保险，工资应不低于最新公布的投标供应商所在地最低工资标准。</w:t>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）中标供应商须在合同签订前三天内提供符合本项目人员配置要求的物业人员</w:t>
      </w:r>
      <w:r>
        <w:rPr>
          <w:rFonts w:hint="eastAsia" w:ascii="宋体" w:hAnsi="宋体" w:eastAsia="宋体" w:cs="宋体"/>
          <w:b/>
          <w:bCs/>
          <w:color w:val="auto"/>
          <w:sz w:val="22"/>
          <w:szCs w:val="22"/>
          <w:highlight w:val="none"/>
          <w:lang w:val="en-US" w:eastAsia="zh-CN"/>
        </w:rPr>
        <w:t xml:space="preserve">保安员证、建（构）筑物消防员证等相关职业资格证书</w:t>
      </w:r>
      <w:r>
        <w:rPr>
          <w:rFonts w:hint="eastAsia" w:ascii="宋体" w:hAnsi="宋体" w:eastAsia="宋体" w:cs="宋体"/>
          <w:b/>
          <w:bCs/>
          <w:color w:val="auto"/>
          <w:sz w:val="22"/>
          <w:szCs w:val="22"/>
          <w:highlight w:val="none"/>
        </w:rPr>
        <w:t xml:space="preserve">。若无法提供或提供虚假材料的，将提请相关部门严肃处理，并承担一切社会经济责任。</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具体物业管理服务（江苏省省标三级）和范围</w:t>
      </w:r>
      <w:r/>
    </w:p>
    <w:p>
      <w:pPr>
        <w:ind w:firstLine="412"/>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1、清洁管理标准</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1.1共用楼道保洁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每周打扫1次各楼层通道和楼梯台阶。</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1.2电梯及电梯厅保洁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每日清扫1次电梯</w:t>
      </w:r>
      <w:r>
        <w:rPr>
          <w:rFonts w:hint="eastAsia" w:hAnsi="宋体" w:cs="宋体"/>
          <w:bCs/>
          <w:color w:val="auto"/>
          <w:sz w:val="24"/>
          <w:szCs w:val="24"/>
          <w:highlight w:val="none"/>
          <w:lang w:eastAsia="zh-CN"/>
        </w:rPr>
        <w:t xml:space="preserve">轿厢</w:t>
      </w:r>
      <w:r>
        <w:rPr>
          <w:rFonts w:hint="eastAsia" w:hAnsi="宋体" w:cs="宋体"/>
          <w:bCs/>
          <w:color w:val="auto"/>
          <w:sz w:val="24"/>
          <w:szCs w:val="24"/>
          <w:highlight w:val="none"/>
        </w:rPr>
        <w:t xml:space="preserve">内垃圾，抹布擦拭1次电梯门壁。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地面基本洁净。</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1.3 停车场、共用车库或车棚保洁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每周清扫1次车库的纸屑和垃圾；</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及时清除地下室进出口的垃圾；</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每季度打开1次地下室、车库的集水坑和排水沟盖板，彻底疏通冲刷1次；</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每季度进行1次地下室消杀工作；</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地面无明显垃圾、果皮、纸屑、无积水、无明显油迹；</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空气基本流通。</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1.4道路保洁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每日清扫1次，清扫结束地面无垃圾、杂物；</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每年修理清洁路灯1次，目视灯具、灯座、灯盖、灯罩无厚积灰。</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1.5标识、宣传牌、雕塑、信报箱保洁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标识、宣传牌、信报箱每月擦拭1次，雕塑每年擦拭1次。清洁后检查无污渍、无积灰，不损伤被清洁物；</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1.6绿化带保洁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每日清扫1次绿化带、草地上的果皮、纸屑、石块等垃圾，目视基本无杂物、无污渍、无垃圾。</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1.7休闲、娱乐、健身设施保洁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每周清洁1次（擦拭表面灰尘、清扫垃圾、擦拭座椅）；</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设施表面基本干净，无灰尘污渍、锈迹，目视游乐场内及其周围无果皮、纸屑等垃圾，及时发现设施、设备脱焊、脱漆、断裂及其他安全隐患并报告处理。</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1.8门卫、岗亭、监控探头保洁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门卫、岗亭每日清扫1次，擦洗干净内外门窗玻璃及窗台，保持墙、地面基本干净、光亮、整洁，工、器具</w:t>
      </w:r>
      <w:r>
        <w:rPr>
          <w:rFonts w:hint="eastAsia" w:hAnsi="宋体" w:cs="宋体"/>
          <w:bCs/>
          <w:color w:val="auto"/>
          <w:sz w:val="24"/>
          <w:szCs w:val="24"/>
          <w:highlight w:val="none"/>
          <w:lang w:eastAsia="zh-CN"/>
        </w:rPr>
        <w:t xml:space="preserve">摆放</w:t>
      </w:r>
      <w:r>
        <w:rPr>
          <w:rFonts w:hint="eastAsia" w:hAnsi="宋体" w:cs="宋体"/>
          <w:bCs/>
          <w:color w:val="auto"/>
          <w:sz w:val="24"/>
          <w:szCs w:val="24"/>
          <w:highlight w:val="none"/>
        </w:rPr>
        <w:t xml:space="preserve">整齐、有序；</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监控探头每2个月擦拭1次，擦拭不得刮伤镜片，清洁后镜头光亮洁净，探头外表干净无灰尘。</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1.9垃圾收集与处理</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协助做好垃圾分类工作；</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垃圾日产日清；</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建筑垃圾定点堆放；</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垃圾运送过程有防掉落或飞扬洒落措施。</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1.10卫生消杀</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根据季节、小区环境以及业主（使用人）要求实施。</w:t>
      </w:r>
      <w:r/>
    </w:p>
    <w:p>
      <w:pPr>
        <w:ind w:firstLine="412"/>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2</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rPr>
        <w:t xml:space="preserve">保安管理标准</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w:t>
      </w:r>
      <w:r>
        <w:rPr>
          <w:rFonts w:hAnsi="宋体" w:cs="宋体"/>
          <w:b/>
          <w:color w:val="auto"/>
          <w:sz w:val="24"/>
          <w:szCs w:val="24"/>
          <w:highlight w:val="none"/>
        </w:rPr>
        <w:t xml:space="preserve">.1</w:t>
      </w:r>
      <w:r>
        <w:rPr>
          <w:rFonts w:hint="eastAsia" w:hAnsi="宋体" w:cs="宋体"/>
          <w:b/>
          <w:color w:val="auto"/>
          <w:sz w:val="24"/>
          <w:szCs w:val="24"/>
          <w:highlight w:val="none"/>
        </w:rPr>
        <w:t xml:space="preserve">人员组织</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保安人员，身体健康</w:t>
      </w:r>
      <w:r>
        <w:rPr>
          <w:rFonts w:hint="eastAsia" w:hAnsi="宋体" w:cs="宋体"/>
          <w:bCs/>
          <w:color w:val="auto"/>
          <w:sz w:val="24"/>
          <w:szCs w:val="24"/>
          <w:highlight w:val="none"/>
          <w:lang w:eastAsia="zh-CN"/>
        </w:rPr>
        <w:t xml:space="preserve">，具</w:t>
      </w:r>
      <w:r>
        <w:rPr>
          <w:rFonts w:hint="eastAsia" w:hAnsi="宋体" w:cs="宋体"/>
          <w:bCs/>
          <w:color w:val="auto"/>
          <w:sz w:val="24"/>
          <w:szCs w:val="24"/>
          <w:highlight w:val="none"/>
        </w:rPr>
        <w:t xml:space="preserve">有较强的责任心，能对常规护卫事项做出较为正确反应；</w:t>
      </w:r>
      <w:r/>
    </w:p>
    <w:p>
      <w:pPr>
        <w:ind w:firstLine="410"/>
        <w:spacing w:line="360" w:lineRule="auto"/>
        <w:rPr>
          <w:rFonts w:hAnsi="宋体" w:cs="宋体"/>
          <w:color w:val="auto"/>
          <w:sz w:val="24"/>
          <w:szCs w:val="24"/>
          <w:highlight w:val="none"/>
        </w:rPr>
      </w:pPr>
      <w:r>
        <w:rPr>
          <w:rFonts w:hint="eastAsia" w:hAnsi="宋体" w:cs="宋体"/>
          <w:bCs/>
          <w:color w:val="auto"/>
          <w:sz w:val="24"/>
          <w:szCs w:val="24"/>
          <w:highlight w:val="none"/>
        </w:rPr>
        <w:t xml:space="preserve">消控室人员，具有一定的专业素养，</w:t>
      </w:r>
      <w:r>
        <w:rPr>
          <w:rFonts w:hint="eastAsia" w:hAnsi="宋体" w:cs="宋体"/>
          <w:color w:val="auto"/>
          <w:sz w:val="24"/>
          <w:szCs w:val="24"/>
          <w:highlight w:val="none"/>
        </w:rPr>
        <w:t xml:space="preserve">熟悉监控室各项操作，需保证消控室24小时值班。</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思想品质好，作风正派，热爱安全护卫工作，无犯罪记录；</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lang w:eastAsia="zh-CN"/>
        </w:rPr>
        <w:t xml:space="preserve">上班</w:t>
      </w:r>
      <w:r>
        <w:rPr>
          <w:rFonts w:hint="eastAsia" w:hAnsi="宋体" w:cs="宋体"/>
          <w:bCs/>
          <w:color w:val="auto"/>
          <w:sz w:val="24"/>
          <w:szCs w:val="24"/>
          <w:highlight w:val="none"/>
        </w:rPr>
        <w:t xml:space="preserve">时应佩戴标志，尽忠职守。</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2.2门卫</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按照采购方要求在部分时段、指定部位、安排人员值班看守，协助维护正常生活秩序。</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2.3巡逻</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不定人不定期巡视。</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2.4紧急事故反应</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制定紧急事故处理预案，至少包括：火灾、爆炸、地震、炸弹恐吓、安全疏散以及电梯应急等；</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有紧急事件救护组织，并始终处于紧急事故反应状态；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书面描述紧急事故救护组织职责，并让每位成员了解，周期性地进行反应训练；</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高层住宅按消防要求组织进行疏散演习；</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对紧急事故做出快速、正确的反应；尽可能减少破坏和损失程度；</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按照采购方的要求组织恢复生活秩序，如：帮助恢复电力供应、抢救财产等。</w:t>
      </w:r>
      <w:r/>
    </w:p>
    <w:p>
      <w:pPr>
        <w:ind w:firstLine="412"/>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2.5 其他防范措施</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设有业主（使用人）求助与报警电话，24小时有人值守；</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接到报警信号，确认后管理处应立即派人赶往现场查看，予以恰当的紧急处理；</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涉及人身安全处，设有明显标志并有防护措施；</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协助有关部门维持小区正常生活秩序，防止不安全事件发生；</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对小区内外围边界、角落、车库、道路的照明设施加强维护，保持必要的照明；</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建立空置房屋、设备室、垃圾房、杂物房巡查、钥匙管理及登记备案制度。</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2.6交通、车辆管理</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有较为完善的车辆管理制度；</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小区设置明显的交通标志；</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维持交通秩序，发现车辆未上锁及乱停乱放进行忠告或纠正，发现偷盗车辆、破坏交通设施等现象及时制止；</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增设地面停车位经过采购方批准审批，符合规划要求；</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停车场有人管理，车辆进场、离场有检查、记录；</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管理人员责任心强，认真负责；</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停车场按照物价部门核发的收费标准收费；按照合同特别约定履行车辆保管责任。</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2.7 消防</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执行《中华人民共和国消防</w:t>
      </w:r>
      <w:r>
        <w:rPr>
          <w:rFonts w:hint="eastAsia" w:hAnsi="宋体" w:cs="宋体"/>
          <w:bCs/>
          <w:color w:val="auto"/>
          <w:sz w:val="24"/>
          <w:szCs w:val="24"/>
          <w:highlight w:val="none"/>
          <w:lang w:val="en-US" w:eastAsia="zh-CN"/>
        </w:rPr>
        <w:t xml:space="preserve">法</w:t>
      </w:r>
      <w:r>
        <w:rPr>
          <w:rFonts w:hint="eastAsia" w:hAnsi="宋体" w:cs="宋体"/>
          <w:bCs/>
          <w:color w:val="auto"/>
          <w:sz w:val="24"/>
          <w:szCs w:val="24"/>
          <w:highlight w:val="none"/>
        </w:rPr>
        <w:t xml:space="preserve">》和其他有关消防法规；</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健全消防组织，建立消防责任制；</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定期进行消防训练，保证有关人员掌握基本消防技能；</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熟练掌握防火、灭火知识和消防器材的使用方法，提高自防自救的能力。</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根据防火、灭火的需要，配置相应种类、数量的消防器材、设备和设施；</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保持消防通道畅通，禁止在消防通道设置路障；</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制定防火安全管理办法，指定专人维护、管理消防器材、设备和设施，保持完整好用；</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发现火警有义务迅速向消防队报警，并马上派人前往报警地点，迅速采取措施，组织力量救火，抢救生命和物资，派人接应消防车，服从火场总指挥员的统一指挥；</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每月1次巡查消防栓、箱、烟感头、喷淋头、消防水阀、消防标志等消防设备是否完好、齐全，并及时给予维修；</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发现设备故障时，必须及时修理或通知维保方处理，保证设备24小时正常运转；</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每日检测1次喷淋管网水压，发现压力不够，马上检修排除故障；</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每年模拟火灾操作1次，以熟悉操作和检查消防监控设备；</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消防监控室保持清洁，每周至少保洁1次，要求地面无积灰，监控箱表面无污渍；</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每日填写工作记录，建档备查。</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3.公共服务</w:t>
      </w:r>
      <w:r/>
    </w:p>
    <w:p>
      <w:pPr>
        <w:ind w:firstLine="412"/>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3.1接待</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佩戴统一标志，仪表端庄、大方，衣着整洁，表情自然和蔼、亲切；</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对业主（使用人）一视同仁；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接待时主动、热情、规范；</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迎送接待业主</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使用人</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时，用语准确，称呼恰当，问候亲切，语气诚恳，耐心细致；</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使用文明用语，不应使用服务忌语。</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对业主（使用人）的报修与求助应耐心细致，对收费项目及时说明服务标准、服务方式、收费标准等事项，征求业主（使用人）的意见。</w:t>
      </w:r>
      <w:r/>
    </w:p>
    <w:p>
      <w:pPr>
        <w:ind w:firstLine="412"/>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3.2值守</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有完善的值班制度和交接班制度；</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工作有记录。</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3.3服务时限</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急修</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如：自来水设施跑水、下水管道和垃圾道堵塞、供暖设备漏水、电源线路和照明设备故障等项目，具体责任范围、服务内容等通过物业管理委托合同约定，大、中、小修标准见建设部《房屋修缮范围和标准（试行）》等确定（下同）。</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服务2小时内到位，24小时内修复，若不能，要有紧急处理措施，并对业主（使用人）做出合理解释，做出限时承诺；</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小修7日内修复，特殊情况必须</w:t>
      </w:r>
      <w:r>
        <w:rPr>
          <w:rFonts w:hint="eastAsia" w:hAnsi="宋体" w:cs="宋体"/>
          <w:bCs/>
          <w:color w:val="auto"/>
          <w:sz w:val="24"/>
          <w:szCs w:val="24"/>
          <w:highlight w:val="none"/>
          <w:lang w:eastAsia="zh-CN"/>
        </w:rPr>
        <w:t xml:space="preserve">作出</w:t>
      </w:r>
      <w:r>
        <w:rPr>
          <w:rFonts w:hint="eastAsia" w:hAnsi="宋体" w:cs="宋体"/>
          <w:bCs/>
          <w:color w:val="auto"/>
          <w:sz w:val="24"/>
          <w:szCs w:val="24"/>
          <w:highlight w:val="none"/>
        </w:rPr>
        <w:t xml:space="preserve">说明和限时承诺。</w:t>
      </w:r>
      <w:r/>
    </w:p>
    <w:p>
      <w:pPr>
        <w:ind w:firstLine="472"/>
        <w:spacing w:line="360" w:lineRule="auto"/>
        <w:rPr>
          <w:rFonts w:hAnsi="宋体" w:cs="宋体"/>
          <w:bCs/>
          <w:color w:val="auto"/>
          <w:sz w:val="24"/>
          <w:szCs w:val="24"/>
          <w:highlight w:val="none"/>
        </w:rPr>
      </w:pPr>
      <w:r>
        <w:rPr>
          <w:rFonts w:hint="eastAsia" w:hAnsi="宋体" w:cs="宋体"/>
          <w:b/>
          <w:color w:val="auto"/>
          <w:sz w:val="24"/>
          <w:szCs w:val="24"/>
          <w:highlight w:val="none"/>
        </w:rPr>
        <w:t xml:space="preserve">4.房屋、共用设施、设备维护与管理</w:t>
      </w:r>
      <w:r/>
    </w:p>
    <w:p>
      <w:pPr>
        <w:ind w:firstLine="472"/>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.1巡检</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每年年底或年初对房屋共用部位、设施设备、道路、绿地等进行全面检查1次，掌握房屋设施设备完损状况，对完损程度</w:t>
      </w:r>
      <w:r>
        <w:rPr>
          <w:rFonts w:hint="eastAsia" w:hAnsi="宋体" w:cs="宋体"/>
          <w:color w:val="auto"/>
          <w:sz w:val="24"/>
          <w:szCs w:val="24"/>
          <w:highlight w:val="none"/>
          <w:lang w:eastAsia="zh-CN"/>
        </w:rPr>
        <w:t xml:space="preserve">作出评价</w:t>
      </w:r>
      <w:r>
        <w:rPr>
          <w:rFonts w:hAnsi="宋体" w:cs="宋体"/>
          <w:color w:val="auto"/>
          <w:sz w:val="24"/>
          <w:szCs w:val="24"/>
          <w:highlight w:val="none"/>
        </w:rPr>
        <w:t xml:space="preserve">；</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每半年检查巡视1次房屋主体结构，发现质量问题及时向业主报告与建议；根据</w:t>
      </w:r>
      <w:r>
        <w:rPr>
          <w:rFonts w:hint="eastAsia" w:hAnsi="宋体" w:cs="宋体"/>
          <w:color w:val="auto"/>
          <w:sz w:val="24"/>
          <w:szCs w:val="24"/>
          <w:highlight w:val="none"/>
        </w:rPr>
        <w:t xml:space="preserve">委托方</w:t>
      </w:r>
      <w:r>
        <w:rPr>
          <w:rFonts w:hAnsi="宋体" w:cs="宋体"/>
          <w:color w:val="auto"/>
          <w:sz w:val="24"/>
          <w:szCs w:val="24"/>
          <w:highlight w:val="none"/>
        </w:rPr>
        <w:t xml:space="preserve">的委托，组织维修工作；</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在冬、雨季和天气异常时安排组织房屋设施巡视，对质量较差，易出问题的部位重点检查；每半年检查清除1次屋面、檐沟内落叶杂物树叶等，疏通雨水口、落水管等； </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每日巡视1次</w:t>
      </w:r>
      <w:r>
        <w:rPr>
          <w:rFonts w:hint="eastAsia" w:hAnsi="宋体" w:cs="宋体"/>
          <w:color w:val="auto"/>
          <w:sz w:val="24"/>
          <w:szCs w:val="24"/>
          <w:highlight w:val="none"/>
        </w:rPr>
        <w:t xml:space="preserve">房屋公共</w:t>
      </w:r>
      <w:r>
        <w:rPr>
          <w:rFonts w:hAnsi="宋体" w:cs="宋体"/>
          <w:color w:val="auto"/>
          <w:sz w:val="24"/>
          <w:szCs w:val="24"/>
          <w:highlight w:val="none"/>
        </w:rPr>
        <w:t xml:space="preserve">门</w:t>
      </w:r>
      <w:r>
        <w:rPr>
          <w:rFonts w:hint="eastAsia" w:hAnsi="宋体" w:cs="宋体"/>
          <w:color w:val="auto"/>
          <w:sz w:val="24"/>
          <w:szCs w:val="24"/>
          <w:highlight w:val="none"/>
        </w:rPr>
        <w:t xml:space="preserve">厅</w:t>
      </w:r>
      <w:r>
        <w:rPr>
          <w:rFonts w:hAnsi="宋体" w:cs="宋体"/>
          <w:color w:val="auto"/>
          <w:sz w:val="24"/>
          <w:szCs w:val="24"/>
          <w:highlight w:val="none"/>
        </w:rPr>
        <w:t xml:space="preserve">、楼梯间通道部位以及</w:t>
      </w:r>
      <w:r>
        <w:rPr>
          <w:rFonts w:hint="eastAsia" w:hAnsi="宋体" w:cs="宋体"/>
          <w:color w:val="auto"/>
          <w:sz w:val="24"/>
          <w:szCs w:val="24"/>
          <w:highlight w:val="none"/>
          <w:lang w:eastAsia="zh-CN"/>
        </w:rPr>
        <w:t xml:space="preserve">其他</w:t>
      </w:r>
      <w:r>
        <w:rPr>
          <w:rFonts w:hAnsi="宋体" w:cs="宋体"/>
          <w:color w:val="auto"/>
          <w:sz w:val="24"/>
          <w:szCs w:val="24"/>
          <w:highlight w:val="none"/>
        </w:rPr>
        <w:t xml:space="preserve">共用部位的门窗、玻璃、路灯等；每年秋季对共用部位门窗做专项检修1次；巡检有记录；</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巡检结</w:t>
      </w:r>
      <w:r>
        <w:rPr>
          <w:rFonts w:hint="eastAsia" w:hAnsi="宋体" w:cs="宋体"/>
          <w:color w:val="auto"/>
          <w:sz w:val="24"/>
          <w:szCs w:val="24"/>
          <w:highlight w:val="none"/>
          <w:lang w:eastAsia="zh-CN"/>
        </w:rPr>
        <w:t xml:space="preserve">束后</w:t>
      </w:r>
      <w:r>
        <w:rPr>
          <w:rFonts w:hAnsi="宋体" w:cs="宋体"/>
          <w:color w:val="auto"/>
          <w:sz w:val="24"/>
          <w:szCs w:val="24"/>
          <w:highlight w:val="none"/>
        </w:rPr>
        <w:t xml:space="preserve">将检查情况、维修计划及需要进行大、中修或更新改造的项目报告</w:t>
      </w:r>
      <w:r>
        <w:rPr>
          <w:rFonts w:hint="eastAsia" w:hAnsi="宋体" w:cs="宋体"/>
          <w:color w:val="auto"/>
          <w:sz w:val="24"/>
          <w:szCs w:val="24"/>
          <w:highlight w:val="none"/>
        </w:rPr>
        <w:t xml:space="preserve">委托方</w:t>
      </w:r>
      <w:r>
        <w:rPr>
          <w:rFonts w:hAnsi="宋体" w:cs="宋体"/>
          <w:color w:val="auto"/>
          <w:sz w:val="24"/>
          <w:szCs w:val="24"/>
          <w:highlight w:val="none"/>
        </w:rPr>
        <w:t xml:space="preserve">。</w:t>
      </w:r>
      <w:r/>
    </w:p>
    <w:p>
      <w:pPr>
        <w:ind w:firstLine="482"/>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.2房屋</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.2.1装修管理</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.2.1.1将室内装饰装修工程的禁止行为和注意事项告知装修人；</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.2.1.2对业主（使用人）装修房屋的申请，应在2个工作日内给出同意意见或修改意见，并签</w:t>
      </w:r>
      <w:r>
        <w:rPr>
          <w:rFonts w:hint="eastAsia" w:hAnsi="宋体" w:cs="宋体"/>
          <w:color w:val="auto"/>
          <w:sz w:val="24"/>
          <w:szCs w:val="24"/>
          <w:highlight w:val="none"/>
          <w:lang w:val="en-US" w:eastAsia="zh-CN"/>
        </w:rPr>
        <w:t xml:space="preserve">订</w:t>
      </w:r>
      <w:r>
        <w:rPr>
          <w:rFonts w:hAnsi="宋体" w:cs="宋体"/>
          <w:color w:val="auto"/>
          <w:sz w:val="24"/>
          <w:szCs w:val="24"/>
          <w:highlight w:val="none"/>
        </w:rPr>
        <w:t xml:space="preserve">装饰装修管理服务协议；</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.2.1.3业主（使用人</w:t>
      </w:r>
      <w:r>
        <w:rPr>
          <w:rFonts w:hint="eastAsia" w:hAnsi="宋体" w:cs="宋体"/>
          <w:color w:val="auto"/>
          <w:sz w:val="24"/>
          <w:szCs w:val="24"/>
          <w:highlight w:val="none"/>
          <w:lang w:eastAsia="zh-CN"/>
        </w:rPr>
        <w:t xml:space="preserve">）在</w:t>
      </w:r>
      <w:r>
        <w:rPr>
          <w:rFonts w:hAnsi="宋体" w:cs="宋体"/>
          <w:color w:val="auto"/>
          <w:sz w:val="24"/>
          <w:szCs w:val="24"/>
          <w:highlight w:val="none"/>
        </w:rPr>
        <w:t xml:space="preserve">装修期间每日巡查装修施工情况；</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.2.1.4装修结</w:t>
      </w:r>
      <w:r>
        <w:rPr>
          <w:rFonts w:hint="eastAsia" w:hAnsi="宋体" w:cs="宋体"/>
          <w:color w:val="auto"/>
          <w:sz w:val="24"/>
          <w:szCs w:val="24"/>
          <w:highlight w:val="none"/>
          <w:lang w:eastAsia="zh-CN"/>
        </w:rPr>
        <w:t xml:space="preserve">束后</w:t>
      </w:r>
      <w:r>
        <w:rPr>
          <w:rFonts w:hAnsi="宋体" w:cs="宋体"/>
          <w:color w:val="auto"/>
          <w:sz w:val="24"/>
          <w:szCs w:val="24"/>
          <w:highlight w:val="none"/>
        </w:rPr>
        <w:t xml:space="preserve">组织验收；</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.2.1.5验收合格2个月后组织复验；</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.2.1.6复验合格后3个工作日内退还装修保证金；</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.2.1.7对装修中的违约行为及时劝阻；已造成事实后果或者拒不改正的，应当及时报告有关部门依法处理。</w:t>
      </w:r>
      <w:r/>
    </w:p>
    <w:p>
      <w:pPr>
        <w:ind w:left="479"/>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w:t>
      </w:r>
      <w:r>
        <w:rPr>
          <w:rFonts w:hint="eastAsia" w:hAnsi="宋体" w:cs="宋体"/>
          <w:color w:val="auto"/>
          <w:sz w:val="24"/>
          <w:szCs w:val="24"/>
          <w:highlight w:val="none"/>
        </w:rPr>
        <w:t xml:space="preserve">2</w:t>
      </w:r>
      <w:r>
        <w:rPr>
          <w:rFonts w:hAnsi="宋体" w:cs="宋体"/>
          <w:color w:val="auto"/>
          <w:sz w:val="24"/>
          <w:szCs w:val="24"/>
          <w:highlight w:val="none"/>
        </w:rPr>
        <w:t xml:space="preserve">建筑物外立面</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建筑物外立面为玻璃幕墙、瓷砖、仿石、大理石的，每年</w:t>
      </w:r>
      <w:r>
        <w:rPr>
          <w:rFonts w:hint="eastAsia" w:hAnsi="宋体" w:cs="宋体"/>
          <w:color w:val="auto"/>
          <w:sz w:val="24"/>
          <w:szCs w:val="24"/>
          <w:highlight w:val="none"/>
        </w:rPr>
        <w:t xml:space="preserve">巡查</w:t>
      </w:r>
      <w:r>
        <w:rPr>
          <w:rFonts w:hAnsi="宋体" w:cs="宋体"/>
          <w:color w:val="auto"/>
          <w:sz w:val="24"/>
          <w:szCs w:val="24"/>
          <w:highlight w:val="none"/>
        </w:rPr>
        <w:t xml:space="preserve">1次；外立面为水刷石、干粘石和喷涂材料的，原则上每年</w:t>
      </w:r>
      <w:r>
        <w:rPr>
          <w:rFonts w:hint="eastAsia" w:hAnsi="宋体" w:cs="宋体"/>
          <w:color w:val="auto"/>
          <w:sz w:val="24"/>
          <w:szCs w:val="24"/>
          <w:highlight w:val="none"/>
        </w:rPr>
        <w:t xml:space="preserve">检查</w:t>
      </w:r>
      <w:r>
        <w:rPr>
          <w:rFonts w:hAnsi="宋体" w:cs="宋体"/>
          <w:color w:val="auto"/>
          <w:sz w:val="24"/>
          <w:szCs w:val="24"/>
          <w:highlight w:val="none"/>
        </w:rPr>
        <w:t xml:space="preserve">1次；外立面为其他材质的，视材质情况定期清洗。因施工等原因致使建筑物、构筑物外立面有明显污迹的，应当及时进行清洗、粉饰。</w:t>
      </w:r>
      <w:r/>
    </w:p>
    <w:p>
      <w:pPr>
        <w:ind w:firstLine="410"/>
        <w:spacing w:line="360" w:lineRule="auto"/>
        <w:rPr>
          <w:rFonts w:hAnsi="宋体" w:cs="宋体"/>
          <w:bCs/>
          <w:color w:val="auto"/>
          <w:sz w:val="24"/>
          <w:szCs w:val="24"/>
          <w:highlight w:val="none"/>
        </w:rPr>
      </w:pPr>
      <w:r>
        <w:rPr>
          <w:rFonts w:hAnsi="宋体" w:cs="宋体"/>
          <w:color w:val="auto"/>
          <w:sz w:val="24"/>
          <w:szCs w:val="24"/>
          <w:highlight w:val="none"/>
        </w:rPr>
        <w:t xml:space="preserve">委托合同另有约定的按合同约定执行。</w:t>
      </w:r>
      <w:r/>
    </w:p>
    <w:p>
      <w:pPr>
        <w:ind w:firstLine="482"/>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.3给排水系统及其配套设施</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.3.1给水设施</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饮用水水池（箱）</w:t>
      </w:r>
      <w:r>
        <w:rPr>
          <w:rFonts w:hint="eastAsia" w:hAnsi="宋体" w:cs="宋体"/>
          <w:color w:val="auto"/>
          <w:sz w:val="24"/>
          <w:szCs w:val="24"/>
          <w:highlight w:val="none"/>
        </w:rPr>
        <w:t xml:space="preserve">每</w:t>
      </w:r>
      <w:r>
        <w:rPr>
          <w:rFonts w:hAnsi="宋体" w:cs="宋体"/>
          <w:color w:val="auto"/>
          <w:sz w:val="24"/>
          <w:szCs w:val="24"/>
          <w:highlight w:val="none"/>
        </w:rPr>
        <w:t xml:space="preserve">年消毒1次，操作人员具有相应操作资格，按照程序操作，清洗时无二次污染</w:t>
      </w:r>
      <w:r>
        <w:rPr>
          <w:rFonts w:hint="eastAsia" w:hAnsi="宋体" w:cs="宋体"/>
          <w:color w:val="auto"/>
          <w:sz w:val="24"/>
          <w:szCs w:val="24"/>
          <w:highlight w:val="none"/>
          <w:lang w:eastAsia="zh-CN"/>
        </w:rPr>
        <w:t xml:space="preserve">，具</w:t>
      </w:r>
      <w:r>
        <w:rPr>
          <w:rFonts w:hAnsi="宋体" w:cs="宋体"/>
          <w:color w:val="auto"/>
          <w:sz w:val="24"/>
          <w:szCs w:val="24"/>
          <w:highlight w:val="none"/>
        </w:rPr>
        <w:t xml:space="preserve">有严密的管理设施；保持水池（箱）结构完好，无渗漏，表面和支架不锈蚀，漆膜脱落处及时修补。经常检查保养水箱人孔、进水管、溢水管、</w:t>
      </w:r>
      <w:r>
        <w:rPr>
          <w:rFonts w:hint="eastAsia" w:hAnsi="宋体" w:cs="宋体"/>
          <w:color w:val="auto"/>
          <w:sz w:val="24"/>
          <w:szCs w:val="24"/>
          <w:highlight w:val="none"/>
          <w:lang w:eastAsia="zh-CN"/>
        </w:rPr>
        <w:t xml:space="preserve">泄</w:t>
      </w:r>
      <w:r>
        <w:rPr>
          <w:rFonts w:hAnsi="宋体" w:cs="宋体"/>
          <w:color w:val="auto"/>
          <w:sz w:val="24"/>
          <w:szCs w:val="24"/>
          <w:highlight w:val="none"/>
        </w:rPr>
        <w:t xml:space="preserve">水管、水位计、液位传感器、浮球阀和各类闸门；冬季水箱有可靠的保温措施，且不得对水质产生污染；</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保持泵房清洁卫生，良好的通风、照明和采暖，地面排水畅通；</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水泵运行正常，每</w:t>
      </w:r>
      <w:r>
        <w:rPr>
          <w:rFonts w:hint="eastAsia" w:hAnsi="宋体" w:cs="宋体"/>
          <w:color w:val="auto"/>
          <w:sz w:val="24"/>
          <w:szCs w:val="24"/>
          <w:highlight w:val="none"/>
        </w:rPr>
        <w:t xml:space="preserve">天</w:t>
      </w:r>
      <w:r>
        <w:rPr>
          <w:rFonts w:hAnsi="宋体" w:cs="宋体"/>
          <w:color w:val="auto"/>
          <w:sz w:val="24"/>
          <w:szCs w:val="24"/>
          <w:highlight w:val="none"/>
        </w:rPr>
        <w:t xml:space="preserve">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每日填写水泵运行记录，建档备查； </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专业人员专人巡视，每日检查泵、管道、水箱、阀门、水表状况，定期保养、维护，出现问题随时处理。</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.3.2排水设施</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化粪池每年清理</w:t>
      </w:r>
      <w:r>
        <w:rPr>
          <w:rFonts w:hint="eastAsia" w:hAnsi="宋体" w:cs="宋体"/>
          <w:color w:val="auto"/>
          <w:sz w:val="24"/>
          <w:szCs w:val="24"/>
          <w:highlight w:val="none"/>
        </w:rPr>
        <w:t xml:space="preserve">1</w:t>
      </w:r>
      <w:r>
        <w:rPr>
          <w:rFonts w:hAnsi="宋体" w:cs="宋体"/>
          <w:color w:val="auto"/>
          <w:sz w:val="24"/>
          <w:szCs w:val="24"/>
          <w:highlight w:val="none"/>
        </w:rPr>
        <w:t xml:space="preserve">次，每季巡查1次。出入口畅通，井内无积物浮于面上，池盖无污渍、污物，清理后及时清洁现场；</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楼面落水管落水口等保持完好，开裂、破损等及时更换，定期检查；</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每</w:t>
      </w:r>
      <w:r>
        <w:rPr>
          <w:rFonts w:hint="eastAsia" w:hAnsi="宋体" w:cs="宋体"/>
          <w:color w:val="auto"/>
          <w:sz w:val="24"/>
          <w:szCs w:val="24"/>
          <w:highlight w:val="none"/>
        </w:rPr>
        <w:t xml:space="preserve">月</w:t>
      </w:r>
      <w:r>
        <w:rPr>
          <w:rFonts w:hAnsi="宋体" w:cs="宋体"/>
          <w:color w:val="auto"/>
          <w:sz w:val="24"/>
          <w:szCs w:val="24"/>
          <w:highlight w:val="none"/>
        </w:rPr>
        <w:t xml:space="preserve">清扫1次以上排水明沟内的泥沙、纸屑等垃圾，</w:t>
      </w:r>
      <w:r>
        <w:rPr>
          <w:rFonts w:hint="eastAsia" w:hAnsi="宋体" w:cs="宋体"/>
          <w:color w:val="auto"/>
          <w:sz w:val="24"/>
          <w:szCs w:val="24"/>
          <w:highlight w:val="none"/>
          <w:lang w:eastAsia="zh-CN"/>
        </w:rPr>
        <w:t xml:space="preserve">拔除</w:t>
      </w:r>
      <w:r>
        <w:rPr>
          <w:rFonts w:hAnsi="宋体" w:cs="宋体"/>
          <w:color w:val="auto"/>
          <w:sz w:val="24"/>
          <w:szCs w:val="24"/>
          <w:highlight w:val="none"/>
        </w:rPr>
        <w:t xml:space="preserve">沟内生长的杂草；达到目视基本干净无污渍、无杂草，排水畅通，无积水、臭味；</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每</w:t>
      </w:r>
      <w:r>
        <w:rPr>
          <w:rFonts w:hint="eastAsia" w:hAnsi="宋体" w:cs="宋体"/>
          <w:color w:val="auto"/>
          <w:sz w:val="24"/>
          <w:szCs w:val="24"/>
          <w:highlight w:val="none"/>
        </w:rPr>
        <w:t xml:space="preserve">半年</w:t>
      </w:r>
      <w:r>
        <w:rPr>
          <w:rFonts w:hAnsi="宋体" w:cs="宋体"/>
          <w:color w:val="auto"/>
          <w:sz w:val="24"/>
          <w:szCs w:val="24"/>
          <w:highlight w:val="none"/>
        </w:rPr>
        <w:t xml:space="preserve">对地下管井清理1次，捞起井内泥沙和悬浮物，清理结束地面冲洗干净。清理时地面竖警示牌，必要时加</w:t>
      </w:r>
      <w:r>
        <w:rPr>
          <w:rFonts w:hint="eastAsia" w:hAnsi="宋体" w:cs="宋体"/>
          <w:color w:val="auto"/>
          <w:sz w:val="24"/>
          <w:szCs w:val="24"/>
          <w:highlight w:val="none"/>
          <w:lang w:eastAsia="zh-CN"/>
        </w:rPr>
        <w:t xml:space="preserve">护栏</w:t>
      </w:r>
      <w:r>
        <w:rPr>
          <w:rFonts w:hAnsi="宋体" w:cs="宋体"/>
          <w:color w:val="auto"/>
          <w:sz w:val="24"/>
          <w:szCs w:val="24"/>
          <w:highlight w:val="none"/>
        </w:rPr>
        <w:t xml:space="preserve">。清理后达到目视管道内壁无</w:t>
      </w:r>
      <w:r>
        <w:rPr>
          <w:rFonts w:hint="eastAsia" w:hAnsi="宋体" w:cs="宋体"/>
          <w:color w:val="auto"/>
          <w:sz w:val="24"/>
          <w:szCs w:val="24"/>
          <w:highlight w:val="none"/>
          <w:lang w:eastAsia="zh-CN"/>
        </w:rPr>
        <w:t xml:space="preserve">黏附</w:t>
      </w:r>
      <w:r>
        <w:rPr>
          <w:rFonts w:hAnsi="宋体" w:cs="宋体"/>
          <w:color w:val="auto"/>
          <w:sz w:val="24"/>
          <w:szCs w:val="24"/>
          <w:highlight w:val="none"/>
        </w:rPr>
        <w:t xml:space="preserve">物，井底无沉淀物，水面无漂浮物，水流畅通，井盖上无污渍、污物。</w:t>
      </w:r>
      <w:r/>
    </w:p>
    <w:p>
      <w:pPr>
        <w:ind w:left="479"/>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.4供配电系统</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建立和完善有关规章制度，包括电气设备运行操作规程、安全操作规程、事故处理规程、巡视检查制度、维护制度、安全及交接班制度；</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值班人员具备变配电运行知识和技能；</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保持配电房清洁卫生，每周清扫地面及擦拭配电柜表面，要求地面干燥无积灰，配电柜表面无污渍；</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每日检查变压器电压、电流互感器、断路器、隔离开关、高压熔断器及避雷器、配电箱、导线等供配电系统的运行状况，并定时抄表做好记录，出现异常及时处理； </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每年对变压器外部、低压配电柜进行2次清洁、保养；保证正常电力供应，限电、停电按规定时间通知业主（使用人）；每年检测1次保安接地电阻；每年检测1次配电房主要电器设备的绝缘强度；每年检</w:t>
      </w:r>
      <w:r>
        <w:rPr>
          <w:rFonts w:hint="eastAsia" w:hAnsi="宋体" w:cs="宋体"/>
          <w:color w:val="auto"/>
          <w:sz w:val="24"/>
          <w:szCs w:val="24"/>
          <w:highlight w:val="none"/>
        </w:rPr>
        <w:t xml:space="preserve">查</w:t>
      </w:r>
      <w:r>
        <w:rPr>
          <w:rFonts w:hAnsi="宋体" w:cs="宋体"/>
          <w:color w:val="auto"/>
          <w:sz w:val="24"/>
          <w:szCs w:val="24"/>
          <w:highlight w:val="none"/>
        </w:rPr>
        <w:t xml:space="preserve">2次配电房内消防器材，保持消防器材完好；妥善保管高压操作工具，并每年送供电部门检测1次；</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潮湿天气时，采用安全有效措施，保持配电房内主要</w:t>
      </w:r>
      <w:r>
        <w:rPr>
          <w:rFonts w:hint="eastAsia" w:hAnsi="宋体" w:cs="宋体"/>
          <w:color w:val="auto"/>
          <w:sz w:val="24"/>
          <w:szCs w:val="24"/>
          <w:highlight w:val="none"/>
          <w:lang w:eastAsia="zh-CN"/>
        </w:rPr>
        <w:t xml:space="preserve">电气设备</w:t>
      </w:r>
      <w:r>
        <w:rPr>
          <w:rFonts w:hAnsi="宋体" w:cs="宋体"/>
          <w:color w:val="auto"/>
          <w:sz w:val="24"/>
          <w:szCs w:val="24"/>
          <w:highlight w:val="none"/>
        </w:rPr>
        <w:t xml:space="preserve">干燥；</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每月检测1次配电房内有无蛙、鼠、蚁等虫害，如发现马上采取措施杜绝；</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每日填写运行记录，建档备查。</w:t>
      </w:r>
      <w:r/>
    </w:p>
    <w:p>
      <w:pPr>
        <w:ind w:left="479"/>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.5弱电系统</w:t>
      </w:r>
      <w:r/>
    </w:p>
    <w:p>
      <w:pPr>
        <w:ind w:left="479"/>
        <w:jc w:val="left"/>
        <w:spacing w:line="360" w:lineRule="auto"/>
        <w:rPr>
          <w:rFonts w:hAnsi="宋体" w:cs="宋体"/>
          <w:color w:val="auto"/>
          <w:sz w:val="24"/>
          <w:szCs w:val="24"/>
          <w:highlight w:val="none"/>
        </w:rPr>
      </w:pPr>
      <w:r>
        <w:rPr>
          <w:rFonts w:hAnsi="宋体" w:cs="宋体"/>
          <w:color w:val="auto"/>
          <w:sz w:val="24"/>
          <w:szCs w:val="24"/>
          <w:highlight w:val="none"/>
        </w:rPr>
        <w:t xml:space="preserve">操作人员受过专业培训；</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工作时认真负责，精神集中，对异常情况能及时识别；发现异常，及时处理；</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有切实可行的维修保养计划；保养、检修及时；</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对相关设备、设施定期进行调试，使系统处于最佳工作状态；</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工作、维修、养护有记录，特殊系统、设备的进入经过授权，密码</w:t>
      </w:r>
      <w:r>
        <w:rPr>
          <w:rFonts w:hint="eastAsia" w:hAnsi="宋体" w:cs="宋体"/>
          <w:color w:val="auto"/>
          <w:sz w:val="24"/>
          <w:szCs w:val="24"/>
          <w:highlight w:val="none"/>
          <w:lang w:eastAsia="zh-CN"/>
        </w:rPr>
        <w:t xml:space="preserve">有效</w:t>
      </w:r>
      <w:r>
        <w:rPr>
          <w:rFonts w:hAnsi="宋体" w:cs="宋体"/>
          <w:color w:val="auto"/>
          <w:sz w:val="24"/>
          <w:szCs w:val="24"/>
          <w:highlight w:val="none"/>
        </w:rPr>
        <w:t xml:space="preserve">保护；</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分系统定时检查和记录各部分、各监控点的工作及运行状态，定期对各类信息、数据进行统计分析，形成日、月报表。</w:t>
      </w:r>
      <w:r/>
    </w:p>
    <w:p>
      <w:pPr>
        <w:ind w:firstLine="482"/>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.6避雷接地系统</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每年雨季来临之前，对整个避雷接地系统进行检查维护；在大雷雨过后也要及时对系统检查，发现严重腐蚀、松脱等立即更换或紧固。</w:t>
      </w:r>
      <w:r/>
    </w:p>
    <w:p>
      <w:pPr>
        <w:ind w:left="479"/>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.7 道路、停车场（车棚、车库）及配套设施</w:t>
      </w:r>
      <w:r/>
    </w:p>
    <w:p>
      <w:pPr>
        <w:ind w:left="479"/>
        <w:jc w:val="left"/>
        <w:spacing w:line="360" w:lineRule="auto"/>
        <w:rPr>
          <w:rFonts w:hAnsi="宋体" w:cs="宋体"/>
          <w:color w:val="auto"/>
          <w:sz w:val="24"/>
          <w:szCs w:val="24"/>
          <w:highlight w:val="none"/>
        </w:rPr>
      </w:pPr>
      <w:r>
        <w:rPr>
          <w:rFonts w:hAnsi="宋体" w:cs="宋体"/>
          <w:color w:val="auto"/>
          <w:sz w:val="24"/>
          <w:szCs w:val="24"/>
          <w:highlight w:val="none"/>
        </w:rPr>
        <w:t xml:space="preserve">加强道路维修与养护，制定详细的道路维修养护计划，按照合同约定实施；</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保持道路畅通，路面平坦整齐，排水畅通；</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设立报修渠道，并有巡查制度，专人负责，发现损坏及时修补；</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按照</w:t>
      </w:r>
      <w:r>
        <w:rPr>
          <w:rFonts w:hint="eastAsia" w:hAnsi="宋体" w:cs="宋体"/>
          <w:color w:val="auto"/>
          <w:sz w:val="24"/>
          <w:szCs w:val="24"/>
          <w:highlight w:val="none"/>
        </w:rPr>
        <w:t xml:space="preserve">社区</w:t>
      </w:r>
      <w:r>
        <w:rPr>
          <w:rFonts w:hAnsi="宋体" w:cs="宋体"/>
          <w:color w:val="auto"/>
          <w:sz w:val="24"/>
          <w:szCs w:val="24"/>
          <w:highlight w:val="none"/>
        </w:rPr>
        <w:t xml:space="preserve">公约的约定，劝阻人为损坏路面，制止在路面焚烧垃圾、落叶或其他杂物；</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停车场、棚、房完好无损，有大、中、小修计划；</w:t>
      </w:r>
      <w:r/>
    </w:p>
    <w:p>
      <w:pPr>
        <w:ind w:firstLine="480"/>
        <w:jc w:val="left"/>
        <w:spacing w:line="360" w:lineRule="auto"/>
        <w:rPr>
          <w:rFonts w:hAnsi="宋体" w:cs="宋体"/>
          <w:color w:val="auto"/>
          <w:sz w:val="24"/>
          <w:szCs w:val="24"/>
          <w:highlight w:val="none"/>
        </w:rPr>
      </w:pPr>
      <w:r>
        <w:rPr>
          <w:rFonts w:hAnsi="宋体" w:cs="宋体"/>
          <w:color w:val="auto"/>
          <w:sz w:val="24"/>
          <w:szCs w:val="24"/>
          <w:highlight w:val="none"/>
        </w:rPr>
        <w:t xml:space="preserve">停车场内照明设施完好，通道畅通无阻，配备必要的消防设备，符合停车场规范要求，便于管理和车主停放车辆。</w:t>
      </w:r>
      <w:r/>
    </w:p>
    <w:p>
      <w:pPr>
        <w:ind w:firstLine="412"/>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5</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rPr>
        <w:t xml:space="preserve">园林绿化养护与管理</w:t>
      </w:r>
      <w:r/>
    </w:p>
    <w:p>
      <w:pPr>
        <w:ind w:firstLine="472"/>
        <w:jc w:val="left"/>
        <w:spacing w:line="360" w:lineRule="auto"/>
        <w:rPr>
          <w:rFonts w:hAnsi="宋体" w:cs="宋体"/>
          <w:b/>
          <w:color w:val="auto"/>
          <w:sz w:val="24"/>
          <w:szCs w:val="24"/>
          <w:highlight w:val="none"/>
        </w:rPr>
      </w:pPr>
      <w:r>
        <w:rPr>
          <w:rFonts w:hAnsi="宋体" w:cs="宋体"/>
          <w:b/>
          <w:color w:val="auto"/>
          <w:sz w:val="24"/>
          <w:szCs w:val="24"/>
          <w:highlight w:val="none"/>
        </w:rPr>
        <w:t xml:space="preserve">5</w:t>
      </w:r>
      <w:r>
        <w:rPr>
          <w:rFonts w:hint="eastAsia" w:hAnsi="宋体" w:cs="宋体"/>
          <w:b/>
          <w:color w:val="auto"/>
          <w:sz w:val="24"/>
          <w:szCs w:val="24"/>
          <w:highlight w:val="none"/>
        </w:rPr>
        <w:t xml:space="preserve">.1草坪</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成活率在75％以上；</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整块草地基本无明显的草荒；</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无大面积病虫害；</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绿期200日以上；</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无明显的堆物堆料、搭棚、</w:t>
      </w:r>
      <w:r>
        <w:rPr>
          <w:rFonts w:hint="eastAsia" w:hAnsi="宋体" w:cs="宋体"/>
          <w:color w:val="auto"/>
          <w:sz w:val="24"/>
          <w:szCs w:val="24"/>
          <w:highlight w:val="none"/>
          <w:lang w:eastAsia="zh-CN"/>
        </w:rPr>
        <w:t xml:space="preserve">踩踏</w:t>
      </w:r>
      <w:r>
        <w:rPr>
          <w:rFonts w:hint="eastAsia" w:hAnsi="宋体" w:cs="宋体"/>
          <w:color w:val="auto"/>
          <w:sz w:val="24"/>
          <w:szCs w:val="24"/>
          <w:highlight w:val="none"/>
        </w:rPr>
        <w:t xml:space="preserve">、侵占等现象；</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根据草坪种类、季节、生长周期、天气、土质等情况实施淋水、施肥、修剪和灭虫，每年至少进行1次施肥、补苗；</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至少进行2次修剪；发生病虫害及时喷药。</w:t>
      </w:r>
      <w:r/>
    </w:p>
    <w:p>
      <w:pPr>
        <w:ind w:firstLine="354"/>
        <w:jc w:val="left"/>
        <w:spacing w:line="360" w:lineRule="auto"/>
        <w:rPr>
          <w:rFonts w:hAnsi="宋体" w:cs="宋体"/>
          <w:b/>
          <w:color w:val="auto"/>
          <w:sz w:val="24"/>
          <w:szCs w:val="24"/>
          <w:highlight w:val="none"/>
        </w:rPr>
      </w:pPr>
      <w:r>
        <w:rPr>
          <w:rFonts w:hAnsi="宋体" w:cs="宋体"/>
          <w:b/>
          <w:color w:val="auto"/>
          <w:sz w:val="24"/>
          <w:szCs w:val="24"/>
          <w:highlight w:val="none"/>
        </w:rPr>
        <w:t xml:space="preserve">5</w:t>
      </w:r>
      <w:r>
        <w:rPr>
          <w:rFonts w:hint="eastAsia" w:hAnsi="宋体" w:cs="宋体"/>
          <w:b/>
          <w:color w:val="auto"/>
          <w:sz w:val="24"/>
          <w:szCs w:val="24"/>
          <w:highlight w:val="none"/>
        </w:rPr>
        <w:t xml:space="preserve">.2园林树木</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生长长势一般；</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树木生长基本正常，没有明显死树和明显枯枝死杈；</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枝干有较为明显的机械损伤，经处理后基本完整，叶色基本正常，严重黄叶、焦叶、卷叶以及有虫屎、虫网、积尘叶的</w:t>
      </w:r>
      <w:r>
        <w:rPr>
          <w:rFonts w:hint="eastAsia" w:hAnsi="宋体" w:cs="宋体"/>
          <w:color w:val="auto"/>
          <w:sz w:val="24"/>
          <w:szCs w:val="24"/>
          <w:highlight w:val="none"/>
          <w:lang w:val="en-US" w:eastAsia="zh-CN"/>
        </w:rPr>
        <w:t xml:space="preserve">蛀</w:t>
      </w:r>
      <w:r>
        <w:rPr>
          <w:rFonts w:hint="eastAsia" w:hAnsi="宋体" w:cs="宋体"/>
          <w:color w:val="auto"/>
          <w:sz w:val="24"/>
          <w:szCs w:val="24"/>
          <w:highlight w:val="none"/>
        </w:rPr>
        <w:t xml:space="preserve">树在15％以下；</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乔木根部无30cm高以上荫蘖枝，无过长杂草、杂物；</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缺株在7％以下；</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树林无明显的钉栓、捆绑现象；</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绿篱生长造型基本正常，叶色基本正常，无明显死株和枯死枝，有虫株率在20%以下；</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被啃咬的叶片最严重的每株在25%以下；</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有蛀干害虫的株数在10%以下；</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介壳虫危害一般。</w:t>
      </w:r>
      <w:r/>
    </w:p>
    <w:p>
      <w:pPr>
        <w:ind w:firstLine="354"/>
        <w:jc w:val="left"/>
        <w:spacing w:line="360" w:lineRule="auto"/>
        <w:rPr>
          <w:rFonts w:hAnsi="宋体" w:cs="宋体"/>
          <w:b/>
          <w:color w:val="auto"/>
          <w:sz w:val="24"/>
          <w:szCs w:val="24"/>
          <w:highlight w:val="none"/>
        </w:rPr>
      </w:pPr>
      <w:r>
        <w:rPr>
          <w:rFonts w:hAnsi="宋体" w:cs="宋体"/>
          <w:b/>
          <w:color w:val="auto"/>
          <w:sz w:val="24"/>
          <w:szCs w:val="24"/>
          <w:highlight w:val="none"/>
        </w:rPr>
        <w:t xml:space="preserve">5.3</w:t>
      </w:r>
      <w:r>
        <w:rPr>
          <w:rFonts w:hint="eastAsia" w:hAnsi="宋体" w:cs="宋体"/>
          <w:b/>
          <w:color w:val="auto"/>
          <w:sz w:val="24"/>
          <w:szCs w:val="24"/>
          <w:highlight w:val="none"/>
        </w:rPr>
        <w:t xml:space="preserve">花坛</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花卉长势一般；</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草本宿根花卉生长基本正常；</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发生病虫害及人为损害后能及时防治，泥面不开裂，花木不缺水枯萎现象；</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有黄叶、落叶的株数在20％以下。</w:t>
      </w:r>
      <w:r/>
    </w:p>
    <w:p>
      <w:pPr>
        <w:ind w:firstLine="354"/>
        <w:jc w:val="left"/>
        <w:spacing w:line="360" w:lineRule="auto"/>
        <w:rPr>
          <w:rFonts w:hAnsi="宋体" w:cs="宋体"/>
          <w:b/>
          <w:color w:val="auto"/>
          <w:sz w:val="24"/>
          <w:szCs w:val="24"/>
          <w:highlight w:val="none"/>
        </w:rPr>
      </w:pPr>
      <w:r>
        <w:rPr>
          <w:rFonts w:hAnsi="宋体" w:cs="宋体"/>
          <w:b/>
          <w:color w:val="auto"/>
          <w:sz w:val="24"/>
          <w:szCs w:val="24"/>
          <w:highlight w:val="none"/>
        </w:rPr>
        <w:t xml:space="preserve">5.4</w:t>
      </w:r>
      <w:r>
        <w:rPr>
          <w:rFonts w:hint="eastAsia" w:hAnsi="宋体" w:cs="宋体"/>
          <w:b/>
          <w:color w:val="auto"/>
          <w:sz w:val="24"/>
          <w:szCs w:val="24"/>
          <w:highlight w:val="none"/>
        </w:rPr>
        <w:t xml:space="preserve">湖</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每月在人工湖岸边持作业工具打捞1次湖面上的漂浮垃圾；</w:t>
      </w:r>
      <w:r/>
    </w:p>
    <w:p>
      <w:pPr>
        <w:ind w:firstLine="354"/>
        <w:jc w:val="left"/>
        <w:spacing w:line="360" w:lineRule="auto"/>
        <w:rPr>
          <w:rFonts w:hAnsi="宋体" w:cs="宋体"/>
          <w:bCs/>
          <w:color w:val="auto"/>
          <w:sz w:val="24"/>
          <w:szCs w:val="24"/>
          <w:highlight w:val="none"/>
        </w:rPr>
      </w:pPr>
      <w:r>
        <w:rPr>
          <w:rFonts w:hAnsi="宋体" w:cs="宋体"/>
          <w:b/>
          <w:color w:val="auto"/>
          <w:sz w:val="24"/>
          <w:szCs w:val="24"/>
          <w:highlight w:val="none"/>
        </w:rPr>
        <w:t xml:space="preserve">5.5</w:t>
      </w:r>
      <w:r>
        <w:rPr>
          <w:rFonts w:hint="eastAsia" w:hAnsi="宋体" w:cs="宋体"/>
          <w:b/>
          <w:color w:val="auto"/>
          <w:sz w:val="24"/>
          <w:szCs w:val="24"/>
          <w:highlight w:val="none"/>
        </w:rPr>
        <w:t xml:space="preserve">亭、廊、雕塑等建筑小品</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每年细致、认真、全面的检查1次；</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需要刷白或刷油漆时由物业管理单位向采购方建议，由采购方决定。</w:t>
      </w:r>
      <w:r/>
    </w:p>
    <w:p>
      <w:pPr>
        <w:ind w:firstLine="412"/>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6</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rPr>
        <w:t xml:space="preserve">电梯运行与管理</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协助并监督第三方电梯维保单位做好电梯维保工作，一旦发生电梯停电关人、夹人等危险情况时，应迅速组织救助，物业承担电梯管理责任和事故连带责任。</w:t>
      </w:r>
      <w:r/>
    </w:p>
    <w:p>
      <w:pPr>
        <w:ind w:firstLine="412"/>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7</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rPr>
        <w:t xml:space="preserve">档案资料</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档案资料齐全完整；</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分类成册，管理完善，合理分类，查阅方便；</w:t>
      </w:r>
      <w:r/>
    </w:p>
    <w:p>
      <w:pPr>
        <w:ind w:firstLine="41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及时变更登记，账物相符。</w:t>
      </w:r>
      <w:r/>
    </w:p>
    <w:p>
      <w:pPr>
        <w:ind w:firstLine="412"/>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8</w:t>
      </w:r>
      <w:r>
        <w:rPr>
          <w:rFonts w:hint="eastAsia" w:hAnsi="宋体" w:cs="宋体"/>
          <w:b/>
          <w:color w:val="auto"/>
          <w:sz w:val="24"/>
          <w:szCs w:val="24"/>
          <w:highlight w:val="none"/>
          <w:lang w:eastAsia="zh-CN"/>
        </w:rPr>
        <w:t xml:space="preserve">.</w:t>
      </w:r>
      <w:r>
        <w:rPr>
          <w:rFonts w:hint="eastAsia" w:hAnsi="宋体" w:cs="宋体"/>
          <w:b/>
          <w:color w:val="auto"/>
          <w:sz w:val="24"/>
          <w:szCs w:val="24"/>
          <w:highlight w:val="none"/>
        </w:rPr>
        <w:t xml:space="preserve">培训制度</w:t>
      </w:r>
      <w:r/>
    </w:p>
    <w:p>
      <w:pPr>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物业管理单位具备完备的培训制度，对物业管理从业人员进行岗前培训及阶段性培训管理，使其熟悉工作流程与要求，定期对保安和保洁人员进行安全教育与业务培训。并定期与业主共同进行消防安全培训和组织消防演练。</w:t>
      </w:r>
      <w:r/>
    </w:p>
    <w:p>
      <w:pPr>
        <w:ind w:firstLine="41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采购方有权根据实际情况对考评要求进行更改、增减。</w:t>
      </w:r>
      <w:r/>
    </w:p>
    <w:p>
      <w:pPr>
        <w:ind w:firstLine="482"/>
        <w:spacing w:line="5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考核办法</w:t>
      </w:r>
      <w:r/>
    </w:p>
    <w:p>
      <w:pPr>
        <w:ind w:firstLine="482"/>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阳山镇住宅小区物业管理工作考核办法</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为进一步加强阳山镇住宅小区物业管理工作，提升物业管理水平，促进物业管理标准化和规范化，进一步改善居民生活环境，营造整洁、有序、安全、和谐的小区环境，根据《无锡市住宅小区城市精细化管理“红黑榜”考核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惠山区住宅小区物业管理工作考核办法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阳山镇关于加强安置房小区物业管理工作的实施意见》及有关物业管理规定，结合本镇实际情况，就加强住宅小区物业管理制订考核办法。</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一、考核对象</w:t>
      </w:r>
      <w:r/>
    </w:p>
    <w:p>
      <w:pPr>
        <w:ind w:firstLine="440"/>
        <w:spacing w:line="560" w:lineRule="exact"/>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本镇范围内的安置房小区、商品房小区和17个老旧小区的物业管理工作。</w:t>
      </w:r>
      <w:r/>
    </w:p>
    <w:p>
      <w:pPr>
        <w:ind w:firstLine="442"/>
        <w:spacing w:line="560" w:lineRule="exact"/>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二、考核成员单位</w:t>
      </w:r>
      <w:r/>
    </w:p>
    <w:p>
      <w:pPr>
        <w:ind w:firstLine="440"/>
        <w:spacing w:line="560" w:lineRule="exact"/>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物业管理科、宣传网络科、行政执法局一中队、行政执法局综合科、消委办、卫计教育科、建设科、</w:t>
      </w:r>
      <w:r>
        <w:rPr>
          <w:rFonts w:hint="eastAsia" w:ascii="宋体" w:hAnsi="宋体" w:eastAsia="宋体" w:cs="宋体"/>
          <w:color w:val="auto"/>
          <w:spacing w:val="-10"/>
          <w:sz w:val="24"/>
          <w:szCs w:val="24"/>
          <w:highlight w:val="none"/>
          <w:lang w:eastAsia="zh-CN"/>
        </w:rPr>
        <w:t xml:space="preserve">派出所、</w:t>
      </w:r>
      <w:r>
        <w:rPr>
          <w:rFonts w:hint="eastAsia" w:ascii="宋体" w:hAnsi="宋体" w:eastAsia="宋体" w:cs="宋体"/>
          <w:color w:val="auto"/>
          <w:spacing w:val="-10"/>
          <w:sz w:val="24"/>
          <w:szCs w:val="24"/>
          <w:highlight w:val="none"/>
        </w:rPr>
        <w:t xml:space="preserve">各社区。</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三、考核内容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物业管理工作考核内容包括：《阳山镇住宅小区物业管理考核评分标准》和《阳山镇住宅小区物业落实各项重点工作检查标准》，考核内容适时动态调整并公布。</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四、考核办法</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阳山镇物业管理考核采用百分制。《阳山镇住宅小区物业管理考核评分标准》得分权重占</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0%，《阳山镇住宅小区物业落实各项重点工作检查标准》得分权重占</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1、由镇物业管理科牵头，组织各社区、居民代表、人大代表以及物业服务企业负责人按《阳山镇住宅小区物业管理考核评分标准》每季度对各住宅小区进行季度考核；2、由镇物业管理科会同各社区牵头，组织各职能科室按照《阳山镇住宅小区物业落实各项重点工作检查标准》每季度对各住宅小区进行季度考核，最终由物业管理科进行考核汇总，年终考核得分为季度考核平均得分。</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、考核结果运用</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1、以考核管理要求为标准，考核总分值为100分，季度综合得分90分以上（含90分），全额支付季度物业管理费用。</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2、85分—90分（含85分），扣除季度物业管理费用0.02元/月·㎡；</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3、80分—85分（含80分），扣除季度物业管理费用0.04元/月·㎡；</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4、70分—80分（含70分），扣除季度物业管理费用0.07元/月·㎡；</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5、60分—70分（含60分），扣除季度物业管理费用0.1元/月·㎡；</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6、低于60分，季度物业管理费用全部扣除；</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7、综合得分连续两个季度低于80分或有一次低于60分的，本年度物业服务合同到期后不再续签。综合得分连续三个季度低于80分或有两次低于60分的，即时终止物业服务合同。</w:t>
      </w:r>
      <w:r/>
    </w:p>
    <w:p>
      <w:pPr>
        <w:ind w:firstLine="440"/>
        <w:jc w:val="left"/>
        <w:keepLines w:val="0"/>
        <w:keepNext w:val="0"/>
        <w:pageBreakBefore w:val="0"/>
        <w:spacing w:line="560" w:lineRule="exact"/>
        <w:widowControl w:val="off"/>
        <w:rPr>
          <w:rFonts w:hint="eastAsia" w:ascii="宋体" w:hAnsi="宋体" w:eastAsia="宋体" w:cs="宋体"/>
          <w:bCs/>
          <w:color w:val="auto"/>
          <w:spacing w:val="-10"/>
          <w:sz w:val="24"/>
          <w:szCs w:val="24"/>
          <w:highlight w:val="none"/>
        </w:rPr>
      </w:pPr>
      <w:r>
        <w:rPr>
          <w:rFonts w:hint="eastAsia" w:ascii="宋体" w:hAnsi="宋体" w:eastAsia="宋体" w:cs="宋体"/>
          <w:bCs/>
          <w:color w:val="auto"/>
          <w:spacing w:val="-10"/>
          <w:sz w:val="24"/>
          <w:szCs w:val="24"/>
          <w:highlight w:val="none"/>
          <w:lang w:val="en-US" w:eastAsia="zh-CN"/>
        </w:rPr>
        <w:t xml:space="preserve">六</w:t>
      </w:r>
      <w:r>
        <w:rPr>
          <w:rFonts w:hint="eastAsia" w:ascii="宋体" w:hAnsi="宋体" w:eastAsia="宋体" w:cs="宋体"/>
          <w:bCs/>
          <w:color w:val="auto"/>
          <w:spacing w:val="-10"/>
          <w:sz w:val="24"/>
          <w:szCs w:val="24"/>
          <w:highlight w:val="none"/>
        </w:rPr>
        <w:t xml:space="preserve">、工作要求</w:t>
      </w:r>
      <w:r/>
    </w:p>
    <w:p>
      <w:pPr>
        <w:ind w:firstLine="480"/>
        <w:keepLines w:val="0"/>
        <w:keepNext w:val="0"/>
        <w:pageBreakBefore w:val="0"/>
        <w:spacing w:line="560" w:lineRule="exact"/>
        <w:widowControl w:val="off"/>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1、各物业服务企业必须高度重视物业管理考核工作。对照《阳山镇安置房物业管理考核基本标准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阳山镇住宅小区物业落实各项重点工作检查标准》的内容和标准，不断完善管理措施，提升服务水平。</w:t>
      </w:r>
      <w:r/>
    </w:p>
    <w:p>
      <w:pPr>
        <w:ind w:firstLine="480"/>
        <w:keepLines w:val="0"/>
        <w:keepNext w:val="0"/>
        <w:pageBreakBefore w:val="0"/>
        <w:spacing w:line="560" w:lineRule="exact"/>
        <w:widowControl w:val="off"/>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2、各物业服务企业在接受考核时要及时提供考核所需的合同、</w:t>
      </w:r>
      <w:r>
        <w:rPr>
          <w:rFonts w:hint="eastAsia" w:ascii="宋体" w:hAnsi="宋体" w:eastAsia="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等相关材料，以备检查。</w:t>
      </w:r>
      <w:r/>
    </w:p>
    <w:p>
      <w:pPr>
        <w:ind w:firstLine="480"/>
        <w:keepLines w:val="0"/>
        <w:keepNext w:val="0"/>
        <w:pageBreakBefore w:val="0"/>
        <w:spacing w:line="560" w:lineRule="exact"/>
        <w:widowControl w:val="off"/>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社区要按照属地管理的原则，结合辖区实际和物业管理的政策、法规等文件要求，协同镇物业管理科做好社区物业管理工作，认真贯彻落实本办法，在落实中抓规范，在规范中促提升；各相关职能部门要主动深入各物业小区，指导督促各物业企业落实落细疫情防控、安全生产、文明城市创建、住区环境、城市管理等各项重点工作。</w:t>
      </w:r>
      <w:r/>
    </w:p>
    <w:p>
      <w:pPr>
        <w:ind w:firstLine="480"/>
        <w:keepLines w:val="0"/>
        <w:keepNext w:val="0"/>
        <w:pageBreakBefore w:val="0"/>
        <w:spacing w:line="560" w:lineRule="exact"/>
        <w:widowControl w:val="off"/>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本办法自发布之日起执行，具体由镇建设局物业管理科负责解释。</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附件：1、阳山镇住宅小区物业管理考核评分标准</w:t>
      </w:r>
      <w:r/>
    </w:p>
    <w:p>
      <w:pPr>
        <w:ind w:firstLine="120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阳山镇17个老旧小区物业管理服务标准</w:t>
      </w:r>
      <w:r/>
    </w:p>
    <w:p>
      <w:pPr>
        <w:ind w:firstLine="120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、阳山镇住宅小区物业落实各项重点工作检查标准</w:t>
      </w:r>
      <w:r/>
    </w:p>
    <w:p>
      <w:pPr>
        <w:ind w:left="219" w:hanging="3"/>
        <w:jc w:val="right"/>
        <w:spacing w:line="560" w:lineRule="exact"/>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9" w:hanging="3"/>
        <w:jc w:val="right"/>
        <w:spacing w:line="560" w:lineRule="exact"/>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无锡市惠山区阳山镇人民政府</w:t>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b/>
          <w:bCs/>
          <w:color w:val="auto"/>
          <w:sz w:val="36"/>
          <w:szCs w:val="36"/>
          <w:highlight w:val="none"/>
        </w:rPr>
      </w:pPr>
      <w:r>
        <w:rPr>
          <w:rFonts w:hint="eastAsia" w:ascii="方正黑体_GBK" w:hAnsi="方正黑体_GBK" w:eastAsia="方正黑体_GBK" w:cs="方正黑体_GBK"/>
          <w:color w:val="auto"/>
          <w:sz w:val="32"/>
          <w:szCs w:val="32"/>
          <w:highlight w:val="none"/>
        </w:rPr>
        <w:t xml:space="preserve">附件1：</w:t>
      </w:r>
      <w:r/>
    </w:p>
    <w:p>
      <w:pPr>
        <w:jc w:val="center"/>
        <w:spacing w:after="624" w:line="400" w:lineRule="exact"/>
        <w:widowControl/>
        <w:tabs>
          <w:tab w:val="left" w:pos="6259" w:leader="none"/>
          <w:tab w:val="left" w:pos="8298" w:leader="none"/>
        </w:tabs>
        <w:rPr>
          <w:rFonts w:eastAsia="方正小标宋简体"/>
          <w:color w:val="auto"/>
          <w:sz w:val="32"/>
          <w:szCs w:val="32"/>
          <w:highlight w:val="none"/>
        </w:rPr>
      </w:pPr>
      <w:r>
        <w:rPr>
          <w:rFonts w:eastAsia="方正小标宋简体"/>
          <w:color w:val="auto"/>
          <w:sz w:val="32"/>
          <w:szCs w:val="32"/>
          <w:highlight w:val="none"/>
        </w:rPr>
        <w:t xml:space="preserve">阳山镇住宅小区物业管理考核评分标准（占考核总分值</w:t>
      </w:r>
      <w:r>
        <w:rPr>
          <w:rFonts w:hint="eastAsia" w:eastAsia="方正小标宋简体"/>
          <w:color w:val="auto"/>
          <w:sz w:val="32"/>
          <w:szCs w:val="32"/>
          <w:highlight w:val="none"/>
          <w:lang w:val="en-US" w:eastAsia="zh-CN"/>
        </w:rPr>
        <w:t xml:space="preserve">6</w:t>
      </w:r>
      <w:r>
        <w:rPr>
          <w:rFonts w:eastAsia="方正小标宋简体"/>
          <w:color w:val="auto"/>
          <w:sz w:val="32"/>
          <w:szCs w:val="32"/>
          <w:highlight w:val="none"/>
        </w:rPr>
        <w:t xml:space="preserve">0%）</w:t>
      </w:r>
      <w:r/>
    </w:p>
    <w:tbl>
      <w:tblPr>
        <w:tblStyle w:val="807"/>
        <w:tblW w:w="5342" w:type="pct"/>
        <w:tblInd w:w="-687" w:type="dxa"/>
        <w:tblLayout w:type="autofit"/>
        <w:tblCellMar>
          <w:left w:w="0" w:type="dxa"/>
          <w:top w:w="0" w:type="dxa"/>
          <w:right w:w="0" w:type="dxa"/>
          <w:bottom w:w="0" w:type="dxa"/>
        </w:tblCellMar>
        <w:tblLook w:val="04A0" w:firstRow="1" w:lastRow="0" w:firstColumn="1" w:lastColumn="0" w:noHBand="0" w:noVBand="1"/>
      </w:tblPr>
      <w:tblGrid>
        <w:gridCol w:w="1278"/>
        <w:gridCol w:w="887"/>
        <w:gridCol w:w="957"/>
        <w:gridCol w:w="3653"/>
        <w:gridCol w:w="474"/>
        <w:gridCol w:w="2273"/>
        <w:gridCol w:w="508"/>
        <w:gridCol w:w="602"/>
      </w:tblGrid>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7"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项目</w:t>
            </w:r>
            <w:r>
              <w:rPr>
                <w:rFonts w:ascii="宋体" w:hAnsi="宋体" w:cs="宋体"/>
                <w:b/>
                <w:bCs/>
                <w:color w:val="auto"/>
                <w:sz w:val="22"/>
                <w:szCs w:val="22"/>
                <w:highlight w:val="none"/>
              </w:rPr>
              <w:t xml:space="preserve"> </w:t>
            </w:r>
            <w:r/>
          </w:p>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管理要求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扣分</w:t>
            </w:r>
            <w:r>
              <w:rPr>
                <w:rFonts w:ascii="宋体" w:hAnsi="宋体" w:cs="宋体"/>
                <w:b/>
                <w:bCs/>
                <w:color w:val="auto"/>
                <w:sz w:val="22"/>
                <w:szCs w:val="22"/>
                <w:highlight w:val="none"/>
              </w:rPr>
              <w:t xml:space="preserve"> </w:t>
            </w:r>
            <w:r>
              <w:rPr>
                <w:rFonts w:hint="eastAsia" w:ascii="宋体" w:hAnsi="宋体" w:cs="宋体"/>
                <w:b/>
                <w:bCs/>
                <w:color w:val="auto"/>
                <w:sz w:val="22"/>
                <w:szCs w:val="22"/>
                <w:highlight w:val="none"/>
              </w:rPr>
              <w:t xml:space="preserve">原因</w:t>
            </w:r>
            <w:r/>
          </w:p>
        </w:tc>
      </w:tr>
      <w:tr>
        <w:trPr>
          <w:trHeight w:val="1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基础管理（</w:t>
            </w:r>
            <w:r>
              <w:rPr>
                <w:rFonts w:hint="eastAsia"/>
                <w:color w:val="auto"/>
                <w:sz w:val="22"/>
                <w:szCs w:val="22"/>
                <w:highlight w:val="none"/>
              </w:rPr>
              <w:t xml:space="preserve">15</w:t>
            </w:r>
            <w:r>
              <w:rPr>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szCs w:val="22"/>
                <w:highlight w:val="none"/>
              </w:rPr>
            </w:pPr>
            <w:r>
              <w:rPr>
                <w:color w:val="auto"/>
                <w:sz w:val="22"/>
                <w:szCs w:val="22"/>
                <w:highlight w:val="none"/>
              </w:rPr>
              <w:t xml:space="preserve">1、小区项目经理要有项目经理上岗证，有</w:t>
            </w:r>
            <w:r>
              <w:rPr>
                <w:rFonts w:hint="eastAsia"/>
                <w:color w:val="auto"/>
                <w:sz w:val="22"/>
                <w:szCs w:val="22"/>
                <w:highlight w:val="none"/>
                <w:lang w:eastAsia="zh-CN"/>
              </w:rPr>
              <w:t xml:space="preserve">两年</w:t>
            </w:r>
            <w:r>
              <w:rPr>
                <w:color w:val="auto"/>
                <w:sz w:val="22"/>
                <w:szCs w:val="22"/>
                <w:highlight w:val="none"/>
              </w:rPr>
              <w:t xml:space="preserve">以上的物业管理经验。</w:t>
            </w:r>
            <w:r/>
          </w:p>
          <w:p>
            <w:pPr>
              <w:jc w:val="left"/>
              <w:widowControl/>
              <w:rPr>
                <w:color w:val="auto"/>
                <w:sz w:val="22"/>
                <w:highlight w:val="none"/>
              </w:rPr>
            </w:pPr>
            <w:r>
              <w:rPr>
                <w:color w:val="auto"/>
                <w:sz w:val="22"/>
                <w:szCs w:val="22"/>
                <w:highlight w:val="none"/>
              </w:rPr>
              <w:t xml:space="preserve">2、物业人员按招投标书和实际岗位配备到位，服装统一，挂牌上岗，仪表整洁规范，服务热情主动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无项目经理上岗证扣0.5分，人员配备不到位扣1分，发现一次不符合扣0.5分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日常服务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小区设置物业管理站，周一至周五8小时业务接待，设立24小时值班服务电话。有完整的报修、维修和回访记录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无报修、维修回访记录的，发现一次扣0.5分，其他发现一次扣0.5分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服务公示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在小区醒目位置公示物业服务内容、收费标准、服务承诺和服务电话。每月在物业点或楼道公示楼道清理、设施设备维保计划及执行情况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未按要求公示的发现一次扣1分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118"/>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规章制度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建立对物业人员的工作制度和考核制度，并上墙公布。各类物管方案、台账资料齐全完善。录用人员需向物管办备案，统计的相关数据与资料及时上报物管办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发现缺少一项的扣0.5分，资料数据上报不及时每次扣0.5分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567"/>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highlight w:val="none"/>
              </w:rPr>
              <w:t xml:space="preserve">投诉处理舆情处置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highlight w:val="none"/>
              </w:rPr>
              <w:t xml:space="preserve">及时处置业主举报及反映的问题，记录完整，形成台账；</w:t>
            </w:r>
            <w:r>
              <w:rPr>
                <w:rFonts w:hint="eastAsia"/>
                <w:color w:val="auto"/>
                <w:sz w:val="22"/>
                <w:highlight w:val="none"/>
              </w:rPr>
              <w:t xml:space="preserve">及时处置12345平台的投诉，记录完整，形成台账；</w:t>
            </w:r>
            <w:r>
              <w:rPr>
                <w:color w:val="auto"/>
                <w:sz w:val="22"/>
                <w:highlight w:val="none"/>
              </w:rPr>
              <w:t xml:space="preserve">对突发状况处置得当，不得引发舆情。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rPr>
                <w:rFonts w:hint="eastAsia"/>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rFonts w:hint="eastAsia"/>
                <w:color w:val="auto"/>
                <w:sz w:val="22"/>
                <w:highlight w:val="none"/>
              </w:rPr>
              <w:t xml:space="preserve">未及时处置业主举报及反映的问题扣1分1次；12345平台同一问题因物业公司原因被反复投诉的扣1分1次；引发舆情的扣10分；无台账扣3分。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2</w:t>
            </w:r>
            <w:r/>
          </w:p>
          <w:p>
            <w:pPr>
              <w:jc w:val="cente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清洁管理（</w:t>
            </w:r>
            <w:r>
              <w:rPr>
                <w:rFonts w:hint="eastAsia"/>
                <w:color w:val="auto"/>
                <w:sz w:val="22"/>
                <w:szCs w:val="22"/>
                <w:highlight w:val="none"/>
              </w:rPr>
              <w:t xml:space="preserve">24</w:t>
            </w:r>
            <w:r>
              <w:rPr>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共用楼道保洁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确保楼层通道、楼梯台阶、扶手干净，无杂物、积灰、蛛网，无小广告、乱张贴、乱涂写、乱停车等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电梯保洁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确保电梯轿厢内整洁，无乱张贴、无乱涂写、无积灰等；电梯机房整洁，无明显积灰、无乱堆放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374"/>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停车场共用车库或车棚保洁</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整洁、无杂物、无明显积灰，门窗、墙面整洁无破损</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3</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标识、宣传牌、塑料信报箱保洁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完好、干净、无明显浮灰、污迹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Mar>
              <w:left w:w="15" w:type="dxa"/>
              <w:top w:w="15" w:type="dxa"/>
              <w:right w:w="15" w:type="dxa"/>
              <w:bottom w:w="0" w:type="dxa"/>
            </w:tcMar>
            <w:tcW w:w="417" w:type="pct"/>
            <w:vAlign w:val="center"/>
            <w:vMerge w:val="continue"/>
            <w:textDirection w:val="lrTb"/>
            <w:noWrap w:val="false"/>
          </w:tcPr>
          <w:p>
            <w:pPr>
              <w:jc w:val="center"/>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休闲、娱乐、健身设施保洁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完好、干净、无明显浮灰、污迹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门卫、岗亭、河道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门卫、岗亭干净、整洁，没有无关物品；河面无漂浮物，岸脚无垃圾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766"/>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rPr>
                <w:color w:val="auto"/>
                <w:sz w:val="22"/>
                <w:highlight w:val="none"/>
              </w:rPr>
            </w:pPr>
            <w:r>
              <w:rPr>
                <w:color w:val="auto"/>
                <w:sz w:val="22"/>
                <w:szCs w:val="22"/>
                <w:highlight w:val="none"/>
              </w:rPr>
              <w:t xml:space="preserve">其他公共场所、设施、公厕</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rPr>
                <w:color w:val="auto"/>
                <w:sz w:val="22"/>
                <w:highlight w:val="none"/>
              </w:rPr>
            </w:pPr>
            <w:r>
              <w:rPr>
                <w:color w:val="auto"/>
                <w:sz w:val="22"/>
                <w:szCs w:val="22"/>
                <w:highlight w:val="none"/>
              </w:rPr>
              <w:t xml:space="preserve">保持干净、整洁、无浮灰、污迹、损坏，无乱堆放、乱涂写、乱牵挂、乱晾晒现象</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rPr>
                <w:color w:val="auto"/>
                <w:sz w:val="22"/>
                <w:highlight w:val="none"/>
              </w:rPr>
            </w:pPr>
            <w:r>
              <w:rPr>
                <w:color w:val="auto"/>
                <w:sz w:val="22"/>
                <w:szCs w:val="22"/>
                <w:highlight w:val="none"/>
              </w:rPr>
              <w:t xml:space="preserve">4</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050"/>
        </w:trPr>
        <w:tc>
          <w:tcPr>
            <w:tcBorders>
              <w:top w:val="single" w:color="000000" w:sz="4" w:space="0"/>
              <w:left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val="false"/>
          </w:tcPr>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t xml:space="preserve">3</w:t>
            </w:r>
            <w:r/>
          </w:p>
          <w:p>
            <w:pPr>
              <w:jc w:val="cente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t xml:space="preserve">房屋共用</w:t>
            </w:r>
            <w:r/>
          </w:p>
          <w:p>
            <w:pPr>
              <w:jc w:val="center"/>
              <w:widowControl/>
              <w:rPr>
                <w:color w:val="auto"/>
                <w:sz w:val="22"/>
                <w:szCs w:val="22"/>
                <w:highlight w:val="none"/>
              </w:rPr>
            </w:pPr>
            <w:r>
              <w:rPr>
                <w:color w:val="auto"/>
                <w:sz w:val="22"/>
                <w:szCs w:val="22"/>
                <w:highlight w:val="none"/>
              </w:rPr>
              <w:t xml:space="preserve">设施、设备维护与管理</w:t>
            </w:r>
            <w:r/>
          </w:p>
          <w:p>
            <w:pPr>
              <w:jc w:val="center"/>
              <w:widowControl/>
              <w:rPr>
                <w:color w:val="auto"/>
                <w:sz w:val="22"/>
                <w:highlight w:val="none"/>
              </w:rPr>
            </w:pPr>
            <w:r>
              <w:rPr>
                <w:color w:val="auto"/>
                <w:sz w:val="22"/>
                <w:szCs w:val="22"/>
                <w:highlight w:val="none"/>
              </w:rPr>
              <w:t xml:space="preserve">（18分）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服务时限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急修1小时到位，12小时内修复；小修2日内修复，有记录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超过时限扣0.5分，无记录扣0.5分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650"/>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房屋管理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有完善的装修管理制度。业主装修无破坏主体结构等情况。及时处理小区居民的报修工作，按照维修管理规定执行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发现一处破坏主体结构扣1.5分，一周内整改不到位的扣2分，未按照维修规定执行的每次扣0.5分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750"/>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450"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给排水设施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水箱、蓄水池盖板完好无损坏，每年做好清洗工作，有记录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发现一次扣0.5分，扣完为止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455"/>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泵房整洁无杂物，各类水泵运作正常，管道及阀门配件完好、无损坏、渗漏、锈迹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发现一次因人为原因运行不正常的扣1分；发现一处损坏渗漏，维保不到位的扣0.2分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335"/>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每月清扫一次明沟，无堵塞。清扫有记录，多层安置房梅雨季节前清扫一次露台天沟；疏通一次</w:t>
            </w:r>
            <w:r>
              <w:rPr>
                <w:rFonts w:hint="eastAsia"/>
                <w:color w:val="auto"/>
                <w:sz w:val="22"/>
                <w:szCs w:val="22"/>
                <w:highlight w:val="none"/>
                <w:lang w:eastAsia="zh-CN"/>
              </w:rPr>
              <w:t xml:space="preserve">路面</w:t>
            </w:r>
            <w:r>
              <w:rPr>
                <w:color w:val="auto"/>
                <w:sz w:val="22"/>
                <w:szCs w:val="22"/>
                <w:highlight w:val="none"/>
              </w:rPr>
              <w:t xml:space="preserve">窨井，化粪池每年清理一次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未按要求做的，发现一次扣1分，限时整改不到位的扣2分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130"/>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auto" w:sz="4" w:space="0"/>
              <w:left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窨井无损坏、无缺失，安装到位，不影响行人与</w:t>
            </w:r>
            <w:r>
              <w:rPr>
                <w:rFonts w:hint="eastAsia"/>
                <w:color w:val="auto"/>
                <w:sz w:val="22"/>
                <w:szCs w:val="22"/>
                <w:highlight w:val="none"/>
                <w:lang w:eastAsia="zh-CN"/>
              </w:rPr>
              <w:t xml:space="preserve">车辆通行</w:t>
            </w:r>
            <w:r/>
          </w:p>
        </w:tc>
        <w:tc>
          <w:tcPr>
            <w:tcBorders>
              <w:top w:val="single" w:color="auto" w:sz="4" w:space="0"/>
              <w:left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auto" w:sz="4" w:space="0"/>
              <w:left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auto" w:sz="4" w:space="0"/>
              <w:left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auto" w:sz="4" w:space="0"/>
              <w:left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840"/>
        </w:trPr>
        <w:tc>
          <w:tcPr>
            <w:tcBorders>
              <w:left w:val="single" w:color="000000" w:sz="4" w:space="0"/>
              <w:right w:val="single" w:color="000000" w:sz="4" w:space="0"/>
            </w:tcBorders>
            <w:tcW w:w="601" w:type="pct"/>
            <w:vAlign w:val="center"/>
            <w:textDirection w:val="lrTb"/>
            <w:noWrap w:val="false"/>
          </w:tcPr>
          <w:p>
            <w:pPr>
              <w:jc w:val="center"/>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restart"/>
            <w:textDirection w:val="lrTb"/>
            <w:noWrap w:val="false"/>
          </w:tcPr>
          <w:p>
            <w:pPr>
              <w:jc w:val="center"/>
              <w:rPr>
                <w:color w:val="auto"/>
                <w:sz w:val="22"/>
                <w:highlight w:val="none"/>
              </w:rPr>
            </w:pPr>
            <w:r>
              <w:rPr>
                <w:color w:val="auto"/>
                <w:sz w:val="22"/>
                <w:highlight w:val="none"/>
              </w:rPr>
            </w:r>
            <w:r/>
          </w:p>
        </w:tc>
        <w:tc>
          <w:tcPr>
            <w:tcBorders>
              <w:top w:val="single" w:color="auto" w:sz="4" w:space="0"/>
              <w:left w:val="single" w:color="000000" w:sz="4" w:space="0"/>
              <w:bottom w:val="single" w:color="000000" w:sz="4" w:space="0"/>
              <w:right w:val="single" w:color="000000" w:sz="4" w:space="0"/>
            </w:tcBorders>
            <w:tcW w:w="450"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雨水管污水、给排水管无堵塞、排水畅通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975"/>
        </w:trPr>
        <w:tc>
          <w:tcPr>
            <w:tcBorders>
              <w:left w:val="single" w:color="000000" w:sz="4" w:space="0"/>
              <w:right w:val="single" w:color="000000" w:sz="4" w:space="0"/>
            </w:tcBorders>
            <w:tcW w:w="601" w:type="pct"/>
            <w:vAlign w:val="center"/>
            <w:vMerge w:val="restart"/>
            <w:textDirection w:val="lrTb"/>
            <w:noWrap w:val="false"/>
          </w:tcPr>
          <w:p>
            <w:pPr>
              <w:ind w:firstLine="110"/>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公共照明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每月检查公共供配电系统的运行状况，并做好记录，出现异常情况及时处理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不检查一次扣0.5分，不及时处理扣0.5分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765"/>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auto"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公共照明灯具开关等无损坏，使用正常</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3</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2145"/>
        </w:trPr>
        <w:tc>
          <w:tcPr>
            <w:tcBorders>
              <w:left w:val="single" w:color="000000" w:sz="4" w:space="0"/>
              <w:right w:val="single" w:color="auto"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auto" w:sz="4" w:space="0"/>
              <w:bottom w:val="single" w:color="auto" w:sz="4" w:space="0"/>
              <w:right w:val="single" w:color="auto"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highlight w:val="none"/>
              </w:rPr>
            </w:pPr>
            <w:r>
              <w:rPr>
                <w:color w:val="auto"/>
                <w:sz w:val="22"/>
                <w:highlight w:val="none"/>
              </w:rPr>
            </w:r>
            <w:r/>
          </w:p>
        </w:tc>
        <w:tc>
          <w:tcPr>
            <w:tcBorders>
              <w:top w:val="single" w:color="auto" w:sz="4" w:space="0"/>
              <w:left w:val="single" w:color="auto"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电梯</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选聘有资质的维保单位进行日常维护保养，维保记录资料齐全，主动到镇物管办登记备案。做到一梯一档；有应急救援预案和操作程序。在接到报警信号半小时内设法解救乘客，排除故障，有记录。电梯灯具、风扇、按钮、对讲系统及安全设施保养到位，无异常、无损坏</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未及时备案的扣2分无正常维护保养扣2分；记录不全，发现一处扣0.2分；其他发现一次扣0.2分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2220"/>
        </w:trPr>
        <w:tc>
          <w:tcPr>
            <w:tcBorders>
              <w:left w:val="single" w:color="000000" w:sz="4" w:space="0"/>
              <w:right w:val="single" w:color="auto"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auto" w:sz="4" w:space="0"/>
              <w:bottom w:val="single" w:color="auto" w:sz="4" w:space="0"/>
              <w:right w:val="single" w:color="auto"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消防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选聘有资质的维保单位进行日常维护保养，主动到物管办登记备案。每月进行一次巡查，调试消防栓、箱、烟管器、消防水阀。消防标志等消防设备完好、齐全，确保正常使用，并及时维修，有记录，无失窃、私用等情况。灭火器定期检查更换药粉，确保有效使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没有备案的扣2分；无巡查调试扣1分，设备、设施损坏不符合要求，每发现一处扣0.2分，发现私用扣1分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227"/>
        </w:trPr>
        <w:tc>
          <w:tcPr>
            <w:tcBorders>
              <w:left w:val="single" w:color="000000" w:sz="4" w:space="0"/>
              <w:right w:val="single" w:color="auto"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auto" w:sz="4" w:space="0"/>
              <w:bottom w:val="single" w:color="auto" w:sz="4" w:space="0"/>
              <w:right w:val="single" w:color="auto"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450"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监控</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szCs w:val="22"/>
                <w:highlight w:val="none"/>
              </w:rPr>
            </w:pPr>
            <w:r>
              <w:rPr>
                <w:color w:val="auto"/>
                <w:sz w:val="22"/>
                <w:szCs w:val="22"/>
                <w:highlight w:val="none"/>
              </w:rPr>
            </w:r>
            <w:r/>
          </w:p>
          <w:p>
            <w:pPr>
              <w:jc w:val="left"/>
              <w:widowControl/>
              <w:rPr>
                <w:color w:val="auto"/>
                <w:sz w:val="22"/>
                <w:szCs w:val="22"/>
                <w:highlight w:val="none"/>
              </w:rPr>
            </w:pPr>
            <w:r>
              <w:rPr>
                <w:color w:val="auto"/>
                <w:sz w:val="22"/>
                <w:szCs w:val="22"/>
                <w:highlight w:val="none"/>
              </w:rPr>
            </w:r>
            <w:r/>
          </w:p>
          <w:p>
            <w:pPr>
              <w:jc w:val="left"/>
              <w:widowControl/>
              <w:rPr>
                <w:color w:val="auto"/>
                <w:sz w:val="22"/>
                <w:szCs w:val="22"/>
                <w:highlight w:val="none"/>
              </w:rPr>
            </w:pPr>
            <w:r>
              <w:rPr>
                <w:color w:val="auto"/>
                <w:sz w:val="22"/>
                <w:szCs w:val="22"/>
                <w:highlight w:val="none"/>
              </w:rPr>
              <w:t xml:space="preserve">每月按规定检查监控设备，有记录，如有损坏及时修复</w:t>
            </w:r>
            <w:r/>
          </w:p>
          <w:p>
            <w:pPr>
              <w:jc w:val="left"/>
              <w:widowControl/>
              <w:rPr>
                <w:color w:val="auto"/>
                <w:sz w:val="22"/>
                <w:szCs w:val="22"/>
                <w:highlight w:val="none"/>
              </w:rPr>
            </w:pPr>
            <w:r>
              <w:rPr>
                <w:color w:val="auto"/>
                <w:sz w:val="22"/>
                <w:szCs w:val="22"/>
                <w:highlight w:val="none"/>
              </w:rPr>
            </w:r>
            <w:r/>
          </w:p>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不检查扣1分，不及时维修扣0.5分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9" w:type="pct"/>
            <w:vAlign w:val="center"/>
            <w:vMerge w:val="restart"/>
            <w:textDirection w:val="lrTb"/>
            <w:noWrap/>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vMerge w:val="restart"/>
            <w:textDirection w:val="lrTb"/>
            <w:noWrap/>
          </w:tcPr>
          <w:p>
            <w:pPr>
              <w:jc w:val="center"/>
              <w:rPr>
                <w:color w:val="auto"/>
                <w:sz w:val="22"/>
                <w:highlight w:val="none"/>
              </w:rPr>
            </w:pPr>
            <w:r>
              <w:rPr>
                <w:color w:val="auto"/>
                <w:sz w:val="22"/>
                <w:highlight w:val="none"/>
              </w:rPr>
            </w:r>
            <w:r/>
          </w:p>
        </w:tc>
      </w:tr>
      <w:tr>
        <w:trPr>
          <w:trHeight w:val="1965"/>
        </w:trPr>
        <w:tc>
          <w:tcPr>
            <w:tcBorders>
              <w:left w:val="single" w:color="000000" w:sz="4" w:space="0"/>
              <w:right w:val="single" w:color="auto"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auto" w:sz="4" w:space="0"/>
              <w:bottom w:val="single" w:color="auto" w:sz="4" w:space="0"/>
              <w:right w:val="single" w:color="auto"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auto" w:sz="4" w:space="0"/>
              <w:bottom w:val="single" w:color="000000"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监控室实行24小时值班，发现情况及时上报处理，情况处理有记录；禁止无关人员在内；保持室内整洁无杂物堆放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发现无人值班扣1分，情况不及时处理扣0.5分，发现有无关人员一次扣0.5分；发现有杂物堆放每次扣0.5分</w:t>
            </w:r>
            <w:r/>
          </w:p>
        </w:tc>
        <w:tc>
          <w:tcPr>
            <w:tcBorders>
              <w:top w:val="single" w:color="000000" w:sz="4" w:space="0"/>
              <w:left w:val="none" w:color="000000" w:sz="4" w:space="0"/>
              <w:bottom w:val="single" w:color="000000" w:sz="4" w:space="0"/>
              <w:right w:val="single" w:color="000000" w:sz="4" w:space="0"/>
            </w:tcBorders>
            <w:tcW w:w="239"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left"/>
              <w:widowControl/>
              <w:rPr>
                <w:color w:val="auto"/>
                <w:sz w:val="22"/>
                <w:highlight w:val="none"/>
              </w:rPr>
            </w:pPr>
            <w:r>
              <w:rPr>
                <w:color w:val="auto"/>
                <w:sz w:val="22"/>
                <w:highlight w:val="none"/>
              </w:rPr>
            </w:r>
            <w:r/>
          </w:p>
        </w:tc>
      </w:tr>
      <w:tr>
        <w:trPr>
          <w:trHeight w:val="1930"/>
        </w:trPr>
        <w:tc>
          <w:tcPr>
            <w:tcBorders>
              <w:left w:val="single" w:color="000000" w:sz="4" w:space="0"/>
              <w:right w:val="single" w:color="auto"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auto" w:sz="4" w:space="0"/>
              <w:bottom w:val="single" w:color="auto" w:sz="4" w:space="0"/>
              <w:right w:val="single" w:color="auto"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szCs w:val="22"/>
                <w:highlight w:val="none"/>
              </w:rPr>
            </w:pPr>
            <w:r>
              <w:rPr>
                <w:color w:val="auto"/>
                <w:sz w:val="22"/>
                <w:szCs w:val="22"/>
                <w:highlight w:val="none"/>
              </w:rPr>
              <w:t xml:space="preserve">其他公用设施</w:t>
            </w:r>
            <w:r/>
          </w:p>
          <w:p>
            <w:pPr>
              <w:jc w:val="center"/>
              <w:widowControl/>
              <w:rPr>
                <w:color w:val="auto"/>
                <w:sz w:val="22"/>
                <w:highlight w:val="none"/>
              </w:rPr>
            </w:pPr>
            <w:r>
              <w:rPr>
                <w:color w:val="auto"/>
                <w:sz w:val="22"/>
                <w:szCs w:val="22"/>
                <w:highlight w:val="none"/>
              </w:rPr>
              <w:t xml:space="preserve">智能道闸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tcPr>
          <w:p>
            <w:pPr>
              <w:jc w:val="left"/>
              <w:widowControl/>
              <w:rPr>
                <w:color w:val="auto"/>
                <w:sz w:val="22"/>
                <w:highlight w:val="none"/>
              </w:rPr>
            </w:pPr>
            <w:r>
              <w:rPr>
                <w:color w:val="auto"/>
                <w:sz w:val="22"/>
                <w:szCs w:val="22"/>
                <w:highlight w:val="none"/>
              </w:rPr>
              <w:t xml:space="preserve">完好无损、无随意改变用途现象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损坏1处扣0.2分，随意改变用途扣1分，确保智能道闸正常使用，未按规定使用的每次扣0.2分</w:t>
            </w:r>
            <w:r/>
          </w:p>
        </w:tc>
        <w:tc>
          <w:tcPr>
            <w:tcBorders>
              <w:top w:val="single" w:color="000000" w:sz="4" w:space="0"/>
              <w:left w:val="none" w:color="000000" w:sz="4" w:space="0"/>
              <w:bottom w:val="single" w:color="000000" w:sz="4" w:space="0"/>
              <w:right w:val="single" w:color="000000" w:sz="4" w:space="0"/>
            </w:tcBorders>
            <w:tcW w:w="239"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left"/>
              <w:widowControl/>
              <w:rPr>
                <w:color w:val="auto"/>
                <w:sz w:val="22"/>
                <w:highlight w:val="none"/>
              </w:rPr>
            </w:pPr>
            <w:r>
              <w:rPr>
                <w:color w:val="auto"/>
                <w:sz w:val="22"/>
                <w:highlight w:val="none"/>
              </w:rPr>
            </w:r>
            <w:r/>
          </w:p>
        </w:tc>
      </w:tr>
      <w:tr>
        <w:trPr>
          <w:trHeight w:val="10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tcPr>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highlight w:val="none"/>
              </w:rPr>
            </w:pPr>
            <w:r>
              <w:rPr>
                <w:color w:val="auto"/>
                <w:sz w:val="22"/>
                <w:szCs w:val="22"/>
                <w:highlight w:val="none"/>
              </w:rPr>
              <w:t xml:space="preserve">4</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widowControl/>
              <w:rPr>
                <w:color w:val="auto"/>
                <w:sz w:val="22"/>
                <w:szCs w:val="22"/>
                <w:highlight w:val="none"/>
              </w:rPr>
            </w:pPr>
            <w:r>
              <w:rPr>
                <w:color w:val="auto"/>
                <w:sz w:val="22"/>
                <w:szCs w:val="22"/>
                <w:highlight w:val="none"/>
              </w:rPr>
            </w:r>
            <w:r/>
          </w:p>
          <w:p>
            <w:pPr>
              <w:widowControl/>
              <w:rPr>
                <w:color w:val="auto"/>
                <w:sz w:val="22"/>
                <w:szCs w:val="22"/>
                <w:highlight w:val="none"/>
              </w:rPr>
            </w:pPr>
            <w:r>
              <w:rPr>
                <w:color w:val="auto"/>
                <w:sz w:val="22"/>
                <w:szCs w:val="22"/>
                <w:highlight w:val="none"/>
              </w:rPr>
              <w:t xml:space="preserve">绿化养护与</w:t>
            </w:r>
            <w:r/>
          </w:p>
          <w:p>
            <w:pPr>
              <w:widowControl/>
              <w:rPr>
                <w:color w:val="auto"/>
                <w:sz w:val="22"/>
                <w:szCs w:val="22"/>
                <w:highlight w:val="none"/>
              </w:rPr>
            </w:pPr>
            <w:r>
              <w:rPr>
                <w:color w:val="auto"/>
                <w:sz w:val="22"/>
                <w:szCs w:val="22"/>
                <w:highlight w:val="none"/>
              </w:rPr>
              <w:t xml:space="preserve">管理</w:t>
            </w:r>
            <w:r/>
          </w:p>
          <w:p>
            <w:pPr>
              <w:widowControl/>
              <w:rPr>
                <w:color w:val="auto"/>
                <w:sz w:val="22"/>
                <w:highlight w:val="none"/>
              </w:rPr>
            </w:pPr>
            <w:r>
              <w:rPr>
                <w:color w:val="auto"/>
                <w:sz w:val="22"/>
                <w:szCs w:val="22"/>
                <w:highlight w:val="none"/>
              </w:rPr>
              <w:t xml:space="preserve">（1</w:t>
            </w:r>
            <w:r>
              <w:rPr>
                <w:rFonts w:hint="eastAsia"/>
                <w:color w:val="auto"/>
                <w:sz w:val="22"/>
                <w:szCs w:val="22"/>
                <w:highlight w:val="none"/>
              </w:rPr>
              <w:t xml:space="preserve">4</w:t>
            </w:r>
            <w:r>
              <w:rPr>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草坪、树木、花坛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植物长势良好，草坪、色块、树木、花坛成活率在90%以上。如有死亡，毁绿现象能够及时补绿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rFonts w:hint="eastAsia"/>
                <w:color w:val="auto"/>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发现一处毁绿扣0.5分，不及时补绿扣1分，扣完为止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tcPr>
          <w:p>
            <w:pP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tcPr>
          <w:p>
            <w:pPr>
              <w:rPr>
                <w:color w:val="auto"/>
                <w:sz w:val="22"/>
                <w:highlight w:val="none"/>
              </w:rPr>
            </w:pPr>
            <w:r>
              <w:rPr>
                <w:color w:val="auto"/>
                <w:sz w:val="22"/>
                <w:highlight w:val="none"/>
              </w:rPr>
            </w:r>
            <w:r/>
          </w:p>
        </w:tc>
      </w:tr>
      <w:tr>
        <w:trPr>
          <w:trHeight w:val="1227"/>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rPr>
                <w:color w:val="auto"/>
                <w:sz w:val="22"/>
                <w:highlight w:val="none"/>
              </w:rPr>
            </w:pPr>
            <w:r>
              <w:rPr>
                <w:color w:val="auto"/>
                <w:sz w:val="22"/>
                <w:szCs w:val="22"/>
                <w:highlight w:val="none"/>
              </w:rPr>
              <w:t xml:space="preserve">绿地无杂草，无明显土地裸露，无乱种植现象</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rPr>
                <w:color w:val="auto"/>
                <w:sz w:val="22"/>
                <w:highlight w:val="none"/>
              </w:rPr>
            </w:pPr>
            <w:r>
              <w:rPr>
                <w:color w:val="auto"/>
                <w:sz w:val="22"/>
                <w:szCs w:val="22"/>
                <w:highlight w:val="none"/>
              </w:rPr>
              <w:t xml:space="preserve">6</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39" w:type="pct"/>
            <w:vAlign w:val="center"/>
            <w:textDirection w:val="lrTb"/>
            <w:noWrap/>
          </w:tcPr>
          <w:p>
            <w:pP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280" w:type="pct"/>
            <w:vAlign w:val="center"/>
            <w:textDirection w:val="lrTb"/>
            <w:noWrap/>
          </w:tcPr>
          <w:p>
            <w:pPr>
              <w:rPr>
                <w:color w:val="auto"/>
                <w:sz w:val="22"/>
                <w:highlight w:val="none"/>
              </w:rPr>
            </w:pPr>
            <w:r>
              <w:rPr>
                <w:color w:val="auto"/>
                <w:sz w:val="22"/>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假山、亭、雕塑等建筑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干净无垃圾、无明显积灰、无污迹、无损坏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tcPr>
          <w:p>
            <w:pP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tcPr>
          <w:p>
            <w:pPr>
              <w:rPr>
                <w:color w:val="auto"/>
                <w:sz w:val="22"/>
                <w:highlight w:val="none"/>
              </w:rPr>
            </w:pPr>
            <w:r>
              <w:rPr>
                <w:color w:val="auto"/>
                <w:sz w:val="22"/>
                <w:highlight w:val="none"/>
              </w:rPr>
            </w:r>
            <w:r/>
          </w:p>
        </w:tc>
      </w:tr>
      <w:tr>
        <w:trPr>
          <w:trHeight w:val="15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tcPr>
          <w:p>
            <w:pPr>
              <w:jc w:val="center"/>
              <w:widowControl/>
              <w:rPr>
                <w:color w:val="auto"/>
                <w:sz w:val="22"/>
                <w:highlight w:val="none"/>
              </w:rPr>
            </w:pPr>
            <w:r>
              <w:rPr>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安全防范（20分）</w:t>
            </w:r>
            <w:r/>
          </w:p>
        </w:tc>
        <w:tc>
          <w:tcPr>
            <w:tcBorders>
              <w:top w:val="single" w:color="000000" w:sz="4" w:space="0"/>
              <w:left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rPr>
                <w:color w:val="auto"/>
                <w:sz w:val="22"/>
                <w:highlight w:val="none"/>
              </w:rPr>
            </w:pPr>
            <w:r>
              <w:rPr>
                <w:color w:val="auto"/>
                <w:sz w:val="22"/>
                <w:szCs w:val="22"/>
                <w:highlight w:val="none"/>
              </w:rPr>
              <w:t xml:space="preserve">巡逻</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rPr>
                <w:color w:val="auto"/>
                <w:sz w:val="22"/>
                <w:highlight w:val="none"/>
              </w:rPr>
            </w:pPr>
            <w:r>
              <w:rPr>
                <w:color w:val="auto"/>
                <w:sz w:val="22"/>
                <w:szCs w:val="22"/>
                <w:highlight w:val="none"/>
              </w:rPr>
              <w:t xml:space="preserve">按规定白天巡查不少于4次，夜间巡查不少于6次，巡查台账完备。车库门、防盗电控门保持完好，及时关闭</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rPr>
                <w:color w:val="auto"/>
                <w:sz w:val="22"/>
                <w:highlight w:val="none"/>
              </w:rPr>
            </w:pPr>
            <w:r>
              <w:rPr>
                <w:color w:val="auto"/>
                <w:sz w:val="22"/>
                <w:szCs w:val="22"/>
                <w:highlight w:val="none"/>
              </w:rPr>
              <w:t xml:space="preserve">15</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rPr>
                <w:color w:val="auto"/>
                <w:sz w:val="22"/>
                <w:highlight w:val="none"/>
              </w:rPr>
            </w:pPr>
            <w:r>
              <w:rPr>
                <w:color w:val="auto"/>
                <w:sz w:val="22"/>
                <w:szCs w:val="22"/>
                <w:highlight w:val="none"/>
              </w:rPr>
              <w:t xml:space="preserve">缺一次巡逻扣1分，夜间车库门未关闭发现一处扣0.5分，扣完为止</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39" w:type="pct"/>
            <w:vAlign w:val="center"/>
            <w:textDirection w:val="lrTb"/>
            <w:noWrap/>
          </w:tcPr>
          <w:p>
            <w:pP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280" w:type="pct"/>
            <w:vAlign w:val="center"/>
            <w:textDirection w:val="lrTb"/>
            <w:noWrap/>
          </w:tcPr>
          <w:p>
            <w:pPr>
              <w:rPr>
                <w:color w:val="auto"/>
                <w:sz w:val="22"/>
                <w:highlight w:val="none"/>
              </w:rPr>
            </w:pPr>
            <w:r>
              <w:rPr>
                <w:color w:val="auto"/>
                <w:sz w:val="22"/>
                <w:highlight w:val="none"/>
              </w:rPr>
            </w:r>
            <w:r/>
          </w:p>
        </w:tc>
      </w:tr>
      <w:tr>
        <w:trPr>
          <w:trHeight w:val="1050"/>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left"/>
              <w:widowControl/>
              <w:rPr>
                <w:color w:val="auto"/>
                <w:sz w:val="22"/>
                <w:highlight w:val="none"/>
              </w:rPr>
            </w:pPr>
            <w:r>
              <w:rPr>
                <w:color w:val="auto"/>
                <w:sz w:val="22"/>
                <w:highlight w:val="none"/>
              </w:rPr>
              <w:t xml:space="preserve">交通秩序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保持消防通道畅通，消防通道无路障；对于火灾等突发事件要有应急预案，每年进行一次消防演练活动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消防通道不畅通，发现一次扣2分，未进行消防演练活动的扣1分</w:t>
            </w:r>
            <w:r/>
          </w:p>
        </w:tc>
        <w:tc>
          <w:tcPr>
            <w:tcBorders>
              <w:top w:val="none" w:color="000000" w:sz="4" w:space="0"/>
              <w:left w:val="none" w:color="000000" w:sz="4" w:space="0"/>
              <w:bottom w:val="single" w:color="000000" w:sz="4" w:space="0"/>
              <w:right w:val="single" w:color="000000" w:sz="4" w:space="0"/>
            </w:tcBorders>
            <w:tcW w:w="239" w:type="pct"/>
            <w:vAlign w:val="center"/>
            <w:textDirection w:val="lrTb"/>
            <w:noWrap w:val="false"/>
          </w:tcPr>
          <w:p>
            <w:pPr>
              <w:jc w:val="left"/>
              <w:widowControl/>
              <w:rPr>
                <w:color w:val="auto"/>
                <w:sz w:val="22"/>
                <w:highlight w:val="none"/>
              </w:rPr>
            </w:pPr>
            <w:r>
              <w:rPr>
                <w:color w:val="auto"/>
                <w:sz w:val="22"/>
                <w:highlight w:val="none"/>
              </w:rPr>
            </w:r>
            <w:r/>
          </w:p>
        </w:tc>
        <w:tc>
          <w:tcPr>
            <w:tcBorders>
              <w:top w:val="none" w:color="000000" w:sz="4" w:space="0"/>
              <w:left w:val="single" w:color="000000" w:sz="4" w:space="0"/>
              <w:bottom w:val="single" w:color="000000" w:sz="4" w:space="0"/>
              <w:right w:val="single" w:color="000000" w:sz="4" w:space="0"/>
            </w:tcBorders>
            <w:tcW w:w="280" w:type="pct"/>
            <w:vAlign w:val="center"/>
            <w:textDirection w:val="lrTb"/>
            <w:noWrap w:val="false"/>
          </w:tcPr>
          <w:p>
            <w:pPr>
              <w:jc w:val="left"/>
              <w:widowControl/>
              <w:rPr>
                <w:color w:val="auto"/>
                <w:sz w:val="22"/>
                <w:highlight w:val="none"/>
              </w:rPr>
            </w:pPr>
            <w:r>
              <w:rPr>
                <w:color w:val="auto"/>
                <w:sz w:val="22"/>
                <w:highlight w:val="none"/>
              </w:rPr>
            </w:r>
            <w:r/>
          </w:p>
        </w:tc>
      </w:tr>
      <w:tr>
        <w:trPr>
          <w:trHeight w:val="1545"/>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其他方面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对于治安、公共卫生等突发事件，危及住户人身安全的设施设备有明显标志和防范措施。主出入口设有小区平面示意图，主要路口设有路标、幢、单元（门）和户门标志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发现一处不符合要求的扣0.5分，扣完为止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tcPr>
          <w:p>
            <w:pP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tcPr>
          <w:p>
            <w:pPr>
              <w:rPr>
                <w:color w:val="auto"/>
                <w:sz w:val="22"/>
                <w:highlight w:val="none"/>
              </w:rPr>
            </w:pPr>
            <w:r>
              <w:rPr>
                <w:color w:val="auto"/>
                <w:sz w:val="22"/>
                <w:highlight w:val="none"/>
              </w:rPr>
            </w:r>
            <w:r/>
          </w:p>
        </w:tc>
      </w:tr>
      <w:tr>
        <w:trPr>
          <w:trHeight w:val="1680"/>
        </w:trPr>
        <w:tc>
          <w:tcPr>
            <w:tcBorders>
              <w:top w:val="single" w:color="000000" w:sz="4" w:space="0"/>
              <w:left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tcPr>
          <w:p>
            <w:pPr>
              <w:jc w:val="center"/>
              <w:widowControl/>
              <w:rPr>
                <w:color w:val="auto"/>
                <w:sz w:val="22"/>
                <w:highlight w:val="none"/>
              </w:rPr>
            </w:pPr>
            <w:r>
              <w:rPr>
                <w:color w:val="auto"/>
                <w:sz w:val="22"/>
                <w:szCs w:val="22"/>
                <w:highlight w:val="none"/>
              </w:rPr>
              <w:t xml:space="preserve">6</w:t>
            </w:r>
            <w:r/>
          </w:p>
        </w:tc>
        <w:tc>
          <w:tcPr>
            <w:tcBorders>
              <w:top w:val="single" w:color="000000" w:sz="4" w:space="0"/>
              <w:left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rPr>
                <w:color w:val="auto"/>
                <w:sz w:val="22"/>
                <w:szCs w:val="22"/>
                <w:highlight w:val="none"/>
              </w:rPr>
            </w:pPr>
            <w:r>
              <w:rPr>
                <w:color w:val="auto"/>
                <w:sz w:val="22"/>
                <w:szCs w:val="22"/>
                <w:highlight w:val="none"/>
              </w:rPr>
              <w:t xml:space="preserve">业主权益</w:t>
            </w:r>
            <w:r/>
          </w:p>
          <w:p>
            <w:pPr>
              <w:jc w:val="center"/>
              <w:rPr>
                <w:color w:val="auto"/>
                <w:sz w:val="22"/>
                <w:highlight w:val="none"/>
              </w:rPr>
            </w:pPr>
            <w:r>
              <w:rPr>
                <w:color w:val="auto"/>
                <w:sz w:val="22"/>
                <w:szCs w:val="22"/>
                <w:highlight w:val="none"/>
              </w:rPr>
              <w:t xml:space="preserve">（</w:t>
            </w:r>
            <w:r>
              <w:rPr>
                <w:rFonts w:hint="eastAsia"/>
                <w:color w:val="auto"/>
                <w:sz w:val="22"/>
                <w:szCs w:val="22"/>
                <w:highlight w:val="none"/>
              </w:rPr>
              <w:t xml:space="preserve">9</w:t>
            </w:r>
            <w:r>
              <w:rPr>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收费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按标准合理收取物业管理费、车辆停车费，加强沟通避免投诉，每月月底按时结算上报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未按规定收费的，发现一次扣1分，每月月底未结算上报的，每次扣1分，不合理收费发现一次扣1分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765"/>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公示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按季度公示经营管理收支情况，专项维修情况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未按规定公示的，每项扣1分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059"/>
        </w:trPr>
        <w:tc>
          <w:tcPr>
            <w:tcBorders>
              <w:left w:val="single" w:color="000000" w:sz="4" w:space="0"/>
              <w:right w:val="single" w:color="000000" w:sz="4" w:space="0"/>
            </w:tcBorders>
            <w:tcMar>
              <w:left w:w="15" w:type="dxa"/>
              <w:top w:w="15" w:type="dxa"/>
              <w:right w:w="15" w:type="dxa"/>
              <w:bottom w:w="0" w:type="dxa"/>
            </w:tcMar>
            <w:tcW w:w="601" w:type="pct"/>
            <w:vAlign w:val="center"/>
            <w:vMerge w:val="continue"/>
            <w:textDirection w:val="lrTb"/>
            <w:noWrap w:val="false"/>
          </w:tcPr>
          <w:p>
            <w:pPr>
              <w:jc w:val="center"/>
              <w:widowControl/>
              <w:rPr>
                <w:color w:val="auto"/>
                <w:sz w:val="22"/>
                <w:szCs w:val="22"/>
                <w:highlight w:val="none"/>
              </w:rPr>
            </w:pPr>
            <w:r>
              <w:rPr>
                <w:color w:val="auto"/>
                <w:sz w:val="22"/>
                <w:szCs w:val="22"/>
                <w:highlight w:val="none"/>
              </w:rPr>
            </w:r>
            <w:r/>
          </w:p>
        </w:tc>
        <w:tc>
          <w:tcPr>
            <w:tcBorders>
              <w:left w:val="single" w:color="000000" w:sz="4" w:space="0"/>
              <w:right w:val="single" w:color="000000" w:sz="4" w:space="0"/>
            </w:tcBorders>
            <w:tcMar>
              <w:left w:w="15" w:type="dxa"/>
              <w:top w:w="15" w:type="dxa"/>
              <w:right w:w="15" w:type="dxa"/>
              <w:bottom w:w="0" w:type="dxa"/>
            </w:tcMar>
            <w:tcW w:w="417" w:type="pct"/>
            <w:vAlign w:val="center"/>
            <w:vMerge w:val="continue"/>
            <w:textDirection w:val="lrTb"/>
            <w:noWrap w:val="false"/>
          </w:tcPr>
          <w:p>
            <w:pPr>
              <w:jc w:val="center"/>
              <w:widowControl/>
              <w:rPr>
                <w:color w:val="auto"/>
                <w:sz w:val="22"/>
                <w:szCs w:val="22"/>
                <w:highlight w:val="none"/>
              </w:rPr>
            </w:pPr>
            <w:r>
              <w:rPr>
                <w:color w:val="auto"/>
                <w:sz w:val="22"/>
                <w:szCs w:val="22"/>
                <w:highlight w:val="none"/>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bottom w:w="0" w:type="dxa"/>
            </w:tcMar>
            <w:tcW w:w="450" w:type="pct"/>
            <w:vAlign w:val="center"/>
            <w:textDirection w:val="lrTb"/>
            <w:noWrap w:val="false"/>
          </w:tcPr>
          <w:p>
            <w:pPr>
              <w:jc w:val="center"/>
              <w:rPr>
                <w:color w:val="auto"/>
                <w:sz w:val="22"/>
                <w:szCs w:val="22"/>
                <w:highlight w:val="none"/>
              </w:rPr>
            </w:pPr>
            <w:r>
              <w:rPr>
                <w:color w:val="auto"/>
                <w:sz w:val="22"/>
                <w:szCs w:val="22"/>
                <w:highlight w:val="none"/>
              </w:rPr>
              <w:t xml:space="preserve">召开座谈会</w:t>
            </w:r>
            <w:r/>
          </w:p>
          <w:p>
            <w:pPr>
              <w:jc w:val="center"/>
              <w:widowControl/>
              <w:rPr>
                <w:color w:val="auto"/>
                <w:sz w:val="22"/>
                <w:szCs w:val="22"/>
                <w:highlight w:val="none"/>
              </w:rPr>
            </w:pPr>
            <w:r>
              <w:rPr>
                <w:color w:val="auto"/>
                <w:sz w:val="22"/>
                <w:szCs w:val="22"/>
                <w:highlight w:val="none"/>
              </w:rPr>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bottom w:w="0" w:type="dxa"/>
            </w:tcMar>
            <w:tcW w:w="1717" w:type="pct"/>
            <w:vAlign w:val="center"/>
            <w:textDirection w:val="lrTb"/>
            <w:noWrap w:val="false"/>
          </w:tcPr>
          <w:p>
            <w:pPr>
              <w:jc w:val="left"/>
              <w:rPr>
                <w:color w:val="auto"/>
                <w:sz w:val="22"/>
                <w:szCs w:val="22"/>
                <w:highlight w:val="none"/>
              </w:rPr>
            </w:pPr>
            <w:r>
              <w:rPr>
                <w:color w:val="auto"/>
                <w:sz w:val="22"/>
                <w:szCs w:val="22"/>
                <w:highlight w:val="none"/>
              </w:rPr>
              <w:t xml:space="preserve">每季度召开一次业主代表物业服务工作座谈会，听取意见或建议。对合理的建议及时整改</w:t>
            </w:r>
            <w:r/>
          </w:p>
          <w:p>
            <w:pPr>
              <w:jc w:val="center"/>
              <w:widowControl/>
              <w:rPr>
                <w:color w:val="auto"/>
                <w:sz w:val="22"/>
                <w:szCs w:val="22"/>
                <w:highlight w:val="none"/>
              </w:rPr>
            </w:pPr>
            <w:r>
              <w:rPr>
                <w:color w:val="auto"/>
                <w:sz w:val="22"/>
                <w:szCs w:val="22"/>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szCs w:val="22"/>
                <w:highlight w:val="none"/>
              </w:rPr>
            </w:pPr>
            <w:r>
              <w:rPr>
                <w:color w:val="auto"/>
                <w:sz w:val="22"/>
                <w:szCs w:val="22"/>
                <w:highlight w:val="none"/>
              </w:rPr>
              <w:t xml:space="preserve">4</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1069" w:type="pct"/>
            <w:vAlign w:val="center"/>
            <w:textDirection w:val="lrTb"/>
            <w:noWrap w:val="false"/>
          </w:tcPr>
          <w:p>
            <w:pPr>
              <w:rPr>
                <w:color w:val="auto"/>
                <w:sz w:val="22"/>
                <w:szCs w:val="22"/>
                <w:highlight w:val="none"/>
              </w:rPr>
            </w:pPr>
            <w:r>
              <w:rPr>
                <w:color w:val="auto"/>
                <w:sz w:val="22"/>
                <w:szCs w:val="22"/>
                <w:highlight w:val="none"/>
              </w:rPr>
              <w:t xml:space="preserve">座谈会少于3次的不得分，无正当理由不整改不得分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39" w:type="pct"/>
            <w:vAlign w:val="center"/>
            <w:textDirection w:val="lrTb"/>
            <w:noWrap w:val="false"/>
          </w:tcPr>
          <w:p>
            <w:pPr>
              <w:rPr>
                <w:color w:val="auto"/>
                <w:sz w:val="22"/>
                <w:highlight w:val="none"/>
              </w:rPr>
            </w:pPr>
            <w:r>
              <w:rPr>
                <w:color w:val="auto"/>
                <w:sz w:val="22"/>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80" w:type="pct"/>
            <w:vAlign w:val="center"/>
            <w:textDirection w:val="lrTb"/>
            <w:noWrap w:val="false"/>
          </w:tcPr>
          <w:p>
            <w:pPr>
              <w:rPr>
                <w:color w:val="auto"/>
                <w:sz w:val="22"/>
                <w:highlight w:val="none"/>
              </w:rPr>
            </w:pPr>
            <w:r>
              <w:rPr>
                <w:color w:val="auto"/>
                <w:sz w:val="22"/>
                <w:highlight w:val="none"/>
              </w:rPr>
            </w:r>
            <w:r/>
          </w:p>
        </w:tc>
      </w:tr>
      <w:tr>
        <w:trPr>
          <w:trHeight w:val="454"/>
        </w:trPr>
        <w:tc>
          <w:tcPr>
            <w:tcBorders>
              <w:left w:val="single" w:color="000000" w:sz="4" w:space="0"/>
              <w:bottom w:val="single" w:color="000000" w:sz="4" w:space="0"/>
              <w:right w:val="single" w:color="000000" w:sz="4" w:space="0"/>
            </w:tcBorders>
            <w:tcMar>
              <w:left w:w="15" w:type="dxa"/>
              <w:top w:w="15" w:type="dxa"/>
              <w:right w:w="15" w:type="dxa"/>
              <w:bottom w:w="0" w:type="dxa"/>
            </w:tcMar>
            <w:tcW w:w="601" w:type="pct"/>
            <w:vAlign w:val="center"/>
            <w:vMerge w:val="continue"/>
            <w:textDirection w:val="lrTb"/>
            <w:noWrap w:val="false"/>
          </w:tcPr>
          <w:p>
            <w:pPr>
              <w:jc w:val="center"/>
              <w:widowControl/>
              <w:rPr>
                <w:color w:val="auto"/>
                <w:sz w:val="22"/>
                <w:szCs w:val="22"/>
                <w:highlight w:val="none"/>
              </w:rPr>
            </w:pPr>
            <w:r>
              <w:rPr>
                <w:color w:val="auto"/>
                <w:sz w:val="22"/>
                <w:szCs w:val="22"/>
                <w:highlight w:val="none"/>
              </w:rPr>
            </w:r>
            <w:r/>
          </w:p>
        </w:tc>
        <w:tc>
          <w:tcPr>
            <w:tcBorders>
              <w:left w:val="single" w:color="000000" w:sz="4" w:space="0"/>
              <w:bottom w:val="single" w:color="000000" w:sz="4" w:space="0"/>
              <w:right w:val="single" w:color="000000" w:sz="4" w:space="0"/>
            </w:tcBorders>
            <w:tcMar>
              <w:left w:w="15" w:type="dxa"/>
              <w:top w:w="15" w:type="dxa"/>
              <w:right w:w="15" w:type="dxa"/>
              <w:bottom w:w="0" w:type="dxa"/>
            </w:tcMar>
            <w:tcW w:w="417" w:type="pct"/>
            <w:vAlign w:val="center"/>
            <w:vMerge w:val="continue"/>
            <w:textDirection w:val="lrTb"/>
            <w:noWrap w:val="false"/>
          </w:tcPr>
          <w:p>
            <w:pPr>
              <w:jc w:val="center"/>
              <w:widowControl/>
              <w:rPr>
                <w:color w:val="auto"/>
                <w:sz w:val="22"/>
                <w:szCs w:val="22"/>
                <w:highlight w:val="none"/>
              </w:rPr>
            </w:pPr>
            <w:r>
              <w:rPr>
                <w:color w:val="auto"/>
                <w:sz w:val="22"/>
                <w:szCs w:val="22"/>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450" w:type="pct"/>
            <w:vAlign w:val="center"/>
            <w:textDirection w:val="lrTb"/>
            <w:noWrap w:val="false"/>
          </w:tcPr>
          <w:p>
            <w:pPr>
              <w:jc w:val="center"/>
              <w:widowControl/>
              <w:rPr>
                <w:color w:val="auto"/>
                <w:sz w:val="22"/>
                <w:szCs w:val="22"/>
                <w:highlight w:val="none"/>
              </w:rPr>
            </w:pPr>
            <w:r>
              <w:rPr>
                <w:color w:val="auto"/>
                <w:sz w:val="22"/>
                <w:szCs w:val="22"/>
                <w:highlight w:val="none"/>
              </w:rPr>
              <w:t xml:space="preserve">满意度</w:t>
            </w:r>
            <w:r/>
          </w:p>
          <w:p>
            <w:pPr>
              <w:jc w:val="center"/>
              <w:widowControl/>
              <w:rPr>
                <w:color w:val="auto"/>
                <w:sz w:val="22"/>
                <w:szCs w:val="22"/>
                <w:highlight w:val="none"/>
              </w:rPr>
            </w:pPr>
            <w:r>
              <w:rPr>
                <w:color w:val="auto"/>
                <w:sz w:val="22"/>
                <w:szCs w:val="22"/>
                <w:highlight w:val="none"/>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szCs w:val="22"/>
                <w:highlight w:val="none"/>
              </w:rPr>
            </w:pPr>
            <w:r>
              <w:rPr>
                <w:color w:val="auto"/>
                <w:sz w:val="22"/>
                <w:szCs w:val="22"/>
                <w:highlight w:val="none"/>
              </w:rPr>
              <w:t xml:space="preserve">居民满意度90%以上</w:t>
            </w:r>
            <w:r/>
          </w:p>
          <w:p>
            <w:pPr>
              <w:jc w:val="left"/>
              <w:widowControl/>
              <w:rPr>
                <w:color w:val="auto"/>
                <w:sz w:val="22"/>
                <w:szCs w:val="22"/>
                <w:highlight w:val="none"/>
              </w:rPr>
            </w:pPr>
            <w:r>
              <w:rPr>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szCs w:val="22"/>
                <w:highlight w:val="none"/>
              </w:rPr>
            </w:pPr>
            <w:r>
              <w:rPr>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szCs w:val="22"/>
                <w:highlight w:val="none"/>
              </w:rPr>
            </w:pPr>
            <w:r>
              <w:rPr>
                <w:color w:val="auto"/>
                <w:sz w:val="22"/>
                <w:szCs w:val="22"/>
                <w:highlight w:val="none"/>
              </w:rPr>
              <w:t xml:space="preserve">每下降10%扣1分，低于60%不得分 </w:t>
            </w:r>
            <w:r/>
          </w:p>
          <w:p>
            <w:pPr>
              <w:jc w:val="left"/>
              <w:widowControl/>
              <w:rPr>
                <w:color w:val="auto"/>
                <w:sz w:val="22"/>
                <w:szCs w:val="22"/>
                <w:highlight w:val="none"/>
              </w:rPr>
            </w:pPr>
            <w:r>
              <w:rPr>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rPr>
                <w:color w:val="auto"/>
                <w:sz w:val="22"/>
                <w:highlight w:val="none"/>
              </w:rPr>
            </w:pPr>
            <w:r>
              <w:rPr>
                <w:color w:val="auto"/>
                <w:sz w:val="22"/>
                <w:highlight w:val="none"/>
              </w:rPr>
            </w:r>
            <w:r/>
          </w:p>
        </w:tc>
      </w:tr>
      <w:tr>
        <w:trPr>
          <w:trHeight w:val="45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86" w:type="pct"/>
            <w:vAlign w:val="center"/>
            <w:textDirection w:val="lrTb"/>
            <w:noWrap w:val="false"/>
          </w:tcPr>
          <w:p>
            <w:pPr>
              <w:jc w:val="center"/>
              <w:widowControl/>
              <w:rPr>
                <w:color w:val="auto"/>
                <w:sz w:val="22"/>
                <w:highlight w:val="none"/>
              </w:rPr>
            </w:pPr>
            <w:r>
              <w:rPr>
                <w:color w:val="auto"/>
                <w:sz w:val="22"/>
                <w:szCs w:val="22"/>
                <w:highlight w:val="none"/>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rPr>
                <w:color w:val="auto"/>
                <w:sz w:val="22"/>
                <w:highlight w:val="none"/>
              </w:rPr>
            </w:pPr>
            <w:r>
              <w:rPr>
                <w:color w:val="auto"/>
                <w:sz w:val="22"/>
                <w:highlight w:val="none"/>
              </w:rPr>
              <w:t xml:space="preserve">最终得分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0" w:type="pct"/>
            <w:vAlign w:val="center"/>
            <w:textDirection w:val="lrTb"/>
            <w:noWrap w:val="false"/>
          </w:tcPr>
          <w:p>
            <w:pPr>
              <w:rPr>
                <w:color w:val="auto"/>
                <w:sz w:val="22"/>
                <w:highlight w:val="none"/>
              </w:rPr>
            </w:pPr>
            <w:r>
              <w:rPr>
                <w:color w:val="auto"/>
                <w:sz w:val="22"/>
                <w:highlight w:val="none"/>
              </w:rPr>
            </w:r>
            <w:r/>
          </w:p>
        </w:tc>
      </w:tr>
      <w:tr>
        <w:trPr>
          <w:trHeight w:val="1233"/>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rPr>
                <w:color w:val="auto"/>
                <w:sz w:val="22"/>
                <w:highlight w:val="none"/>
              </w:rPr>
            </w:pPr>
            <w:r>
              <w:rPr>
                <w:color w:val="auto"/>
                <w:sz w:val="22"/>
                <w:highlight w:val="none"/>
              </w:rPr>
              <w:t xml:space="preserve">考核人员签字：</w:t>
            </w:r>
            <w:r/>
          </w:p>
        </w:tc>
      </w:tr>
    </w:tbl>
    <w:p>
      <w:pPr>
        <w:jc w:val="both"/>
        <w:spacing w:after="312" w:line="400" w:lineRule="exact"/>
        <w:rPr>
          <w:rFonts w:hint="eastAsia" w:ascii="方正小标宋简体" w:hAnsi="方正小标宋简体" w:eastAsia="方正小标宋简体" w:cs="方正小标宋简体"/>
          <w:color w:val="auto"/>
          <w:sz w:val="36"/>
          <w:szCs w:val="36"/>
          <w:highlight w:val="none"/>
        </w:rPr>
        <w:sectPr>
          <w:headerReference w:type="default" r:id="rId10"/>
          <w:footerReference w:type="first" r:id="rId14"/>
          <w:footnotePr/>
          <w:endnotePr/>
          <w:type w:val="nextPage"/>
          <w:pgSz w:w="11906" w:h="16838" w:orient="portrait"/>
          <w:pgMar w:top="567" w:right="851" w:bottom="567" w:left="1134" w:header="624" w:footer="907" w:gutter="0"/>
          <w:cols w:num="1" w:sep="0" w:space="720" w:equalWidth="1"/>
          <w:docGrid w:linePitch="360"/>
        </w:sectPr>
      </w:pPr>
      <w:r>
        <w:rPr>
          <w:rFonts w:hint="eastAsia" w:ascii="方正小标宋简体" w:hAnsi="方正小标宋简体" w:eastAsia="方正小标宋简体" w:cs="方正小标宋简体"/>
          <w:color w:val="auto"/>
          <w:sz w:val="36"/>
          <w:szCs w:val="36"/>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t xml:space="preserve">附件</w:t>
      </w:r>
      <w:r>
        <w:rPr>
          <w:rFonts w:hint="eastAsia" w:ascii="方正黑体_GBK" w:hAnsi="方正黑体_GBK" w:eastAsia="方正黑体_GBK" w:cs="方正黑体_GBK"/>
          <w:color w:val="auto"/>
          <w:sz w:val="32"/>
          <w:szCs w:val="32"/>
          <w:highlight w:val="none"/>
          <w:lang w:val="en-US" w:eastAsia="zh-CN"/>
        </w:rPr>
        <w:t xml:space="preserve">2</w:t>
      </w:r>
      <w:r>
        <w:rPr>
          <w:rFonts w:hint="eastAsia" w:ascii="方正黑体_GBK" w:hAnsi="方正黑体_GBK" w:eastAsia="方正黑体_GBK" w:cs="方正黑体_GBK"/>
          <w:color w:val="auto"/>
          <w:sz w:val="32"/>
          <w:szCs w:val="32"/>
          <w:highlight w:val="none"/>
        </w:rPr>
        <w:t xml:space="preserve">：</w:t>
      </w:r>
      <w:r/>
    </w:p>
    <w:p>
      <w:pPr>
        <w:ind w:left="2664"/>
        <w:jc w:val="left"/>
        <w:spacing w:before="311" w:line="219" w:lineRule="auto"/>
        <w:widowControl/>
        <w:rPr>
          <w:rFonts w:ascii="宋体" w:hAnsi="宋体" w:eastAsia="宋体" w:cs="宋体"/>
          <w:color w:val="auto"/>
          <w:sz w:val="28"/>
          <w:szCs w:val="28"/>
          <w:highlight w:val="none"/>
          <w:lang w:eastAsia="en-US"/>
        </w:rPr>
      </w:pPr>
      <w:r>
        <w:rPr>
          <w:rFonts w:ascii="宋体" w:hAnsi="宋体" w:eastAsia="宋体" w:cs="宋体"/>
          <w:b/>
          <w:bCs/>
          <w:color w:val="auto"/>
          <w:spacing w:val="3"/>
          <w:sz w:val="28"/>
          <w:szCs w:val="28"/>
          <w:highlight w:val="none"/>
          <w:lang w:eastAsia="en-US"/>
        </w:rPr>
        <w:t xml:space="preserve">阳山镇17个老旧小区物业管理服务标准</w:t>
      </w:r>
      <w:r/>
    </w:p>
    <w:p>
      <w:pPr>
        <w:jc w:val="left"/>
        <w:spacing w:before="63" w:line="240" w:lineRule="auto"/>
        <w:widowControl/>
        <w:rPr>
          <w:rFonts w:ascii="Arial" w:hAnsi="Arial" w:eastAsia="Arial" w:cs="Arial"/>
          <w:color w:val="auto"/>
          <w:szCs w:val="21"/>
          <w:highlight w:val="none"/>
          <w:lang w:eastAsia="en-US"/>
        </w:rPr>
      </w:pPr>
      <w:r>
        <w:rPr>
          <w:rFonts w:ascii="Arial" w:hAnsi="Arial" w:eastAsia="Arial" w:cs="Arial"/>
          <w:color w:val="auto"/>
          <w:szCs w:val="21"/>
          <w:highlight w:val="none"/>
          <w:lang w:eastAsia="en-US"/>
        </w:rPr>
      </w:r>
      <w:r/>
    </w:p>
    <w:tbl>
      <w:tblPr>
        <w:tblStyle w:val="1183"/>
        <w:tblW w:w="9885" w:type="dxa"/>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3"/>
        <w:gridCol w:w="2178"/>
        <w:gridCol w:w="6434"/>
      </w:tblGrid>
      <w:tr>
        <w:trPr>
          <w:trHeight w:val="315"/>
        </w:trPr>
        <w:tc>
          <w:tcPr>
            <w:tcW w:w="1273" w:type="dxa"/>
            <w:vAlign w:val="top"/>
            <w:textDirection w:val="lrTb"/>
            <w:noWrap w:val="false"/>
          </w:tcPr>
          <w:p>
            <w:pPr>
              <w:ind w:left="374"/>
              <w:jc w:val="left"/>
              <w:spacing w:before="35" w:line="199" w:lineRule="auto"/>
              <w:rPr>
                <w:rFonts w:ascii="宋体" w:hAnsi="宋体" w:eastAsia="宋体" w:cs="宋体"/>
                <w:color w:val="auto"/>
                <w:sz w:val="25"/>
                <w:szCs w:val="25"/>
                <w:highlight w:val="none"/>
                <w:lang w:val="en-US" w:eastAsia="en-US" w:bidi="ar-SA"/>
              </w:rPr>
            </w:pPr>
            <w:r>
              <w:rPr>
                <w:rFonts w:ascii="宋体" w:hAnsi="宋体" w:eastAsia="宋体" w:cs="宋体"/>
                <w:color w:val="auto"/>
                <w:spacing w:val="-7"/>
                <w:sz w:val="25"/>
                <w:szCs w:val="25"/>
                <w:highlight w:val="none"/>
                <w:lang w:val="en-US" w:eastAsia="en-US" w:bidi="ar-SA"/>
              </w:rPr>
              <w:t xml:space="preserve">项 目</w:t>
            </w:r>
            <w:r/>
          </w:p>
        </w:tc>
        <w:tc>
          <w:tcPr>
            <w:tcW w:w="2178" w:type="dxa"/>
            <w:vAlign w:val="top"/>
            <w:textDirection w:val="lrTb"/>
            <w:noWrap w:val="false"/>
          </w:tcPr>
          <w:p>
            <w:pPr>
              <w:ind w:left="831"/>
              <w:jc w:val="left"/>
              <w:spacing w:before="35" w:line="199" w:lineRule="auto"/>
              <w:rPr>
                <w:rFonts w:ascii="宋体" w:hAnsi="宋体" w:eastAsia="宋体" w:cs="宋体"/>
                <w:color w:val="auto"/>
                <w:sz w:val="25"/>
                <w:szCs w:val="25"/>
                <w:highlight w:val="none"/>
                <w:lang w:val="en-US" w:eastAsia="en-US" w:bidi="ar-SA"/>
              </w:rPr>
            </w:pPr>
            <w:r>
              <w:rPr>
                <w:rFonts w:ascii="宋体" w:hAnsi="宋体" w:eastAsia="宋体" w:cs="宋体"/>
                <w:color w:val="auto"/>
                <w:spacing w:val="6"/>
                <w:sz w:val="25"/>
                <w:szCs w:val="25"/>
                <w:highlight w:val="none"/>
                <w:lang w:val="en-US" w:eastAsia="en-US" w:bidi="ar-SA"/>
              </w:rPr>
              <w:t xml:space="preserve">内容</w:t>
            </w:r>
            <w:r/>
          </w:p>
        </w:tc>
        <w:tc>
          <w:tcPr>
            <w:tcW w:w="6434" w:type="dxa"/>
            <w:vAlign w:val="top"/>
            <w:textDirection w:val="lrTb"/>
            <w:noWrap w:val="false"/>
          </w:tcPr>
          <w:p>
            <w:pPr>
              <w:ind w:left="2747"/>
              <w:jc w:val="left"/>
              <w:spacing w:before="30" w:line="203" w:lineRule="auto"/>
              <w:rPr>
                <w:rFonts w:ascii="宋体" w:hAnsi="宋体" w:eastAsia="宋体" w:cs="宋体"/>
                <w:color w:val="auto"/>
                <w:sz w:val="25"/>
                <w:szCs w:val="25"/>
                <w:highlight w:val="none"/>
                <w:lang w:val="en-US" w:eastAsia="en-US" w:bidi="ar-SA"/>
              </w:rPr>
            </w:pPr>
            <w:r>
              <w:rPr>
                <w:rFonts w:ascii="宋体" w:hAnsi="宋体" w:eastAsia="宋体" w:cs="宋体"/>
                <w:b/>
                <w:bCs/>
                <w:color w:val="auto"/>
                <w:spacing w:val="-5"/>
                <w:sz w:val="25"/>
                <w:szCs w:val="25"/>
                <w:highlight w:val="none"/>
                <w:lang w:val="en-US" w:eastAsia="en-US" w:bidi="ar-SA"/>
              </w:rPr>
              <w:t xml:space="preserve">基本标准</w:t>
            </w:r>
            <w:r/>
          </w:p>
        </w:tc>
      </w:tr>
      <w:tr>
        <w:trPr>
          <w:trHeight w:val="619"/>
        </w:trPr>
        <w:tc>
          <w:tcPr>
            <w:tcBorders>
              <w:bottom w:val="none" w:color="000000" w:sz="4" w:space="0"/>
            </w:tcBorders>
            <w:tcW w:w="1273" w:type="dxa"/>
            <w:vAlign w:val="top"/>
            <w:vMerge w:val="restart"/>
            <w:textDirection w:val="lrTb"/>
            <w:noWrap w:val="false"/>
          </w:tcPr>
          <w:p>
            <w:pPr>
              <w:jc w:val="left"/>
              <w:spacing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77"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77"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124"/>
              <w:jc w:val="left"/>
              <w:spacing w:before="82"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综合服务</w:t>
            </w:r>
            <w:r/>
          </w:p>
        </w:tc>
        <w:tc>
          <w:tcPr>
            <w:tcW w:w="2178" w:type="dxa"/>
            <w:vAlign w:val="top"/>
            <w:textDirection w:val="lrTb"/>
            <w:noWrap w:val="false"/>
          </w:tcPr>
          <w:p>
            <w:pPr>
              <w:ind w:left="451"/>
              <w:jc w:val="left"/>
              <w:spacing w:before="190"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管理处设置</w:t>
            </w:r>
            <w:r/>
          </w:p>
        </w:tc>
        <w:tc>
          <w:tcPr>
            <w:tcW w:w="6434" w:type="dxa"/>
            <w:vAlign w:val="top"/>
            <w:textDirection w:val="lrTb"/>
            <w:noWrap w:val="false"/>
          </w:tcPr>
          <w:p>
            <w:pPr>
              <w:ind w:left="93"/>
              <w:jc w:val="left"/>
              <w:spacing w:before="10"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1、小区内设置管理处。</w:t>
            </w:r>
            <w:r/>
          </w:p>
          <w:p>
            <w:pPr>
              <w:ind w:left="93"/>
              <w:jc w:val="left"/>
              <w:spacing w:before="13" w:line="213"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2、配置办公家具、电话等办公设施及办公用品</w:t>
            </w:r>
            <w:r/>
          </w:p>
        </w:tc>
      </w:tr>
      <w:tr>
        <w:trPr>
          <w:trHeight w:val="619"/>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582"/>
              <w:jc w:val="left"/>
              <w:spacing w:before="192" w:line="221"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人员要求</w:t>
            </w:r>
            <w:r/>
          </w:p>
        </w:tc>
        <w:tc>
          <w:tcPr>
            <w:tcW w:w="6434" w:type="dxa"/>
            <w:vAlign w:val="top"/>
            <w:textDirection w:val="lrTb"/>
            <w:noWrap w:val="false"/>
          </w:tcPr>
          <w:p>
            <w:pPr>
              <w:ind w:left="93"/>
              <w:jc w:val="left"/>
              <w:spacing w:before="11"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1、小区经理有物业管理员上岗证。</w:t>
            </w:r>
            <w:r/>
          </w:p>
          <w:p>
            <w:pPr>
              <w:ind w:left="93"/>
              <w:jc w:val="left"/>
              <w:spacing w:before="32" w:line="198"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2、工作人员统一工作制服，挂牌上岗，仪表整洁规范。</w:t>
            </w:r>
            <w:r/>
          </w:p>
        </w:tc>
      </w:tr>
      <w:tr>
        <w:trPr>
          <w:trHeight w:val="300"/>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582"/>
              <w:jc w:val="left"/>
              <w:spacing w:before="31" w:line="191"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服务时间</w:t>
            </w:r>
            <w:r/>
          </w:p>
        </w:tc>
        <w:tc>
          <w:tcPr>
            <w:tcW w:w="6434" w:type="dxa"/>
            <w:vAlign w:val="top"/>
            <w:textDirection w:val="lrTb"/>
            <w:noWrap w:val="false"/>
          </w:tcPr>
          <w:p>
            <w:pPr>
              <w:ind w:left="93"/>
              <w:jc w:val="left"/>
              <w:spacing w:before="31" w:line="191"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管理处周一至周日每天8小时业务接待。</w:t>
            </w:r>
            <w:r/>
          </w:p>
        </w:tc>
      </w:tr>
      <w:tr>
        <w:trPr>
          <w:trHeight w:val="2178"/>
        </w:trPr>
        <w:tc>
          <w:tcPr>
            <w:tcBorders>
              <w:top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jc w:val="left"/>
              <w:spacing w:line="295"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95"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95"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582"/>
              <w:jc w:val="left"/>
              <w:spacing w:before="81"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日常服务</w:t>
            </w:r>
            <w:r/>
          </w:p>
        </w:tc>
        <w:tc>
          <w:tcPr>
            <w:tcW w:w="6434" w:type="dxa"/>
            <w:vAlign w:val="top"/>
            <w:textDirection w:val="lrTb"/>
            <w:noWrap w:val="false"/>
          </w:tcPr>
          <w:p>
            <w:pPr>
              <w:ind w:left="93"/>
              <w:jc w:val="left"/>
              <w:spacing w:before="32"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1、受理业主或使用人报修。</w:t>
            </w:r>
            <w:r/>
          </w:p>
          <w:p>
            <w:pPr>
              <w:ind w:left="93"/>
              <w:jc w:val="left"/>
              <w:spacing w:before="3"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2、对业主或使用人的投诉有答复处理。</w:t>
            </w:r>
            <w:r/>
          </w:p>
          <w:p>
            <w:pPr>
              <w:ind w:left="93" w:hanging="29"/>
              <w:jc w:val="left"/>
              <w:spacing w:before="22" w:line="22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3、公示服务标准和收费标准，每年向业主公布财务状况一</w:t>
            </w:r>
            <w:r>
              <w:rPr>
                <w:rFonts w:hint="eastAsia" w:ascii="宋体" w:hAnsi="宋体" w:eastAsia="宋体" w:cs="宋体"/>
                <w:color w:val="auto"/>
                <w:spacing w:val="9"/>
                <w:sz w:val="24"/>
                <w:szCs w:val="24"/>
                <w:highlight w:val="none"/>
                <w:lang w:val="en-US" w:eastAsia="en-US" w:bidi="ar-SA"/>
              </w:rPr>
              <w:t xml:space="preserve"> </w:t>
            </w:r>
            <w:r>
              <w:rPr>
                <w:rFonts w:hint="eastAsia" w:ascii="宋体" w:hAnsi="宋体" w:eastAsia="宋体" w:cs="宋体"/>
                <w:color w:val="auto"/>
                <w:sz w:val="24"/>
                <w:szCs w:val="24"/>
                <w:highlight w:val="none"/>
                <w:lang w:val="en-US" w:eastAsia="en-US" w:bidi="ar-SA"/>
              </w:rPr>
              <w:t xml:space="preserve">次，公共水电费能耗分摊每年向业主公布一次。</w:t>
            </w:r>
            <w:r/>
          </w:p>
          <w:p>
            <w:pPr>
              <w:ind w:left="93"/>
              <w:jc w:val="left"/>
              <w:spacing w:before="5"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4、建立物业服务基础档案。</w:t>
            </w:r>
            <w:r/>
          </w:p>
          <w:p>
            <w:pPr>
              <w:ind w:left="93" w:right="183"/>
              <w:jc w:val="left"/>
              <w:spacing w:before="24" w:line="21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5、有装修预审管理制度，对不符合规定的行</w:t>
            </w:r>
            <w:r>
              <w:rPr>
                <w:rFonts w:hint="eastAsia" w:ascii="宋体" w:hAnsi="宋体" w:eastAsia="宋体" w:cs="宋体"/>
                <w:color w:val="auto"/>
                <w:sz w:val="24"/>
                <w:szCs w:val="24"/>
                <w:highlight w:val="none"/>
                <w:lang w:val="en-US" w:eastAsia="en-US" w:bidi="ar-SA"/>
              </w:rPr>
              <w:t xml:space="preserve">为、现象劝 阻、制止或报告。</w:t>
            </w:r>
            <w:r/>
          </w:p>
        </w:tc>
      </w:tr>
      <w:tr>
        <w:trPr>
          <w:trHeight w:val="310"/>
        </w:trPr>
        <w:tc>
          <w:tcPr>
            <w:tcBorders>
              <w:bottom w:val="none" w:color="000000" w:sz="4" w:space="0"/>
            </w:tcBorders>
            <w:tcW w:w="1273" w:type="dxa"/>
            <w:vAlign w:val="top"/>
            <w:vMerge w:val="restart"/>
            <w:textDirection w:val="lrTb"/>
            <w:noWrap w:val="false"/>
          </w:tcPr>
          <w:p>
            <w:pPr>
              <w:jc w:val="left"/>
              <w:spacing w:line="257"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57"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57"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57"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57"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258"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124"/>
              <w:jc w:val="left"/>
              <w:spacing w:before="81"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清洁管理</w:t>
            </w:r>
            <w:r/>
          </w:p>
        </w:tc>
        <w:tc>
          <w:tcPr>
            <w:tcW w:w="2178" w:type="dxa"/>
            <w:vAlign w:val="top"/>
            <w:textDirection w:val="lrTb"/>
            <w:noWrap w:val="false"/>
          </w:tcPr>
          <w:p>
            <w:pPr>
              <w:ind w:left="331"/>
              <w:jc w:val="left"/>
              <w:spacing w:before="34" w:line="196"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共用楼道保洁</w:t>
            </w:r>
            <w:r/>
          </w:p>
        </w:tc>
        <w:tc>
          <w:tcPr>
            <w:tcW w:w="6434" w:type="dxa"/>
            <w:vAlign w:val="top"/>
            <w:textDirection w:val="lrTb"/>
            <w:noWrap w:val="false"/>
          </w:tcPr>
          <w:p>
            <w:pPr>
              <w:ind w:left="93"/>
              <w:jc w:val="left"/>
              <w:spacing w:before="34" w:line="196"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每周打扫1次楼道：及时清理杂物</w:t>
            </w:r>
            <w:r/>
          </w:p>
        </w:tc>
      </w:tr>
      <w:tr>
        <w:trPr>
          <w:trHeight w:val="320"/>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81"/>
              <w:jc w:val="left"/>
              <w:spacing w:before="44" w:line="196"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电梯及电梯厅保洁</w:t>
            </w:r>
            <w:r/>
          </w:p>
        </w:tc>
        <w:tc>
          <w:tcPr>
            <w:tcW w:w="6434" w:type="dxa"/>
            <w:vAlign w:val="top"/>
            <w:textDirection w:val="lrTb"/>
            <w:noWrap w:val="false"/>
          </w:tcPr>
          <w:p>
            <w:pPr>
              <w:ind w:left="93"/>
              <w:jc w:val="left"/>
              <w:spacing w:before="44" w:line="196"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每日清扫1次电梯轿厢</w:t>
            </w:r>
            <w:r/>
          </w:p>
        </w:tc>
      </w:tr>
      <w:tr>
        <w:trPr>
          <w:trHeight w:val="310"/>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201"/>
              <w:jc w:val="left"/>
              <w:spacing w:before="34" w:line="196"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公共卫生间保洁</w:t>
            </w:r>
            <w:r/>
          </w:p>
        </w:tc>
        <w:tc>
          <w:tcPr>
            <w:tcW w:w="6434" w:type="dxa"/>
            <w:vAlign w:val="top"/>
            <w:textDirection w:val="lrTb"/>
            <w:noWrap w:val="false"/>
          </w:tcPr>
          <w:p>
            <w:pPr>
              <w:ind w:left="93"/>
              <w:jc w:val="left"/>
              <w:spacing w:before="34" w:line="196"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白天每两小时清洁1次</w:t>
            </w:r>
            <w:r/>
          </w:p>
        </w:tc>
      </w:tr>
      <w:tr>
        <w:trPr>
          <w:trHeight w:val="619"/>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81"/>
              <w:jc w:val="left"/>
              <w:spacing w:before="194"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绿化带、道路保洁</w:t>
            </w:r>
            <w:r/>
          </w:p>
        </w:tc>
        <w:tc>
          <w:tcPr>
            <w:tcW w:w="6434" w:type="dxa"/>
            <w:vAlign w:val="top"/>
            <w:textDirection w:val="lrTb"/>
            <w:noWrap w:val="false"/>
          </w:tcPr>
          <w:p>
            <w:pPr>
              <w:ind w:left="92" w:right="91" w:hanging="19"/>
              <w:jc w:val="left"/>
              <w:spacing w:before="13" w:line="217"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绿化带每天清扫1次，道路每日清扫1次：日间做好环境保</w:t>
            </w:r>
            <w:r>
              <w:rPr>
                <w:rFonts w:hint="eastAsia" w:ascii="宋体" w:hAnsi="宋体" w:eastAsia="宋体" w:cs="宋体"/>
                <w:color w:val="auto"/>
                <w:spacing w:val="7"/>
                <w:sz w:val="24"/>
                <w:szCs w:val="24"/>
                <w:highlight w:val="none"/>
                <w:lang w:val="en-US" w:eastAsia="en-US" w:bidi="ar-SA"/>
              </w:rPr>
              <w:t xml:space="preserve"> </w:t>
            </w:r>
            <w:r>
              <w:rPr>
                <w:rFonts w:hint="eastAsia" w:ascii="宋体" w:hAnsi="宋体" w:eastAsia="宋体" w:cs="宋体"/>
                <w:color w:val="auto"/>
                <w:sz w:val="24"/>
                <w:szCs w:val="24"/>
                <w:highlight w:val="none"/>
                <w:lang w:val="en-US" w:eastAsia="en-US" w:bidi="ar-SA"/>
              </w:rPr>
              <w:t xml:space="preserve">洁巡查，及时清理零星垃圾</w:t>
            </w:r>
            <w:r/>
          </w:p>
        </w:tc>
      </w:tr>
      <w:tr>
        <w:trPr>
          <w:trHeight w:val="310"/>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201"/>
              <w:jc w:val="left"/>
              <w:spacing w:before="34" w:line="196"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垃圾桶、果皮箱</w:t>
            </w:r>
            <w:r/>
          </w:p>
        </w:tc>
        <w:tc>
          <w:tcPr>
            <w:tcW w:w="6434" w:type="dxa"/>
            <w:vAlign w:val="top"/>
            <w:textDirection w:val="lrTb"/>
            <w:noWrap w:val="false"/>
          </w:tcPr>
          <w:p>
            <w:pPr>
              <w:jc w:val="right"/>
              <w:spacing w:before="34" w:line="196"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垃圾每日清运1次；每双日进行清洗保洁：保持外观</w:t>
            </w:r>
            <w:r>
              <w:rPr>
                <w:rFonts w:hint="eastAsia" w:ascii="宋体" w:hAnsi="宋体" w:eastAsia="宋体" w:cs="宋体"/>
                <w:color w:val="auto"/>
                <w:spacing w:val="-2"/>
                <w:sz w:val="24"/>
                <w:szCs w:val="24"/>
                <w:highlight w:val="none"/>
                <w:lang w:val="en-US" w:eastAsia="zh-CN" w:bidi="ar-SA"/>
              </w:rPr>
              <w:t xml:space="preserve">整洁</w:t>
            </w:r>
            <w:r>
              <w:rPr>
                <w:rFonts w:hint="eastAsia" w:ascii="宋体" w:hAnsi="宋体" w:eastAsia="宋体" w:cs="宋体"/>
                <w:color w:val="auto"/>
                <w:spacing w:val="-2"/>
                <w:sz w:val="24"/>
                <w:szCs w:val="24"/>
                <w:highlight w:val="none"/>
                <w:lang w:val="en-US" w:eastAsia="en-US" w:bidi="ar-SA"/>
              </w:rPr>
              <w:t xml:space="preserve">，</w:t>
            </w:r>
            <w:r/>
          </w:p>
        </w:tc>
      </w:tr>
      <w:tr>
        <w:trPr>
          <w:trHeight w:val="939"/>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jc w:val="left"/>
              <w:spacing w:line="272"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201"/>
              <w:jc w:val="left"/>
              <w:spacing w:before="81"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垃圾收集与处理</w:t>
            </w:r>
            <w:r/>
          </w:p>
        </w:tc>
        <w:tc>
          <w:tcPr>
            <w:tcW w:w="6434" w:type="dxa"/>
            <w:vAlign w:val="top"/>
            <w:textDirection w:val="lrTb"/>
            <w:noWrap w:val="false"/>
          </w:tcPr>
          <w:p>
            <w:pPr>
              <w:ind w:left="93"/>
              <w:jc w:val="left"/>
              <w:spacing w:before="23" w:line="223"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t xml:space="preserve">小区内定点设置垃圾收集箱或点，每日定时清理一次：垃圾</w:t>
            </w:r>
            <w:r>
              <w:rPr>
                <w:rFonts w:hint="eastAsia" w:ascii="宋体" w:hAnsi="宋体" w:eastAsia="宋体" w:cs="宋体"/>
                <w:color w:val="auto"/>
                <w:spacing w:val="11"/>
                <w:sz w:val="24"/>
                <w:szCs w:val="24"/>
                <w:highlight w:val="none"/>
                <w:lang w:val="en-US" w:eastAsia="en-US" w:bidi="ar-SA"/>
              </w:rPr>
              <w:t xml:space="preserve"> </w:t>
            </w:r>
            <w:r>
              <w:rPr>
                <w:rFonts w:hint="eastAsia" w:ascii="宋体" w:hAnsi="宋体" w:eastAsia="宋体" w:cs="宋体"/>
                <w:color w:val="auto"/>
                <w:spacing w:val="1"/>
                <w:sz w:val="24"/>
                <w:szCs w:val="24"/>
                <w:highlight w:val="none"/>
                <w:lang w:val="en-US" w:eastAsia="en-US" w:bidi="ar-SA"/>
              </w:rPr>
              <w:t xml:space="preserve">收集箱或点周围地面无散落垃圾、无异味，每双日清洗1</w:t>
            </w:r>
            <w:r>
              <w:rPr>
                <w:rFonts w:hint="eastAsia" w:ascii="宋体" w:hAnsi="宋体" w:eastAsia="宋体" w:cs="宋体"/>
                <w:color w:val="auto"/>
                <w:spacing w:val="2"/>
                <w:sz w:val="24"/>
                <w:szCs w:val="24"/>
                <w:highlight w:val="none"/>
                <w:lang w:val="en-US" w:eastAsia="en-US" w:bidi="ar-SA"/>
              </w:rPr>
              <w:t xml:space="preserve">  </w:t>
            </w:r>
            <w:r>
              <w:rPr>
                <w:rFonts w:hint="eastAsia" w:ascii="宋体" w:hAnsi="宋体" w:eastAsia="宋体" w:cs="宋体"/>
                <w:color w:val="auto"/>
                <w:sz w:val="24"/>
                <w:szCs w:val="24"/>
                <w:highlight w:val="none"/>
                <w:lang w:val="en-US" w:eastAsia="en-US" w:bidi="ar-SA"/>
              </w:rPr>
              <w:t xml:space="preserve">次。配合街道、社区做好垃圾分类。</w:t>
            </w:r>
            <w:r/>
          </w:p>
        </w:tc>
      </w:tr>
      <w:tr>
        <w:trPr>
          <w:trHeight w:val="310"/>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582"/>
              <w:jc w:val="left"/>
              <w:spacing w:before="35" w:line="19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卫生消杀</w:t>
            </w:r>
            <w:r/>
          </w:p>
        </w:tc>
        <w:tc>
          <w:tcPr>
            <w:tcW w:w="6434" w:type="dxa"/>
            <w:vAlign w:val="top"/>
            <w:textDirection w:val="lrTb"/>
            <w:noWrap w:val="false"/>
          </w:tcPr>
          <w:p>
            <w:pPr>
              <w:ind w:left="93"/>
              <w:jc w:val="left"/>
              <w:spacing w:before="35" w:line="19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灭鼠灭蚊等每季至少消杀1次</w:t>
            </w:r>
            <w:r/>
          </w:p>
        </w:tc>
      </w:tr>
      <w:tr>
        <w:trPr>
          <w:trHeight w:val="310"/>
        </w:trPr>
        <w:tc>
          <w:tcPr>
            <w:tcBorders>
              <w:top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201"/>
              <w:jc w:val="left"/>
              <w:spacing w:before="35" w:line="19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公共天台、屋顶</w:t>
            </w:r>
            <w:r/>
          </w:p>
        </w:tc>
        <w:tc>
          <w:tcPr>
            <w:tcW w:w="6434" w:type="dxa"/>
            <w:vAlign w:val="top"/>
            <w:textDirection w:val="lrTb"/>
            <w:noWrap w:val="false"/>
          </w:tcPr>
          <w:p>
            <w:pPr>
              <w:ind w:left="93"/>
              <w:jc w:val="left"/>
              <w:spacing w:before="35" w:line="19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每季清理1次</w:t>
            </w:r>
            <w:r/>
          </w:p>
        </w:tc>
      </w:tr>
      <w:tr>
        <w:trPr>
          <w:trHeight w:val="310"/>
        </w:trPr>
        <w:tc>
          <w:tcPr>
            <w:tcBorders>
              <w:bottom w:val="none" w:color="000000" w:sz="4" w:space="0"/>
            </w:tcBorders>
            <w:tcW w:w="1273" w:type="dxa"/>
            <w:vAlign w:val="top"/>
            <w:vMerge w:val="restart"/>
            <w:textDirection w:val="lrTb"/>
            <w:noWrap w:val="false"/>
          </w:tcPr>
          <w:p>
            <w:pPr>
              <w:ind w:left="124"/>
              <w:jc w:val="left"/>
              <w:spacing w:before="226"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房屋、共</w:t>
            </w:r>
            <w:r/>
          </w:p>
          <w:p>
            <w:pPr>
              <w:jc w:val="right"/>
              <w:spacing w:before="14" w:line="221"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6"/>
                <w:sz w:val="24"/>
                <w:szCs w:val="24"/>
                <w:highlight w:val="none"/>
                <w:lang w:val="en-US" w:eastAsia="en-US" w:bidi="ar-SA"/>
              </w:rPr>
              <w:t xml:space="preserve">用设施</w:t>
            </w:r>
            <w:r>
              <w:rPr>
                <w:rFonts w:hint="eastAsia" w:ascii="宋体" w:hAnsi="宋体" w:eastAsia="宋体" w:cs="宋体"/>
                <w:color w:val="auto"/>
                <w:spacing w:val="-66"/>
                <w:sz w:val="24"/>
                <w:szCs w:val="24"/>
                <w:highlight w:val="none"/>
                <w:lang w:val="en-US" w:eastAsia="en-US" w:bidi="ar-SA"/>
              </w:rPr>
              <w:t xml:space="preserve"> </w:t>
            </w:r>
            <w:r>
              <w:rPr>
                <w:rFonts w:hint="eastAsia" w:ascii="宋体" w:hAnsi="宋体" w:eastAsia="宋体" w:cs="宋体"/>
                <w:color w:val="auto"/>
                <w:spacing w:val="16"/>
                <w:sz w:val="24"/>
                <w:szCs w:val="24"/>
                <w:highlight w:val="none"/>
                <w:lang w:val="en-US" w:eastAsia="en-US" w:bidi="ar-SA"/>
              </w:rPr>
              <w:t xml:space="preserve">、</w:t>
            </w:r>
            <w:r/>
          </w:p>
          <w:p>
            <w:pPr>
              <w:ind w:left="253" w:right="119" w:hanging="129"/>
              <w:jc w:val="left"/>
              <w:spacing w:before="20" w:line="23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4"/>
                <w:sz w:val="24"/>
                <w:szCs w:val="24"/>
                <w:highlight w:val="none"/>
                <w:lang w:val="en-US" w:eastAsia="en-US" w:bidi="ar-SA"/>
              </w:rPr>
              <w:t xml:space="preserve">设备维护</w:t>
            </w:r>
            <w:r>
              <w:rPr>
                <w:rFonts w:hint="eastAsia" w:ascii="宋体" w:hAnsi="宋体" w:eastAsia="宋体" w:cs="宋体"/>
                <w:color w:val="auto"/>
                <w:spacing w:val="1"/>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与管理</w:t>
            </w:r>
            <w:r/>
          </w:p>
        </w:tc>
        <w:tc>
          <w:tcPr>
            <w:tcW w:w="2178" w:type="dxa"/>
            <w:vAlign w:val="top"/>
            <w:textDirection w:val="lrTb"/>
            <w:noWrap w:val="false"/>
          </w:tcPr>
          <w:p>
            <w:pPr>
              <w:ind w:left="831"/>
              <w:jc w:val="left"/>
              <w:spacing w:before="37" w:line="19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围墙</w:t>
            </w:r>
            <w:r/>
          </w:p>
        </w:tc>
        <w:tc>
          <w:tcPr>
            <w:tcW w:w="6434" w:type="dxa"/>
            <w:vAlign w:val="top"/>
            <w:textDirection w:val="lrTb"/>
            <w:noWrap w:val="false"/>
          </w:tcPr>
          <w:p>
            <w:pPr>
              <w:ind w:left="93"/>
              <w:jc w:val="left"/>
              <w:spacing w:before="35" w:line="19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发现损坏进行申请维修资金修复</w:t>
            </w:r>
            <w:r/>
          </w:p>
        </w:tc>
      </w:tr>
      <w:tr>
        <w:trPr>
          <w:trHeight w:val="310"/>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331"/>
              <w:jc w:val="left"/>
              <w:spacing w:before="35" w:line="19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道路、场地等</w:t>
            </w:r>
            <w:r/>
          </w:p>
        </w:tc>
        <w:tc>
          <w:tcPr>
            <w:tcW w:w="6434" w:type="dxa"/>
            <w:vAlign w:val="top"/>
            <w:textDirection w:val="lrTb"/>
            <w:noWrap w:val="false"/>
          </w:tcPr>
          <w:p>
            <w:pPr>
              <w:ind w:left="93"/>
              <w:jc w:val="left"/>
              <w:spacing w:before="35" w:line="19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道路、路面、侧石、井盖等，发现损坏进行修复。</w:t>
            </w:r>
            <w:r/>
          </w:p>
        </w:tc>
      </w:tr>
      <w:tr>
        <w:trPr>
          <w:trHeight w:val="310"/>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582"/>
              <w:jc w:val="left"/>
              <w:spacing w:before="35" w:line="19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排水设施</w:t>
            </w:r>
            <w:r/>
          </w:p>
        </w:tc>
        <w:tc>
          <w:tcPr>
            <w:tcW w:w="6434" w:type="dxa"/>
            <w:vAlign w:val="top"/>
            <w:textDirection w:val="lrTb"/>
            <w:noWrap w:val="false"/>
          </w:tcPr>
          <w:p>
            <w:pPr>
              <w:ind w:left="93"/>
              <w:jc w:val="left"/>
              <w:spacing w:before="37" w:line="19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发现堵塞及时疏通</w:t>
            </w:r>
            <w:r/>
          </w:p>
        </w:tc>
      </w:tr>
      <w:tr>
        <w:trPr>
          <w:trHeight w:val="330"/>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582"/>
              <w:jc w:val="left"/>
              <w:spacing w:before="46" w:line="202"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给水设施</w:t>
            </w:r>
            <w:r/>
          </w:p>
        </w:tc>
        <w:tc>
          <w:tcPr>
            <w:tcW w:w="6434" w:type="dxa"/>
            <w:vAlign w:val="top"/>
            <w:textDirection w:val="lrTb"/>
            <w:noWrap w:val="false"/>
          </w:tcPr>
          <w:p>
            <w:pPr>
              <w:ind w:left="93"/>
              <w:jc w:val="left"/>
              <w:spacing w:before="46" w:line="202"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饮用水水池</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箱</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每年清洗消毒1次</w:t>
            </w:r>
            <w:r/>
          </w:p>
        </w:tc>
      </w:tr>
      <w:tr>
        <w:trPr>
          <w:trHeight w:val="320"/>
        </w:trPr>
        <w:tc>
          <w:tcPr>
            <w:tcBorders>
              <w:top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331"/>
              <w:jc w:val="left"/>
              <w:spacing w:before="47" w:line="19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消防设施设备</w:t>
            </w:r>
            <w:r/>
          </w:p>
        </w:tc>
        <w:tc>
          <w:tcPr>
            <w:tcW w:w="6434" w:type="dxa"/>
            <w:vAlign w:val="top"/>
            <w:textDirection w:val="lrTb"/>
            <w:noWrap w:val="false"/>
          </w:tcPr>
          <w:p>
            <w:pPr>
              <w:ind w:left="93"/>
              <w:jc w:val="left"/>
              <w:spacing w:before="45" w:line="19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消防设施设备可随时启用，消防通道划设标识，保持畅通</w:t>
            </w:r>
            <w:r/>
          </w:p>
        </w:tc>
      </w:tr>
      <w:tr>
        <w:trPr>
          <w:trHeight w:val="609"/>
        </w:trPr>
        <w:tc>
          <w:tcPr>
            <w:tcBorders>
              <w:bottom w:val="none" w:color="000000" w:sz="4" w:space="0"/>
            </w:tcBorders>
            <w:tcW w:w="1273" w:type="dxa"/>
            <w:vAlign w:val="top"/>
            <w:vMerge w:val="restart"/>
            <w:textDirection w:val="lrTb"/>
            <w:noWrap w:val="false"/>
          </w:tcPr>
          <w:p>
            <w:pPr>
              <w:ind w:left="124"/>
              <w:jc w:val="left"/>
              <w:spacing w:before="36" w:line="21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园林绿化</w:t>
            </w:r>
            <w:r/>
          </w:p>
          <w:p>
            <w:pPr>
              <w:ind w:left="124"/>
              <w:jc w:val="left"/>
              <w:spacing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养护与管</w:t>
            </w:r>
            <w:r/>
          </w:p>
          <w:p>
            <w:pPr>
              <w:ind w:left="505"/>
              <w:jc w:val="left"/>
              <w:spacing w:before="37" w:line="191"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理</w:t>
            </w:r>
            <w:r/>
          </w:p>
        </w:tc>
        <w:tc>
          <w:tcPr>
            <w:tcW w:w="2178" w:type="dxa"/>
            <w:vAlign w:val="top"/>
            <w:textDirection w:val="lrTb"/>
            <w:noWrap w:val="false"/>
          </w:tcPr>
          <w:p>
            <w:pPr>
              <w:ind w:left="831" w:right="91" w:hanging="630"/>
              <w:jc w:val="left"/>
              <w:spacing w:before="24" w:line="212"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7"/>
                <w:sz w:val="24"/>
                <w:szCs w:val="24"/>
                <w:highlight w:val="none"/>
                <w:lang w:val="en-US" w:eastAsia="en-US" w:bidi="ar-SA"/>
              </w:rPr>
              <w:t xml:space="preserve">草坪、灌木类、</w:t>
            </w:r>
            <w:r>
              <w:rPr>
                <w:rFonts w:hint="eastAsia" w:ascii="宋体" w:hAnsi="宋体" w:eastAsia="宋体" w:cs="宋体"/>
                <w:color w:val="auto"/>
                <w:spacing w:val="5"/>
                <w:sz w:val="24"/>
                <w:szCs w:val="24"/>
                <w:highlight w:val="none"/>
                <w:lang w:val="en-US" w:eastAsia="en-US" w:bidi="ar-SA"/>
              </w:rPr>
              <w:t xml:space="preserve"> 花坛</w:t>
            </w:r>
            <w:r/>
          </w:p>
        </w:tc>
        <w:tc>
          <w:tcPr>
            <w:tcW w:w="6434" w:type="dxa"/>
            <w:vAlign w:val="top"/>
            <w:textDirection w:val="lrTb"/>
            <w:noWrap w:val="false"/>
          </w:tcPr>
          <w:p>
            <w:pPr>
              <w:ind w:left="93"/>
              <w:jc w:val="left"/>
              <w:spacing w:before="184"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每年修剪2次，除虫施肥每年1次</w:t>
            </w:r>
            <w:r/>
          </w:p>
        </w:tc>
      </w:tr>
      <w:tr>
        <w:trPr>
          <w:trHeight w:val="310"/>
        </w:trPr>
        <w:tc>
          <w:tcPr>
            <w:tcBorders>
              <w:top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ind w:left="701"/>
              <w:jc w:val="left"/>
              <w:spacing w:before="37" w:line="19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乔木类</w:t>
            </w:r>
            <w:r/>
          </w:p>
        </w:tc>
        <w:tc>
          <w:tcPr>
            <w:tcW w:w="6434" w:type="dxa"/>
            <w:vAlign w:val="top"/>
            <w:textDirection w:val="lrTb"/>
            <w:noWrap w:val="false"/>
          </w:tcPr>
          <w:p>
            <w:pPr>
              <w:ind w:left="93"/>
              <w:jc w:val="left"/>
              <w:spacing w:before="35" w:line="195"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每年修剪1次，除虫施肥每年1次</w:t>
            </w:r>
            <w:r/>
          </w:p>
        </w:tc>
      </w:tr>
      <w:tr>
        <w:trPr>
          <w:trHeight w:val="929"/>
        </w:trPr>
        <w:tc>
          <w:tcPr>
            <w:tcBorders>
              <w:bottom w:val="none" w:color="000000" w:sz="4" w:space="0"/>
            </w:tcBorders>
            <w:tcW w:w="1273" w:type="dxa"/>
            <w:vAlign w:val="top"/>
            <w:vMerge w:val="restart"/>
            <w:textDirection w:val="lrTb"/>
            <w:noWrap w:val="false"/>
          </w:tcPr>
          <w:p>
            <w:pPr>
              <w:jc w:val="left"/>
              <w:spacing w:line="299"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30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30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left"/>
              <w:spacing w:line="30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124"/>
              <w:jc w:val="left"/>
              <w:spacing w:before="81" w:line="22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安全防范</w:t>
            </w:r>
            <w:r/>
          </w:p>
        </w:tc>
        <w:tc>
          <w:tcPr>
            <w:tcW w:w="2178" w:type="dxa"/>
            <w:vAlign w:val="top"/>
            <w:textDirection w:val="lrTb"/>
            <w:noWrap w:val="false"/>
          </w:tcPr>
          <w:p>
            <w:pPr>
              <w:jc w:val="left"/>
              <w:spacing w:line="265"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582"/>
              <w:jc w:val="left"/>
              <w:spacing w:before="82" w:line="221"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人员要求</w:t>
            </w:r>
            <w:r/>
          </w:p>
        </w:tc>
        <w:tc>
          <w:tcPr>
            <w:tcW w:w="6434" w:type="dxa"/>
            <w:vAlign w:val="top"/>
            <w:textDirection w:val="lrTb"/>
            <w:noWrap w:val="false"/>
          </w:tcPr>
          <w:p>
            <w:pPr>
              <w:ind w:left="93"/>
              <w:jc w:val="left"/>
              <w:spacing w:before="27"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1、专职保安人员，身体健康，工作认真负</w:t>
            </w:r>
            <w:r>
              <w:rPr>
                <w:rFonts w:hint="eastAsia" w:ascii="宋体" w:hAnsi="宋体" w:eastAsia="宋体" w:cs="宋体"/>
                <w:color w:val="auto"/>
                <w:spacing w:val="-1"/>
                <w:sz w:val="24"/>
                <w:szCs w:val="24"/>
                <w:highlight w:val="none"/>
                <w:lang w:val="en-US" w:eastAsia="en-US" w:bidi="ar-SA"/>
              </w:rPr>
              <w:t xml:space="preserve">责。</w:t>
            </w:r>
            <w:r/>
          </w:p>
          <w:p>
            <w:pPr>
              <w:ind w:left="93" w:hanging="29"/>
              <w:jc w:val="left"/>
              <w:spacing w:before="1"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2、对小区日常护卫事项做出正确反应，能正确使用消防器</w:t>
            </w:r>
            <w:r>
              <w:rPr>
                <w:rFonts w:hint="eastAsia" w:ascii="宋体" w:hAnsi="宋体" w:eastAsia="宋体" w:cs="宋体"/>
                <w:color w:val="auto"/>
                <w:spacing w:val="9"/>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材。</w:t>
            </w:r>
            <w:r/>
          </w:p>
        </w:tc>
      </w:tr>
      <w:tr>
        <w:trPr>
          <w:trHeight w:val="929"/>
        </w:trPr>
        <w:tc>
          <w:tcPr>
            <w:tcBorders>
              <w:top w:val="none" w:color="000000" w:sz="4" w:space="0"/>
              <w:bottom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jc w:val="left"/>
              <w:spacing w:line="26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831"/>
              <w:jc w:val="left"/>
              <w:spacing w:before="81" w:line="22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3"/>
                <w:sz w:val="24"/>
                <w:szCs w:val="24"/>
                <w:highlight w:val="none"/>
                <w:lang w:val="en-US" w:eastAsia="en-US" w:bidi="ar-SA"/>
              </w:rPr>
              <w:t xml:space="preserve">门岗</w:t>
            </w:r>
            <w:r/>
          </w:p>
        </w:tc>
        <w:tc>
          <w:tcPr>
            <w:tcW w:w="6434" w:type="dxa"/>
            <w:vAlign w:val="top"/>
            <w:textDirection w:val="lrTb"/>
            <w:noWrap w:val="false"/>
          </w:tcPr>
          <w:p>
            <w:pPr>
              <w:ind w:left="93"/>
              <w:jc w:val="left"/>
              <w:spacing w:before="28"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1、保证1个主出入口24小时进出、值班看守。</w:t>
            </w:r>
            <w:r/>
          </w:p>
          <w:p>
            <w:pPr>
              <w:ind w:left="93"/>
              <w:jc w:val="left"/>
              <w:spacing w:before="3" w:line="218"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2、对进出小区的车辆进行管理和疏导，保持出入口道路畅</w:t>
            </w:r>
            <w:r>
              <w:rPr>
                <w:rFonts w:hint="eastAsia" w:ascii="宋体" w:hAnsi="宋体" w:eastAsia="宋体" w:cs="宋体"/>
                <w:color w:val="auto"/>
                <w:spacing w:val="6"/>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通。</w:t>
            </w:r>
            <w:r/>
          </w:p>
        </w:tc>
      </w:tr>
      <w:tr>
        <w:trPr>
          <w:trHeight w:val="934"/>
        </w:trPr>
        <w:tc>
          <w:tcPr>
            <w:tcBorders>
              <w:top w:val="none" w:color="000000" w:sz="4" w:space="0"/>
            </w:tcBorders>
            <w:tcW w:w="1273" w:type="dxa"/>
            <w:vAlign w:val="top"/>
            <w:vMerge w:val="continue"/>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jc w:val="left"/>
              <w:spacing w:line="267"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701"/>
              <w:jc w:val="left"/>
              <w:spacing w:before="81" w:line="22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9"/>
                <w:sz w:val="24"/>
                <w:szCs w:val="24"/>
                <w:highlight w:val="none"/>
                <w:lang w:val="en-US" w:eastAsia="en-US" w:bidi="ar-SA"/>
              </w:rPr>
              <w:t xml:space="preserve">巡逻岗</w:t>
            </w:r>
            <w:r/>
          </w:p>
        </w:tc>
        <w:tc>
          <w:tcPr>
            <w:tcW w:w="6434" w:type="dxa"/>
            <w:vAlign w:val="top"/>
            <w:textDirection w:val="lrTb"/>
            <w:noWrap w:val="false"/>
          </w:tcPr>
          <w:p>
            <w:pPr>
              <w:ind w:left="93"/>
              <w:jc w:val="left"/>
              <w:spacing w:before="19"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1、不定时巡逻，夜间重点部位巡逻一次。</w:t>
            </w:r>
            <w:r/>
          </w:p>
          <w:p>
            <w:pPr>
              <w:ind w:left="93"/>
              <w:jc w:val="left"/>
              <w:spacing w:before="20" w:line="217"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2、在遇到突发事件时，采取必要措施并及时报告管理处和</w:t>
            </w:r>
            <w:r>
              <w:rPr>
                <w:rFonts w:hint="eastAsia" w:ascii="宋体" w:hAnsi="宋体" w:eastAsia="宋体" w:cs="宋体"/>
                <w:color w:val="auto"/>
                <w:spacing w:val="6"/>
                <w:sz w:val="24"/>
                <w:szCs w:val="24"/>
                <w:highlight w:val="none"/>
                <w:lang w:val="en-US" w:eastAsia="en-US" w:bidi="ar-SA"/>
              </w:rPr>
              <w:t xml:space="preserve"> </w:t>
            </w:r>
            <w:r>
              <w:rPr>
                <w:rFonts w:hint="eastAsia" w:ascii="宋体" w:hAnsi="宋体" w:eastAsia="宋体" w:cs="宋体"/>
                <w:color w:val="auto"/>
                <w:sz w:val="24"/>
                <w:szCs w:val="24"/>
                <w:highlight w:val="none"/>
                <w:lang w:val="en-US" w:eastAsia="en-US" w:bidi="ar-SA"/>
              </w:rPr>
              <w:t xml:space="preserve">相关部门。</w:t>
            </w:r>
            <w:r/>
          </w:p>
        </w:tc>
      </w:tr>
      <w:tr>
        <w:trPr>
          <w:trHeight w:val="934"/>
        </w:trPr>
        <w:tc>
          <w:tcPr>
            <w:tcBorders>
              <w:top w:val="none" w:color="000000" w:sz="4" w:space="0"/>
            </w:tcBorders>
            <w:tcW w:w="1273" w:type="dxa"/>
            <w:vAlign w:val="top"/>
            <w:textDirection w:val="lrTb"/>
            <w:noWrap w:val="false"/>
          </w:tcPr>
          <w:p>
            <w:pPr>
              <w:jc w:val="left"/>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178" w:type="dxa"/>
            <w:vAlign w:val="top"/>
            <w:textDirection w:val="lrTb"/>
            <w:noWrap w:val="false"/>
          </w:tcPr>
          <w:p>
            <w:pPr>
              <w:jc w:val="left"/>
              <w:spacing w:line="265"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851"/>
              <w:jc w:val="left"/>
              <w:spacing w:before="78"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车辆管理</w:t>
            </w:r>
            <w:r/>
          </w:p>
        </w:tc>
        <w:tc>
          <w:tcPr>
            <w:tcW w:w="6434" w:type="dxa"/>
            <w:vAlign w:val="top"/>
            <w:textDirection w:val="lrTb"/>
            <w:noWrap w:val="false"/>
          </w:tcPr>
          <w:p>
            <w:pPr>
              <w:ind w:left="104"/>
              <w:jc w:val="left"/>
              <w:spacing w:before="13"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1、地面、墙面有简易标志。</w:t>
            </w:r>
            <w:r/>
          </w:p>
          <w:p>
            <w:pPr>
              <w:ind w:left="104" w:right="194"/>
              <w:jc w:val="left"/>
              <w:spacing w:before="16" w:line="196"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2、收费管理的车库内地面、墙面按车辆道路行驶要求设立</w:t>
            </w:r>
            <w:r>
              <w:rPr>
                <w:rFonts w:hint="eastAsia" w:ascii="宋体" w:hAnsi="宋体" w:eastAsia="宋体" w:cs="宋体"/>
                <w:color w:val="auto"/>
                <w:spacing w:val="8"/>
                <w:sz w:val="24"/>
                <w:szCs w:val="24"/>
                <w:highlight w:val="none"/>
                <w:lang w:val="en-US" w:eastAsia="en-US" w:bidi="ar-SA"/>
              </w:rPr>
              <w:t xml:space="preserve"> </w:t>
            </w:r>
            <w:r>
              <w:rPr>
                <w:rFonts w:hint="eastAsia" w:ascii="宋体" w:hAnsi="宋体" w:eastAsia="宋体" w:cs="宋体"/>
                <w:color w:val="auto"/>
                <w:spacing w:val="-1"/>
                <w:sz w:val="24"/>
                <w:szCs w:val="24"/>
                <w:highlight w:val="none"/>
                <w:lang w:val="en-US" w:eastAsia="en-US" w:bidi="ar-SA"/>
              </w:rPr>
              <w:t xml:space="preserve">标志牌，照明、</w:t>
            </w:r>
            <w:r>
              <w:rPr>
                <w:rFonts w:hint="eastAsia" w:ascii="宋体" w:hAnsi="宋体" w:eastAsia="宋体" w:cs="宋体"/>
                <w:color w:val="auto"/>
                <w:spacing w:val="-1"/>
                <w:sz w:val="24"/>
                <w:szCs w:val="24"/>
                <w:highlight w:val="none"/>
                <w:lang w:val="en-US" w:eastAsia="zh-CN" w:bidi="ar-SA"/>
              </w:rPr>
              <w:t xml:space="preserve">消防器材</w:t>
            </w:r>
            <w:r>
              <w:rPr>
                <w:rFonts w:hint="eastAsia" w:ascii="宋体" w:hAnsi="宋体" w:eastAsia="宋体" w:cs="宋体"/>
                <w:color w:val="auto"/>
                <w:spacing w:val="-1"/>
                <w:sz w:val="24"/>
                <w:szCs w:val="24"/>
                <w:highlight w:val="none"/>
                <w:lang w:val="en-US" w:eastAsia="en-US" w:bidi="ar-SA"/>
              </w:rPr>
              <w:t xml:space="preserve">配置齐全。</w:t>
            </w:r>
            <w:r/>
          </w:p>
        </w:tc>
      </w:tr>
      <w:tr>
        <w:trPr>
          <w:trHeight w:val="934"/>
        </w:trPr>
        <w:tc>
          <w:tcPr>
            <w:tcBorders>
              <w:top w:val="none" w:color="000000" w:sz="4" w:space="0"/>
            </w:tcBorders>
            <w:tcW w:w="1273" w:type="dxa"/>
            <w:vAlign w:val="top"/>
            <w:textDirection w:val="lrTb"/>
            <w:noWrap w:val="false"/>
          </w:tcPr>
          <w:p>
            <w:pPr>
              <w:ind w:left="384"/>
              <w:jc w:val="left"/>
              <w:spacing w:before="206" w:line="22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其他</w:t>
            </w:r>
            <w:r/>
          </w:p>
        </w:tc>
        <w:tc>
          <w:tcPr>
            <w:tcW w:w="2178" w:type="dxa"/>
            <w:vAlign w:val="top"/>
            <w:textDirection w:val="lrTb"/>
            <w:noWrap w:val="false"/>
          </w:tcPr>
          <w:p>
            <w:pPr>
              <w:ind w:left="111" w:right="145" w:hanging="20"/>
              <w:jc w:val="left"/>
              <w:spacing w:before="16" w:line="232"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文明城市创建、社 区网格化管理等</w:t>
            </w:r>
            <w:r/>
          </w:p>
        </w:tc>
        <w:tc>
          <w:tcPr>
            <w:tcW w:w="6434" w:type="dxa"/>
            <w:vAlign w:val="top"/>
            <w:textDirection w:val="lrTb"/>
            <w:noWrap w:val="false"/>
          </w:tcPr>
          <w:p>
            <w:pPr>
              <w:ind w:left="104"/>
              <w:jc w:val="left"/>
              <w:spacing w:before="206" w:line="219"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积极配合属地街道社区落实各项创建工作</w:t>
            </w:r>
            <w:r/>
          </w:p>
        </w:tc>
      </w:tr>
    </w:tbl>
    <w:p>
      <w:pPr>
        <w:ind w:left="420"/>
        <w:jc w:val="center"/>
        <w:spacing w:line="560" w:lineRule="exact"/>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after="624" w:line="400" w:lineRule="exact"/>
        <w:widowControl/>
        <w:tabs>
          <w:tab w:val="left" w:pos="6259" w:leader="none"/>
          <w:tab w:val="left" w:pos="8298" w:leader="none"/>
        </w:tabs>
        <w:rPr>
          <w:rFonts w:hint="eastAsia" w:ascii="宋体" w:hAnsi="宋体" w:eastAsia="宋体" w:cs="宋体"/>
          <w:color w:val="auto"/>
          <w:sz w:val="24"/>
          <w:szCs w:val="24"/>
          <w:highlight w:val="none"/>
        </w:rPr>
        <w:sectPr>
          <w:footerReference w:type="default" r:id="rId15"/>
          <w:footnotePr/>
          <w:endnotePr/>
          <w:type w:val="nextPage"/>
          <w:pgSz w:w="11906" w:h="16838" w:orient="portrait"/>
          <w:pgMar w:top="1984" w:right="1417" w:bottom="1701" w:left="1417" w:header="851" w:footer="992" w:gutter="0"/>
          <w:cols w:num="1" w:sep="0" w:space="720" w:equalWidth="1"/>
          <w:docGrid w:linePitch="360"/>
        </w:sectPr>
      </w:pPr>
      <w:r>
        <w:rPr>
          <w:rFonts w:hint="eastAsia" w:ascii="宋体" w:hAnsi="宋体" w:eastAsia="宋体" w:cs="宋体"/>
          <w:color w:val="auto"/>
          <w:sz w:val="24"/>
          <w:szCs w:val="24"/>
          <w:highlight w:val="none"/>
        </w:rPr>
      </w:r>
      <w:r/>
    </w:p>
    <w:p>
      <w:pPr>
        <w:spacing w:line="400" w:lineRule="exact"/>
        <w:rPr>
          <w:rFonts w:eastAsia="方正黑体_GBK"/>
          <w:color w:val="auto"/>
          <w:sz w:val="32"/>
          <w:szCs w:val="32"/>
          <w:highlight w:val="none"/>
        </w:rPr>
      </w:pPr>
      <w:r>
        <w:rPr>
          <w:rFonts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3</w:t>
      </w:r>
      <w:r>
        <w:rPr>
          <w:rFonts w:eastAsia="方正黑体_GBK"/>
          <w:color w:val="auto"/>
          <w:sz w:val="32"/>
          <w:szCs w:val="32"/>
          <w:highlight w:val="none"/>
        </w:rPr>
        <w:t xml:space="preserve">：</w:t>
      </w:r>
      <w:r/>
    </w:p>
    <w:p>
      <w:pPr>
        <w:jc w:val="center"/>
        <w:spacing w:after="312" w:line="400" w:lineRule="exact"/>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阳山镇住宅小区物业落实各项重点工作检查标准</w:t>
      </w:r>
      <w:r/>
    </w:p>
    <w:p>
      <w:pPr>
        <w:jc w:val="center"/>
        <w:spacing w:after="312" w:line="400" w:lineRule="exact"/>
        <w:rPr>
          <w:rFonts w:hint="eastAsia" w:ascii="方正小标宋简体" w:hAnsi="方正小标宋简体" w:eastAsia="方正小标宋简体" w:cs="方正小标宋简体"/>
          <w:color w:val="auto"/>
          <w:sz w:val="36"/>
          <w:szCs w:val="36"/>
          <w:highlight w:val="none"/>
        </w:rPr>
      </w:pPr>
      <w:r>
        <w:rPr>
          <w:rFonts w:eastAsia="方正小标宋简体"/>
          <w:color w:val="auto"/>
          <w:sz w:val="32"/>
          <w:szCs w:val="32"/>
          <w:highlight w:val="none"/>
        </w:rPr>
        <w:t xml:space="preserve">（占考核总分值</w:t>
      </w:r>
      <w:r>
        <w:rPr>
          <w:rFonts w:hint="eastAsia" w:eastAsia="方正小标宋简体"/>
          <w:color w:val="auto"/>
          <w:sz w:val="32"/>
          <w:szCs w:val="32"/>
          <w:highlight w:val="none"/>
        </w:rPr>
        <w:t xml:space="preserve">4</w:t>
      </w:r>
      <w:r>
        <w:rPr>
          <w:rFonts w:eastAsia="方正小标宋简体"/>
          <w:color w:val="auto"/>
          <w:sz w:val="32"/>
          <w:szCs w:val="32"/>
          <w:highlight w:val="none"/>
        </w:rPr>
        <w:t xml:space="preserve">0%）</w:t>
      </w:r>
      <w:r/>
    </w:p>
    <w:p>
      <w:pPr>
        <w:ind w:left="108"/>
        <w:spacing w:line="400" w:lineRule="exact"/>
        <w:widowControl/>
        <w:tabs>
          <w:tab w:val="left" w:pos="6259" w:leader="none"/>
          <w:tab w:val="left" w:pos="8298" w:leader="none"/>
        </w:tabs>
        <w:rPr>
          <w:rFonts w:eastAsia="方正小标宋简体"/>
          <w:color w:val="auto"/>
          <w:sz w:val="24"/>
          <w:highlight w:val="none"/>
          <w:u w:val="single"/>
        </w:rPr>
      </w:pPr>
      <w:r>
        <w:rPr>
          <w:rFonts w:eastAsia="方正小标宋简体"/>
          <w:color w:val="auto"/>
          <w:sz w:val="24"/>
          <w:highlight w:val="none"/>
        </w:rPr>
        <w:t xml:space="preserve">检查项目：</w:t>
      </w:r>
      <w:r>
        <w:rPr>
          <w:rFonts w:eastAsia="方正小标宋简体"/>
          <w:color w:val="auto"/>
          <w:sz w:val="24"/>
          <w:highlight w:val="none"/>
          <w:u w:val="single"/>
        </w:rPr>
        <w:t xml:space="preserve">                            </w:t>
      </w:r>
      <w:r>
        <w:rPr>
          <w:rFonts w:eastAsia="方正小标宋简体"/>
          <w:color w:val="auto"/>
          <w:sz w:val="24"/>
          <w:highlight w:val="none"/>
        </w:rPr>
        <w:t xml:space="preserve">检查时间：</w:t>
      </w:r>
      <w:r>
        <w:rPr>
          <w:rFonts w:eastAsia="方正小标宋简体"/>
          <w:color w:val="auto"/>
          <w:sz w:val="24"/>
          <w:highlight w:val="none"/>
          <w:u w:val="single"/>
        </w:rPr>
        <w:t xml:space="preserve">                     </w:t>
      </w:r>
      <w:r>
        <w:rPr>
          <w:rFonts w:eastAsia="方正小标宋简体"/>
          <w:color w:val="auto"/>
          <w:sz w:val="24"/>
          <w:highlight w:val="none"/>
        </w:rPr>
        <w:t xml:space="preserve">检查人签字：</w:t>
      </w:r>
      <w:r>
        <w:rPr>
          <w:rFonts w:eastAsia="方正小标宋简体"/>
          <w:color w:val="auto"/>
          <w:sz w:val="24"/>
          <w:highlight w:val="none"/>
          <w:u w:val="single"/>
        </w:rPr>
        <w:t xml:space="preserve">                             </w:t>
      </w:r>
      <w:r>
        <w:rPr>
          <w:rFonts w:hint="eastAsia" w:eastAsia="方正小标宋简体"/>
          <w:color w:val="auto"/>
          <w:sz w:val="24"/>
          <w:highlight w:val="none"/>
          <w:u w:val="single"/>
        </w:rPr>
        <w:t xml:space="preserve">  </w:t>
      </w:r>
      <w:r>
        <w:rPr>
          <w:rFonts w:eastAsia="方正小标宋简体"/>
          <w:color w:val="auto"/>
          <w:sz w:val="24"/>
          <w:highlight w:val="none"/>
          <w:u w:val="single"/>
        </w:rPr>
        <w:t xml:space="preserve">         </w:t>
      </w:r>
      <w:r>
        <w:rPr>
          <w:rFonts w:hint="eastAsia" w:eastAsia="方正小标宋简体"/>
          <w:color w:val="auto"/>
          <w:sz w:val="24"/>
          <w:highlight w:val="none"/>
          <w:u w:val="single"/>
        </w:rPr>
        <w:t xml:space="preserve">  </w:t>
      </w:r>
      <w:r>
        <w:rPr>
          <w:rFonts w:hint="eastAsia" w:eastAsia="方正小标宋简体"/>
          <w:color w:val="auto"/>
          <w:sz w:val="24"/>
          <w:highlight w:val="none"/>
        </w:rPr>
        <w:t xml:space="preserve"> </w:t>
      </w:r>
      <w:r>
        <w:rPr>
          <w:rFonts w:eastAsia="方正小标宋简体"/>
          <w:color w:val="auto"/>
          <w:sz w:val="24"/>
          <w:highlight w:val="none"/>
          <w:u w:val="single"/>
        </w:rPr>
        <w:t xml:space="preserve">                </w:t>
      </w:r>
      <w:r/>
    </w:p>
    <w:tbl>
      <w:tblPr>
        <w:tblStyle w:val="807"/>
        <w:tblW w:w="10215" w:type="dxa"/>
        <w:tblInd w:w="-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260"/>
        <w:gridCol w:w="1904"/>
        <w:gridCol w:w="2385"/>
        <w:gridCol w:w="886"/>
        <w:gridCol w:w="1178"/>
        <w:gridCol w:w="1178"/>
        <w:gridCol w:w="862"/>
      </w:tblGrid>
      <w:tr>
        <w:trPr>
          <w:trHeight w:val="949"/>
        </w:trPr>
        <w:tc>
          <w:tcPr>
            <w:tcW w:w="577"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序号</w:t>
            </w:r>
            <w:r/>
          </w:p>
        </w:tc>
        <w:tc>
          <w:tcPr>
            <w:tcW w:w="1346"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配合工作内容</w:t>
            </w:r>
            <w:r/>
          </w:p>
        </w:tc>
        <w:tc>
          <w:tcPr>
            <w:tcW w:w="2019"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检查程序</w:t>
            </w:r>
            <w:r/>
          </w:p>
        </w:tc>
        <w:tc>
          <w:tcPr>
            <w:tcW w:w="2597" w:type="dxa"/>
            <w:vAlign w:val="center"/>
            <w:textDirection w:val="lrTb"/>
            <w:noWrap w:val="false"/>
          </w:tcPr>
          <w:p>
            <w:pPr>
              <w:ind w:firstLine="435"/>
              <w:jc w:val="center"/>
              <w:widowControl/>
              <w:rPr>
                <w:b/>
                <w:bCs/>
                <w:color w:val="auto"/>
                <w:sz w:val="24"/>
                <w:szCs w:val="24"/>
                <w:highlight w:val="none"/>
              </w:rPr>
            </w:pPr>
            <w:r>
              <w:rPr>
                <w:b/>
                <w:bCs/>
                <w:color w:val="auto"/>
                <w:sz w:val="24"/>
                <w:szCs w:val="24"/>
                <w:highlight w:val="none"/>
              </w:rPr>
              <w:t xml:space="preserve">扣分标准</w:t>
            </w:r>
            <w:r/>
          </w:p>
        </w:tc>
        <w:tc>
          <w:tcPr>
            <w:tcW w:w="919"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考核部门</w:t>
            </w:r>
            <w:r/>
          </w:p>
        </w:tc>
        <w:tc>
          <w:tcPr>
            <w:tcW w:w="919"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社区评分（20%）</w:t>
            </w:r>
            <w:r/>
          </w:p>
        </w:tc>
        <w:tc>
          <w:tcPr>
            <w:tcW w:w="919"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考核科室评分（20%）</w:t>
            </w:r>
            <w:r/>
          </w:p>
        </w:tc>
        <w:tc>
          <w:tcPr>
            <w:tcW w:w="919"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最终得分</w:t>
            </w:r>
            <w:r/>
          </w:p>
        </w:tc>
      </w:tr>
      <w:tr>
        <w:trPr>
          <w:trHeight w:val="783"/>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1</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文明城市建设提升10分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宣传、管理是否达到居民小区点位检查的23条标准</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有一项未落实到位的扣2分；有多项未落实到位的累计扣分最多不超过10分</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各社区、宣传网络科</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1039"/>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2</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城市精细化管理（主要涉及环境卫生）10分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查看是否落实环境卫生管理要求</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环境卫生差，扣2到5分；城管部门是否有通报，一起扣2分，对发现的各类问题逾期不整改的或整改不到位的扣2分。</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各社区、行政执法局综合科</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1039"/>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3</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垃圾分类（主要检查已实施垃圾分类试点的项目）10分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查看垃圾分类设施是</w:t>
            </w:r>
            <w:r>
              <w:rPr>
                <w:rFonts w:hint="eastAsia"/>
                <w:color w:val="auto"/>
                <w:sz w:val="22"/>
                <w:szCs w:val="22"/>
                <w:highlight w:val="none"/>
              </w:rPr>
              <w:t xml:space="preserve">否</w:t>
            </w:r>
            <w:r>
              <w:rPr>
                <w:color w:val="auto"/>
                <w:sz w:val="22"/>
                <w:szCs w:val="22"/>
                <w:highlight w:val="none"/>
              </w:rPr>
              <w:t xml:space="preserve">到位，垃圾分类工作是否已实际开展，垃圾分类成效是否落实到位</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垃圾分类设施未到位的扣10分；垃圾分类工作开展不到位的酌情扣3</w:t>
            </w:r>
            <w:r>
              <w:rPr>
                <w:rFonts w:hint="eastAsia"/>
                <w:color w:val="auto"/>
                <w:sz w:val="22"/>
                <w:szCs w:val="22"/>
                <w:highlight w:val="none"/>
                <w:lang w:eastAsia="zh-CN"/>
              </w:rPr>
              <w:t xml:space="preserve">—</w:t>
            </w:r>
            <w:r>
              <w:rPr>
                <w:color w:val="auto"/>
                <w:sz w:val="22"/>
                <w:szCs w:val="22"/>
                <w:highlight w:val="none"/>
              </w:rPr>
              <w:t xml:space="preserve">5分；垃圾分类成效不好的扣1</w:t>
            </w:r>
            <w:r>
              <w:rPr>
                <w:rFonts w:hint="eastAsia"/>
                <w:color w:val="auto"/>
                <w:sz w:val="22"/>
                <w:szCs w:val="22"/>
                <w:highlight w:val="none"/>
                <w:lang w:eastAsia="zh-CN"/>
              </w:rPr>
              <w:t xml:space="preserve">—</w:t>
            </w:r>
            <w:r>
              <w:rPr>
                <w:color w:val="auto"/>
                <w:sz w:val="22"/>
                <w:szCs w:val="22"/>
                <w:highlight w:val="none"/>
              </w:rPr>
              <w:t xml:space="preserve">3分</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各社区、行政执法局综合科</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783"/>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4</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安全生产10分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查看企业安全管理措施，应急制度、值班记录</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安全生产落实情况，未落实到位的（检查、提醒、宣传、预案、演练、设施设备保养运行）扣2到10分</w:t>
            </w:r>
            <w:r/>
          </w:p>
        </w:tc>
        <w:tc>
          <w:tcPr>
            <w:tcW w:w="919" w:type="dxa"/>
            <w:vAlign w:val="center"/>
            <w:vMerge w:val="restart"/>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各社区、消委办</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1039"/>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5</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打通“生命通道”专项行动10分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查看是否落实专项治理行动，划设消防通道标识线和警示标志，消防通道畅通，违停抄报落实</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无宣传措施的扣1分；未落实到位的扣3到5分；未开展行动的扣10分</w:t>
            </w:r>
            <w:r/>
          </w:p>
        </w:tc>
        <w:tc>
          <w:tcPr>
            <w:tcW w:w="919" w:type="dxa"/>
            <w:vAlign w:val="center"/>
            <w:vMerge w:val="continue"/>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724"/>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6</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违建管控10分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查看报送城管部门记录、对房屋装修拆改监督情况</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未落实到位的扣1到5分；违建严重完全失控的扣10分</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各社区、行政执法局一中队</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783"/>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7</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建筑垃圾清运10分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查看清运委托合同</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未委托环卫部门指定的清运单位进行清运扣10分；发现偷倒建筑垃圾的一起扣5分，扣满为止</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各社区、行政执法局综合科</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1039"/>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8</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协助群租治理，车库住人专项治理10分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查看落实情况</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出租未落实登记制度的扣2分；出租管控措施不到位的扣2到5分；被通报批评的扣10分；发现群租现象的一起扣5分，扣满为止</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各社区、派出所</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783"/>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9</w:t>
            </w:r>
            <w:r/>
          </w:p>
        </w:tc>
        <w:tc>
          <w:tcPr>
            <w:tcW w:w="1346" w:type="dxa"/>
            <w:vAlign w:val="center"/>
            <w:textDirection w:val="lrTb"/>
            <w:noWrap w:val="false"/>
          </w:tcPr>
          <w:p>
            <w:pPr>
              <w:jc w:val="left"/>
              <w:spacing w:line="260" w:lineRule="exact"/>
              <w:widowControl/>
              <w:rPr>
                <w:color w:val="auto"/>
                <w:sz w:val="22"/>
                <w:szCs w:val="22"/>
                <w:highlight w:val="none"/>
              </w:rPr>
            </w:pPr>
            <w:r>
              <w:rPr>
                <w:rFonts w:hint="eastAsia"/>
                <w:color w:val="auto"/>
                <w:sz w:val="22"/>
                <w:szCs w:val="22"/>
                <w:highlight w:val="none"/>
              </w:rPr>
              <w:t xml:space="preserve">爱国卫生</w:t>
            </w:r>
            <w:r>
              <w:rPr>
                <w:color w:val="auto"/>
                <w:sz w:val="22"/>
                <w:szCs w:val="22"/>
                <w:highlight w:val="none"/>
              </w:rPr>
              <w:t xml:space="preserve">10分</w:t>
            </w:r>
            <w:r/>
          </w:p>
        </w:tc>
        <w:tc>
          <w:tcPr>
            <w:tcW w:w="2019" w:type="dxa"/>
            <w:vAlign w:val="center"/>
            <w:textDirection w:val="lrTb"/>
            <w:noWrap w:val="false"/>
          </w:tcPr>
          <w:p>
            <w:pPr>
              <w:jc w:val="left"/>
              <w:spacing w:line="260" w:lineRule="exact"/>
              <w:widowControl/>
              <w:rPr>
                <w:rFonts w:hint="eastAsia"/>
                <w:b/>
                <w:bCs/>
                <w:color w:val="auto"/>
                <w:sz w:val="22"/>
                <w:szCs w:val="22"/>
                <w:highlight w:val="none"/>
              </w:rPr>
            </w:pPr>
            <w:r>
              <w:rPr>
                <w:color w:val="auto"/>
                <w:sz w:val="22"/>
                <w:szCs w:val="22"/>
                <w:highlight w:val="none"/>
              </w:rPr>
              <w:t xml:space="preserve">查看</w:t>
            </w:r>
            <w:r>
              <w:rPr>
                <w:rFonts w:hint="eastAsia"/>
                <w:color w:val="auto"/>
                <w:sz w:val="22"/>
                <w:szCs w:val="22"/>
                <w:highlight w:val="none"/>
              </w:rPr>
              <w:t xml:space="preserve">病媒生物防治、病原体污水清理是否到位。</w:t>
            </w:r>
            <w:r/>
          </w:p>
        </w:tc>
        <w:tc>
          <w:tcPr>
            <w:tcW w:w="2597" w:type="dxa"/>
            <w:vAlign w:val="center"/>
            <w:textDirection w:val="lrTb"/>
            <w:noWrap w:val="false"/>
          </w:tcPr>
          <w:p>
            <w:pPr>
              <w:jc w:val="left"/>
              <w:spacing w:line="260" w:lineRule="exact"/>
              <w:widowControl/>
              <w:rPr>
                <w:b/>
                <w:bCs/>
                <w:color w:val="auto"/>
                <w:sz w:val="22"/>
                <w:szCs w:val="22"/>
                <w:highlight w:val="none"/>
              </w:rPr>
            </w:pPr>
            <w:r>
              <w:rPr>
                <w:rFonts w:hint="eastAsia"/>
                <w:color w:val="auto"/>
                <w:sz w:val="22"/>
                <w:szCs w:val="22"/>
                <w:highlight w:val="none"/>
              </w:rPr>
              <w:t xml:space="preserve">上级通报一次扣3分，</w:t>
            </w:r>
            <w:r>
              <w:rPr>
                <w:color w:val="auto"/>
                <w:sz w:val="22"/>
                <w:szCs w:val="22"/>
                <w:highlight w:val="none"/>
              </w:rPr>
              <w:t xml:space="preserve">对发现的各类问题逾期不整改的或整改不到位的扣</w:t>
            </w:r>
            <w:r>
              <w:rPr>
                <w:rFonts w:hint="eastAsia"/>
                <w:color w:val="auto"/>
                <w:sz w:val="22"/>
                <w:szCs w:val="22"/>
                <w:highlight w:val="none"/>
              </w:rPr>
              <w:t xml:space="preserve">2</w:t>
            </w:r>
            <w:r>
              <w:rPr>
                <w:rFonts w:hint="eastAsia"/>
                <w:color w:val="auto"/>
                <w:sz w:val="22"/>
                <w:szCs w:val="22"/>
                <w:highlight w:val="none"/>
                <w:lang w:eastAsia="zh-CN"/>
              </w:rPr>
              <w:t xml:space="preserve">—</w:t>
            </w:r>
            <w:r>
              <w:rPr>
                <w:rFonts w:hint="eastAsia"/>
                <w:color w:val="auto"/>
                <w:sz w:val="22"/>
                <w:szCs w:val="22"/>
                <w:highlight w:val="none"/>
              </w:rPr>
              <w:t xml:space="preserve">5</w:t>
            </w:r>
            <w:r>
              <w:rPr>
                <w:color w:val="auto"/>
                <w:sz w:val="22"/>
                <w:szCs w:val="22"/>
                <w:highlight w:val="none"/>
              </w:rPr>
              <w:t xml:space="preserve">分</w:t>
            </w:r>
            <w:r>
              <w:rPr>
                <w:rFonts w:hint="eastAsia"/>
                <w:color w:val="auto"/>
                <w:sz w:val="22"/>
                <w:szCs w:val="22"/>
                <w:highlight w:val="none"/>
              </w:rPr>
              <w:t xml:space="preserve">，完全未落实的扣10分</w:t>
            </w:r>
            <w:r/>
          </w:p>
        </w:tc>
        <w:tc>
          <w:tcPr>
            <w:tcW w:w="919" w:type="dxa"/>
            <w:vAlign w:val="center"/>
            <w:textDirection w:val="lrTb"/>
            <w:noWrap w:val="false"/>
          </w:tcPr>
          <w:p>
            <w:pPr>
              <w:jc w:val="center"/>
              <w:spacing w:line="240" w:lineRule="exact"/>
              <w:widowControl/>
              <w:rPr>
                <w:b/>
                <w:bCs/>
                <w:color w:val="auto"/>
                <w:sz w:val="22"/>
                <w:szCs w:val="22"/>
                <w:highlight w:val="none"/>
              </w:rPr>
            </w:pPr>
            <w:r>
              <w:rPr>
                <w:color w:val="auto"/>
                <w:sz w:val="22"/>
                <w:szCs w:val="22"/>
                <w:highlight w:val="none"/>
              </w:rPr>
              <w:t xml:space="preserve">各社区、卫计科</w:t>
            </w:r>
            <w:r/>
          </w:p>
        </w:tc>
        <w:tc>
          <w:tcPr>
            <w:tcW w:w="919" w:type="dxa"/>
            <w:vAlign w:val="center"/>
            <w:textDirection w:val="lrTb"/>
            <w:noWrap w:val="false"/>
          </w:tcPr>
          <w:p>
            <w:pPr>
              <w:jc w:val="center"/>
              <w:spacing w:line="240" w:lineRule="exact"/>
              <w:widowControl/>
              <w:rPr>
                <w:b/>
                <w:bCs/>
                <w:color w:val="auto"/>
                <w:sz w:val="22"/>
                <w:szCs w:val="22"/>
                <w:highlight w:val="none"/>
              </w:rPr>
            </w:pPr>
            <w:r>
              <w:rPr>
                <w:b/>
                <w:bCs/>
                <w:color w:val="auto"/>
                <w:sz w:val="22"/>
                <w:szCs w:val="22"/>
                <w:highlight w:val="none"/>
              </w:rPr>
            </w:r>
            <w:r/>
          </w:p>
        </w:tc>
        <w:tc>
          <w:tcPr>
            <w:tcW w:w="919" w:type="dxa"/>
            <w:vAlign w:val="center"/>
            <w:textDirection w:val="lrTb"/>
            <w:noWrap w:val="false"/>
          </w:tcPr>
          <w:p>
            <w:pPr>
              <w:jc w:val="center"/>
              <w:spacing w:line="240" w:lineRule="exact"/>
              <w:widowControl/>
              <w:rPr>
                <w:b/>
                <w:bCs/>
                <w:color w:val="auto"/>
                <w:sz w:val="22"/>
                <w:szCs w:val="22"/>
                <w:highlight w:val="none"/>
              </w:rPr>
            </w:pPr>
            <w:r>
              <w:rPr>
                <w:b/>
                <w:bCs/>
                <w:color w:val="auto"/>
                <w:sz w:val="22"/>
                <w:szCs w:val="22"/>
                <w:highlight w:val="none"/>
              </w:rPr>
            </w:r>
            <w:r/>
          </w:p>
        </w:tc>
        <w:tc>
          <w:tcPr>
            <w:tcW w:w="919" w:type="dxa"/>
            <w:vAlign w:val="center"/>
            <w:textDirection w:val="lrTb"/>
            <w:noWrap w:val="false"/>
          </w:tcPr>
          <w:p>
            <w:pPr>
              <w:jc w:val="center"/>
              <w:spacing w:line="240" w:lineRule="exact"/>
              <w:widowControl/>
              <w:rPr>
                <w:b/>
                <w:bCs/>
                <w:color w:val="auto"/>
                <w:sz w:val="22"/>
                <w:szCs w:val="22"/>
                <w:highlight w:val="none"/>
              </w:rPr>
            </w:pPr>
            <w:r>
              <w:rPr>
                <w:b/>
                <w:bCs/>
                <w:color w:val="auto"/>
                <w:sz w:val="22"/>
                <w:szCs w:val="22"/>
                <w:highlight w:val="none"/>
              </w:rPr>
            </w:r>
            <w:r/>
          </w:p>
        </w:tc>
      </w:tr>
      <w:tr>
        <w:trPr>
          <w:trHeight w:val="1631"/>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10</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装修管理10分</w:t>
            </w:r>
            <w:r/>
          </w:p>
        </w:tc>
        <w:tc>
          <w:tcPr>
            <w:tcW w:w="2019" w:type="dxa"/>
            <w:vAlign w:val="center"/>
            <w:textDirection w:val="lrTb"/>
            <w:noWrap w:val="false"/>
          </w:tcPr>
          <w:p>
            <w:pPr>
              <w:spacing w:line="260" w:lineRule="exact"/>
              <w:widowControl/>
              <w:rPr>
                <w:color w:val="auto"/>
                <w:sz w:val="22"/>
                <w:szCs w:val="22"/>
                <w:highlight w:val="none"/>
              </w:rPr>
            </w:pPr>
            <w:r>
              <w:rPr>
                <w:color w:val="auto"/>
                <w:sz w:val="22"/>
                <w:szCs w:val="22"/>
                <w:highlight w:val="none"/>
              </w:rPr>
              <w:t xml:space="preserve">小区内房屋装修前至镇建设科报备，根据《住宅室内装饰装修管理办法》</w:t>
            </w:r>
            <w:r>
              <w:rPr>
                <w:rFonts w:hint="eastAsia"/>
                <w:color w:val="auto"/>
                <w:sz w:val="22"/>
                <w:szCs w:val="22"/>
                <w:highlight w:val="none"/>
                <w:lang w:eastAsia="zh-CN"/>
              </w:rPr>
              <w:t xml:space="preserve">（</w:t>
            </w:r>
            <w:r>
              <w:rPr>
                <w:color w:val="auto"/>
                <w:sz w:val="22"/>
                <w:szCs w:val="22"/>
                <w:highlight w:val="none"/>
              </w:rPr>
              <w:t xml:space="preserve">建设部110号令</w:t>
            </w:r>
            <w:r>
              <w:rPr>
                <w:rFonts w:hint="eastAsia"/>
                <w:color w:val="auto"/>
                <w:sz w:val="22"/>
                <w:szCs w:val="22"/>
                <w:highlight w:val="none"/>
                <w:lang w:eastAsia="zh-CN"/>
              </w:rPr>
              <w:t xml:space="preserve">）</w:t>
            </w:r>
            <w:r>
              <w:rPr>
                <w:color w:val="auto"/>
                <w:sz w:val="22"/>
                <w:szCs w:val="22"/>
                <w:highlight w:val="none"/>
              </w:rPr>
              <w:t xml:space="preserve">、《无</w:t>
            </w:r>
            <w:r/>
          </w:p>
          <w:p>
            <w:pPr>
              <w:spacing w:line="260" w:lineRule="exact"/>
              <w:widowControl/>
              <w:rPr>
                <w:color w:val="auto"/>
                <w:sz w:val="22"/>
                <w:szCs w:val="22"/>
                <w:highlight w:val="none"/>
              </w:rPr>
            </w:pPr>
            <w:r>
              <w:rPr>
                <w:color w:val="auto"/>
                <w:sz w:val="22"/>
                <w:szCs w:val="22"/>
                <w:highlight w:val="none"/>
              </w:rPr>
              <w:t xml:space="preserve">锡市房屋安全管理条例》和《关于明确既有建筑改造和装饰装修工程建设管理有关事项的通知》</w:t>
            </w:r>
            <w:r>
              <w:rPr>
                <w:rFonts w:hint="eastAsia"/>
                <w:color w:val="auto"/>
                <w:sz w:val="22"/>
                <w:szCs w:val="22"/>
                <w:highlight w:val="none"/>
                <w:lang w:eastAsia="zh-CN"/>
              </w:rPr>
              <w:t xml:space="preserve">（</w:t>
            </w:r>
            <w:r>
              <w:rPr>
                <w:color w:val="auto"/>
                <w:sz w:val="22"/>
                <w:szCs w:val="22"/>
                <w:highlight w:val="none"/>
              </w:rPr>
              <w:t xml:space="preserve">锡既建安办</w:t>
            </w:r>
            <w:r>
              <w:rPr>
                <w:rFonts w:hint="eastAsia"/>
                <w:color w:val="auto"/>
                <w:sz w:val="22"/>
                <w:szCs w:val="22"/>
                <w:highlight w:val="none"/>
                <w:lang w:eastAsia="zh-CN"/>
              </w:rPr>
              <w:t xml:space="preserve">〔2021〕3号）</w:t>
            </w:r>
            <w:r>
              <w:rPr>
                <w:color w:val="auto"/>
                <w:sz w:val="22"/>
                <w:szCs w:val="22"/>
                <w:highlight w:val="none"/>
              </w:rPr>
              <w:t xml:space="preserve">等法规和文件规定，查看是否</w:t>
            </w:r>
            <w:r>
              <w:rPr>
                <w:rFonts w:hint="eastAsia"/>
                <w:color w:val="auto"/>
                <w:sz w:val="22"/>
                <w:szCs w:val="22"/>
                <w:highlight w:val="none"/>
                <w:lang w:eastAsia="zh-CN"/>
              </w:rPr>
              <w:t xml:space="preserve">存在</w:t>
            </w:r>
            <w:r>
              <w:rPr>
                <w:color w:val="auto"/>
                <w:sz w:val="22"/>
                <w:szCs w:val="22"/>
                <w:highlight w:val="none"/>
              </w:rPr>
              <w:t xml:space="preserve">违反房屋装修登记制度的情况。</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未落实到位酌情扣1到10分</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各社区、建设科</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747"/>
        </w:trPr>
        <w:tc>
          <w:tcPr>
            <w:gridSpan w:val="3"/>
            <w:tcW w:w="3942" w:type="dxa"/>
            <w:vAlign w:val="center"/>
            <w:textDirection w:val="lrTb"/>
            <w:noWrap w:val="false"/>
          </w:tcPr>
          <w:p>
            <w:pPr>
              <w:jc w:val="left"/>
              <w:spacing w:line="240" w:lineRule="exact"/>
              <w:widowControl/>
              <w:rPr>
                <w:color w:val="auto"/>
                <w:sz w:val="22"/>
                <w:szCs w:val="22"/>
                <w:highlight w:val="none"/>
              </w:rPr>
            </w:pPr>
            <w:r>
              <w:rPr>
                <w:color w:val="auto"/>
                <w:sz w:val="22"/>
                <w:szCs w:val="22"/>
                <w:highlight w:val="none"/>
              </w:rPr>
              <w:t xml:space="preserve">合计：</w:t>
            </w:r>
            <w:r/>
          </w:p>
        </w:tc>
        <w:tc>
          <w:tcPr>
            <w:gridSpan w:val="2"/>
            <w:tcW w:w="3516" w:type="dxa"/>
            <w:vAlign w:val="center"/>
            <w:textDirection w:val="lrTb"/>
            <w:noWrap w:val="false"/>
          </w:tcPr>
          <w:p>
            <w:pPr>
              <w:jc w:val="left"/>
              <w:spacing w:line="240" w:lineRule="exact"/>
              <w:widowControl/>
              <w:rPr>
                <w:color w:val="auto"/>
                <w:sz w:val="22"/>
                <w:szCs w:val="22"/>
                <w:highlight w:val="none"/>
              </w:rPr>
            </w:pPr>
            <w:r>
              <w:rPr>
                <w:rFonts w:hint="eastAsia"/>
                <w:color w:val="auto"/>
                <w:sz w:val="22"/>
                <w:szCs w:val="22"/>
                <w:highlight w:val="none"/>
              </w:rPr>
              <w:t xml:space="preserve">100</w:t>
            </w:r>
            <w:r/>
          </w:p>
        </w:tc>
        <w:tc>
          <w:tcPr>
            <w:tcW w:w="919" w:type="dxa"/>
            <w:vAlign w:val="center"/>
            <w:textDirection w:val="lrTb"/>
            <w:noWrap w:val="false"/>
          </w:tcPr>
          <w:p>
            <w:pPr>
              <w:jc w:val="left"/>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left"/>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left"/>
              <w:spacing w:line="240" w:lineRule="exact"/>
              <w:widowControl/>
              <w:rPr>
                <w:color w:val="auto"/>
                <w:sz w:val="22"/>
                <w:szCs w:val="22"/>
                <w:highlight w:val="none"/>
              </w:rPr>
            </w:pPr>
            <w:r>
              <w:rPr>
                <w:color w:val="auto"/>
                <w:sz w:val="22"/>
                <w:szCs w:val="22"/>
                <w:highlight w:val="none"/>
              </w:rPr>
            </w:r>
            <w:r/>
          </w:p>
        </w:tc>
      </w:tr>
      <w:tr>
        <w:trPr>
          <w:trHeight w:val="1935"/>
        </w:trPr>
        <w:tc>
          <w:tcPr>
            <w:gridSpan w:val="8"/>
            <w:tcW w:w="10215" w:type="dxa"/>
            <w:vAlign w:val="center"/>
            <w:textDirection w:val="lrTb"/>
            <w:noWrap w:val="false"/>
          </w:tcPr>
          <w:p>
            <w:pPr>
              <w:jc w:val="left"/>
              <w:spacing w:line="240" w:lineRule="exact"/>
              <w:widowControl/>
              <w:rPr>
                <w:rFonts w:hint="eastAsia"/>
                <w:color w:val="auto"/>
                <w:sz w:val="22"/>
                <w:szCs w:val="22"/>
                <w:highlight w:val="none"/>
              </w:rPr>
            </w:pPr>
            <w:r>
              <w:rPr>
                <w:color w:val="auto"/>
                <w:sz w:val="22"/>
                <w:szCs w:val="22"/>
                <w:highlight w:val="none"/>
              </w:rPr>
              <w:t xml:space="preserve">考核人员签字：</w:t>
            </w:r>
            <w:r/>
          </w:p>
          <w:p>
            <w:pPr>
              <w:jc w:val="left"/>
              <w:spacing w:line="240" w:lineRule="exact"/>
              <w:widowControl/>
              <w:rPr>
                <w:rFonts w:hint="eastAsia"/>
                <w:color w:val="auto"/>
                <w:sz w:val="22"/>
                <w:szCs w:val="22"/>
                <w:highlight w:val="none"/>
              </w:rPr>
            </w:pPr>
            <w:r>
              <w:rPr>
                <w:rFonts w:hint="eastAsia"/>
                <w:color w:val="auto"/>
                <w:sz w:val="22"/>
                <w:szCs w:val="22"/>
                <w:highlight w:val="none"/>
              </w:rPr>
              <w:t xml:space="preserve">  </w:t>
            </w:r>
            <w:r/>
          </w:p>
          <w:p>
            <w:pPr>
              <w:jc w:val="left"/>
              <w:spacing w:line="240" w:lineRule="exact"/>
              <w:widowControl/>
              <w:rPr>
                <w:rFonts w:hint="eastAsia"/>
                <w:color w:val="auto"/>
                <w:sz w:val="22"/>
                <w:szCs w:val="22"/>
                <w:highlight w:val="none"/>
                <w:u w:val="single"/>
              </w:rPr>
            </w:pPr>
            <w:r>
              <w:rPr>
                <w:rFonts w:hint="eastAsia"/>
                <w:color w:val="auto"/>
                <w:sz w:val="22"/>
                <w:szCs w:val="22"/>
                <w:highlight w:val="none"/>
              </w:rPr>
              <w:t xml:space="preserve">社区：</w:t>
            </w:r>
            <w:r>
              <w:rPr>
                <w:rFonts w:hint="eastAsia"/>
                <w:color w:val="auto"/>
                <w:sz w:val="22"/>
                <w:szCs w:val="22"/>
                <w:highlight w:val="none"/>
                <w:u w:val="single"/>
              </w:rPr>
              <w:t xml:space="preserve">                              </w:t>
            </w:r>
            <w:r>
              <w:rPr>
                <w:rFonts w:hint="eastAsia"/>
                <w:color w:val="auto"/>
                <w:sz w:val="22"/>
                <w:szCs w:val="22"/>
                <w:highlight w:val="none"/>
              </w:rPr>
              <w:t xml:space="preserve">建设科：</w:t>
            </w:r>
            <w:r>
              <w:rPr>
                <w:rFonts w:hint="eastAsia"/>
                <w:color w:val="auto"/>
                <w:sz w:val="22"/>
                <w:szCs w:val="22"/>
                <w:highlight w:val="none"/>
                <w:u w:val="single"/>
              </w:rPr>
              <w:t xml:space="preserve">                    </w:t>
            </w:r>
            <w:r>
              <w:rPr>
                <w:rFonts w:hint="eastAsia"/>
                <w:color w:val="auto"/>
                <w:sz w:val="22"/>
                <w:szCs w:val="22"/>
                <w:highlight w:val="none"/>
              </w:rPr>
              <w:t xml:space="preserve">宣传网络科：</w:t>
            </w:r>
            <w:r>
              <w:rPr>
                <w:rFonts w:hint="eastAsia"/>
                <w:color w:val="auto"/>
                <w:sz w:val="22"/>
                <w:szCs w:val="22"/>
                <w:highlight w:val="none"/>
                <w:u w:val="single"/>
              </w:rPr>
              <w:t xml:space="preserve">                    </w:t>
            </w:r>
            <w:r>
              <w:rPr>
                <w:rFonts w:hint="eastAsia"/>
                <w:color w:val="auto"/>
                <w:sz w:val="22"/>
                <w:szCs w:val="22"/>
                <w:highlight w:val="none"/>
              </w:rPr>
              <w:t xml:space="preserve">派出所：</w:t>
            </w:r>
            <w:r>
              <w:rPr>
                <w:rFonts w:hint="eastAsia"/>
                <w:color w:val="auto"/>
                <w:sz w:val="22"/>
                <w:szCs w:val="22"/>
                <w:highlight w:val="none"/>
                <w:u w:val="single"/>
              </w:rPr>
              <w:t xml:space="preserve">                    </w:t>
            </w:r>
            <w:r/>
          </w:p>
          <w:p>
            <w:pPr>
              <w:jc w:val="left"/>
              <w:spacing w:line="240" w:lineRule="exact"/>
              <w:widowControl/>
              <w:rPr>
                <w:rFonts w:hint="eastAsia"/>
                <w:color w:val="auto"/>
                <w:sz w:val="22"/>
                <w:szCs w:val="22"/>
                <w:highlight w:val="none"/>
                <w:u w:val="single"/>
              </w:rPr>
            </w:pPr>
            <w:r>
              <w:rPr>
                <w:rFonts w:hint="eastAsia"/>
                <w:color w:val="auto"/>
                <w:sz w:val="22"/>
                <w:szCs w:val="22"/>
                <w:highlight w:val="none"/>
                <w:u w:val="single"/>
              </w:rPr>
            </w:r>
            <w:r/>
          </w:p>
          <w:p>
            <w:pPr>
              <w:jc w:val="left"/>
              <w:spacing w:line="240" w:lineRule="exact"/>
              <w:widowControl/>
              <w:rPr>
                <w:rFonts w:hint="eastAsia"/>
                <w:color w:val="auto"/>
                <w:sz w:val="22"/>
                <w:szCs w:val="22"/>
                <w:highlight w:val="none"/>
                <w:u w:val="single"/>
              </w:rPr>
            </w:pPr>
            <w:r>
              <w:rPr>
                <w:rFonts w:hint="eastAsia"/>
                <w:color w:val="auto"/>
                <w:sz w:val="22"/>
                <w:szCs w:val="22"/>
                <w:highlight w:val="none"/>
              </w:rPr>
              <w:t xml:space="preserve">消委办：</w:t>
            </w:r>
            <w:r>
              <w:rPr>
                <w:rFonts w:hint="eastAsia"/>
                <w:color w:val="auto"/>
                <w:sz w:val="22"/>
                <w:szCs w:val="22"/>
                <w:highlight w:val="none"/>
                <w:u w:val="single"/>
              </w:rPr>
              <w:t xml:space="preserve">                     </w:t>
            </w:r>
            <w:r>
              <w:rPr>
                <w:rFonts w:hint="eastAsia"/>
                <w:color w:val="auto"/>
                <w:sz w:val="22"/>
                <w:szCs w:val="22"/>
                <w:highlight w:val="none"/>
              </w:rPr>
              <w:t xml:space="preserve">卫计科：</w:t>
            </w:r>
            <w:r>
              <w:rPr>
                <w:rFonts w:hint="eastAsia"/>
                <w:color w:val="auto"/>
                <w:sz w:val="22"/>
                <w:szCs w:val="22"/>
                <w:highlight w:val="none"/>
                <w:u w:val="single"/>
              </w:rPr>
              <w:t xml:space="preserve">                     </w:t>
            </w:r>
            <w:r>
              <w:rPr>
                <w:rFonts w:hint="eastAsia"/>
                <w:color w:val="auto"/>
                <w:sz w:val="22"/>
                <w:szCs w:val="22"/>
                <w:highlight w:val="none"/>
              </w:rPr>
              <w:t xml:space="preserve">行政执法局一中队：</w:t>
            </w:r>
            <w:r>
              <w:rPr>
                <w:rFonts w:hint="eastAsia"/>
                <w:color w:val="auto"/>
                <w:sz w:val="22"/>
                <w:szCs w:val="22"/>
                <w:highlight w:val="none"/>
                <w:u w:val="single"/>
              </w:rPr>
              <w:t xml:space="preserve">                     </w:t>
            </w:r>
            <w:r>
              <w:rPr>
                <w:rFonts w:hint="eastAsia"/>
                <w:color w:val="auto"/>
                <w:sz w:val="22"/>
                <w:szCs w:val="22"/>
                <w:highlight w:val="none"/>
              </w:rPr>
              <w:t xml:space="preserve">行政执法局综合科：</w:t>
            </w:r>
            <w:r>
              <w:rPr>
                <w:rFonts w:hint="eastAsia"/>
                <w:color w:val="auto"/>
                <w:sz w:val="22"/>
                <w:szCs w:val="22"/>
                <w:highlight w:val="none"/>
                <w:u w:val="single"/>
              </w:rPr>
              <w:t xml:space="preserve">                 </w:t>
            </w:r>
            <w:r/>
          </w:p>
          <w:p>
            <w:pPr>
              <w:jc w:val="left"/>
              <w:spacing w:line="240" w:lineRule="exact"/>
              <w:widowControl/>
              <w:rPr>
                <w:rFonts w:hint="eastAsia"/>
                <w:color w:val="auto"/>
                <w:sz w:val="22"/>
                <w:szCs w:val="22"/>
                <w:highlight w:val="none"/>
                <w:u w:val="single"/>
              </w:rPr>
            </w:pPr>
            <w:r>
              <w:rPr>
                <w:rFonts w:hint="eastAsia"/>
                <w:color w:val="auto"/>
                <w:sz w:val="22"/>
                <w:szCs w:val="22"/>
                <w:highlight w:val="none"/>
                <w:u w:val="single"/>
              </w:rPr>
            </w:r>
            <w:r/>
          </w:p>
          <w:p>
            <w:pPr>
              <w:jc w:val="left"/>
              <w:spacing w:line="240" w:lineRule="exact"/>
              <w:widowControl/>
              <w:rPr>
                <w:rFonts w:hint="eastAsia"/>
                <w:color w:val="auto"/>
                <w:sz w:val="22"/>
                <w:szCs w:val="22"/>
                <w:highlight w:val="none"/>
                <w:u w:val="single"/>
              </w:rPr>
            </w:pPr>
            <w:r>
              <w:rPr>
                <w:rFonts w:hint="eastAsia"/>
                <w:color w:val="auto"/>
                <w:sz w:val="22"/>
                <w:szCs w:val="22"/>
                <w:highlight w:val="none"/>
                <w:u w:val="single"/>
              </w:rPr>
            </w:r>
            <w:r/>
          </w:p>
          <w:p>
            <w:pPr>
              <w:jc w:val="left"/>
              <w:spacing w:line="240" w:lineRule="exact"/>
              <w:widowControl/>
              <w:rPr>
                <w:color w:val="auto"/>
                <w:sz w:val="22"/>
                <w:szCs w:val="22"/>
                <w:highlight w:val="none"/>
              </w:rPr>
            </w:pPr>
            <w:r>
              <w:rPr>
                <w:color w:val="auto"/>
                <w:sz w:val="22"/>
                <w:szCs w:val="22"/>
                <w:highlight w:val="none"/>
              </w:rPr>
            </w:r>
            <w:r/>
          </w:p>
        </w:tc>
      </w:tr>
    </w:tbl>
    <w:p>
      <w:pPr>
        <w:jc w:val="left"/>
        <w:spacing w:after="624" w:line="400" w:lineRule="exact"/>
        <w:widowControl/>
        <w:tabs>
          <w:tab w:val="left" w:pos="6259" w:leader="none"/>
          <w:tab w:val="left" w:pos="8298" w:leader="none"/>
        </w:tabs>
        <w:rPr>
          <w:rFonts w:hint="eastAsia" w:ascii="宋体" w:hAnsi="宋体" w:eastAsia="宋体" w:cs="宋体"/>
          <w:color w:val="auto"/>
          <w:sz w:val="24"/>
          <w:szCs w:val="24"/>
          <w:highlight w:val="none"/>
        </w:rPr>
        <w:sectPr>
          <w:footnotePr/>
          <w:endnotePr/>
          <w:type w:val="nextPage"/>
          <w:pgSz w:w="11906" w:h="16838" w:orient="portrait"/>
          <w:pgMar w:top="1984" w:right="1417" w:bottom="1701" w:left="1417"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both"/>
        <w:spacing w:line="560" w:lineRule="exact"/>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五</w:t>
      </w:r>
      <w:r>
        <w:rPr>
          <w:rFonts w:hint="eastAsia" w:ascii="宋体" w:hAnsi="宋体"/>
          <w:b/>
          <w:bCs/>
          <w:color w:val="auto"/>
          <w:sz w:val="24"/>
          <w:szCs w:val="24"/>
          <w:highlight w:val="none"/>
        </w:rPr>
        <w:t xml:space="preserve">、其他要求</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（1）物业费包含公共水电费。</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（3）投标供应商报价前应到实地</w:t>
      </w:r>
      <w:r>
        <w:rPr>
          <w:rFonts w:hint="eastAsia" w:ascii="宋体" w:hAnsi="宋体"/>
          <w:color w:val="auto"/>
          <w:sz w:val="24"/>
          <w:szCs w:val="24"/>
          <w:highlight w:val="none"/>
          <w:lang w:eastAsia="zh-CN"/>
        </w:rPr>
        <w:t xml:space="preserve">查看</w:t>
      </w:r>
      <w:r>
        <w:rPr>
          <w:rFonts w:hint="eastAsia" w:ascii="宋体" w:hAnsi="宋体"/>
          <w:color w:val="auto"/>
          <w:sz w:val="24"/>
          <w:szCs w:val="24"/>
          <w:highlight w:val="none"/>
        </w:rPr>
        <w:t xml:space="preserve">现场情况，并在报价时应充分考虑服务期内所有可能影响到报价的因素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包括最低工资标准和社保基数的政策性调整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，一旦投标结束最终中标，总价将包定，不予调整。如发生漏、缺、少项，都将被认为是中标供应商的报价让利行为，损失自负。</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（4）中标供应商不得将项目整体转包或非法分包给第三方。</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（5）报价中相关成本费用的测算及标准符合国家、省、市相关最新政策规定。</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（6）员工工资、社保费用、税金、保险法定费用为不可让利部分（不可竞争费用），须按规定计算并报出，投标总报价不可低于上述相关费用合计。</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（7）派驻人员工资待遇需符合国家、省、市相关政策，符合无锡市最低工资标准且必须缴纳个人社保费，且必须签订正式的劳务合同。</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（8）对于与报价相关的采购人的各种免费维保条件，请各投标供应商自行与采购人联系、了解，并考虑在本次报价中，若签订合同后由于该种因素考虑调整合同价格的采购人将不予考虑。</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（9）本次项目物业管理执行《中华人民共和国政府采购法》、国务院《物业管理条例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江苏省物业管理条例》等法律法规，中标供应商要严格履行投标书的承诺和物业管理合同的约定，接受业主管理部门对物业管理日常工作的监督和考核管理，如发现管理达不到约定要求，中标供应商管理服务水平下降、投诉多等现象，或物业管理单</w:t>
      </w:r>
      <w:r>
        <w:rPr>
          <w:rFonts w:hint="eastAsia" w:ascii="宋体" w:hAnsi="宋体"/>
          <w:color w:val="auto"/>
          <w:sz w:val="24"/>
          <w:szCs w:val="24"/>
          <w:highlight w:val="none"/>
          <w:lang w:eastAsia="zh-CN"/>
        </w:rPr>
        <w:t xml:space="preserve">位在</w:t>
      </w:r>
      <w:r>
        <w:rPr>
          <w:rFonts w:hint="eastAsia" w:ascii="宋体" w:hAnsi="宋体"/>
          <w:color w:val="auto"/>
          <w:sz w:val="24"/>
          <w:szCs w:val="24"/>
          <w:highlight w:val="none"/>
        </w:rPr>
        <w:t xml:space="preserve">管理中发生重大管理失误的，将依照法律程序按规定处理。</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（10）投标供应商要根据安置小区特点</w:t>
      </w:r>
      <w:r>
        <w:rPr>
          <w:rFonts w:hint="eastAsia" w:ascii="宋体" w:hAnsi="宋体"/>
          <w:color w:val="auto"/>
          <w:sz w:val="24"/>
          <w:szCs w:val="24"/>
          <w:highlight w:val="none"/>
          <w:lang w:eastAsia="zh-CN"/>
        </w:rPr>
        <w:t xml:space="preserve">，有</w:t>
      </w:r>
      <w:r>
        <w:rPr>
          <w:rFonts w:hint="eastAsia" w:ascii="宋体" w:hAnsi="宋体"/>
          <w:color w:val="auto"/>
          <w:sz w:val="24"/>
          <w:szCs w:val="24"/>
          <w:highlight w:val="none"/>
        </w:rPr>
        <w:t xml:space="preserve">针对性地提出管理理念、方法、措施，要有针对性、可操作性，如违章搭建、房屋渗漏处理、保洁、车库开店、红白喜事搭木圆堂、养宠物、接待和值守、安全防范、便民人性化服务等。</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11）对于电梯、消防、技防监控、泵房、风机、潜水泵、电力设施、智能化道闸系统等特种设施设备，必须由具备国家认可的相应资质证书、营业执照、技术等级的维保单位进行维保，且符合镇相关要求及规定，以上维保单位均由中标供应商或采购人按规范流程选聘，签订的维保合同必须到所属社区和镇物管办备案登记。设备的维保、年检、维修、更换等费用均包含在投标报价中，中标供应商需负责以上系统日常的清洁保养和使用管理，并对专业维保单位的维保服务进行监督考核及协调，并支付相应的维保服务费。已完成专业维保单位选聘的</w:t>
      </w:r>
      <w:r>
        <w:rPr>
          <w:rFonts w:hint="eastAsia" w:ascii="宋体" w:hAnsi="宋体"/>
          <w:color w:val="auto"/>
          <w:sz w:val="24"/>
          <w:szCs w:val="24"/>
          <w:highlight w:val="none"/>
          <w:lang w:eastAsia="zh-CN"/>
        </w:rPr>
        <w:t xml:space="preserve">，在</w:t>
      </w:r>
      <w:r>
        <w:rPr>
          <w:rFonts w:hint="eastAsia" w:ascii="宋体" w:hAnsi="宋体"/>
          <w:color w:val="auto"/>
          <w:sz w:val="24"/>
          <w:szCs w:val="24"/>
          <w:highlight w:val="none"/>
        </w:rPr>
        <w:t xml:space="preserve">中标供应商确定后，由社区将原维保单位及维保管理事项交接给中标供应商，由中标供应商与原维保单位签订维保合同（或补充协议），且不得改变原定维保费用；由中标单位对专业维保单位的维保服务进行监督考核及协调，并支付相应的维保服务费。</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（12）大、中修（即单件</w:t>
      </w:r>
      <w:r>
        <w:rPr>
          <w:rFonts w:hint="eastAsia" w:ascii="宋体" w:hAnsi="宋体"/>
          <w:color w:val="auto"/>
          <w:sz w:val="24"/>
          <w:szCs w:val="24"/>
          <w:highlight w:val="none"/>
        </w:rPr>
        <w:t xml:space="preserve">或单处维修费用≥300元）所产生的费用，原则上由阳山镇政府承担；小修（即单件或单处维修费用＜300元）所产生的费用，由中标供应商承担。质保期内的非维保单位承担的费用由中标供应商承担，质保期外的均由中标供应商承担。对于电梯、消防、技防监控、泵房、风机、潜水泵、电力设施、智能化道闸系统等特种设施设备因保养维护不当造成的维修费用由中标供应商承担，并承担安全责任及相应损失（如有）。如因中标供应商管理不当造成的大金额的维修，视情节状况，由中标供应商承担责任并支付相应维修费用。此外，中标供应商要加强日常的物业服务管理，</w:t>
      </w:r>
      <w:r>
        <w:rPr>
          <w:rFonts w:hint="eastAsia" w:ascii="宋体" w:hAnsi="宋体"/>
          <w:color w:val="auto"/>
          <w:sz w:val="24"/>
          <w:szCs w:val="24"/>
          <w:highlight w:val="none"/>
          <w:lang w:eastAsia="zh-CN"/>
        </w:rPr>
        <w:t xml:space="preserve">涉及</w:t>
      </w:r>
      <w:r>
        <w:rPr>
          <w:rFonts w:hint="eastAsia" w:ascii="宋体" w:hAnsi="宋体"/>
          <w:color w:val="auto"/>
          <w:sz w:val="24"/>
          <w:szCs w:val="24"/>
          <w:highlight w:val="none"/>
        </w:rPr>
        <w:t xml:space="preserve">房屋修理、房屋漏水等（指保修期以外的）大金额的维修，需积极配合采购人做好联系和协调工作，及时进行登记并向镇相关部门反映。维修过程中，中标供应商需积极跟进；维修结束后，中标供应商需及时进行回访。</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（13）中标供应商必须积极参与并配合社区做好社区管理的日常事务，包括但不限于各类文体活动、创建工作和各类矛盾纠纷</w:t>
      </w:r>
      <w:r>
        <w:rPr>
          <w:rFonts w:hint="eastAsia" w:ascii="宋体" w:hAnsi="宋体"/>
          <w:color w:val="auto"/>
          <w:sz w:val="24"/>
          <w:szCs w:val="24"/>
          <w:highlight w:val="none"/>
          <w:lang w:eastAsia="zh-CN"/>
        </w:rPr>
        <w:t xml:space="preserve">调解</w:t>
      </w:r>
      <w:r>
        <w:rPr>
          <w:rFonts w:hint="eastAsia" w:ascii="宋体" w:hAnsi="宋体"/>
          <w:color w:val="auto"/>
          <w:sz w:val="24"/>
          <w:szCs w:val="24"/>
          <w:highlight w:val="none"/>
        </w:rPr>
        <w:t xml:space="preserve">等。</w:t>
      </w:r>
      <w:r/>
    </w:p>
    <w:p>
      <w:pPr>
        <w:ind w:firstLine="480"/>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（14）合同签订前，采购人有权对中标供应商的投标文件中的相关证书、荣誉业绩、社保证明等资料进行检验核对，如提供虚假材料将依法上报行业监管部门，供应商自行承担不利后果。</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  有关说明</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第三部分  政府采购政策</w:t>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（包括但不限于下列具体政策要求）</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3.根据国家扶持中小企业的有关政策，在我中心组织的采购项目中标的供应商，如需要政府采购合同融资，请按锡财购【2022】7号文件执行。</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cs="宋体"/>
          <w:bCs/>
          <w:color w:val="auto"/>
          <w:sz w:val="24"/>
          <w:szCs w:val="24"/>
          <w:highlight w:val="none"/>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
        </w:rPr>
        <w:t xml:space="preserve">中标、成交供应商可以根据自身情况，自行决定是否采用电子履约保函形式，具体操作可登陆江苏政府采购网的保险保函模块进行办理。</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hAnsi="宋体" w:cs="宋体"/>
          <w:bCs/>
          <w:color w:val="auto"/>
          <w:sz w:val="24"/>
          <w:szCs w:val="24"/>
          <w:highlight w:val="none"/>
        </w:rPr>
        <w:t xml:space="preserve">履约验收管理时，可对所提供的七种软硬件进行验收，必要时可以委托依法取得检测、认证资质的机构进行检测、认证。</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政府采购合同的双方当事人不得擅自变更合同，依照政府采购法确需变更政府采购合同内容的，采购人应当自合同变更之日起</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2个工作日内在省级以上财政部门指定的媒体上发布政府采购合同变更公告，但涉及国家秘密、商业秘密的信息和其他依法不得公开的信息除外。</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043"/>
        <w:ind w:firstLine="640"/>
        <w:jc w:val="center"/>
        <w:spacing w:line="440" w:lineRule="exact"/>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ind w:firstLine="602"/>
        <w:jc w:val="center"/>
        <w:spacing w:line="440" w:lineRule="exact"/>
        <w:rPr>
          <w:rFonts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167"/>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167"/>
        <w:spacing w:line="44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1167"/>
        <w:spacing w:line="440" w:lineRule="exact"/>
        <w:rPr>
          <w:rFonts w:hAnsi="宋体"/>
          <w:color w:val="auto"/>
          <w:sz w:val="24"/>
          <w:szCs w:val="24"/>
          <w:highlight w:val="none"/>
        </w:rPr>
      </w:pPr>
      <w:r>
        <w:rPr>
          <w:rFonts w:hAnsi="宋体"/>
          <w:color w:val="auto"/>
          <w:sz w:val="24"/>
          <w:szCs w:val="24"/>
          <w:highlight w:val="none"/>
        </w:rPr>
        <w:t xml:space="preserve">乙方：（卖方、供方、供应商）_________</w:t>
      </w:r>
      <w:r/>
    </w:p>
    <w:p>
      <w:pPr>
        <w:pStyle w:val="1167"/>
        <w:ind w:firstLine="482"/>
        <w:spacing w:line="440" w:lineRule="exact"/>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物业管理服务所必需的水、电供应</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（一）在承接物业时，对物业工程技术档案资料、共用部位、设施设备等进行查验，并做好书面确认工作；对所有图、档、卡、册等资料应做好建档工作。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（六）除上述各款外，其他不可归责于乙方之事由的。</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 xml:space="preserve">或依照法律程序解除部分或全部合同。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二、甲方未按合同约定向乙方支付款项的，每逾期1天甲方向乙方就应付未付款项的0.5‰违约金，但累计违约金总额不超过欠款总额的5%。</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pStyle w:val="818"/>
        <w:ind w:firstLine="482"/>
        <w:spacing w:line="44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五、本合同终止时，乙方应移交管理权，撤出本项目，协助甲方做好服务的交接和善后工作，移交或配合甲方移交管理用房和管理的全部档案资料等。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440" w:lineRule="exact"/>
        <w:tabs>
          <w:tab w:val="left" w:pos="525"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账号：                               账号： </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86"/>
        <w:ind w:firstLine="640"/>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16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168"/>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168"/>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168"/>
        <w:spacing w:before="0" w:after="0" w:line="500" w:lineRule="exact"/>
        <w:rPr>
          <w:rStyle w:val="1163"/>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168"/>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16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168"/>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68"/>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2"/>
        <w:spacing w:line="360" w:lineRule="auto"/>
        <w:tabs>
          <w:tab w:val="left" w:pos="1050" w:leader="none"/>
        </w:tabs>
        <w:rPr>
          <w:rFonts w:hint="eastAsia" w:ascii="宋体" w:hAnsi="宋体" w:cs="宋体"/>
          <w:b/>
          <w:bCs/>
          <w:color w:val="auto"/>
          <w:sz w:val="24"/>
          <w:szCs w:val="24"/>
          <w:highlight w:val="none"/>
        </w:rPr>
      </w:pPr>
      <w:r/>
      <w:bookmarkStart w:id="128" w:name="_Toc27155"/>
      <w:r>
        <w:rPr>
          <w:rFonts w:hint="eastAsia" w:ascii="宋体" w:hAnsi="宋体" w:cs="宋体"/>
          <w:b/>
          <w:bCs/>
          <w:color w:val="auto"/>
          <w:sz w:val="24"/>
          <w:szCs w:val="24"/>
          <w:highlight w:val="none"/>
        </w:rPr>
        <w:t xml:space="preserve">1.价格（25分）</w:t>
      </w:r>
      <w:r/>
    </w:p>
    <w:p>
      <w:pPr>
        <w:ind w:firstLine="480"/>
        <w:spacing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×价格权值×100。</w:t>
      </w:r>
      <w:r/>
    </w:p>
    <w:p>
      <w:pPr>
        <w:ind w:firstLine="480"/>
        <w:spacing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关于价格扣除详见本章第二部分“一、落实政府采购政策的价格调整”。</w:t>
      </w:r>
      <w:r/>
    </w:p>
    <w:p>
      <w:pPr>
        <w:numPr>
          <w:ilvl w:val="0"/>
          <w:numId w:val="4"/>
        </w:numPr>
        <w:ind w:firstLine="482"/>
        <w:spacing w:line="360" w:lineRule="auto"/>
        <w:tabs>
          <w:tab w:val="left" w:pos="10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商务部分（</w:t>
      </w:r>
      <w:r>
        <w:rPr>
          <w:rFonts w:hint="eastAsia" w:ascii="宋体" w:hAnsi="宋体" w:cs="宋体"/>
          <w:b/>
          <w:bCs/>
          <w:color w:val="auto"/>
          <w:sz w:val="24"/>
          <w:szCs w:val="24"/>
          <w:highlight w:val="none"/>
          <w:lang w:val="en-US" w:eastAsia="zh-CN"/>
        </w:rPr>
        <w:t xml:space="preserve">25</w:t>
      </w:r>
      <w:r>
        <w:rPr>
          <w:rFonts w:hint="eastAsia" w:ascii="宋体" w:hAnsi="宋体" w:cs="宋体"/>
          <w:b/>
          <w:bCs/>
          <w:color w:val="auto"/>
          <w:sz w:val="24"/>
          <w:szCs w:val="24"/>
          <w:highlight w:val="none"/>
        </w:rPr>
        <w:t xml:space="preserve">分）</w:t>
      </w:r>
      <w:r/>
    </w:p>
    <w:p>
      <w:pPr>
        <w:ind w:firstLine="482"/>
        <w:spacing w:line="360" w:lineRule="auto"/>
        <w:tabs>
          <w:tab w:val="left" w:pos="10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（1）企业评价（</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分）</w:t>
      </w:r>
      <w:r/>
    </w:p>
    <w:p>
      <w:pPr>
        <w:ind w:firstLine="480"/>
        <w:spacing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①业绩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投标供应商自202</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月1日（含）以来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以合同签订日期为准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承担过类似项目的，每提供一个得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（投标文件中提供合同（首页、盖章页及关键页并标注出能判定同类业绩）扫描件，并加盖公章或签电子公章，不提供或提供不符合要求的不得分）</w:t>
      </w:r>
      <w:r/>
    </w:p>
    <w:p>
      <w:pPr>
        <w:ind w:firstLine="480"/>
        <w:spacing w:line="360" w:lineRule="auto"/>
        <w:tabs>
          <w:tab w:val="left" w:pos="1050" w:leader="none"/>
        </w:tabs>
        <w:rPr>
          <w:rFonts w:hint="eastAsia" w:ascii="宋体" w:hAnsi="宋体" w:eastAsia="宋体" w:cs="宋体"/>
          <w:b/>
          <w:bCs w:val="0"/>
          <w:color w:val="auto"/>
          <w:sz w:val="24"/>
          <w:szCs w:val="24"/>
          <w:highlight w:val="none"/>
          <w:lang w:eastAsia="zh-CN"/>
        </w:rPr>
      </w:pPr>
      <w:r>
        <w:rPr>
          <w:rFonts w:hint="eastAsia" w:ascii="宋体" w:hAnsi="宋体" w:cs="宋体"/>
          <w:color w:val="auto"/>
          <w:sz w:val="24"/>
          <w:szCs w:val="24"/>
          <w:highlight w:val="none"/>
        </w:rPr>
        <w:t xml:space="preserve">②体系认证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投标供应商具备有效期内的</w:t>
      </w:r>
      <w:r>
        <w:rPr>
          <w:bCs/>
          <w:color w:val="auto"/>
          <w:sz w:val="24"/>
          <w:szCs w:val="24"/>
          <w:highlight w:val="none"/>
        </w:rPr>
        <w:t xml:space="preserve">经中国国家认证认可监督管理委员会认证机构颁发</w:t>
      </w:r>
      <w:r>
        <w:rPr>
          <w:rFonts w:hint="eastAsia"/>
          <w:bCs/>
          <w:color w:val="auto"/>
          <w:sz w:val="24"/>
          <w:szCs w:val="24"/>
          <w:highlight w:val="none"/>
          <w:lang w:val="en-US" w:eastAsia="zh-CN"/>
        </w:rPr>
        <w:t xml:space="preserve">的</w:t>
      </w:r>
      <w:r>
        <w:rPr>
          <w:rFonts w:hint="eastAsia" w:ascii="宋体" w:hAnsi="宋体" w:cs="宋体"/>
          <w:color w:val="auto"/>
          <w:sz w:val="24"/>
          <w:szCs w:val="24"/>
          <w:highlight w:val="none"/>
        </w:rPr>
        <w:t xml:space="preserve">质量管理体系认证证书、环境管理体系认证证书、职业健康安全管理体系认证证书的，每提供一项得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投标文件中提供证书原件扫描件及证书在国家认监委官方网站http://www.cnca.gov.cn/查验截图并加盖公章或签电子公章，不提供或提供不符合要求的不得分</w:t>
      </w:r>
      <w:r>
        <w:rPr>
          <w:rFonts w:hint="eastAsia" w:ascii="宋体" w:hAnsi="宋体" w:eastAsia="宋体" w:cs="宋体"/>
          <w:b/>
          <w:bCs w:val="0"/>
          <w:color w:val="auto"/>
          <w:sz w:val="24"/>
          <w:szCs w:val="24"/>
          <w:highlight w:val="none"/>
          <w:lang w:eastAsia="zh-CN"/>
        </w:rPr>
        <w:t xml:space="preserve">）</w:t>
      </w:r>
      <w:r/>
    </w:p>
    <w:p>
      <w:pPr>
        <w:ind w:firstLine="480"/>
        <w:spacing w:line="360" w:lineRule="auto"/>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eastAsia="zh-CN"/>
        </w:rPr>
        <w:t xml:space="preserve">信息化管理（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分）：投标人使用物业管理信息化系统软件管理方式的得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投标文件中需提供所用物业管理信息化系统软件的采购合同及发票原件扫描件并签电子公章，如是自主开发的软件则需提供软件著作权登记证书原件扫描件并签电子公章，未提供相关资料或资料不全不得分）。</w:t>
      </w:r>
      <w:r/>
    </w:p>
    <w:p>
      <w:pPr>
        <w:ind w:firstLine="482"/>
        <w:spacing w:line="360" w:lineRule="auto"/>
        <w:tabs>
          <w:tab w:val="left" w:pos="10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（2）人员配置</w:t>
      </w:r>
      <w:r>
        <w:rPr>
          <w:rFonts w:hint="eastAsia" w:ascii="宋体" w:hAnsi="宋体" w:cs="宋体"/>
          <w:b/>
          <w:bCs/>
          <w:color w:val="auto"/>
          <w:sz w:val="24"/>
          <w:szCs w:val="24"/>
          <w:highlight w:val="none"/>
          <w:lang w:val="en-US" w:eastAsia="zh-CN"/>
        </w:rPr>
        <w:t xml:space="preserve">情况</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18</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在满足招标文件中“服务人员配备最低要求”的基础上</w:t>
      </w:r>
      <w:r>
        <w:rPr>
          <w:rFonts w:hint="eastAsia" w:ascii="宋体" w:hAnsi="宋体" w:eastAsia="宋体" w:cs="宋体"/>
          <w:color w:val="auto"/>
          <w:sz w:val="24"/>
          <w:szCs w:val="24"/>
          <w:highlight w:val="none"/>
          <w:lang w:eastAsia="zh-CN"/>
        </w:rPr>
        <w:t xml:space="preserve">。</w:t>
      </w:r>
      <w:r/>
    </w:p>
    <w:p>
      <w:pPr>
        <w:ind w:firstLine="482"/>
        <w:spacing w:line="360" w:lineRule="auto"/>
        <w:tabs>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w:t>
      </w:r>
      <w:r>
        <w:rPr>
          <w:rFonts w:hint="eastAsia" w:ascii="宋体" w:hAnsi="宋体" w:cs="宋体"/>
          <w:b/>
          <w:bCs/>
          <w:color w:val="auto"/>
          <w:sz w:val="24"/>
          <w:szCs w:val="24"/>
          <w:highlight w:val="none"/>
          <w:lang w:val="en-US" w:eastAsia="zh-CN"/>
        </w:rPr>
        <w:t xml:space="preserve">负责人（4</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pStyle w:val="837"/>
        <w:ind w:left="0"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①具有本科（含）或以上学历的得</w:t>
      </w:r>
      <w:r>
        <w:rPr>
          <w:rFonts w:hint="eastAsia" w:ascii="宋体" w:hAnsi="宋体" w:eastAsia="宋体" w:cs="宋体"/>
          <w:bCs/>
          <w:color w:val="auto"/>
          <w:sz w:val="24"/>
          <w:highlight w:val="none"/>
          <w:lang w:val="en-US" w:eastAsia="zh-CN"/>
        </w:rPr>
        <w:t xml:space="preserve">0.5</w:t>
      </w:r>
      <w:r>
        <w:rPr>
          <w:rFonts w:hint="eastAsia" w:ascii="宋体" w:hAnsi="宋体" w:eastAsia="宋体" w:cs="宋体"/>
          <w:bCs/>
          <w:color w:val="auto"/>
          <w:sz w:val="24"/>
          <w:highlight w:val="none"/>
        </w:rPr>
        <w:t xml:space="preserve">分；</w:t>
      </w:r>
      <w:r/>
    </w:p>
    <w:p>
      <w:pPr>
        <w:pStyle w:val="837"/>
        <w:ind w:left="0"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②具有</w:t>
      </w:r>
      <w:r>
        <w:rPr>
          <w:rFonts w:hint="eastAsia" w:ascii="宋体" w:hAnsi="宋体" w:eastAsia="宋体" w:cs="宋体"/>
          <w:bCs/>
          <w:color w:val="auto"/>
          <w:sz w:val="24"/>
          <w:highlight w:val="none"/>
          <w:lang w:val="en-US" w:eastAsia="zh-CN"/>
        </w:rPr>
        <w:t xml:space="preserve">行政主管部门颁发的人力资源管理类</w:t>
      </w:r>
      <w:r>
        <w:rPr>
          <w:rFonts w:hint="eastAsia" w:ascii="宋体" w:hAnsi="宋体" w:eastAsia="宋体" w:cs="宋体"/>
          <w:bCs/>
          <w:color w:val="auto"/>
          <w:sz w:val="24"/>
          <w:highlight w:val="none"/>
        </w:rPr>
        <w:t xml:space="preserve">中级或以上职称证书得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p>
    <w:p>
      <w:pPr>
        <w:pStyle w:val="837"/>
        <w:ind w:left="0" w:firstLine="480"/>
        <w:spacing w:line="360" w:lineRule="auto"/>
        <w:rPr>
          <w:rFonts w:hint="eastAsia" w:ascii="宋体" w:hAnsi="宋体" w:eastAsia="宋体" w:cs="宋体"/>
          <w:bCs/>
          <w:color w:val="auto"/>
          <w:sz w:val="24"/>
          <w:highlight w:val="none"/>
        </w:rPr>
      </w:pPr>
      <w:r>
        <w:rPr>
          <w:rStyle w:val="1157"/>
          <w:rFonts w:hint="eastAsia" w:ascii="宋体" w:hAnsi="宋体" w:eastAsia="宋体" w:cs="宋体"/>
          <w:color w:val="auto"/>
          <w:sz w:val="24"/>
          <w:szCs w:val="24"/>
          <w:highlight w:val="none"/>
          <w:lang w:bidi="ar"/>
        </w:rPr>
        <w:t xml:space="preserve">③具有五级或以上应急管理部紧急救援促进中心颁发的应急救援员职业资格证书得</w:t>
      </w:r>
      <w:r>
        <w:rPr>
          <w:rFonts w:hint="eastAsia" w:ascii="宋体" w:hAnsi="宋体" w:eastAsia="宋体" w:cs="宋体"/>
          <w:bCs/>
          <w:color w:val="auto"/>
          <w:sz w:val="24"/>
          <w:highlight w:val="none"/>
          <w:lang w:val="en-US" w:eastAsia="zh-CN"/>
        </w:rPr>
        <w:t xml:space="preserve">1</w:t>
      </w:r>
      <w:r>
        <w:rPr>
          <w:rStyle w:val="1157"/>
          <w:rFonts w:hint="eastAsia" w:ascii="宋体" w:hAnsi="宋体" w:eastAsia="宋体" w:cs="宋体"/>
          <w:color w:val="auto"/>
          <w:sz w:val="24"/>
          <w:szCs w:val="24"/>
          <w:highlight w:val="none"/>
          <w:lang w:bidi="ar"/>
        </w:rPr>
        <w:t xml:space="preserve">分</w:t>
      </w:r>
      <w:r>
        <w:rPr>
          <w:rFonts w:hint="eastAsia" w:ascii="宋体" w:hAnsi="宋体" w:eastAsia="宋体" w:cs="宋体"/>
          <w:bCs/>
          <w:color w:val="auto"/>
          <w:sz w:val="24"/>
          <w:highlight w:val="none"/>
        </w:rPr>
        <w:t xml:space="preserve">；</w:t>
      </w:r>
      <w:r/>
    </w:p>
    <w:p>
      <w:pPr>
        <w:pStyle w:val="837"/>
        <w:ind w:left="0"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④具有二级或以上企业人力资源管理师职业资格或职业技能的得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p>
    <w:p>
      <w:pPr>
        <w:ind w:firstLine="480"/>
        <w:spacing w:line="360" w:lineRule="auto"/>
        <w:tabs>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⑤具有保安员证的得</w:t>
      </w:r>
      <w:r>
        <w:rPr>
          <w:rFonts w:hint="eastAsia" w:ascii="宋体" w:hAnsi="宋体" w:eastAsia="宋体" w:cs="宋体"/>
          <w:bCs/>
          <w:color w:val="auto"/>
          <w:sz w:val="24"/>
          <w:highlight w:val="none"/>
          <w:lang w:val="en-US" w:eastAsia="zh-CN"/>
        </w:rPr>
        <w:t xml:space="preserve">0.5</w:t>
      </w:r>
      <w:r>
        <w:rPr>
          <w:rFonts w:hint="eastAsia" w:ascii="宋体" w:hAnsi="宋体" w:eastAsia="宋体" w:cs="宋体"/>
          <w:bCs/>
          <w:color w:val="auto"/>
          <w:sz w:val="24"/>
          <w:highlight w:val="none"/>
        </w:rPr>
        <w:t xml:space="preserve">分。</w:t>
      </w:r>
      <w:r/>
    </w:p>
    <w:p>
      <w:pPr>
        <w:ind w:firstLine="482"/>
        <w:spacing w:line="360" w:lineRule="auto"/>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color w:val="auto"/>
          <w:sz w:val="24"/>
          <w:highlight w:val="none"/>
        </w:rPr>
        <w:t xml:space="preserve">投标人提供为其缴纳的</w:t>
      </w:r>
      <w:r>
        <w:rPr>
          <w:rFonts w:hint="eastAsia" w:ascii="宋体" w:hAnsi="宋体" w:eastAsia="宋体" w:cs="宋体"/>
          <w:b/>
          <w:color w:val="auto"/>
          <w:sz w:val="24"/>
          <w:szCs w:val="24"/>
          <w:highlight w:val="none"/>
        </w:rPr>
        <w:t xml:space="preserve">近3个月</w:t>
      </w:r>
      <w:r>
        <w:rPr>
          <w:rFonts w:hint="eastAsia" w:ascii="宋体" w:hAnsi="宋体" w:eastAsia="宋体" w:cs="宋体"/>
          <w:b/>
          <w:color w:val="auto"/>
          <w:sz w:val="24"/>
          <w:szCs w:val="24"/>
          <w:highlight w:val="none"/>
          <w:lang w:val="en-US" w:eastAsia="zh-CN"/>
        </w:rPr>
        <w:t xml:space="preserve">中任意一个月</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szCs w:val="24"/>
          <w:highlight w:val="none"/>
        </w:rPr>
        <w:t xml:space="preserve">不含投标当月</w:t>
      </w:r>
      <w:r>
        <w:rPr>
          <w:rFonts w:hint="eastAsia" w:ascii="宋体" w:hAnsi="宋体" w:eastAsia="宋体" w:cs="宋体"/>
          <w:b/>
          <w:color w:val="auto"/>
          <w:sz w:val="24"/>
          <w:highlight w:val="none"/>
        </w:rPr>
        <w:t xml:space="preserve">）的社保缴费证明扫描件、身份证扫描件、学历证书扫描件、有效证书</w:t>
      </w:r>
      <w:r>
        <w:rPr>
          <w:rFonts w:hint="eastAsia" w:ascii="宋体" w:hAnsi="宋体" w:eastAsia="宋体" w:cs="宋体"/>
          <w:b/>
          <w:color w:val="auto"/>
          <w:sz w:val="24"/>
          <w:highlight w:val="none"/>
          <w:lang w:val="en-US" w:eastAsia="zh-CN"/>
        </w:rPr>
        <w:t xml:space="preserve">原件</w:t>
      </w:r>
      <w:r>
        <w:rPr>
          <w:rFonts w:hint="eastAsia" w:ascii="宋体" w:hAnsi="宋体" w:eastAsia="宋体" w:cs="宋体"/>
          <w:b/>
          <w:color w:val="auto"/>
          <w:sz w:val="24"/>
          <w:highlight w:val="none"/>
        </w:rPr>
        <w:t xml:space="preserve">扫描件</w:t>
      </w:r>
      <w:r>
        <w:rPr>
          <w:rFonts w:hint="eastAsia" w:ascii="宋体" w:hAnsi="宋体" w:eastAsia="宋体" w:cs="宋体"/>
          <w:b/>
          <w:color w:val="auto"/>
          <w:sz w:val="24"/>
          <w:highlight w:val="none"/>
          <w:lang w:val="en-US" w:eastAsia="zh-CN"/>
        </w:rPr>
        <w:t xml:space="preserve">并签章</w:t>
      </w:r>
      <w:r>
        <w:rPr>
          <w:rFonts w:hint="eastAsia" w:ascii="宋体" w:hAnsi="宋体" w:eastAsia="宋体" w:cs="宋体"/>
          <w:b/>
          <w:color w:val="auto"/>
          <w:sz w:val="24"/>
          <w:highlight w:val="none"/>
        </w:rPr>
        <w:t xml:space="preserve">，不提供不得分</w:t>
      </w:r>
      <w:r>
        <w:rPr>
          <w:rFonts w:hint="eastAsia" w:ascii="宋体" w:hAnsi="宋体" w:eastAsia="宋体" w:cs="宋体"/>
          <w:b/>
          <w:bCs w:val="0"/>
          <w:color w:val="auto"/>
          <w:sz w:val="24"/>
          <w:szCs w:val="24"/>
          <w:highlight w:val="none"/>
          <w:lang w:eastAsia="zh-CN"/>
        </w:rPr>
        <w:t xml:space="preserve">）</w:t>
      </w:r>
      <w:r/>
    </w:p>
    <w:p>
      <w:pPr>
        <w:ind w:firstLine="482"/>
        <w:spacing w:line="360" w:lineRule="auto"/>
        <w:tabs>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color w:val="auto"/>
          <w:sz w:val="24"/>
          <w:highlight w:val="none"/>
        </w:rPr>
        <w:t xml:space="preserve">保安负责人（队长）（</w:t>
      </w: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分）</w:t>
      </w:r>
      <w:r/>
    </w:p>
    <w:p>
      <w:pPr>
        <w:ind w:firstLine="480"/>
        <w:spacing w:line="360" w:lineRule="auto"/>
        <w:rPr>
          <w:rStyle w:val="1157"/>
          <w:rFonts w:hint="eastAsia" w:ascii="宋体" w:hAnsi="宋体" w:eastAsia="宋体" w:cs="宋体"/>
          <w:color w:val="auto"/>
          <w:sz w:val="24"/>
          <w:szCs w:val="24"/>
          <w:highlight w:val="none"/>
          <w:lang w:bidi="ar"/>
        </w:rPr>
      </w:pPr>
      <w:r>
        <w:rPr>
          <w:rStyle w:val="1157"/>
          <w:rFonts w:hint="eastAsia" w:ascii="宋体" w:hAnsi="宋体" w:eastAsia="宋体" w:cs="宋体"/>
          <w:color w:val="auto"/>
          <w:sz w:val="24"/>
          <w:szCs w:val="24"/>
          <w:highlight w:val="none"/>
          <w:lang w:bidi="ar"/>
        </w:rPr>
        <w:t xml:space="preserve">①具有大专（含）或以上学历的得</w:t>
      </w:r>
      <w:r>
        <w:rPr>
          <w:rStyle w:val="1157"/>
          <w:rFonts w:hint="eastAsia" w:ascii="宋体" w:hAnsi="宋体" w:eastAsia="宋体" w:cs="宋体"/>
          <w:color w:val="auto"/>
          <w:sz w:val="24"/>
          <w:szCs w:val="24"/>
          <w:highlight w:val="none"/>
          <w:lang w:val="en-US" w:eastAsia="zh-CN" w:bidi="ar"/>
        </w:rPr>
        <w:t xml:space="preserve">0.5</w:t>
      </w:r>
      <w:r>
        <w:rPr>
          <w:rStyle w:val="1157"/>
          <w:rFonts w:hint="eastAsia" w:ascii="宋体" w:hAnsi="宋体" w:eastAsia="宋体" w:cs="宋体"/>
          <w:color w:val="auto"/>
          <w:sz w:val="24"/>
          <w:szCs w:val="24"/>
          <w:highlight w:val="none"/>
          <w:lang w:bidi="ar"/>
        </w:rPr>
        <w:t xml:space="preserve">分；</w:t>
      </w:r>
      <w:r/>
    </w:p>
    <w:p>
      <w:pPr>
        <w:ind w:firstLine="480"/>
        <w:spacing w:line="360" w:lineRule="auto"/>
        <w:rPr>
          <w:rStyle w:val="1157"/>
          <w:rFonts w:hint="eastAsia" w:ascii="宋体" w:hAnsi="宋体" w:eastAsia="宋体" w:cs="宋体"/>
          <w:color w:val="auto"/>
          <w:sz w:val="24"/>
          <w:szCs w:val="24"/>
          <w:highlight w:val="none"/>
          <w:lang w:bidi="ar"/>
        </w:rPr>
      </w:pPr>
      <w:r>
        <w:rPr>
          <w:rStyle w:val="1157"/>
          <w:rFonts w:hint="eastAsia" w:ascii="宋体" w:hAnsi="宋体" w:eastAsia="宋体" w:cs="宋体"/>
          <w:color w:val="auto"/>
          <w:sz w:val="24"/>
          <w:szCs w:val="24"/>
          <w:highlight w:val="none"/>
          <w:lang w:bidi="ar"/>
        </w:rPr>
        <w:t xml:space="preserve">②具备行政主管部门颁发的四级（中级）及以上建（构）筑物消防员证或消防设施操作员四级（中级）及以上证书的得</w:t>
      </w:r>
      <w:r>
        <w:rPr>
          <w:rStyle w:val="1157"/>
          <w:rFonts w:hint="eastAsia" w:ascii="宋体" w:hAnsi="宋体" w:eastAsia="宋体" w:cs="宋体"/>
          <w:color w:val="auto"/>
          <w:sz w:val="24"/>
          <w:szCs w:val="24"/>
          <w:highlight w:val="none"/>
          <w:lang w:val="en-US" w:eastAsia="zh-CN" w:bidi="ar"/>
        </w:rPr>
        <w:t xml:space="preserve">0.5</w:t>
      </w:r>
      <w:r>
        <w:rPr>
          <w:rStyle w:val="1157"/>
          <w:rFonts w:hint="eastAsia" w:ascii="宋体" w:hAnsi="宋体" w:eastAsia="宋体" w:cs="宋体"/>
          <w:color w:val="auto"/>
          <w:sz w:val="24"/>
          <w:szCs w:val="24"/>
          <w:highlight w:val="none"/>
          <w:lang w:bidi="ar"/>
        </w:rPr>
        <w:t xml:space="preserve">分；</w:t>
      </w:r>
      <w:r/>
    </w:p>
    <w:p>
      <w:pPr>
        <w:ind w:firstLine="480"/>
        <w:spacing w:line="360" w:lineRule="auto"/>
        <w:rPr>
          <w:rStyle w:val="1157"/>
          <w:rFonts w:hint="eastAsia" w:ascii="宋体" w:hAnsi="宋体" w:eastAsia="宋体" w:cs="宋体"/>
          <w:color w:val="auto"/>
          <w:sz w:val="24"/>
          <w:szCs w:val="24"/>
          <w:highlight w:val="none"/>
          <w:lang w:bidi="ar"/>
        </w:rPr>
      </w:pPr>
      <w:r>
        <w:rPr>
          <w:rStyle w:val="1157"/>
          <w:rFonts w:hint="eastAsia" w:ascii="宋体" w:hAnsi="宋体" w:eastAsia="宋体" w:cs="宋体"/>
          <w:color w:val="auto"/>
          <w:sz w:val="24"/>
          <w:szCs w:val="24"/>
          <w:highlight w:val="none"/>
          <w:lang w:bidi="ar"/>
        </w:rPr>
        <w:t xml:space="preserve">③具有五级或以上应急管理部紧急救援促进中心颁发的应急救援员职业资格证书得</w:t>
      </w:r>
      <w:r>
        <w:rPr>
          <w:rStyle w:val="1157"/>
          <w:rFonts w:hint="eastAsia" w:ascii="宋体" w:hAnsi="宋体" w:eastAsia="宋体" w:cs="宋体"/>
          <w:color w:val="auto"/>
          <w:sz w:val="24"/>
          <w:szCs w:val="24"/>
          <w:highlight w:val="none"/>
          <w:lang w:val="en-US" w:eastAsia="zh-CN" w:bidi="ar"/>
        </w:rPr>
        <w:t xml:space="preserve">1</w:t>
      </w:r>
      <w:r>
        <w:rPr>
          <w:rStyle w:val="1157"/>
          <w:rFonts w:hint="eastAsia" w:ascii="宋体" w:hAnsi="宋体" w:eastAsia="宋体" w:cs="宋体"/>
          <w:color w:val="auto"/>
          <w:sz w:val="24"/>
          <w:szCs w:val="24"/>
          <w:highlight w:val="none"/>
          <w:lang w:bidi="ar"/>
        </w:rPr>
        <w:t xml:space="preserve">分；</w:t>
      </w:r>
      <w:r/>
    </w:p>
    <w:p>
      <w:pPr>
        <w:ind w:firstLine="480"/>
        <w:spacing w:line="360" w:lineRule="auto"/>
        <w:rPr>
          <w:rStyle w:val="1157"/>
          <w:rFonts w:hint="eastAsia" w:ascii="宋体" w:hAnsi="宋体" w:eastAsia="宋体" w:cs="宋体"/>
          <w:color w:val="auto"/>
          <w:sz w:val="24"/>
          <w:szCs w:val="24"/>
          <w:highlight w:val="none"/>
          <w:lang w:bidi="ar"/>
        </w:rPr>
      </w:pPr>
      <w:r>
        <w:rPr>
          <w:rStyle w:val="1157"/>
          <w:rFonts w:hint="eastAsia" w:ascii="宋体" w:hAnsi="宋体" w:eastAsia="宋体" w:cs="宋体"/>
          <w:color w:val="auto"/>
          <w:sz w:val="24"/>
          <w:szCs w:val="24"/>
          <w:highlight w:val="none"/>
          <w:lang w:bidi="ar"/>
        </w:rPr>
        <w:t xml:space="preserve">④具有保安员证的得</w:t>
      </w:r>
      <w:r>
        <w:rPr>
          <w:rStyle w:val="1157"/>
          <w:rFonts w:hint="eastAsia" w:ascii="宋体" w:hAnsi="宋体" w:eastAsia="宋体" w:cs="宋体"/>
          <w:color w:val="auto"/>
          <w:sz w:val="24"/>
          <w:szCs w:val="24"/>
          <w:highlight w:val="none"/>
          <w:lang w:val="en-US" w:eastAsia="zh-CN" w:bidi="ar"/>
        </w:rPr>
        <w:t xml:space="preserve">0.5</w:t>
      </w:r>
      <w:r>
        <w:rPr>
          <w:rStyle w:val="1157"/>
          <w:rFonts w:hint="eastAsia" w:ascii="宋体" w:hAnsi="宋体" w:eastAsia="宋体" w:cs="宋体"/>
          <w:color w:val="auto"/>
          <w:sz w:val="24"/>
          <w:szCs w:val="24"/>
          <w:highlight w:val="none"/>
          <w:lang w:bidi="ar"/>
        </w:rPr>
        <w:t xml:space="preserve">分；</w:t>
      </w:r>
      <w:r/>
    </w:p>
    <w:p>
      <w:pPr>
        <w:ind w:firstLine="480"/>
        <w:spacing w:line="360" w:lineRule="auto"/>
        <w:rPr>
          <w:rStyle w:val="1157"/>
          <w:rFonts w:hint="eastAsia" w:ascii="宋体" w:hAnsi="宋体" w:eastAsia="宋体" w:cs="宋体"/>
          <w:color w:val="auto"/>
          <w:sz w:val="24"/>
          <w:szCs w:val="24"/>
          <w:highlight w:val="none"/>
          <w:lang w:bidi="ar"/>
        </w:rPr>
      </w:pPr>
      <w:r>
        <w:rPr>
          <w:rStyle w:val="1157"/>
          <w:rFonts w:hint="eastAsia" w:ascii="宋体" w:hAnsi="宋体" w:eastAsia="宋体" w:cs="宋体"/>
          <w:color w:val="auto"/>
          <w:sz w:val="24"/>
          <w:szCs w:val="24"/>
          <w:highlight w:val="none"/>
          <w:lang w:bidi="ar"/>
        </w:rPr>
        <w:t xml:space="preserve">⑤具有</w:t>
      </w:r>
      <w:r>
        <w:rPr>
          <w:rFonts w:hint="eastAsia" w:ascii="宋体" w:hAnsi="宋体" w:eastAsia="宋体" w:cs="宋体"/>
          <w:bCs/>
          <w:color w:val="auto"/>
          <w:sz w:val="24"/>
          <w:highlight w:val="none"/>
          <w:lang w:val="en-US" w:eastAsia="zh-CN"/>
        </w:rPr>
        <w:t xml:space="preserve">行政主管部门颁发的信息类</w:t>
      </w:r>
      <w:r>
        <w:rPr>
          <w:rStyle w:val="1157"/>
          <w:rFonts w:hint="eastAsia" w:ascii="宋体" w:hAnsi="宋体" w:eastAsia="宋体" w:cs="宋体"/>
          <w:color w:val="auto"/>
          <w:sz w:val="24"/>
          <w:szCs w:val="24"/>
          <w:highlight w:val="none"/>
          <w:lang w:bidi="ar"/>
        </w:rPr>
        <w:t xml:space="preserve">初级或以上职称证书的得</w:t>
      </w:r>
      <w:r>
        <w:rPr>
          <w:rStyle w:val="1157"/>
          <w:rFonts w:hint="eastAsia" w:ascii="宋体" w:hAnsi="宋体" w:eastAsia="宋体" w:cs="宋体"/>
          <w:color w:val="auto"/>
          <w:sz w:val="24"/>
          <w:szCs w:val="24"/>
          <w:highlight w:val="none"/>
          <w:lang w:val="en-US" w:eastAsia="zh-CN" w:bidi="ar"/>
        </w:rPr>
        <w:t xml:space="preserve">0.5</w:t>
      </w:r>
      <w:r>
        <w:rPr>
          <w:rStyle w:val="1157"/>
          <w:rFonts w:hint="eastAsia" w:ascii="宋体" w:hAnsi="宋体" w:eastAsia="宋体" w:cs="宋体"/>
          <w:color w:val="auto"/>
          <w:sz w:val="24"/>
          <w:szCs w:val="24"/>
          <w:highlight w:val="none"/>
          <w:lang w:bidi="ar"/>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highlight w:val="none"/>
        </w:rPr>
        <w:t xml:space="preserve">投标人提供为其缴纳的</w:t>
      </w:r>
      <w:r>
        <w:rPr>
          <w:rFonts w:hint="eastAsia" w:ascii="宋体" w:hAnsi="宋体" w:eastAsia="宋体" w:cs="宋体"/>
          <w:b/>
          <w:color w:val="auto"/>
          <w:sz w:val="24"/>
          <w:szCs w:val="24"/>
          <w:highlight w:val="none"/>
        </w:rPr>
        <w:t xml:space="preserve">近3个月</w:t>
      </w:r>
      <w:r>
        <w:rPr>
          <w:rFonts w:hint="eastAsia" w:ascii="宋体" w:hAnsi="宋体" w:eastAsia="宋体" w:cs="宋体"/>
          <w:b/>
          <w:color w:val="auto"/>
          <w:sz w:val="24"/>
          <w:szCs w:val="24"/>
          <w:highlight w:val="none"/>
          <w:lang w:val="en-US" w:eastAsia="zh-CN"/>
        </w:rPr>
        <w:t xml:space="preserve">中任意一个月</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szCs w:val="24"/>
          <w:highlight w:val="none"/>
        </w:rPr>
        <w:t xml:space="preserve">不含投标当月</w:t>
      </w:r>
      <w:r>
        <w:rPr>
          <w:rFonts w:hint="eastAsia" w:ascii="宋体" w:hAnsi="宋体" w:eastAsia="宋体" w:cs="宋体"/>
          <w:b/>
          <w:color w:val="auto"/>
          <w:sz w:val="24"/>
          <w:highlight w:val="none"/>
        </w:rPr>
        <w:t xml:space="preserve">）的社保缴费证明扫描件、身份证扫描件、学历证书扫描件、有效证书</w:t>
      </w:r>
      <w:r>
        <w:rPr>
          <w:rFonts w:hint="eastAsia" w:ascii="宋体" w:hAnsi="宋体" w:eastAsia="宋体" w:cs="宋体"/>
          <w:b/>
          <w:color w:val="auto"/>
          <w:sz w:val="24"/>
          <w:highlight w:val="none"/>
          <w:lang w:val="en-US" w:eastAsia="zh-CN"/>
        </w:rPr>
        <w:t xml:space="preserve">原件</w:t>
      </w:r>
      <w:r>
        <w:rPr>
          <w:rFonts w:hint="eastAsia" w:ascii="宋体" w:hAnsi="宋体" w:eastAsia="宋体" w:cs="宋体"/>
          <w:b/>
          <w:color w:val="auto"/>
          <w:sz w:val="24"/>
          <w:highlight w:val="none"/>
        </w:rPr>
        <w:t xml:space="preserve">扫描件</w:t>
      </w:r>
      <w:r>
        <w:rPr>
          <w:rFonts w:hint="eastAsia" w:ascii="宋体" w:hAnsi="宋体" w:eastAsia="宋体" w:cs="宋体"/>
          <w:b/>
          <w:color w:val="auto"/>
          <w:sz w:val="24"/>
          <w:highlight w:val="none"/>
          <w:lang w:val="en-US" w:eastAsia="zh-CN"/>
        </w:rPr>
        <w:t xml:space="preserve">并签章</w:t>
      </w:r>
      <w:r>
        <w:rPr>
          <w:rFonts w:hint="eastAsia" w:ascii="宋体" w:hAnsi="宋体" w:eastAsia="宋体" w:cs="宋体"/>
          <w:b/>
          <w:color w:val="auto"/>
          <w:sz w:val="24"/>
          <w:highlight w:val="none"/>
        </w:rPr>
        <w:t xml:space="preserve">，不提供不得分</w:t>
      </w:r>
      <w:r>
        <w:rPr>
          <w:rFonts w:hint="eastAsia" w:ascii="宋体" w:hAnsi="宋体" w:eastAsia="宋体" w:cs="宋体"/>
          <w:b/>
          <w:bCs/>
          <w:color w:val="auto"/>
          <w:sz w:val="24"/>
          <w:szCs w:val="24"/>
          <w:highlight w:val="none"/>
          <w:lang w:eastAsia="zh-CN"/>
        </w:rPr>
        <w:t xml:space="preserve">）</w:t>
      </w:r>
      <w:r/>
    </w:p>
    <w:p>
      <w:pPr>
        <w:ind w:firstLine="482"/>
        <w:spacing w:line="360" w:lineRule="auto"/>
        <w:tabs>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b/>
          <w:color w:val="auto"/>
          <w:sz w:val="24"/>
          <w:highlight w:val="none"/>
        </w:rPr>
        <w:t xml:space="preserve">客服负责人（</w:t>
      </w:r>
      <w:r>
        <w:rPr>
          <w:rFonts w:hint="eastAsia"/>
          <w:b/>
          <w:color w:val="auto"/>
          <w:sz w:val="24"/>
          <w:highlight w:val="none"/>
          <w:lang w:val="en-US" w:eastAsia="zh-CN"/>
        </w:rPr>
        <w:t xml:space="preserve">2</w:t>
      </w:r>
      <w:r>
        <w:rPr>
          <w:rFonts w:hint="eastAsia"/>
          <w:b/>
          <w:color w:val="auto"/>
          <w:sz w:val="24"/>
          <w:highlight w:val="none"/>
        </w:rPr>
        <w:t xml:space="preserve">分）</w:t>
      </w:r>
      <w:r/>
    </w:p>
    <w:p>
      <w:pPr>
        <w:ind w:firstLine="480"/>
        <w:spacing w:line="360" w:lineRule="auto"/>
        <w:rPr>
          <w:rStyle w:val="1157"/>
          <w:rFonts w:hint="default"/>
          <w:color w:val="auto"/>
          <w:sz w:val="24"/>
          <w:szCs w:val="24"/>
          <w:highlight w:val="none"/>
          <w:lang w:bidi="ar"/>
        </w:rPr>
      </w:pPr>
      <w:r/>
      <w:bookmarkStart w:id="129" w:name="_Toc9961"/>
      <w:r>
        <w:rPr>
          <w:rStyle w:val="1157"/>
          <w:rFonts w:hint="default"/>
          <w:color w:val="auto"/>
          <w:sz w:val="24"/>
          <w:szCs w:val="24"/>
          <w:highlight w:val="none"/>
          <w:lang w:bidi="ar"/>
        </w:rPr>
        <w:t xml:space="preserve">①具有</w:t>
      </w:r>
      <w:bookmarkStart w:id="130" w:name="OLE_LINK6"/>
      <w:r>
        <w:rPr>
          <w:rStyle w:val="1157"/>
          <w:rFonts w:hint="eastAsia" w:eastAsia="宋体"/>
          <w:color w:val="auto"/>
          <w:sz w:val="24"/>
          <w:szCs w:val="24"/>
          <w:highlight w:val="none"/>
          <w:lang w:val="en-US" w:eastAsia="zh-CN" w:bidi="ar"/>
        </w:rPr>
        <w:t xml:space="preserve">大专</w:t>
      </w:r>
      <w:r>
        <w:rPr>
          <w:rFonts w:hint="eastAsia"/>
          <w:bCs/>
          <w:color w:val="auto"/>
          <w:sz w:val="24"/>
          <w:highlight w:val="none"/>
        </w:rPr>
        <w:t xml:space="preserve">（含）或以上</w:t>
      </w:r>
      <w:r>
        <w:rPr>
          <w:rStyle w:val="1157"/>
          <w:rFonts w:hint="default"/>
          <w:color w:val="auto"/>
          <w:sz w:val="24"/>
          <w:szCs w:val="24"/>
          <w:highlight w:val="none"/>
          <w:lang w:bidi="ar"/>
        </w:rPr>
        <w:t xml:space="preserve">学历</w:t>
      </w:r>
      <w:bookmarkEnd w:id="130"/>
      <w:r>
        <w:rPr>
          <w:rStyle w:val="1157"/>
          <w:rFonts w:hint="default"/>
          <w:color w:val="auto"/>
          <w:sz w:val="24"/>
          <w:szCs w:val="24"/>
          <w:highlight w:val="none"/>
          <w:lang w:bidi="ar"/>
        </w:rPr>
        <w:t xml:space="preserve">的得</w:t>
      </w:r>
      <w:r>
        <w:rPr>
          <w:rStyle w:val="1157"/>
          <w:rFonts w:hint="eastAsia" w:eastAsia="宋体"/>
          <w:color w:val="auto"/>
          <w:sz w:val="24"/>
          <w:szCs w:val="24"/>
          <w:highlight w:val="none"/>
          <w:lang w:val="en-US" w:eastAsia="zh-CN" w:bidi="ar"/>
        </w:rPr>
        <w:t xml:space="preserve">0.5</w:t>
      </w:r>
      <w:r>
        <w:rPr>
          <w:rStyle w:val="1157"/>
          <w:rFonts w:hint="default"/>
          <w:color w:val="auto"/>
          <w:sz w:val="24"/>
          <w:szCs w:val="24"/>
          <w:highlight w:val="none"/>
          <w:lang w:bidi="ar"/>
        </w:rPr>
        <w:t xml:space="preserve">分；</w:t>
      </w:r>
      <w:r/>
    </w:p>
    <w:p>
      <w:pPr>
        <w:ind w:firstLine="480"/>
        <w:spacing w:line="360" w:lineRule="auto"/>
        <w:rPr>
          <w:rStyle w:val="1157"/>
          <w:rFonts w:hint="default"/>
          <w:color w:val="auto"/>
          <w:sz w:val="24"/>
          <w:szCs w:val="24"/>
          <w:highlight w:val="none"/>
          <w:lang w:bidi="ar"/>
        </w:rPr>
      </w:pPr>
      <w:r>
        <w:rPr>
          <w:rStyle w:val="1157"/>
          <w:rFonts w:hint="default"/>
          <w:color w:val="auto"/>
          <w:sz w:val="24"/>
          <w:szCs w:val="24"/>
          <w:highlight w:val="none"/>
          <w:lang w:bidi="ar"/>
        </w:rPr>
        <w:t xml:space="preserve">②具有</w:t>
      </w:r>
      <w:r>
        <w:rPr>
          <w:rStyle w:val="1157"/>
          <w:rFonts w:hint="eastAsia" w:eastAsia="宋体"/>
          <w:color w:val="auto"/>
          <w:sz w:val="24"/>
          <w:szCs w:val="24"/>
          <w:highlight w:val="none"/>
          <w:lang w:val="en-US" w:eastAsia="zh-CN" w:bidi="ar"/>
        </w:rPr>
        <w:t xml:space="preserve">普通话</w:t>
      </w:r>
      <w:r>
        <w:rPr>
          <w:rStyle w:val="1157"/>
          <w:rFonts w:hint="default"/>
          <w:color w:val="auto"/>
          <w:sz w:val="24"/>
          <w:szCs w:val="24"/>
          <w:highlight w:val="none"/>
          <w:lang w:bidi="ar"/>
        </w:rPr>
        <w:t xml:space="preserve">二级</w:t>
      </w:r>
      <w:r>
        <w:rPr>
          <w:rStyle w:val="1157"/>
          <w:rFonts w:hint="eastAsia" w:eastAsia="宋体"/>
          <w:color w:val="auto"/>
          <w:sz w:val="24"/>
          <w:szCs w:val="24"/>
          <w:highlight w:val="none"/>
          <w:lang w:val="en-US" w:eastAsia="zh-CN" w:bidi="ar"/>
        </w:rPr>
        <w:t xml:space="preserve">乙等</w:t>
      </w:r>
      <w:r>
        <w:rPr>
          <w:rFonts w:hint="eastAsia"/>
          <w:bCs/>
          <w:color w:val="auto"/>
          <w:sz w:val="24"/>
          <w:highlight w:val="none"/>
        </w:rPr>
        <w:t xml:space="preserve">或以上成绩的</w:t>
      </w:r>
      <w:r>
        <w:rPr>
          <w:rStyle w:val="1157"/>
          <w:rFonts w:hint="default"/>
          <w:color w:val="auto"/>
          <w:sz w:val="24"/>
          <w:szCs w:val="24"/>
          <w:highlight w:val="none"/>
          <w:lang w:bidi="ar"/>
        </w:rPr>
        <w:t xml:space="preserve">得</w:t>
      </w:r>
      <w:r>
        <w:rPr>
          <w:rStyle w:val="1157"/>
          <w:rFonts w:hint="eastAsia" w:eastAsia="宋体"/>
          <w:color w:val="auto"/>
          <w:sz w:val="24"/>
          <w:szCs w:val="24"/>
          <w:highlight w:val="none"/>
          <w:lang w:val="en-US" w:eastAsia="zh-CN" w:bidi="ar"/>
        </w:rPr>
        <w:t xml:space="preserve">0.5</w:t>
      </w:r>
      <w:r>
        <w:rPr>
          <w:rStyle w:val="1157"/>
          <w:rFonts w:hint="default"/>
          <w:color w:val="auto"/>
          <w:sz w:val="24"/>
          <w:szCs w:val="24"/>
          <w:highlight w:val="none"/>
          <w:lang w:bidi="ar"/>
        </w:rPr>
        <w:t xml:space="preserve">分；</w:t>
      </w:r>
      <w:r/>
    </w:p>
    <w:p>
      <w:pPr>
        <w:ind w:firstLine="480"/>
        <w:spacing w:line="360" w:lineRule="auto"/>
        <w:tabs>
          <w:tab w:val="left" w:pos="1050" w:leader="none"/>
        </w:tabs>
        <w:rPr>
          <w:rFonts w:hint="eastAsia" w:ascii="宋体" w:hAnsi="宋体" w:eastAsia="宋体" w:cs="宋体"/>
          <w:color w:val="auto"/>
          <w:sz w:val="24"/>
          <w:szCs w:val="24"/>
          <w:highlight w:val="none"/>
        </w:rPr>
      </w:pPr>
      <w:r>
        <w:rPr>
          <w:rStyle w:val="1157"/>
          <w:rFonts w:hint="eastAsia" w:eastAsia="宋体"/>
          <w:color w:val="auto"/>
          <w:sz w:val="24"/>
          <w:szCs w:val="24"/>
          <w:highlight w:val="none"/>
          <w:lang w:val="en-US" w:eastAsia="zh-CN" w:bidi="ar"/>
        </w:rPr>
        <w:t xml:space="preserve">③</w:t>
      </w:r>
      <w:r>
        <w:rPr>
          <w:rStyle w:val="1157"/>
          <w:rFonts w:hint="default"/>
          <w:color w:val="auto"/>
          <w:sz w:val="24"/>
          <w:szCs w:val="24"/>
          <w:highlight w:val="none"/>
          <w:lang w:bidi="ar"/>
        </w:rPr>
        <w:t xml:space="preserve">具有五级或以上应急管理部紧急救援促进中心颁发的应急救援员职业资格证书得</w:t>
      </w:r>
      <w:r>
        <w:rPr>
          <w:rStyle w:val="1157"/>
          <w:rFonts w:hint="eastAsia" w:eastAsia="宋体"/>
          <w:color w:val="auto"/>
          <w:sz w:val="24"/>
          <w:szCs w:val="24"/>
          <w:highlight w:val="none"/>
          <w:lang w:val="en-US" w:eastAsia="zh-CN" w:bidi="ar"/>
        </w:rPr>
        <w:t xml:space="preserve">1</w:t>
      </w:r>
      <w:r>
        <w:rPr>
          <w:rStyle w:val="1157"/>
          <w:rFonts w:hint="default"/>
          <w:color w:val="auto"/>
          <w:sz w:val="24"/>
          <w:szCs w:val="24"/>
          <w:highlight w:val="none"/>
          <w:lang w:bidi="ar"/>
        </w:rPr>
        <w:t xml:space="preserve">分；</w:t>
      </w:r>
      <w:r>
        <w:rPr>
          <w:rFonts w:hint="eastAsia" w:ascii="宋体" w:hAnsi="宋体" w:eastAsia="宋体" w:cs="宋体"/>
          <w:b/>
          <w:bCs w:val="0"/>
          <w:color w:val="auto"/>
          <w:sz w:val="24"/>
          <w:highlight w:val="none"/>
          <w:lang w:eastAsia="zh-CN"/>
        </w:rPr>
        <w:t xml:space="preserve">（</w:t>
      </w:r>
      <w:bookmarkEnd w:id="129"/>
      <w:r>
        <w:rPr>
          <w:rFonts w:hint="eastAsia"/>
          <w:b/>
          <w:color w:val="auto"/>
          <w:sz w:val="24"/>
          <w:highlight w:val="none"/>
        </w:rPr>
        <w:t xml:space="preserve">投标人提供为其缴纳的</w:t>
      </w:r>
      <w:r>
        <w:rPr>
          <w:rFonts w:hint="eastAsia" w:ascii="宋体" w:hAnsi="宋体" w:eastAsia="宋体" w:cs="宋体"/>
          <w:b/>
          <w:color w:val="auto"/>
          <w:sz w:val="24"/>
          <w:szCs w:val="24"/>
          <w:highlight w:val="none"/>
        </w:rPr>
        <w:t xml:space="preserve">近3个月</w:t>
      </w:r>
      <w:r>
        <w:rPr>
          <w:rFonts w:hint="eastAsia" w:ascii="宋体" w:hAnsi="宋体" w:cs="宋体"/>
          <w:b/>
          <w:color w:val="auto"/>
          <w:sz w:val="24"/>
          <w:highlight w:val="none"/>
        </w:rPr>
        <w:t xml:space="preserve">（</w:t>
      </w:r>
      <w:r>
        <w:rPr>
          <w:rFonts w:hint="eastAsia" w:ascii="宋体" w:hAnsi="宋体" w:cs="宋体"/>
          <w:b/>
          <w:color w:val="auto"/>
          <w:sz w:val="24"/>
          <w:szCs w:val="24"/>
          <w:highlight w:val="none"/>
        </w:rPr>
        <w:t xml:space="preserve">不含投标当月</w:t>
      </w:r>
      <w:r>
        <w:rPr>
          <w:rFonts w:hint="eastAsia" w:ascii="宋体" w:hAnsi="宋体" w:cs="宋体"/>
          <w:b/>
          <w:color w:val="auto"/>
          <w:sz w:val="24"/>
          <w:highlight w:val="none"/>
        </w:rPr>
        <w:t xml:space="preserve">）</w:t>
      </w:r>
      <w:r>
        <w:rPr>
          <w:rFonts w:hint="eastAsia"/>
          <w:b/>
          <w:color w:val="auto"/>
          <w:sz w:val="24"/>
          <w:highlight w:val="none"/>
        </w:rPr>
        <w:t xml:space="preserve">的社保缴费证明扫描件、身份证扫描件、学历证书扫描件、有效证书</w:t>
      </w:r>
      <w:r>
        <w:rPr>
          <w:rFonts w:hint="eastAsia"/>
          <w:b/>
          <w:color w:val="auto"/>
          <w:sz w:val="24"/>
          <w:highlight w:val="none"/>
          <w:lang w:val="en-US" w:eastAsia="zh-CN"/>
        </w:rPr>
        <w:t xml:space="preserve">原件</w:t>
      </w:r>
      <w:r>
        <w:rPr>
          <w:rFonts w:hint="eastAsia"/>
          <w:b/>
          <w:color w:val="auto"/>
          <w:sz w:val="24"/>
          <w:highlight w:val="none"/>
        </w:rPr>
        <w:t xml:space="preserve">扫描件</w:t>
      </w:r>
      <w:r>
        <w:rPr>
          <w:rFonts w:hint="eastAsia"/>
          <w:b/>
          <w:color w:val="auto"/>
          <w:sz w:val="24"/>
          <w:highlight w:val="none"/>
          <w:lang w:val="en-US" w:eastAsia="zh-CN"/>
        </w:rPr>
        <w:t xml:space="preserve">并签章</w:t>
      </w:r>
      <w:r>
        <w:rPr>
          <w:rFonts w:hint="eastAsia"/>
          <w:b/>
          <w:color w:val="auto"/>
          <w:sz w:val="24"/>
          <w:highlight w:val="none"/>
        </w:rPr>
        <w:t xml:space="preserve">，不提供不得分</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2"/>
        <w:spacing w:line="360" w:lineRule="auto"/>
        <w:tabs>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b/>
          <w:color w:val="auto"/>
          <w:sz w:val="24"/>
          <w:highlight w:val="none"/>
        </w:rPr>
        <w:t xml:space="preserve">工程部负责人（</w:t>
      </w:r>
      <w:r>
        <w:rPr>
          <w:rFonts w:hint="eastAsia"/>
          <w:b/>
          <w:color w:val="auto"/>
          <w:sz w:val="24"/>
          <w:highlight w:val="none"/>
          <w:lang w:val="en-US" w:eastAsia="zh-CN"/>
        </w:rPr>
        <w:t xml:space="preserve">2.5</w:t>
      </w:r>
      <w:r>
        <w:rPr>
          <w:rFonts w:hint="eastAsia"/>
          <w:b/>
          <w:color w:val="auto"/>
          <w:sz w:val="24"/>
          <w:highlight w:val="none"/>
        </w:rPr>
        <w:t xml:space="preserve">分）</w:t>
      </w:r>
      <w:r/>
    </w:p>
    <w:p>
      <w:pPr>
        <w:ind w:firstLine="480"/>
        <w:spacing w:line="360" w:lineRule="auto"/>
        <w:rPr>
          <w:rStyle w:val="1157"/>
          <w:rFonts w:hint="default"/>
          <w:color w:val="auto"/>
          <w:sz w:val="24"/>
          <w:szCs w:val="24"/>
          <w:highlight w:val="none"/>
          <w:lang w:bidi="ar"/>
        </w:rPr>
      </w:pPr>
      <w:r>
        <w:rPr>
          <w:rStyle w:val="1157"/>
          <w:rFonts w:hint="default"/>
          <w:color w:val="auto"/>
          <w:sz w:val="24"/>
          <w:szCs w:val="24"/>
          <w:highlight w:val="none"/>
          <w:lang w:bidi="ar"/>
        </w:rPr>
        <w:t xml:space="preserve">①具有大专</w:t>
      </w:r>
      <w:r>
        <w:rPr>
          <w:rFonts w:hint="eastAsia"/>
          <w:bCs/>
          <w:color w:val="auto"/>
          <w:sz w:val="24"/>
          <w:highlight w:val="none"/>
        </w:rPr>
        <w:t xml:space="preserve">（含）或以上</w:t>
      </w:r>
      <w:r>
        <w:rPr>
          <w:rStyle w:val="1157"/>
          <w:rFonts w:hint="default"/>
          <w:color w:val="auto"/>
          <w:sz w:val="24"/>
          <w:szCs w:val="24"/>
          <w:highlight w:val="none"/>
          <w:lang w:bidi="ar"/>
        </w:rPr>
        <w:t xml:space="preserve">学历的得</w:t>
      </w:r>
      <w:r>
        <w:rPr>
          <w:rStyle w:val="1157"/>
          <w:rFonts w:hint="eastAsia" w:eastAsia="宋体"/>
          <w:color w:val="auto"/>
          <w:sz w:val="24"/>
          <w:szCs w:val="24"/>
          <w:highlight w:val="none"/>
          <w:lang w:val="en-US" w:eastAsia="zh-CN" w:bidi="ar"/>
        </w:rPr>
        <w:t xml:space="preserve">0.5</w:t>
      </w:r>
      <w:r>
        <w:rPr>
          <w:rStyle w:val="1157"/>
          <w:rFonts w:hint="default"/>
          <w:color w:val="auto"/>
          <w:sz w:val="24"/>
          <w:szCs w:val="24"/>
          <w:highlight w:val="none"/>
          <w:lang w:bidi="ar"/>
        </w:rPr>
        <w:t xml:space="preserve">分；</w:t>
      </w:r>
      <w:r/>
    </w:p>
    <w:p>
      <w:pPr>
        <w:ind w:firstLine="480"/>
        <w:spacing w:line="360" w:lineRule="auto"/>
        <w:rPr>
          <w:rStyle w:val="1157"/>
          <w:rFonts w:hint="default"/>
          <w:color w:val="auto"/>
          <w:sz w:val="24"/>
          <w:szCs w:val="24"/>
          <w:highlight w:val="none"/>
          <w:lang w:bidi="ar"/>
        </w:rPr>
      </w:pPr>
      <w:r>
        <w:rPr>
          <w:rStyle w:val="1157"/>
          <w:rFonts w:hint="default"/>
          <w:color w:val="auto"/>
          <w:sz w:val="24"/>
          <w:szCs w:val="24"/>
          <w:highlight w:val="none"/>
          <w:lang w:bidi="ar"/>
        </w:rPr>
        <w:t xml:space="preserve">②具有高压或低压电工证的得</w:t>
      </w:r>
      <w:r>
        <w:rPr>
          <w:rStyle w:val="1157"/>
          <w:rFonts w:hint="eastAsia" w:eastAsia="宋体"/>
          <w:color w:val="auto"/>
          <w:sz w:val="24"/>
          <w:szCs w:val="24"/>
          <w:highlight w:val="none"/>
          <w:lang w:val="en-US" w:eastAsia="zh-CN" w:bidi="ar"/>
        </w:rPr>
        <w:t xml:space="preserve">0.5</w:t>
      </w:r>
      <w:r>
        <w:rPr>
          <w:rStyle w:val="1157"/>
          <w:rFonts w:hint="default"/>
          <w:color w:val="auto"/>
          <w:sz w:val="24"/>
          <w:szCs w:val="24"/>
          <w:highlight w:val="none"/>
          <w:lang w:bidi="ar"/>
        </w:rPr>
        <w:t xml:space="preserve">分；</w:t>
      </w:r>
      <w:r/>
    </w:p>
    <w:p>
      <w:pPr>
        <w:ind w:firstLine="480"/>
        <w:spacing w:line="360" w:lineRule="auto"/>
        <w:rPr>
          <w:rStyle w:val="1157"/>
          <w:rFonts w:hint="default"/>
          <w:color w:val="auto"/>
          <w:sz w:val="24"/>
          <w:szCs w:val="24"/>
          <w:highlight w:val="none"/>
          <w:lang w:bidi="ar"/>
        </w:rPr>
      </w:pPr>
      <w:r>
        <w:rPr>
          <w:rStyle w:val="1157"/>
          <w:rFonts w:hint="default"/>
          <w:color w:val="auto"/>
          <w:sz w:val="24"/>
          <w:szCs w:val="24"/>
          <w:highlight w:val="none"/>
          <w:lang w:bidi="ar"/>
        </w:rPr>
        <w:t xml:space="preserve">③具有</w:t>
      </w:r>
      <w:r>
        <w:rPr>
          <w:rStyle w:val="1157"/>
          <w:rFonts w:hint="eastAsia" w:eastAsia="宋体"/>
          <w:color w:val="auto"/>
          <w:sz w:val="24"/>
          <w:szCs w:val="24"/>
          <w:highlight w:val="none"/>
          <w:lang w:val="en-US" w:eastAsia="zh-CN" w:bidi="ar"/>
        </w:rPr>
        <w:t xml:space="preserve">行政主管部门颁发的电气信息技术类</w:t>
      </w:r>
      <w:r>
        <w:rPr>
          <w:rStyle w:val="1157"/>
          <w:rFonts w:hint="default"/>
          <w:color w:val="auto"/>
          <w:sz w:val="24"/>
          <w:szCs w:val="24"/>
          <w:highlight w:val="none"/>
          <w:lang w:bidi="ar"/>
        </w:rPr>
        <w:t xml:space="preserve">初级或以上职称证书的得</w:t>
      </w:r>
      <w:r>
        <w:rPr>
          <w:rStyle w:val="1157"/>
          <w:rFonts w:hint="eastAsia" w:eastAsia="宋体"/>
          <w:color w:val="auto"/>
          <w:sz w:val="24"/>
          <w:szCs w:val="24"/>
          <w:highlight w:val="none"/>
          <w:lang w:val="en-US" w:eastAsia="zh-CN" w:bidi="ar"/>
        </w:rPr>
        <w:t xml:space="preserve">0.5</w:t>
      </w:r>
      <w:r>
        <w:rPr>
          <w:rStyle w:val="1157"/>
          <w:rFonts w:hint="default"/>
          <w:color w:val="auto"/>
          <w:sz w:val="24"/>
          <w:szCs w:val="24"/>
          <w:highlight w:val="none"/>
          <w:lang w:bidi="ar"/>
        </w:rPr>
        <w:t xml:space="preserve">分；</w:t>
      </w:r>
      <w:r/>
    </w:p>
    <w:p>
      <w:pPr>
        <w:ind w:firstLine="480"/>
        <w:spacing w:line="360" w:lineRule="auto"/>
        <w:rPr>
          <w:rStyle w:val="1157"/>
          <w:rFonts w:hint="default"/>
          <w:color w:val="auto"/>
          <w:sz w:val="24"/>
          <w:szCs w:val="24"/>
          <w:highlight w:val="none"/>
          <w:lang w:bidi="ar"/>
        </w:rPr>
      </w:pPr>
      <w:r>
        <w:rPr>
          <w:rStyle w:val="1157"/>
          <w:rFonts w:hint="default"/>
          <w:color w:val="auto"/>
          <w:sz w:val="24"/>
          <w:szCs w:val="24"/>
          <w:highlight w:val="none"/>
          <w:lang w:bidi="ar"/>
        </w:rPr>
        <w:t xml:space="preserve">④具有（高级）机电设备工程师技能等级证书</w:t>
      </w:r>
      <w:r>
        <w:rPr>
          <w:rStyle w:val="1157"/>
          <w:rFonts w:hint="eastAsia" w:eastAsia="宋体"/>
          <w:color w:val="auto"/>
          <w:sz w:val="24"/>
          <w:szCs w:val="24"/>
          <w:highlight w:val="none"/>
          <w:lang w:val="en-US" w:eastAsia="zh-CN" w:bidi="ar"/>
        </w:rPr>
        <w:t xml:space="preserve">的得1分</w:t>
      </w:r>
      <w:r>
        <w:rPr>
          <w:rStyle w:val="1157"/>
          <w:rFonts w:hint="default"/>
          <w:color w:val="auto"/>
          <w:sz w:val="24"/>
          <w:szCs w:val="24"/>
          <w:highlight w:val="none"/>
          <w:lang w:bidi="ar"/>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Cs/>
          <w:color w:val="auto"/>
          <w:sz w:val="24"/>
          <w:highlight w:val="none"/>
          <w:lang w:val="en-US" w:eastAsia="zh-CN"/>
        </w:rPr>
        <w:t xml:space="preserve">（</w:t>
      </w:r>
      <w:r>
        <w:rPr>
          <w:rFonts w:hint="eastAsia"/>
          <w:b/>
          <w:color w:val="auto"/>
          <w:sz w:val="24"/>
          <w:highlight w:val="none"/>
        </w:rPr>
        <w:t xml:space="preserve">投标人提供为其缴纳的</w:t>
      </w:r>
      <w:r>
        <w:rPr>
          <w:rFonts w:hint="eastAsia" w:ascii="宋体" w:hAnsi="宋体" w:eastAsia="宋体" w:cs="宋体"/>
          <w:b/>
          <w:color w:val="auto"/>
          <w:sz w:val="24"/>
          <w:szCs w:val="24"/>
          <w:highlight w:val="none"/>
        </w:rPr>
        <w:t xml:space="preserve">近3个月</w:t>
      </w:r>
      <w:r>
        <w:rPr>
          <w:rFonts w:hint="eastAsia" w:ascii="宋体" w:hAnsi="宋体" w:eastAsia="宋体" w:cs="宋体"/>
          <w:b/>
          <w:color w:val="auto"/>
          <w:sz w:val="24"/>
          <w:szCs w:val="24"/>
          <w:highlight w:val="none"/>
          <w:lang w:val="en-US" w:eastAsia="zh-CN"/>
        </w:rPr>
        <w:t xml:space="preserve">中任意一个月</w:t>
      </w:r>
      <w:r>
        <w:rPr>
          <w:rFonts w:hint="eastAsia" w:ascii="宋体" w:hAnsi="宋体" w:cs="宋体"/>
          <w:b/>
          <w:color w:val="auto"/>
          <w:sz w:val="24"/>
          <w:highlight w:val="none"/>
        </w:rPr>
        <w:t xml:space="preserve">（</w:t>
      </w:r>
      <w:r>
        <w:rPr>
          <w:rFonts w:hint="eastAsia" w:ascii="宋体" w:hAnsi="宋体" w:cs="宋体"/>
          <w:b/>
          <w:color w:val="auto"/>
          <w:sz w:val="24"/>
          <w:szCs w:val="24"/>
          <w:highlight w:val="none"/>
        </w:rPr>
        <w:t xml:space="preserve">不含投标当月</w:t>
      </w:r>
      <w:r>
        <w:rPr>
          <w:rFonts w:hint="eastAsia" w:ascii="宋体" w:hAnsi="宋体" w:cs="宋体"/>
          <w:b/>
          <w:color w:val="auto"/>
          <w:sz w:val="24"/>
          <w:highlight w:val="none"/>
        </w:rPr>
        <w:t xml:space="preserve">）</w:t>
      </w:r>
      <w:r>
        <w:rPr>
          <w:rFonts w:hint="eastAsia"/>
          <w:b/>
          <w:color w:val="auto"/>
          <w:sz w:val="24"/>
          <w:highlight w:val="none"/>
        </w:rPr>
        <w:t xml:space="preserve">的社保缴费证明扫描件、身份证扫描件、学历证书扫描件、有效证书</w:t>
      </w:r>
      <w:r>
        <w:rPr>
          <w:rFonts w:hint="eastAsia"/>
          <w:b/>
          <w:color w:val="auto"/>
          <w:sz w:val="24"/>
          <w:highlight w:val="none"/>
          <w:lang w:val="en-US" w:eastAsia="zh-CN"/>
        </w:rPr>
        <w:t xml:space="preserve">原件</w:t>
      </w:r>
      <w:r>
        <w:rPr>
          <w:rFonts w:hint="eastAsia"/>
          <w:b/>
          <w:color w:val="auto"/>
          <w:sz w:val="24"/>
          <w:highlight w:val="none"/>
        </w:rPr>
        <w:t xml:space="preserve">扫描件</w:t>
      </w:r>
      <w:r>
        <w:rPr>
          <w:rFonts w:hint="eastAsia"/>
          <w:b/>
          <w:color w:val="auto"/>
          <w:sz w:val="24"/>
          <w:highlight w:val="none"/>
          <w:lang w:val="en-US" w:eastAsia="zh-CN"/>
        </w:rPr>
        <w:t xml:space="preserve">并签章</w:t>
      </w:r>
      <w:r>
        <w:rPr>
          <w:rFonts w:hint="eastAsia"/>
          <w:b/>
          <w:color w:val="auto"/>
          <w:sz w:val="24"/>
          <w:highlight w:val="none"/>
        </w:rPr>
        <w:t xml:space="preserve">，不提供不得分</w:t>
      </w:r>
      <w:r>
        <w:rPr>
          <w:rFonts w:hint="eastAsia" w:ascii="宋体" w:hAnsi="宋体" w:eastAsia="宋体" w:cs="宋体"/>
          <w:b/>
          <w:bCs w:val="0"/>
          <w:color w:val="auto"/>
          <w:sz w:val="24"/>
          <w:szCs w:val="24"/>
          <w:highlight w:val="none"/>
          <w:lang w:eastAsia="zh-CN"/>
        </w:rPr>
        <w:t xml:space="preserve">）</w:t>
      </w:r>
      <w:r/>
    </w:p>
    <w:p>
      <w:pPr>
        <w:numPr>
          <w:ilvl w:val="0"/>
          <w:numId w:val="0"/>
        </w:numPr>
        <w:ind w:firstLine="482"/>
        <w:keepLines w:val="0"/>
        <w:keepNext w:val="0"/>
        <w:pageBreakBefore w:val="0"/>
        <w:spacing w:line="360" w:lineRule="auto"/>
        <w:widowControl w:val="off"/>
        <w:rPr>
          <w:rFonts w:hint="eastAsia"/>
          <w:b/>
          <w:color w:val="auto"/>
          <w:sz w:val="24"/>
          <w:highlight w:val="none"/>
          <w:lang w:eastAsia="zh-CN"/>
        </w:rPr>
      </w:pPr>
      <w:r/>
      <w:bookmarkStart w:id="131" w:name="OLE_LINK7"/>
      <w:r>
        <w:rPr>
          <w:rFonts w:hint="eastAsia" w:ascii="宋体" w:hAnsi="宋体" w:eastAsia="宋体" w:cs="宋体"/>
          <w:b/>
          <w:bCs w:val="0"/>
          <w:color w:val="auto"/>
          <w:sz w:val="24"/>
          <w:szCs w:val="24"/>
          <w:highlight w:val="none"/>
          <w:lang w:val="en-US" w:eastAsia="zh-CN"/>
        </w:rPr>
        <w:t xml:space="preserve">5）</w:t>
      </w:r>
      <w:r>
        <w:rPr>
          <w:rFonts w:hint="eastAsia"/>
          <w:b/>
          <w:color w:val="auto"/>
          <w:sz w:val="24"/>
          <w:highlight w:val="none"/>
        </w:rPr>
        <w:t xml:space="preserve">保洁负责人</w:t>
      </w:r>
      <w:bookmarkEnd w:id="131"/>
      <w:r>
        <w:rPr>
          <w:rFonts w:hint="eastAsia"/>
          <w:b/>
          <w:color w:val="auto"/>
          <w:sz w:val="24"/>
          <w:highlight w:val="none"/>
        </w:rPr>
        <w:t xml:space="preserve">（</w:t>
      </w:r>
      <w:r>
        <w:rPr>
          <w:rFonts w:hint="eastAsia"/>
          <w:b/>
          <w:color w:val="auto"/>
          <w:sz w:val="24"/>
          <w:highlight w:val="none"/>
          <w:lang w:val="en-US" w:eastAsia="zh-CN"/>
        </w:rPr>
        <w:t xml:space="preserve">2.</w:t>
      </w:r>
      <w:r>
        <w:rPr>
          <w:rFonts w:hint="eastAsia"/>
          <w:b/>
          <w:color w:val="auto"/>
          <w:sz w:val="24"/>
          <w:highlight w:val="none"/>
        </w:rPr>
        <w:t xml:space="preserve">5分）</w:t>
      </w:r>
      <w:r>
        <w:rPr>
          <w:rFonts w:hint="eastAsia"/>
          <w:b/>
          <w:color w:val="auto"/>
          <w:sz w:val="24"/>
          <w:highlight w:val="none"/>
          <w:lang w:eastAsia="zh-CN"/>
        </w:rPr>
        <w:t xml:space="preserve">：</w:t>
      </w:r>
      <w:r/>
    </w:p>
    <w:p>
      <w:pPr>
        <w:ind w:firstLine="480"/>
        <w:spacing w:line="360" w:lineRule="auto"/>
        <w:rPr>
          <w:bCs/>
          <w:color w:val="auto"/>
          <w:sz w:val="24"/>
          <w:highlight w:val="none"/>
        </w:rPr>
      </w:pPr>
      <w:r>
        <w:rPr>
          <w:rFonts w:hint="eastAsia"/>
          <w:bCs/>
          <w:color w:val="auto"/>
          <w:sz w:val="24"/>
          <w:highlight w:val="none"/>
        </w:rPr>
        <w:t xml:space="preserve">①具有大专及以上学历的得</w:t>
      </w:r>
      <w:r>
        <w:rPr>
          <w:rStyle w:val="1157"/>
          <w:rFonts w:hint="eastAsia" w:ascii="宋体" w:hAnsi="宋体" w:eastAsia="宋体" w:cs="宋体"/>
          <w:color w:val="auto"/>
          <w:sz w:val="24"/>
          <w:szCs w:val="24"/>
          <w:highlight w:val="none"/>
          <w:lang w:val="en-US" w:eastAsia="zh-CN" w:bidi="ar"/>
        </w:rPr>
        <w:t xml:space="preserve">0.5</w:t>
      </w:r>
      <w:r>
        <w:rPr>
          <w:rFonts w:hint="eastAsia"/>
          <w:bCs/>
          <w:color w:val="auto"/>
          <w:sz w:val="24"/>
          <w:highlight w:val="none"/>
        </w:rPr>
        <w:t xml:space="preserve">分；</w:t>
      </w:r>
      <w:r/>
    </w:p>
    <w:p>
      <w:pPr>
        <w:ind w:firstLine="480"/>
        <w:spacing w:line="360" w:lineRule="auto"/>
        <w:rPr>
          <w:bCs/>
          <w:color w:val="auto"/>
          <w:sz w:val="24"/>
          <w:highlight w:val="none"/>
        </w:rPr>
      </w:pPr>
      <w:r>
        <w:rPr>
          <w:rFonts w:hint="eastAsia"/>
          <w:bCs/>
          <w:color w:val="auto"/>
          <w:sz w:val="24"/>
          <w:highlight w:val="none"/>
        </w:rPr>
        <w:t xml:space="preserve">②具有高级保洁员证书的得</w:t>
      </w:r>
      <w:r>
        <w:rPr>
          <w:rStyle w:val="1157"/>
          <w:rFonts w:hint="eastAsia" w:ascii="宋体" w:hAnsi="宋体" w:eastAsia="宋体" w:cs="宋体"/>
          <w:color w:val="auto"/>
          <w:sz w:val="24"/>
          <w:szCs w:val="24"/>
          <w:highlight w:val="none"/>
          <w:lang w:val="en-US" w:eastAsia="zh-CN" w:bidi="ar"/>
        </w:rPr>
        <w:t xml:space="preserve">0.5</w:t>
      </w:r>
      <w:r>
        <w:rPr>
          <w:rFonts w:hint="eastAsia"/>
          <w:bCs/>
          <w:color w:val="auto"/>
          <w:sz w:val="24"/>
          <w:highlight w:val="none"/>
        </w:rPr>
        <w:t xml:space="preserve">分；</w:t>
      </w:r>
      <w:r/>
    </w:p>
    <w:p>
      <w:pPr>
        <w:ind w:firstLine="480"/>
        <w:spacing w:line="360" w:lineRule="auto"/>
        <w:rPr>
          <w:bCs/>
          <w:color w:val="auto"/>
          <w:sz w:val="24"/>
          <w:highlight w:val="none"/>
        </w:rPr>
      </w:pPr>
      <w:r>
        <w:rPr>
          <w:rFonts w:hint="eastAsia"/>
          <w:bCs/>
          <w:color w:val="auto"/>
          <w:sz w:val="24"/>
          <w:highlight w:val="none"/>
        </w:rPr>
        <w:t xml:space="preserve">③具有高级垃圾分类管理师证书的得</w:t>
      </w:r>
      <w:r>
        <w:rPr>
          <w:rStyle w:val="1157"/>
          <w:rFonts w:hint="eastAsia" w:ascii="宋体" w:hAnsi="宋体" w:eastAsia="宋体" w:cs="宋体"/>
          <w:color w:val="auto"/>
          <w:sz w:val="24"/>
          <w:szCs w:val="24"/>
          <w:highlight w:val="none"/>
          <w:lang w:val="en-US" w:eastAsia="zh-CN" w:bidi="ar"/>
        </w:rPr>
        <w:t xml:space="preserve">0.5</w:t>
      </w:r>
      <w:r>
        <w:rPr>
          <w:rFonts w:hint="eastAsia"/>
          <w:bCs/>
          <w:color w:val="auto"/>
          <w:sz w:val="24"/>
          <w:highlight w:val="none"/>
        </w:rPr>
        <w:t xml:space="preserve">分；</w:t>
      </w:r>
      <w:r/>
    </w:p>
    <w:p>
      <w:pPr>
        <w:ind w:firstLine="480"/>
        <w:spacing w:line="360" w:lineRule="auto"/>
        <w:rPr>
          <w:bCs/>
          <w:color w:val="auto"/>
          <w:sz w:val="24"/>
          <w:highlight w:val="none"/>
        </w:rPr>
      </w:pPr>
      <w:r>
        <w:rPr>
          <w:rFonts w:hint="eastAsia"/>
          <w:bCs/>
          <w:color w:val="auto"/>
          <w:sz w:val="24"/>
          <w:highlight w:val="none"/>
        </w:rPr>
        <w:t xml:space="preserve">④</w:t>
      </w:r>
      <w:r>
        <w:rPr>
          <w:rStyle w:val="1157"/>
          <w:rFonts w:hint="default"/>
          <w:color w:val="auto"/>
          <w:sz w:val="24"/>
          <w:szCs w:val="24"/>
          <w:highlight w:val="none"/>
          <w:lang w:bidi="ar"/>
        </w:rPr>
        <w:t xml:space="preserve">具有</w:t>
      </w:r>
      <w:r>
        <w:rPr>
          <w:rStyle w:val="1157"/>
          <w:rFonts w:hint="eastAsia" w:eastAsia="宋体"/>
          <w:color w:val="auto"/>
          <w:sz w:val="24"/>
          <w:szCs w:val="24"/>
          <w:highlight w:val="none"/>
          <w:lang w:val="en-US" w:eastAsia="zh-CN" w:bidi="ar"/>
        </w:rPr>
        <w:t xml:space="preserve">行政主管部门颁发的环境工程类</w:t>
      </w:r>
      <w:r>
        <w:rPr>
          <w:rStyle w:val="1157"/>
          <w:rFonts w:hint="default"/>
          <w:color w:val="auto"/>
          <w:sz w:val="24"/>
          <w:szCs w:val="24"/>
          <w:highlight w:val="none"/>
          <w:lang w:bidi="ar"/>
        </w:rPr>
        <w:t xml:space="preserve">初级或以上职称证书的得</w:t>
      </w:r>
      <w:r>
        <w:rPr>
          <w:rStyle w:val="1157"/>
          <w:rFonts w:hint="eastAsia" w:eastAsia="宋体"/>
          <w:color w:val="auto"/>
          <w:sz w:val="24"/>
          <w:szCs w:val="24"/>
          <w:highlight w:val="none"/>
          <w:lang w:val="en-US" w:eastAsia="zh-CN" w:bidi="ar"/>
        </w:rPr>
        <w:t xml:space="preserve">0.5</w:t>
      </w:r>
      <w:r>
        <w:rPr>
          <w:rStyle w:val="1157"/>
          <w:rFonts w:hint="default"/>
          <w:color w:val="auto"/>
          <w:sz w:val="24"/>
          <w:szCs w:val="24"/>
          <w:highlight w:val="none"/>
          <w:lang w:bidi="ar"/>
        </w:rPr>
        <w:t xml:space="preserve">分；</w:t>
      </w:r>
      <w:r/>
    </w:p>
    <w:p>
      <w:pPr>
        <w:numPr>
          <w:ilvl w:val="0"/>
          <w:numId w:val="0"/>
        </w:numPr>
        <w:ind w:firstLine="480"/>
        <w:keepLines w:val="0"/>
        <w:keepNext w:val="0"/>
        <w:pageBreakBefore w:val="0"/>
        <w:spacing w:line="360" w:lineRule="auto"/>
        <w:widowControl w:val="off"/>
        <w:rPr>
          <w:rStyle w:val="1157"/>
          <w:rFonts w:hint="default"/>
          <w:color w:val="auto"/>
          <w:sz w:val="24"/>
          <w:szCs w:val="24"/>
          <w:highlight w:val="none"/>
          <w:lang w:bidi="ar"/>
        </w:rPr>
      </w:pPr>
      <w:r>
        <w:rPr>
          <w:rFonts w:hint="eastAsia"/>
          <w:bCs/>
          <w:color w:val="auto"/>
          <w:sz w:val="24"/>
          <w:highlight w:val="none"/>
        </w:rPr>
        <w:t xml:space="preserve">⑤</w:t>
      </w:r>
      <w:r>
        <w:rPr>
          <w:rStyle w:val="1157"/>
          <w:rFonts w:hint="default"/>
          <w:color w:val="auto"/>
          <w:sz w:val="24"/>
          <w:szCs w:val="24"/>
          <w:highlight w:val="none"/>
          <w:lang w:bidi="ar"/>
        </w:rPr>
        <w:t xml:space="preserve">具有五级或以上应急管理部紧急救援促进中心颁发的应急救援员职业资格证书得</w:t>
      </w:r>
      <w:r>
        <w:rPr>
          <w:rStyle w:val="1157"/>
          <w:rFonts w:hint="eastAsia" w:eastAsia="宋体"/>
          <w:color w:val="auto"/>
          <w:sz w:val="24"/>
          <w:szCs w:val="24"/>
          <w:highlight w:val="none"/>
          <w:lang w:val="en-US" w:eastAsia="zh-CN" w:bidi="ar"/>
        </w:rPr>
        <w:t xml:space="preserve">0.5</w:t>
      </w:r>
      <w:r>
        <w:rPr>
          <w:rStyle w:val="1157"/>
          <w:rFonts w:hint="default"/>
          <w:color w:val="auto"/>
          <w:sz w:val="24"/>
          <w:szCs w:val="24"/>
          <w:highlight w:val="none"/>
          <w:lang w:bidi="ar"/>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eastAsia="zh-CN"/>
        </w:rPr>
        <w:t xml:space="preserve">（</w:t>
      </w:r>
      <w:r>
        <w:rPr>
          <w:rFonts w:hint="eastAsia"/>
          <w:b/>
          <w:color w:val="auto"/>
          <w:sz w:val="24"/>
          <w:highlight w:val="none"/>
        </w:rPr>
        <w:t xml:space="preserve">投标人提供为其缴纳的</w:t>
      </w:r>
      <w:r>
        <w:rPr>
          <w:rFonts w:hint="eastAsia" w:ascii="宋体" w:hAnsi="宋体" w:eastAsia="宋体" w:cs="宋体"/>
          <w:b/>
          <w:color w:val="auto"/>
          <w:sz w:val="24"/>
          <w:szCs w:val="24"/>
          <w:highlight w:val="none"/>
        </w:rPr>
        <w:t xml:space="preserve">近3个月</w:t>
      </w:r>
      <w:r>
        <w:rPr>
          <w:rFonts w:hint="eastAsia" w:ascii="宋体" w:hAnsi="宋体" w:eastAsia="宋体" w:cs="宋体"/>
          <w:b/>
          <w:color w:val="auto"/>
          <w:sz w:val="24"/>
          <w:szCs w:val="24"/>
          <w:highlight w:val="none"/>
          <w:lang w:val="en-US" w:eastAsia="zh-CN"/>
        </w:rPr>
        <w:t xml:space="preserve">中任意一个月</w:t>
      </w:r>
      <w:r>
        <w:rPr>
          <w:rFonts w:hint="eastAsia" w:ascii="宋体" w:hAnsi="宋体" w:cs="宋体"/>
          <w:b/>
          <w:color w:val="auto"/>
          <w:sz w:val="24"/>
          <w:highlight w:val="none"/>
        </w:rPr>
        <w:t xml:space="preserve">（</w:t>
      </w:r>
      <w:r>
        <w:rPr>
          <w:rFonts w:hint="eastAsia" w:ascii="宋体" w:hAnsi="宋体" w:cs="宋体"/>
          <w:b/>
          <w:color w:val="auto"/>
          <w:sz w:val="24"/>
          <w:szCs w:val="24"/>
          <w:highlight w:val="none"/>
        </w:rPr>
        <w:t xml:space="preserve">不含投标当月</w:t>
      </w:r>
      <w:r>
        <w:rPr>
          <w:rFonts w:hint="eastAsia" w:ascii="宋体" w:hAnsi="宋体" w:cs="宋体"/>
          <w:b/>
          <w:color w:val="auto"/>
          <w:sz w:val="24"/>
          <w:highlight w:val="none"/>
        </w:rPr>
        <w:t xml:space="preserve">）</w:t>
      </w:r>
      <w:r>
        <w:rPr>
          <w:rFonts w:hint="eastAsia"/>
          <w:b/>
          <w:color w:val="auto"/>
          <w:sz w:val="24"/>
          <w:highlight w:val="none"/>
        </w:rPr>
        <w:t xml:space="preserve">的社保缴费证明扫描件、身份证扫描件、学历证书扫描件、有效证书</w:t>
      </w:r>
      <w:r>
        <w:rPr>
          <w:rFonts w:hint="eastAsia"/>
          <w:b/>
          <w:color w:val="auto"/>
          <w:sz w:val="24"/>
          <w:highlight w:val="none"/>
          <w:lang w:val="en-US" w:eastAsia="zh-CN"/>
        </w:rPr>
        <w:t xml:space="preserve">原件</w:t>
      </w:r>
      <w:r>
        <w:rPr>
          <w:rFonts w:hint="eastAsia"/>
          <w:b/>
          <w:color w:val="auto"/>
          <w:sz w:val="24"/>
          <w:highlight w:val="none"/>
        </w:rPr>
        <w:t xml:space="preserve">扫描件</w:t>
      </w:r>
      <w:r>
        <w:rPr>
          <w:rFonts w:hint="eastAsia"/>
          <w:b/>
          <w:color w:val="auto"/>
          <w:sz w:val="24"/>
          <w:highlight w:val="none"/>
          <w:lang w:val="en-US" w:eastAsia="zh-CN"/>
        </w:rPr>
        <w:t xml:space="preserve">并签章</w:t>
      </w:r>
      <w:r>
        <w:rPr>
          <w:rFonts w:hint="eastAsia"/>
          <w:b/>
          <w:color w:val="auto"/>
          <w:sz w:val="24"/>
          <w:highlight w:val="none"/>
        </w:rPr>
        <w:t xml:space="preserve">，不提供不得分</w:t>
      </w:r>
      <w:r>
        <w:rPr>
          <w:rFonts w:hint="eastAsia" w:ascii="宋体" w:hAnsi="宋体" w:eastAsia="宋体" w:cs="宋体"/>
          <w:b/>
          <w:bCs w:val="0"/>
          <w:color w:val="auto"/>
          <w:sz w:val="24"/>
          <w:highlight w:val="none"/>
          <w:lang w:eastAsia="zh-CN"/>
        </w:rPr>
        <w:t xml:space="preserve">）</w:t>
      </w:r>
      <w:r/>
    </w:p>
    <w:p>
      <w:pPr>
        <w:ind w:firstLine="482"/>
        <w:spacing w:line="360" w:lineRule="auto"/>
        <w:rPr>
          <w:b/>
          <w:color w:val="auto"/>
          <w:sz w:val="24"/>
          <w:highlight w:val="none"/>
        </w:rPr>
      </w:pPr>
      <w:r>
        <w:rPr>
          <w:rFonts w:hint="eastAsia" w:ascii="宋体" w:hAnsi="宋体" w:eastAsia="宋体" w:cs="宋体"/>
          <w:b/>
          <w:bCs w:val="0"/>
          <w:color w:val="auto"/>
          <w:sz w:val="24"/>
          <w:highlight w:val="none"/>
          <w:lang w:val="en-US" w:eastAsia="zh-CN"/>
        </w:rPr>
        <w:t xml:space="preserve">6）</w:t>
      </w:r>
      <w:r>
        <w:rPr>
          <w:rFonts w:hint="eastAsia"/>
          <w:b/>
          <w:color w:val="auto"/>
          <w:sz w:val="24"/>
          <w:highlight w:val="none"/>
        </w:rPr>
        <w:t xml:space="preserve">拟派其他人员（</w:t>
      </w:r>
      <w:r>
        <w:rPr>
          <w:rFonts w:hint="eastAsia"/>
          <w:b/>
          <w:color w:val="auto"/>
          <w:sz w:val="24"/>
          <w:highlight w:val="none"/>
          <w:lang w:val="en-US" w:eastAsia="zh-CN"/>
        </w:rPr>
        <w:t xml:space="preserve">4</w:t>
      </w:r>
      <w:r>
        <w:rPr>
          <w:rFonts w:hint="eastAsia"/>
          <w:b/>
          <w:color w:val="auto"/>
          <w:sz w:val="24"/>
          <w:highlight w:val="none"/>
        </w:rPr>
        <w:t xml:space="preserve">分）：除上述负责人外，拟派本项目现场的服务人员中：</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szCs w:val="24"/>
          <w:highlight w:val="none"/>
        </w:rPr>
        <w:t xml:space="preserve">具有行政主管部门颁发的四级（中级）及以上建（构）筑物消防员证书或消防设施操作员四级（中级）及以上证书</w:t>
      </w:r>
      <w:r>
        <w:rPr>
          <w:rFonts w:hint="eastAsia" w:ascii="宋体" w:hAnsi="宋体" w:eastAsia="宋体" w:cs="宋体"/>
          <w:bCs/>
          <w:color w:val="auto"/>
          <w:sz w:val="24"/>
          <w:highlight w:val="none"/>
        </w:rPr>
        <w:t xml:space="preserve">，有一个得</w:t>
      </w:r>
      <w:r>
        <w:rPr>
          <w:rFonts w:hint="eastAsia" w:ascii="宋体" w:hAnsi="宋体" w:eastAsia="宋体" w:cs="宋体"/>
          <w:bCs/>
          <w:color w:val="auto"/>
          <w:sz w:val="24"/>
          <w:highlight w:val="none"/>
          <w:lang w:val="en-US" w:eastAsia="zh-CN"/>
        </w:rPr>
        <w:t xml:space="preserve">0.5</w:t>
      </w:r>
      <w:r>
        <w:rPr>
          <w:rFonts w:hint="eastAsia" w:ascii="宋体" w:hAnsi="宋体" w:eastAsia="宋体" w:cs="宋体"/>
          <w:bCs/>
          <w:color w:val="auto"/>
          <w:sz w:val="24"/>
          <w:highlight w:val="none"/>
        </w:rPr>
        <w:t xml:space="preserve">分，最高得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2）具有</w:t>
      </w:r>
      <w:r>
        <w:rPr>
          <w:rFonts w:hint="eastAsia" w:ascii="宋体" w:hAnsi="宋体" w:cs="宋体"/>
          <w:bCs/>
          <w:color w:val="auto"/>
          <w:sz w:val="24"/>
          <w:highlight w:val="none"/>
          <w:lang w:eastAsia="zh-CN"/>
        </w:rPr>
        <w:t xml:space="preserve">中级（含）以上</w:t>
      </w:r>
      <w:r>
        <w:rPr>
          <w:rFonts w:hint="eastAsia" w:ascii="宋体" w:hAnsi="宋体" w:eastAsia="宋体" w:cs="宋体"/>
          <w:bCs/>
          <w:color w:val="auto"/>
          <w:sz w:val="24"/>
          <w:highlight w:val="none"/>
        </w:rPr>
        <w:t xml:space="preserve">保安员证的，有一个得</w:t>
      </w:r>
      <w:r>
        <w:rPr>
          <w:rFonts w:hint="eastAsia" w:ascii="宋体" w:hAnsi="宋体" w:eastAsia="宋体" w:cs="宋体"/>
          <w:bCs/>
          <w:color w:val="auto"/>
          <w:sz w:val="24"/>
          <w:highlight w:val="none"/>
          <w:lang w:val="en-US" w:eastAsia="zh-CN"/>
        </w:rPr>
        <w:t xml:space="preserve">0.5</w:t>
      </w:r>
      <w:r>
        <w:rPr>
          <w:rFonts w:hint="eastAsia" w:ascii="宋体" w:hAnsi="宋体" w:eastAsia="宋体" w:cs="宋体"/>
          <w:bCs/>
          <w:color w:val="auto"/>
          <w:sz w:val="24"/>
          <w:highlight w:val="none"/>
        </w:rPr>
        <w:t xml:space="preserve">分，最高得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3）具有</w:t>
      </w:r>
      <w:r>
        <w:rPr>
          <w:rFonts w:hint="eastAsia" w:ascii="宋体" w:hAnsi="宋体" w:eastAsia="宋体" w:cs="宋体"/>
          <w:bCs/>
          <w:color w:val="auto"/>
          <w:sz w:val="24"/>
          <w:highlight w:val="none"/>
          <w:lang w:val="en-US" w:eastAsia="zh-CN"/>
        </w:rPr>
        <w:t xml:space="preserve">特种设备</w:t>
      </w:r>
      <w:r>
        <w:rPr>
          <w:rFonts w:hint="eastAsia" w:ascii="宋体" w:hAnsi="宋体" w:eastAsia="宋体" w:cs="宋体"/>
          <w:bCs/>
          <w:color w:val="auto"/>
          <w:sz w:val="24"/>
          <w:highlight w:val="none"/>
        </w:rPr>
        <w:t xml:space="preserve">安全管理和作业人员证的，有一个得</w:t>
      </w:r>
      <w:r>
        <w:rPr>
          <w:rFonts w:hint="eastAsia" w:ascii="宋体" w:hAnsi="宋体" w:eastAsia="宋体" w:cs="宋体"/>
          <w:bCs/>
          <w:color w:val="auto"/>
          <w:sz w:val="24"/>
          <w:highlight w:val="none"/>
          <w:lang w:val="en-US" w:eastAsia="zh-CN"/>
        </w:rPr>
        <w:t xml:space="preserve">0.5</w:t>
      </w:r>
      <w:r>
        <w:rPr>
          <w:rFonts w:hint="eastAsia" w:ascii="宋体" w:hAnsi="宋体" w:eastAsia="宋体" w:cs="宋体"/>
          <w:bCs/>
          <w:color w:val="auto"/>
          <w:sz w:val="24"/>
          <w:highlight w:val="none"/>
        </w:rPr>
        <w:t xml:space="preserve">分，最高得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4）具有三级（高级）电工的，有一个得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分，最高得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p>
    <w:p>
      <w:pPr>
        <w:numPr>
          <w:ilvl w:val="0"/>
          <w:numId w:val="0"/>
        </w:numPr>
        <w:ind w:firstLine="482"/>
        <w:keepLines w:val="0"/>
        <w:keepNext w:val="0"/>
        <w:pageBreakBefore w:val="0"/>
        <w:spacing w:line="360" w:lineRule="auto"/>
        <w:widowControl w:val="off"/>
        <w:rPr>
          <w:rFonts w:hint="default"/>
          <w:bCs/>
          <w:color w:val="auto"/>
          <w:sz w:val="24"/>
          <w:highlight w:val="none"/>
          <w:lang w:val="en-US" w:eastAsia="zh-CN"/>
        </w:rPr>
      </w:pPr>
      <w:r>
        <w:rPr>
          <w:rFonts w:hint="eastAsia" w:ascii="宋体" w:hAnsi="宋体" w:eastAsia="宋体" w:cs="宋体"/>
          <w:b/>
          <w:bCs w:val="0"/>
          <w:color w:val="auto"/>
          <w:sz w:val="24"/>
          <w:highlight w:val="none"/>
          <w:lang w:eastAsia="zh-CN"/>
        </w:rPr>
        <w:t xml:space="preserve">（</w:t>
      </w:r>
      <w:r>
        <w:rPr>
          <w:rFonts w:hint="eastAsia"/>
          <w:b/>
          <w:color w:val="auto"/>
          <w:sz w:val="24"/>
          <w:highlight w:val="none"/>
        </w:rPr>
        <w:t xml:space="preserve">投标人提供为其缴纳的</w:t>
      </w:r>
      <w:r>
        <w:rPr>
          <w:rFonts w:hint="eastAsia" w:ascii="宋体" w:hAnsi="宋体" w:eastAsia="宋体" w:cs="宋体"/>
          <w:b/>
          <w:color w:val="auto"/>
          <w:sz w:val="24"/>
          <w:szCs w:val="24"/>
          <w:highlight w:val="none"/>
        </w:rPr>
        <w:t xml:space="preserve">近3个月</w:t>
      </w:r>
      <w:r>
        <w:rPr>
          <w:rFonts w:hint="eastAsia" w:ascii="宋体" w:hAnsi="宋体" w:eastAsia="宋体" w:cs="宋体"/>
          <w:b/>
          <w:color w:val="auto"/>
          <w:sz w:val="24"/>
          <w:szCs w:val="24"/>
          <w:highlight w:val="none"/>
          <w:lang w:val="en-US" w:eastAsia="zh-CN"/>
        </w:rPr>
        <w:t xml:space="preserve">中任意一个月</w:t>
      </w:r>
      <w:r>
        <w:rPr>
          <w:rFonts w:hint="eastAsia" w:ascii="宋体" w:hAnsi="宋体" w:cs="宋体"/>
          <w:b/>
          <w:color w:val="auto"/>
          <w:sz w:val="24"/>
          <w:highlight w:val="none"/>
        </w:rPr>
        <w:t xml:space="preserve">（</w:t>
      </w:r>
      <w:r>
        <w:rPr>
          <w:rFonts w:hint="eastAsia" w:ascii="宋体" w:hAnsi="宋体" w:cs="宋体"/>
          <w:b/>
          <w:color w:val="auto"/>
          <w:sz w:val="24"/>
          <w:szCs w:val="24"/>
          <w:highlight w:val="none"/>
        </w:rPr>
        <w:t xml:space="preserve">不含投标当月</w:t>
      </w:r>
      <w:r>
        <w:rPr>
          <w:rFonts w:hint="eastAsia" w:ascii="宋体" w:hAnsi="宋体" w:cs="宋体"/>
          <w:b/>
          <w:color w:val="auto"/>
          <w:sz w:val="24"/>
          <w:highlight w:val="none"/>
        </w:rPr>
        <w:t xml:space="preserve">）</w:t>
      </w:r>
      <w:r>
        <w:rPr>
          <w:rFonts w:hint="eastAsia"/>
          <w:b/>
          <w:color w:val="auto"/>
          <w:sz w:val="24"/>
          <w:highlight w:val="none"/>
        </w:rPr>
        <w:t xml:space="preserve">的社保缴费证明扫描件、身份证扫描件、学历证书扫描件、有效证书</w:t>
      </w:r>
      <w:r>
        <w:rPr>
          <w:rFonts w:hint="eastAsia"/>
          <w:b/>
          <w:color w:val="auto"/>
          <w:sz w:val="24"/>
          <w:highlight w:val="none"/>
          <w:lang w:val="en-US" w:eastAsia="zh-CN"/>
        </w:rPr>
        <w:t xml:space="preserve">原件</w:t>
      </w:r>
      <w:r>
        <w:rPr>
          <w:rFonts w:hint="eastAsia"/>
          <w:b/>
          <w:color w:val="auto"/>
          <w:sz w:val="24"/>
          <w:highlight w:val="none"/>
        </w:rPr>
        <w:t xml:space="preserve">扫描件</w:t>
      </w:r>
      <w:r>
        <w:rPr>
          <w:rFonts w:hint="eastAsia"/>
          <w:b/>
          <w:color w:val="auto"/>
          <w:sz w:val="24"/>
          <w:highlight w:val="none"/>
          <w:lang w:val="en-US" w:eastAsia="zh-CN"/>
        </w:rPr>
        <w:t xml:space="preserve">并签章</w:t>
      </w:r>
      <w:r>
        <w:rPr>
          <w:rFonts w:hint="eastAsia"/>
          <w:b/>
          <w:color w:val="auto"/>
          <w:sz w:val="24"/>
          <w:highlight w:val="none"/>
        </w:rPr>
        <w:t xml:space="preserve">，不提供不得分</w:t>
      </w:r>
      <w:r>
        <w:rPr>
          <w:rFonts w:hint="eastAsia" w:ascii="宋体" w:hAnsi="宋体" w:eastAsia="宋体" w:cs="宋体"/>
          <w:b/>
          <w:bCs w:val="0"/>
          <w:color w:val="auto"/>
          <w:sz w:val="24"/>
          <w:highlight w:val="none"/>
          <w:lang w:eastAsia="zh-CN"/>
        </w:rPr>
        <w:t xml:space="preserve">）</w:t>
      </w:r>
      <w:r/>
    </w:p>
    <w:p>
      <w:pPr>
        <w:ind w:firstLine="482"/>
        <w:keepLines w:val="0"/>
        <w:keepNext w:val="0"/>
        <w:pageBreakBefore w:val="0"/>
        <w:spacing w:line="440" w:lineRule="exact"/>
        <w:widowControl w:val="off"/>
        <w:tabs>
          <w:tab w:val="left" w:pos="420" w:leader="none"/>
          <w:tab w:val="left" w:pos="945" w:leader="none"/>
          <w:tab w:val="left" w:pos="1155" w:leader="none"/>
          <w:tab w:val="left" w:pos="127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注：以上所有人员一人多证不重复计分，按最高得分计。</w:t>
      </w:r>
      <w:bookmarkEnd w:id="128"/>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（三）服务方案（50分）（暗标部分）</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（1）项目整体设想与规划（6分）</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投标供应商针对本项目提供的物业管理服务的整体设想</w:t>
      </w:r>
      <w:r>
        <w:rPr>
          <w:rFonts w:hint="eastAsia" w:ascii="宋体" w:hAnsi="宋体" w:cs="宋体"/>
          <w:b w:val="0"/>
          <w:bCs w:val="0"/>
          <w:color w:val="auto"/>
          <w:sz w:val="24"/>
          <w:szCs w:val="24"/>
          <w:highlight w:val="none"/>
          <w:lang w:val="en-US" w:eastAsia="zh-CN"/>
        </w:rPr>
        <w:t xml:space="preserve">与规划</w:t>
      </w:r>
      <w:r>
        <w:rPr>
          <w:rFonts w:hint="eastAsia" w:ascii="宋体" w:hAnsi="宋体" w:cs="宋体"/>
          <w:b w:val="0"/>
          <w:bCs w:val="0"/>
          <w:color w:val="auto"/>
          <w:sz w:val="24"/>
          <w:szCs w:val="24"/>
          <w:highlight w:val="none"/>
          <w:lang w:eastAsia="zh-CN"/>
        </w:rPr>
        <w:t xml:space="preserve">包括下述3项：①供应商对本项目的理解与思路；②供应商对本项目的承接优势；③供应商对本项目的方案设想及管理措施。</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（2）项目管理服务体系（</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投标供应商针对本项目提供的物业服务管理</w:t>
      </w:r>
      <w:r>
        <w:rPr>
          <w:rFonts w:hint="eastAsia" w:ascii="宋体" w:hAnsi="宋体" w:cs="宋体"/>
          <w:b w:val="0"/>
          <w:bCs w:val="0"/>
          <w:color w:val="auto"/>
          <w:sz w:val="24"/>
          <w:szCs w:val="24"/>
          <w:highlight w:val="none"/>
          <w:lang w:val="en-US" w:eastAsia="zh-CN"/>
        </w:rPr>
        <w:t xml:space="preserve">服务体系</w:t>
      </w:r>
      <w:r>
        <w:rPr>
          <w:rFonts w:hint="eastAsia" w:ascii="宋体" w:hAnsi="宋体" w:cs="宋体"/>
          <w:b w:val="0"/>
          <w:bCs w:val="0"/>
          <w:color w:val="auto"/>
          <w:sz w:val="24"/>
          <w:szCs w:val="24"/>
          <w:highlight w:val="none"/>
          <w:lang w:eastAsia="zh-CN"/>
        </w:rPr>
        <w:t xml:space="preserve">具体方案包括下述</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项：①</w:t>
      </w:r>
      <w:r>
        <w:rPr>
          <w:rFonts w:hint="eastAsia" w:ascii="宋体" w:hAnsi="宋体" w:eastAsia="宋体" w:cs="宋体"/>
          <w:b w:val="0"/>
          <w:bCs w:val="0"/>
          <w:color w:val="auto"/>
          <w:sz w:val="24"/>
          <w:szCs w:val="24"/>
          <w:highlight w:val="none"/>
        </w:rPr>
        <w:t xml:space="preserve">管理服务体系</w:t>
      </w:r>
      <w:r>
        <w:rPr>
          <w:rFonts w:hint="eastAsia" w:ascii="宋体" w:hAnsi="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rPr>
        <w:t xml:space="preserve">管理工作流程；②</w:t>
      </w:r>
      <w:r>
        <w:rPr>
          <w:rFonts w:hint="eastAsia" w:ascii="宋体" w:hAnsi="宋体" w:cs="宋体"/>
          <w:b w:val="0"/>
          <w:bCs w:val="0"/>
          <w:color w:val="auto"/>
          <w:sz w:val="24"/>
          <w:szCs w:val="24"/>
          <w:highlight w:val="none"/>
          <w:lang w:val="en-US" w:eastAsia="zh-CN"/>
        </w:rPr>
        <w:t xml:space="preserve">目</w:t>
      </w:r>
      <w:r>
        <w:rPr>
          <w:rFonts w:hint="eastAsia" w:ascii="宋体" w:hAnsi="宋体" w:eastAsia="宋体" w:cs="宋体"/>
          <w:b w:val="0"/>
          <w:bCs w:val="0"/>
          <w:color w:val="auto"/>
          <w:sz w:val="24"/>
          <w:szCs w:val="24"/>
          <w:highlight w:val="none"/>
        </w:rPr>
        <w:t xml:space="preserve">标管理责任</w:t>
      </w:r>
      <w:r>
        <w:rPr>
          <w:rFonts w:hint="eastAsia" w:ascii="宋体" w:hAnsi="宋体" w:eastAsia="宋体" w:cs="宋体"/>
          <w:b w:val="0"/>
          <w:bCs w:val="0"/>
          <w:color w:val="auto"/>
          <w:sz w:val="24"/>
          <w:szCs w:val="24"/>
          <w:highlight w:val="none"/>
          <w:lang w:eastAsia="zh-CN"/>
        </w:rPr>
        <w:t xml:space="preserve">、监督机制</w:t>
      </w:r>
      <w:r>
        <w:rPr>
          <w:rFonts w:hint="eastAsia" w:ascii="宋体" w:hAnsi="宋体" w:cs="宋体"/>
          <w:b w:val="0"/>
          <w:bCs w:val="0"/>
          <w:color w:val="auto"/>
          <w:sz w:val="24"/>
          <w:szCs w:val="24"/>
          <w:highlight w:val="none"/>
          <w:lang w:eastAsia="zh-CN"/>
        </w:rPr>
        <w:t xml:space="preserve">。</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分，存在1处瑕疵的得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分，存在2处瑕疵的，有基本的解释说明的得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分，未进行阐述或不满足采购需求或内容存在2处以上瑕疵的得0分；本项共计</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点内容，本项最高得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lang w:val="en-US" w:eastAsia="zh-CN"/>
        </w:rPr>
        <w:t xml:space="preserve">项目岗前培训及阶段性培训管理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投标供应商针对本项目提供的</w:t>
      </w:r>
      <w:r>
        <w:rPr>
          <w:rFonts w:hint="eastAsia" w:ascii="宋体" w:hAnsi="宋体" w:cs="宋体"/>
          <w:b w:val="0"/>
          <w:bCs w:val="0"/>
          <w:color w:val="auto"/>
          <w:sz w:val="24"/>
          <w:szCs w:val="24"/>
          <w:highlight w:val="none"/>
          <w:lang w:val="en-US" w:eastAsia="zh-CN"/>
        </w:rPr>
        <w:t xml:space="preserve">岗前培训及阶段性培训管理</w:t>
      </w:r>
      <w:r>
        <w:rPr>
          <w:rFonts w:hint="eastAsia" w:ascii="宋体" w:hAnsi="宋体" w:cs="宋体"/>
          <w:b w:val="0"/>
          <w:bCs w:val="0"/>
          <w:color w:val="auto"/>
          <w:sz w:val="24"/>
          <w:szCs w:val="24"/>
          <w:highlight w:val="none"/>
          <w:lang w:eastAsia="zh-CN"/>
        </w:rPr>
        <w:t xml:space="preserve">方案包括下述3项：①</w:t>
      </w:r>
      <w:r>
        <w:rPr>
          <w:rFonts w:hint="eastAsia" w:ascii="宋体" w:hAnsi="宋体" w:cs="宋体"/>
          <w:b w:val="0"/>
          <w:bCs w:val="0"/>
          <w:color w:val="auto"/>
          <w:sz w:val="24"/>
          <w:szCs w:val="24"/>
          <w:highlight w:val="none"/>
          <w:lang w:val="en-US" w:eastAsia="zh-CN"/>
        </w:rPr>
        <w:t xml:space="preserve">项目及人员</w:t>
      </w:r>
      <w:r>
        <w:rPr>
          <w:rFonts w:hint="eastAsia" w:ascii="宋体" w:hAnsi="宋体" w:cs="宋体"/>
          <w:b w:val="0"/>
          <w:bCs w:val="0"/>
          <w:color w:val="auto"/>
          <w:sz w:val="24"/>
          <w:szCs w:val="24"/>
          <w:highlight w:val="none"/>
          <w:lang w:eastAsia="zh-CN"/>
        </w:rPr>
        <w:t xml:space="preserve">培训目标；②</w:t>
      </w:r>
      <w:r>
        <w:rPr>
          <w:rFonts w:hint="eastAsia" w:ascii="宋体" w:hAnsi="宋体" w:cs="宋体"/>
          <w:b w:val="0"/>
          <w:bCs w:val="0"/>
          <w:color w:val="auto"/>
          <w:sz w:val="24"/>
          <w:szCs w:val="24"/>
          <w:highlight w:val="none"/>
          <w:lang w:val="en-US" w:eastAsia="zh-CN"/>
        </w:rPr>
        <w:t xml:space="preserve">项目及</w:t>
      </w:r>
      <w:r>
        <w:rPr>
          <w:rFonts w:hint="eastAsia" w:ascii="宋体" w:hAnsi="宋体" w:cs="宋体"/>
          <w:b w:val="0"/>
          <w:bCs w:val="0"/>
          <w:color w:val="auto"/>
          <w:sz w:val="24"/>
          <w:szCs w:val="24"/>
          <w:highlight w:val="none"/>
          <w:lang w:eastAsia="zh-CN"/>
        </w:rPr>
        <w:t xml:space="preserve">人员培训管理；③</w:t>
      </w:r>
      <w:r>
        <w:rPr>
          <w:rFonts w:hint="eastAsia" w:ascii="宋体" w:hAnsi="宋体" w:cs="宋体"/>
          <w:b w:val="0"/>
          <w:bCs w:val="0"/>
          <w:color w:val="auto"/>
          <w:sz w:val="24"/>
          <w:szCs w:val="24"/>
          <w:highlight w:val="none"/>
          <w:lang w:val="en-US" w:eastAsia="zh-CN"/>
        </w:rPr>
        <w:t xml:space="preserve">项目及</w:t>
      </w:r>
      <w:r>
        <w:rPr>
          <w:rFonts w:hint="eastAsia" w:ascii="宋体" w:hAnsi="宋体" w:cs="宋体"/>
          <w:b w:val="0"/>
          <w:bCs w:val="0"/>
          <w:color w:val="auto"/>
          <w:sz w:val="24"/>
          <w:szCs w:val="24"/>
          <w:highlight w:val="none"/>
          <w:lang w:eastAsia="zh-CN"/>
        </w:rPr>
        <w:t xml:space="preserve">人员培训内容、培训计划。</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分，存在1处瑕疵的得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分，存在2处瑕疵的，有基本的解释说明的得</w:t>
      </w:r>
      <w:r>
        <w:rPr>
          <w:rFonts w:hint="eastAsia" w:ascii="宋体" w:hAnsi="宋体" w:cs="宋体"/>
          <w:b w:val="0"/>
          <w:bCs w:val="0"/>
          <w:color w:val="auto"/>
          <w:sz w:val="24"/>
          <w:szCs w:val="24"/>
          <w:highlight w:val="none"/>
          <w:lang w:val="en-US" w:eastAsia="zh-CN"/>
        </w:rPr>
        <w:t xml:space="preserve">0.25</w:t>
      </w:r>
      <w:r>
        <w:rPr>
          <w:rFonts w:hint="eastAsia" w:ascii="宋体" w:hAnsi="宋体" w:cs="宋体"/>
          <w:b w:val="0"/>
          <w:bCs w:val="0"/>
          <w:color w:val="auto"/>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（4）</w:t>
      </w:r>
      <w:r>
        <w:rPr>
          <w:rFonts w:hint="eastAsia" w:ascii="宋体" w:hAnsi="宋体" w:cs="宋体"/>
          <w:b/>
          <w:bCs/>
          <w:color w:val="auto"/>
          <w:sz w:val="24"/>
          <w:szCs w:val="24"/>
          <w:highlight w:val="none"/>
          <w:lang w:val="en-US" w:eastAsia="zh-CN"/>
        </w:rPr>
        <w:t xml:space="preserve">项目日常管理标准及措施</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投标供应商针对本项目提供的</w:t>
      </w:r>
      <w:r>
        <w:rPr>
          <w:rFonts w:hint="eastAsia" w:ascii="宋体" w:hAnsi="宋体" w:cs="宋体"/>
          <w:b w:val="0"/>
          <w:bCs w:val="0"/>
          <w:color w:val="auto"/>
          <w:sz w:val="24"/>
          <w:szCs w:val="24"/>
          <w:highlight w:val="none"/>
          <w:lang w:val="en-US" w:eastAsia="zh-CN"/>
        </w:rPr>
        <w:t xml:space="preserve">日常管理标准及措施</w:t>
      </w:r>
      <w:r>
        <w:rPr>
          <w:rFonts w:hint="eastAsia" w:ascii="宋体" w:hAnsi="宋体" w:cs="宋体"/>
          <w:b w:val="0"/>
          <w:bCs w:val="0"/>
          <w:color w:val="auto"/>
          <w:sz w:val="24"/>
          <w:szCs w:val="24"/>
          <w:highlight w:val="none"/>
          <w:lang w:eastAsia="zh-CN"/>
        </w:rPr>
        <w:t xml:space="preserve">包括下述</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项：</w:t>
      </w:r>
      <w:r>
        <w:rPr>
          <w:rFonts w:hint="eastAsia" w:ascii="宋体" w:hAnsi="宋体" w:eastAsia="宋体" w:cs="宋体"/>
          <w:b w:val="0"/>
          <w:bCs w:val="0"/>
          <w:color w:val="auto"/>
          <w:sz w:val="24"/>
          <w:szCs w:val="24"/>
          <w:highlight w:val="none"/>
        </w:rPr>
        <w:t xml:space="preserve">①清洁服务</w:t>
      </w:r>
      <w:r>
        <w:rPr>
          <w:rFonts w:hint="eastAsia" w:ascii="宋体" w:hAnsi="宋体" w:eastAsia="宋体" w:cs="宋体"/>
          <w:b w:val="0"/>
          <w:bCs w:val="0"/>
          <w:color w:val="auto"/>
          <w:sz w:val="24"/>
          <w:szCs w:val="24"/>
          <w:highlight w:val="none"/>
          <w:lang w:val="en-US" w:eastAsia="zh-CN"/>
        </w:rPr>
        <w:t xml:space="preserve">日常管理标准及措施</w:t>
      </w:r>
      <w:r>
        <w:rPr>
          <w:rFonts w:hint="eastAsia" w:ascii="宋体" w:hAnsi="宋体" w:eastAsia="宋体" w:cs="宋体"/>
          <w:b w:val="0"/>
          <w:bCs w:val="0"/>
          <w:color w:val="auto"/>
          <w:sz w:val="24"/>
          <w:szCs w:val="24"/>
          <w:highlight w:val="none"/>
        </w:rPr>
        <w:t xml:space="preserve">；②</w:t>
      </w:r>
      <w:r>
        <w:rPr>
          <w:rFonts w:hint="eastAsia" w:ascii="宋体" w:hAnsi="宋体" w:eastAsia="宋体" w:cs="宋体"/>
          <w:b w:val="0"/>
          <w:bCs w:val="0"/>
          <w:color w:val="auto"/>
          <w:sz w:val="24"/>
          <w:highlight w:val="none"/>
        </w:rPr>
        <w:t xml:space="preserve">保安服务</w:t>
      </w:r>
      <w:r>
        <w:rPr>
          <w:rFonts w:hint="eastAsia" w:ascii="宋体" w:hAnsi="宋体" w:eastAsia="宋体" w:cs="宋体"/>
          <w:b w:val="0"/>
          <w:bCs w:val="0"/>
          <w:color w:val="auto"/>
          <w:sz w:val="24"/>
          <w:szCs w:val="24"/>
          <w:highlight w:val="none"/>
          <w:lang w:val="en-US" w:eastAsia="zh-CN"/>
        </w:rPr>
        <w:t xml:space="preserve">日常管理标准及措施</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highlight w:val="none"/>
        </w:rPr>
        <w:t xml:space="preserve">公共服务、房屋共用设施设备维护与管理</w:t>
      </w:r>
      <w:r>
        <w:rPr>
          <w:rFonts w:hint="eastAsia" w:ascii="宋体" w:hAnsi="宋体" w:eastAsia="宋体" w:cs="宋体"/>
          <w:b w:val="0"/>
          <w:bCs w:val="0"/>
          <w:color w:val="auto"/>
          <w:sz w:val="24"/>
          <w:szCs w:val="24"/>
          <w:highlight w:val="none"/>
          <w:lang w:val="en-US" w:eastAsia="zh-CN"/>
        </w:rPr>
        <w:t xml:space="preserve">日常管理标准及措施</w:t>
      </w:r>
      <w:r>
        <w:rPr>
          <w:rFonts w:hint="eastAsia" w:ascii="宋体" w:hAnsi="宋体" w:cs="宋体"/>
          <w:b w:val="0"/>
          <w:bCs w:val="0"/>
          <w:color w:val="auto"/>
          <w:sz w:val="24"/>
          <w:szCs w:val="24"/>
          <w:highlight w:val="none"/>
          <w:lang w:eastAsia="zh-CN"/>
        </w:rPr>
        <w:t xml:space="preserve">。</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分，存在1处瑕疵的得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分，存在2处瑕疵的，有基本的解释说明的得</w:t>
      </w:r>
      <w:r>
        <w:rPr>
          <w:rFonts w:hint="eastAsia" w:ascii="宋体" w:hAnsi="宋体" w:cs="宋体"/>
          <w:b w:val="0"/>
          <w:bCs w:val="0"/>
          <w:color w:val="auto"/>
          <w:sz w:val="24"/>
          <w:szCs w:val="24"/>
          <w:highlight w:val="none"/>
          <w:lang w:val="en-US" w:eastAsia="zh-CN"/>
        </w:rPr>
        <w:t xml:space="preserve">0.25</w:t>
      </w:r>
      <w:r>
        <w:rPr>
          <w:rFonts w:hint="eastAsia" w:ascii="宋体" w:hAnsi="宋体" w:cs="宋体"/>
          <w:b w:val="0"/>
          <w:bCs w:val="0"/>
          <w:color w:val="auto"/>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（5）</w:t>
      </w:r>
      <w:r>
        <w:rPr>
          <w:rFonts w:hint="eastAsia" w:ascii="宋体" w:hAnsi="宋体" w:cs="宋体"/>
          <w:b/>
          <w:bCs/>
          <w:color w:val="auto"/>
          <w:sz w:val="24"/>
          <w:szCs w:val="24"/>
          <w:highlight w:val="none"/>
          <w:lang w:val="en-US" w:eastAsia="zh-CN"/>
        </w:rPr>
        <w:t xml:space="preserve">项目管理规章制度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投标供应商针对本项目提供的</w:t>
      </w:r>
      <w:r>
        <w:rPr>
          <w:rFonts w:hint="eastAsia" w:ascii="宋体" w:hAnsi="宋体" w:cs="宋体"/>
          <w:b w:val="0"/>
          <w:bCs w:val="0"/>
          <w:color w:val="auto"/>
          <w:sz w:val="24"/>
          <w:szCs w:val="24"/>
          <w:highlight w:val="none"/>
          <w:lang w:val="en-US" w:eastAsia="zh-CN"/>
        </w:rPr>
        <w:t xml:space="preserve">管理规章制度方案</w:t>
      </w:r>
      <w:r>
        <w:rPr>
          <w:rFonts w:hint="eastAsia" w:ascii="宋体" w:hAnsi="宋体" w:cs="宋体"/>
          <w:b w:val="0"/>
          <w:bCs w:val="0"/>
          <w:color w:val="auto"/>
          <w:sz w:val="24"/>
          <w:szCs w:val="24"/>
          <w:highlight w:val="none"/>
          <w:lang w:eastAsia="zh-CN"/>
        </w:rPr>
        <w:t xml:space="preserve">包括下述3项：①管理工作流程、重点、难点和措施；②日常考核、激励考核机制、监督机制；③财务及合同管理制度。</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分，存在1处瑕疵的得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分，存在2处瑕疵的，有基本的解释说明的得</w:t>
      </w:r>
      <w:r>
        <w:rPr>
          <w:rFonts w:hint="eastAsia" w:ascii="宋体" w:hAnsi="宋体" w:cs="宋体"/>
          <w:b w:val="0"/>
          <w:bCs w:val="0"/>
          <w:color w:val="auto"/>
          <w:sz w:val="24"/>
          <w:szCs w:val="24"/>
          <w:highlight w:val="none"/>
          <w:lang w:val="en-US" w:eastAsia="zh-CN"/>
        </w:rPr>
        <w:t xml:space="preserve">0.25</w:t>
      </w:r>
      <w:r>
        <w:rPr>
          <w:rFonts w:hint="eastAsia" w:ascii="宋体" w:hAnsi="宋体" w:cs="宋体"/>
          <w:b w:val="0"/>
          <w:bCs w:val="0"/>
          <w:color w:val="auto"/>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（6）</w:t>
      </w:r>
      <w:r>
        <w:rPr>
          <w:rFonts w:hint="eastAsia" w:ascii="宋体" w:hAnsi="宋体" w:cs="宋体"/>
          <w:b/>
          <w:bCs/>
          <w:color w:val="auto"/>
          <w:sz w:val="24"/>
          <w:szCs w:val="24"/>
          <w:highlight w:val="none"/>
          <w:lang w:val="en-US" w:eastAsia="zh-CN"/>
        </w:rPr>
        <w:t xml:space="preserve">项目物资装备的配备及维保使用方案</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投标供应商针对本项目提供的物资设备配置及</w:t>
      </w:r>
      <w:r>
        <w:rPr>
          <w:rFonts w:hint="eastAsia" w:ascii="宋体" w:hAnsi="宋体" w:cs="宋体"/>
          <w:b w:val="0"/>
          <w:bCs w:val="0"/>
          <w:color w:val="auto"/>
          <w:sz w:val="24"/>
          <w:szCs w:val="24"/>
          <w:highlight w:val="none"/>
          <w:lang w:val="en-US" w:eastAsia="zh-CN"/>
        </w:rPr>
        <w:t xml:space="preserve">维保使用</w:t>
      </w:r>
      <w:r>
        <w:rPr>
          <w:rFonts w:hint="eastAsia" w:ascii="宋体" w:hAnsi="宋体" w:cs="宋体"/>
          <w:b w:val="0"/>
          <w:bCs w:val="0"/>
          <w:color w:val="auto"/>
          <w:sz w:val="24"/>
          <w:szCs w:val="24"/>
          <w:highlight w:val="none"/>
          <w:lang w:eastAsia="zh-CN"/>
        </w:rPr>
        <w:t xml:space="preserve">方案包括下述3项：①物资设备的存储</w:t>
      </w:r>
      <w:r>
        <w:rPr>
          <w:rFonts w:hint="eastAsia" w:ascii="宋体" w:hAnsi="宋体" w:cs="宋体"/>
          <w:b w:val="0"/>
          <w:bCs w:val="0"/>
          <w:color w:val="auto"/>
          <w:sz w:val="24"/>
          <w:szCs w:val="24"/>
          <w:highlight w:val="none"/>
          <w:lang w:val="en-US" w:eastAsia="zh-CN"/>
        </w:rPr>
        <w:t xml:space="preserve">方案</w:t>
      </w:r>
      <w:r>
        <w:rPr>
          <w:rFonts w:hint="eastAsia" w:ascii="宋体" w:hAnsi="宋体" w:cs="宋体"/>
          <w:b w:val="0"/>
          <w:bCs w:val="0"/>
          <w:color w:val="auto"/>
          <w:sz w:val="24"/>
          <w:szCs w:val="24"/>
          <w:highlight w:val="none"/>
          <w:lang w:eastAsia="zh-CN"/>
        </w:rPr>
        <w:t xml:space="preserve">；②物资设备的</w:t>
      </w:r>
      <w:r>
        <w:rPr>
          <w:rFonts w:hint="eastAsia" w:ascii="宋体" w:hAnsi="宋体" w:cs="宋体"/>
          <w:b w:val="0"/>
          <w:bCs w:val="0"/>
          <w:color w:val="auto"/>
          <w:sz w:val="24"/>
          <w:szCs w:val="24"/>
          <w:highlight w:val="none"/>
          <w:lang w:val="en-US" w:eastAsia="zh-CN"/>
        </w:rPr>
        <w:t xml:space="preserve">领用方案；③设施设备使用维护方案。</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分，存在1处瑕疵的得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分，存在2处瑕疵的，有基本的解释说明的得</w:t>
      </w:r>
      <w:r>
        <w:rPr>
          <w:rFonts w:hint="eastAsia" w:ascii="宋体" w:hAnsi="宋体" w:cs="宋体"/>
          <w:b w:val="0"/>
          <w:bCs w:val="0"/>
          <w:color w:val="auto"/>
          <w:sz w:val="24"/>
          <w:szCs w:val="24"/>
          <w:highlight w:val="none"/>
          <w:lang w:val="en-US" w:eastAsia="zh-CN"/>
        </w:rPr>
        <w:t xml:space="preserve">0.25</w:t>
      </w:r>
      <w:r>
        <w:rPr>
          <w:rFonts w:hint="eastAsia" w:ascii="宋体" w:hAnsi="宋体" w:cs="宋体"/>
          <w:b w:val="0"/>
          <w:bCs w:val="0"/>
          <w:color w:val="auto"/>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（7）项目管理重点难点和措施（6分）</w:t>
      </w:r>
      <w:r/>
    </w:p>
    <w:p>
      <w:pPr>
        <w:pStyle w:val="1162"/>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投标供应商针对本项目提供的</w:t>
      </w:r>
      <w:r>
        <w:rPr>
          <w:rFonts w:hint="eastAsia" w:ascii="宋体" w:hAnsi="宋体" w:eastAsia="宋体" w:cs="宋体"/>
          <w:b w:val="0"/>
          <w:bCs w:val="0"/>
          <w:color w:val="auto"/>
          <w:sz w:val="24"/>
          <w:szCs w:val="24"/>
          <w:highlight w:val="none"/>
          <w:lang w:val="en-US" w:eastAsia="zh-CN"/>
        </w:rPr>
        <w:t xml:space="preserve">项目管理重点难点和措施</w:t>
      </w:r>
      <w:r>
        <w:rPr>
          <w:rFonts w:hint="eastAsia" w:ascii="宋体" w:hAnsi="宋体" w:eastAsia="宋体" w:cs="宋体"/>
          <w:b w:val="0"/>
          <w:bCs w:val="0"/>
          <w:color w:val="auto"/>
          <w:sz w:val="24"/>
          <w:szCs w:val="24"/>
          <w:highlight w:val="none"/>
          <w:lang w:eastAsia="zh-CN"/>
        </w:rPr>
        <w:t xml:space="preserve">包括下述3项：</w:t>
      </w:r>
      <w:r>
        <w:rPr>
          <w:rFonts w:hint="eastAsia" w:ascii="宋体" w:hAnsi="宋体" w:eastAsia="宋体" w:cs="宋体"/>
          <w:b w:val="0"/>
          <w:bCs w:val="0"/>
          <w:color w:val="auto"/>
          <w:sz w:val="24"/>
          <w:szCs w:val="24"/>
          <w:highlight w:val="none"/>
          <w:lang w:val="en-US" w:eastAsia="zh-CN"/>
        </w:rPr>
        <w:t xml:space="preserve">①保洁服务重难点及应对措施、保安服务重难点及应对措施；②维修服务重难点及应对措施；③其他服务重难点及应对措施。</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（8）</w:t>
      </w:r>
      <w:r>
        <w:rPr>
          <w:rFonts w:hint="eastAsia" w:ascii="宋体" w:hAnsi="宋体" w:cs="宋体"/>
          <w:b/>
          <w:bCs/>
          <w:color w:val="auto"/>
          <w:sz w:val="24"/>
          <w:szCs w:val="24"/>
          <w:highlight w:val="none"/>
          <w:lang w:val="en-US" w:eastAsia="zh-CN"/>
        </w:rPr>
        <w:t xml:space="preserve">在本项目中与采购人以及其他单位、部门的综合协调方案</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投标供应商针对本项目提供的</w:t>
      </w:r>
      <w:r>
        <w:rPr>
          <w:rFonts w:hint="eastAsia" w:ascii="宋体" w:hAnsi="宋体" w:cs="宋体"/>
          <w:b w:val="0"/>
          <w:bCs w:val="0"/>
          <w:color w:val="auto"/>
          <w:sz w:val="24"/>
          <w:szCs w:val="24"/>
          <w:highlight w:val="none"/>
          <w:lang w:val="en-US" w:eastAsia="zh-CN"/>
        </w:rPr>
        <w:t xml:space="preserve">采购人以及其他单位、部门的综合协调方案</w:t>
      </w:r>
      <w:r>
        <w:rPr>
          <w:rFonts w:hint="eastAsia" w:ascii="宋体" w:hAnsi="宋体" w:cs="宋体"/>
          <w:b w:val="0"/>
          <w:bCs w:val="0"/>
          <w:color w:val="auto"/>
          <w:sz w:val="24"/>
          <w:szCs w:val="24"/>
          <w:highlight w:val="none"/>
          <w:lang w:eastAsia="zh-CN"/>
        </w:rPr>
        <w:t xml:space="preserve">包括下述</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项：①服务期间与采购人协调的制度建立、与采购人日常沟通措施；②服务期间与采购人综合协调处理主要内容及方式；</w:t>
      </w:r>
      <w:r>
        <w:rPr>
          <w:rFonts w:hint="eastAsia" w:ascii="宋体" w:hAnsi="宋体" w:cs="宋体"/>
          <w:b w:val="0"/>
          <w:bCs w:val="0"/>
          <w:color w:val="auto"/>
          <w:sz w:val="24"/>
          <w:szCs w:val="24"/>
          <w:highlight w:val="none"/>
          <w:lang w:val="en-US" w:eastAsia="zh-CN"/>
        </w:rPr>
        <w:t xml:space="preserve">③</w:t>
      </w:r>
      <w:r>
        <w:rPr>
          <w:rFonts w:hint="eastAsia" w:ascii="宋体" w:hAnsi="宋体" w:cs="宋体"/>
          <w:b w:val="0"/>
          <w:bCs w:val="0"/>
          <w:color w:val="auto"/>
          <w:sz w:val="24"/>
          <w:szCs w:val="24"/>
          <w:highlight w:val="none"/>
          <w:lang w:eastAsia="zh-CN"/>
        </w:rPr>
        <w:t xml:space="preserve">沟通协调主要内容及</w:t>
      </w:r>
      <w:r>
        <w:rPr>
          <w:rFonts w:hint="eastAsia" w:ascii="宋体" w:hAnsi="宋体" w:cs="宋体"/>
          <w:b w:val="0"/>
          <w:bCs w:val="0"/>
          <w:color w:val="auto"/>
          <w:sz w:val="24"/>
          <w:szCs w:val="24"/>
          <w:highlight w:val="none"/>
          <w:lang w:val="en-US" w:eastAsia="zh-CN"/>
        </w:rPr>
        <w:t xml:space="preserve">对</w:t>
      </w:r>
      <w:r>
        <w:rPr>
          <w:rFonts w:hint="eastAsia" w:ascii="宋体" w:hAnsi="宋体" w:cs="宋体"/>
          <w:b w:val="0"/>
          <w:bCs w:val="0"/>
          <w:color w:val="auto"/>
          <w:sz w:val="24"/>
          <w:szCs w:val="24"/>
          <w:highlight w:val="none"/>
          <w:lang w:eastAsia="zh-CN"/>
        </w:rPr>
        <w:t xml:space="preserve">各项服务事项的配合。</w:t>
      </w:r>
      <w:r/>
    </w:p>
    <w:p>
      <w:pPr>
        <w:pStyle w:val="1162"/>
        <w:ind w:firstLine="480"/>
        <w:keepLines w:val="0"/>
        <w:keepNext w:val="0"/>
        <w:pageBreakBefore w:val="0"/>
        <w:spacing w:line="440" w:lineRule="exact"/>
        <w:widowControl w:val="off"/>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分，存在1处瑕疵的得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分，存在2处瑕疵的，有基本的解释说明的得</w:t>
      </w:r>
      <w:r>
        <w:rPr>
          <w:rFonts w:hint="eastAsia" w:ascii="宋体" w:hAnsi="宋体" w:cs="宋体"/>
          <w:b w:val="0"/>
          <w:bCs w:val="0"/>
          <w:color w:val="auto"/>
          <w:sz w:val="24"/>
          <w:szCs w:val="24"/>
          <w:highlight w:val="none"/>
          <w:lang w:val="en-US" w:eastAsia="zh-CN"/>
        </w:rPr>
        <w:t xml:space="preserve">0.25</w:t>
      </w:r>
      <w:r>
        <w:rPr>
          <w:rFonts w:hint="eastAsia" w:ascii="宋体" w:hAnsi="宋体" w:cs="宋体"/>
          <w:b w:val="0"/>
          <w:bCs w:val="0"/>
          <w:color w:val="auto"/>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p>
    <w:p>
      <w:pPr>
        <w:pStyle w:val="1162"/>
        <w:ind w:left="0"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项目正式接管前具体措施（3分）</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投标供应商针对本项目提供的</w:t>
      </w:r>
      <w:r>
        <w:rPr>
          <w:rFonts w:hint="eastAsia" w:ascii="宋体" w:hAnsi="宋体" w:eastAsia="宋体" w:cs="宋体"/>
          <w:b w:val="0"/>
          <w:bCs w:val="0"/>
          <w:color w:val="auto"/>
          <w:sz w:val="24"/>
          <w:szCs w:val="24"/>
          <w:highlight w:val="none"/>
          <w:lang w:val="en-US" w:eastAsia="zh-CN"/>
        </w:rPr>
        <w:t xml:space="preserve">正式接管前具体措施方案</w:t>
      </w:r>
      <w:r>
        <w:rPr>
          <w:rFonts w:hint="eastAsia" w:ascii="宋体" w:hAnsi="宋体" w:eastAsia="宋体" w:cs="宋体"/>
          <w:b w:val="0"/>
          <w:bCs w:val="0"/>
          <w:color w:val="auto"/>
          <w:sz w:val="24"/>
          <w:szCs w:val="24"/>
          <w:highlight w:val="none"/>
          <w:lang w:eastAsia="zh-CN"/>
        </w:rPr>
        <w:t xml:space="preserve">包括下述</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项：①接管计划；②接管方案；</w:t>
      </w:r>
      <w:r>
        <w:rPr>
          <w:rFonts w:hint="eastAsia" w:ascii="宋体" w:hAnsi="宋体" w:eastAsia="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eastAsia="zh-CN"/>
        </w:rPr>
        <w:t xml:space="preserve">接管重点。</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分，存在1处瑕疵的得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分，存在2处瑕疵的，有基本的解释说明的得</w:t>
      </w:r>
      <w:r>
        <w:rPr>
          <w:rFonts w:hint="eastAsia" w:ascii="宋体" w:hAnsi="宋体" w:cs="宋体"/>
          <w:b w:val="0"/>
          <w:bCs w:val="0"/>
          <w:color w:val="auto"/>
          <w:sz w:val="24"/>
          <w:szCs w:val="24"/>
          <w:highlight w:val="none"/>
          <w:lang w:val="en-US" w:eastAsia="zh-CN"/>
        </w:rPr>
        <w:t xml:space="preserve">0.25</w:t>
      </w:r>
      <w:r>
        <w:rPr>
          <w:rFonts w:hint="eastAsia" w:ascii="宋体" w:hAnsi="宋体" w:cs="宋体"/>
          <w:b w:val="0"/>
          <w:bCs w:val="0"/>
          <w:color w:val="auto"/>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p>
    <w:p>
      <w:pPr>
        <w:pStyle w:val="1162"/>
        <w:ind w:left="0"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）项目特殊情况应急预案及措施（</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投标供应商针对本项目提供的特殊情况应急预案及措施</w:t>
      </w:r>
      <w:r>
        <w:rPr>
          <w:rFonts w:hint="eastAsia" w:ascii="宋体" w:hAnsi="宋体" w:eastAsia="宋体" w:cs="宋体"/>
          <w:b w:val="0"/>
          <w:bCs w:val="0"/>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lang w:eastAsia="zh-CN"/>
        </w:rPr>
        <w:t xml:space="preserve">包括下述</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项：</w:t>
      </w:r>
      <w:r>
        <w:rPr>
          <w:rFonts w:hint="eastAsia" w:ascii="宋体" w:hAnsi="宋体" w:eastAsia="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eastAsia="zh-CN"/>
        </w:rPr>
        <w:t xml:space="preserve">应急预案处理整体方案；</w:t>
      </w:r>
      <w:r>
        <w:rPr>
          <w:rFonts w:hint="eastAsia" w:ascii="宋体" w:hAnsi="宋体" w:eastAsia="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eastAsia="zh-CN"/>
        </w:rPr>
        <w:t xml:space="preserve">应急保障措施；</w:t>
      </w:r>
      <w:r>
        <w:rPr>
          <w:rFonts w:hint="eastAsia" w:ascii="宋体" w:hAnsi="宋体" w:eastAsia="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eastAsia="zh-CN"/>
        </w:rPr>
        <w:t xml:space="preserve">意外事故应急预案、自然灾害应急预案。</w:t>
      </w:r>
      <w:r/>
    </w:p>
    <w:p>
      <w:pPr>
        <w:pStyle w:val="1162"/>
        <w:ind w:firstLine="480"/>
        <w:keepLines w:val="0"/>
        <w:keepNext w:val="0"/>
        <w:pageBreakBefore w:val="0"/>
        <w:spacing w:line="440" w:lineRule="exact"/>
        <w:widowControl w:val="off"/>
        <w:rPr>
          <w:rFonts w:hint="eastAsia" w:ascii="宋体" w:hAnsi="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r/>
    </w:p>
    <w:p>
      <w:pPr>
        <w:pStyle w:val="1162"/>
        <w:ind w:left="0"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zh-CN"/>
        </w:rPr>
        <w:t xml:space="preserve">）项目过失及意外保障措施（</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投标供应商针对本项目提供的</w:t>
      </w:r>
      <w:r>
        <w:rPr>
          <w:rFonts w:hint="eastAsia" w:ascii="宋体" w:hAnsi="宋体" w:eastAsia="宋体" w:cs="宋体"/>
          <w:b w:val="0"/>
          <w:bCs w:val="0"/>
          <w:color w:val="auto"/>
          <w:sz w:val="24"/>
          <w:szCs w:val="24"/>
          <w:highlight w:val="none"/>
          <w:lang w:val="en-US" w:eastAsia="zh-CN"/>
        </w:rPr>
        <w:t xml:space="preserve">过失及意外保障措施方案</w:t>
      </w:r>
      <w:r>
        <w:rPr>
          <w:rFonts w:hint="eastAsia" w:ascii="宋体" w:hAnsi="宋体" w:eastAsia="宋体" w:cs="宋体"/>
          <w:b w:val="0"/>
          <w:bCs w:val="0"/>
          <w:color w:val="auto"/>
          <w:sz w:val="24"/>
          <w:szCs w:val="24"/>
          <w:highlight w:val="none"/>
          <w:lang w:eastAsia="zh-CN"/>
        </w:rPr>
        <w:t xml:space="preserve">包括下述</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项：</w:t>
      </w:r>
      <w:r>
        <w:rPr>
          <w:rFonts w:hint="eastAsia" w:ascii="宋体" w:hAnsi="宋体" w:eastAsia="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eastAsia="zh-CN"/>
        </w:rPr>
        <w:t xml:space="preserve">项目人员意外伤害；</w:t>
      </w:r>
      <w:r>
        <w:rPr>
          <w:rFonts w:hint="eastAsia" w:ascii="宋体" w:hAnsi="宋体" w:eastAsia="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eastAsia="zh-CN"/>
        </w:rPr>
        <w:t xml:space="preserve">设备故障；</w:t>
      </w:r>
      <w:r>
        <w:rPr>
          <w:rFonts w:hint="eastAsia" w:ascii="宋体" w:hAnsi="宋体" w:eastAsia="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eastAsia="zh-CN"/>
        </w:rPr>
        <w:t xml:space="preserve">自然意外、病人突发意外情况。</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分，存在1处瑕疵的得</w:t>
      </w:r>
      <w:r>
        <w:rPr>
          <w:rFonts w:hint="eastAsia" w:ascii="宋体" w:hAnsi="宋体" w:cs="宋体"/>
          <w:b w:val="0"/>
          <w:bCs w:val="0"/>
          <w:color w:val="auto"/>
          <w:sz w:val="24"/>
          <w:szCs w:val="24"/>
          <w:highlight w:val="none"/>
          <w:lang w:val="en-US" w:eastAsia="zh-CN"/>
        </w:rPr>
        <w:t xml:space="preserve">0.5</w:t>
      </w:r>
      <w:r>
        <w:rPr>
          <w:rFonts w:hint="eastAsia" w:ascii="宋体" w:hAnsi="宋体" w:cs="宋体"/>
          <w:b w:val="0"/>
          <w:bCs w:val="0"/>
          <w:color w:val="auto"/>
          <w:sz w:val="24"/>
          <w:szCs w:val="24"/>
          <w:highlight w:val="none"/>
          <w:lang w:eastAsia="zh-CN"/>
        </w:rPr>
        <w:t xml:space="preserve">分，存在2处瑕疵的，有基本的解释说明的得</w:t>
      </w:r>
      <w:r>
        <w:rPr>
          <w:rFonts w:hint="eastAsia" w:ascii="宋体" w:hAnsi="宋体" w:cs="宋体"/>
          <w:b w:val="0"/>
          <w:bCs w:val="0"/>
          <w:color w:val="auto"/>
          <w:sz w:val="24"/>
          <w:szCs w:val="24"/>
          <w:highlight w:val="none"/>
          <w:lang w:val="en-US" w:eastAsia="zh-CN"/>
        </w:rPr>
        <w:t xml:space="preserve">0.25</w:t>
      </w:r>
      <w:r>
        <w:rPr>
          <w:rFonts w:hint="eastAsia" w:ascii="宋体" w:hAnsi="宋体" w:cs="宋体"/>
          <w:b w:val="0"/>
          <w:bCs w:val="0"/>
          <w:color w:val="auto"/>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（12）项目档案资料管理（3分）</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投标供应商针对本项目提供的</w:t>
      </w:r>
      <w:r>
        <w:rPr>
          <w:rFonts w:hint="eastAsia" w:ascii="宋体" w:hAnsi="宋体" w:eastAsia="宋体" w:cs="宋体"/>
          <w:b w:val="0"/>
          <w:bCs w:val="0"/>
          <w:color w:val="auto"/>
          <w:sz w:val="24"/>
          <w:szCs w:val="24"/>
          <w:highlight w:val="none"/>
          <w:lang w:val="en-US" w:eastAsia="zh-CN"/>
        </w:rPr>
        <w:t xml:space="preserve">档案资料管理方案</w:t>
      </w:r>
      <w:r>
        <w:rPr>
          <w:rFonts w:hint="eastAsia" w:ascii="宋体" w:hAnsi="宋体" w:eastAsia="宋体" w:cs="宋体"/>
          <w:b w:val="0"/>
          <w:bCs w:val="0"/>
          <w:color w:val="auto"/>
          <w:sz w:val="24"/>
          <w:szCs w:val="24"/>
          <w:highlight w:val="none"/>
          <w:lang w:eastAsia="zh-CN"/>
        </w:rPr>
        <w:t xml:space="preserve">包括下述</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项：</w:t>
      </w:r>
      <w:r>
        <w:rPr>
          <w:rFonts w:hint="eastAsia" w:ascii="宋体" w:hAnsi="宋体" w:eastAsia="宋体" w:cs="宋体"/>
          <w:b w:val="0"/>
          <w:bCs w:val="0"/>
          <w:color w:val="auto"/>
          <w:sz w:val="24"/>
          <w:szCs w:val="24"/>
          <w:highlight w:val="none"/>
          <w:lang w:val="en-US" w:eastAsia="zh-CN"/>
        </w:rPr>
        <w:t xml:space="preserve">①档案资料的收集；②档案资料的建立、管理；③档案资料的运用。</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分，存在1处瑕疵的得</w:t>
      </w:r>
      <w:r>
        <w:rPr>
          <w:rFonts w:hint="eastAsia" w:ascii="宋体" w:hAnsi="宋体" w:eastAsia="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lang w:eastAsia="zh-CN"/>
        </w:rPr>
        <w:t xml:space="preserve">分，存在2处瑕疵的，有基本的解释说明的得</w:t>
      </w:r>
      <w:r>
        <w:rPr>
          <w:rFonts w:hint="eastAsia" w:ascii="宋体" w:hAnsi="宋体" w:eastAsia="宋体" w:cs="宋体"/>
          <w:b w:val="0"/>
          <w:bCs w:val="0"/>
          <w:color w:val="auto"/>
          <w:sz w:val="24"/>
          <w:szCs w:val="24"/>
          <w:highlight w:val="none"/>
          <w:lang w:val="en-US" w:eastAsia="zh-CN"/>
        </w:rPr>
        <w:t xml:space="preserve">0.25</w:t>
      </w:r>
      <w:r>
        <w:rPr>
          <w:rFonts w:hint="eastAsia" w:ascii="宋体" w:hAnsi="宋体" w:eastAsia="宋体" w:cs="宋体"/>
          <w:b w:val="0"/>
          <w:bCs w:val="0"/>
          <w:color w:val="auto"/>
          <w:sz w:val="24"/>
          <w:szCs w:val="24"/>
          <w:highlight w:val="none"/>
          <w:lang w:eastAsia="zh-CN"/>
        </w:rPr>
        <w:t xml:space="preserve">分，未进行阐述或不满足采购需求或内容存在2处以上瑕疵的得0分；本项共计3点内容，本项最高得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（13）项目服务响应时间（3分）</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投标供应商针对本项目提供的</w:t>
      </w:r>
      <w:r>
        <w:rPr>
          <w:rFonts w:hint="eastAsia" w:ascii="宋体" w:hAnsi="宋体" w:eastAsia="宋体" w:cs="宋体"/>
          <w:b w:val="0"/>
          <w:bCs w:val="0"/>
          <w:color w:val="auto"/>
          <w:sz w:val="24"/>
          <w:szCs w:val="24"/>
          <w:highlight w:val="none"/>
          <w:lang w:val="en-US" w:eastAsia="zh-CN"/>
        </w:rPr>
        <w:t xml:space="preserve">服务响应时间方案</w:t>
      </w:r>
      <w:r>
        <w:rPr>
          <w:rFonts w:hint="eastAsia" w:ascii="宋体" w:hAnsi="宋体" w:eastAsia="宋体" w:cs="宋体"/>
          <w:b w:val="0"/>
          <w:bCs w:val="0"/>
          <w:color w:val="auto"/>
          <w:sz w:val="24"/>
          <w:szCs w:val="24"/>
          <w:highlight w:val="none"/>
          <w:lang w:eastAsia="zh-CN"/>
        </w:rPr>
        <w:t xml:space="preserve">包括下述</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项：</w:t>
      </w:r>
      <w:r>
        <w:rPr>
          <w:rFonts w:hint="eastAsia" w:ascii="宋体" w:hAnsi="宋体" w:eastAsia="宋体" w:cs="宋体"/>
          <w:b w:val="0"/>
          <w:bCs w:val="0"/>
          <w:color w:val="auto"/>
          <w:sz w:val="24"/>
          <w:szCs w:val="24"/>
          <w:highlight w:val="none"/>
          <w:lang w:val="en-US" w:eastAsia="zh-CN"/>
        </w:rPr>
        <w:t xml:space="preserve">①针对本项目服务响应内容；②针对本项目人员配置情况；③针对本项目实施内容和服务期限。</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分，存在1处瑕疵的得</w:t>
      </w:r>
      <w:r>
        <w:rPr>
          <w:rFonts w:hint="eastAsia" w:ascii="宋体" w:hAnsi="宋体" w:eastAsia="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lang w:eastAsia="zh-CN"/>
        </w:rPr>
        <w:t xml:space="preserve">分，存在2处瑕疵的，有基本的解释说明的得</w:t>
      </w:r>
      <w:r>
        <w:rPr>
          <w:rFonts w:hint="eastAsia" w:ascii="宋体" w:hAnsi="宋体" w:eastAsia="宋体" w:cs="宋体"/>
          <w:b w:val="0"/>
          <w:bCs w:val="0"/>
          <w:color w:val="auto"/>
          <w:sz w:val="24"/>
          <w:szCs w:val="24"/>
          <w:highlight w:val="none"/>
          <w:lang w:val="en-US" w:eastAsia="zh-CN"/>
        </w:rPr>
        <w:t xml:space="preserve">0.25</w:t>
      </w:r>
      <w:r>
        <w:rPr>
          <w:rFonts w:hint="eastAsia" w:ascii="宋体" w:hAnsi="宋体" w:eastAsia="宋体" w:cs="宋体"/>
          <w:b w:val="0"/>
          <w:bCs w:val="0"/>
          <w:color w:val="auto"/>
          <w:sz w:val="24"/>
          <w:szCs w:val="24"/>
          <w:highlight w:val="none"/>
          <w:lang w:eastAsia="zh-CN"/>
        </w:rPr>
        <w:t xml:space="preserve">分，未进行阐述或不满足采购需求或内容存在2处以上瑕疵的得0分；本项共计3点内容，本项最高得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（14）特色与创新（1分）</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投标供应商针对本项目提供的</w:t>
      </w:r>
      <w:r>
        <w:rPr>
          <w:rFonts w:hint="eastAsia" w:ascii="宋体" w:hAnsi="宋体" w:eastAsia="宋体" w:cs="宋体"/>
          <w:b w:val="0"/>
          <w:bCs w:val="0"/>
          <w:color w:val="auto"/>
          <w:sz w:val="24"/>
          <w:szCs w:val="24"/>
          <w:highlight w:val="none"/>
          <w:lang w:val="en-US" w:eastAsia="zh-CN"/>
        </w:rPr>
        <w:t xml:space="preserve">特色与创新方案</w:t>
      </w:r>
      <w:r>
        <w:rPr>
          <w:rFonts w:hint="eastAsia" w:ascii="宋体" w:hAnsi="宋体" w:eastAsia="宋体" w:cs="宋体"/>
          <w:b w:val="0"/>
          <w:bCs w:val="0"/>
          <w:color w:val="auto"/>
          <w:sz w:val="24"/>
          <w:szCs w:val="24"/>
          <w:highlight w:val="none"/>
          <w:lang w:eastAsia="zh-CN"/>
        </w:rPr>
        <w:t xml:space="preserve">包括下述</w:t>
      </w:r>
      <w:r>
        <w:rPr>
          <w:rFonts w:hint="eastAsia" w:ascii="宋体" w:hAnsi="宋体" w:eastAsia="宋体" w:cs="宋体"/>
          <w:b w:val="0"/>
          <w:bCs w:val="0"/>
          <w:color w:val="auto"/>
          <w:sz w:val="24"/>
          <w:szCs w:val="24"/>
          <w:highlight w:val="none"/>
          <w:lang w:val="en-US" w:eastAsia="zh-CN"/>
        </w:rPr>
        <w:t xml:space="preserve">内容</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特色与创新服务体系、服务理念及特色与创新服务模式、人员管理。</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分，存在1处瑕疵的得</w:t>
      </w:r>
      <w:r>
        <w:rPr>
          <w:rFonts w:hint="eastAsia" w:ascii="宋体" w:hAnsi="宋体" w:eastAsia="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lang w:eastAsia="zh-CN"/>
        </w:rPr>
        <w:t xml:space="preserve">分，存在2处瑕疵的，有基本的解释说明的得</w:t>
      </w:r>
      <w:r>
        <w:rPr>
          <w:rFonts w:hint="eastAsia" w:ascii="宋体" w:hAnsi="宋体" w:eastAsia="宋体" w:cs="宋体"/>
          <w:b w:val="0"/>
          <w:bCs w:val="0"/>
          <w:color w:val="auto"/>
          <w:sz w:val="24"/>
          <w:szCs w:val="24"/>
          <w:highlight w:val="none"/>
          <w:lang w:val="en-US" w:eastAsia="zh-CN"/>
        </w:rPr>
        <w:t xml:space="preserve">0.25</w:t>
      </w:r>
      <w:r>
        <w:rPr>
          <w:rFonts w:hint="eastAsia" w:ascii="宋体" w:hAnsi="宋体" w:eastAsia="宋体" w:cs="宋体"/>
          <w:b w:val="0"/>
          <w:bCs w:val="0"/>
          <w:color w:val="auto"/>
          <w:sz w:val="24"/>
          <w:szCs w:val="24"/>
          <w:highlight w:val="none"/>
          <w:lang w:eastAsia="zh-CN"/>
        </w:rPr>
        <w:t xml:space="preserve">分，未进行阐述或不满足采购需求或内容存在2处以上瑕疵的得0分；本项共计</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点内容，本项最高得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w:t>
      </w:r>
      <w:r/>
    </w:p>
    <w:p>
      <w:pPr>
        <w:pStyle w:val="1162"/>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bCs/>
          <w:color w:val="auto"/>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tabs>
          <w:tab w:val="left" w:pos="525" w:leader="none"/>
          <w:tab w:val="left" w:pos="945" w:leader="none"/>
          <w:tab w:val="left" w:pos="1155" w:leader="none"/>
          <w:tab w:val="left" w:pos="3300" w:leader="none"/>
        </w:tabs>
        <w:rPr>
          <w:rFonts w:ascii="宋体" w:hAnsi="宋体" w:cs="宋体"/>
          <w:color w:val="auto"/>
          <w:sz w:val="24"/>
          <w:highlight w:val="none"/>
        </w:rPr>
      </w:pPr>
      <w:r>
        <w:rPr>
          <w:rFonts w:ascii="宋体" w:hAnsi="宋体" w:cs="宋体"/>
          <w:color w:val="auto"/>
          <w:sz w:val="24"/>
          <w:highlight w:val="none"/>
        </w:rPr>
      </w:r>
      <w:r/>
    </w:p>
    <w:p>
      <w:pPr>
        <w:rPr>
          <w:color w:val="auto"/>
          <w:highlight w:val="none"/>
        </w:rPr>
      </w:pPr>
      <w:r>
        <w:rPr>
          <w:color w:val="auto"/>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bookmarkStart w:id="134" w:name="_GoBack"/>
      <w:r/>
      <w:bookmarkEnd w:id="134"/>
      <w:r/>
      <w:r/>
    </w:p>
    <w:p>
      <w:pPr>
        <w:numPr>
          <w:ilvl w:val="0"/>
          <w:numId w:val="5"/>
        </w:numPr>
        <w:ind w:firstLine="640"/>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r/>
    </w:p>
    <w:p>
      <w:pPr>
        <w:pStyle w:val="1168"/>
        <w:ind w:firstLine="602"/>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168"/>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0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6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6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6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6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6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63"/>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16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6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6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6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6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6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6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16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168"/>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168"/>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68"/>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68"/>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16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68"/>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68"/>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168"/>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68"/>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6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68"/>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168"/>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6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6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68"/>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6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16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68"/>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6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6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68"/>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6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16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68"/>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168"/>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168"/>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168"/>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168"/>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168"/>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837"/>
        <w:rPr>
          <w:rFonts w:ascii="黑体" w:eastAsia="黑体"/>
          <w:bCs/>
          <w:color w:val="auto"/>
          <w:sz w:val="32"/>
          <w:szCs w:val="32"/>
          <w:highlight w:val="none"/>
        </w:rPr>
      </w:pPr>
      <w:r>
        <w:rPr>
          <w:rFonts w:ascii="黑体" w:eastAsia="黑体"/>
          <w:bCs/>
          <w:color w:val="auto"/>
          <w:sz w:val="32"/>
          <w:szCs w:val="32"/>
          <w:highlight w:val="none"/>
        </w:rPr>
      </w:r>
      <w:r/>
    </w:p>
    <w:p>
      <w:pPr>
        <w:pStyle w:val="837"/>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168"/>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JSZC-320206-JZCG-G2026-0022</w:t>
      </w:r>
      <w:r/>
    </w:p>
    <w:p>
      <w:pPr>
        <w:ind w:left="2693" w:hanging="1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2026-2028年度阳山镇桃盛苑、新渎苑及17个老旧小区物业管理服务采购项目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69"/>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JSZC-320206-JZCG-G2026-0022</w:t>
      </w:r>
      <w:r>
        <w:rPr>
          <w:rFonts w:hint="eastAsia" w:ascii="宋体" w:hAnsi="宋体"/>
          <w:bCs/>
          <w:color w:val="auto"/>
          <w:sz w:val="24"/>
          <w:szCs w:val="24"/>
          <w:highlight w:val="none"/>
        </w:rPr>
        <w:t xml:space="preserve">项目，兹授权：</w:t>
      </w:r>
      <w:r/>
    </w:p>
    <w:p>
      <w:pPr>
        <w:pStyle w:val="1169"/>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69"/>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69"/>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169"/>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169"/>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169"/>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169"/>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169"/>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169"/>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169"/>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169"/>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169"/>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169"/>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169"/>
        <w:ind w:left="0" w:firstLine="0"/>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2" w:name="报价方关于资格的声明函（格式）"/>
      <w:r/>
      <w:bookmarkEnd w:id="132"/>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JSZC-320206-JZCG-G2026-0022</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JSZC-320206-JZCG-G2026-0022</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70"/>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JSZC-320206-JZCG-G2026-0022</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JSZC-320206-JZCG-G2026-0022</w:t>
      </w:r>
      <w:r/>
    </w:p>
    <w:tbl>
      <w:tblPr>
        <w:tblStyle w:val="807"/>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121"/>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 xml:space="preserve">2026-2028年度阳山镇桃盛苑、新渎苑及17个老旧小区物业管理服务采购项目</w:t>
            </w:r>
            <w:r/>
          </w:p>
        </w:tc>
        <w:tc>
          <w:tcPr>
            <w:tcW w:w="4229" w:type="dxa"/>
            <w:vAlign w:val="center"/>
            <w:textDirection w:val="lrTb"/>
            <w:noWrap w:val="false"/>
          </w:tcPr>
          <w:p>
            <w:pPr>
              <w:pStyle w:val="1121"/>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3"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JSZC-320206-JZCG-G2026-0022</w:t>
      </w:r>
      <w:r/>
    </w:p>
    <w:tbl>
      <w:tblPr>
        <w:tblStyle w:val="807"/>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633"/>
        <w:gridCol w:w="1200"/>
        <w:gridCol w:w="1260"/>
        <w:gridCol w:w="1375"/>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6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2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091"/>
        <w:gridCol w:w="885"/>
        <w:gridCol w:w="1695"/>
        <w:gridCol w:w="1815"/>
        <w:gridCol w:w="1069"/>
        <w:gridCol w:w="1316"/>
      </w:tblGrid>
      <w:tr>
        <w:trPr>
          <w:jc w:val="center"/>
          <w:trHeight w:val="1119"/>
        </w:trPr>
        <w:tc>
          <w:tcPr>
            <w:tcW w:w="917"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序号</w:t>
            </w:r>
            <w:r/>
          </w:p>
        </w:tc>
        <w:tc>
          <w:tcPr>
            <w:tcW w:w="2091"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项目名称</w:t>
            </w:r>
            <w:r/>
          </w:p>
        </w:tc>
        <w:tc>
          <w:tcPr>
            <w:tcW w:w="885"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人数配置</w:t>
            </w:r>
            <w:r/>
          </w:p>
        </w:tc>
        <w:tc>
          <w:tcPr>
            <w:tcW w:w="1695"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人员费用标准（元/月）</w:t>
            </w:r>
            <w:r/>
          </w:p>
        </w:tc>
        <w:tc>
          <w:tcPr>
            <w:tcW w:w="1815"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合计费用（元/年）</w:t>
            </w:r>
            <w:r/>
          </w:p>
        </w:tc>
        <w:tc>
          <w:tcPr>
            <w:tcW w:w="1069"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合计费用（元/三年）</w:t>
            </w:r>
            <w:r/>
          </w:p>
        </w:tc>
        <w:tc>
          <w:tcPr>
            <w:tcW w:w="1316"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备注</w:t>
            </w:r>
            <w:r/>
          </w:p>
        </w:tc>
      </w:tr>
      <w:tr>
        <w:trPr>
          <w:jc w:val="center"/>
          <w:trHeight w:val="525"/>
        </w:trPr>
        <w:tc>
          <w:tcPr>
            <w:tcW w:w="917" w:type="dxa"/>
            <w:vAlign w:val="center"/>
            <w:textDirection w:val="lrTb"/>
            <w:noWrap w:val="false"/>
          </w:tcPr>
          <w:p>
            <w:pPr>
              <w:jc w:val="center"/>
              <w:rPr>
                <w:rFonts w:hint="eastAsia" w:ascii="宋体" w:hAnsi="宋体"/>
                <w:b/>
              </w:rPr>
            </w:pPr>
            <w:r>
              <w:rPr>
                <w:rFonts w:hint="eastAsia" w:ascii="宋体" w:hAnsi="宋体"/>
                <w:b/>
              </w:rPr>
              <w:t xml:space="preserve">1</w:t>
            </w:r>
            <w:r/>
          </w:p>
        </w:tc>
        <w:tc>
          <w:tcPr>
            <w:tcW w:w="2091" w:type="dxa"/>
            <w:vAlign w:val="center"/>
            <w:textDirection w:val="lrTb"/>
            <w:noWrap w:val="false"/>
          </w:tcPr>
          <w:p>
            <w:pPr>
              <w:rPr>
                <w:rFonts w:hint="eastAsia" w:ascii="宋体" w:hAnsi="宋体"/>
                <w:b/>
              </w:rPr>
            </w:pPr>
            <w:r>
              <w:rPr>
                <w:rFonts w:hint="eastAsia" w:ascii="宋体" w:hAnsi="宋体"/>
                <w:b/>
              </w:rPr>
              <w:t xml:space="preserve">员工工资及福利</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0"/>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1</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项目负责人</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2</w:t>
            </w:r>
            <w:r>
              <w:rPr>
                <w:rFonts w:hint="eastAsia" w:ascii="宋体" w:hAnsi="宋体"/>
                <w:lang w:eastAsia="zh-CN"/>
              </w:rPr>
              <w:t xml:space="preserve">)</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客服</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(3)</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保安队长</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(4)</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保安班长兼巡逻</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(5)</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门岗</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(6)</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中控</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(7)</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保洁主管</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(8)</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保洁员</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(9)</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工程（水电）</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lang w:val="en-US" w:eastAsia="zh-CN"/>
              </w:rPr>
              <w:t xml:space="preserve">10)</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法定节假日加班工资</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top"/>
            <w:textDirection w:val="lrTb"/>
            <w:noWrap w:val="false"/>
          </w:tcPr>
          <w:p>
            <w:pPr>
              <w:jc w:val="left"/>
              <w:rPr>
                <w:sz w:val="21"/>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100</w:t>
            </w:r>
            <w:r>
              <w:rPr>
                <w:rFonts w:hint="eastAsia" w:ascii="宋体" w:hAnsi="宋体"/>
                <w:sz w:val="15"/>
                <w:szCs w:val="15"/>
              </w:rPr>
              <w:t xml:space="preserve">人计算</w:t>
            </w:r>
            <w:r/>
          </w:p>
        </w:tc>
      </w:tr>
      <w:tr>
        <w:trPr>
          <w:jc w:val="center"/>
          <w:trHeight w:val="461"/>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lang w:val="en-US" w:eastAsia="zh-CN"/>
              </w:rPr>
              <w:t xml:space="preserve">11)</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员工人身意外保险费</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top"/>
            <w:textDirection w:val="lrTb"/>
            <w:noWrap w:val="false"/>
          </w:tcPr>
          <w:p>
            <w:pPr>
              <w:jc w:val="left"/>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100</w:t>
            </w:r>
            <w:r>
              <w:rPr>
                <w:rFonts w:hint="eastAsia" w:ascii="宋体" w:hAnsi="宋体"/>
                <w:sz w:val="15"/>
                <w:szCs w:val="15"/>
              </w:rPr>
              <w:t xml:space="preserve">人计算</w:t>
            </w:r>
            <w:r/>
          </w:p>
        </w:tc>
      </w:tr>
      <w:tr>
        <w:trPr>
          <w:jc w:val="center"/>
          <w:trHeight w:val="461"/>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lang w:val="en-US" w:eastAsia="zh-CN"/>
              </w:rPr>
              <w:t xml:space="preserve">12)</w:t>
            </w:r>
            <w:r/>
          </w:p>
        </w:tc>
        <w:tc>
          <w:tcPr>
            <w:shd w:val="clear" w:color="auto" w:fill="auto"/>
            <w:tcW w:w="2091" w:type="dxa"/>
            <w:vAlign w:val="center"/>
            <w:textDirection w:val="lrTb"/>
            <w:noWrap w:val="false"/>
          </w:tcPr>
          <w:p>
            <w:pPr>
              <w:jc w:val="center"/>
              <w:rPr>
                <w:rFonts w:hint="eastAsia" w:ascii="宋体" w:hAnsi="宋体" w:eastAsia="宋体" w:cs="Times New Roman"/>
                <w:sz w:val="21"/>
                <w:lang w:val="en-US" w:eastAsia="zh-CN" w:bidi="ar-SA"/>
              </w:rPr>
            </w:pPr>
            <w:r>
              <w:rPr>
                <w:rFonts w:hint="eastAsia" w:ascii="宋体" w:hAnsi="宋体"/>
              </w:rPr>
              <w:t xml:space="preserve">高温费</w:t>
            </w:r>
            <w:r/>
          </w:p>
        </w:tc>
        <w:tc>
          <w:tcPr>
            <w:shd w:val="clear" w:color="auto" w:fill="auto"/>
            <w:tcW w:w="885" w:type="dxa"/>
            <w:vAlign w:val="center"/>
            <w:textDirection w:val="lrTb"/>
            <w:noWrap w:val="false"/>
          </w:tcPr>
          <w:p>
            <w:pPr>
              <w:jc w:val="center"/>
              <w:rPr>
                <w:rFonts w:hint="eastAsia" w:ascii="宋体" w:hAnsi="宋体" w:eastAsia="宋体" w:cs="Times New Roman"/>
                <w:sz w:val="21"/>
                <w:lang w:val="en-US" w:eastAsia="zh-CN" w:bidi="ar-SA"/>
              </w:rPr>
            </w:pPr>
            <w:r>
              <w:rPr>
                <w:rFonts w:hint="eastAsia" w:ascii="宋体" w:hAnsi="宋体" w:eastAsia="宋体" w:cs="Times New Roman"/>
                <w:sz w:val="21"/>
                <w:lang w:val="en-US" w:eastAsia="zh-CN" w:bidi="ar-SA"/>
              </w:rPr>
            </w:r>
            <w:r/>
          </w:p>
        </w:tc>
        <w:tc>
          <w:tcPr>
            <w:shd w:val="clear" w:color="auto" w:fill="auto"/>
            <w:tcW w:w="1695" w:type="dxa"/>
            <w:vAlign w:val="center"/>
            <w:textDirection w:val="lrTb"/>
            <w:noWrap w:val="false"/>
          </w:tcPr>
          <w:p>
            <w:pPr>
              <w:jc w:val="center"/>
              <w:rPr>
                <w:rFonts w:hint="eastAsia" w:ascii="宋体" w:hAnsi="宋体" w:eastAsia="宋体" w:cs="Times New Roman"/>
                <w:sz w:val="21"/>
                <w:lang w:val="en-US" w:eastAsia="zh-CN" w:bidi="ar-SA"/>
              </w:rPr>
            </w:pPr>
            <w:r>
              <w:rPr>
                <w:rFonts w:hint="eastAsia" w:ascii="宋体" w:hAnsi="宋体" w:eastAsia="宋体" w:cs="Times New Roman"/>
                <w:sz w:val="21"/>
                <w:lang w:val="en-US" w:eastAsia="zh-CN" w:bidi="ar-SA"/>
              </w:rPr>
            </w:r>
            <w:r/>
          </w:p>
        </w:tc>
        <w:tc>
          <w:tcPr>
            <w:shd w:val="clear" w:color="auto" w:fill="auto"/>
            <w:tcW w:w="1815" w:type="dxa"/>
            <w:vAlign w:val="center"/>
            <w:textDirection w:val="lrTb"/>
            <w:noWrap w:val="false"/>
          </w:tcPr>
          <w:p>
            <w:pPr>
              <w:jc w:val="center"/>
              <w:rPr>
                <w:rFonts w:hint="eastAsia" w:ascii="宋体" w:hAnsi="宋体" w:eastAsia="宋体" w:cs="Times New Roman"/>
                <w:sz w:val="21"/>
                <w:lang w:val="en-US" w:eastAsia="zh-CN" w:bidi="ar-SA"/>
              </w:rPr>
            </w:pPr>
            <w:r>
              <w:rPr>
                <w:rFonts w:hint="eastAsia" w:ascii="宋体" w:hAnsi="宋体" w:eastAsia="宋体" w:cs="Times New Roman"/>
                <w:sz w:val="21"/>
                <w:lang w:val="en-US" w:eastAsia="zh-CN" w:bidi="ar-SA"/>
              </w:rPr>
            </w:r>
            <w:r/>
          </w:p>
        </w:tc>
        <w:tc>
          <w:tcPr>
            <w:shd w:val="clear" w:color="auto" w:fill="auto"/>
            <w:tcW w:w="1069" w:type="dxa"/>
            <w:vAlign w:val="center"/>
            <w:textDirection w:val="lrTb"/>
            <w:noWrap w:val="false"/>
          </w:tcPr>
          <w:p>
            <w:pPr>
              <w:jc w:val="center"/>
              <w:rPr>
                <w:rFonts w:hint="eastAsia" w:ascii="宋体" w:hAnsi="宋体" w:eastAsia="宋体" w:cs="Times New Roman"/>
                <w:sz w:val="21"/>
                <w:lang w:val="en-US" w:eastAsia="zh-CN" w:bidi="ar-SA"/>
              </w:rPr>
            </w:pPr>
            <w:r>
              <w:rPr>
                <w:rFonts w:hint="eastAsia" w:ascii="宋体" w:hAnsi="宋体" w:eastAsia="宋体" w:cs="Times New Roman"/>
                <w:sz w:val="21"/>
                <w:lang w:val="en-US" w:eastAsia="zh-CN" w:bidi="ar-SA"/>
              </w:rPr>
            </w:r>
            <w:r/>
          </w:p>
        </w:tc>
        <w:tc>
          <w:tcPr>
            <w:shd w:val="clear" w:color="auto" w:fill="auto"/>
            <w:tcW w:w="1316" w:type="dxa"/>
            <w:vAlign w:val="top"/>
            <w:textDirection w:val="lrTb"/>
            <w:noWrap w:val="false"/>
          </w:tcPr>
          <w:p>
            <w:pPr>
              <w:jc w:val="left"/>
              <w:rPr>
                <w:rFonts w:hint="eastAsia" w:ascii="Times New Roman" w:hAnsi="Times New Roman" w:eastAsia="宋体" w:cs="Times New Roman"/>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50</w:t>
            </w:r>
            <w:r>
              <w:rPr>
                <w:rFonts w:hint="eastAsia" w:ascii="宋体" w:hAnsi="宋体"/>
                <w:sz w:val="15"/>
                <w:szCs w:val="15"/>
              </w:rPr>
              <w:t xml:space="preserve">人计算</w:t>
            </w:r>
            <w:r/>
          </w:p>
        </w:tc>
      </w:tr>
      <w:tr>
        <w:trPr>
          <w:jc w:val="center"/>
          <w:trHeight w:val="493"/>
        </w:trPr>
        <w:tc>
          <w:tcPr>
            <w:tcW w:w="917" w:type="dxa"/>
            <w:vAlign w:val="center"/>
            <w:textDirection w:val="lrTb"/>
            <w:noWrap w:val="false"/>
          </w:tcPr>
          <w:p>
            <w:pPr>
              <w:jc w:val="center"/>
              <w:rPr>
                <w:rFonts w:ascii="宋体" w:hAnsi="宋体"/>
              </w:rPr>
            </w:pPr>
            <w:r>
              <w:rPr>
                <w:rFonts w:hint="eastAsia" w:ascii="宋体" w:hAnsi="宋体"/>
                <w:lang w:eastAsia="zh-CN"/>
              </w:rPr>
              <w:t xml:space="preserve">(</w:t>
            </w:r>
            <w:r>
              <w:rPr>
                <w:rFonts w:hint="eastAsia" w:ascii="宋体" w:hAnsi="宋体"/>
                <w:lang w:val="en-US" w:eastAsia="zh-CN"/>
              </w:rPr>
              <w:t xml:space="preserve">13)</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其他员工福利</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top"/>
            <w:textDirection w:val="lrTb"/>
            <w:noWrap w:val="false"/>
          </w:tcPr>
          <w:p>
            <w:pPr>
              <w:jc w:val="left"/>
              <w:rPr>
                <w:sz w:val="15"/>
                <w:szCs w:val="15"/>
                <w:lang w:val="en-US" w:eastAsia="zh-CN" w:bidi="ar-SA"/>
              </w:rPr>
            </w:pPr>
            <w:r>
              <w:rPr>
                <w:sz w:val="15"/>
                <w:szCs w:val="15"/>
                <w:lang w:val="en-US" w:eastAsia="zh-CN" w:bidi="ar-SA"/>
              </w:rPr>
            </w:r>
            <w:r/>
          </w:p>
        </w:tc>
      </w:tr>
      <w:tr>
        <w:trPr>
          <w:jc w:val="center"/>
          <w:trHeight w:val="478"/>
        </w:trPr>
        <w:tc>
          <w:tcPr>
            <w:tcW w:w="917" w:type="dxa"/>
            <w:vAlign w:val="center"/>
            <w:textDirection w:val="lrTb"/>
            <w:noWrap w:val="false"/>
          </w:tcPr>
          <w:p>
            <w:pPr>
              <w:jc w:val="center"/>
              <w:rPr>
                <w:rFonts w:ascii="宋体" w:hAnsi="宋体"/>
              </w:rPr>
            </w:pPr>
            <w:r>
              <w:rPr>
                <w:rFonts w:ascii="宋体" w:hAnsi="宋体"/>
              </w:rPr>
              <w:t xml:space="preserve">…</w:t>
            </w:r>
            <w:r>
              <w:rPr>
                <w:rFonts w:hint="eastAsia" w:ascii="宋体" w:hAnsi="宋体"/>
              </w:rPr>
              <w:t xml:space="preserve"> </w:t>
            </w:r>
            <w:r>
              <w:rPr>
                <w:rFonts w:ascii="宋体" w:hAnsi="宋体"/>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left"/>
              <w:rPr>
                <w:rFonts w:hint="eastAsia" w:ascii="宋体" w:hAnsi="宋体"/>
                <w:sz w:val="15"/>
                <w:szCs w:val="15"/>
                <w:lang w:val="en-US" w:eastAsia="zh-CN" w:bidi="ar-SA"/>
              </w:rPr>
            </w:pPr>
            <w:r>
              <w:rPr>
                <w:rFonts w:hint="eastAsia" w:ascii="宋体" w:hAnsi="宋体"/>
                <w:sz w:val="15"/>
                <w:szCs w:val="15"/>
                <w:lang w:val="en-US" w:eastAsia="zh-CN" w:bidi="ar-SA"/>
              </w:rPr>
            </w:r>
            <w:r/>
          </w:p>
        </w:tc>
      </w:tr>
      <w:tr>
        <w:trPr>
          <w:jc w:val="center"/>
          <w:trHeight w:val="329"/>
        </w:trPr>
        <w:tc>
          <w:tcPr>
            <w:tcW w:w="917" w:type="dxa"/>
            <w:vAlign w:val="center"/>
            <w:textDirection w:val="lrTb"/>
            <w:noWrap w:val="false"/>
          </w:tcPr>
          <w:p>
            <w:pPr>
              <w:jc w:val="center"/>
              <w:rPr>
                <w:rFonts w:ascii="宋体" w:hAnsi="宋体"/>
                <w:b/>
              </w:rPr>
            </w:pPr>
            <w:r>
              <w:rPr>
                <w:rFonts w:hint="eastAsia" w:ascii="宋体" w:hAnsi="宋体"/>
                <w:b/>
              </w:rPr>
              <w:t xml:space="preserve">2</w:t>
            </w:r>
            <w:r/>
          </w:p>
        </w:tc>
        <w:tc>
          <w:tcPr>
            <w:tcW w:w="2091" w:type="dxa"/>
            <w:vAlign w:val="center"/>
            <w:textDirection w:val="lrTb"/>
            <w:noWrap w:val="false"/>
          </w:tcPr>
          <w:p>
            <w:pPr>
              <w:jc w:val="center"/>
              <w:rPr>
                <w:rFonts w:hint="eastAsia" w:ascii="宋体" w:hAnsi="宋体"/>
                <w:b/>
              </w:rPr>
            </w:pPr>
            <w:r>
              <w:rPr>
                <w:rFonts w:hint="eastAsia" w:ascii="宋体" w:hAnsi="宋体"/>
                <w:b/>
              </w:rPr>
              <w:t xml:space="preserve">法定计提费用</w:t>
            </w:r>
            <w:r/>
          </w:p>
        </w:tc>
        <w:tc>
          <w:tcPr>
            <w:tcW w:w="885" w:type="dxa"/>
            <w:vAlign w:val="center"/>
            <w:textDirection w:val="lrTb"/>
            <w:noWrap w:val="false"/>
          </w:tcPr>
          <w:p>
            <w:pPr>
              <w:jc w:val="center"/>
              <w:rPr>
                <w:rFonts w:hint="eastAsia" w:ascii="宋体" w:hAnsi="宋体"/>
                <w:b/>
              </w:rPr>
            </w:pPr>
            <w:r>
              <w:rPr>
                <w:rFonts w:hint="eastAsia" w:ascii="宋体" w:hAnsi="宋体"/>
                <w:b/>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left"/>
              <w:rPr>
                <w:rFonts w:hint="eastAsia" w:ascii="宋体" w:hAnsi="宋体"/>
                <w:sz w:val="15"/>
                <w:szCs w:val="15"/>
                <w:lang w:val="en-US" w:eastAsia="zh-CN" w:bidi="ar-SA"/>
              </w:rPr>
            </w:pPr>
            <w:r>
              <w:rPr>
                <w:rFonts w:hint="eastAsia" w:ascii="宋体" w:hAnsi="宋体"/>
                <w:sz w:val="15"/>
                <w:szCs w:val="15"/>
                <w:lang w:val="en-US" w:eastAsia="zh-CN" w:bidi="ar-SA"/>
              </w:rPr>
            </w:r>
            <w:r/>
          </w:p>
        </w:tc>
      </w:tr>
      <w:tr>
        <w:trPr>
          <w:jc w:val="center"/>
          <w:trHeight w:val="434"/>
        </w:trPr>
        <w:tc>
          <w:tcPr>
            <w:tcW w:w="917" w:type="dxa"/>
            <w:vAlign w:val="center"/>
            <w:textDirection w:val="lrTb"/>
            <w:noWrap w:val="false"/>
          </w:tcPr>
          <w:p>
            <w:pPr>
              <w:jc w:val="center"/>
              <w:rPr>
                <w:rFonts w:ascii="宋体" w:hAnsi="宋体"/>
              </w:rPr>
            </w:pPr>
            <w:r>
              <w:rPr>
                <w:rFonts w:hint="eastAsia" w:ascii="宋体" w:hAnsi="宋体"/>
                <w:lang w:eastAsia="zh-CN"/>
              </w:rPr>
              <w:t xml:space="preserve">(</w:t>
            </w:r>
            <w:r>
              <w:rPr>
                <w:rFonts w:hint="eastAsia" w:ascii="宋体" w:hAnsi="宋体"/>
              </w:rPr>
              <w:t xml:space="preserve">1</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养老保险</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top"/>
            <w:textDirection w:val="lrTb"/>
            <w:noWrap w:val="false"/>
          </w:tcPr>
          <w:p>
            <w:pPr>
              <w:jc w:val="left"/>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100</w:t>
            </w:r>
            <w:r>
              <w:rPr>
                <w:rFonts w:hint="eastAsia" w:ascii="宋体" w:hAnsi="宋体"/>
                <w:sz w:val="15"/>
                <w:szCs w:val="15"/>
              </w:rPr>
              <w:t xml:space="preserve">人计算</w:t>
            </w:r>
            <w:r/>
          </w:p>
        </w:tc>
      </w:tr>
      <w:tr>
        <w:trPr>
          <w:jc w:val="center"/>
          <w:trHeight w:val="389"/>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2</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医疗统筹</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top"/>
            <w:textDirection w:val="lrTb"/>
            <w:noWrap w:val="false"/>
          </w:tcPr>
          <w:p>
            <w:pPr>
              <w:jc w:val="left"/>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100</w:t>
            </w:r>
            <w:r>
              <w:rPr>
                <w:rFonts w:hint="eastAsia" w:ascii="宋体" w:hAnsi="宋体"/>
                <w:sz w:val="15"/>
                <w:szCs w:val="15"/>
              </w:rPr>
              <w:t xml:space="preserve">人计算</w:t>
            </w:r>
            <w:r/>
          </w:p>
        </w:tc>
      </w:tr>
      <w:tr>
        <w:trPr>
          <w:jc w:val="center"/>
          <w:trHeight w:val="419"/>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3</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失业</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top"/>
            <w:textDirection w:val="lrTb"/>
            <w:noWrap w:val="false"/>
          </w:tcPr>
          <w:p>
            <w:pPr>
              <w:jc w:val="left"/>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100</w:t>
            </w:r>
            <w:r>
              <w:rPr>
                <w:rFonts w:hint="eastAsia" w:ascii="宋体" w:hAnsi="宋体"/>
                <w:sz w:val="15"/>
                <w:szCs w:val="15"/>
              </w:rPr>
              <w:t xml:space="preserve">人计算</w:t>
            </w:r>
            <w:r/>
          </w:p>
        </w:tc>
      </w:tr>
      <w:tr>
        <w:trPr>
          <w:jc w:val="center"/>
          <w:trHeight w:val="412"/>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4</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工伤</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top"/>
            <w:textDirection w:val="lrTb"/>
            <w:noWrap w:val="false"/>
          </w:tcPr>
          <w:p>
            <w:pPr>
              <w:jc w:val="left"/>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100</w:t>
            </w:r>
            <w:r>
              <w:rPr>
                <w:rFonts w:hint="eastAsia" w:ascii="宋体" w:hAnsi="宋体"/>
                <w:sz w:val="15"/>
                <w:szCs w:val="15"/>
              </w:rPr>
              <w:t xml:space="preserve">人计算</w:t>
            </w:r>
            <w:r/>
          </w:p>
        </w:tc>
      </w:tr>
      <w:tr>
        <w:trPr>
          <w:jc w:val="center"/>
          <w:trHeight w:val="436"/>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5</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生育</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top"/>
            <w:textDirection w:val="lrTb"/>
            <w:noWrap w:val="false"/>
          </w:tcPr>
          <w:p>
            <w:pPr>
              <w:jc w:val="left"/>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100</w:t>
            </w:r>
            <w:r>
              <w:rPr>
                <w:rFonts w:hint="eastAsia" w:ascii="宋体" w:hAnsi="宋体"/>
                <w:sz w:val="15"/>
                <w:szCs w:val="15"/>
              </w:rPr>
              <w:t xml:space="preserve">人计算</w:t>
            </w:r>
            <w:r/>
          </w:p>
        </w:tc>
      </w:tr>
      <w:tr>
        <w:trPr>
          <w:jc w:val="center"/>
          <w:trHeight w:val="414"/>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6</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住房公积金</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left"/>
              <w:rPr>
                <w:rFonts w:hint="eastAsia" w:ascii="宋体" w:hAnsi="宋体"/>
              </w:rPr>
            </w:pPr>
            <w:r>
              <w:rPr>
                <w:rFonts w:hint="eastAsia" w:ascii="宋体" w:hAnsi="宋体"/>
                <w:sz w:val="15"/>
                <w:szCs w:val="15"/>
              </w:rPr>
              <w:t xml:space="preserve">按人员配置总数</w:t>
            </w:r>
            <w:r>
              <w:rPr>
                <w:rFonts w:hint="eastAsia" w:ascii="宋体" w:hAnsi="宋体"/>
                <w:sz w:val="15"/>
                <w:szCs w:val="15"/>
                <w:lang w:val="en-US" w:eastAsia="zh-CN"/>
              </w:rPr>
              <w:t xml:space="preserve">100</w:t>
            </w:r>
            <w:r>
              <w:rPr>
                <w:rFonts w:hint="eastAsia" w:ascii="宋体" w:hAnsi="宋体"/>
                <w:sz w:val="15"/>
                <w:szCs w:val="15"/>
              </w:rPr>
              <w:t xml:space="preserve">人计算</w:t>
            </w:r>
            <w:r/>
          </w:p>
        </w:tc>
      </w:tr>
      <w:tr>
        <w:trPr>
          <w:jc w:val="center"/>
          <w:trHeight w:val="420"/>
        </w:trPr>
        <w:tc>
          <w:tcPr>
            <w:tcW w:w="917" w:type="dxa"/>
            <w:vAlign w:val="center"/>
            <w:textDirection w:val="lrTb"/>
            <w:noWrap w:val="false"/>
          </w:tcPr>
          <w:p>
            <w:pPr>
              <w:jc w:val="center"/>
              <w:rPr>
                <w:rFonts w:ascii="宋体" w:hAnsi="宋体"/>
              </w:rPr>
            </w:pPr>
            <w:r>
              <w:rPr>
                <w:rFonts w:ascii="宋体" w:hAnsi="宋体"/>
              </w:rPr>
              <w:t xml:space="preserve">…</w:t>
            </w:r>
            <w:r>
              <w:rPr>
                <w:rFonts w:hint="eastAsia" w:ascii="宋体" w:hAnsi="宋体"/>
              </w:rPr>
              <w:t xml:space="preserve"> </w:t>
            </w:r>
            <w:r>
              <w:rPr>
                <w:rFonts w:ascii="宋体" w:hAnsi="宋体"/>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其他法定计提费用</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78"/>
        </w:trPr>
        <w:tc>
          <w:tcPr>
            <w:gridSpan w:val="2"/>
            <w:tcW w:w="3008" w:type="dxa"/>
            <w:vAlign w:val="center"/>
            <w:textDirection w:val="lrTb"/>
            <w:noWrap w:val="false"/>
          </w:tcPr>
          <w:p>
            <w:pPr>
              <w:jc w:val="center"/>
              <w:rPr>
                <w:rFonts w:hint="eastAsia" w:ascii="宋体" w:hAnsi="宋体"/>
              </w:rPr>
            </w:pPr>
            <w:r>
              <w:rPr>
                <w:rFonts w:hint="eastAsia" w:ascii="宋体" w:hAnsi="宋体"/>
              </w:rPr>
              <w:t xml:space="preserve">合计：</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815" w:type="dxa"/>
            <w:vAlign w:val="center"/>
            <w:textDirection w:val="lrTb"/>
            <w:noWrap w:val="false"/>
          </w:tcPr>
          <w:p>
            <w:pPr>
              <w:jc w:val="center"/>
              <w:rPr>
                <w:rFonts w:hint="eastAsia" w:ascii="宋体" w:hAnsi="宋体"/>
              </w:rPr>
            </w:pPr>
            <w:r>
              <w:rPr>
                <w:rFonts w:hint="eastAsia" w:ascii="宋体" w:hAnsi="宋体"/>
              </w:rPr>
            </w:r>
            <w:r/>
          </w:p>
        </w:tc>
        <w:tc>
          <w:tcPr>
            <w:tcW w:w="1069" w:type="dxa"/>
            <w:vAlign w:val="center"/>
            <w:textDirection w:val="lrTb"/>
            <w:noWrap w:val="false"/>
          </w:tcPr>
          <w:p>
            <w:pPr>
              <w:jc w:val="center"/>
              <w:rPr>
                <w:rFonts w:hint="eastAsia" w:ascii="宋体" w:hAnsi="宋体"/>
              </w:rPr>
            </w:pPr>
            <w:r>
              <w:rPr>
                <w:rFonts w:hint="eastAsia" w:ascii="宋体" w:hAnsi="宋体"/>
              </w:rPr>
            </w:r>
            <w:r/>
          </w:p>
        </w:tc>
        <w:tc>
          <w:tcPr>
            <w:tcW w:w="1316" w:type="dxa"/>
            <w:vAlign w:val="center"/>
            <w:textDirection w:val="lrTb"/>
            <w:noWrap w:val="false"/>
          </w:tcPr>
          <w:p>
            <w:pPr>
              <w:jc w:val="center"/>
              <w:rPr>
                <w:rFonts w:hint="eastAsia" w:ascii="宋体" w:hAnsi="宋体"/>
              </w:rPr>
            </w:pPr>
            <w:r>
              <w:rPr>
                <w:rFonts w:hint="eastAsia" w:ascii="宋体" w:hAnsi="宋体"/>
              </w:rPr>
            </w:r>
            <w:r/>
          </w:p>
        </w:tc>
      </w:tr>
    </w:tbl>
    <w:p>
      <w:pPr>
        <w:jc w:val="cente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6"/>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6"/>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807"/>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807"/>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807"/>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JSZC-320206-JZCG-G2026-0022</w:t>
      </w:r>
      <w:r/>
    </w:p>
    <w:tbl>
      <w:tblPr>
        <w:tblStyle w:val="80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3"/>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210"/>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（3）如有服务偏离项，请于本表中列明偏离内容，如需要可自行延长，其余无偏离内容不须赘述。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11"/>
      <w:footerReference w:type="default" r:id="rId16"/>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Times">
    <w:panose1 w:val="02020603050405020304"/>
  </w:font>
  <w:font w:name="Calibri Light">
    <w:panose1 w:val="020F0302020204030204"/>
  </w:font>
  <w:font w:name="Cambria">
    <w:panose1 w:val="02040503050406030204"/>
  </w:font>
  <w:font w:name="Calibri">
    <w:panose1 w:val="020F0502020204030204"/>
  </w:font>
  <w:font w:name="微软雅黑">
    <w:panose1 w:val="020B050302020402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 xml:space="preserve">35</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p>
  <w:p>
    <w:pPr>
      <w:pStyle w:val="1014"/>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4"/>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jc w:val="center"/>
                          </w:pPr>
                          <w:r>
                            <w:fldChar w:fldCharType="begin"/>
                          </w:r>
                          <w:r>
                            <w:instrText xml:space="preserve"> PAGE   \* MERGEFORMAT </w:instrText>
                          </w:r>
                          <w:r>
                            <w:fldChar w:fldCharType="separate"/>
                          </w:r>
                          <w:r>
                            <w:rPr>
                              <w:lang w:val="zh-CN"/>
                            </w:rPr>
                            <w:t xml:space="preserve">27</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jc w:val="center"/>
                    </w:pPr>
                    <w:r>
                      <w:fldChar w:fldCharType="begin"/>
                    </w:r>
                    <w:r>
                      <w:instrText xml:space="preserve"> PAGE   \* MERGEFORMAT </w:instrText>
                    </w:r>
                    <w:r>
                      <w:fldChar w:fldCharType="separate"/>
                    </w:r>
                    <w:r>
                      <w:rPr>
                        <w:lang w:val="zh-CN"/>
                      </w:rP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507"/>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left"/>
      <w:keepLines w:val="0"/>
      <w:keepNext w:val="0"/>
      <w:pageBreakBefore w:val="0"/>
      <w:widowControl w:val="off"/>
      <w:rPr>
        <w:lang w:eastAsia="zh-CN"/>
      </w:rPr>
    </w:pPr>
    <w:r>
      <w:rPr>
        <w:rFonts w:hint="eastAsia"/>
        <w:lang w:eastAsia="zh-CN"/>
      </w:rPr>
      <w:t xml:space="preserve">JSZC-320206-JZCG-G2026-00222026-2028年度阳山镇桃盛苑、新渎苑及17个老旧小区物业管理服务采购项目  </w:t>
    </w:r>
    <w:r>
      <w:rPr>
        <w:rFonts w:hint="eastAsia"/>
        <w:lang w:val="en-US" w:eastAsia="zh-CN"/>
      </w:rPr>
      <w:t xml:space="preserve">                </w:t>
    </w:r>
    <w:r>
      <w:rPr>
        <w:rFonts w:hint="eastAsia" w:ascii="黑体" w:eastAsia="黑体"/>
        <w:sz w:val="30"/>
        <w:szCs w:val="3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lang w:eastAsia="zh-CN"/>
      </w:rPr>
      <w:pBdr>
        <w:bottom w:val="none" w:color="auto" w:sz="0" w:space="1"/>
      </w:pBdr>
    </w:pPr>
    <w:r>
      <w:rPr>
        <w:rFonts w:hint="eastAsia" w:ascii="宋体" w:hAnsi="宋体" w:cs="宋体"/>
        <w:lang w:eastAsia="zh-CN"/>
      </w:rPr>
      <w:t xml:space="preserve">　</w:t>
    </w:r>
    <w:r>
      <w:rPr>
        <w:rFonts w:hint="eastAsia"/>
        <w:u w:val="single"/>
        <w:lang w:eastAsia="zh-CN"/>
      </w:rPr>
      <w:t xml:space="preserve">JSZC-320206-JZCG-G2026-0022</w:t>
    </w:r>
    <w:r>
      <w:rPr>
        <w:rFonts w:hint="eastAsia"/>
        <w:u w:val="single"/>
        <w:lang w:val="en-US" w:eastAsia="zh-CN"/>
      </w:rPr>
      <w:t xml:space="preserve">          </w:t>
    </w:r>
    <w:r>
      <w:rPr>
        <w:rFonts w:hint="eastAsia"/>
        <w:u w:val="single"/>
        <w:lang w:eastAsia="zh-CN"/>
      </w:rPr>
      <w:t xml:space="preserve">2026-2028年度阳山镇桃盛苑、新渎苑及17个老旧小区物业管理服务采购项目</w:t>
    </w:r>
    <w:r>
      <w:rPr>
        <w:rFonts w:hint="eastAsia"/>
        <w:lang w:eastAsia="zh-CN"/>
      </w:rPr>
      <w:t xml:space="preserve">  </w:t>
    </w:r>
    <w:r/>
  </w:p>
  <w:p>
    <w:pPr>
      <w:pStyle w:val="1016"/>
      <w:ind w:firstLine="360"/>
      <w:rPr>
        <w:lang w:eastAsia="zh-CN"/>
      </w:rPr>
      <w:pBdr>
        <w:bottom w:val="none" w:color="auto" w:sz="0" w:space="0"/>
      </w:pBd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lang w:eastAsia="zh-CN"/>
      </w:rPr>
      <w:pBdr>
        <w:bottom w:val="single" w:color="auto" w:sz="4" w:space="0"/>
      </w:pBdr>
    </w:pPr>
    <w:r>
      <w:rPr>
        <w:rFonts w:hint="eastAsia"/>
        <w:lang w:eastAsia="zh-CN"/>
      </w:rPr>
      <w:t xml:space="preserve">JSZC-320206-JZCG-G2026-0022</w:t>
    </w:r>
    <w:r>
      <w:rPr>
        <w:rFonts w:hint="eastAsia"/>
        <w:lang w:val="en-US" w:eastAsia="zh-CN"/>
      </w:rPr>
      <w:t xml:space="preserve">          </w:t>
    </w:r>
    <w:r>
      <w:rPr>
        <w:rFonts w:hint="eastAsia"/>
        <w:lang w:eastAsia="zh-CN"/>
      </w:rPr>
      <w:t xml:space="preserve">2026-2028年度阳山镇桃盛苑、新渎苑及17个老旧小区物业管理服务采购项目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lvl w:ilvl="0">
        <w:start w:val="1"/>
        <w:numFmt w:val="decimal"/>
        <w:pStyle w:val="1021"/>
        <w:isLgl w:val="false"/>
        <w:suff w:val="tab"/>
        <w:lvlText w:val="第%1章"/>
        <w:lvlJc w:val="left"/>
        <w:pPr>
          <w:ind w:left="465" w:hanging="465"/>
        </w:pPr>
      </w:lvl>
    </w:lvlOverride>
    <w:lvlOverride w:ilvl="1">
      <w:lvl w:ilvl="1">
        <w:start w:val="1"/>
        <w:numFmt w:val="decimal"/>
        <w:pStyle w:val="1086"/>
        <w:isLgl w:val="false"/>
        <w:suff w:val="tab"/>
        <w:lvlText w:val="%1.%2"/>
        <w:lvlJc w:val="left"/>
        <w:pPr>
          <w:ind w:left="465" w:hanging="465"/>
        </w:pPr>
      </w:lvl>
    </w:lvlOverride>
    <w:lvlOverride w:ilvl="2">
      <w:lvl w:ilvl="2">
        <w:start w:val="1"/>
        <w:numFmt w:val="decimal"/>
        <w:pStyle w:val="1125"/>
        <w:isLgl w:val="false"/>
        <w:suff w:val="tab"/>
        <w:lvlText w:val="%1.%2.%3"/>
        <w:lvlJc w:val="left"/>
        <w:pPr>
          <w:ind w:left="720" w:hanging="720"/>
        </w:pPr>
      </w:lvl>
    </w:lvlOverride>
    <w:lvlOverride w:ilvl="3">
      <w:lvl w:ilvl="3">
        <w:start w:val="1"/>
        <w:numFmt w:val="decimal"/>
        <w:pStyle w:val="1088"/>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6"/>
    <w:link w:val="797"/>
    <w:uiPriority w:val="9"/>
    <w:rPr>
      <w:rFonts w:ascii="Arial" w:hAnsi="Arial" w:eastAsia="Arial" w:cs="Arial"/>
      <w:sz w:val="40"/>
      <w:szCs w:val="40"/>
    </w:rPr>
  </w:style>
  <w:style w:type="character" w:styleId="15">
    <w:name w:val="Heading 2 Char"/>
    <w:basedOn w:val="806"/>
    <w:link w:val="798"/>
    <w:uiPriority w:val="9"/>
    <w:rPr>
      <w:rFonts w:ascii="Arial" w:hAnsi="Arial" w:eastAsia="Arial" w:cs="Arial"/>
      <w:sz w:val="34"/>
    </w:rPr>
  </w:style>
  <w:style w:type="character" w:styleId="17">
    <w:name w:val="Heading 3 Char"/>
    <w:basedOn w:val="806"/>
    <w:link w:val="799"/>
    <w:uiPriority w:val="9"/>
    <w:rPr>
      <w:rFonts w:ascii="Arial" w:hAnsi="Arial" w:eastAsia="Arial" w:cs="Arial"/>
      <w:sz w:val="30"/>
      <w:szCs w:val="30"/>
    </w:rPr>
  </w:style>
  <w:style w:type="character" w:styleId="19">
    <w:name w:val="Heading 4 Char"/>
    <w:basedOn w:val="806"/>
    <w:link w:val="800"/>
    <w:uiPriority w:val="9"/>
    <w:rPr>
      <w:rFonts w:ascii="Arial" w:hAnsi="Arial" w:eastAsia="Arial" w:cs="Arial"/>
      <w:b/>
      <w:bCs/>
      <w:sz w:val="26"/>
      <w:szCs w:val="26"/>
    </w:rPr>
  </w:style>
  <w:style w:type="character" w:styleId="21">
    <w:name w:val="Heading 5 Char"/>
    <w:basedOn w:val="806"/>
    <w:link w:val="801"/>
    <w:uiPriority w:val="9"/>
    <w:rPr>
      <w:rFonts w:ascii="Arial" w:hAnsi="Arial" w:eastAsia="Arial" w:cs="Arial"/>
      <w:b/>
      <w:bCs/>
      <w:sz w:val="24"/>
      <w:szCs w:val="24"/>
    </w:rPr>
  </w:style>
  <w:style w:type="character" w:styleId="23">
    <w:name w:val="Heading 6 Char"/>
    <w:basedOn w:val="806"/>
    <w:link w:val="802"/>
    <w:uiPriority w:val="9"/>
    <w:rPr>
      <w:rFonts w:ascii="Arial" w:hAnsi="Arial" w:eastAsia="Arial" w:cs="Arial"/>
      <w:b/>
      <w:bCs/>
      <w:sz w:val="22"/>
      <w:szCs w:val="22"/>
    </w:rPr>
  </w:style>
  <w:style w:type="character" w:styleId="25">
    <w:name w:val="Heading 7 Char"/>
    <w:basedOn w:val="806"/>
    <w:link w:val="803"/>
    <w:uiPriority w:val="9"/>
    <w:rPr>
      <w:rFonts w:ascii="Arial" w:hAnsi="Arial" w:eastAsia="Arial" w:cs="Arial"/>
      <w:b/>
      <w:bCs/>
      <w:i/>
      <w:iCs/>
      <w:sz w:val="22"/>
      <w:szCs w:val="22"/>
    </w:rPr>
  </w:style>
  <w:style w:type="character" w:styleId="27">
    <w:name w:val="Heading 8 Char"/>
    <w:basedOn w:val="806"/>
    <w:link w:val="804"/>
    <w:uiPriority w:val="9"/>
    <w:rPr>
      <w:rFonts w:ascii="Arial" w:hAnsi="Arial" w:eastAsia="Arial" w:cs="Arial"/>
      <w:i/>
      <w:iCs/>
      <w:sz w:val="22"/>
      <w:szCs w:val="22"/>
    </w:rPr>
  </w:style>
  <w:style w:type="character" w:styleId="29">
    <w:name w:val="Heading 9 Char"/>
    <w:basedOn w:val="806"/>
    <w:link w:val="805"/>
    <w:uiPriority w:val="9"/>
    <w:rPr>
      <w:rFonts w:ascii="Arial" w:hAnsi="Arial" w:eastAsia="Arial" w:cs="Arial"/>
      <w:i/>
      <w:iCs/>
      <w:sz w:val="21"/>
      <w:szCs w:val="21"/>
    </w:rPr>
  </w:style>
  <w:style w:type="character" w:styleId="34">
    <w:name w:val="Title Char"/>
    <w:basedOn w:val="806"/>
    <w:link w:val="830"/>
    <w:uiPriority w:val="10"/>
    <w:rPr>
      <w:sz w:val="48"/>
      <w:szCs w:val="48"/>
    </w:rPr>
  </w:style>
  <w:style w:type="character" w:styleId="36">
    <w:name w:val="Subtitle Char"/>
    <w:basedOn w:val="806"/>
    <w:link w:val="823"/>
    <w:uiPriority w:val="11"/>
    <w:rPr>
      <w:sz w:val="24"/>
      <w:szCs w:val="24"/>
    </w:rPr>
  </w:style>
  <w:style w:type="character" w:styleId="38">
    <w:name w:val="Quote Char"/>
    <w:link w:val="851"/>
    <w:uiPriority w:val="29"/>
    <w:rPr>
      <w:i/>
    </w:rPr>
  </w:style>
  <w:style w:type="character" w:styleId="40">
    <w:name w:val="Intense Quote Char"/>
    <w:link w:val="853"/>
    <w:uiPriority w:val="30"/>
    <w:rPr>
      <w:i/>
    </w:rPr>
  </w:style>
  <w:style w:type="character" w:styleId="42">
    <w:name w:val="Header Char"/>
    <w:basedOn w:val="806"/>
    <w:link w:val="820"/>
    <w:uiPriority w:val="99"/>
  </w:style>
  <w:style w:type="character" w:styleId="46">
    <w:name w:val="Caption Char"/>
    <w:basedOn w:val="809"/>
    <w:link w:val="818"/>
    <w:uiPriority w:val="99"/>
  </w:style>
  <w:style w:type="table" w:styleId="49">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5"/>
    <w:uiPriority w:val="99"/>
    <w:rPr>
      <w:sz w:val="18"/>
    </w:rPr>
  </w:style>
  <w:style w:type="character" w:styleId="178">
    <w:name w:val="Endnote Text Char"/>
    <w:link w:val="817"/>
    <w:uiPriority w:val="99"/>
    <w:rPr>
      <w:sz w:val="20"/>
    </w:rPr>
  </w:style>
  <w:style w:type="paragraph" w:styleId="189">
    <w:name w:val="TOC Heading"/>
    <w:uiPriority w:val="39"/>
    <w:unhideWhenUsed/>
  </w:style>
  <w:style w:type="paragraph" w:styleId="79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7">
    <w:name w:val="Heading 1"/>
    <w:basedOn w:val="796"/>
    <w:next w:val="796"/>
    <w:link w:val="839"/>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link w:val="840"/>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link w:val="841"/>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link w:val="842"/>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link w:val="843"/>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link w:val="844"/>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84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847"/>
    <w:uiPriority w:val="9"/>
    <w:unhideWhenUsed/>
    <w:qFormat/>
    <w:pPr>
      <w:keepLines/>
      <w:keepNext/>
      <w:spacing w:before="320" w:after="200"/>
      <w:outlineLvl w:val="8"/>
    </w:pPr>
    <w:rPr>
      <w:rFonts w:ascii="Arial" w:hAnsi="Arial" w:eastAsia="Arial" w:cs="Arial"/>
      <w:i/>
      <w:iCs/>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toc 7"/>
    <w:basedOn w:val="796"/>
    <w:next w:val="796"/>
    <w:uiPriority w:val="39"/>
    <w:unhideWhenUsed/>
    <w:qFormat/>
    <w:pPr>
      <w:ind w:left="1701"/>
      <w:spacing w:after="57"/>
    </w:pPr>
  </w:style>
  <w:style w:type="paragraph" w:styleId="809">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0">
    <w:name w:val="annotation text"/>
    <w:basedOn w:val="796"/>
    <w:uiPriority w:val="99"/>
    <w:unhideWhenUsed/>
    <w:qFormat/>
    <w:pPr>
      <w:jc w:val="left"/>
    </w:pPr>
  </w:style>
  <w:style w:type="paragraph" w:styleId="811">
    <w:name w:val="Body Text"/>
    <w:basedOn w:val="796"/>
    <w:uiPriority w:val="0"/>
    <w:qFormat/>
    <w:rPr>
      <w:sz w:val="20"/>
    </w:rPr>
  </w:style>
  <w:style w:type="paragraph" w:styleId="812">
    <w:name w:val="index 4"/>
    <w:basedOn w:val="796"/>
    <w:next w:val="796"/>
    <w:uiPriority w:val="99"/>
    <w:qFormat/>
    <w:pPr>
      <w:ind w:left="600"/>
    </w:pPr>
    <w:rPr>
      <w:szCs w:val="24"/>
    </w:rPr>
  </w:style>
  <w:style w:type="paragraph" w:styleId="813">
    <w:name w:val="toc 5"/>
    <w:basedOn w:val="796"/>
    <w:next w:val="796"/>
    <w:uiPriority w:val="39"/>
    <w:unhideWhenUsed/>
    <w:qFormat/>
    <w:pPr>
      <w:ind w:left="1134"/>
      <w:spacing w:after="57"/>
    </w:pPr>
  </w:style>
  <w:style w:type="paragraph" w:styleId="814">
    <w:name w:val="toc 3"/>
    <w:basedOn w:val="796"/>
    <w:next w:val="796"/>
    <w:uiPriority w:val="39"/>
    <w:unhideWhenUsed/>
    <w:qFormat/>
    <w:pPr>
      <w:ind w:left="567"/>
      <w:spacing w:after="57"/>
    </w:pPr>
  </w:style>
  <w:style w:type="paragraph" w:styleId="815">
    <w:name w:val="Plain Text"/>
    <w:basedOn w:val="796"/>
    <w:uiPriority w:val="0"/>
    <w:qFormat/>
    <w:rPr>
      <w:rFonts w:ascii="宋体" w:hAnsi="Courier New" w:eastAsia="楷体_GB2312"/>
      <w:sz w:val="26"/>
    </w:rPr>
  </w:style>
  <w:style w:type="paragraph" w:styleId="816">
    <w:name w:val="toc 8"/>
    <w:basedOn w:val="796"/>
    <w:next w:val="796"/>
    <w:uiPriority w:val="39"/>
    <w:unhideWhenUsed/>
    <w:qFormat/>
    <w:pPr>
      <w:ind w:left="1984"/>
      <w:spacing w:after="57"/>
    </w:pPr>
  </w:style>
  <w:style w:type="paragraph" w:styleId="817">
    <w:name w:val="endnote text"/>
    <w:basedOn w:val="796"/>
    <w:link w:val="984"/>
    <w:uiPriority w:val="99"/>
    <w:semiHidden/>
    <w:unhideWhenUsed/>
    <w:qFormat/>
    <w:rPr>
      <w:sz w:val="20"/>
    </w:rPr>
  </w:style>
  <w:style w:type="paragraph" w:styleId="818">
    <w:name w:val="Footer"/>
    <w:basedOn w:val="796"/>
    <w:next w:val="819"/>
    <w:link w:val="857"/>
    <w:uiPriority w:val="99"/>
    <w:unhideWhenUsed/>
    <w:qFormat/>
    <w:pPr>
      <w:tabs>
        <w:tab w:val="center" w:pos="7143" w:leader="none"/>
        <w:tab w:val="right" w:pos="14287" w:leader="none"/>
      </w:tabs>
    </w:pPr>
  </w:style>
  <w:style w:type="paragraph" w:styleId="819" w:customStyle="1">
    <w:name w:val="TOC Heading1"/>
    <w:next w:val="796"/>
    <w:uiPriority w:val="0"/>
    <w:qFormat/>
    <w:rPr>
      <w:rFonts w:ascii="Calibri" w:hAnsi="Calibri" w:eastAsia="宋体" w:cs="Times New Roman"/>
      <w:sz w:val="32"/>
      <w:lang w:val="en-US" w:eastAsia="zh-CN" w:bidi="ar-SA"/>
    </w:rPr>
  </w:style>
  <w:style w:type="paragraph" w:styleId="820">
    <w:name w:val="Header"/>
    <w:basedOn w:val="796"/>
    <w:link w:val="855"/>
    <w:uiPriority w:val="99"/>
    <w:unhideWhenUsed/>
    <w:qFormat/>
    <w:pPr>
      <w:tabs>
        <w:tab w:val="center" w:pos="7143" w:leader="none"/>
        <w:tab w:val="right" w:pos="14287" w:leader="none"/>
      </w:tabs>
    </w:pPr>
  </w:style>
  <w:style w:type="paragraph" w:styleId="821">
    <w:name w:val="toc 1"/>
    <w:basedOn w:val="796"/>
    <w:next w:val="796"/>
    <w:uiPriority w:val="39"/>
    <w:unhideWhenUsed/>
    <w:qFormat/>
    <w:pPr>
      <w:spacing w:after="57"/>
    </w:pPr>
  </w:style>
  <w:style w:type="paragraph" w:styleId="822">
    <w:name w:val="toc 4"/>
    <w:basedOn w:val="796"/>
    <w:next w:val="796"/>
    <w:uiPriority w:val="39"/>
    <w:unhideWhenUsed/>
    <w:qFormat/>
    <w:pPr>
      <w:ind w:left="850"/>
      <w:spacing w:after="57"/>
    </w:pPr>
  </w:style>
  <w:style w:type="paragraph" w:styleId="823">
    <w:name w:val="Subtitle"/>
    <w:basedOn w:val="796"/>
    <w:next w:val="796"/>
    <w:link w:val="850"/>
    <w:uiPriority w:val="11"/>
    <w:qFormat/>
    <w:pPr>
      <w:spacing w:before="200" w:after="200"/>
    </w:pPr>
    <w:rPr>
      <w:sz w:val="24"/>
      <w:szCs w:val="24"/>
    </w:rPr>
  </w:style>
  <w:style w:type="paragraph" w:styleId="824">
    <w:name w:val="List"/>
    <w:basedOn w:val="796"/>
    <w:uiPriority w:val="99"/>
    <w:qFormat/>
    <w:pPr>
      <w:ind w:left="465" w:hanging="465"/>
      <w:spacing w:after="20" w:line="288" w:lineRule="auto"/>
      <w:tabs>
        <w:tab w:val="left" w:pos="420" w:leader="none"/>
      </w:tabs>
    </w:pPr>
    <w:rPr>
      <w:lang w:val="en-GB"/>
    </w:rPr>
  </w:style>
  <w:style w:type="paragraph" w:styleId="825">
    <w:name w:val="footnote text"/>
    <w:basedOn w:val="796"/>
    <w:link w:val="983"/>
    <w:uiPriority w:val="99"/>
    <w:semiHidden/>
    <w:unhideWhenUsed/>
    <w:qFormat/>
    <w:pPr>
      <w:spacing w:after="40"/>
    </w:pPr>
    <w:rPr>
      <w:sz w:val="18"/>
    </w:rPr>
  </w:style>
  <w:style w:type="paragraph" w:styleId="826">
    <w:name w:val="toc 6"/>
    <w:basedOn w:val="796"/>
    <w:next w:val="796"/>
    <w:uiPriority w:val="39"/>
    <w:unhideWhenUsed/>
    <w:qFormat/>
    <w:pPr>
      <w:ind w:left="1417"/>
      <w:spacing w:after="57"/>
    </w:pPr>
  </w:style>
  <w:style w:type="paragraph" w:styleId="827">
    <w:name w:val="table of figures"/>
    <w:basedOn w:val="796"/>
    <w:next w:val="796"/>
    <w:uiPriority w:val="99"/>
    <w:unhideWhenUsed/>
    <w:qFormat/>
  </w:style>
  <w:style w:type="paragraph" w:styleId="828">
    <w:name w:val="toc 2"/>
    <w:basedOn w:val="796"/>
    <w:next w:val="796"/>
    <w:uiPriority w:val="39"/>
    <w:unhideWhenUsed/>
    <w:qFormat/>
    <w:pPr>
      <w:ind w:left="283"/>
      <w:spacing w:after="57"/>
    </w:pPr>
  </w:style>
  <w:style w:type="paragraph" w:styleId="829">
    <w:name w:val="toc 9"/>
    <w:basedOn w:val="796"/>
    <w:next w:val="796"/>
    <w:uiPriority w:val="39"/>
    <w:unhideWhenUsed/>
    <w:qFormat/>
    <w:pPr>
      <w:ind w:left="2268"/>
      <w:spacing w:after="57"/>
    </w:pPr>
  </w:style>
  <w:style w:type="paragraph" w:styleId="830">
    <w:name w:val="Title"/>
    <w:basedOn w:val="796"/>
    <w:next w:val="796"/>
    <w:link w:val="849"/>
    <w:uiPriority w:val="10"/>
    <w:qFormat/>
    <w:pPr>
      <w:contextualSpacing/>
      <w:spacing w:before="300" w:after="200"/>
    </w:pPr>
    <w:rPr>
      <w:sz w:val="48"/>
      <w:szCs w:val="48"/>
    </w:rPr>
  </w:style>
  <w:style w:type="paragraph" w:styleId="831">
    <w:name w:val="Body Text First Indent"/>
    <w:basedOn w:val="811"/>
    <w:uiPriority w:val="99"/>
    <w:qFormat/>
    <w:pPr>
      <w:ind w:firstLine="420"/>
      <w:jc w:val="left"/>
      <w:spacing w:after="120"/>
      <w:widowControl/>
    </w:pPr>
    <w:rPr>
      <w:sz w:val="30"/>
      <w:szCs w:val="30"/>
    </w:rPr>
  </w:style>
  <w:style w:type="table" w:styleId="83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Strong"/>
    <w:uiPriority w:val="22"/>
    <w:qFormat/>
    <w:rPr>
      <w:b/>
      <w:bCs/>
    </w:r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footnote reference"/>
    <w:uiPriority w:val="99"/>
    <w:unhideWhenUsed/>
    <w:qFormat/>
    <w:rPr>
      <w:vertAlign w:val="superscript"/>
    </w:rPr>
  </w:style>
  <w:style w:type="paragraph" w:styleId="837">
    <w:name w:val="List Paragraph"/>
    <w:basedOn w:val="796"/>
    <w:uiPriority w:val="99"/>
    <w:qFormat/>
    <w:pPr>
      <w:ind w:firstLine="420"/>
    </w:pPr>
  </w:style>
  <w:style w:type="paragraph" w:styleId="838" w:customStyle="1">
    <w:name w:val="索引 41"/>
    <w:basedOn w:val="796"/>
    <w:next w:val="796"/>
    <w:uiPriority w:val="99"/>
    <w:qFormat/>
    <w:pPr>
      <w:ind w:left="600"/>
    </w:pPr>
    <w:rPr>
      <w:szCs w:val="24"/>
    </w:rPr>
  </w:style>
  <w:style w:type="character" w:styleId="839" w:customStyle="1">
    <w:name w:val="标题 1 字符2"/>
    <w:link w:val="797"/>
    <w:uiPriority w:val="9"/>
    <w:qFormat/>
    <w:rPr>
      <w:rFonts w:ascii="Arial" w:hAnsi="Arial" w:eastAsia="Arial" w:cs="Arial"/>
      <w:sz w:val="40"/>
      <w:szCs w:val="40"/>
    </w:rPr>
  </w:style>
  <w:style w:type="character" w:styleId="840" w:customStyle="1">
    <w:name w:val="标题 2 字符1"/>
    <w:link w:val="798"/>
    <w:uiPriority w:val="9"/>
    <w:qFormat/>
    <w:rPr>
      <w:rFonts w:ascii="Arial" w:hAnsi="Arial" w:eastAsia="Arial" w:cs="Arial"/>
      <w:sz w:val="34"/>
    </w:rPr>
  </w:style>
  <w:style w:type="character" w:styleId="841" w:customStyle="1">
    <w:name w:val="标题 3 字符1"/>
    <w:link w:val="799"/>
    <w:uiPriority w:val="9"/>
    <w:qFormat/>
    <w:rPr>
      <w:rFonts w:ascii="Arial" w:hAnsi="Arial" w:eastAsia="Arial" w:cs="Arial"/>
      <w:sz w:val="30"/>
      <w:szCs w:val="30"/>
    </w:rPr>
  </w:style>
  <w:style w:type="character" w:styleId="842" w:customStyle="1">
    <w:name w:val="标题 4 字符1"/>
    <w:link w:val="800"/>
    <w:uiPriority w:val="9"/>
    <w:qFormat/>
    <w:rPr>
      <w:rFonts w:ascii="Arial" w:hAnsi="Arial" w:eastAsia="Arial" w:cs="Arial"/>
      <w:b/>
      <w:bCs/>
      <w:sz w:val="26"/>
      <w:szCs w:val="26"/>
    </w:rPr>
  </w:style>
  <w:style w:type="character" w:styleId="843" w:customStyle="1">
    <w:name w:val="标题 5 字符1"/>
    <w:link w:val="801"/>
    <w:uiPriority w:val="9"/>
    <w:qFormat/>
    <w:rPr>
      <w:rFonts w:ascii="Arial" w:hAnsi="Arial" w:eastAsia="Arial" w:cs="Arial"/>
      <w:b/>
      <w:bCs/>
      <w:sz w:val="24"/>
      <w:szCs w:val="24"/>
    </w:rPr>
  </w:style>
  <w:style w:type="character" w:styleId="844" w:customStyle="1">
    <w:name w:val="标题 6 字符"/>
    <w:link w:val="802"/>
    <w:uiPriority w:val="9"/>
    <w:qFormat/>
    <w:rPr>
      <w:rFonts w:ascii="Arial" w:hAnsi="Arial" w:eastAsia="Arial" w:cs="Arial"/>
      <w:b/>
      <w:bCs/>
      <w:sz w:val="22"/>
      <w:szCs w:val="22"/>
    </w:rPr>
  </w:style>
  <w:style w:type="character" w:styleId="845" w:customStyle="1">
    <w:name w:val="标题 7 字符"/>
    <w:link w:val="803"/>
    <w:uiPriority w:val="9"/>
    <w:qFormat/>
    <w:rPr>
      <w:rFonts w:ascii="Arial" w:hAnsi="Arial" w:eastAsia="Arial" w:cs="Arial"/>
      <w:b/>
      <w:bCs/>
      <w:i/>
      <w:iCs/>
      <w:sz w:val="22"/>
      <w:szCs w:val="22"/>
    </w:rPr>
  </w:style>
  <w:style w:type="character" w:styleId="846" w:customStyle="1">
    <w:name w:val="标题 8 字符"/>
    <w:link w:val="804"/>
    <w:uiPriority w:val="9"/>
    <w:qFormat/>
    <w:rPr>
      <w:rFonts w:ascii="Arial" w:hAnsi="Arial" w:eastAsia="Arial" w:cs="Arial"/>
      <w:i/>
      <w:iCs/>
      <w:sz w:val="22"/>
      <w:szCs w:val="22"/>
    </w:rPr>
  </w:style>
  <w:style w:type="character" w:styleId="847" w:customStyle="1">
    <w:name w:val="标题 9 字符"/>
    <w:link w:val="805"/>
    <w:uiPriority w:val="9"/>
    <w:qFormat/>
    <w:rPr>
      <w:rFonts w:ascii="Arial" w:hAnsi="Arial" w:eastAsia="Arial" w:cs="Arial"/>
      <w:i/>
      <w:iCs/>
      <w:sz w:val="21"/>
      <w:szCs w:val="21"/>
    </w:rPr>
  </w:style>
  <w:style w:type="paragraph" w:styleId="848">
    <w:name w:val="No Spacing"/>
    <w:uiPriority w:val="1"/>
    <w:qFormat/>
    <w:rPr>
      <w:rFonts w:ascii="Times New Roman" w:hAnsi="Times New Roman" w:eastAsia="宋体" w:cs="Times New Roman"/>
      <w:lang w:val="en-US" w:eastAsia="zh-CN" w:bidi="ar-SA"/>
    </w:rPr>
  </w:style>
  <w:style w:type="character" w:styleId="849" w:customStyle="1">
    <w:name w:val="标题 字符1"/>
    <w:link w:val="830"/>
    <w:uiPriority w:val="10"/>
    <w:qFormat/>
    <w:rPr>
      <w:sz w:val="48"/>
      <w:szCs w:val="48"/>
    </w:rPr>
  </w:style>
  <w:style w:type="character" w:styleId="850" w:customStyle="1">
    <w:name w:val="副标题 字符1"/>
    <w:link w:val="823"/>
    <w:uiPriority w:val="11"/>
    <w:qFormat/>
    <w:rPr>
      <w:sz w:val="24"/>
      <w:szCs w:val="24"/>
    </w:rPr>
  </w:style>
  <w:style w:type="paragraph" w:styleId="851">
    <w:name w:val="Quote"/>
    <w:basedOn w:val="796"/>
    <w:next w:val="796"/>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96"/>
    <w:next w:val="796"/>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页眉 字符2"/>
    <w:link w:val="820"/>
    <w:uiPriority w:val="99"/>
    <w:qFormat/>
  </w:style>
  <w:style w:type="character" w:styleId="856" w:customStyle="1">
    <w:name w:val="Footer Char"/>
    <w:uiPriority w:val="99"/>
    <w:qFormat/>
  </w:style>
  <w:style w:type="character" w:styleId="857" w:customStyle="1">
    <w:name w:val="页脚 字符1"/>
    <w:link w:val="818"/>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脚注文本 字符"/>
    <w:link w:val="825"/>
    <w:uiPriority w:val="99"/>
    <w:qFormat/>
    <w:rPr>
      <w:sz w:val="18"/>
    </w:rPr>
  </w:style>
  <w:style w:type="character" w:styleId="984" w:customStyle="1">
    <w:name w:val="尾注文本 字符"/>
    <w:link w:val="817"/>
    <w:uiPriority w:val="99"/>
    <w:qFormat/>
    <w:rPr>
      <w:sz w:val="20"/>
    </w:rPr>
  </w:style>
  <w:style w:type="paragraph" w:styleId="985" w:customStyle="1">
    <w:name w:val="TOC 标题1"/>
    <w:uiPriority w:val="39"/>
    <w:unhideWhenUsed/>
    <w:qFormat/>
    <w:rPr>
      <w:rFonts w:ascii="Times New Roman" w:hAnsi="Times New Roman" w:eastAsia="宋体" w:cs="Times New Roman"/>
      <w:lang w:val="en-US" w:eastAsia="zh-CN" w:bidi="ar-SA"/>
    </w:rPr>
  </w:style>
  <w:style w:type="paragraph" w:styleId="986" w:customStyle="1">
    <w:name w:val="标题 11"/>
    <w:basedOn w:val="796"/>
    <w:next w:val="796"/>
    <w:link w:val="993"/>
    <w:uiPriority w:val="0"/>
    <w:qFormat/>
    <w:pPr>
      <w:jc w:val="center"/>
      <w:keepNext/>
      <w:outlineLvl w:val="0"/>
    </w:pPr>
    <w:rPr>
      <w:b/>
      <w:bCs/>
      <w:sz w:val="44"/>
      <w:szCs w:val="44"/>
      <w:lang w:eastAsia="en-US"/>
    </w:rPr>
  </w:style>
  <w:style w:type="paragraph" w:styleId="987" w:customStyle="1">
    <w:name w:val="标题 21"/>
    <w:basedOn w:val="796"/>
    <w:next w:val="796"/>
    <w:link w:val="994"/>
    <w:uiPriority w:val="0"/>
    <w:qFormat/>
    <w:pPr>
      <w:jc w:val="center"/>
      <w:keepNext/>
      <w:outlineLvl w:val="1"/>
    </w:pPr>
    <w:rPr>
      <w:rFonts w:ascii="Cambria" w:hAnsi="Cambria"/>
      <w:b/>
      <w:bCs/>
      <w:sz w:val="32"/>
      <w:szCs w:val="32"/>
      <w:lang w:eastAsia="en-US"/>
    </w:rPr>
  </w:style>
  <w:style w:type="paragraph" w:styleId="988" w:customStyle="1">
    <w:name w:val="标题 311"/>
    <w:basedOn w:val="796"/>
    <w:next w:val="796"/>
    <w:link w:val="995"/>
    <w:uiPriority w:val="0"/>
    <w:qFormat/>
    <w:pPr>
      <w:jc w:val="center"/>
      <w:keepNext/>
      <w:outlineLvl w:val="2"/>
    </w:pPr>
    <w:rPr>
      <w:b/>
      <w:bCs/>
      <w:sz w:val="32"/>
      <w:szCs w:val="32"/>
      <w:lang w:eastAsia="en-US"/>
    </w:rPr>
  </w:style>
  <w:style w:type="paragraph" w:styleId="989" w:customStyle="1">
    <w:name w:val="标题 411"/>
    <w:basedOn w:val="796"/>
    <w:next w:val="796"/>
    <w:link w:val="996"/>
    <w:uiPriority w:val="0"/>
    <w:qFormat/>
    <w:pPr>
      <w:jc w:val="center"/>
      <w:keepNext/>
      <w:outlineLvl w:val="3"/>
    </w:pPr>
    <w:rPr>
      <w:rFonts w:ascii="Cambria" w:hAnsi="Cambria"/>
      <w:b/>
      <w:bCs/>
      <w:sz w:val="28"/>
      <w:szCs w:val="28"/>
      <w:lang w:eastAsia="en-US"/>
    </w:rPr>
  </w:style>
  <w:style w:type="paragraph" w:styleId="990" w:customStyle="1">
    <w:name w:val="标题 51"/>
    <w:basedOn w:val="796"/>
    <w:next w:val="796"/>
    <w:link w:val="997"/>
    <w:uiPriority w:val="0"/>
    <w:qFormat/>
    <w:pPr>
      <w:numPr>
        <w:ilvl w:val="0"/>
        <w:numId w:val="1"/>
      </w:numPr>
      <w:keepNext/>
      <w:outlineLvl w:val="4"/>
    </w:pPr>
    <w:rPr>
      <w:rFonts w:ascii="楷体_GB2312" w:eastAsia="楷体_GB2312"/>
      <w:bCs/>
      <w:sz w:val="28"/>
      <w:lang w:eastAsia="en-US"/>
    </w:rPr>
  </w:style>
  <w:style w:type="character" w:styleId="991" w:customStyle="1">
    <w:name w:val="默认段落字体11"/>
    <w:uiPriority w:val="1"/>
    <w:unhideWhenUsed/>
    <w:qFormat/>
  </w:style>
  <w:style w:type="table" w:styleId="992" w:customStyle="1">
    <w:name w:val="普通表格1"/>
    <w:uiPriority w:val="99"/>
    <w:unhideWhenUsed/>
    <w:qFormat/>
    <w:tblPr>
      <w:tblCellMar>
        <w:left w:w="0" w:type="dxa"/>
        <w:top w:w="0" w:type="dxa"/>
        <w:right w:w="0" w:type="dxa"/>
        <w:bottom w:w="0" w:type="dxa"/>
      </w:tblCellMar>
    </w:tblPr>
  </w:style>
  <w:style w:type="character" w:styleId="993" w:customStyle="1">
    <w:name w:val="标题 1 Char"/>
    <w:link w:val="986"/>
    <w:uiPriority w:val="0"/>
    <w:qFormat/>
    <w:rPr>
      <w:rFonts w:cs="Times New Roman"/>
      <w:b/>
      <w:bCs/>
      <w:sz w:val="44"/>
      <w:szCs w:val="44"/>
    </w:rPr>
  </w:style>
  <w:style w:type="character" w:styleId="994" w:customStyle="1">
    <w:name w:val="标题 2 Char"/>
    <w:link w:val="987"/>
    <w:uiPriority w:val="0"/>
    <w:semiHidden/>
    <w:qFormat/>
    <w:rPr>
      <w:rFonts w:ascii="Cambria" w:hAnsi="Cambria" w:eastAsia="宋体" w:cs="Times New Roman"/>
      <w:b/>
      <w:bCs/>
      <w:sz w:val="32"/>
      <w:szCs w:val="32"/>
    </w:rPr>
  </w:style>
  <w:style w:type="character" w:styleId="995" w:customStyle="1">
    <w:name w:val="标题 3 Char"/>
    <w:link w:val="988"/>
    <w:uiPriority w:val="0"/>
    <w:qFormat/>
    <w:rPr>
      <w:rFonts w:cs="Times New Roman"/>
      <w:b/>
      <w:bCs/>
      <w:sz w:val="32"/>
      <w:szCs w:val="32"/>
    </w:rPr>
  </w:style>
  <w:style w:type="character" w:styleId="996" w:customStyle="1">
    <w:name w:val="标题 4 Char"/>
    <w:link w:val="989"/>
    <w:uiPriority w:val="0"/>
    <w:semiHidden/>
    <w:qFormat/>
    <w:rPr>
      <w:rFonts w:ascii="Cambria" w:hAnsi="Cambria" w:eastAsia="宋体" w:cs="Times New Roman"/>
      <w:b/>
      <w:bCs/>
      <w:sz w:val="28"/>
      <w:szCs w:val="28"/>
    </w:rPr>
  </w:style>
  <w:style w:type="character" w:styleId="997" w:customStyle="1">
    <w:name w:val="标题 5 Char"/>
    <w:link w:val="990"/>
    <w:uiPriority w:val="0"/>
    <w:qFormat/>
    <w:rPr>
      <w:rFonts w:ascii="楷体_GB2312" w:eastAsia="楷体_GB2312"/>
      <w:bCs/>
      <w:sz w:val="28"/>
    </w:rPr>
  </w:style>
  <w:style w:type="paragraph" w:styleId="998" w:customStyle="1">
    <w:name w:val="正文缩进11"/>
    <w:basedOn w:val="796"/>
    <w:link w:val="999"/>
    <w:uiPriority w:val="0"/>
    <w:qFormat/>
    <w:pPr>
      <w:ind w:firstLine="420"/>
    </w:pPr>
    <w:rPr>
      <w:lang w:eastAsia="en-US"/>
    </w:rPr>
  </w:style>
  <w:style w:type="character" w:styleId="999" w:customStyle="1">
    <w:name w:val="正文缩进 Char"/>
    <w:link w:val="998"/>
    <w:uiPriority w:val="0"/>
    <w:qFormat/>
    <w:rPr>
      <w:sz w:val="21"/>
    </w:rPr>
  </w:style>
  <w:style w:type="paragraph" w:styleId="1000" w:customStyle="1">
    <w:name w:val="文档结构图1"/>
    <w:basedOn w:val="796"/>
    <w:link w:val="1001"/>
    <w:uiPriority w:val="0"/>
    <w:semiHidden/>
    <w:qFormat/>
    <w:pPr>
      <w:shd w:val="clear" w:color="auto" w:fill="000080"/>
    </w:pPr>
    <w:rPr>
      <w:sz w:val="2"/>
      <w:lang w:eastAsia="en-US"/>
    </w:rPr>
  </w:style>
  <w:style w:type="character" w:styleId="1001" w:customStyle="1">
    <w:name w:val="文档结构图 Char"/>
    <w:link w:val="1000"/>
    <w:uiPriority w:val="0"/>
    <w:semiHidden/>
    <w:qFormat/>
    <w:rPr>
      <w:rFonts w:cs="Times New Roman"/>
      <w:sz w:val="2"/>
    </w:rPr>
  </w:style>
  <w:style w:type="paragraph" w:styleId="1002" w:customStyle="1">
    <w:name w:val="批注文字1"/>
    <w:basedOn w:val="796"/>
    <w:link w:val="1003"/>
    <w:uiPriority w:val="99"/>
    <w:unhideWhenUsed/>
    <w:qFormat/>
    <w:pPr>
      <w:jc w:val="left"/>
    </w:pPr>
    <w:rPr>
      <w:lang w:eastAsia="en-US"/>
    </w:rPr>
  </w:style>
  <w:style w:type="character" w:styleId="1003" w:customStyle="1">
    <w:name w:val="批注文字 Char"/>
    <w:link w:val="1002"/>
    <w:uiPriority w:val="99"/>
    <w:semiHidden/>
    <w:qFormat/>
    <w:rPr>
      <w:sz w:val="21"/>
    </w:rPr>
  </w:style>
  <w:style w:type="paragraph" w:styleId="1004" w:customStyle="1">
    <w:name w:val="正文文本1"/>
    <w:basedOn w:val="796"/>
    <w:link w:val="1005"/>
    <w:uiPriority w:val="0"/>
    <w:qFormat/>
    <w:rPr>
      <w:sz w:val="20"/>
      <w:lang w:eastAsia="en-US"/>
    </w:rPr>
  </w:style>
  <w:style w:type="character" w:styleId="1005" w:customStyle="1">
    <w:name w:val="正文文本 Char"/>
    <w:link w:val="1004"/>
    <w:uiPriority w:val="0"/>
    <w:semiHidden/>
    <w:qFormat/>
    <w:rPr>
      <w:rFonts w:cs="Times New Roman"/>
      <w:sz w:val="20"/>
      <w:szCs w:val="20"/>
    </w:rPr>
  </w:style>
  <w:style w:type="paragraph" w:styleId="1006" w:customStyle="1">
    <w:name w:val="正文文本缩进1"/>
    <w:basedOn w:val="796"/>
    <w:link w:val="1007"/>
    <w:uiPriority w:val="0"/>
    <w:qFormat/>
    <w:pPr>
      <w:ind w:firstLine="576"/>
    </w:pPr>
    <w:rPr>
      <w:sz w:val="20"/>
      <w:lang w:eastAsia="en-US"/>
    </w:rPr>
  </w:style>
  <w:style w:type="character" w:styleId="1007" w:customStyle="1">
    <w:name w:val="正文文本缩进 Char"/>
    <w:link w:val="1006"/>
    <w:uiPriority w:val="0"/>
    <w:semiHidden/>
    <w:qFormat/>
    <w:rPr>
      <w:rFonts w:cs="Times New Roman"/>
      <w:sz w:val="20"/>
      <w:szCs w:val="20"/>
    </w:rPr>
  </w:style>
  <w:style w:type="paragraph" w:styleId="1008" w:customStyle="1">
    <w:name w:val="日期1"/>
    <w:basedOn w:val="796"/>
    <w:next w:val="796"/>
    <w:link w:val="1009"/>
    <w:uiPriority w:val="0"/>
    <w:qFormat/>
    <w:rPr>
      <w:sz w:val="20"/>
      <w:lang w:eastAsia="en-US"/>
    </w:rPr>
  </w:style>
  <w:style w:type="character" w:styleId="1009" w:customStyle="1">
    <w:name w:val="日期 Char"/>
    <w:link w:val="1008"/>
    <w:uiPriority w:val="0"/>
    <w:semiHidden/>
    <w:qFormat/>
    <w:rPr>
      <w:rFonts w:cs="Times New Roman"/>
      <w:sz w:val="20"/>
      <w:szCs w:val="20"/>
    </w:rPr>
  </w:style>
  <w:style w:type="paragraph" w:styleId="1010" w:customStyle="1">
    <w:name w:val="正文文本缩进 21"/>
    <w:basedOn w:val="796"/>
    <w:link w:val="1011"/>
    <w:uiPriority w:val="0"/>
    <w:qFormat/>
    <w:pPr>
      <w:ind w:left="900"/>
    </w:pPr>
    <w:rPr>
      <w:sz w:val="20"/>
      <w:lang w:eastAsia="en-US"/>
    </w:rPr>
  </w:style>
  <w:style w:type="character" w:styleId="1011" w:customStyle="1">
    <w:name w:val="正文文本缩进 2 Char"/>
    <w:link w:val="1010"/>
    <w:uiPriority w:val="0"/>
    <w:semiHidden/>
    <w:qFormat/>
    <w:rPr>
      <w:rFonts w:cs="Times New Roman"/>
      <w:sz w:val="20"/>
      <w:szCs w:val="20"/>
    </w:rPr>
  </w:style>
  <w:style w:type="paragraph" w:styleId="1012" w:customStyle="1">
    <w:name w:val="批注框文本1"/>
    <w:basedOn w:val="796"/>
    <w:link w:val="1013"/>
    <w:uiPriority w:val="0"/>
    <w:unhideWhenUsed/>
    <w:qFormat/>
    <w:rPr>
      <w:sz w:val="18"/>
      <w:szCs w:val="18"/>
      <w:lang w:eastAsia="en-US"/>
    </w:rPr>
  </w:style>
  <w:style w:type="character" w:styleId="1013" w:customStyle="1">
    <w:name w:val="批注框文本 Char"/>
    <w:link w:val="1012"/>
    <w:uiPriority w:val="0"/>
    <w:qFormat/>
    <w:rPr>
      <w:sz w:val="18"/>
      <w:szCs w:val="18"/>
    </w:rPr>
  </w:style>
  <w:style w:type="paragraph" w:styleId="1014" w:customStyle="1">
    <w:name w:val="页脚11"/>
    <w:basedOn w:val="796"/>
    <w:link w:val="1015"/>
    <w:uiPriority w:val="99"/>
    <w:qFormat/>
    <w:pPr>
      <w:jc w:val="left"/>
      <w:tabs>
        <w:tab w:val="center" w:pos="4153" w:leader="none"/>
        <w:tab w:val="right" w:pos="8306" w:leader="none"/>
      </w:tabs>
    </w:pPr>
    <w:rPr>
      <w:sz w:val="18"/>
      <w:szCs w:val="18"/>
      <w:lang w:eastAsia="en-US"/>
    </w:rPr>
  </w:style>
  <w:style w:type="character" w:styleId="1015" w:customStyle="1">
    <w:name w:val="页脚 Char"/>
    <w:link w:val="1014"/>
    <w:uiPriority w:val="99"/>
    <w:qFormat/>
    <w:rPr>
      <w:rFonts w:cs="Times New Roman"/>
      <w:sz w:val="18"/>
      <w:szCs w:val="18"/>
    </w:rPr>
  </w:style>
  <w:style w:type="paragraph" w:styleId="1016" w:customStyle="1">
    <w:name w:val="页眉11"/>
    <w:basedOn w:val="796"/>
    <w:link w:val="1017"/>
    <w:uiPriority w:val="99"/>
    <w:qFormat/>
    <w:pPr>
      <w:tabs>
        <w:tab w:val="center" w:pos="4153" w:leader="none"/>
        <w:tab w:val="right" w:pos="8306" w:leader="none"/>
      </w:tabs>
      <w:pBdr>
        <w:bottom w:val="single" w:color="000000" w:sz="6" w:space="1"/>
      </w:pBdr>
    </w:pPr>
    <w:rPr>
      <w:sz w:val="18"/>
      <w:szCs w:val="18"/>
      <w:lang w:eastAsia="en-US"/>
    </w:rPr>
  </w:style>
  <w:style w:type="character" w:styleId="1017" w:customStyle="1">
    <w:name w:val="页眉 Char"/>
    <w:link w:val="1016"/>
    <w:uiPriority w:val="99"/>
    <w:qFormat/>
    <w:rPr>
      <w:sz w:val="18"/>
      <w:szCs w:val="18"/>
    </w:rPr>
  </w:style>
  <w:style w:type="paragraph" w:styleId="1018" w:customStyle="1">
    <w:name w:val="目录 11"/>
    <w:basedOn w:val="796"/>
    <w:next w:val="796"/>
    <w:uiPriority w:val="39"/>
    <w:qFormat/>
  </w:style>
  <w:style w:type="paragraph" w:styleId="1019" w:customStyle="1">
    <w:name w:val="副标题1"/>
    <w:basedOn w:val="796"/>
    <w:next w:val="796"/>
    <w:link w:val="1020"/>
    <w:uiPriority w:val="11"/>
    <w:qFormat/>
    <w:pPr>
      <w:jc w:val="center"/>
      <w:spacing w:before="240" w:after="60" w:line="312" w:lineRule="auto"/>
      <w:outlineLvl w:val="1"/>
    </w:pPr>
    <w:rPr>
      <w:rFonts w:ascii="Calibri Light" w:hAnsi="Calibri Light"/>
      <w:b/>
      <w:bCs/>
      <w:sz w:val="32"/>
      <w:szCs w:val="32"/>
      <w:lang w:eastAsia="en-US"/>
    </w:rPr>
  </w:style>
  <w:style w:type="character" w:styleId="1020" w:customStyle="1">
    <w:name w:val="副标题 Char"/>
    <w:link w:val="1019"/>
    <w:uiPriority w:val="11"/>
    <w:qFormat/>
    <w:rPr>
      <w:rFonts w:ascii="Calibri Light" w:hAnsi="Calibri Light"/>
      <w:b/>
      <w:bCs/>
      <w:sz w:val="32"/>
      <w:szCs w:val="32"/>
    </w:rPr>
  </w:style>
  <w:style w:type="paragraph" w:styleId="1021" w:customStyle="1">
    <w:name w:val="列表1"/>
    <w:basedOn w:val="796"/>
    <w:uiPriority w:val="99"/>
    <w:qFormat/>
    <w:pPr>
      <w:numPr>
        <w:ilvl w:val="0"/>
        <w:numId w:val="2"/>
      </w:numPr>
      <w:spacing w:after="20" w:line="288" w:lineRule="auto"/>
      <w:tabs>
        <w:tab w:val="left" w:pos="420" w:leader="none"/>
      </w:tabs>
    </w:pPr>
    <w:rPr>
      <w:lang w:val="en-GB"/>
    </w:rPr>
  </w:style>
  <w:style w:type="paragraph" w:styleId="1022" w:customStyle="1">
    <w:name w:val="正文文本缩进 31"/>
    <w:basedOn w:val="796"/>
    <w:link w:val="1023"/>
    <w:uiPriority w:val="0"/>
    <w:qFormat/>
    <w:pPr>
      <w:ind w:left="359" w:firstLine="359"/>
    </w:pPr>
    <w:rPr>
      <w:sz w:val="16"/>
      <w:szCs w:val="16"/>
      <w:lang w:eastAsia="en-US"/>
    </w:rPr>
  </w:style>
  <w:style w:type="character" w:styleId="1023" w:customStyle="1">
    <w:name w:val="正文文本缩进 3 Char"/>
    <w:link w:val="1022"/>
    <w:uiPriority w:val="0"/>
    <w:semiHidden/>
    <w:qFormat/>
    <w:rPr>
      <w:rFonts w:cs="Times New Roman"/>
      <w:sz w:val="16"/>
      <w:szCs w:val="16"/>
    </w:rPr>
  </w:style>
  <w:style w:type="paragraph" w:styleId="1024" w:customStyle="1">
    <w:name w:val="正文文本 21"/>
    <w:basedOn w:val="796"/>
    <w:link w:val="1025"/>
    <w:uiPriority w:val="0"/>
    <w:qFormat/>
    <w:pPr>
      <w:spacing w:after="120" w:line="480" w:lineRule="auto"/>
    </w:pPr>
    <w:rPr>
      <w:sz w:val="20"/>
      <w:lang w:eastAsia="en-US"/>
    </w:rPr>
  </w:style>
  <w:style w:type="character" w:styleId="1025" w:customStyle="1">
    <w:name w:val="正文文本 2 Char"/>
    <w:link w:val="1024"/>
    <w:uiPriority w:val="0"/>
    <w:semiHidden/>
    <w:qFormat/>
    <w:rPr>
      <w:rFonts w:cs="Times New Roman"/>
      <w:sz w:val="20"/>
      <w:szCs w:val="20"/>
    </w:rPr>
  </w:style>
  <w:style w:type="paragraph" w:styleId="1026" w:customStyle="1">
    <w:name w:val="普通(网站)1"/>
    <w:basedOn w:val="796"/>
    <w:uiPriority w:val="99"/>
    <w:unhideWhenUsed/>
    <w:qFormat/>
    <w:pPr>
      <w:jc w:val="left"/>
      <w:spacing w:before="100" w:beforeAutospacing="1" w:after="100" w:afterAutospacing="1"/>
      <w:widowControl/>
    </w:pPr>
    <w:rPr>
      <w:rFonts w:ascii="宋体" w:hAnsi="宋体" w:cs="宋体"/>
      <w:sz w:val="24"/>
      <w:szCs w:val="24"/>
    </w:rPr>
  </w:style>
  <w:style w:type="paragraph" w:styleId="1027" w:customStyle="1">
    <w:name w:val="标题1"/>
    <w:basedOn w:val="796"/>
    <w:next w:val="796"/>
    <w:link w:val="1028"/>
    <w:uiPriority w:val="99"/>
    <w:qFormat/>
    <w:pPr>
      <w:ind w:firstLine="200"/>
      <w:jc w:val="center"/>
      <w:spacing w:before="240" w:after="60" w:line="336" w:lineRule="auto"/>
      <w:outlineLvl w:val="0"/>
    </w:pPr>
    <w:rPr>
      <w:rFonts w:ascii="Cambria" w:hAnsi="Cambria"/>
      <w:b/>
      <w:bCs/>
      <w:sz w:val="32"/>
      <w:szCs w:val="32"/>
      <w:lang w:eastAsia="en-US"/>
    </w:rPr>
  </w:style>
  <w:style w:type="character" w:styleId="1028" w:customStyle="1">
    <w:name w:val="标题 Char"/>
    <w:link w:val="1027"/>
    <w:uiPriority w:val="99"/>
    <w:qFormat/>
    <w:rPr>
      <w:rFonts w:ascii="Cambria" w:hAnsi="Cambria" w:cs="Cambria"/>
      <w:b/>
      <w:bCs/>
      <w:sz w:val="32"/>
      <w:szCs w:val="32"/>
    </w:rPr>
  </w:style>
  <w:style w:type="paragraph" w:styleId="1029" w:customStyle="1">
    <w:name w:val="批注主题1"/>
    <w:basedOn w:val="1002"/>
    <w:next w:val="1002"/>
    <w:link w:val="1030"/>
    <w:uiPriority w:val="99"/>
    <w:unhideWhenUsed/>
    <w:qFormat/>
    <w:rPr>
      <w:b/>
      <w:bCs/>
    </w:rPr>
  </w:style>
  <w:style w:type="character" w:styleId="1030" w:customStyle="1">
    <w:name w:val="批注主题 Char"/>
    <w:link w:val="1029"/>
    <w:uiPriority w:val="99"/>
    <w:semiHidden/>
    <w:qFormat/>
    <w:rPr>
      <w:b/>
      <w:bCs/>
      <w:sz w:val="21"/>
    </w:rPr>
  </w:style>
  <w:style w:type="paragraph" w:styleId="1031" w:customStyle="1">
    <w:name w:val="正文首行缩进1"/>
    <w:basedOn w:val="1004"/>
    <w:link w:val="1032"/>
    <w:uiPriority w:val="99"/>
    <w:unhideWhenUsed/>
    <w:qFormat/>
    <w:pPr>
      <w:ind w:firstLine="420"/>
      <w:spacing w:after="120"/>
    </w:pPr>
    <w:rPr>
      <w:sz w:val="21"/>
    </w:rPr>
  </w:style>
  <w:style w:type="character" w:styleId="1032" w:customStyle="1">
    <w:name w:val="正文首行缩进 Char"/>
    <w:basedOn w:val="1005"/>
    <w:link w:val="1031"/>
    <w:uiPriority w:val="99"/>
    <w:qFormat/>
    <w:rPr>
      <w:rFonts w:cs="Times New Roman"/>
      <w:sz w:val="21"/>
      <w:szCs w:val="20"/>
    </w:rPr>
  </w:style>
  <w:style w:type="paragraph" w:styleId="1033" w:customStyle="1">
    <w:name w:val="正文首行缩进 21"/>
    <w:next w:val="796"/>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1034" w:customStyle="1">
    <w:name w:val="网格型1"/>
    <w:basedOn w:val="992"/>
    <w:uiPriority w:val="99"/>
    <w:qFormat/>
    <w:rPr>
      <w:rFonts w:ascii="Times" w:hAnsi="Times" w:cs="Times"/>
    </w:rPr>
    <w:tblPr/>
  </w:style>
  <w:style w:type="character" w:styleId="1035" w:customStyle="1">
    <w:name w:val="要点1"/>
    <w:uiPriority w:val="0"/>
    <w:qFormat/>
    <w:rPr>
      <w:rFonts w:cs="Times New Roman"/>
      <w:b/>
      <w:bCs/>
    </w:rPr>
  </w:style>
  <w:style w:type="character" w:styleId="1036" w:customStyle="1">
    <w:name w:val="页码11"/>
    <w:uiPriority w:val="0"/>
    <w:qFormat/>
    <w:rPr>
      <w:rFonts w:cs="Times New Roman"/>
    </w:rPr>
  </w:style>
  <w:style w:type="character" w:styleId="1037" w:customStyle="1">
    <w:name w:val="已访问的超链接1"/>
    <w:uiPriority w:val="99"/>
    <w:qFormat/>
    <w:rPr>
      <w:rFonts w:cs="Times New Roman"/>
      <w:color w:val="000000"/>
      <w:u w:val="none"/>
    </w:rPr>
  </w:style>
  <w:style w:type="character" w:styleId="1038" w:customStyle="1">
    <w:name w:val="HTML 打字机11"/>
    <w:uiPriority w:val="99"/>
    <w:qFormat/>
    <w:rPr>
      <w:rFonts w:ascii="宋体" w:hAnsi="宋体" w:eastAsia="宋体" w:cs="宋体"/>
      <w:sz w:val="24"/>
      <w:szCs w:val="24"/>
    </w:rPr>
  </w:style>
  <w:style w:type="character" w:styleId="1039" w:customStyle="1">
    <w:name w:val="超链接1"/>
    <w:uiPriority w:val="99"/>
    <w:qFormat/>
    <w:rPr>
      <w:rFonts w:cs="Times New Roman"/>
      <w:color w:val="000000"/>
      <w:u w:val="none"/>
    </w:rPr>
  </w:style>
  <w:style w:type="character" w:styleId="1040" w:customStyle="1">
    <w:name w:val="批注引用11"/>
    <w:uiPriority w:val="0"/>
    <w:unhideWhenUsed/>
    <w:qFormat/>
    <w:rPr>
      <w:sz w:val="21"/>
      <w:szCs w:val="21"/>
    </w:rPr>
  </w:style>
  <w:style w:type="character" w:styleId="1041" w:customStyle="1">
    <w:name w:val="页码1"/>
    <w:uiPriority w:val="0"/>
    <w:qFormat/>
  </w:style>
  <w:style w:type="paragraph" w:styleId="1042" w:customStyle="1">
    <w:name w:val="标题 31"/>
    <w:basedOn w:val="796"/>
    <w:next w:val="1043"/>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1043" w:customStyle="1">
    <w:name w:val="正文缩进1"/>
    <w:basedOn w:val="796"/>
    <w:uiPriority w:val="0"/>
    <w:qFormat/>
    <w:pPr>
      <w:ind w:firstLine="420"/>
    </w:pPr>
    <w:rPr>
      <w:sz w:val="20"/>
    </w:rPr>
  </w:style>
  <w:style w:type="character" w:styleId="1044" w:customStyle="1">
    <w:name w:val="style21"/>
    <w:uiPriority w:val="99"/>
    <w:qFormat/>
    <w:rPr>
      <w:sz w:val="22"/>
      <w:szCs w:val="22"/>
    </w:rPr>
  </w:style>
  <w:style w:type="character" w:styleId="1045" w:customStyle="1">
    <w:name w:val="列出段落 字符"/>
    <w:uiPriority w:val="34"/>
    <w:qFormat/>
    <w:rPr>
      <w:sz w:val="21"/>
    </w:rPr>
  </w:style>
  <w:style w:type="character" w:styleId="1046" w:customStyle="1">
    <w:name w:val="宋体&amp;Time5# Char"/>
    <w:link w:val="1047"/>
    <w:uiPriority w:val="0"/>
    <w:qFormat/>
    <w:rPr>
      <w:rFonts w:ascii="Calibri" w:hAnsi="Calibri" w:eastAsia="Times New Roman"/>
      <w:sz w:val="21"/>
      <w:szCs w:val="21"/>
    </w:rPr>
  </w:style>
  <w:style w:type="paragraph" w:styleId="1047" w:customStyle="1">
    <w:name w:val="宋体&amp;Time5#"/>
    <w:basedOn w:val="796"/>
    <w:link w:val="1046"/>
    <w:uiPriority w:val="0"/>
    <w:qFormat/>
    <w:pPr>
      <w:jc w:val="center"/>
    </w:pPr>
    <w:rPr>
      <w:rFonts w:ascii="Calibri" w:hAnsi="Calibri" w:eastAsia="Times New Roman"/>
      <w:szCs w:val="21"/>
      <w:lang w:eastAsia="en-US"/>
    </w:rPr>
  </w:style>
  <w:style w:type="character" w:styleId="1048" w:customStyle="1">
    <w:name w:val="访问过的超链接1"/>
    <w:uiPriority w:val="0"/>
    <w:qFormat/>
    <w:rPr>
      <w:color w:val="000000"/>
      <w:u w:val="none"/>
    </w:rPr>
  </w:style>
  <w:style w:type="character" w:styleId="1049" w:customStyle="1">
    <w:name w:val="列出段落 Char"/>
    <w:link w:val="1050"/>
    <w:uiPriority w:val="34"/>
    <w:qFormat/>
    <w:rPr>
      <w:sz w:val="21"/>
    </w:rPr>
  </w:style>
  <w:style w:type="paragraph" w:styleId="1050" w:customStyle="1">
    <w:name w:val="列出段落1"/>
    <w:basedOn w:val="796"/>
    <w:link w:val="1049"/>
    <w:uiPriority w:val="34"/>
    <w:qFormat/>
    <w:pPr>
      <w:ind w:firstLine="420"/>
    </w:pPr>
    <w:rPr>
      <w:lang w:eastAsia="en-US"/>
    </w:rPr>
  </w:style>
  <w:style w:type="character" w:styleId="1051" w:customStyle="1">
    <w:name w:val="case31"/>
    <w:uiPriority w:val="0"/>
    <w:qFormat/>
    <w:rPr>
      <w:rFonts w:cs="Times New Roman"/>
      <w:spacing w:val="390"/>
      <w:sz w:val="21"/>
      <w:szCs w:val="21"/>
    </w:rPr>
  </w:style>
  <w:style w:type="character" w:styleId="1052" w:customStyle="1">
    <w:name w:val="_正文 Char"/>
    <w:link w:val="1053"/>
    <w:uiPriority w:val="0"/>
    <w:qFormat/>
    <w:rPr>
      <w:rFonts w:ascii="微软雅黑" w:hAnsi="微软雅黑"/>
    </w:rPr>
  </w:style>
  <w:style w:type="paragraph" w:styleId="1053" w:customStyle="1">
    <w:name w:val="_正文"/>
    <w:basedOn w:val="796"/>
    <w:link w:val="1052"/>
    <w:uiPriority w:val="0"/>
    <w:qFormat/>
    <w:pPr>
      <w:ind w:firstLine="200"/>
      <w:jc w:val="left"/>
      <w:spacing w:line="360" w:lineRule="auto"/>
      <w:widowControl/>
    </w:pPr>
    <w:rPr>
      <w:rFonts w:ascii="微软雅黑" w:hAnsi="微软雅黑"/>
      <w:sz w:val="20"/>
      <w:lang w:eastAsia="en-US"/>
    </w:rPr>
  </w:style>
  <w:style w:type="paragraph" w:styleId="1054" w:customStyle="1">
    <w:name w:val="xl43"/>
    <w:basedOn w:val="7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55" w:customStyle="1">
    <w:name w:val="xl29"/>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56" w:customStyle="1">
    <w:name w:val="xl54"/>
    <w:basedOn w:val="79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57" w:customStyle="1">
    <w:name w:val="xl51"/>
    <w:basedOn w:val="79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58" w:customStyle="1">
    <w:name w:val="样式 首行缩进:  2 字符"/>
    <w:basedOn w:val="796"/>
    <w:uiPriority w:val="99"/>
    <w:qFormat/>
    <w:pPr>
      <w:ind w:firstLine="200"/>
      <w:spacing w:line="288" w:lineRule="auto"/>
    </w:pPr>
    <w:rPr>
      <w:rFonts w:ascii="仿宋_GB2312" w:hAnsi="Times" w:eastAsia="仿宋_GB2312" w:cs="仿宋_GB2312"/>
      <w:sz w:val="32"/>
      <w:szCs w:val="32"/>
    </w:rPr>
  </w:style>
  <w:style w:type="paragraph" w:styleId="1059" w:customStyle="1">
    <w:name w:val="font13"/>
    <w:basedOn w:val="796"/>
    <w:uiPriority w:val="0"/>
    <w:qFormat/>
    <w:pPr>
      <w:jc w:val="left"/>
      <w:spacing w:before="100" w:beforeAutospacing="1" w:after="100" w:afterAutospacing="1"/>
      <w:widowControl/>
    </w:pPr>
    <w:rPr>
      <w:i/>
      <w:iCs/>
      <w:sz w:val="36"/>
      <w:szCs w:val="36"/>
    </w:rPr>
  </w:style>
  <w:style w:type="paragraph" w:styleId="1060" w:customStyle="1">
    <w:name w:val="xl62"/>
    <w:basedOn w:val="79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1" w:customStyle="1">
    <w:name w:val="xl26"/>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2" w:customStyle="1">
    <w:name w:val="xl46"/>
    <w:basedOn w:val="79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63" w:customStyle="1">
    <w:name w:val="xl39"/>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30"/>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5" w:customStyle="1">
    <w:name w:val="xl42"/>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6" w:customStyle="1">
    <w:name w:val="样式 首行缩进:  2 字符1"/>
    <w:basedOn w:val="796"/>
    <w:uiPriority w:val="99"/>
    <w:qFormat/>
    <w:pPr>
      <w:ind w:firstLine="200"/>
      <w:spacing w:line="288" w:lineRule="auto"/>
    </w:pPr>
    <w:rPr>
      <w:rFonts w:ascii="仿宋_GB2312" w:hAnsi="Times" w:eastAsia="仿宋_GB2312" w:cs="仿宋_GB2312"/>
      <w:sz w:val="32"/>
      <w:szCs w:val="32"/>
    </w:rPr>
  </w:style>
  <w:style w:type="paragraph" w:styleId="1067" w:customStyle="1">
    <w:name w:val="font7"/>
    <w:basedOn w:val="796"/>
    <w:uiPriority w:val="0"/>
    <w:qFormat/>
    <w:pPr>
      <w:jc w:val="left"/>
      <w:spacing w:before="100" w:beforeAutospacing="1" w:after="100" w:afterAutospacing="1"/>
      <w:widowControl/>
    </w:pPr>
    <w:rPr>
      <w:b/>
      <w:bCs/>
      <w:i/>
      <w:iCs/>
      <w:sz w:val="20"/>
    </w:rPr>
  </w:style>
  <w:style w:type="paragraph" w:styleId="106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69" w:customStyle="1">
    <w:name w:val="xl45"/>
    <w:basedOn w:val="796"/>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70" w:customStyle="1">
    <w:name w:val="xl56"/>
    <w:basedOn w:val="79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71" w:customStyle="1">
    <w:name w:val="xl53"/>
    <w:basedOn w:val="79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2" w:customStyle="1">
    <w:name w:val="xl171"/>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73" w:customStyle="1">
    <w:name w:val="xl37"/>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74" w:customStyle="1">
    <w:name w:val="xl40"/>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5" w:customStyle="1">
    <w:name w:val="font5"/>
    <w:basedOn w:val="796"/>
    <w:uiPriority w:val="0"/>
    <w:qFormat/>
    <w:pPr>
      <w:jc w:val="left"/>
      <w:spacing w:before="100" w:beforeAutospacing="1" w:after="100" w:afterAutospacing="1"/>
      <w:widowControl/>
    </w:pPr>
    <w:rPr>
      <w:rFonts w:ascii="宋体" w:hAnsi="宋体"/>
      <w:sz w:val="18"/>
      <w:szCs w:val="18"/>
    </w:rPr>
  </w:style>
  <w:style w:type="paragraph" w:styleId="1076" w:customStyle="1">
    <w:name w:val="xl48"/>
    <w:basedOn w:val="7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77" w:customStyle="1">
    <w:name w:val="Table Description"/>
    <w:basedOn w:val="796"/>
    <w:next w:val="796"/>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1078" w:customStyle="1">
    <w:name w:val="xl63"/>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79" w:customStyle="1">
    <w:name w:val="xl38"/>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0" w:customStyle="1">
    <w:name w:val="xl24"/>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1" w:customStyle="1">
    <w:name w:val="文件标题"/>
    <w:basedOn w:val="796"/>
    <w:uiPriority w:val="99"/>
    <w:qFormat/>
    <w:pPr>
      <w:jc w:val="center"/>
      <w:spacing w:line="640" w:lineRule="exact"/>
    </w:pPr>
    <w:rPr>
      <w:rFonts w:ascii="宋体" w:hAnsi="宋体" w:eastAsia="方正小标宋_GBK" w:cs="宋体"/>
      <w:sz w:val="44"/>
      <w:szCs w:val="44"/>
    </w:rPr>
  </w:style>
  <w:style w:type="paragraph" w:styleId="1082" w:customStyle="1">
    <w:name w:val="文档正文"/>
    <w:basedOn w:val="796"/>
    <w:uiPriority w:val="0"/>
    <w:qFormat/>
    <w:pPr>
      <w:ind w:firstLine="567"/>
      <w:spacing w:line="312" w:lineRule="atLeast"/>
    </w:pPr>
    <w:rPr>
      <w:rFonts w:ascii="长城仿宋" w:eastAsia="长城仿宋"/>
      <w:sz w:val="28"/>
    </w:rPr>
  </w:style>
  <w:style w:type="paragraph" w:styleId="1083" w:customStyle="1">
    <w:name w:val="xl31"/>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84" w:customStyle="1">
    <w:name w:val="font8"/>
    <w:basedOn w:val="796"/>
    <w:uiPriority w:val="0"/>
    <w:qFormat/>
    <w:pPr>
      <w:jc w:val="left"/>
      <w:spacing w:before="100" w:beforeAutospacing="1" w:after="100" w:afterAutospacing="1"/>
      <w:widowControl/>
    </w:pPr>
    <w:rPr>
      <w:rFonts w:ascii="宋体" w:hAnsi="宋体"/>
      <w:b/>
      <w:bCs/>
      <w:i/>
      <w:iCs/>
      <w:sz w:val="20"/>
    </w:rPr>
  </w:style>
  <w:style w:type="paragraph" w:styleId="1085" w:customStyle="1">
    <w:name w:val="Figure Description"/>
    <w:next w:val="796"/>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1086" w:customStyle="1">
    <w:name w:val="_标题 2"/>
    <w:basedOn w:val="987"/>
    <w:next w:val="1053"/>
    <w:uiPriority w:val="0"/>
    <w:qFormat/>
    <w:pPr>
      <w:numPr>
        <w:ilvl w:val="1"/>
        <w:numId w:val="2"/>
      </w:numPr>
      <w:jc w:val="left"/>
      <w:keepLines/>
      <w:spacing w:before="260" w:after="260"/>
      <w:widowControl/>
    </w:pPr>
    <w:rPr>
      <w:rFonts w:ascii="微软雅黑" w:hAnsi="微软雅黑"/>
      <w:sz w:val="21"/>
    </w:rPr>
  </w:style>
  <w:style w:type="paragraph" w:styleId="1087" w:customStyle="1">
    <w:name w:val="Block Label"/>
    <w:basedOn w:val="796"/>
    <w:next w:val="796"/>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88" w:customStyle="1">
    <w:name w:val="_标题 4"/>
    <w:basedOn w:val="989"/>
    <w:next w:val="1053"/>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1089" w:customStyle="1">
    <w:name w:val="Char Char Char Char"/>
    <w:basedOn w:val="1000"/>
    <w:uiPriority w:val="0"/>
    <w:qFormat/>
    <w:pPr>
      <w:spacing w:line="360" w:lineRule="auto"/>
    </w:pPr>
    <w:rPr>
      <w:rFonts w:ascii="Tahoma" w:hAnsi="Tahoma"/>
      <w:sz w:val="24"/>
      <w:szCs w:val="24"/>
    </w:rPr>
  </w:style>
  <w:style w:type="paragraph" w:styleId="1090" w:customStyle="1">
    <w:name w:val="xl58"/>
    <w:basedOn w:val="796"/>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91" w:customStyle="1">
    <w:name w:val="xl60"/>
    <w:basedOn w:val="79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92" w:customStyle="1">
    <w:name w:val="xl49"/>
    <w:basedOn w:val="796"/>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93" w:customStyle="1">
    <w:name w:val="默认段落字体 Para Char"/>
    <w:basedOn w:val="796"/>
    <w:uiPriority w:val="0"/>
    <w:qFormat/>
    <w:pPr>
      <w:ind w:left="552" w:hanging="420"/>
      <w:tabs>
        <w:tab w:val="left" w:pos="552" w:leader="none"/>
      </w:tabs>
    </w:pPr>
    <w:rPr>
      <w:sz w:val="24"/>
      <w:szCs w:val="24"/>
    </w:rPr>
  </w:style>
  <w:style w:type="paragraph" w:styleId="1094" w:customStyle="1">
    <w:name w:val="xl52"/>
    <w:basedOn w:val="79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5" w:customStyle="1">
    <w:name w:val="xl55"/>
    <w:basedOn w:val="79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96" w:customStyle="1">
    <w:name w:val="xl61"/>
    <w:basedOn w:val="79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7" w:customStyle="1">
    <w:name w:val="xl36"/>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8" w:customStyle="1">
    <w:name w:val="xl57"/>
    <w:basedOn w:val="7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99" w:customStyle="1">
    <w:name w:val="xl47"/>
    <w:basedOn w:val="7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customStyle="1">
    <w:name w:val="xl27"/>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1" w:customStyle="1">
    <w:name w:val="xl28"/>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2" w:customStyle="1">
    <w:name w:val="xl41"/>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03" w:customStyle="1">
    <w:name w:val="font6"/>
    <w:basedOn w:val="796"/>
    <w:uiPriority w:val="0"/>
    <w:qFormat/>
    <w:pPr>
      <w:jc w:val="left"/>
      <w:spacing w:before="100" w:beforeAutospacing="1" w:after="100" w:afterAutospacing="1"/>
      <w:widowControl/>
    </w:pPr>
    <w:rPr>
      <w:rFonts w:ascii="宋体" w:hAnsi="宋体"/>
      <w:b/>
      <w:bCs/>
      <w:sz w:val="20"/>
    </w:rPr>
  </w:style>
  <w:style w:type="paragraph" w:styleId="1104" w:customStyle="1">
    <w:name w:val="主送"/>
    <w:basedOn w:val="796"/>
    <w:next w:val="796"/>
    <w:uiPriority w:val="99"/>
    <w:qFormat/>
    <w:pPr>
      <w:spacing w:line="336" w:lineRule="auto"/>
    </w:pPr>
    <w:rPr>
      <w:rFonts w:ascii="仿宋_GB2312" w:hAnsi="Times" w:eastAsia="仿宋_GB2312" w:cs="仿宋_GB2312"/>
      <w:sz w:val="32"/>
      <w:szCs w:val="32"/>
    </w:rPr>
  </w:style>
  <w:style w:type="paragraph" w:styleId="1105" w:customStyle="1">
    <w:name w:val="_Style 22"/>
    <w:basedOn w:val="796"/>
    <w:uiPriority w:val="0"/>
    <w:qFormat/>
    <w:pPr>
      <w:ind w:firstLine="200"/>
      <w:spacing w:line="300" w:lineRule="auto"/>
    </w:pPr>
    <w:rPr>
      <w:rFonts w:ascii="宋体" w:hAnsi="Calibri" w:eastAsia="等线"/>
      <w:sz w:val="24"/>
      <w:szCs w:val="22"/>
    </w:rPr>
  </w:style>
  <w:style w:type="paragraph" w:styleId="1106" w:customStyle="1">
    <w:name w:val="xl34"/>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7" w:customStyle="1">
    <w:name w:val="Char Char1 Char Char Char Char"/>
    <w:basedOn w:val="1000"/>
    <w:uiPriority w:val="0"/>
    <w:qFormat/>
    <w:pPr>
      <w:ind w:left="357"/>
      <w:jc w:val="left"/>
      <w:spacing w:line="436" w:lineRule="exact"/>
      <w:outlineLvl w:val="3"/>
    </w:pPr>
    <w:rPr>
      <w:rFonts w:ascii="Tahoma" w:hAnsi="Tahoma"/>
      <w:b/>
      <w:sz w:val="24"/>
      <w:szCs w:val="24"/>
    </w:rPr>
  </w:style>
  <w:style w:type="paragraph" w:styleId="1108" w:customStyle="1">
    <w:name w:val="xl59"/>
    <w:basedOn w:val="7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09" w:customStyle="1">
    <w:name w:val="xl44"/>
    <w:basedOn w:val="7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10" w:customStyle="1">
    <w:name w:val="font9"/>
    <w:basedOn w:val="796"/>
    <w:uiPriority w:val="0"/>
    <w:qFormat/>
    <w:pPr>
      <w:jc w:val="left"/>
      <w:spacing w:before="100" w:beforeAutospacing="1" w:after="100" w:afterAutospacing="1"/>
      <w:widowControl/>
    </w:pPr>
    <w:rPr>
      <w:b/>
      <w:bCs/>
      <w:sz w:val="20"/>
    </w:rPr>
  </w:style>
  <w:style w:type="paragraph" w:styleId="1111"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112" w:customStyle="1">
    <w:name w:val="_Style 1"/>
    <w:basedOn w:val="796"/>
    <w:uiPriority w:val="99"/>
    <w:qFormat/>
    <w:pPr>
      <w:ind w:firstLine="420"/>
    </w:pPr>
    <w:rPr>
      <w:szCs w:val="22"/>
    </w:rPr>
  </w:style>
  <w:style w:type="paragraph" w:styleId="1113"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114" w:customStyle="1">
    <w:name w:val="列出段落11"/>
    <w:basedOn w:val="796"/>
    <w:uiPriority w:val="34"/>
    <w:qFormat/>
    <w:pPr>
      <w:ind w:firstLine="420"/>
    </w:pPr>
    <w:rPr>
      <w:sz w:val="20"/>
    </w:rPr>
  </w:style>
  <w:style w:type="paragraph" w:styleId="111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6" w:customStyle="1">
    <w:name w:val="xl33"/>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17" w:customStyle="1">
    <w:name w:val="font11"/>
    <w:basedOn w:val="796"/>
    <w:uiPriority w:val="0"/>
    <w:qFormat/>
    <w:pPr>
      <w:jc w:val="left"/>
      <w:spacing w:before="100" w:beforeAutospacing="1" w:after="100" w:afterAutospacing="1"/>
      <w:widowControl/>
    </w:pPr>
    <w:rPr>
      <w:b/>
      <w:bCs/>
      <w:sz w:val="18"/>
      <w:szCs w:val="18"/>
    </w:rPr>
  </w:style>
  <w:style w:type="paragraph" w:styleId="1118" w:customStyle="1">
    <w:name w:val="xl25"/>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9" w:customStyle="1">
    <w:name w:val="Char1"/>
    <w:basedOn w:val="796"/>
    <w:uiPriority w:val="0"/>
    <w:qFormat/>
    <w:pPr>
      <w:jc w:val="left"/>
      <w:spacing w:after="160" w:line="240" w:lineRule="exact"/>
      <w:widowControl/>
    </w:pPr>
  </w:style>
  <w:style w:type="paragraph" w:styleId="1120"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121" w:customStyle="1">
    <w:name w:val="普通文字"/>
    <w:basedOn w:val="796"/>
    <w:next w:val="796"/>
    <w:uiPriority w:val="99"/>
    <w:qFormat/>
    <w:rPr>
      <w:rFonts w:ascii="宋体"/>
      <w:sz w:val="24"/>
    </w:rPr>
  </w:style>
  <w:style w:type="paragraph" w:styleId="1122" w:customStyle="1">
    <w:name w:val="font12"/>
    <w:basedOn w:val="796"/>
    <w:uiPriority w:val="0"/>
    <w:qFormat/>
    <w:pPr>
      <w:jc w:val="left"/>
      <w:spacing w:before="100" w:beforeAutospacing="1" w:after="100" w:afterAutospacing="1"/>
      <w:widowControl/>
    </w:pPr>
    <w:rPr>
      <w:rFonts w:ascii="宋体" w:hAnsi="宋体"/>
      <w:sz w:val="36"/>
      <w:szCs w:val="36"/>
    </w:rPr>
  </w:style>
  <w:style w:type="paragraph" w:styleId="1123" w:customStyle="1">
    <w:name w:val="xl35"/>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24" w:customStyle="1">
    <w:name w:val="_标题 1"/>
    <w:basedOn w:val="796"/>
    <w:next w:val="1053"/>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125" w:customStyle="1">
    <w:name w:val="_标题 3"/>
    <w:basedOn w:val="988"/>
    <w:next w:val="1053"/>
    <w:uiPriority w:val="0"/>
    <w:qFormat/>
    <w:pPr>
      <w:numPr>
        <w:ilvl w:val="2"/>
        <w:numId w:val="2"/>
      </w:numPr>
      <w:jc w:val="left"/>
      <w:keepLines/>
      <w:spacing w:before="260" w:after="260"/>
      <w:widowControl/>
    </w:pPr>
    <w:rPr>
      <w:rFonts w:ascii="微软雅黑" w:hAnsi="微软雅黑"/>
      <w:sz w:val="21"/>
      <w:szCs w:val="21"/>
    </w:rPr>
  </w:style>
  <w:style w:type="paragraph" w:styleId="1126" w:customStyle="1">
    <w:name w:val="xl50"/>
    <w:basedOn w:val="7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27" w:customStyle="1">
    <w:name w:val="Step"/>
    <w:basedOn w:val="796"/>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128" w:customStyle="1">
    <w:name w:val="xl32"/>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29" w:customStyle="1">
    <w:name w:val="font14"/>
    <w:basedOn w:val="796"/>
    <w:uiPriority w:val="0"/>
    <w:qFormat/>
    <w:pPr>
      <w:jc w:val="left"/>
      <w:spacing w:before="100" w:beforeAutospacing="1" w:after="100" w:afterAutospacing="1"/>
      <w:widowControl/>
    </w:pPr>
    <w:rPr>
      <w:sz w:val="36"/>
      <w:szCs w:val="36"/>
    </w:rPr>
  </w:style>
  <w:style w:type="paragraph" w:styleId="1130" w:customStyle="1">
    <w:name w:val="彩色列表 - 着色 11"/>
    <w:basedOn w:val="796"/>
    <w:uiPriority w:val="34"/>
    <w:qFormat/>
    <w:pPr>
      <w:ind w:firstLine="420"/>
    </w:pPr>
    <w:rPr>
      <w:szCs w:val="24"/>
    </w:rPr>
  </w:style>
  <w:style w:type="paragraph" w:styleId="1131" w:customStyle="1">
    <w:name w:val="font10"/>
    <w:basedOn w:val="796"/>
    <w:uiPriority w:val="0"/>
    <w:qFormat/>
    <w:pPr>
      <w:jc w:val="left"/>
      <w:spacing w:before="100" w:beforeAutospacing="1" w:after="100" w:afterAutospacing="1"/>
      <w:widowControl/>
    </w:pPr>
    <w:rPr>
      <w:rFonts w:ascii="楷体_GB2312" w:hAnsi="宋体" w:eastAsia="楷体_GB2312"/>
      <w:b/>
      <w:bCs/>
      <w:sz w:val="18"/>
      <w:szCs w:val="18"/>
    </w:rPr>
  </w:style>
  <w:style w:type="character" w:styleId="1132" w:customStyle="1">
    <w:name w:val="正文文本 字符"/>
    <w:uiPriority w:val="0"/>
    <w:semiHidden/>
    <w:qFormat/>
    <w:rPr>
      <w:rFonts w:cs="Times New Roman"/>
      <w:sz w:val="20"/>
      <w:szCs w:val="20"/>
    </w:rPr>
  </w:style>
  <w:style w:type="character" w:styleId="1133" w:customStyle="1">
    <w:name w:val="页脚 字符"/>
    <w:uiPriority w:val="99"/>
    <w:qFormat/>
    <w:rPr>
      <w:rFonts w:cs="Times New Roman"/>
      <w:sz w:val="18"/>
      <w:szCs w:val="18"/>
    </w:rPr>
  </w:style>
  <w:style w:type="character" w:styleId="1134" w:customStyle="1">
    <w:name w:val="正文文本缩进 字符"/>
    <w:uiPriority w:val="0"/>
    <w:semiHidden/>
    <w:qFormat/>
    <w:rPr>
      <w:rFonts w:cs="Times New Roman"/>
      <w:sz w:val="20"/>
      <w:szCs w:val="20"/>
    </w:rPr>
  </w:style>
  <w:style w:type="character" w:styleId="1135" w:customStyle="1">
    <w:name w:val="批注框文本 字符"/>
    <w:uiPriority w:val="0"/>
    <w:qFormat/>
    <w:rPr>
      <w:sz w:val="18"/>
      <w:szCs w:val="18"/>
    </w:rPr>
  </w:style>
  <w:style w:type="character" w:styleId="1136" w:customStyle="1">
    <w:name w:val="批注主题 字符"/>
    <w:uiPriority w:val="99"/>
    <w:semiHidden/>
    <w:qFormat/>
    <w:rPr>
      <w:b/>
      <w:bCs/>
      <w:sz w:val="21"/>
    </w:rPr>
  </w:style>
  <w:style w:type="character" w:styleId="1137" w:customStyle="1">
    <w:name w:val="正文文本缩进 2 字符"/>
    <w:uiPriority w:val="0"/>
    <w:semiHidden/>
    <w:qFormat/>
    <w:rPr>
      <w:rFonts w:cs="Times New Roman"/>
      <w:sz w:val="20"/>
      <w:szCs w:val="20"/>
    </w:rPr>
  </w:style>
  <w:style w:type="character" w:styleId="1138" w:customStyle="1">
    <w:name w:val="正文文本 2 字符"/>
    <w:uiPriority w:val="0"/>
    <w:semiHidden/>
    <w:qFormat/>
    <w:rPr>
      <w:rFonts w:cs="Times New Roman"/>
      <w:sz w:val="20"/>
      <w:szCs w:val="20"/>
    </w:rPr>
  </w:style>
  <w:style w:type="character" w:styleId="1139" w:customStyle="1">
    <w:name w:val="正文文本缩进 3 字符"/>
    <w:uiPriority w:val="0"/>
    <w:semiHidden/>
    <w:qFormat/>
    <w:rPr>
      <w:rFonts w:cs="Times New Roman"/>
      <w:sz w:val="16"/>
      <w:szCs w:val="16"/>
    </w:rPr>
  </w:style>
  <w:style w:type="character" w:styleId="1140" w:customStyle="1">
    <w:name w:val="标题 字符"/>
    <w:uiPriority w:val="99"/>
    <w:qFormat/>
    <w:rPr>
      <w:rFonts w:ascii="Cambria" w:hAnsi="Cambria" w:cs="Cambria"/>
      <w:b/>
      <w:bCs/>
      <w:sz w:val="32"/>
      <w:szCs w:val="32"/>
    </w:rPr>
  </w:style>
  <w:style w:type="character" w:styleId="1141" w:customStyle="1">
    <w:name w:val="文档结构图 字符"/>
    <w:uiPriority w:val="0"/>
    <w:semiHidden/>
    <w:qFormat/>
    <w:rPr>
      <w:rFonts w:cs="Times New Roman"/>
      <w:sz w:val="2"/>
    </w:rPr>
  </w:style>
  <w:style w:type="character" w:styleId="1142" w:customStyle="1">
    <w:name w:val="日期 字符"/>
    <w:uiPriority w:val="0"/>
    <w:semiHidden/>
    <w:qFormat/>
    <w:rPr>
      <w:rFonts w:cs="Times New Roman"/>
      <w:sz w:val="20"/>
      <w:szCs w:val="20"/>
    </w:rPr>
  </w:style>
  <w:style w:type="character" w:styleId="1143" w:customStyle="1">
    <w:name w:val="标题 2 字符"/>
    <w:uiPriority w:val="0"/>
    <w:semiHidden/>
    <w:qFormat/>
    <w:rPr>
      <w:rFonts w:ascii="Cambria" w:hAnsi="Cambria" w:eastAsia="宋体" w:cs="Times New Roman"/>
      <w:b/>
      <w:bCs/>
      <w:sz w:val="32"/>
      <w:szCs w:val="32"/>
    </w:rPr>
  </w:style>
  <w:style w:type="character" w:styleId="1144" w:customStyle="1">
    <w:name w:val="副标题 字符"/>
    <w:uiPriority w:val="11"/>
    <w:qFormat/>
    <w:rPr>
      <w:rFonts w:ascii="Calibri Light" w:hAnsi="Calibri Light"/>
      <w:b/>
      <w:bCs/>
      <w:sz w:val="32"/>
      <w:szCs w:val="32"/>
    </w:rPr>
  </w:style>
  <w:style w:type="character" w:styleId="1145" w:customStyle="1">
    <w:name w:val="标题 4 字符"/>
    <w:uiPriority w:val="0"/>
    <w:semiHidden/>
    <w:qFormat/>
    <w:rPr>
      <w:rFonts w:ascii="Cambria" w:hAnsi="Cambria" w:eastAsia="宋体" w:cs="Times New Roman"/>
      <w:b/>
      <w:bCs/>
      <w:sz w:val="28"/>
      <w:szCs w:val="28"/>
    </w:rPr>
  </w:style>
  <w:style w:type="character" w:styleId="1146" w:customStyle="1">
    <w:name w:val="标题 1 字符"/>
    <w:uiPriority w:val="0"/>
    <w:qFormat/>
    <w:rPr>
      <w:rFonts w:cs="Times New Roman"/>
      <w:b/>
      <w:bCs/>
      <w:sz w:val="44"/>
      <w:szCs w:val="44"/>
    </w:rPr>
  </w:style>
  <w:style w:type="character" w:styleId="1147" w:customStyle="1">
    <w:name w:val="标题 3 字符"/>
    <w:uiPriority w:val="0"/>
    <w:semiHidden/>
    <w:qFormat/>
    <w:rPr>
      <w:rFonts w:cs="Times New Roman"/>
      <w:b/>
      <w:bCs/>
      <w:sz w:val="32"/>
      <w:szCs w:val="32"/>
    </w:rPr>
  </w:style>
  <w:style w:type="character" w:styleId="1148" w:customStyle="1">
    <w:name w:val="列出段落 字符1"/>
    <w:uiPriority w:val="34"/>
    <w:qFormat/>
    <w:rPr>
      <w:sz w:val="21"/>
    </w:rPr>
  </w:style>
  <w:style w:type="character" w:styleId="1149" w:customStyle="1">
    <w:name w:val="标题 5 字符"/>
    <w:uiPriority w:val="0"/>
    <w:qFormat/>
    <w:rPr>
      <w:rFonts w:ascii="楷体_GB2312" w:eastAsia="楷体_GB2312"/>
      <w:bCs/>
      <w:sz w:val="28"/>
    </w:rPr>
  </w:style>
  <w:style w:type="character" w:styleId="1150" w:customStyle="1">
    <w:name w:val="页眉 字符"/>
    <w:uiPriority w:val="99"/>
    <w:qFormat/>
    <w:rPr>
      <w:rFonts w:cs="Times New Roman"/>
      <w:sz w:val="18"/>
      <w:szCs w:val="18"/>
    </w:rPr>
  </w:style>
  <w:style w:type="character" w:styleId="1151" w:customStyle="1">
    <w:name w:val="批注文字 字符"/>
    <w:uiPriority w:val="99"/>
    <w:semiHidden/>
    <w:qFormat/>
    <w:rPr>
      <w:sz w:val="21"/>
    </w:rPr>
  </w:style>
  <w:style w:type="paragraph" w:styleId="1152"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153" w:customStyle="1">
    <w:name w:val="Char1 Char Char Char"/>
    <w:basedOn w:val="796"/>
    <w:uiPriority w:val="0"/>
    <w:qFormat/>
    <w:rPr>
      <w:rFonts w:ascii="Tahoma" w:hAnsi="Tahoma"/>
      <w:sz w:val="24"/>
    </w:rPr>
  </w:style>
  <w:style w:type="paragraph" w:styleId="1154" w:customStyle="1">
    <w:name w:val="样式 小四 段前: 5 磅 段后: 5 磅 首行缩进:  2 字符"/>
    <w:basedOn w:val="796"/>
    <w:uiPriority w:val="0"/>
    <w:qFormat/>
    <w:pPr>
      <w:spacing w:line="360" w:lineRule="auto"/>
    </w:pPr>
    <w:rPr>
      <w:rFonts w:ascii="宋体" w:hAnsi="宋体"/>
      <w:szCs w:val="21"/>
    </w:rPr>
  </w:style>
  <w:style w:type="character" w:styleId="1155" w:customStyle="1">
    <w:name w:val="font21"/>
    <w:basedOn w:val="806"/>
    <w:uiPriority w:val="0"/>
    <w:qFormat/>
    <w:rPr>
      <w:rFonts w:hint="eastAsia" w:ascii="宋体" w:hAnsi="宋体" w:eastAsia="宋体" w:cs="宋体"/>
      <w:color w:val="ff0000"/>
      <w:sz w:val="18"/>
      <w:szCs w:val="18"/>
      <w:u w:val="none"/>
    </w:rPr>
  </w:style>
  <w:style w:type="character" w:styleId="1156" w:customStyle="1">
    <w:name w:val="font01"/>
    <w:uiPriority w:val="0"/>
    <w:qFormat/>
    <w:rPr>
      <w:rFonts w:hint="eastAsia" w:ascii="宋体" w:hAnsi="宋体" w:eastAsia="宋体" w:cs="宋体"/>
      <w:color w:val="000000"/>
      <w:sz w:val="18"/>
      <w:szCs w:val="18"/>
      <w:u w:val="none"/>
    </w:rPr>
  </w:style>
  <w:style w:type="character" w:styleId="1157" w:customStyle="1">
    <w:name w:val="font51"/>
    <w:uiPriority w:val="0"/>
    <w:qFormat/>
    <w:rPr>
      <w:rFonts w:hint="eastAsia" w:ascii="宋体" w:hAnsi="宋体" w:eastAsia="宋体" w:cs="宋体"/>
      <w:color w:val="000000"/>
      <w:sz w:val="18"/>
      <w:szCs w:val="18"/>
      <w:u w:val="none"/>
    </w:rPr>
  </w:style>
  <w:style w:type="paragraph" w:styleId="1158" w:customStyle="1">
    <w:name w:val="Other|1"/>
    <w:basedOn w:val="796"/>
    <w:uiPriority w:val="0"/>
    <w:qFormat/>
    <w:pPr>
      <w:spacing w:line="389" w:lineRule="auto"/>
    </w:pPr>
    <w:rPr>
      <w:rFonts w:ascii="宋体" w:hAnsi="宋体" w:cs="宋体"/>
      <w:sz w:val="22"/>
      <w:szCs w:val="22"/>
      <w:lang w:val="zh-TW" w:eastAsia="zh-TW" w:bidi="zh-TW"/>
    </w:rPr>
  </w:style>
  <w:style w:type="character" w:styleId="1159" w:customStyle="1">
    <w:name w:val="标题 1 字符1"/>
    <w:uiPriority w:val="0"/>
    <w:qFormat/>
    <w:rPr>
      <w:rFonts w:cs="Times New Roman"/>
      <w:b/>
      <w:bCs/>
      <w:sz w:val="44"/>
      <w:szCs w:val="44"/>
    </w:rPr>
  </w:style>
  <w:style w:type="character" w:styleId="1160" w:customStyle="1">
    <w:name w:val="页眉 字符1"/>
    <w:uiPriority w:val="0"/>
    <w:qFormat/>
    <w:rPr>
      <w:sz w:val="18"/>
      <w:szCs w:val="18"/>
    </w:rPr>
  </w:style>
  <w:style w:type="paragraph" w:styleId="1161" w:customStyle="1">
    <w:name w:val="Plain Text1"/>
    <w:basedOn w:val="796"/>
    <w:uiPriority w:val="99"/>
    <w:qFormat/>
    <w:rPr>
      <w:rFonts w:ascii="宋体" w:hAnsi="Courier New" w:eastAsia="楷体_GB2312" w:cs="宋体"/>
      <w:sz w:val="26"/>
      <w:szCs w:val="26"/>
    </w:rPr>
  </w:style>
  <w:style w:type="paragraph" w:styleId="1162"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163" w:customStyle="1">
    <w:name w:val="批注引用1"/>
    <w:basedOn w:val="1164"/>
    <w:uiPriority w:val="0"/>
    <w:semiHidden/>
    <w:qFormat/>
    <w:rPr>
      <w:sz w:val="21"/>
      <w:lang w:val="en-US" w:eastAsia="zh-CN" w:bidi="ar-SA"/>
    </w:rPr>
  </w:style>
  <w:style w:type="character" w:styleId="1164" w:customStyle="1">
    <w:name w:val="默认段落字体1"/>
    <w:uiPriority w:val="1"/>
    <w:unhideWhenUsed/>
    <w:qFormat/>
  </w:style>
  <w:style w:type="paragraph" w:styleId="1165" w:customStyle="1">
    <w:name w:val="标题 41"/>
    <w:basedOn w:val="796"/>
    <w:next w:val="1043"/>
    <w:uiPriority w:val="0"/>
    <w:qFormat/>
    <w:pPr>
      <w:keepLines/>
      <w:keepNext/>
      <w:spacing w:before="280" w:after="290" w:line="376" w:lineRule="auto"/>
      <w:outlineLvl w:val="3"/>
    </w:pPr>
    <w:rPr>
      <w:rFonts w:ascii="Arial" w:hAnsi="Arial" w:eastAsia="黑体"/>
      <w:b/>
      <w:bCs/>
      <w:sz w:val="28"/>
      <w:szCs w:val="28"/>
    </w:rPr>
  </w:style>
  <w:style w:type="paragraph" w:styleId="116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67" w:customStyle="1">
    <w:name w:val="纯文本1"/>
    <w:basedOn w:val="796"/>
    <w:uiPriority w:val="0"/>
    <w:qFormat/>
    <w:rPr>
      <w:rFonts w:ascii="宋体" w:hAnsi="Courier New"/>
      <w:sz w:val="20"/>
    </w:rPr>
  </w:style>
  <w:style w:type="paragraph" w:styleId="1168" w:customStyle="1">
    <w:name w:val="普通正文"/>
    <w:basedOn w:val="796"/>
    <w:uiPriority w:val="0"/>
    <w:qFormat/>
    <w:pPr>
      <w:ind w:firstLine="480"/>
      <w:jc w:val="left"/>
      <w:spacing w:before="120" w:after="120" w:line="360" w:lineRule="auto"/>
    </w:pPr>
    <w:rPr>
      <w:rFonts w:ascii="Arial" w:hAnsi="Arial"/>
      <w:sz w:val="24"/>
      <w:szCs w:val="24"/>
    </w:rPr>
  </w:style>
  <w:style w:type="paragraph" w:styleId="1169" w:customStyle="1">
    <w:name w:val="Char"/>
    <w:basedOn w:val="796"/>
    <w:uiPriority w:val="0"/>
    <w:qFormat/>
    <w:pPr>
      <w:ind w:firstLine="200"/>
      <w:tabs>
        <w:tab w:val="left" w:pos="360" w:leader="none"/>
      </w:tabs>
    </w:pPr>
    <w:rPr>
      <w:sz w:val="28"/>
      <w:szCs w:val="30"/>
    </w:rPr>
  </w:style>
  <w:style w:type="character" w:styleId="1170" w:customStyle="1">
    <w:name w:val="HTML 打字机1"/>
    <w:uiPriority w:val="99"/>
    <w:qFormat/>
    <w:rPr>
      <w:rFonts w:ascii="宋体" w:hAnsi="宋体" w:eastAsia="宋体" w:cs="宋体"/>
      <w:sz w:val="24"/>
      <w:szCs w:val="24"/>
    </w:rPr>
  </w:style>
  <w:style w:type="paragraph" w:styleId="1171" w:customStyle="1">
    <w:name w:val="页眉1"/>
    <w:basedOn w:val="796"/>
    <w:uiPriority w:val="99"/>
    <w:qFormat/>
    <w:pPr>
      <w:jc w:val="center"/>
      <w:tabs>
        <w:tab w:val="center" w:pos="4153" w:leader="none"/>
        <w:tab w:val="right" w:pos="8306" w:leader="none"/>
      </w:tabs>
      <w:pBdr>
        <w:bottom w:val="single" w:color="000000" w:sz="6" w:space="1"/>
      </w:pBdr>
    </w:pPr>
    <w:rPr>
      <w:sz w:val="18"/>
      <w:szCs w:val="18"/>
    </w:rPr>
  </w:style>
  <w:style w:type="paragraph" w:styleId="1172" w:customStyle="1">
    <w:name w:val="页脚1"/>
    <w:basedOn w:val="796"/>
    <w:uiPriority w:val="0"/>
    <w:qFormat/>
    <w:pPr>
      <w:jc w:val="left"/>
      <w:tabs>
        <w:tab w:val="center" w:pos="4153" w:leader="none"/>
        <w:tab w:val="right" w:pos="8306" w:leader="none"/>
      </w:tabs>
    </w:pPr>
    <w:rPr>
      <w:sz w:val="18"/>
      <w:szCs w:val="18"/>
    </w:rPr>
  </w:style>
  <w:style w:type="paragraph" w:styleId="1173" w:customStyle="1">
    <w:name w:val="纯文本2"/>
    <w:basedOn w:val="796"/>
    <w:link w:val="1174"/>
    <w:uiPriority w:val="0"/>
    <w:qFormat/>
    <w:rPr>
      <w:rFonts w:ascii="宋体" w:hAnsi="Calibri" w:cs="Calibri"/>
      <w:sz w:val="20"/>
      <w:szCs w:val="21"/>
    </w:rPr>
  </w:style>
  <w:style w:type="character" w:styleId="1174" w:customStyle="1">
    <w:name w:val="纯文本 Char"/>
    <w:basedOn w:val="991"/>
    <w:link w:val="1173"/>
    <w:uiPriority w:val="0"/>
    <w:qFormat/>
    <w:rPr>
      <w:rFonts w:ascii="宋体" w:hAnsi="Calibri" w:eastAsia="宋体" w:cs="Calibri"/>
      <w:szCs w:val="21"/>
    </w:rPr>
  </w:style>
  <w:style w:type="paragraph" w:styleId="117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正文2"/>
    <w:basedOn w:val="796"/>
    <w:uiPriority w:val="0"/>
    <w:qFormat/>
    <w:pPr>
      <w:ind w:firstLine="200"/>
      <w:jc w:val="left"/>
      <w:spacing w:after="160" w:line="360" w:lineRule="auto"/>
      <w:widowControl/>
    </w:pPr>
    <w:rPr>
      <w:rFonts w:ascii="Verdana" w:hAnsi="Verdana" w:eastAsia="黑体"/>
      <w:szCs w:val="20"/>
      <w:lang w:eastAsia="en-US"/>
    </w:rPr>
  </w:style>
  <w:style w:type="paragraph" w:styleId="1177" w:customStyle="1">
    <w:name w:val="正文文本11"/>
    <w:basedOn w:val="796"/>
    <w:next w:val="796"/>
    <w:uiPriority w:val="0"/>
    <w:qFormat/>
    <w:rPr>
      <w:rFonts w:ascii="仿宋_GB2312" w:eastAsia="仿宋_GB2312"/>
      <w:sz w:val="28"/>
      <w:szCs w:val="20"/>
    </w:rPr>
  </w:style>
  <w:style w:type="character" w:styleId="1178" w:customStyle="1">
    <w:name w:val="NormalCharacter1"/>
    <w:uiPriority w:val="0"/>
    <w:qFormat/>
    <w:rPr>
      <w:rFonts w:ascii="宋体" w:hAnsi="宋体" w:cs="宋体"/>
      <w:sz w:val="21"/>
      <w:szCs w:val="21"/>
      <w:lang w:val="en-US" w:eastAsia="zh-CN" w:bidi="ar-SA"/>
    </w:rPr>
  </w:style>
  <w:style w:type="character" w:styleId="1179" w:customStyle="1">
    <w:name w:val="NormalCharacter"/>
    <w:link w:val="1180"/>
    <w:uiPriority w:val="0"/>
    <w:qFormat/>
  </w:style>
  <w:style w:type="paragraph" w:styleId="1180" w:customStyle="1">
    <w:name w:val="UserStyle_4"/>
    <w:basedOn w:val="796"/>
    <w:link w:val="1179"/>
    <w:uiPriority w:val="99"/>
    <w:qFormat/>
  </w:style>
  <w:style w:type="paragraph" w:styleId="1181" w:customStyle="1">
    <w:name w:val="段"/>
    <w:next w:val="796"/>
    <w:uiPriority w:val="0"/>
    <w:qFormat/>
    <w:pPr>
      <w:ind w:firstLine="200"/>
      <w:jc w:val="both"/>
    </w:pPr>
    <w:rPr>
      <w:rFonts w:hint="default" w:ascii="宋体" w:hAnsi="Times New Roman" w:eastAsia="宋体" w:cs="Times New Roman"/>
      <w:sz w:val="21"/>
      <w:lang w:val="en-US" w:eastAsia="zh-CN" w:bidi="ar-SA"/>
    </w:rPr>
  </w:style>
  <w:style w:type="paragraph" w:styleId="1182" w:customStyle="1">
    <w:name w:val="Table Text"/>
    <w:basedOn w:val="796"/>
    <w:uiPriority w:val="0"/>
    <w:semiHidden/>
    <w:qFormat/>
    <w:rPr>
      <w:rFonts w:ascii="宋体" w:hAnsi="宋体" w:eastAsia="宋体" w:cs="宋体"/>
      <w:sz w:val="22"/>
      <w:szCs w:val="22"/>
      <w:lang w:val="en-US" w:eastAsia="en-US" w:bidi="ar-SA"/>
    </w:rPr>
  </w:style>
  <w:style w:type="table" w:styleId="1183" w:customStyle="1">
    <w:name w:val="Table Normal"/>
    <w:uiPriority w:val="0"/>
    <w:unhideWhenUsed/>
    <w:qFormat/>
    <w:tblPr>
      <w:tblCellMar>
        <w:left w:w="0" w:type="dxa"/>
        <w:top w:w="0" w:type="dxa"/>
        <w:right w:w="0" w:type="dxa"/>
        <w:bottom w:w="0" w:type="dxa"/>
      </w:tblCellMar>
    </w:tblPr>
  </w:style>
  <w:style w:type="numbering" w:styleId="20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132</cp:revision>
  <dcterms:created xsi:type="dcterms:W3CDTF">2017-01-17T02:34:00Z</dcterms:created>
  <dcterms:modified xsi:type="dcterms:W3CDTF">2026-05-13T07:29:45Z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