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jc w:val="center"/>
        <w:spacing w:line="360" w:lineRule="auto"/>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rPr>
          <w:rFonts w:hint="eastAsia" w:ascii="黑体" w:hAnsi="黑体" w:eastAsia="黑体" w:cs="宋体"/>
          <w:b/>
          <w:spacing w:val="20"/>
          <w:sz w:val="72"/>
          <w:szCs w:val="72"/>
          <w:highlight w:val="none"/>
        </w:rPr>
      </w:r>
      <w:r/>
    </w:p>
    <w:p>
      <w:pPr>
        <w:pStyle w:val="778"/>
        <w:spacing w:line="360" w:lineRule="auto"/>
        <w:rPr>
          <w:rFonts w:hint="eastAsia" w:hAnsi="宋体" w:cs="宋体"/>
          <w:bCs/>
          <w:sz w:val="30"/>
          <w:highlight w:val="none"/>
        </w:rPr>
      </w:pPr>
      <w:r>
        <w:rPr>
          <w:rFonts w:hint="eastAsia" w:hAnsi="宋体" w:cs="宋体"/>
          <w:bCs/>
          <w:sz w:val="30"/>
          <w:highlight w:val="none"/>
        </w:rPr>
      </w:r>
      <w:r/>
    </w:p>
    <w:p>
      <w:pPr>
        <w:pStyle w:val="778"/>
        <w:spacing w:line="360" w:lineRule="auto"/>
        <w:rPr>
          <w:rFonts w:hint="eastAsia" w:hAnsi="宋体" w:cs="宋体"/>
          <w:bCs/>
          <w:sz w:val="30"/>
          <w:highlight w:val="none"/>
        </w:rPr>
      </w:pPr>
      <w:r>
        <w:rPr>
          <w:rFonts w:hint="eastAsia" w:hAnsi="宋体" w:cs="宋体"/>
          <w:bCs/>
          <w:sz w:val="30"/>
          <w:highlight w:val="none"/>
        </w:rPr>
      </w:r>
      <w:r/>
    </w:p>
    <w:p>
      <w:pPr>
        <w:pStyle w:val="778"/>
        <w:jc w:val="center"/>
        <w:spacing w:line="360" w:lineRule="auto"/>
        <w:rPr>
          <w:rFonts w:hint="eastAsia" w:hAnsi="宋体" w:cs="宋体"/>
          <w:bCs/>
          <w:spacing w:val="20"/>
          <w:sz w:val="52"/>
          <w:szCs w:val="52"/>
          <w:highlight w:val="none"/>
        </w:rPr>
      </w:pPr>
      <w:r>
        <w:rPr>
          <w:rFonts w:hint="eastAsia" w:hAnsi="宋体" w:cs="宋体"/>
          <w:bCs/>
          <w:spacing w:val="20"/>
          <w:sz w:val="52"/>
          <w:szCs w:val="52"/>
          <w:highlight w:val="none"/>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06"/>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778"/>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rPr>
          <w:rFonts w:hint="eastAsia" w:ascii="黑体" w:hAnsi="黑体" w:eastAsia="黑体" w:cs="宋体"/>
          <w:bCs/>
          <w:spacing w:val="20"/>
          <w:sz w:val="52"/>
          <w:szCs w:val="52"/>
          <w:highlight w:val="none"/>
        </w:rPr>
      </w:r>
      <w:r/>
    </w:p>
    <w:p>
      <w:pPr>
        <w:pStyle w:val="778"/>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黑体" w:eastAsia="黑体" w:cs="宋体"/>
          <w:bCs/>
          <w:spacing w:val="20"/>
          <w:sz w:val="52"/>
          <w:szCs w:val="52"/>
          <w:highlight w:val="none"/>
        </w:rPr>
        <w:t xml:space="preserve">招  标  文  件</w:t>
      </w:r>
      <w:r>
        <w:rPr>
          <w:rFonts w:hint="eastAsia" w:ascii="黑体" w:hAnsi="黑体" w:eastAsia="黑体" w:cs="宋体"/>
          <w:bCs/>
          <w:spacing w:val="20"/>
          <w:sz w:val="52"/>
          <w:szCs w:val="52"/>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1173"/>
        <w:ind w:firstLine="600"/>
        <w:rPr>
          <w:rFonts w:hint="eastAsia" w:hAnsi="宋体" w:cs="宋体"/>
          <w:bCs/>
          <w:sz w:val="30"/>
          <w:szCs w:val="30"/>
          <w:highlight w:val="none"/>
        </w:rPr>
      </w:pPr>
      <w:r>
        <w:rPr>
          <w:rFonts w:hint="eastAsia" w:hAnsi="宋体" w:cs="宋体"/>
          <w:bCs/>
          <w:sz w:val="30"/>
          <w:szCs w:val="30"/>
          <w:highlight w:val="none"/>
        </w:rPr>
      </w:r>
      <w:r/>
    </w:p>
    <w:p>
      <w:pPr>
        <w:pStyle w:val="778"/>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政府采购编号：JSZC-320292-ZQYY-G2026-0001</w:t>
      </w:r>
      <w:r>
        <w:rPr>
          <w:rFonts w:hint="eastAsia" w:ascii="黑体" w:hAnsi="黑体" w:eastAsia="黑体" w:cs="宋体"/>
          <w:bCs/>
          <w:sz w:val="30"/>
          <w:szCs w:val="30"/>
          <w:highlight w:val="none"/>
          <w:lang w:eastAsia="zh-CN"/>
        </w:rPr>
      </w:r>
      <w:r/>
    </w:p>
    <w:p>
      <w:pPr>
        <w:pStyle w:val="778"/>
        <w:spacing w:line="480" w:lineRule="auto"/>
        <w:rPr>
          <w:rFonts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太湖街道街道管养绿化养护</w:t>
      </w:r>
      <w:r>
        <w:rPr>
          <w:rFonts w:ascii="黑体" w:hAnsi="黑体" w:eastAsia="黑体" w:cs="宋体"/>
          <w:bCs/>
          <w:sz w:val="30"/>
          <w:szCs w:val="30"/>
          <w:highlight w:val="none"/>
          <w:lang w:val="en-US" w:eastAsia="zh-CN"/>
        </w:rPr>
      </w:r>
      <w:r/>
    </w:p>
    <w:p>
      <w:pPr>
        <w:pStyle w:val="778"/>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无锡市滨湖区太湖街道办事处</w:t>
      </w:r>
      <w:r>
        <w:rPr>
          <w:rFonts w:hint="eastAsia" w:ascii="黑体" w:hAnsi="黑体" w:eastAsia="黑体" w:cs="宋体"/>
          <w:bCs/>
          <w:sz w:val="30"/>
          <w:szCs w:val="30"/>
          <w:highlight w:val="none"/>
          <w:lang w:eastAsia="zh-CN"/>
        </w:rPr>
      </w:r>
      <w:r/>
    </w:p>
    <w:p>
      <w:pPr>
        <w:pStyle w:val="778"/>
        <w:spacing w:line="480" w:lineRule="auto"/>
        <w:rPr>
          <w:rFonts w:hint="eastAsia"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采购代理机构：</w:t>
      </w:r>
      <w:r>
        <w:rPr>
          <w:rFonts w:hint="eastAsia" w:ascii="黑体" w:hAnsi="黑体" w:eastAsia="黑体" w:cs="宋体"/>
          <w:bCs/>
          <w:sz w:val="30"/>
          <w:szCs w:val="30"/>
          <w:highlight w:val="none"/>
          <w:lang w:val="en-US" w:eastAsia="zh-CN"/>
        </w:rPr>
        <w:t xml:space="preserve">江苏筑祁园工程管理咨询有限公司</w:t>
      </w:r>
      <w:r>
        <w:rPr>
          <w:rFonts w:hint="eastAsia" w:ascii="黑体" w:hAnsi="黑体" w:eastAsia="黑体" w:cs="宋体"/>
          <w:bCs/>
          <w:sz w:val="30"/>
          <w:szCs w:val="30"/>
          <w:highlight w:val="none"/>
          <w:lang w:val="en-US" w:eastAsia="zh-CN"/>
        </w:rPr>
      </w:r>
      <w:r/>
    </w:p>
    <w:p>
      <w:pPr>
        <w:pStyle w:val="778"/>
        <w:jc w:val="center"/>
        <w:rPr>
          <w:rFonts w:eastAsia="黑体"/>
          <w:bCs/>
          <w:color w:val="000000"/>
          <w:sz w:val="36"/>
          <w:szCs w:val="36"/>
          <w:highlight w:val="none"/>
        </w:rPr>
      </w:pPr>
      <w:r>
        <w:rPr>
          <w:rFonts w:hint="eastAsia" w:eastAsia="黑体"/>
          <w:bCs/>
          <w:color w:val="000000"/>
          <w:sz w:val="36"/>
          <w:szCs w:val="36"/>
          <w:highlight w:val="none"/>
          <w:lang w:eastAsia="zh-CN"/>
        </w:rPr>
        <w:t xml:space="preserve">二〇</w:t>
      </w:r>
      <w:r>
        <w:rPr>
          <w:rFonts w:eastAsia="黑体"/>
          <w:bCs/>
          <w:color w:val="000000"/>
          <w:sz w:val="36"/>
          <w:szCs w:val="36"/>
          <w:highlight w:val="none"/>
        </w:rPr>
        <w:t xml:space="preserve">二</w:t>
      </w:r>
      <w:r>
        <w:rPr>
          <w:rFonts w:hint="eastAsia" w:eastAsia="黑体"/>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lang w:val="en-US" w:eastAsia="zh-CN"/>
        </w:rPr>
        <w:t xml:space="preserve">五</w:t>
      </w:r>
      <w:r>
        <w:rPr>
          <w:rFonts w:eastAsia="黑体"/>
          <w:bCs/>
          <w:color w:val="000000"/>
          <w:sz w:val="36"/>
          <w:szCs w:val="36"/>
          <w:highlight w:val="none"/>
        </w:rPr>
        <w:t xml:space="preserve">月</w:t>
      </w:r>
      <w:r>
        <w:rPr>
          <w:rFonts w:eastAsia="黑体"/>
          <w:bCs/>
          <w:color w:val="000000"/>
          <w:sz w:val="36"/>
          <w:szCs w:val="36"/>
          <w:highlight w:val="none"/>
        </w:rPr>
      </w:r>
      <w:r/>
    </w:p>
    <w:p>
      <w:pPr>
        <w:pStyle w:val="778"/>
        <w:spacing w:line="480" w:lineRule="auto"/>
        <w:rPr>
          <w:rFonts w:ascii="黑体" w:hAnsi="黑体" w:eastAsia="黑体" w:cs="宋体"/>
          <w:bCs/>
          <w:sz w:val="30"/>
          <w:szCs w:val="30"/>
          <w:highlight w:val="none"/>
          <w:lang w:val="en-US" w:eastAsia="zh-CN"/>
        </w:rPr>
      </w:pPr>
      <w:r>
        <w:rPr>
          <w:rFonts w:ascii="黑体" w:hAnsi="黑体" w:eastAsia="黑体" w:cs="宋体"/>
          <w:bCs/>
          <w:sz w:val="30"/>
          <w:szCs w:val="30"/>
          <w:highlight w:val="none"/>
          <w:lang w:val="en-US" w:eastAsia="zh-CN"/>
        </w:rPr>
      </w:r>
      <w:r/>
    </w:p>
    <w:p>
      <w:pPr>
        <w:pStyle w:val="1058"/>
        <w:ind w:firstLine="0"/>
        <w:jc w:val="center"/>
        <w:rPr>
          <w:rFonts w:hint="eastAsia" w:ascii="宋体" w:hAnsi="宋体" w:eastAsia="宋体" w:cs="宋体"/>
          <w:sz w:val="52"/>
          <w:szCs w:val="52"/>
          <w:highlight w:val="none"/>
        </w:rPr>
      </w:pPr>
      <w:r/>
      <w:bookmarkStart w:id="0" w:name="_Toc523127445"/>
      <w:r/>
      <w:bookmarkStart w:id="1" w:name="_Toc120614210"/>
      <w:r/>
      <w:bookmarkStart w:id="2" w:name="_Toc513029200"/>
      <w:r/>
      <w:bookmarkStart w:id="3" w:name="_Toc16938516"/>
      <w:r/>
      <w:bookmarkStart w:id="4" w:name="_Toc20823272"/>
      <w:r/>
      <w:bookmarkStart w:id="5" w:name="_Toc479757206"/>
      <w:r>
        <w:rPr>
          <w:rFonts w:hint="eastAsia" w:ascii="宋体" w:hAnsi="宋体" w:eastAsia="宋体" w:cs="宋体"/>
          <w:sz w:val="52"/>
          <w:szCs w:val="52"/>
          <w:highlight w:val="none"/>
        </w:rPr>
        <w:t xml:space="preserve">目录</w:t>
      </w:r>
      <w:r>
        <w:rPr>
          <w:rFonts w:hint="eastAsia" w:ascii="宋体" w:hAnsi="宋体" w:eastAsia="宋体" w:cs="宋体"/>
          <w:sz w:val="52"/>
          <w:szCs w:val="52"/>
          <w:highlight w:val="none"/>
        </w:rPr>
      </w:r>
      <w:r/>
    </w:p>
    <w:p>
      <w:pPr>
        <w:pStyle w:val="1058"/>
        <w:ind w:firstLine="0"/>
        <w:jc w:val="both"/>
        <w:rPr>
          <w:rFonts w:hint="eastAsia" w:ascii="宋体" w:hAnsi="宋体" w:eastAsia="宋体" w:cs="宋体"/>
          <w:sz w:val="21"/>
          <w:highlight w:val="none"/>
        </w:rPr>
      </w:pPr>
      <w:r>
        <w:rPr>
          <w:rFonts w:hint="eastAsia" w:ascii="宋体" w:hAnsi="宋体" w:eastAsia="宋体" w:cs="宋体"/>
          <w:sz w:val="21"/>
          <w:highlight w:val="none"/>
        </w:rPr>
      </w:r>
      <w:r/>
    </w:p>
    <w:p>
      <w:pPr>
        <w:pStyle w:val="1172"/>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_Toc27711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2"/>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_Toc18519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2"/>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_Toc29592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2"/>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_Toc2602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采购需求</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2"/>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_Toc14501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评标方法与评标标准</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1172"/>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_Toc25872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投标文件内容与格式</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778"/>
        <w:spacing w:line="6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pStyle w:val="778"/>
        <w:jc w:val="center"/>
        <w:spacing w:line="500" w:lineRule="exact"/>
        <w:tabs>
          <w:tab w:val="left" w:pos="1440" w:leader="none"/>
        </w:tabs>
        <w:rPr>
          <w:rFonts w:hint="eastAsia" w:ascii="宋体" w:hAnsi="宋体" w:eastAsia="宋体" w:cs="宋体"/>
          <w:sz w:val="36"/>
          <w:szCs w:val="36"/>
          <w:highlight w:val="none"/>
        </w:rPr>
        <w:outlineLvl w:val="0"/>
      </w:pPr>
      <w:r/>
      <w:bookmarkStart w:id="6" w:name="_Toc27711"/>
      <w:r>
        <w:rPr>
          <w:rFonts w:hint="eastAsia" w:ascii="宋体" w:hAnsi="宋体" w:eastAsia="宋体" w:cs="宋体"/>
          <w:sz w:val="36"/>
          <w:szCs w:val="36"/>
          <w:highlight w:val="none"/>
        </w:rPr>
        <w:t xml:space="preserve">第一章  投标邀请</w:t>
      </w:r>
      <w:bookmarkEnd w:id="6"/>
      <w:r>
        <w:rPr>
          <w:rFonts w:hint="eastAsia" w:ascii="宋体" w:hAnsi="宋体" w:eastAsia="宋体" w:cs="宋体"/>
          <w:sz w:val="36"/>
          <w:szCs w:val="36"/>
          <w:highlight w:val="none"/>
        </w:rPr>
      </w:r>
      <w:r/>
    </w:p>
    <w:p>
      <w:pPr>
        <w:pStyle w:val="778"/>
        <w:ind w:firstLine="480"/>
        <w:spacing w:line="500" w:lineRule="exact"/>
        <w:rPr>
          <w:rFonts w:hint="eastAsia" w:ascii="宋体" w:hAnsi="宋体" w:eastAsia="宋体" w:cs="宋体"/>
          <w:sz w:val="24"/>
          <w:szCs w:val="24"/>
          <w:highlight w:val="none"/>
          <w:shd w:val="clear" w:color="ffffff" w:fill="d9d9d9"/>
        </w:rPr>
      </w:pPr>
      <w:r/>
      <w:bookmarkEnd w:id="1"/>
      <w:r>
        <w:rPr>
          <w:rFonts w:hint="eastAsia" w:ascii="宋体" w:hAnsi="宋体" w:eastAsia="宋体" w:cs="宋体"/>
          <w:sz w:val="24"/>
          <w:szCs w:val="24"/>
          <w:highlight w:val="none"/>
        </w:rPr>
        <w:t xml:space="preserve">受</w:t>
      </w:r>
      <w:r>
        <w:rPr>
          <w:rFonts w:hint="eastAsia" w:ascii="宋体" w:hAnsi="宋体" w:cs="宋体"/>
          <w:sz w:val="24"/>
          <w:szCs w:val="24"/>
          <w:highlight w:val="none"/>
          <w:lang w:eastAsia="zh-CN"/>
        </w:rPr>
        <w:t xml:space="preserve">无锡市滨湖区太湖街道办事处</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江苏筑祁园工程管理咨询有限公司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lang w:eastAsia="zh-CN"/>
        </w:rPr>
        <w:t xml:space="preserve">太湖街道街道管养绿化养护</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JSZC-320292-ZQYY-G2026-0001</w:t>
      </w:r>
      <w:r>
        <w:rPr>
          <w:rFonts w:hint="eastAsia" w:ascii="宋体" w:hAnsi="宋体" w:eastAsia="宋体" w:cs="宋体"/>
          <w:sz w:val="24"/>
          <w:szCs w:val="24"/>
          <w:highlight w:val="none"/>
        </w:rPr>
        <w:t xml:space="preserve">）进行公开招标采购，欢迎符合条件的供应商投标。</w:t>
      </w:r>
      <w:r>
        <w:rPr>
          <w:rFonts w:hint="eastAsia" w:ascii="宋体" w:hAnsi="宋体" w:eastAsia="宋体" w:cs="宋体"/>
          <w:sz w:val="24"/>
          <w:szCs w:val="24"/>
          <w:highlight w:val="none"/>
          <w:shd w:val="clear" w:color="ffffff" w:fill="d9d9d9"/>
        </w:rPr>
      </w:r>
      <w:r/>
    </w:p>
    <w:p>
      <w:pPr>
        <w:pStyle w:val="778"/>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778"/>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太湖街道街道管养绿化养护</w:t>
      </w:r>
      <w:r>
        <w:rPr>
          <w:rFonts w:hint="eastAsia" w:ascii="宋体" w:hAnsi="宋体" w:eastAsia="宋体" w:cs="宋体"/>
          <w:sz w:val="24"/>
          <w:szCs w:val="24"/>
          <w:highlight w:val="none"/>
        </w:rPr>
        <w:t xml:space="preserve">的潜在投标人应在“无锡政府采购网”“江苏政府采购网”自行浏览招标文件，如有投标意向须在本招标文件有效获取期内通过登录</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下载的方式依法获取招标文件，并于202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日</w:t>
      </w:r>
      <w:r>
        <w:rPr>
          <w:rFonts w:hint="eastAsia" w:ascii="宋体" w:hAnsi="宋体" w:cs="宋体"/>
          <w:sz w:val="24"/>
          <w:szCs w:val="24"/>
          <w:highlight w:val="none"/>
          <w:lang w:val="en-US" w:eastAsia="zh-CN"/>
        </w:rPr>
        <w:t xml:space="preserve">09</w:t>
      </w:r>
      <w:r>
        <w:rPr>
          <w:rFonts w:hint="eastAsia" w:ascii="宋体" w:hAnsi="宋体" w:eastAsia="宋体" w:cs="宋体"/>
          <w:sz w:val="24"/>
          <w:szCs w:val="24"/>
          <w:highlight w:val="none"/>
        </w:rPr>
        <w:t xml:space="preserve">点30分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7" w:name="_Toc35393621"/>
      <w:r/>
      <w:bookmarkStart w:id="8" w:name="_Toc28359002"/>
      <w:r/>
      <w:bookmarkStart w:id="9" w:name="_Toc35393790"/>
      <w:r/>
      <w:bookmarkStart w:id="10" w:name="_Toc38985263"/>
      <w:r/>
      <w:bookmarkStart w:id="11" w:name="_Toc28359079"/>
      <w:r/>
      <w:bookmarkStart w:id="12" w:name="_Hlk24379207"/>
      <w:r>
        <w:rPr>
          <w:rFonts w:hint="eastAsia" w:ascii="宋体" w:hAnsi="宋体" w:eastAsia="宋体" w:cs="宋体"/>
          <w:sz w:val="30"/>
          <w:szCs w:val="30"/>
          <w:highlight w:val="none"/>
        </w:rPr>
        <w:t xml:space="preserve">一、项目基本情况</w:t>
      </w:r>
      <w:bookmarkEnd w:id="7"/>
      <w:r/>
      <w:bookmarkEnd w:id="8"/>
      <w:r/>
      <w:bookmarkEnd w:id="9"/>
      <w:r/>
      <w:bookmarkEnd w:id="10"/>
      <w:r/>
      <w:bookmarkEnd w:id="11"/>
      <w:r>
        <w:rPr>
          <w:rFonts w:hint="eastAsia" w:ascii="宋体" w:hAnsi="宋体" w:eastAsia="宋体" w:cs="宋体"/>
          <w:sz w:val="30"/>
          <w:szCs w:val="30"/>
          <w:highlight w:val="none"/>
        </w:rPr>
      </w:r>
      <w:r/>
    </w:p>
    <w:p>
      <w:pPr>
        <w:pStyle w:val="778"/>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1.项目编号：JSZC-320292-ZQYY-G2026-0001</w:t>
      </w:r>
      <w:r>
        <w:rPr>
          <w:rFonts w:hint="eastAsia" w:ascii="宋体" w:hAnsi="宋体" w:eastAsia="宋体" w:cs="宋体"/>
          <w:sz w:val="24"/>
          <w:szCs w:val="24"/>
          <w:highlight w:val="none"/>
          <w:lang w:eastAsia="zh-CN"/>
        </w:rPr>
      </w:r>
      <w:r/>
    </w:p>
    <w:p>
      <w:pPr>
        <w:pStyle w:val="778"/>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太湖街道街道管养绿化养护</w:t>
      </w:r>
      <w:r>
        <w:rPr>
          <w:rFonts w:hint="eastAsia" w:ascii="宋体" w:hAnsi="宋体" w:eastAsia="宋体" w:cs="宋体"/>
          <w:sz w:val="24"/>
          <w:szCs w:val="24"/>
          <w:highlight w:val="none"/>
          <w:lang w:eastAsia="zh-CN"/>
        </w:rPr>
      </w:r>
      <w:r/>
    </w:p>
    <w:p>
      <w:pPr>
        <w:pStyle w:val="778"/>
        <w:ind w:firstLine="480"/>
        <w:spacing w:line="500" w:lineRule="exact"/>
        <w:rPr>
          <w:rFonts w:hint="eastAsia" w:ascii="宋体" w:hAnsi="宋体" w:eastAsia="宋体" w:cs="宋体"/>
          <w:sz w:val="24"/>
          <w:szCs w:val="24"/>
          <w:highlight w:val="none"/>
        </w:rPr>
      </w:pPr>
      <w:r/>
      <w:bookmarkEnd w:id="12"/>
      <w:r>
        <w:rPr>
          <w:rFonts w:hint="eastAsia" w:ascii="宋体" w:hAnsi="宋体" w:eastAsia="宋体" w:cs="宋体"/>
          <w:sz w:val="24"/>
          <w:szCs w:val="24"/>
          <w:highlight w:val="none"/>
        </w:rPr>
        <w:t xml:space="preserve">3.项目预算金额：</w:t>
      </w:r>
      <w:r>
        <w:rPr>
          <w:rFonts w:hint="eastAsia" w:ascii="宋体" w:hAnsi="宋体" w:cs="宋体"/>
          <w:sz w:val="24"/>
          <w:szCs w:val="24"/>
          <w:highlight w:val="none"/>
          <w:lang w:val="en-US" w:eastAsia="zh-CN"/>
        </w:rPr>
        <w:t xml:space="preserve">110.9489</w:t>
      </w:r>
      <w:r>
        <w:rPr>
          <w:rFonts w:hint="eastAsia" w:ascii="宋体" w:hAnsi="宋体" w:eastAsia="宋体" w:cs="宋体"/>
          <w:color w:val="000000"/>
          <w:sz w:val="24"/>
          <w:szCs w:val="24"/>
          <w:highlight w:val="none"/>
        </w:rPr>
        <w:t xml:space="preserve">万元</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cs="宋体"/>
          <w:sz w:val="24"/>
          <w:szCs w:val="24"/>
          <w:highlight w:val="none"/>
          <w:lang w:val="en-US" w:eastAsia="zh-CN"/>
        </w:rPr>
        <w:t xml:space="preserve">110.9489</w:t>
      </w:r>
      <w:r>
        <w:rPr>
          <w:rFonts w:hint="eastAsia" w:ascii="宋体" w:hAnsi="宋体" w:eastAsia="宋体" w:cs="宋体"/>
          <w:color w:val="000000"/>
          <w:sz w:val="24"/>
          <w:szCs w:val="24"/>
          <w:highlight w:val="none"/>
        </w:rPr>
        <w:t xml:space="preserve">万元</w:t>
      </w:r>
      <w:r>
        <w:rPr>
          <w:rFonts w:hint="eastAsia" w:ascii="宋体" w:hAnsi="宋体" w:eastAsia="宋体" w:cs="宋体"/>
          <w:i/>
          <w:iCs/>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5.采购需求：详见招标文件第四章《采购需求》</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6.服务期限：自签订合同之日起一年。</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7.本项目不接受联合体投标。</w:t>
      </w:r>
      <w:r>
        <w:rPr>
          <w:rFonts w:hint="eastAsia" w:ascii="宋体" w:hAnsi="宋体" w:eastAsia="宋体" w:cs="宋体"/>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13" w:name="_Toc38985264"/>
      <w:r/>
      <w:bookmarkStart w:id="14" w:name="_Toc28359080"/>
      <w:r/>
      <w:bookmarkStart w:id="15" w:name="_Toc35393622"/>
      <w:r/>
      <w:bookmarkStart w:id="16" w:name="_Toc28359003"/>
      <w:r/>
      <w:bookmarkStart w:id="17" w:name="_Toc35393791"/>
      <w:r>
        <w:rPr>
          <w:rFonts w:hint="eastAsia" w:ascii="宋体" w:hAnsi="宋体" w:eastAsia="宋体" w:cs="宋体"/>
          <w:sz w:val="30"/>
          <w:szCs w:val="30"/>
          <w:highlight w:val="none"/>
        </w:rPr>
        <w:t xml:space="preserve">二、申请人的资格要求</w:t>
      </w:r>
      <w:bookmarkEnd w:id="13"/>
      <w:r/>
      <w:bookmarkEnd w:id="14"/>
      <w:r/>
      <w:bookmarkEnd w:id="15"/>
      <w:r/>
      <w:bookmarkEnd w:id="16"/>
      <w:r/>
      <w:bookmarkEnd w:id="17"/>
      <w:r>
        <w:rPr>
          <w:rFonts w:hint="eastAsia" w:ascii="宋体" w:hAnsi="宋体" w:eastAsia="宋体" w:cs="宋体"/>
          <w:sz w:val="30"/>
          <w:szCs w:val="30"/>
          <w:highlight w:val="none"/>
        </w:rPr>
      </w:r>
      <w:r/>
    </w:p>
    <w:p>
      <w:pPr>
        <w:pStyle w:val="778"/>
        <w:ind w:firstLine="480"/>
        <w:spacing w:line="500" w:lineRule="exact"/>
        <w:rPr>
          <w:rFonts w:hint="eastAsia" w:ascii="宋体" w:hAnsi="宋体" w:eastAsia="宋体" w:cs="宋体"/>
          <w:sz w:val="24"/>
          <w:szCs w:val="24"/>
          <w:highlight w:val="none"/>
        </w:rPr>
      </w:pPr>
      <w:r/>
      <w:bookmarkStart w:id="18" w:name="_Toc35393623"/>
      <w:r/>
      <w:bookmarkStart w:id="19" w:name="_Toc35393792"/>
      <w:r/>
      <w:bookmarkStart w:id="20" w:name="_Toc38985265"/>
      <w:r/>
      <w:bookmarkStart w:id="21" w:name="_Toc28359004"/>
      <w:r/>
      <w:bookmarkStart w:id="22" w:name="_Toc28359081"/>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2.在“信用中国”网站（www.creditchina.gov.cn）、中国政府采购网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i/>
          <w:sz w:val="24"/>
          <w:szCs w:val="24"/>
          <w:highlight w:val="none"/>
        </w:rPr>
      </w:pPr>
      <w:r>
        <w:rPr>
          <w:rFonts w:hint="eastAsia" w:ascii="宋体" w:hAnsi="宋体" w:eastAsia="宋体" w:cs="宋体"/>
          <w:sz w:val="24"/>
          <w:szCs w:val="24"/>
          <w:highlight w:val="none"/>
        </w:rPr>
        <w:t xml:space="preserve">3.落实政府采购政策需满足的资格要求：本项目专门面向</w:t>
      </w:r>
      <w:r>
        <w:rPr>
          <w:rFonts w:hint="eastAsia" w:ascii="宋体" w:hAnsi="宋体" w:cs="宋体"/>
          <w:sz w:val="24"/>
          <w:szCs w:val="24"/>
          <w:highlight w:val="none"/>
          <w:lang w:val="en-US" w:eastAsia="zh-CN"/>
        </w:rPr>
        <w:t xml:space="preserve">中</w:t>
      </w:r>
      <w:r>
        <w:rPr>
          <w:rFonts w:hint="eastAsia" w:ascii="宋体" w:hAnsi="宋体" w:eastAsia="宋体" w:cs="宋体"/>
          <w:sz w:val="24"/>
          <w:szCs w:val="24"/>
          <w:highlight w:val="none"/>
        </w:rPr>
        <w:t xml:space="preserve">小企业；</w:t>
      </w:r>
      <w:r>
        <w:rPr>
          <w:rFonts w:hint="eastAsia" w:ascii="宋体" w:hAnsi="宋体" w:eastAsia="宋体" w:cs="宋体"/>
          <w:i/>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4.本项目的特定资格要求：无</w:t>
      </w:r>
      <w:r>
        <w:rPr>
          <w:rFonts w:hint="eastAsia" w:ascii="宋体" w:hAnsi="宋体" w:eastAsia="宋体" w:cs="宋体"/>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三、获取招标文件</w:t>
      </w:r>
      <w:bookmarkEnd w:id="18"/>
      <w:r/>
      <w:bookmarkEnd w:id="19"/>
      <w:r/>
      <w:bookmarkEnd w:id="20"/>
      <w:r/>
      <w:bookmarkEnd w:id="21"/>
      <w:r/>
      <w:bookmarkEnd w:id="22"/>
      <w:r>
        <w:rPr>
          <w:rFonts w:hint="eastAsia" w:ascii="宋体" w:hAnsi="宋体" w:eastAsia="宋体" w:cs="宋体"/>
          <w:sz w:val="30"/>
          <w:szCs w:val="30"/>
          <w:highlight w:val="none"/>
        </w:rPr>
      </w:r>
      <w:r/>
    </w:p>
    <w:p>
      <w:pPr>
        <w:pStyle w:val="778"/>
        <w:ind w:firstLine="540"/>
        <w:spacing w:line="500" w:lineRule="exact"/>
        <w:rPr>
          <w:rFonts w:hint="eastAsia" w:ascii="宋体" w:hAnsi="宋体" w:eastAsia="宋体" w:cs="宋体"/>
          <w:sz w:val="24"/>
          <w:szCs w:val="24"/>
          <w:highlight w:val="none"/>
        </w:rPr>
      </w:pPr>
      <w:r/>
      <w:bookmarkStart w:id="23" w:name="_Toc28359005"/>
      <w:r/>
      <w:bookmarkStart w:id="24" w:name="_Toc28359082"/>
      <w:r/>
      <w:bookmarkStart w:id="25" w:name="_Toc35393624"/>
      <w:r/>
      <w:bookmarkStart w:id="26" w:name="_Toc35393793"/>
      <w:r/>
      <w:bookmarkStart w:id="27" w:name="_Toc38985266"/>
      <w:r>
        <w:rPr>
          <w:rFonts w:hint="eastAsia" w:ascii="宋体" w:hAnsi="宋体" w:eastAsia="宋体" w:cs="宋体"/>
          <w:sz w:val="24"/>
          <w:szCs w:val="24"/>
          <w:highlight w:val="none"/>
        </w:rPr>
        <w:t xml:space="preserve">1.时间：本招标文件有效获取期自招标文件公告发布之日起5个工作日，（有效获取期内的）每天上午00:00至12:00，下午12:00至23:59（北京时间，法定节假日除外）。</w:t>
      </w:r>
      <w:r>
        <w:rPr>
          <w:rFonts w:hint="eastAsia" w:ascii="宋体" w:hAnsi="宋体" w:eastAsia="宋体" w:cs="宋体"/>
          <w:sz w:val="24"/>
          <w:szCs w:val="24"/>
          <w:highlight w:val="none"/>
        </w:rPr>
      </w:r>
      <w:r/>
    </w:p>
    <w:p>
      <w:pPr>
        <w:pStyle w:val="778"/>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r>
      <w:r/>
    </w:p>
    <w:p>
      <w:pPr>
        <w:pStyle w:val="778"/>
        <w:ind w:firstLine="540"/>
        <w:spacing w:line="500" w:lineRule="exact"/>
        <w:rPr>
          <w:rStyle w:val="1044"/>
          <w:rFonts w:hint="eastAsia" w:ascii="宋体" w:hAnsi="宋体" w:eastAsia="宋体" w:cs="宋体"/>
          <w:highlight w:val="none"/>
        </w:rPr>
      </w:pPr>
      <w:r>
        <w:rPr>
          <w:rFonts w:hint="eastAsia" w:ascii="宋体" w:hAnsi="宋体" w:eastAsia="宋体" w:cs="宋体"/>
          <w:bCs/>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w:t>
      </w:r>
      <w:r>
        <w:rPr>
          <w:rFonts w:hint="eastAsia" w:ascii="宋体" w:hAnsi="宋体" w:eastAsia="宋体" w:cs="宋体"/>
          <w:bCs/>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获取的</w:t>
      </w:r>
      <w:r>
        <w:rPr>
          <w:rFonts w:hint="eastAsia" w:ascii="宋体" w:hAnsi="宋体" w:eastAsia="宋体" w:cs="宋体"/>
          <w:bCs/>
          <w:sz w:val="24"/>
          <w:szCs w:val="24"/>
          <w:highlight w:val="none"/>
        </w:rPr>
        <w:t xml:space="preserve">招标文件，视为依法获取的招标文件。</w:t>
      </w:r>
      <w:r>
        <w:rPr>
          <w:rStyle w:val="1044"/>
          <w:rFonts w:hint="eastAsia" w:ascii="宋体" w:hAnsi="宋体" w:eastAsia="宋体" w:cs="宋体"/>
          <w:highlight w:val="none"/>
        </w:rPr>
      </w:r>
      <w:r/>
    </w:p>
    <w:p>
      <w:pPr>
        <w:pStyle w:val="778"/>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4.售价：本项目招标文件免费。</w:t>
      </w:r>
      <w:r>
        <w:rPr>
          <w:rFonts w:hint="eastAsia" w:ascii="宋体" w:hAnsi="宋体" w:eastAsia="宋体" w:cs="宋体"/>
          <w:bCs/>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四、提交投标文件</w:t>
      </w:r>
      <w:bookmarkEnd w:id="23"/>
      <w:r/>
      <w:bookmarkEnd w:id="24"/>
      <w:r>
        <w:rPr>
          <w:rFonts w:hint="eastAsia" w:ascii="宋体" w:hAnsi="宋体" w:eastAsia="宋体" w:cs="宋体"/>
          <w:sz w:val="30"/>
          <w:szCs w:val="30"/>
          <w:highlight w:val="none"/>
        </w:rPr>
        <w:t xml:space="preserve">截止时间、开标时间和地点</w:t>
      </w:r>
      <w:bookmarkEnd w:id="25"/>
      <w:r/>
      <w:bookmarkEnd w:id="26"/>
      <w:r/>
      <w:bookmarkEnd w:id="27"/>
      <w:r>
        <w:rPr>
          <w:rFonts w:hint="eastAsia" w:ascii="宋体" w:hAnsi="宋体" w:eastAsia="宋体" w:cs="宋体"/>
          <w:sz w:val="30"/>
          <w:szCs w:val="30"/>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1.时间：</w:t>
      </w:r>
      <w:bookmarkStart w:id="28" w:name="_GoBack"/>
      <w:r>
        <w:rPr>
          <w:rFonts w:hint="eastAsia" w:ascii="宋体" w:hAnsi="宋体" w:eastAsia="宋体" w:cs="宋体"/>
          <w:bCs/>
          <w:sz w:val="24"/>
          <w:szCs w:val="24"/>
          <w:highlight w:val="none"/>
        </w:rPr>
        <w:t xml:space="preserve">202</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年</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月</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日</w:t>
      </w:r>
      <w:r>
        <w:rPr>
          <w:rFonts w:hint="eastAsia" w:ascii="宋体" w:hAnsi="宋体" w:cs="宋体"/>
          <w:bCs/>
          <w:sz w:val="24"/>
          <w:szCs w:val="24"/>
          <w:highlight w:val="none"/>
          <w:lang w:val="en-US" w:eastAsia="zh-CN"/>
        </w:rPr>
        <w:t xml:space="preserve">09</w:t>
      </w:r>
      <w:r>
        <w:rPr>
          <w:rFonts w:hint="eastAsia" w:ascii="宋体" w:hAnsi="宋体" w:eastAsia="宋体" w:cs="宋体"/>
          <w:bCs/>
          <w:sz w:val="24"/>
          <w:szCs w:val="24"/>
          <w:highlight w:val="none"/>
        </w:rPr>
        <w:t xml:space="preserve">点30分（北京时间）</w:t>
      </w:r>
      <w:bookmarkEnd w:id="28"/>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网上开标大厅。</w:t>
      </w:r>
      <w:r>
        <w:rPr>
          <w:rFonts w:hint="eastAsia" w:ascii="宋体" w:hAnsi="宋体" w:eastAsia="宋体" w:cs="宋体"/>
          <w:bCs/>
          <w:sz w:val="24"/>
          <w:szCs w:val="24"/>
          <w:highlight w:val="none"/>
          <w:u w:val="singl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29" w:name="_Toc38985267"/>
      <w:r/>
      <w:bookmarkStart w:id="30" w:name="_Toc35393625"/>
      <w:r/>
      <w:bookmarkStart w:id="31" w:name="_Toc28359084"/>
      <w:r/>
      <w:bookmarkStart w:id="32" w:name="_Toc28359007"/>
      <w:r/>
      <w:bookmarkStart w:id="33" w:name="_Toc35393794"/>
      <w:r>
        <w:rPr>
          <w:rFonts w:hint="eastAsia" w:ascii="宋体" w:hAnsi="宋体" w:eastAsia="宋体" w:cs="宋体"/>
          <w:sz w:val="30"/>
          <w:szCs w:val="30"/>
          <w:highlight w:val="none"/>
        </w:rPr>
        <w:t xml:space="preserve">五、公告期限</w:t>
      </w:r>
      <w:bookmarkEnd w:id="29"/>
      <w:r/>
      <w:bookmarkEnd w:id="30"/>
      <w:r/>
      <w:bookmarkEnd w:id="31"/>
      <w:r/>
      <w:bookmarkEnd w:id="32"/>
      <w:r/>
      <w:bookmarkEnd w:id="33"/>
      <w:r>
        <w:rPr>
          <w:rFonts w:hint="eastAsia" w:ascii="宋体" w:hAnsi="宋体" w:eastAsia="宋体" w:cs="宋体"/>
          <w:sz w:val="30"/>
          <w:szCs w:val="30"/>
          <w:highlight w:val="none"/>
        </w:rPr>
      </w:r>
      <w:r/>
    </w:p>
    <w:p>
      <w:pPr>
        <w:pStyle w:val="778"/>
        <w:ind w:firstLine="480"/>
        <w:spacing w:line="500" w:lineRule="exact"/>
        <w:rPr>
          <w:rFonts w:hint="eastAsia" w:ascii="宋体" w:hAnsi="宋体" w:eastAsia="宋体" w:cs="宋体"/>
          <w:sz w:val="24"/>
          <w:szCs w:val="24"/>
          <w:highlight w:val="none"/>
        </w:rPr>
      </w:pPr>
      <w:r/>
      <w:bookmarkStart w:id="34" w:name="_Toc35393626"/>
      <w:r/>
      <w:bookmarkStart w:id="35" w:name="_Toc38985268"/>
      <w:r/>
      <w:bookmarkStart w:id="36" w:name="_Toc35393795"/>
      <w:r>
        <w:rPr>
          <w:rFonts w:hint="eastAsia" w:ascii="宋体" w:hAnsi="宋体" w:eastAsia="宋体" w:cs="宋体"/>
          <w:sz w:val="24"/>
          <w:szCs w:val="24"/>
          <w:highlight w:val="none"/>
        </w:rPr>
        <w:t xml:space="preserve">（招标公告及招标文件公告期限）自本公告发布之日起5个工作日。</w:t>
      </w:r>
      <w:r>
        <w:rPr>
          <w:rFonts w:hint="eastAsia" w:ascii="宋体" w:hAnsi="宋体" w:eastAsia="宋体" w:cs="宋体"/>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六、其他补充事宜</w:t>
      </w:r>
      <w:bookmarkEnd w:id="34"/>
      <w:r/>
      <w:bookmarkEnd w:id="35"/>
      <w:r/>
      <w:bookmarkEnd w:id="36"/>
      <w:r>
        <w:rPr>
          <w:rFonts w:hint="eastAsia" w:ascii="宋体" w:hAnsi="宋体" w:eastAsia="宋体" w:cs="宋体"/>
          <w:sz w:val="30"/>
          <w:szCs w:val="3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rPr>
          <w:rFonts w:hint="eastAsia" w:ascii="宋体" w:hAnsi="宋体" w:eastAsia="宋体" w:cs="宋体"/>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37" w:name="_Toc28359085"/>
      <w:r/>
      <w:bookmarkStart w:id="38" w:name="_Toc28359008"/>
      <w:r/>
      <w:bookmarkStart w:id="39" w:name="_Toc38985269"/>
      <w:r/>
      <w:bookmarkStart w:id="40" w:name="_Toc35393796"/>
      <w:r/>
      <w:bookmarkStart w:id="41" w:name="_Toc35393627"/>
      <w:r>
        <w:rPr>
          <w:rFonts w:hint="eastAsia" w:ascii="宋体" w:hAnsi="宋体" w:eastAsia="宋体" w:cs="宋体"/>
          <w:sz w:val="30"/>
          <w:szCs w:val="30"/>
          <w:highlight w:val="none"/>
        </w:rPr>
        <w:t xml:space="preserve">七、本项目联系方式</w:t>
      </w:r>
      <w:bookmarkEnd w:id="37"/>
      <w:r/>
      <w:bookmarkEnd w:id="38"/>
      <w:r/>
      <w:bookmarkEnd w:id="39"/>
      <w:r/>
      <w:bookmarkEnd w:id="40"/>
      <w:r/>
      <w:bookmarkEnd w:id="41"/>
      <w:r>
        <w:rPr>
          <w:rFonts w:hint="eastAsia" w:ascii="宋体" w:hAnsi="宋体" w:eastAsia="宋体" w:cs="宋体"/>
          <w:sz w:val="30"/>
          <w:szCs w:val="3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无锡市滨湖区太湖街道办事处</w:t>
      </w:r>
      <w:r>
        <w:rPr>
          <w:rFonts w:hint="eastAsia" w:ascii="宋体" w:hAnsi="宋体" w:eastAsia="宋体" w:cs="宋体"/>
          <w:sz w:val="24"/>
          <w:szCs w:val="24"/>
          <w:highlight w:val="none"/>
          <w:lang w:eastAsia="zh-CN"/>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：无锡市滨湖区太湖街道周新东路58号</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42" w:name="_Toc28359009"/>
      <w:r/>
      <w:bookmarkStart w:id="43" w:name="_Toc28359086"/>
      <w:r>
        <w:rPr>
          <w:rFonts w:hint="eastAsia" w:ascii="宋体" w:hAnsi="宋体" w:eastAsia="宋体" w:cs="宋体"/>
          <w:sz w:val="24"/>
          <w:szCs w:val="24"/>
          <w:highlight w:val="none"/>
        </w:rPr>
        <w:t xml:space="preserve">见“项目联系方式”</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42"/>
      <w:r/>
      <w:bookmarkEnd w:id="43"/>
      <w:r>
        <w:rPr>
          <w:rFonts w:hint="eastAsia" w:ascii="宋体" w:hAnsi="宋体" w:eastAsia="宋体" w:cs="宋体"/>
          <w:sz w:val="24"/>
          <w:szCs w:val="24"/>
          <w:highlight w:val="none"/>
        </w:rPr>
        <w:t xml:space="preserve">采购代理机构信息</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江苏筑祁园工程管理咨询有限公司</w:t>
      </w:r>
      <w:r>
        <w:rPr>
          <w:rFonts w:hint="eastAsia" w:ascii="宋体" w:hAnsi="宋体" w:eastAsia="宋体" w:cs="宋体"/>
          <w:sz w:val="24"/>
          <w:szCs w:val="24"/>
          <w:highlight w:val="none"/>
          <w:lang w:eastAsia="zh-CN"/>
        </w:rPr>
      </w:r>
      <w:r/>
    </w:p>
    <w:p>
      <w:pPr>
        <w:pStyle w:val="778"/>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无锡经济开发区太湖街道丰裕园二期商业街雪丰路60-3</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eastAsia="zh-CN"/>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联系方式：见“项目联系方式”</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rPr>
          <w:rFonts w:hint="eastAsia" w:ascii="宋体" w:hAnsi="宋体" w:eastAsia="宋体" w:cs="宋体"/>
          <w:sz w:val="24"/>
          <w:szCs w:val="24"/>
          <w:highlight w:val="none"/>
        </w:rPr>
      </w:r>
      <w:r/>
    </w:p>
    <w:p>
      <w:pPr>
        <w:pStyle w:val="1046"/>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采购人项目咨询联系人：陆蔚沅</w:t>
      </w:r>
      <w:r>
        <w:rPr>
          <w:rFonts w:hint="eastAsia" w:ascii="宋体" w:hAnsi="宋体" w:eastAsia="宋体" w:cs="宋体"/>
          <w:color w:val="000000"/>
          <w:sz w:val="24"/>
          <w:szCs w:val="24"/>
          <w:highlight w:val="none"/>
          <w:u w:val="none"/>
          <w:lang w:val="en-US" w:eastAsia="zh-CN"/>
        </w:rPr>
        <w:t xml:space="preserve">；电话：0510-85622097</w:t>
      </w:r>
      <w:r>
        <w:rPr>
          <w:rFonts w:hint="eastAsia" w:ascii="宋体" w:hAnsi="宋体" w:eastAsia="宋体" w:cs="宋体"/>
          <w:color w:val="000000"/>
          <w:sz w:val="24"/>
          <w:szCs w:val="24"/>
          <w:highlight w:val="none"/>
          <w:u w:val="none"/>
          <w:lang w:val="en-US" w:eastAsia="zh-CN"/>
        </w:rPr>
      </w:r>
      <w:r/>
    </w:p>
    <w:p>
      <w:pPr>
        <w:pStyle w:val="1046"/>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采购人质疑受理联系人：陆蔚沅；电话：0510-85622097</w:t>
      </w:r>
      <w:r>
        <w:rPr>
          <w:rFonts w:hint="eastAsia" w:ascii="宋体" w:hAnsi="宋体" w:eastAsia="宋体" w:cs="宋体"/>
          <w:color w:val="000000"/>
          <w:sz w:val="24"/>
          <w:szCs w:val="24"/>
          <w:highlight w:val="none"/>
          <w:u w:val="none"/>
          <w:lang w:eastAsia="zh-CN"/>
        </w:rPr>
      </w:r>
      <w:r/>
    </w:p>
    <w:p>
      <w:pPr>
        <w:pStyle w:val="1046"/>
        <w:rPr>
          <w:rFonts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蔡培芹</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85881501、18952670217</w:t>
      </w:r>
      <w:r>
        <w:rPr>
          <w:rFonts w:ascii="宋体" w:hAnsi="宋体" w:eastAsia="宋体" w:cs="宋体"/>
          <w:highlight w:val="none"/>
          <w:lang w:val="en-US" w:eastAsia="zh-CN"/>
        </w:rPr>
      </w:r>
      <w:r/>
    </w:p>
    <w:p>
      <w:pPr>
        <w:pStyle w:val="835"/>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八、其他</w:t>
      </w:r>
      <w:r>
        <w:rPr>
          <w:rFonts w:hint="eastAsia" w:ascii="宋体" w:hAnsi="宋体" w:eastAsia="宋体" w:cs="宋体"/>
          <w:sz w:val="30"/>
          <w:szCs w:val="30"/>
          <w:highlight w:val="none"/>
        </w:rPr>
      </w:r>
      <w:r/>
    </w:p>
    <w:p>
      <w:pPr>
        <w:pStyle w:val="778"/>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（一）供应商“账号注册”及CA办理</w:t>
      </w:r>
      <w:r>
        <w:rPr>
          <w:rFonts w:hint="eastAsia" w:ascii="宋体" w:hAnsi="宋体" w:eastAsia="宋体" w:cs="宋体"/>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w:t>
      </w:r>
      <w:r>
        <w:rPr>
          <w:rFonts w:hint="eastAsia" w:ascii="宋体" w:hAnsi="宋体" w:eastAsia="宋体" w:cs="宋体"/>
          <w:bCs/>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val="en-US" w:eastAsia="zh-CN"/>
        </w:rPr>
        <w:t xml:space="preserve">大厅</w:t>
      </w:r>
      <w:r>
        <w:rPr>
          <w:rFonts w:hint="eastAsia" w:ascii="宋体" w:hAnsi="宋体" w:eastAsia="宋体" w:cs="宋体"/>
          <w:color w:val="000000"/>
          <w:sz w:val="24"/>
          <w:szCs w:val="24"/>
          <w:highlight w:val="none"/>
        </w:rPr>
        <w:t xml:space="preserve">），办理指南链接：http://jsxcmm.com/help/help.html。</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w:t>
      </w:r>
      <w:r>
        <w:rPr>
          <w:rFonts w:hint="eastAsia" w:ascii="宋体" w:hAnsi="宋体" w:eastAsia="宋体" w:cs="宋体"/>
          <w:sz w:val="24"/>
          <w:szCs w:val="24"/>
          <w:highlight w:val="none"/>
        </w:rPr>
        <w:t xml:space="preserve">体操作步骤详见《“苏采云”系统供应商操作手册》（以下简称《操作手册》），下载地</w:t>
      </w:r>
      <w:r>
        <w:rPr>
          <w:rFonts w:hint="eastAsia" w:ascii="宋体" w:hAnsi="宋体" w:eastAsia="宋体" w:cs="宋体"/>
          <w:color w:val="000000"/>
          <w:sz w:val="24"/>
          <w:szCs w:val="24"/>
          <w:highlight w:val="none"/>
        </w:rPr>
        <w:t xml:space="preserve">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技术支持QQ：孙先生：442456465；王先生：1476328133。</w:t>
      </w:r>
      <w:r>
        <w:rPr>
          <w:rFonts w:hint="eastAsia" w:ascii="宋体" w:hAnsi="宋体" w:eastAsia="宋体" w:cs="宋体"/>
          <w:color w:val="000000"/>
          <w:sz w:val="24"/>
          <w:szCs w:val="24"/>
          <w:highlight w:val="none"/>
        </w:rPr>
      </w:r>
      <w:r/>
    </w:p>
    <w:p>
      <w:pPr>
        <w:pStyle w:val="778"/>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（二）完成项目参与，获取招标文件</w:t>
      </w:r>
      <w:r>
        <w:rPr>
          <w:rFonts w:hint="eastAsia" w:ascii="宋体" w:hAnsi="宋体" w:eastAsia="宋体" w:cs="宋体"/>
          <w:sz w:val="24"/>
          <w:szCs w:val="24"/>
          <w:highlight w:val="none"/>
        </w:rPr>
      </w:r>
      <w:r/>
    </w:p>
    <w:p>
      <w:pPr>
        <w:pStyle w:val="778"/>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供应商可在项目招标公告附件中查看公开招标文件，</w:t>
      </w:r>
      <w:r>
        <w:rPr>
          <w:rFonts w:hint="eastAsia" w:ascii="宋体" w:hAnsi="宋体" w:eastAsia="宋体" w:cs="宋体"/>
          <w:color w:val="000000"/>
          <w:sz w:val="24"/>
          <w:szCs w:val="24"/>
          <w:highlight w:val="none"/>
        </w:rPr>
        <w:t xml:space="preserve">如确</w:t>
      </w:r>
      <w:r>
        <w:rPr>
          <w:rFonts w:hint="eastAsia" w:ascii="宋体" w:hAnsi="宋体" w:eastAsia="宋体" w:cs="宋体"/>
          <w:sz w:val="24"/>
          <w:szCs w:val="24"/>
          <w:highlight w:val="none"/>
        </w:rPr>
        <w:t xml:space="preserve">定参加本次采购活动，必须在</w:t>
      </w:r>
      <w:r>
        <w:rPr>
          <w:rFonts w:hint="eastAsia" w:ascii="宋体" w:hAnsi="宋体" w:eastAsia="宋体" w:cs="宋体"/>
          <w:bCs/>
          <w:sz w:val="24"/>
          <w:szCs w:val="24"/>
          <w:highlight w:val="none"/>
        </w:rPr>
        <w:t xml:space="preserve">招标文件提供期限</w:t>
      </w:r>
      <w:r>
        <w:rPr>
          <w:rFonts w:hint="eastAsia" w:ascii="宋体" w:hAnsi="宋体" w:eastAsia="宋体" w:cs="宋体"/>
          <w:sz w:val="24"/>
          <w:szCs w:val="24"/>
          <w:highlight w:val="none"/>
        </w:rPr>
        <w:t xml:space="preserve">内从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中下载文件（“项目参与”——“采购项目参与”找到需要获取招标文件的项目，点击“我要参与”——“参与投标”——“下载文件”），完成项目参</w:t>
      </w:r>
      <w:r>
        <w:rPr>
          <w:rFonts w:hint="eastAsia" w:ascii="宋体" w:hAnsi="宋体" w:eastAsia="宋体" w:cs="宋体"/>
          <w:color w:val="000000"/>
          <w:sz w:val="24"/>
          <w:szCs w:val="24"/>
          <w:highlight w:val="none"/>
        </w:rPr>
        <w:t xml:space="preserve">与，将</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rPr>
          <w:rFonts w:hint="eastAsia" w:ascii="宋体" w:hAnsi="宋体" w:eastAsia="宋体" w:cs="宋体"/>
          <w:color w:val="000000"/>
          <w:sz w:val="24"/>
          <w:szCs w:val="24"/>
          <w:highlight w:val="none"/>
        </w:rPr>
      </w:r>
      <w:r/>
    </w:p>
    <w:p>
      <w:pPr>
        <w:pStyle w:val="778"/>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cs="宋体"/>
          <w:bCs/>
          <w:sz w:val="24"/>
          <w:szCs w:val="24"/>
          <w:highlight w:val="none"/>
          <w:lang w:eastAsia="zh-CN"/>
        </w:rPr>
        <w:t xml:space="preserve">江苏筑祁园工程管理咨询有限公司</w:t>
      </w:r>
      <w:r>
        <w:rPr>
          <w:rFonts w:hint="eastAsia" w:ascii="宋体" w:hAnsi="宋体" w:eastAsia="宋体" w:cs="宋体"/>
          <w:bCs/>
          <w:sz w:val="24"/>
          <w:szCs w:val="24"/>
          <w:highlight w:val="none"/>
        </w:rPr>
        <w:t xml:space="preserve">在“无锡政府采购网”“江苏政府采购网”发布的更正公告。</w:t>
      </w:r>
      <w:r>
        <w:rPr>
          <w:rFonts w:hint="eastAsia" w:ascii="宋体" w:hAnsi="宋体" w:eastAsia="宋体" w:cs="宋体"/>
          <w:bCs/>
          <w:sz w:val="24"/>
          <w:szCs w:val="24"/>
          <w:highlight w:val="none"/>
        </w:rPr>
      </w:r>
      <w:r/>
    </w:p>
    <w:p>
      <w:pPr>
        <w:pStyle w:val="778"/>
        <w:ind w:firstLine="480"/>
        <w:spacing w:line="500" w:lineRule="exact"/>
        <w:tabs>
          <w:tab w:val="left" w:pos="900" w:leader="none"/>
        </w:tabs>
        <w:rPr>
          <w:rFonts w:hint="eastAsia" w:ascii="宋体" w:hAnsi="宋体" w:eastAsia="宋体" w:cs="宋体"/>
          <w:bCs/>
          <w:sz w:val="24"/>
          <w:szCs w:val="24"/>
          <w:highlight w:val="none"/>
          <w:shd w:val="clear" w:color="ffffff" w:fill="d9d9d9"/>
        </w:rPr>
      </w:pPr>
      <w:r>
        <w:rPr>
          <w:rFonts w:hint="eastAsia" w:ascii="宋体" w:hAnsi="宋体" w:eastAsia="宋体" w:cs="宋体"/>
          <w:bCs/>
          <w:sz w:val="24"/>
          <w:szCs w:val="24"/>
          <w:highlight w:val="none"/>
        </w:rPr>
        <w:t xml:space="preserve">（四）本次采购不收取投标保证金。</w:t>
      </w:r>
      <w:r>
        <w:rPr>
          <w:rFonts w:hint="eastAsia" w:ascii="宋体" w:hAnsi="宋体" w:eastAsia="宋体" w:cs="宋体"/>
          <w:bCs/>
          <w:sz w:val="24"/>
          <w:szCs w:val="24"/>
          <w:highlight w:val="none"/>
          <w:shd w:val="clear" w:color="ffffff" w:fill="d9d9d9"/>
        </w:rPr>
      </w:r>
      <w:r/>
    </w:p>
    <w:p>
      <w:pPr>
        <w:pStyle w:val="778"/>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4" w:name="_Toc120614211"/>
      <w:r/>
      <w:bookmarkStart w:id="45" w:name="_Toc18519"/>
      <w:r>
        <w:rPr>
          <w:rFonts w:hint="eastAsia" w:ascii="宋体" w:hAnsi="宋体" w:eastAsia="宋体" w:cs="宋体"/>
          <w:sz w:val="36"/>
          <w:szCs w:val="36"/>
          <w:highlight w:val="none"/>
        </w:rPr>
        <w:t xml:space="preserve">第二章  </w:t>
      </w:r>
      <w:bookmarkEnd w:id="0"/>
      <w:r/>
      <w:bookmarkEnd w:id="2"/>
      <w:r/>
      <w:bookmarkEnd w:id="3"/>
      <w:r/>
      <w:bookmarkEnd w:id="4"/>
      <w:r/>
      <w:bookmarkEnd w:id="5"/>
      <w:r/>
      <w:bookmarkEnd w:id="44"/>
      <w:r/>
      <w:bookmarkStart w:id="46" w:name="_Toc16938518"/>
      <w:r/>
      <w:bookmarkStart w:id="47" w:name="_Toc120614213"/>
      <w:r/>
      <w:bookmarkStart w:id="48" w:name="_Toc20823274"/>
      <w:r/>
      <w:bookmarkStart w:id="49" w:name="_Toc513029202"/>
      <w:r>
        <w:rPr>
          <w:rFonts w:hint="eastAsia" w:ascii="宋体" w:hAnsi="宋体" w:eastAsia="宋体" w:cs="宋体"/>
          <w:sz w:val="36"/>
          <w:szCs w:val="36"/>
          <w:highlight w:val="none"/>
        </w:rPr>
        <w:t xml:space="preserve">投标人须知</w:t>
      </w:r>
      <w:bookmarkEnd w:id="45"/>
      <w:r/>
      <w:bookmarkEnd w:id="46"/>
      <w:r/>
      <w:bookmarkEnd w:id="47"/>
      <w:r/>
      <w:bookmarkEnd w:id="48"/>
      <w:r/>
      <w:bookmarkEnd w:id="49"/>
      <w:r>
        <w:rPr>
          <w:rFonts w:hint="eastAsia" w:ascii="宋体" w:hAnsi="宋体" w:eastAsia="宋体" w:cs="宋体"/>
          <w:sz w:val="36"/>
          <w:szCs w:val="36"/>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50" w:name="_Toc120614214"/>
      <w:r/>
      <w:bookmarkStart w:id="51" w:name="_Toc513029203"/>
      <w:r/>
      <w:bookmarkStart w:id="52" w:name="_Toc20823275"/>
      <w:r/>
      <w:bookmarkStart w:id="53" w:name="_Toc16938519"/>
      <w:r>
        <w:rPr>
          <w:rFonts w:hint="eastAsia" w:ascii="宋体" w:hAnsi="宋体" w:eastAsia="宋体" w:cs="宋体"/>
          <w:sz w:val="30"/>
          <w:szCs w:val="30"/>
          <w:highlight w:val="none"/>
        </w:rPr>
        <w:t xml:space="preserve">一、总则</w:t>
      </w:r>
      <w:bookmarkEnd w:id="50"/>
      <w:r/>
      <w:bookmarkEnd w:id="51"/>
      <w:r/>
      <w:bookmarkEnd w:id="52"/>
      <w:r/>
      <w:bookmarkEnd w:id="53"/>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54" w:name="_Hlt16619475"/>
      <w:r/>
      <w:bookmarkEnd w:id="54"/>
      <w:r/>
      <w:bookmarkStart w:id="55" w:name="_Toc20823276"/>
      <w:r/>
      <w:bookmarkStart w:id="56" w:name="_Toc16938520"/>
      <w:r/>
      <w:bookmarkStart w:id="57" w:name="_Toc513029204"/>
      <w:r>
        <w:rPr>
          <w:rFonts w:hint="eastAsia" w:ascii="宋体" w:hAnsi="宋体" w:eastAsia="宋体" w:cs="宋体"/>
          <w:bCs w:val="0"/>
          <w:highlight w:val="none"/>
        </w:rPr>
        <w:t xml:space="preserve">1.招标方式</w:t>
      </w:r>
      <w:bookmarkEnd w:id="55"/>
      <w:r/>
      <w:bookmarkEnd w:id="56"/>
      <w:r/>
      <w:bookmarkEnd w:id="57"/>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58" w:name="_Toc20823277"/>
      <w:r/>
      <w:bookmarkStart w:id="59" w:name="_Toc16938521"/>
      <w:r/>
      <w:bookmarkStart w:id="60" w:name="_Toc513029205"/>
      <w:r>
        <w:rPr>
          <w:rFonts w:hint="eastAsia" w:ascii="宋体" w:hAnsi="宋体" w:eastAsia="宋体" w:cs="宋体"/>
          <w:bCs w:val="0"/>
          <w:highlight w:val="none"/>
        </w:rPr>
        <w:t xml:space="preserve">2.</w:t>
      </w:r>
      <w:bookmarkEnd w:id="58"/>
      <w:r/>
      <w:bookmarkEnd w:id="59"/>
      <w:r/>
      <w:bookmarkEnd w:id="60"/>
      <w:r>
        <w:rPr>
          <w:rFonts w:hint="eastAsia" w:ascii="宋体" w:hAnsi="宋体" w:eastAsia="宋体" w:cs="宋体"/>
          <w:bCs w:val="0"/>
          <w:highlight w:val="none"/>
        </w:rPr>
        <w:t xml:space="preserve">采购人、采购代理机构、投标人、联合体</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61" w:name="_Toc20823278"/>
      <w:r/>
      <w:bookmarkStart w:id="62" w:name="_Toc513029206"/>
      <w:r/>
      <w:bookmarkStart w:id="63" w:name="_Toc16938522"/>
      <w:r>
        <w:rPr>
          <w:rFonts w:hint="eastAsia" w:ascii="宋体" w:hAnsi="宋体" w:eastAsia="宋体" w:cs="宋体"/>
          <w:bCs w:val="0"/>
          <w:highlight w:val="none"/>
        </w:rPr>
        <w:t xml:space="preserve">3.适用法律</w:t>
      </w:r>
      <w:bookmarkEnd w:id="61"/>
      <w:r/>
      <w:bookmarkEnd w:id="62"/>
      <w:r/>
      <w:bookmarkEnd w:id="63"/>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64" w:name="_Toc16938523"/>
      <w:r/>
      <w:bookmarkStart w:id="65" w:name="_Toc513029207"/>
      <w:r/>
      <w:bookmarkStart w:id="66" w:name="_Toc462564067"/>
      <w:r/>
      <w:bookmarkStart w:id="67" w:name="_Toc20823279"/>
      <w:r>
        <w:rPr>
          <w:rFonts w:hint="eastAsia" w:ascii="宋体" w:hAnsi="宋体" w:eastAsia="宋体" w:cs="宋体"/>
          <w:bCs w:val="0"/>
          <w:highlight w:val="none"/>
        </w:rPr>
        <w:t xml:space="preserve">4.投标费用</w:t>
      </w:r>
      <w:bookmarkEnd w:id="64"/>
      <w:r/>
      <w:bookmarkEnd w:id="65"/>
      <w:r/>
      <w:bookmarkEnd w:id="66"/>
      <w:r/>
      <w:bookmarkEnd w:id="67"/>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w:t>
      </w:r>
      <w:r>
        <w:rPr>
          <w:rFonts w:hint="eastAsia" w:ascii="宋体" w:hAnsi="宋体" w:cs="宋体"/>
          <w:sz w:val="24"/>
          <w:highlight w:val="none"/>
          <w:lang w:eastAsia="zh-CN"/>
        </w:rPr>
        <w:t xml:space="preserve">江苏筑祁园工程管理咨询有限公司</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以下简称代理机构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4.2本次招标标书工本费、中标服务费、招标文件均免费。</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rPr>
          <w:rFonts w:hint="eastAsia" w:ascii="宋体" w:hAnsi="宋体" w:eastAsia="宋体" w:cs="宋体"/>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68" w:name="_Toc120614215"/>
      <w:r/>
      <w:bookmarkStart w:id="69" w:name="_Toc513029209"/>
      <w:r/>
      <w:bookmarkStart w:id="70" w:name="_Toc20823281"/>
      <w:r/>
      <w:bookmarkStart w:id="71" w:name="_Toc16938525"/>
      <w:r>
        <w:rPr>
          <w:rFonts w:hint="eastAsia" w:ascii="宋体" w:hAnsi="宋体" w:eastAsia="宋体" w:cs="宋体"/>
          <w:sz w:val="30"/>
          <w:szCs w:val="30"/>
          <w:highlight w:val="none"/>
        </w:rPr>
        <w:t xml:space="preserve">二、招标文件</w:t>
      </w:r>
      <w:bookmarkEnd w:id="68"/>
      <w:r/>
      <w:bookmarkEnd w:id="69"/>
      <w:r/>
      <w:bookmarkEnd w:id="70"/>
      <w:r/>
      <w:bookmarkEnd w:id="71"/>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72" w:name="_Toc20823282"/>
      <w:r/>
      <w:bookmarkStart w:id="73" w:name="_Toc513029210"/>
      <w:r/>
      <w:bookmarkStart w:id="74" w:name="_Toc16938526"/>
      <w:r>
        <w:rPr>
          <w:rFonts w:hint="eastAsia" w:ascii="宋体" w:hAnsi="宋体" w:eastAsia="宋体" w:cs="宋体"/>
          <w:bCs w:val="0"/>
          <w:highlight w:val="none"/>
        </w:rPr>
        <w:t xml:space="preserve">6.招标文件构成</w:t>
      </w:r>
      <w:bookmarkEnd w:id="72"/>
      <w:r/>
      <w:bookmarkEnd w:id="73"/>
      <w:r/>
      <w:bookmarkEnd w:id="74"/>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联系解决。</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75" w:name="_Toc462564070"/>
      <w:r/>
      <w:bookmarkStart w:id="76" w:name="_Toc513029211"/>
      <w:r/>
      <w:bookmarkStart w:id="77" w:name="_Toc16938527"/>
      <w:r/>
      <w:bookmarkStart w:id="78" w:name="_Toc20823283"/>
      <w:r>
        <w:rPr>
          <w:rFonts w:hint="eastAsia" w:ascii="宋体" w:hAnsi="宋体" w:eastAsia="宋体" w:cs="宋体"/>
          <w:bCs w:val="0"/>
          <w:highlight w:val="none"/>
        </w:rPr>
        <w:t xml:space="preserve">7.招标文件的澄清</w:t>
      </w:r>
      <w:bookmarkEnd w:id="75"/>
      <w:r/>
      <w:bookmarkEnd w:id="76"/>
      <w:r/>
      <w:bookmarkEnd w:id="77"/>
      <w:r/>
      <w:bookmarkEnd w:id="78"/>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79" w:name="_Toc16938528"/>
      <w:r/>
      <w:bookmarkStart w:id="80" w:name="_Toc462564071"/>
      <w:r/>
      <w:bookmarkStart w:id="81" w:name="_Toc20823284"/>
      <w:r/>
      <w:bookmarkStart w:id="82" w:name="_Toc513029212"/>
      <w:r>
        <w:rPr>
          <w:rFonts w:hint="eastAsia" w:ascii="宋体" w:hAnsi="宋体" w:eastAsia="宋体" w:cs="宋体"/>
          <w:bCs w:val="0"/>
          <w:highlight w:val="none"/>
        </w:rPr>
        <w:t xml:space="preserve">8.招标文件的修改</w:t>
      </w:r>
      <w:bookmarkEnd w:id="79"/>
      <w:r/>
      <w:bookmarkEnd w:id="80"/>
      <w:r/>
      <w:bookmarkEnd w:id="81"/>
      <w:r/>
      <w:bookmarkEnd w:id="82"/>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eastAsia="宋体" w:cs="宋体"/>
          <w:sz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83" w:name="_Toc20823285"/>
      <w:r/>
      <w:bookmarkStart w:id="84" w:name="_Toc16938529"/>
      <w:r/>
      <w:bookmarkStart w:id="85" w:name="_Toc462564072"/>
      <w:r/>
      <w:bookmarkStart w:id="86" w:name="_Toc513029213"/>
      <w:r/>
      <w:bookmarkStart w:id="87" w:name="_Toc120614216"/>
      <w:r>
        <w:rPr>
          <w:rFonts w:hint="eastAsia" w:ascii="宋体" w:hAnsi="宋体" w:eastAsia="宋体" w:cs="宋体"/>
          <w:sz w:val="30"/>
          <w:szCs w:val="30"/>
          <w:highlight w:val="none"/>
        </w:rPr>
        <w:t xml:space="preserve">三、投标文件的编制</w:t>
      </w:r>
      <w:bookmarkEnd w:id="83"/>
      <w:r/>
      <w:bookmarkEnd w:id="84"/>
      <w:r/>
      <w:bookmarkEnd w:id="85"/>
      <w:r/>
      <w:bookmarkEnd w:id="86"/>
      <w:r/>
      <w:bookmarkEnd w:id="87"/>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88" w:name="_Toc513029214"/>
      <w:r/>
      <w:bookmarkStart w:id="89" w:name="_Toc20823286"/>
      <w:r/>
      <w:bookmarkStart w:id="90" w:name="_Toc462564073"/>
      <w:r/>
      <w:bookmarkStart w:id="91" w:name="_Toc16938530"/>
      <w:r>
        <w:rPr>
          <w:rFonts w:hint="eastAsia" w:ascii="宋体" w:hAnsi="宋体" w:eastAsia="宋体" w:cs="宋体"/>
          <w:bCs w:val="0"/>
          <w:highlight w:val="none"/>
        </w:rPr>
        <w:t xml:space="preserve">9.投标文件的语言及度量衡单位</w:t>
      </w:r>
      <w:bookmarkEnd w:id="88"/>
      <w:r/>
      <w:bookmarkEnd w:id="89"/>
      <w:r/>
      <w:bookmarkEnd w:id="90"/>
      <w:r/>
      <w:bookmarkEnd w:id="91"/>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92" w:name="_Toc462564074"/>
      <w:r/>
      <w:bookmarkStart w:id="93" w:name="_Toc16938531"/>
      <w:r/>
      <w:bookmarkStart w:id="94" w:name="_Toc513029215"/>
      <w:r/>
      <w:bookmarkStart w:id="95" w:name="_Toc20823287"/>
      <w:r>
        <w:rPr>
          <w:rFonts w:hint="eastAsia" w:ascii="宋体" w:hAnsi="宋体" w:eastAsia="宋体" w:cs="宋体"/>
          <w:bCs w:val="0"/>
          <w:highlight w:val="none"/>
        </w:rPr>
        <w:t xml:space="preserve">10.投标文件构成</w:t>
      </w:r>
      <w:bookmarkEnd w:id="92"/>
      <w:r/>
      <w:bookmarkEnd w:id="93"/>
      <w:r/>
      <w:bookmarkEnd w:id="94"/>
      <w:r/>
      <w:bookmarkEnd w:id="95"/>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10.2投标人所须提供的相关证明文件和要求以及投标文件的部分格式要求，详见第六章《投标文件内容与格式》。</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10.3如标书制作工具中格式和内容与招标文件不一致的，请以招标文件为准。</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96" w:name="_Hlt26670360"/>
      <w:r/>
      <w:bookmarkEnd w:id="96"/>
      <w:r/>
      <w:bookmarkStart w:id="97" w:name="_Hlt26954838"/>
      <w:r/>
      <w:bookmarkEnd w:id="97"/>
      <w:r/>
      <w:bookmarkStart w:id="98" w:name="_Hlt26668975"/>
      <w:r/>
      <w:bookmarkEnd w:id="98"/>
      <w:r/>
      <w:bookmarkStart w:id="99" w:name="_Toc14577357"/>
      <w:r/>
      <w:bookmarkStart w:id="100" w:name="_Toc513029219"/>
      <w:r/>
      <w:bookmarkStart w:id="101" w:name="_Toc49090509"/>
      <w:r/>
      <w:bookmarkStart w:id="102" w:name="_Toc14577354"/>
      <w:r/>
      <w:bookmarkStart w:id="103" w:name="_Toc49090507"/>
      <w:r/>
      <w:bookmarkStart w:id="104" w:name="_Toc513029216"/>
      <w:r>
        <w:rPr>
          <w:rFonts w:hint="eastAsia" w:ascii="宋体" w:hAnsi="宋体" w:eastAsia="宋体" w:cs="宋体"/>
          <w:bCs w:val="0"/>
          <w:highlight w:val="none"/>
        </w:rPr>
        <w:t xml:space="preserve">11.证明投标人及投标标的符合招标文件规定的文件</w:t>
      </w:r>
      <w:bookmarkEnd w:id="99"/>
      <w:r/>
      <w:bookmarkEnd w:id="100"/>
      <w:r/>
      <w:bookmarkEnd w:id="101"/>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bookmarkEnd w:id="102"/>
      <w:r/>
      <w:bookmarkEnd w:id="103"/>
      <w:r/>
      <w:bookmarkEnd w:id="104"/>
      <w:r/>
      <w:bookmarkStart w:id="105" w:name="_Toc14577355"/>
      <w:r/>
      <w:bookmarkStart w:id="106" w:name="_Toc49090508"/>
      <w:r>
        <w:rPr>
          <w:rFonts w:hint="eastAsia" w:ascii="宋体" w:hAnsi="宋体" w:eastAsia="宋体" w:cs="宋体"/>
          <w:bCs/>
          <w:sz w:val="24"/>
          <w:highlight w:val="none"/>
        </w:rPr>
        <w:t xml:space="preserve">11.1投标人应按照</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、规章和规范性文件以及招标文件要求提交证明文件，证明其及投标标的符合招标文</w:t>
      </w:r>
      <w:r>
        <w:rPr>
          <w:rFonts w:hint="eastAsia" w:ascii="宋体" w:hAnsi="宋体" w:eastAsia="宋体" w:cs="宋体"/>
          <w:bCs/>
          <w:sz w:val="24"/>
          <w:highlight w:val="none"/>
          <w:lang w:eastAsia="zh-CN"/>
        </w:rPr>
        <w:t xml:space="preserve">件的</w:t>
      </w:r>
      <w:r>
        <w:rPr>
          <w:rFonts w:hint="eastAsia" w:ascii="宋体" w:hAnsi="宋体" w:eastAsia="宋体" w:cs="宋体"/>
          <w:bCs/>
          <w:sz w:val="24"/>
          <w:highlight w:val="none"/>
        </w:rPr>
        <w:t xml:space="preserve">规定。</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07" w:name="_Toc14577359"/>
      <w:r/>
      <w:bookmarkStart w:id="108" w:name="_Toc49090510"/>
      <w:r>
        <w:rPr>
          <w:rFonts w:hint="eastAsia" w:ascii="宋体" w:hAnsi="宋体" w:eastAsia="宋体" w:cs="宋体"/>
          <w:bCs w:val="0"/>
          <w:highlight w:val="none"/>
        </w:rPr>
        <w:t xml:space="preserve">12.投标函、承诺书和开标一览表</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投标人应按照招标文件中提供的格式完整、正确填写投标函、承诺书和开标一览表。</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eastAsia="宋体" w:cs="宋体"/>
          <w:bCs/>
          <w:color w:val="e36c09"/>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End w:id="107"/>
      <w:r/>
      <w:bookmarkEnd w:id="108"/>
      <w:r>
        <w:rPr>
          <w:rFonts w:hint="eastAsia" w:ascii="宋体" w:hAnsi="宋体" w:eastAsia="宋体" w:cs="宋体"/>
          <w:bCs w:val="0"/>
          <w:highlight w:val="none"/>
        </w:rPr>
        <w:t xml:space="preserve">13.</w:t>
      </w:r>
      <w:bookmarkEnd w:id="105"/>
      <w:r/>
      <w:bookmarkEnd w:id="106"/>
      <w:r>
        <w:rPr>
          <w:rFonts w:hint="eastAsia" w:ascii="宋体" w:hAnsi="宋体" w:eastAsia="宋体" w:cs="宋体"/>
          <w:bCs w:val="0"/>
          <w:highlight w:val="none"/>
        </w:rPr>
        <w:t xml:space="preserve">分项报价表</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9" w:name="_Hlt26954840"/>
      <w:r/>
      <w:bookmarkEnd w:id="109"/>
      <w:r>
        <w:rPr>
          <w:rFonts w:hint="eastAsia" w:ascii="宋体" w:hAnsi="宋体" w:eastAsia="宋体" w:cs="宋体"/>
          <w:sz w:val="24"/>
          <w:highlight w:val="none"/>
        </w:rPr>
        <w:t xml:space="preserve">标人应按照招标文件规定格式填报</w:t>
      </w:r>
      <w:bookmarkStart w:id="110" w:name="_Hlt26670399"/>
      <w:r/>
      <w:bookmarkEnd w:id="110"/>
      <w:r>
        <w:rPr>
          <w:rFonts w:hint="eastAsia" w:ascii="宋体" w:hAnsi="宋体" w:eastAsia="宋体" w:cs="宋体"/>
          <w:sz w:val="24"/>
          <w:highlight w:val="none"/>
        </w:rPr>
        <w:t xml:space="preserve">分项报价表。</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rPr>
          <w:rFonts w:hint="eastAsia" w:ascii="宋体" w:hAnsi="宋体" w:eastAsia="宋体" w:cs="宋体"/>
          <w:bCs/>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11" w:name="_Hlt26668983"/>
      <w:r/>
      <w:bookmarkEnd w:id="111"/>
      <w:r/>
      <w:bookmarkStart w:id="112" w:name="_Hlt26954842"/>
      <w:r/>
      <w:bookmarkEnd w:id="112"/>
      <w:r/>
      <w:bookmarkStart w:id="113" w:name="_Hlt26954848"/>
      <w:r/>
      <w:bookmarkEnd w:id="113"/>
      <w:r/>
      <w:bookmarkStart w:id="114" w:name="_Hlt26670482"/>
      <w:r/>
      <w:bookmarkEnd w:id="114"/>
      <w:r/>
      <w:bookmarkStart w:id="115" w:name="_Hlt26670403"/>
      <w:r/>
      <w:bookmarkEnd w:id="115"/>
      <w:r/>
      <w:bookmarkStart w:id="116" w:name="_Hlt26954731"/>
      <w:r/>
      <w:bookmarkEnd w:id="116"/>
      <w:r/>
      <w:bookmarkStart w:id="117" w:name="_Hlt26670486"/>
      <w:r/>
      <w:bookmarkEnd w:id="117"/>
      <w:r/>
      <w:bookmarkStart w:id="118" w:name="_Hlt26670425"/>
      <w:r/>
      <w:bookmarkEnd w:id="118"/>
      <w:r/>
      <w:bookmarkStart w:id="119" w:name="_Hlt26954846"/>
      <w:r/>
      <w:bookmarkEnd w:id="119"/>
      <w:r/>
      <w:bookmarkStart w:id="120" w:name="_Hlt26954844"/>
      <w:r/>
      <w:bookmarkEnd w:id="120"/>
      <w:r>
        <w:rPr>
          <w:rFonts w:hint="eastAsia" w:ascii="宋体" w:hAnsi="宋体" w:eastAsia="宋体" w:cs="宋体"/>
          <w:bCs w:val="0"/>
          <w:highlight w:val="none"/>
        </w:rPr>
        <w:t xml:space="preserve">14.投标偏离表</w:t>
      </w:r>
      <w:r>
        <w:rPr>
          <w:rFonts w:hint="eastAsia" w:ascii="宋体" w:hAnsi="宋体" w:eastAsia="宋体" w:cs="宋体"/>
          <w:bCs w:val="0"/>
          <w:highlight w:val="none"/>
        </w:rPr>
      </w:r>
      <w:r/>
    </w:p>
    <w:p>
      <w:pPr>
        <w:pStyle w:val="778"/>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14</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投标人可在投标文件中提供认为需要的其他技术文件或说明。</w:t>
      </w:r>
      <w:r>
        <w:rPr>
          <w:rFonts w:hint="eastAsia" w:ascii="宋体" w:hAnsi="宋体" w:eastAsia="宋体" w:cs="宋体"/>
          <w:sz w:val="24"/>
          <w:highlight w:val="none"/>
          <w:lang w:val="zh-CN"/>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21" w:name="_Hlt26670489"/>
      <w:r/>
      <w:bookmarkEnd w:id="121"/>
      <w:r/>
      <w:bookmarkStart w:id="122" w:name="_Hlt26954734"/>
      <w:r/>
      <w:bookmarkEnd w:id="122"/>
      <w:r/>
      <w:bookmarkStart w:id="123" w:name="_Hlt26954850"/>
      <w:r/>
      <w:bookmarkEnd w:id="123"/>
      <w:r/>
      <w:bookmarkStart w:id="124" w:name="_Toc49090511"/>
      <w:r/>
      <w:bookmarkStart w:id="125" w:name="_Toc14577360"/>
      <w:r>
        <w:rPr>
          <w:rFonts w:hint="eastAsia" w:ascii="宋体" w:hAnsi="宋体" w:eastAsia="宋体" w:cs="宋体"/>
          <w:bCs w:val="0"/>
          <w:highlight w:val="none"/>
        </w:rPr>
        <w:t xml:space="preserve">15.投标有效期</w:t>
      </w:r>
      <w:bookmarkEnd w:id="124"/>
      <w:r/>
      <w:bookmarkEnd w:id="125"/>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投标有效期为招标文件规定的开标之日后</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rPr>
          <w:rFonts w:hint="eastAsia" w:ascii="宋体" w:hAnsi="宋体" w:eastAsia="宋体" w:cs="宋体"/>
          <w:bCs/>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126" w:name="_Hlt26954739"/>
      <w:r/>
      <w:bookmarkEnd w:id="126"/>
      <w:r/>
      <w:bookmarkStart w:id="127" w:name="_Hlt26954852"/>
      <w:r/>
      <w:bookmarkEnd w:id="127"/>
      <w:r/>
      <w:bookmarkStart w:id="128" w:name="_Toc20823296"/>
      <w:r/>
      <w:bookmarkStart w:id="129" w:name="_Toc16938540"/>
      <w:r/>
      <w:bookmarkStart w:id="130" w:name="_Toc513029224"/>
      <w:r/>
      <w:bookmarkStart w:id="131" w:name="_Toc120614217"/>
      <w:r>
        <w:rPr>
          <w:rFonts w:hint="eastAsia" w:ascii="宋体" w:hAnsi="宋体" w:eastAsia="宋体" w:cs="宋体"/>
          <w:sz w:val="30"/>
          <w:szCs w:val="30"/>
          <w:highlight w:val="none"/>
        </w:rPr>
        <w:t xml:space="preserve">四、投标文件的递交</w:t>
      </w:r>
      <w:bookmarkEnd w:id="128"/>
      <w:r/>
      <w:bookmarkEnd w:id="129"/>
      <w:r/>
      <w:bookmarkEnd w:id="130"/>
      <w:r/>
      <w:bookmarkEnd w:id="131"/>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32" w:name="_Toc513029225"/>
      <w:r/>
      <w:bookmarkStart w:id="133" w:name="_Toc462564084"/>
      <w:r/>
      <w:bookmarkStart w:id="134" w:name="_Toc20823297"/>
      <w:r/>
      <w:bookmarkStart w:id="135" w:name="_Toc16938541"/>
      <w:r>
        <w:rPr>
          <w:rFonts w:hint="eastAsia" w:ascii="宋体" w:hAnsi="宋体" w:eastAsia="宋体" w:cs="宋体"/>
          <w:bCs w:val="0"/>
          <w:highlight w:val="none"/>
        </w:rPr>
        <w:t xml:space="preserve">17.投标文件</w:t>
      </w:r>
      <w:bookmarkEnd w:id="132"/>
      <w:r/>
      <w:bookmarkEnd w:id="133"/>
      <w:r/>
      <w:bookmarkEnd w:id="134"/>
      <w:r/>
      <w:bookmarkEnd w:id="135"/>
      <w:r>
        <w:rPr>
          <w:rFonts w:hint="eastAsia" w:ascii="宋体" w:hAnsi="宋体" w:eastAsia="宋体" w:cs="宋体"/>
          <w:bCs w:val="0"/>
          <w:highlight w:val="none"/>
        </w:rPr>
        <w:t xml:space="preserve">的递交</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rPr>
          <w:rFonts w:hint="eastAsia" w:ascii="宋体" w:hAnsi="宋体" w:eastAsia="宋体" w:cs="宋体"/>
          <w:bCs/>
          <w:sz w:val="24"/>
          <w:highlight w:val="none"/>
        </w:rPr>
      </w:r>
      <w:r/>
    </w:p>
    <w:p>
      <w:pPr>
        <w:pStyle w:val="1083"/>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6" w:name="_Toc20823298"/>
      <w:r/>
      <w:bookmarkStart w:id="137" w:name="_Toc16938542"/>
      <w:r/>
      <w:bookmarkStart w:id="138" w:name="_Toc513029226"/>
      <w:r>
        <w:rPr>
          <w:rFonts w:hint="eastAsia" w:ascii="宋体" w:hAnsi="宋体" w:eastAsia="宋体" w:cs="宋体"/>
          <w:bCs/>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6"/>
      <w:r/>
      <w:bookmarkEnd w:id="137"/>
      <w:r/>
      <w:bookmarkEnd w:id="138"/>
      <w:r>
        <w:rPr>
          <w:rFonts w:hint="eastAsia" w:ascii="宋体" w:hAnsi="宋体" w:eastAsia="宋体" w:cs="宋体"/>
          <w:bCs w:val="0"/>
          <w:highlight w:val="none"/>
        </w:rPr>
        <w:t xml:space="preserve">时间</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eastAsia="宋体" w:cs="宋体"/>
          <w:bCs/>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39" w:name="_Toc20823299"/>
      <w:r/>
      <w:bookmarkStart w:id="140" w:name="_Toc513029227"/>
      <w:r/>
      <w:bookmarkStart w:id="141" w:name="_Toc16938543"/>
      <w:r>
        <w:rPr>
          <w:rFonts w:hint="eastAsia" w:ascii="宋体" w:hAnsi="宋体" w:eastAsia="宋体" w:cs="宋体"/>
          <w:bCs w:val="0"/>
          <w:highlight w:val="none"/>
        </w:rPr>
        <w:t xml:space="preserve">19.投标文件</w:t>
      </w:r>
      <w:bookmarkEnd w:id="139"/>
      <w:r/>
      <w:bookmarkEnd w:id="140"/>
      <w:r/>
      <w:bookmarkEnd w:id="141"/>
      <w:r>
        <w:rPr>
          <w:rFonts w:hint="eastAsia" w:ascii="宋体" w:hAnsi="宋体" w:eastAsia="宋体" w:cs="宋体"/>
          <w:bCs w:val="0"/>
          <w:highlight w:val="none"/>
        </w:rPr>
        <w:t xml:space="preserve">的拒收</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拒绝接收在其规定的投标截止时间后上传的任何投标文件。</w:t>
      </w:r>
      <w:r>
        <w:rPr>
          <w:rFonts w:hint="eastAsia" w:ascii="宋体" w:hAnsi="宋体" w:eastAsia="宋体" w:cs="宋体"/>
          <w:bCs/>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42" w:name="_Toc16938544"/>
      <w:r/>
      <w:bookmarkStart w:id="143" w:name="_Toc513029228"/>
      <w:r/>
      <w:bookmarkStart w:id="144" w:name="_Toc20823300"/>
      <w:r>
        <w:rPr>
          <w:rFonts w:hint="eastAsia" w:ascii="宋体" w:hAnsi="宋体" w:eastAsia="宋体" w:cs="宋体"/>
          <w:bCs w:val="0"/>
          <w:highlight w:val="none"/>
        </w:rPr>
        <w:t xml:space="preserve">20.投标文件的撤回和修改</w:t>
      </w:r>
      <w:bookmarkEnd w:id="142"/>
      <w:r/>
      <w:bookmarkEnd w:id="143"/>
      <w:r/>
      <w:bookmarkEnd w:id="144"/>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.1.1电子投标文件的撤回</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.1.2投标人撤回电子投标文件，则认为其不再参与本项目投标活动。</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在投标截止时间至招标文件中规定的投标有效期满之间的这段时间内，投标人不得撤回其投标。</w:t>
      </w:r>
      <w:r>
        <w:rPr>
          <w:rFonts w:hint="eastAsia" w:ascii="宋体" w:hAnsi="宋体" w:eastAsia="宋体" w:cs="宋体"/>
          <w:bCs/>
          <w:sz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145" w:name="_Toc120614218"/>
      <w:r/>
      <w:bookmarkStart w:id="146" w:name="_Toc513029229"/>
      <w:r/>
      <w:bookmarkStart w:id="147" w:name="_Toc20823301"/>
      <w:r/>
      <w:bookmarkStart w:id="148" w:name="_Toc16938545"/>
      <w:r>
        <w:rPr>
          <w:rFonts w:hint="eastAsia" w:ascii="宋体" w:hAnsi="宋体" w:eastAsia="宋体" w:cs="宋体"/>
          <w:sz w:val="30"/>
          <w:szCs w:val="30"/>
          <w:highlight w:val="none"/>
        </w:rPr>
        <w:t xml:space="preserve">五、开标与评标</w:t>
      </w:r>
      <w:bookmarkEnd w:id="145"/>
      <w:r/>
      <w:bookmarkEnd w:id="146"/>
      <w:r/>
      <w:bookmarkEnd w:id="147"/>
      <w:r/>
      <w:bookmarkEnd w:id="148"/>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49" w:name="_Toc20823302"/>
      <w:r/>
      <w:bookmarkStart w:id="150" w:name="_Toc16938546"/>
      <w:r/>
      <w:bookmarkStart w:id="151" w:name="_Toc513029230"/>
      <w:r>
        <w:rPr>
          <w:rFonts w:hint="eastAsia" w:ascii="宋体" w:hAnsi="宋体" w:eastAsia="宋体" w:cs="宋体"/>
          <w:bCs w:val="0"/>
          <w:highlight w:val="none"/>
        </w:rPr>
        <w:t xml:space="preserve">21.开标</w:t>
      </w:r>
      <w:bookmarkEnd w:id="149"/>
      <w:r/>
      <w:bookmarkEnd w:id="150"/>
      <w:r/>
      <w:bookmarkEnd w:id="151"/>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rPr>
          <w:rFonts w:hint="eastAsia" w:ascii="宋体" w:hAnsi="宋体" w:eastAsia="宋体" w:cs="宋体"/>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w:t>
      </w:r>
      <w:r>
        <w:rPr>
          <w:rFonts w:hint="eastAsia" w:ascii="宋体" w:hAnsi="宋体" w:eastAsia="宋体" w:cs="宋体"/>
          <w:sz w:val="24"/>
          <w:highlight w:val="none"/>
          <w:lang w:eastAsia="zh-CN"/>
        </w:rPr>
        <w:t xml:space="preserve">涉及的</w:t>
      </w:r>
      <w:r>
        <w:rPr>
          <w:rFonts w:hint="eastAsia" w:ascii="宋体" w:hAnsi="宋体" w:eastAsia="宋体" w:cs="宋体"/>
          <w:sz w:val="24"/>
          <w:highlight w:val="none"/>
        </w:rPr>
        <w:t xml:space="preserve">投标文件解密、开标结果确认等工作，应按照《操作手册》规定执行。</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21.4投标人如果对开标过程和开标记录有疑义，应当根据《操作手册》规定提出，如</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中《开标记录表》宣布后5分钟内未提出的，视同认可开标结果。</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52" w:name="_Toc16938547"/>
      <w:r/>
      <w:bookmarkStart w:id="153" w:name="_Toc20823303"/>
      <w:r/>
      <w:bookmarkStart w:id="154" w:name="_Toc513029231"/>
      <w:r>
        <w:rPr>
          <w:rFonts w:hint="eastAsia" w:ascii="宋体" w:hAnsi="宋体" w:eastAsia="宋体" w:cs="宋体"/>
          <w:bCs w:val="0"/>
          <w:highlight w:val="none"/>
        </w:rPr>
        <w:t xml:space="preserve">22.评标委员会</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rPr>
          <w:rFonts w:hint="eastAsia" w:ascii="宋体" w:hAnsi="宋体" w:eastAsia="宋体" w:cs="宋体"/>
          <w:b/>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bookmarkEnd w:id="152"/>
      <w:r/>
      <w:bookmarkEnd w:id="153"/>
      <w:r/>
      <w:bookmarkEnd w:id="154"/>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凡是与审查、澄清、评价和比较投标的有关资料以及</w:t>
      </w:r>
      <w:r>
        <w:rPr>
          <w:rFonts w:hint="eastAsia" w:ascii="宋体" w:hAnsi="宋体" w:eastAsia="宋体" w:cs="宋体"/>
          <w:bCs/>
          <w:sz w:val="24"/>
          <w:highlight w:val="none"/>
          <w:lang w:eastAsia="zh-CN"/>
        </w:rPr>
        <w:t xml:space="preserve">投标</w:t>
      </w:r>
      <w:r>
        <w:rPr>
          <w:rFonts w:hint="eastAsia" w:ascii="宋体" w:hAnsi="宋体" w:eastAsia="宋体" w:cs="宋体"/>
          <w:bCs/>
          <w:sz w:val="24"/>
          <w:highlight w:val="none"/>
        </w:rPr>
        <w:t xml:space="preserve">建议等，采购人、评委、</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均不得向投标人或与评标无关的其他人员透露。</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55" w:name="_Toc16938548"/>
      <w:r/>
      <w:bookmarkStart w:id="156" w:name="_Toc513029232"/>
      <w:r/>
      <w:bookmarkStart w:id="157" w:name="_Toc20823304"/>
      <w:r>
        <w:rPr>
          <w:rFonts w:hint="eastAsia" w:ascii="宋体" w:hAnsi="宋体" w:eastAsia="宋体" w:cs="宋体"/>
          <w:bCs w:val="0"/>
          <w:highlight w:val="none"/>
        </w:rPr>
        <w:t xml:space="preserve">24.投标文件的澄清</w:t>
      </w:r>
      <w:bookmarkEnd w:id="155"/>
      <w:r/>
      <w:bookmarkEnd w:id="156"/>
      <w:r/>
      <w:bookmarkEnd w:id="157"/>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58" w:name="_Toc20823305"/>
      <w:r/>
      <w:bookmarkStart w:id="159" w:name="_Toc16938549"/>
      <w:r/>
      <w:bookmarkStart w:id="160" w:name="_Toc513029233"/>
      <w:r>
        <w:rPr>
          <w:rFonts w:hint="eastAsia" w:ascii="宋体" w:hAnsi="宋体" w:eastAsia="宋体" w:cs="宋体"/>
          <w:bCs w:val="0"/>
          <w:highlight w:val="none"/>
        </w:rPr>
        <w:t xml:space="preserve">25.对投标文件的初审</w:t>
      </w:r>
      <w:bookmarkEnd w:id="158"/>
      <w:r/>
      <w:bookmarkEnd w:id="159"/>
      <w:r/>
      <w:bookmarkEnd w:id="160"/>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联合体成员存在不良信用记录的，视同联合体存在不良应用记录。</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rPr>
          <w:rFonts w:hint="eastAsia" w:ascii="宋体" w:hAnsi="宋体" w:eastAsia="宋体" w:cs="宋体"/>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rPr>
          <w:rFonts w:hint="eastAsia" w:ascii="宋体" w:hAnsi="宋体" w:eastAsia="宋体" w:cs="宋体"/>
          <w:bCs/>
          <w:sz w:val="24"/>
          <w:highlight w:val="none"/>
        </w:rPr>
      </w:r>
      <w:r/>
    </w:p>
    <w:p>
      <w:pPr>
        <w:pStyle w:val="778"/>
        <w:ind w:firstLine="420"/>
        <w:spacing w:line="500" w:lineRule="exact"/>
        <w:rPr>
          <w:rFonts w:hint="eastAsia" w:ascii="宋体" w:hAnsi="宋体" w:eastAsia="宋体" w:cs="宋体"/>
          <w:sz w:val="24"/>
          <w:highlight w:val="none"/>
        </w:rPr>
      </w:pPr>
      <w:r/>
      <w:bookmarkStart w:id="161" w:name="_Toc20823306"/>
      <w:r/>
      <w:bookmarkStart w:id="162" w:name="_Toc513029234"/>
      <w:r/>
      <w:bookmarkStart w:id="163" w:name="_Toc16938550"/>
      <w:r>
        <w:rPr>
          <w:rFonts w:hint="eastAsia" w:ascii="宋体" w:hAnsi="宋体" w:eastAsia="宋体" w:cs="宋体"/>
          <w:sz w:val="24"/>
          <w:highlight w:val="none"/>
        </w:rPr>
        <w:t xml:space="preserve">25.6投标人在开、评标全过程中应</w:t>
      </w:r>
      <w:r>
        <w:rPr>
          <w:rFonts w:hint="eastAsia" w:ascii="宋体" w:hAnsi="宋体" w:eastAsia="宋体" w:cs="宋体"/>
          <w:sz w:val="24"/>
          <w:highlight w:val="none"/>
          <w:lang w:eastAsia="zh-CN"/>
        </w:rPr>
        <w:t xml:space="preserve">保持通信畅通</w:t>
      </w:r>
      <w:r>
        <w:rPr>
          <w:rFonts w:hint="eastAsia" w:ascii="宋体" w:hAnsi="宋体" w:eastAsia="宋体" w:cs="宋体"/>
          <w:sz w:val="24"/>
          <w:highlight w:val="none"/>
        </w:rPr>
        <w:t xml:space="preserve">，及时登录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rPr>
          <w:rFonts w:hint="eastAsia" w:ascii="宋体" w:hAnsi="宋体" w:eastAsia="宋体" w:cs="宋体"/>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Times New Roman"/>
          <w:color w:val="000000"/>
          <w:sz w:val="24"/>
          <w:highlight w:val="none"/>
        </w:rPr>
      </w:r>
      <w:r/>
    </w:p>
    <w:p>
      <w:pPr>
        <w:pStyle w:val="778"/>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Times New Roman"/>
          <w:color w:val="000000"/>
          <w:sz w:val="24"/>
          <w:highlight w:val="none"/>
        </w:rPr>
      </w:r>
      <w:r/>
    </w:p>
    <w:p>
      <w:pPr>
        <w:pStyle w:val="778"/>
        <w:ind w:firstLine="420"/>
        <w:spacing w:line="500" w:lineRule="exact"/>
        <w:rPr>
          <w:rFonts w:hint="eastAsia" w:ascii="宋体" w:hAnsi="宋体" w:eastAsia="宋体" w:cs="宋体"/>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宋体"/>
          <w:sz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61"/>
      <w:r/>
      <w:bookmarkEnd w:id="162"/>
      <w:r/>
      <w:bookmarkEnd w:id="163"/>
      <w:r>
        <w:rPr>
          <w:rFonts w:hint="eastAsia" w:ascii="宋体" w:hAnsi="宋体" w:eastAsia="宋体" w:cs="宋体"/>
          <w:bCs w:val="0"/>
          <w:highlight w:val="none"/>
        </w:rPr>
        <w:t xml:space="preserve">.无效投标条款和废标条款</w:t>
      </w:r>
      <w:r>
        <w:rPr>
          <w:rFonts w:hint="eastAsia" w:ascii="宋体" w:hAnsi="宋体" w:eastAsia="宋体" w:cs="宋体"/>
          <w:bCs w:val="0"/>
          <w:highlight w:val="none"/>
        </w:rPr>
      </w:r>
      <w:r/>
    </w:p>
    <w:p>
      <w:pPr>
        <w:pStyle w:val="778"/>
        <w:ind w:left="479"/>
        <w:spacing w:line="500" w:lineRule="exact"/>
        <w:rPr>
          <w:rFonts w:hint="eastAsia" w:ascii="宋体" w:hAnsi="宋体" w:eastAsia="宋体" w:cs="宋体"/>
          <w:bCs/>
          <w:sz w:val="24"/>
          <w:highlight w:val="none"/>
        </w:rPr>
      </w:pPr>
      <w:r/>
      <w:bookmarkStart w:id="164" w:name="_Toc513029235"/>
      <w:r/>
      <w:bookmarkStart w:id="165" w:name="_Toc20823307"/>
      <w:r/>
      <w:bookmarkStart w:id="166" w:name="_Toc16938551"/>
      <w:r>
        <w:rPr>
          <w:rFonts w:hint="eastAsia" w:ascii="宋体" w:hAnsi="宋体" w:eastAsia="宋体" w:cs="宋体"/>
          <w:bCs/>
          <w:sz w:val="24"/>
          <w:highlight w:val="none"/>
        </w:rPr>
        <w:t xml:space="preserve">26.1无效投标条款</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eastAsia="宋体" w:cs="宋体"/>
          <w:bCs/>
          <w:sz w:val="24"/>
          <w:szCs w:val="24"/>
          <w:highlight w:val="none"/>
        </w:rPr>
        <w:t xml:space="preserve">电子投标文件未按规定期限投标的，纸质投标文件（如有）未按规定的期限、地点送达的。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项目（标项、标段、分包）投标总价超过本项目（标项、标段、分包）预算或最高限价的。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shd w:val="clear" w:color="ffffff" w:fill="d9d9d9"/>
        </w:rPr>
      </w:pPr>
      <w:r>
        <w:rPr>
          <w:rFonts w:hint="eastAsia" w:ascii="宋体" w:hAnsi="宋体" w:eastAsia="宋体" w:cs="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eastAsia="宋体" w:cs="宋体"/>
          <w:bCs/>
          <w:sz w:val="24"/>
          <w:highlight w:val="none"/>
          <w:shd w:val="clear" w:color="ffffff" w:fill="d9d9d9"/>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rPr>
          <w:rFonts w:hint="eastAsia" w:ascii="宋体" w:hAnsi="宋体" w:eastAsia="宋体" w:cs="宋体"/>
          <w:bCs/>
          <w:sz w:val="24"/>
          <w:highlight w:val="none"/>
        </w:rPr>
      </w:r>
      <w:r/>
    </w:p>
    <w:p>
      <w:pPr>
        <w:pStyle w:val="778"/>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rPr>
          <w:rFonts w:hint="eastAsia" w:ascii="宋体" w:hAnsi="宋体"/>
          <w:bCs/>
          <w:color w:val="000000"/>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实质响应的供应商不足三家的。26.2.2出现影响采购公正的违法、违规行为的。</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rPr>
          <w:rFonts w:hint="eastAsia" w:ascii="宋体" w:hAnsi="宋体" w:eastAsia="宋体" w:cs="宋体"/>
          <w:bCs/>
          <w:sz w:val="24"/>
          <w:highlight w:val="none"/>
        </w:rPr>
      </w:r>
      <w:r/>
    </w:p>
    <w:p>
      <w:pPr>
        <w:pStyle w:val="778"/>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sz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167" w:name="_Toc120614219"/>
      <w:r>
        <w:rPr>
          <w:rFonts w:hint="eastAsia" w:ascii="宋体" w:hAnsi="宋体" w:eastAsia="宋体" w:cs="宋体"/>
          <w:sz w:val="30"/>
          <w:szCs w:val="30"/>
          <w:highlight w:val="none"/>
        </w:rPr>
        <w:t xml:space="preserve">六、</w:t>
      </w:r>
      <w:bookmarkEnd w:id="164"/>
      <w:r/>
      <w:bookmarkEnd w:id="165"/>
      <w:r/>
      <w:bookmarkEnd w:id="166"/>
      <w:r>
        <w:rPr>
          <w:rFonts w:hint="eastAsia" w:ascii="宋体" w:hAnsi="宋体" w:eastAsia="宋体" w:cs="宋体"/>
          <w:sz w:val="30"/>
          <w:szCs w:val="30"/>
          <w:highlight w:val="none"/>
        </w:rPr>
        <w:t xml:space="preserve">定标</w:t>
      </w:r>
      <w:bookmarkEnd w:id="167"/>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Start w:id="168" w:name="_Toc513029238"/>
      <w:r/>
      <w:bookmarkStart w:id="169" w:name="_Toc20823310"/>
      <w:r/>
      <w:bookmarkStart w:id="170" w:name="_Toc16938554"/>
      <w:r>
        <w:rPr>
          <w:rFonts w:hint="eastAsia" w:ascii="宋体" w:hAnsi="宋体" w:eastAsia="宋体" w:cs="宋体"/>
          <w:bCs w:val="0"/>
          <w:highlight w:val="none"/>
        </w:rPr>
        <w:t xml:space="preserve">27、</w:t>
      </w:r>
      <w:bookmarkEnd w:id="168"/>
      <w:r>
        <w:rPr>
          <w:rFonts w:hint="eastAsia" w:ascii="宋体" w:hAnsi="宋体" w:eastAsia="宋体" w:cs="宋体"/>
          <w:bCs w:val="0"/>
          <w:highlight w:val="none"/>
        </w:rPr>
        <w:t xml:space="preserve">确定</w:t>
      </w:r>
      <w:bookmarkEnd w:id="169"/>
      <w:r/>
      <w:bookmarkEnd w:id="170"/>
      <w:r>
        <w:rPr>
          <w:rFonts w:hint="eastAsia" w:ascii="宋体" w:hAnsi="宋体" w:eastAsia="宋体" w:cs="宋体"/>
          <w:bCs w:val="0"/>
          <w:highlight w:val="none"/>
        </w:rPr>
        <w:t xml:space="preserve">中标单位</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27.2采购人应根据评委会推荐的中标候选人确定中标人。联合体中标的，联合体各方应当共同与采购人签订合同，就中标项目向采购人承担连带责任。</w:t>
      </w:r>
      <w:r>
        <w:rPr>
          <w:rFonts w:hint="eastAsia" w:ascii="宋体" w:hAnsi="宋体" w:eastAsia="宋体" w:cs="宋体"/>
          <w:bCs/>
          <w:sz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将在“无锡政府采购网”“江苏政府采购网”发布中标公告，公告期限为1个工作日。</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bookmarkStart w:id="171"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71"/>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负责答复。</w:t>
      </w:r>
      <w:r>
        <w:rPr>
          <w:rFonts w:hint="eastAsia" w:ascii="宋体" w:hAnsi="宋体" w:eastAsia="宋体" w:cs="宋体"/>
          <w:sz w:val="24"/>
          <w:szCs w:val="24"/>
          <w:highlight w:val="none"/>
          <w:shd w:val="clear" w:color="ffffff" w:fill="d9d9d9"/>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不接受未填写快递运单的快件）。</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联系人、联系方式、通信地址见招标文件第一章。</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778"/>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835"/>
        <w:ind w:firstLine="452"/>
        <w:keepLines w:val="0"/>
        <w:keepNext w:val="0"/>
        <w:spacing w:before="0" w:after="0" w:line="500" w:lineRule="exact"/>
        <w:rPr>
          <w:rFonts w:hint="eastAsia" w:ascii="宋体" w:hAnsi="宋体" w:eastAsia="宋体" w:cs="宋体"/>
          <w:sz w:val="30"/>
          <w:szCs w:val="30"/>
          <w:highlight w:val="none"/>
        </w:rPr>
      </w:pPr>
      <w:r/>
      <w:bookmarkStart w:id="172" w:name="_Toc120614220"/>
      <w:r/>
      <w:bookmarkStart w:id="173" w:name="_Toc16938552"/>
      <w:r/>
      <w:bookmarkStart w:id="174" w:name="_Toc20823308"/>
      <w:r/>
      <w:bookmarkStart w:id="175" w:name="_Toc513029236"/>
      <w:r>
        <w:rPr>
          <w:rFonts w:hint="eastAsia" w:ascii="宋体" w:hAnsi="宋体" w:eastAsia="宋体" w:cs="宋体"/>
          <w:sz w:val="30"/>
          <w:szCs w:val="30"/>
          <w:highlight w:val="none"/>
        </w:rPr>
        <w:t xml:space="preserve">七、授予合同</w:t>
      </w:r>
      <w:bookmarkEnd w:id="172"/>
      <w:r>
        <w:rPr>
          <w:rFonts w:hint="eastAsia" w:ascii="宋体" w:hAnsi="宋体" w:eastAsia="宋体" w:cs="宋体"/>
          <w:sz w:val="30"/>
          <w:szCs w:val="30"/>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bookmarkEnd w:id="173"/>
      <w:r/>
      <w:bookmarkEnd w:id="174"/>
      <w:r/>
      <w:bookmarkEnd w:id="175"/>
      <w:r/>
      <w:bookmarkStart w:id="176" w:name="_Toc16938553"/>
      <w:r/>
      <w:bookmarkStart w:id="177" w:name="_Toc513029237"/>
      <w:r/>
      <w:bookmarkStart w:id="178" w:name="_Toc20823309"/>
      <w:r>
        <w:rPr>
          <w:rFonts w:hint="eastAsia" w:ascii="宋体" w:hAnsi="宋体" w:eastAsia="宋体" w:cs="宋体"/>
          <w:bCs w:val="0"/>
          <w:highlight w:val="none"/>
        </w:rPr>
        <w:t xml:space="preserve">30.签订合同</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rPr>
          <w:rFonts w:hint="eastAsia" w:ascii="宋体" w:hAnsi="宋体" w:eastAsia="宋体" w:cs="宋体"/>
          <w:sz w:val="24"/>
          <w:szCs w:val="24"/>
          <w:highlight w:val="none"/>
        </w:rPr>
      </w:r>
      <w:r/>
    </w:p>
    <w:p>
      <w:pPr>
        <w:pStyle w:val="778"/>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Cs/>
          <w:sz w:val="24"/>
          <w:szCs w:val="24"/>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sz w:val="24"/>
          <w:szCs w:val="24"/>
          <w:highlight w:val="none"/>
        </w:rPr>
      </w:r>
      <w:r/>
    </w:p>
    <w:p>
      <w:pPr>
        <w:pStyle w:val="9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31.服务（包含与服务相关的货物）的追加</w:t>
      </w:r>
      <w:r>
        <w:rPr>
          <w:rFonts w:hint="eastAsia" w:ascii="宋体" w:hAnsi="宋体" w:eastAsia="宋体" w:cs="宋体"/>
          <w:bCs w:val="0"/>
          <w:highlight w:val="none"/>
        </w:rPr>
      </w:r>
      <w:r/>
    </w:p>
    <w:p>
      <w:pPr>
        <w:pStyle w:val="778"/>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p>
      <w:pPr>
        <w:pStyle w:val="1174"/>
        <w:ind w:firstLine="422"/>
        <w:keepLines w:val="0"/>
        <w:keepNext w:val="0"/>
        <w:spacing w:before="0" w:after="0" w:line="500" w:lineRule="exact"/>
        <w:rPr>
          <w:rFonts w:hint="eastAsia" w:ascii="宋体" w:hAnsi="宋体" w:eastAsia="宋体" w:cs="宋体"/>
          <w:bCs w:val="0"/>
          <w:highlight w:val="none"/>
          <w:lang w:val="en-US" w:eastAsia="zh-CN"/>
        </w:rPr>
      </w:pPr>
      <w:r>
        <w:rPr>
          <w:rFonts w:hint="eastAsia" w:ascii="宋体" w:hAnsi="宋体" w:eastAsia="宋体" w:cs="宋体"/>
          <w:bCs w:val="0"/>
          <w:highlight w:val="none"/>
          <w:lang w:val="en-US" w:eastAsia="zh-CN"/>
        </w:rPr>
        <w:t xml:space="preserve">八、代理服务费</w:t>
      </w:r>
      <w:r>
        <w:rPr>
          <w:rFonts w:hint="eastAsia" w:ascii="宋体" w:hAnsi="宋体" w:eastAsia="宋体" w:cs="宋体"/>
          <w:bCs w:val="0"/>
          <w:highlight w:val="none"/>
          <w:lang w:val="en-US" w:eastAsia="zh-CN"/>
        </w:rPr>
      </w:r>
      <w:r/>
    </w:p>
    <w:p>
      <w:pPr>
        <w:pStyle w:val="778"/>
        <w:ind w:firstLine="480"/>
        <w:spacing w:line="500" w:lineRule="exact"/>
        <w:rPr>
          <w:rFonts w:ascii="宋体" w:hAnsi="宋体" w:eastAsia="宋体" w:cs="宋体"/>
          <w:sz w:val="24"/>
          <w:szCs w:val="24"/>
          <w:highlight w:val="none"/>
          <w:lang w:val="en-US"/>
        </w:rPr>
      </w:pPr>
      <w:r>
        <w:rPr>
          <w:rFonts w:hint="eastAsia" w:ascii="宋体" w:hAnsi="宋体" w:eastAsia="宋体" w:cs="宋体"/>
          <w:sz w:val="24"/>
          <w:szCs w:val="24"/>
          <w:highlight w:val="none"/>
          <w:lang w:val="en-US" w:eastAsia="zh-CN" w:bidi="ar-SA"/>
        </w:rPr>
        <w:t xml:space="preserve">32.本项目采购代理服务费</w:t>
      </w:r>
      <w:r>
        <w:rPr>
          <w:rFonts w:hint="eastAsia" w:ascii="宋体" w:hAnsi="宋体" w:cs="宋体"/>
          <w:sz w:val="24"/>
          <w:szCs w:val="24"/>
          <w:highlight w:val="none"/>
          <w:lang w:val="en-US" w:eastAsia="zh-CN" w:bidi="ar-SA"/>
        </w:rPr>
        <w:t xml:space="preserve">、评委费</w:t>
      </w:r>
      <w:r>
        <w:rPr>
          <w:rFonts w:hint="eastAsia" w:ascii="宋体" w:hAnsi="宋体" w:eastAsia="宋体" w:cs="宋体"/>
          <w:sz w:val="24"/>
          <w:szCs w:val="24"/>
          <w:highlight w:val="none"/>
          <w:lang w:val="en-US" w:eastAsia="zh-CN" w:bidi="ar-SA"/>
        </w:rPr>
        <w:t xml:space="preserve">由招标人支付，采购代理费按差额定率累进法，收费标准为：中标金额100万以下费率为中标金额的1.50%，100万-500万费率为中标金额的0.8%，按差额定率累进法计算。</w:t>
      </w:r>
      <w:r>
        <w:rPr>
          <w:rFonts w:hint="eastAsia" w:ascii="宋体" w:hAnsi="宋体" w:eastAsia="宋体" w:cs="Times New Roman"/>
          <w:color w:val="000000"/>
          <w:sz w:val="24"/>
          <w:szCs w:val="24"/>
          <w:highlight w:val="none"/>
          <w:lang w:val="en-US" w:eastAsia="zh-CN"/>
        </w:rPr>
        <w:t xml:space="preserve">在此基础上打6折计取</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以上金额为含税价。</w:t>
      </w:r>
      <w:r>
        <w:rPr>
          <w:rFonts w:ascii="宋体" w:hAnsi="宋体" w:eastAsia="宋体" w:cs="宋体"/>
          <w:sz w:val="24"/>
          <w:szCs w:val="24"/>
          <w:highlight w:val="none"/>
          <w:lang w:val="en-US"/>
        </w:rPr>
      </w:r>
      <w:r/>
    </w:p>
    <w:p>
      <w:pPr>
        <w:pStyle w:val="836"/>
        <w:jc w:val="center"/>
        <w:spacing w:line="500" w:lineRule="exact"/>
        <w:rPr>
          <w:rFonts w:hint="eastAsia" w:ascii="宋体" w:hAnsi="宋体" w:eastAsia="宋体" w:cs="宋体"/>
          <w:bCs/>
          <w:sz w:val="36"/>
          <w:szCs w:val="36"/>
          <w:highlight w:val="none"/>
        </w:rPr>
        <w:outlineLvl w:val="0"/>
      </w:pPr>
      <w:r/>
      <w:bookmarkEnd w:id="176"/>
      <w:r/>
      <w:bookmarkEnd w:id="177"/>
      <w:r/>
      <w:bookmarkEnd w:id="178"/>
      <w:r/>
      <w:bookmarkStart w:id="179" w:name="_Toc20823314"/>
      <w:r/>
      <w:bookmarkStart w:id="180" w:name="_Toc16938558"/>
      <w:r/>
      <w:bookmarkStart w:id="181" w:name="_Toc479757207"/>
      <w:r/>
      <w:bookmarkStart w:id="182" w:name="_Toc120614221"/>
      <w:r/>
      <w:bookmarkStart w:id="183" w:name="_Toc513029242"/>
      <w:r>
        <w:rPr>
          <w:rFonts w:hint="eastAsia" w:ascii="宋体" w:hAnsi="宋体" w:eastAsia="宋体" w:cs="宋体"/>
          <w:bCs/>
          <w:sz w:val="24"/>
          <w:highlight w:val="none"/>
          <w:shd w:val="clear" w:color="ffffff" w:fill="d9d9d9"/>
        </w:rPr>
        <w:br w:type="page" w:clear="all"/>
      </w:r>
      <w:bookmarkStart w:id="184" w:name="_Toc29592"/>
      <w:r>
        <w:rPr>
          <w:rFonts w:hint="eastAsia" w:ascii="宋体" w:hAnsi="宋体" w:eastAsia="宋体" w:cs="宋体"/>
          <w:bCs/>
          <w:sz w:val="36"/>
          <w:szCs w:val="36"/>
          <w:highlight w:val="none"/>
        </w:rPr>
        <w:t xml:space="preserve">第三章  合同</w:t>
      </w:r>
      <w:bookmarkEnd w:id="179"/>
      <w:r/>
      <w:bookmarkEnd w:id="180"/>
      <w:r/>
      <w:bookmarkEnd w:id="181"/>
      <w:r/>
      <w:bookmarkEnd w:id="182"/>
      <w:r/>
      <w:bookmarkEnd w:id="183"/>
      <w:r>
        <w:rPr>
          <w:rFonts w:hint="eastAsia" w:ascii="宋体" w:hAnsi="宋体" w:eastAsia="宋体" w:cs="宋体"/>
          <w:bCs/>
          <w:sz w:val="36"/>
          <w:szCs w:val="36"/>
          <w:highlight w:val="none"/>
        </w:rPr>
        <w:t xml:space="preserve">文本</w:t>
      </w:r>
      <w:bookmarkEnd w:id="184"/>
      <w:r>
        <w:rPr>
          <w:rFonts w:hint="eastAsia" w:ascii="宋体" w:hAnsi="宋体" w:eastAsia="宋体" w:cs="宋体"/>
          <w:bCs/>
          <w:sz w:val="36"/>
          <w:szCs w:val="36"/>
          <w:highlight w:val="none"/>
        </w:rPr>
      </w:r>
      <w:r/>
    </w:p>
    <w:p>
      <w:pPr>
        <w:pStyle w:val="778"/>
        <w:jc w:val="both"/>
        <w:spacing w:line="400" w:lineRule="exact"/>
        <w:rPr>
          <w:rFonts w:hint="eastAsia" w:ascii="宋体" w:hAnsi="宋体" w:eastAsia="宋体" w:cs="宋体"/>
          <w:bCs/>
          <w:sz w:val="24"/>
          <w:szCs w:val="24"/>
          <w:highlight w:val="none"/>
        </w:rPr>
        <w:outlineLvl w:val="9"/>
      </w:pPr>
      <w:r/>
      <w:bookmarkStart w:id="185" w:name="_Toc20823315"/>
      <w:r/>
      <w:bookmarkStart w:id="186" w:name="_Toc513029243"/>
      <w:r/>
      <w:bookmarkStart w:id="187" w:name="_Toc16938559"/>
      <w:r>
        <w:rPr>
          <w:rFonts w:hint="eastAsia" w:ascii="宋体" w:hAnsi="宋体" w:eastAsia="宋体" w:cs="宋体"/>
          <w:bCs/>
          <w:sz w:val="24"/>
          <w:szCs w:val="24"/>
          <w:highlight w:val="none"/>
        </w:rPr>
      </w:r>
      <w:r/>
    </w:p>
    <w:p>
      <w:pPr>
        <w:pStyle w:val="778"/>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以下为中标后签定本项目合同的通用条款，中标人不得提出实质性的修改。</w:t>
      </w:r>
      <w:r>
        <w:rPr>
          <w:rFonts w:ascii="宋体" w:hAnsi="宋体"/>
          <w:bCs/>
          <w:color w:val="000000"/>
          <w:sz w:val="24"/>
          <w:highlight w:val="none"/>
        </w:rPr>
      </w:r>
      <w:r/>
    </w:p>
    <w:p>
      <w:pPr>
        <w:pStyle w:val="778"/>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需方（招标人）：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778"/>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住所：</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778"/>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供方（中标方）：</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778"/>
        <w:spacing w:line="44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住所：</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采购项目编号：</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采购内容：</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数量：</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中标总金额：（大写）</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；（小写）</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质量要求及验收标准：</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lang w:val="en-US" w:eastAsia="zh-CN"/>
        </w:rPr>
        <w:t xml:space="preserve">养护服务</w:t>
      </w:r>
      <w:r>
        <w:rPr>
          <w:rFonts w:hint="eastAsia" w:ascii="宋体" w:hAnsi="宋体"/>
          <w:bCs/>
          <w:color w:val="000000"/>
          <w:sz w:val="24"/>
          <w:szCs w:val="24"/>
          <w:highlight w:val="none"/>
        </w:rPr>
        <w:t xml:space="preserve">期：</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lang w:val="en-US" w:eastAsia="zh-CN"/>
        </w:rPr>
        <w:t xml:space="preserve">服务</w:t>
      </w:r>
      <w:r>
        <w:rPr>
          <w:rFonts w:hint="eastAsia" w:ascii="宋体" w:hAnsi="宋体"/>
          <w:bCs/>
          <w:color w:val="000000"/>
          <w:sz w:val="24"/>
          <w:szCs w:val="24"/>
          <w:highlight w:val="none"/>
        </w:rPr>
        <w:t xml:space="preserve">地点和方式：</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货款支付步骤和办法：</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售后服务：</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违约责任：</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color w:val="000000"/>
          <w:sz w:val="24"/>
          <w:szCs w:val="24"/>
          <w:highlight w:val="none"/>
        </w:rPr>
        <w:t xml:space="preserve">解决争议的方式：</w:t>
      </w:r>
      <w:r>
        <w:rPr>
          <w:rFonts w:ascii="宋体" w:hAnsi="宋体"/>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其它事项：</w:t>
      </w:r>
      <w:r>
        <w:rPr>
          <w:rFonts w:ascii="宋体" w:hAnsi="宋体"/>
          <w:bCs/>
          <w:color w:val="000000"/>
          <w:sz w:val="24"/>
          <w:szCs w:val="24"/>
          <w:highlight w:val="none"/>
          <w:u w:val="single"/>
        </w:rPr>
        <w:t xml:space="preserve">                                                             </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合同不可分割部分：</w:t>
      </w:r>
      <w:r>
        <w:rPr>
          <w:rFonts w:ascii="宋体"/>
          <w:bCs/>
          <w:color w:val="000000"/>
          <w:sz w:val="24"/>
          <w:szCs w:val="24"/>
          <w:highlight w:val="none"/>
        </w:rPr>
      </w:r>
      <w:r/>
    </w:p>
    <w:p>
      <w:pPr>
        <w:pStyle w:val="778"/>
        <w:ind w:firstLine="480"/>
        <w:spacing w:line="440" w:lineRule="exact"/>
        <w:tabs>
          <w:tab w:val="left" w:pos="210" w:leader="none"/>
          <w:tab w:val="left" w:pos="42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lang w:val="en-US" w:eastAsia="zh-CN"/>
        </w:rPr>
        <w:t xml:space="preserve">招标</w:t>
      </w:r>
      <w:r>
        <w:rPr>
          <w:rFonts w:hint="eastAsia" w:ascii="宋体" w:hAnsi="宋体"/>
          <w:bCs/>
          <w:color w:val="000000"/>
          <w:sz w:val="24"/>
          <w:szCs w:val="24"/>
          <w:highlight w:val="none"/>
          <w:lang w:eastAsia="zh-CN"/>
        </w:rPr>
        <w:t xml:space="preserve">文件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投标</w:t>
      </w:r>
      <w:r>
        <w:rPr>
          <w:rFonts w:hint="eastAsia" w:ascii="宋体" w:hAnsi="宋体"/>
          <w:bCs/>
          <w:color w:val="000000"/>
          <w:sz w:val="24"/>
          <w:szCs w:val="24"/>
          <w:highlight w:val="none"/>
          <w:lang w:eastAsia="zh-CN"/>
        </w:rPr>
        <w:t xml:space="preserve">文件</w:t>
      </w:r>
      <w:r>
        <w:rPr>
          <w:rFonts w:hint="eastAsia" w:ascii="宋体" w:hAnsi="宋体"/>
          <w:bCs/>
          <w:color w:val="000000"/>
          <w:sz w:val="24"/>
          <w:szCs w:val="24"/>
          <w:highlight w:val="none"/>
        </w:rPr>
        <w:t xml:space="preserve">、合同条款及中标通知书，供方在投标、评标过程中所作其它有关承诺、声明、书面澄清等均为合同不可分割的部分，与主合同具有同等法律效力。</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合同备案：</w:t>
      </w:r>
      <w:r>
        <w:rPr>
          <w:rFonts w:ascii="宋体"/>
          <w:bCs/>
          <w:color w:val="000000"/>
          <w:sz w:val="24"/>
          <w:szCs w:val="24"/>
          <w:highlight w:val="none"/>
        </w:rPr>
      </w:r>
      <w:r/>
    </w:p>
    <w:p>
      <w:pPr>
        <w:pStyle w:val="778"/>
        <w:ind w:firstLine="480"/>
        <w:spacing w:line="440" w:lineRule="exact"/>
        <w:tabs>
          <w:tab w:val="left" w:pos="210" w:leader="none"/>
          <w:tab w:val="left" w:pos="73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合同一式</w:t>
      </w:r>
      <w:r>
        <w:rPr>
          <w:rFonts w:hint="eastAsia" w:ascii="宋体" w:hAnsi="宋体" w:eastAsia="宋体"/>
          <w:bCs/>
          <w:color w:val="000000"/>
          <w:sz w:val="24"/>
          <w:szCs w:val="24"/>
          <w:highlight w:val="none"/>
          <w:lang w:val="en-US" w:eastAsia="zh-CN"/>
        </w:rPr>
        <w:t xml:space="preserve">伍</w:t>
      </w:r>
      <w:r>
        <w:rPr>
          <w:rFonts w:hint="eastAsia" w:ascii="宋体" w:hAnsi="宋体"/>
          <w:bCs/>
          <w:color w:val="000000"/>
          <w:sz w:val="24"/>
          <w:szCs w:val="24"/>
          <w:highlight w:val="none"/>
        </w:rPr>
        <w:t xml:space="preserve">份，供需双方各执两份，</w:t>
      </w:r>
      <w:r>
        <w:rPr>
          <w:rFonts w:hint="eastAsia" w:ascii="宋体" w:hAnsi="宋体"/>
          <w:bCs/>
          <w:color w:val="000000"/>
          <w:sz w:val="24"/>
          <w:szCs w:val="24"/>
          <w:highlight w:val="none"/>
          <w:lang w:val="en-US" w:eastAsia="zh-CN"/>
        </w:rPr>
        <w:t xml:space="preserve">江苏筑祁园工程管理咨询有限公司</w:t>
      </w:r>
      <w:r>
        <w:rPr>
          <w:rFonts w:hint="eastAsia" w:ascii="宋体" w:hAnsi="宋体"/>
          <w:bCs/>
          <w:color w:val="000000"/>
          <w:sz w:val="24"/>
          <w:szCs w:val="24"/>
          <w:highlight w:val="none"/>
        </w:rPr>
        <w:t xml:space="preserve">一份。</w:t>
      </w:r>
      <w:r>
        <w:rPr>
          <w:rFonts w:ascii="宋体"/>
          <w:bCs/>
          <w:color w:val="000000"/>
          <w:sz w:val="24"/>
          <w:szCs w:val="24"/>
          <w:highlight w:val="none"/>
        </w:rPr>
      </w:r>
      <w:r/>
    </w:p>
    <w:p>
      <w:pPr>
        <w:pStyle w:val="778"/>
        <w:numPr>
          <w:ilvl w:val="0"/>
          <w:numId w:val="4"/>
        </w:numPr>
        <w:ind w:left="0" w:firstLine="523"/>
        <w:spacing w:line="440" w:lineRule="exact"/>
        <w:tabs>
          <w:tab w:val="left" w:pos="210" w:leader="none"/>
          <w:tab w:val="left" w:pos="84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合同生效：</w:t>
      </w:r>
      <w:r>
        <w:rPr>
          <w:rFonts w:ascii="宋体"/>
          <w:bCs/>
          <w:color w:val="000000"/>
          <w:sz w:val="24"/>
          <w:szCs w:val="24"/>
          <w:highlight w:val="none"/>
        </w:rPr>
      </w:r>
      <w:r/>
    </w:p>
    <w:p>
      <w:pPr>
        <w:pStyle w:val="778"/>
        <w:ind w:firstLine="480"/>
        <w:spacing w:line="440" w:lineRule="exact"/>
        <w:tabs>
          <w:tab w:val="left" w:pos="210" w:leader="none"/>
          <w:tab w:val="left" w:pos="840"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本合同由供需双方签字、盖章，并经代理机构见证后生效。</w:t>
      </w:r>
      <w:r>
        <w:rPr>
          <w:rFonts w:ascii="宋体"/>
          <w:bCs/>
          <w:color w:val="000000"/>
          <w:sz w:val="24"/>
          <w:szCs w:val="24"/>
          <w:highlight w:val="none"/>
        </w:rPr>
      </w:r>
      <w:r/>
    </w:p>
    <w:p>
      <w:pPr>
        <w:pStyle w:val="778"/>
        <w:ind w:left="420" w:firstLine="420"/>
        <w:spacing w:line="440" w:lineRule="exact"/>
        <w:tabs>
          <w:tab w:val="left" w:pos="210" w:leader="none"/>
          <w:tab w:val="left" w:pos="840" w:leader="none"/>
          <w:tab w:val="left" w:pos="1155" w:leader="none"/>
        </w:tabs>
        <w:rPr>
          <w:rFonts w:ascii="宋体"/>
          <w:bCs/>
          <w:color w:val="000000"/>
          <w:sz w:val="24"/>
          <w:szCs w:val="24"/>
          <w:highlight w:val="none"/>
        </w:rPr>
      </w:pPr>
      <w:r>
        <w:rPr>
          <w:rFonts w:ascii="宋体"/>
          <w:bCs/>
          <w:color w:val="000000"/>
          <w:sz w:val="24"/>
          <w:szCs w:val="24"/>
          <w:highlight w:val="none"/>
        </w:rPr>
      </w:r>
      <w:r/>
    </w:p>
    <w:p>
      <w:pPr>
        <w:pStyle w:val="778"/>
        <w:ind w:left="420" w:firstLine="420"/>
        <w:spacing w:line="440" w:lineRule="exact"/>
        <w:tabs>
          <w:tab w:val="left" w:pos="210" w:leader="none"/>
          <w:tab w:val="left" w:pos="840" w:leader="none"/>
          <w:tab w:val="left" w:pos="1155" w:leader="none"/>
        </w:tabs>
        <w:rPr>
          <w:rFonts w:ascii="宋体"/>
          <w:bCs/>
          <w:color w:val="000000"/>
          <w:sz w:val="24"/>
          <w:szCs w:val="24"/>
          <w:highlight w:val="none"/>
        </w:rPr>
      </w:pPr>
      <w:r>
        <w:rPr>
          <w:rFonts w:ascii="宋体"/>
          <w:bCs/>
          <w:color w:val="000000"/>
          <w:sz w:val="24"/>
          <w:szCs w:val="24"/>
          <w:highlight w:val="none"/>
        </w:rPr>
      </w:r>
      <w:r/>
    </w:p>
    <w:p>
      <w:pPr>
        <w:pStyle w:val="778"/>
        <w:spacing w:line="44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需方（招标人）：</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（盖章）</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供方（中标方）：</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（盖章）</w:t>
      </w:r>
      <w:r>
        <w:rPr>
          <w:rFonts w:ascii="宋体"/>
          <w:bCs/>
          <w:color w:val="000000"/>
          <w:sz w:val="24"/>
          <w:szCs w:val="24"/>
          <w:highlight w:val="none"/>
          <w:u w:val="single"/>
        </w:rPr>
      </w:r>
      <w:r/>
    </w:p>
    <w:p>
      <w:pPr>
        <w:pStyle w:val="778"/>
        <w:spacing w:line="44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法定（授权）代表人：</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法定（授权）代表人：</w:t>
      </w:r>
      <w:r>
        <w:rPr>
          <w:rFonts w:ascii="宋体" w:hAnsi="宋体"/>
          <w:bCs/>
          <w:color w:val="000000"/>
          <w:sz w:val="24"/>
          <w:szCs w:val="24"/>
          <w:highlight w:val="none"/>
          <w:u w:val="single"/>
        </w:rPr>
        <w:t xml:space="preserve">                   </w:t>
      </w:r>
      <w:r>
        <w:rPr>
          <w:rFonts w:ascii="宋体"/>
          <w:bCs/>
          <w:color w:val="000000"/>
          <w:sz w:val="24"/>
          <w:szCs w:val="24"/>
          <w:highlight w:val="none"/>
          <w:u w:val="single"/>
        </w:rPr>
      </w:r>
      <w:r/>
    </w:p>
    <w:p>
      <w:pPr>
        <w:pStyle w:val="778"/>
        <w:spacing w:line="440" w:lineRule="exact"/>
        <w:rPr>
          <w:rFonts w:ascii="宋体"/>
          <w:bCs/>
          <w:color w:val="000000"/>
          <w:sz w:val="24"/>
          <w:szCs w:val="24"/>
          <w:highlight w:val="none"/>
          <w:u w:val="single"/>
        </w:rPr>
      </w:pP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月</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w:t>
      </w:r>
      <w:r>
        <w:rPr>
          <w:rFonts w:ascii="宋体" w:hAnsi="宋体"/>
          <w:bCs/>
          <w:color w:val="000000"/>
          <w:sz w:val="24"/>
          <w:szCs w:val="24"/>
          <w:highlight w:val="non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月</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w:t>
      </w:r>
      <w:r>
        <w:rPr>
          <w:rFonts w:ascii="宋体"/>
          <w:bCs/>
          <w:color w:val="000000"/>
          <w:sz w:val="24"/>
          <w:szCs w:val="24"/>
          <w:highlight w:val="none"/>
          <w:u w:val="single"/>
        </w:rPr>
      </w:r>
      <w:r/>
    </w:p>
    <w:p>
      <w:pPr>
        <w:pStyle w:val="778"/>
        <w:ind w:firstLine="480"/>
        <w:spacing w:line="440" w:lineRule="exact"/>
        <w:rPr>
          <w:rFonts w:ascii="宋体"/>
          <w:bCs/>
          <w:color w:val="000000"/>
          <w:sz w:val="24"/>
          <w:szCs w:val="24"/>
          <w:highlight w:val="none"/>
          <w:u w:val="single"/>
        </w:rPr>
      </w:pPr>
      <w:r>
        <w:rPr>
          <w:rFonts w:ascii="宋体" w:hAnsi="宋体"/>
          <w:bCs/>
          <w:color w:val="000000"/>
          <w:sz w:val="24"/>
          <w:szCs w:val="24"/>
          <w:highlight w:val="none"/>
        </w:rPr>
        <w:t xml:space="preserve">                               </w:t>
      </w:r>
      <w:r>
        <w:rPr>
          <w:rFonts w:ascii="宋体"/>
          <w:bCs/>
          <w:color w:val="000000"/>
          <w:sz w:val="24"/>
          <w:szCs w:val="24"/>
          <w:highlight w:val="none"/>
          <w:u w:val="single"/>
        </w:rPr>
      </w:r>
      <w:r/>
    </w:p>
    <w:p>
      <w:pPr>
        <w:pStyle w:val="778"/>
        <w:spacing w:line="44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见证方：</w:t>
      </w:r>
      <w:r>
        <w:rPr>
          <w:rFonts w:hint="eastAsia" w:ascii="宋体" w:hAnsi="宋体"/>
          <w:bCs/>
          <w:color w:val="000000"/>
          <w:sz w:val="24"/>
          <w:szCs w:val="24"/>
          <w:highlight w:val="none"/>
          <w:lang w:val="en-US" w:eastAsia="zh-CN"/>
        </w:rPr>
        <w:t xml:space="preserve">江苏筑祁园工程管理咨询有限公司</w:t>
      </w:r>
      <w:r>
        <w:rPr>
          <w:rFonts w:hint="eastAsia" w:ascii="宋体" w:hAnsi="宋体"/>
          <w:bCs/>
          <w:color w:val="000000"/>
          <w:sz w:val="24"/>
          <w:szCs w:val="24"/>
          <w:highlight w:val="none"/>
        </w:rPr>
        <w:t xml:space="preserve">（盖章）        供方户名：</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78"/>
        <w:spacing w:line="44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见证人：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供方开户银行：</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78"/>
        <w:spacing w:line="44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供方帐号：</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78"/>
        <w:spacing w:line="440" w:lineRule="exact"/>
        <w:rPr>
          <w:rFonts w:ascii="宋体"/>
          <w:bCs/>
          <w:color w:val="000000"/>
          <w:sz w:val="24"/>
          <w:szCs w:val="24"/>
          <w:highlight w:val="none"/>
        </w:rPr>
      </w:pPr>
      <w:r>
        <w:rPr>
          <w:rFonts w:ascii="宋体"/>
          <w:bCs/>
          <w:color w:val="000000"/>
          <w:sz w:val="24"/>
          <w:szCs w:val="24"/>
          <w:highlight w:val="none"/>
        </w:rPr>
      </w:r>
      <w:r/>
    </w:p>
    <w:p>
      <w:pPr>
        <w:pStyle w:val="778"/>
        <w:jc w:val="left"/>
        <w:rPr>
          <w:rFonts w:ascii="宋体"/>
          <w:bCs/>
          <w:color w:val="000000"/>
          <w:sz w:val="24"/>
          <w:szCs w:val="24"/>
          <w:highlight w:val="none"/>
        </w:rPr>
      </w:pPr>
      <w:r>
        <w:rPr>
          <w:rFonts w:ascii="宋体"/>
          <w:bCs/>
          <w:color w:val="000000"/>
          <w:sz w:val="24"/>
          <w:szCs w:val="24"/>
          <w:highlight w:val="none"/>
        </w:rPr>
      </w:r>
      <w:r/>
    </w:p>
    <w:p>
      <w:pPr>
        <w:pStyle w:val="778"/>
        <w:jc w:val="left"/>
        <w:rPr>
          <w:rFonts w:ascii="宋体"/>
          <w:bCs/>
          <w:color w:val="000000"/>
          <w:sz w:val="24"/>
          <w:szCs w:val="24"/>
          <w:highlight w:val="none"/>
        </w:rPr>
      </w:pPr>
      <w:r>
        <w:rPr>
          <w:rFonts w:hint="eastAsia" w:ascii="宋体" w:hAnsi="宋体"/>
          <w:bCs/>
          <w:color w:val="000000"/>
          <w:sz w:val="24"/>
          <w:szCs w:val="24"/>
          <w:highlight w:val="none"/>
        </w:rPr>
        <w:t xml:space="preserve">★</w:t>
      </w:r>
      <w:r>
        <w:rPr>
          <w:rFonts w:ascii="宋体"/>
          <w:bCs/>
          <w:color w:val="000000"/>
          <w:sz w:val="24"/>
          <w:szCs w:val="24"/>
          <w:highlight w:val="none"/>
        </w:rPr>
        <w:t xml:space="preserve">.</w:t>
      </w:r>
      <w:r>
        <w:rPr>
          <w:rFonts w:hint="eastAsia" w:ascii="宋体" w:hAnsi="宋体"/>
          <w:b/>
          <w:bCs/>
          <w:color w:val="000000"/>
          <w:sz w:val="24"/>
          <w:szCs w:val="24"/>
          <w:highlight w:val="none"/>
        </w:rPr>
        <w:t xml:space="preserve">备注：</w:t>
      </w:r>
      <w:r>
        <w:rPr>
          <w:rFonts w:hint="eastAsia" w:ascii="宋体" w:hAnsi="宋体"/>
          <w:bCs/>
          <w:color w:val="000000"/>
          <w:sz w:val="24"/>
          <w:szCs w:val="24"/>
          <w:highlight w:val="none"/>
        </w:rPr>
        <w:t xml:space="preserve">供需双方必须以本格式文本，按照合同条款拟订合同。</w:t>
      </w:r>
      <w:r>
        <w:rPr>
          <w:rFonts w:ascii="宋体"/>
          <w:bCs/>
          <w:color w:val="000000"/>
          <w:sz w:val="24"/>
          <w:szCs w:val="24"/>
          <w:highlight w:val="none"/>
        </w:rPr>
      </w:r>
      <w:r/>
    </w:p>
    <w:p>
      <w:pPr>
        <w:pStyle w:val="778"/>
        <w:jc w:val="center"/>
        <w:spacing w:line="360" w:lineRule="auto"/>
        <w:rPr>
          <w:rFonts w:ascii="黑体" w:hAnsi="Times New Roman" w:eastAsia="黑体" w:cs="Times New Roman"/>
          <w:b/>
          <w:color w:val="000000"/>
          <w:sz w:val="32"/>
          <w:szCs w:val="32"/>
          <w:highlight w:val="none"/>
        </w:rPr>
      </w:pPr>
      <w:r/>
      <w:bookmarkStart w:id="188" w:name="五．合同条款"/>
      <w:r/>
      <w:bookmarkEnd w:id="188"/>
      <w:r>
        <w:rPr>
          <w:rFonts w:hint="eastAsia" w:ascii="黑体" w:eastAsia="黑体"/>
          <w:bCs/>
          <w:color w:val="000000"/>
          <w:sz w:val="28"/>
          <w:szCs w:val="28"/>
          <w:highlight w:val="none"/>
        </w:rPr>
        <w:br w:type="page" w:clear="all"/>
      </w:r>
      <w:r>
        <w:rPr>
          <w:rFonts w:hint="eastAsia" w:ascii="黑体" w:hAnsi="Times New Roman" w:eastAsia="黑体" w:cs="Times New Roman"/>
          <w:b/>
          <w:color w:val="000000"/>
          <w:sz w:val="32"/>
          <w:szCs w:val="32"/>
          <w:highlight w:val="none"/>
        </w:rPr>
        <w:t xml:space="preserve">合同条款</w:t>
      </w:r>
      <w:r>
        <w:rPr>
          <w:rFonts w:ascii="黑体" w:hAnsi="Times New Roman" w:eastAsia="黑体" w:cs="Times New Roman"/>
          <w:b/>
          <w:color w:val="000000"/>
          <w:sz w:val="32"/>
          <w:szCs w:val="32"/>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发包人：</w:t>
      </w:r>
      <w:r>
        <w:rPr>
          <w:rFonts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(以下简称“甲方”)</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承包人：</w:t>
      </w:r>
      <w:r>
        <w:rPr>
          <w:rFonts w:ascii="宋体" w:hAnsi="宋体" w:eastAsia="宋体" w:cs="宋体"/>
          <w:color w:val="000000"/>
          <w:sz w:val="24"/>
          <w:szCs w:val="24"/>
          <w:highlight w:val="none"/>
          <w:u w:val="single"/>
        </w:rPr>
        <w:t xml:space="preserve">   </w:t>
      </w:r>
      <w:r>
        <w:rPr>
          <w:rFonts w:ascii="宋体" w:hAnsi="宋体" w:eastAsia="宋体" w:cs="宋体"/>
          <w:b/>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(以下简称“乙方”)</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根据《中华人民共和国</w:t>
      </w:r>
      <w:r>
        <w:rPr>
          <w:rFonts w:hint="eastAsia" w:ascii="宋体" w:hAnsi="宋体" w:eastAsia="宋体" w:cs="宋体"/>
          <w:color w:val="000000"/>
          <w:sz w:val="24"/>
          <w:szCs w:val="24"/>
          <w:highlight w:val="none"/>
        </w:rPr>
        <w:t xml:space="preserve">民法典</w:t>
      </w:r>
      <w:r>
        <w:rPr>
          <w:rFonts w:ascii="宋体" w:hAnsi="宋体" w:eastAsia="宋体" w:cs="宋体"/>
          <w:color w:val="000000"/>
          <w:sz w:val="24"/>
          <w:szCs w:val="24"/>
          <w:highlight w:val="none"/>
        </w:rPr>
        <w:t xml:space="preserve">》及其他有关法律、行政法规，遵循平等、自愿、公平和诚实信用的原则，在双方承诺招标文件全部内容(含招标补充文件)和被认定的响应文件(及补充说明)全部内容的基础上，协商一致，订立本合同。</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一、项目概况</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项目名称：</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eastAsia="zh-CN"/>
        </w:rPr>
        <w:t xml:space="preserve">服务</w:t>
      </w:r>
      <w:r>
        <w:rPr>
          <w:rFonts w:ascii="宋体" w:hAnsi="宋体" w:eastAsia="宋体" w:cs="宋体"/>
          <w:color w:val="000000"/>
          <w:sz w:val="24"/>
          <w:szCs w:val="24"/>
          <w:highlight w:val="none"/>
        </w:rPr>
        <w:t xml:space="preserve">内容：</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r>
      <w:r/>
    </w:p>
    <w:p>
      <w:pPr>
        <w:pStyle w:val="778"/>
        <w:ind w:left="-141" w:right="-624"/>
        <w:spacing w:line="360" w:lineRule="auto"/>
        <w:rPr>
          <w:rFonts w:ascii="宋体" w:hAnsi="宋体" w:eastAsia="宋体" w:cs="宋体"/>
          <w:color w:val="000000"/>
          <w:sz w:val="24"/>
          <w:szCs w:val="24"/>
          <w:highlight w:val="none"/>
          <w:u w:val="single"/>
        </w:rPr>
      </w:pPr>
      <w:r>
        <w:rPr>
          <w:rFonts w:ascii="宋体" w:hAnsi="宋体" w:eastAsia="宋体" w:cs="宋体"/>
          <w:color w:val="000000"/>
          <w:sz w:val="24"/>
          <w:szCs w:val="24"/>
          <w:highlight w:val="none"/>
        </w:rPr>
        <w:t xml:space="preserve">二、承包范围：</w:t>
      </w:r>
      <w:r>
        <w:rPr>
          <w:rFonts w:ascii="宋体" w:hAnsi="宋体" w:eastAsia="宋体" w:cs="宋体"/>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三、承包期</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年</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月</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日起至</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年</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月</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日，为</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个月，养护总历时天数：</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天；</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四、承包方式</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项目由乙方以包工、包料、包质量、包安全、包文明养护的方式实施总承包，乙方应对全部养护项目负责，中标以后不得分包、转包。如—经发现上述行为，甲方单方有权立即终止综合养护项目承包合同，由此产生一切法律责任和经济损失均由乙方承担。</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五、养护质量标准</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u w:val="single"/>
        </w:rPr>
      </w:pPr>
      <w:r>
        <w:rPr>
          <w:rFonts w:ascii="宋体" w:hAnsi="宋体" w:eastAsia="宋体" w:cs="宋体"/>
          <w:color w:val="000000"/>
          <w:sz w:val="24"/>
          <w:szCs w:val="24"/>
          <w:highlight w:val="none"/>
        </w:rPr>
        <w:t xml:space="preserve">    本项目养护质量标准：</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六、合同价款</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合同总价</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(大写)   </w:t>
      </w:r>
      <w:r>
        <w:rPr>
          <w:rFonts w:ascii="宋体" w:hAnsi="宋体" w:eastAsia="宋体" w:cs="宋体"/>
          <w:b/>
          <w:bCs/>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 xml:space="preserve">/年</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(人民币)</w:t>
      </w:r>
      <w:r>
        <w:rPr>
          <w:rFonts w:ascii="宋体" w:hAnsi="宋体" w:eastAsia="宋体" w:cs="宋体"/>
          <w:color w:val="000000"/>
          <w:sz w:val="24"/>
          <w:szCs w:val="24"/>
          <w:highlight w:val="none"/>
        </w:rPr>
      </w:r>
      <w:r/>
    </w:p>
    <w:p>
      <w:pPr>
        <w:pStyle w:val="778"/>
        <w:ind w:left="-141" w:right="-624" w:firstLine="1680"/>
        <w:spacing w:line="360" w:lineRule="auto"/>
        <w:rPr>
          <w:rFonts w:ascii="宋体" w:hAnsi="宋体" w:eastAsia="宋体" w:cs="Times New Roman"/>
          <w:color w:val="000000"/>
          <w:sz w:val="24"/>
          <w:szCs w:val="24"/>
          <w:highlight w:val="none"/>
          <w:u w:val="single"/>
        </w:rPr>
      </w:pPr>
      <w:r>
        <w:rPr>
          <w:rFonts w:ascii="宋体" w:hAnsi="宋体" w:eastAsia="宋体" w:cs="宋体"/>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 xml:space="preserve">年</w:t>
      </w:r>
      <w:r>
        <w:rPr>
          <w:rFonts w:ascii="宋体" w:hAnsi="宋体" w:eastAsia="宋体" w:cs="Times New Roman"/>
          <w:color w:val="000000"/>
          <w:sz w:val="24"/>
          <w:szCs w:val="24"/>
          <w:highlight w:val="none"/>
          <w:u w:val="singl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七、组成合同的文件</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(一)组成本合同的文件包括</w:t>
      </w:r>
      <w:r>
        <w:rPr>
          <w:rFonts w:ascii="宋体" w:hAnsi="宋体" w:eastAsia="宋体" w:cs="宋体"/>
          <w:color w:val="000000"/>
          <w:sz w:val="24"/>
          <w:szCs w:val="24"/>
          <w:highlight w:val="none"/>
        </w:rPr>
      </w:r>
      <w:r/>
    </w:p>
    <w:p>
      <w:pPr>
        <w:pStyle w:val="778"/>
        <w:numPr>
          <w:ilvl w:val="0"/>
          <w:numId w:val="0"/>
        </w:numPr>
        <w:ind w:right="-624" w:firstLine="2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本合同协议书</w:t>
      </w:r>
      <w:r>
        <w:rPr>
          <w:rFonts w:ascii="宋体" w:hAnsi="宋体" w:eastAsia="宋体" w:cs="宋体"/>
          <w:color w:val="000000"/>
          <w:sz w:val="24"/>
          <w:szCs w:val="24"/>
          <w:highlight w:val="none"/>
        </w:rPr>
      </w:r>
      <w:r/>
    </w:p>
    <w:p>
      <w:pPr>
        <w:pStyle w:val="778"/>
        <w:numPr>
          <w:ilvl w:val="0"/>
          <w:numId w:val="0"/>
        </w:numPr>
        <w:ind w:right="-624"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中标通知书</w:t>
      </w:r>
      <w:r>
        <w:rPr>
          <w:rFonts w:ascii="宋体" w:hAnsi="宋体" w:eastAsia="宋体" w:cs="宋体"/>
          <w:color w:val="000000"/>
          <w:sz w:val="24"/>
          <w:szCs w:val="24"/>
          <w:highlight w:val="none"/>
        </w:rPr>
      </w:r>
      <w:r/>
    </w:p>
    <w:p>
      <w:pPr>
        <w:pStyle w:val="778"/>
        <w:numPr>
          <w:ilvl w:val="0"/>
          <w:numId w:val="0"/>
        </w:numPr>
        <w:ind w:right="-624"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投标书及附件</w:t>
      </w:r>
      <w:r>
        <w:rPr>
          <w:rFonts w:ascii="宋体" w:hAnsi="宋体" w:eastAsia="宋体" w:cs="宋体"/>
          <w:color w:val="000000"/>
          <w:sz w:val="24"/>
          <w:szCs w:val="24"/>
          <w:highlight w:val="none"/>
        </w:rPr>
      </w:r>
      <w:r/>
    </w:p>
    <w:p>
      <w:pPr>
        <w:pStyle w:val="778"/>
        <w:numPr>
          <w:ilvl w:val="0"/>
          <w:numId w:val="0"/>
        </w:numPr>
        <w:ind w:right="-624"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本合同协议条款</w:t>
      </w:r>
      <w:r>
        <w:rPr>
          <w:rFonts w:ascii="宋体" w:hAnsi="宋体" w:eastAsia="宋体" w:cs="宋体"/>
          <w:color w:val="000000"/>
          <w:sz w:val="24"/>
          <w:szCs w:val="24"/>
          <w:highlight w:val="none"/>
        </w:rPr>
      </w:r>
      <w:r/>
    </w:p>
    <w:p>
      <w:pPr>
        <w:pStyle w:val="778"/>
        <w:numPr>
          <w:ilvl w:val="0"/>
          <w:numId w:val="0"/>
        </w:numPr>
        <w:ind w:right="-624"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标准、规范及有关技术文件</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(二)双方有关养护工作的洽商、变更等书面协议或文件视为本合同的组成部分。</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八、承包人向发包人承诺按照合同约定开展养护。</w:t>
      </w:r>
      <w:r>
        <w:rPr>
          <w:rFonts w:ascii="宋体" w:hAnsi="宋体" w:eastAsia="宋体" w:cs="宋体"/>
          <w:b/>
          <w:bCs/>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九、发包人承诺按照合同约定的期限和方式支付合同价款及其他应当支付的款项。 </w:t>
      </w:r>
      <w:r>
        <w:rPr>
          <w:rFonts w:ascii="宋体" w:hAnsi="宋体" w:eastAsia="宋体" w:cs="宋体"/>
          <w:b/>
          <w:bCs/>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十、本合同双方约定</w:t>
      </w:r>
      <w:r>
        <w:rPr>
          <w:rFonts w:ascii="宋体" w:hAnsi="宋体" w:eastAsia="宋体" w:cs="宋体"/>
          <w:b/>
          <w:bCs/>
          <w:color w:val="000000"/>
          <w:sz w:val="24"/>
          <w:szCs w:val="24"/>
          <w:highlight w:val="none"/>
          <w:u w:val="single"/>
        </w:rPr>
        <w:t xml:space="preserve">甲乙双方签字盖章</w:t>
      </w:r>
      <w:r>
        <w:rPr>
          <w:rFonts w:ascii="宋体" w:hAnsi="宋体" w:eastAsia="宋体" w:cs="宋体"/>
          <w:b/>
          <w:bCs/>
          <w:color w:val="000000"/>
          <w:sz w:val="24"/>
          <w:szCs w:val="24"/>
          <w:highlight w:val="none"/>
        </w:rPr>
        <w:t xml:space="preserve">后生效，至养护期满、验收合格、价款结清自行终止。</w:t>
      </w:r>
      <w:r>
        <w:rPr>
          <w:rFonts w:ascii="宋体" w:hAnsi="宋体" w:eastAsia="宋体" w:cs="宋体"/>
          <w:b/>
          <w:bCs/>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发包人(盖章)：                          承包人(盖章)：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法定代表人：                            法定代表人：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派驻现场代表：                          派驻现场代表：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                     电   话：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                地   址：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年  月   日                              年   月   日</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78"/>
        <w:ind w:left="-141" w:right="-624"/>
        <w:jc w:val="center"/>
        <w:spacing w:line="360" w:lineRule="auto"/>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br w:type="page" w:clear="all"/>
      </w:r>
      <w:r>
        <w:rPr>
          <w:rFonts w:ascii="宋体" w:hAnsi="宋体" w:eastAsia="宋体" w:cs="宋体"/>
          <w:b/>
          <w:bCs/>
          <w:color w:val="000000"/>
          <w:sz w:val="24"/>
          <w:szCs w:val="24"/>
          <w:highlight w:val="none"/>
        </w:rPr>
        <w:t xml:space="preserve">协议条款</w:t>
      </w:r>
      <w:r>
        <w:rPr>
          <w:rFonts w:ascii="宋体" w:hAnsi="宋体" w:eastAsia="宋体" w:cs="宋体"/>
          <w:b/>
          <w:bCs/>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 甲方代表</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甲方指派 </w:t>
      </w:r>
      <w:r>
        <w:rPr>
          <w:rFonts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 </w:t>
      </w:r>
      <w:r>
        <w:rPr>
          <w:rFonts w:ascii="宋体" w:hAnsi="宋体" w:eastAsia="宋体" w:cs="宋体"/>
          <w:b/>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 为派驻现场代表，全面负责日常养护作业的管理工作。</w:t>
      </w:r>
      <w:r>
        <w:rPr>
          <w:rFonts w:ascii="宋体" w:hAnsi="宋体" w:eastAsia="宋体" w:cs="宋体"/>
          <w:b/>
          <w:bCs/>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 乙方代表</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 乙方指派</w:t>
      </w:r>
      <w:r>
        <w:rPr>
          <w:rFonts w:ascii="宋体" w:hAnsi="宋体" w:eastAsia="宋体" w:cs="宋体"/>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u w:val="single"/>
        </w:rPr>
        <w:t xml:space="preserve"> </w:t>
      </w:r>
      <w:r>
        <w:rPr>
          <w:rFonts w:ascii="宋体" w:hAnsi="宋体" w:eastAsia="宋体" w:cs="宋体"/>
          <w:b/>
          <w:bCs/>
          <w:color w:val="000000"/>
          <w:sz w:val="24"/>
          <w:szCs w:val="24"/>
          <w:highlight w:val="none"/>
          <w:u w:val="single"/>
        </w:rPr>
        <w:t xml:space="preserve"> </w:t>
      </w:r>
      <w:r>
        <w:rPr>
          <w:rFonts w:ascii="宋体" w:hAnsi="宋体" w:eastAsia="宋体" w:cs="宋体"/>
          <w:color w:val="000000"/>
          <w:sz w:val="24"/>
          <w:szCs w:val="24"/>
          <w:highlight w:val="none"/>
        </w:rPr>
        <w:t xml:space="preserve">为绿地养护项目负责人，具体负责本养护</w:t>
      </w:r>
      <w:r>
        <w:rPr>
          <w:rFonts w:hint="eastAsia" w:ascii="宋体" w:hAnsi="宋体" w:eastAsia="宋体" w:cs="宋体"/>
          <w:color w:val="000000"/>
          <w:sz w:val="24"/>
          <w:szCs w:val="24"/>
          <w:highlight w:val="none"/>
        </w:rPr>
        <w:t xml:space="preserve">项目</w:t>
      </w:r>
      <w:r>
        <w:rPr>
          <w:rFonts w:ascii="宋体" w:hAnsi="宋体" w:eastAsia="宋体" w:cs="宋体"/>
          <w:color w:val="000000"/>
          <w:sz w:val="24"/>
          <w:szCs w:val="24"/>
          <w:highlight w:val="none"/>
        </w:rPr>
        <w:t xml:space="preserve">作业工作，并用书面材料报甲方备案。</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2.2 项目负责人等有关人员必须按时参加由甲方召开的养护例会和各种必须参加的会议。</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2.3 乙方如需更换项目负责人，应至少提前5天以书面形式通知甲方，并征得甲方同意。后任继续行使合同文件约定的前任的职权，履行前任的义务。</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2.4 甲方可以与乙方协商，建议更换其认为不称职的项目负责人。</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 甲方工作</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3.1 负责向乙方提供中标绿地的有关资料。</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3.2 组织召开养护作业技术交底会。</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3.3 负责乙方的日常养护作业的管理和检查(定期检查和抽查相结合)。每月对乙方作出下月度养护工作计划布置和对当月度养护工作进行考核 (全年考核12次) ，考核按有关养护工作考核标准结合甲方养护工作计划要求综合进行，合同期满综合考核考评。</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3.4  甲方每月对乙方的养护质量进行检查考核，按本合同有关条款，支付相应养护经费。</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3.5 如遇突发事件，协调乙方在作业过程中与其他管理部门的关系。</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3.6甲方对于乙方因台风、雪灾等突发事件，需及时处理的绿化抢险工作发生的费用，按照《无锡市城市绿化抢险救灾资金使用管理办法》给予适当资金补贴。</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3.7 若乙方违反《招标绿地养护管理检查考核实施意见》、《关于实施市级招标绿地养护管理末位淘汰制的意见》及招标文件等有关规定</w:t>
      </w:r>
      <w:r>
        <w:rPr>
          <w:rFonts w:hint="eastAsia" w:ascii="宋体" w:hAnsi="宋体" w:eastAsia="宋体" w:cs="宋体"/>
          <w:color w:val="000000"/>
          <w:sz w:val="24"/>
          <w:szCs w:val="24"/>
          <w:highlight w:val="none"/>
          <w:lang w:eastAsia="zh-CN"/>
        </w:rPr>
        <w:t xml:space="preserve">的，甲方可直接</w:t>
      </w:r>
      <w:r>
        <w:rPr>
          <w:rFonts w:ascii="宋体" w:hAnsi="宋体" w:eastAsia="宋体" w:cs="宋体"/>
          <w:color w:val="000000"/>
          <w:sz w:val="24"/>
          <w:szCs w:val="24"/>
          <w:highlight w:val="none"/>
        </w:rPr>
        <w:t xml:space="preserve">解除承包合同。</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3.8 在合同期内，因国家需要征用、改造、临时占用绿地等需要调整乙方管护绿化地段和管护等级时，乙方应服从大局，退出原养护地段，或相应减少养护范围及经费。由此造成的经济损失，甲方不负赔偿责任。</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3.9甲方对乙方因养护管理不当，受到上级领导点名批评、媒体曝光、群众举报的，视情况扣除一定的养护经费，其中上级领导点名批评每次扣</w:t>
      </w:r>
      <w:r>
        <w:rPr>
          <w:rFonts w:hint="eastAsia" w:ascii="宋体" w:hAnsi="宋体" w:eastAsia="宋体" w:cs="宋体"/>
          <w:color w:val="000000"/>
          <w:sz w:val="24"/>
          <w:szCs w:val="24"/>
          <w:highlight w:val="none"/>
        </w:rPr>
        <w:t xml:space="preserve">1000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2000</w:t>
      </w:r>
      <w:r>
        <w:rPr>
          <w:rFonts w:ascii="宋体" w:hAnsi="宋体" w:eastAsia="宋体" w:cs="宋体"/>
          <w:color w:val="000000"/>
          <w:sz w:val="24"/>
          <w:szCs w:val="24"/>
          <w:highlight w:val="none"/>
        </w:rPr>
        <w:t xml:space="preserve">元，情节严重的扣</w:t>
      </w:r>
      <w:r>
        <w:rPr>
          <w:rFonts w:hint="eastAsia" w:ascii="宋体" w:hAnsi="宋体" w:eastAsia="宋体" w:cs="宋体"/>
          <w:color w:val="000000"/>
          <w:sz w:val="24"/>
          <w:szCs w:val="24"/>
          <w:highlight w:val="none"/>
        </w:rPr>
        <w:t xml:space="preserve">3000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5000</w:t>
      </w:r>
      <w:r>
        <w:rPr>
          <w:rFonts w:ascii="宋体" w:hAnsi="宋体" w:eastAsia="宋体" w:cs="宋体"/>
          <w:color w:val="000000"/>
          <w:sz w:val="24"/>
          <w:szCs w:val="24"/>
          <w:highlight w:val="none"/>
        </w:rPr>
        <w:t xml:space="preserve">元；媒体曝光后经查实的，每次扣3000-5000元；群众举报经查实的，每次扣1000-3000元。</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bCs/>
          <w:color w:val="000000"/>
          <w:sz w:val="24"/>
          <w:szCs w:val="24"/>
          <w:highlight w:val="none"/>
        </w:rPr>
        <w:t xml:space="preserve">3.10</w:t>
      </w:r>
      <w:r>
        <w:rPr>
          <w:rFonts w:ascii="宋体" w:hAnsi="宋体" w:eastAsia="宋体" w:cs="宋体"/>
          <w:color w:val="000000"/>
          <w:sz w:val="24"/>
          <w:szCs w:val="24"/>
          <w:highlight w:val="none"/>
        </w:rPr>
        <w:t xml:space="preserve">甲方应作的其他工作，双方在补充条款内约定。</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4 乙方工作</w:t>
      </w:r>
      <w:r>
        <w:rPr>
          <w:rFonts w:ascii="宋体" w:hAnsi="宋体" w:eastAsia="宋体" w:cs="宋体"/>
          <w:b/>
          <w:bCs/>
          <w:color w:val="000000"/>
          <w:sz w:val="24"/>
          <w:szCs w:val="24"/>
          <w:highlight w:val="none"/>
        </w:rPr>
      </w:r>
      <w:r/>
    </w:p>
    <w:p>
      <w:pPr>
        <w:pStyle w:val="778"/>
        <w:numPr>
          <w:ilvl w:val="0"/>
          <w:numId w:val="0"/>
        </w:numPr>
        <w:ind w:right="-624"/>
        <w:spacing w:line="360" w:lineRule="auto"/>
        <w:rPr>
          <w:rFonts w:ascii="宋体" w:hAnsi="宋体" w:eastAsia="宋体" w:cs="宋体"/>
          <w:b/>
          <w:bCs/>
          <w:color w:val="000000"/>
          <w:sz w:val="24"/>
          <w:szCs w:val="24"/>
          <w:highlight w:val="none"/>
          <w:u w:val="single"/>
        </w:rPr>
      </w:pPr>
      <w:r>
        <w:rPr>
          <w:rFonts w:ascii="宋体" w:hAnsi="宋体" w:eastAsia="宋体" w:cs="宋体"/>
          <w:color w:val="000000"/>
          <w:sz w:val="24"/>
          <w:szCs w:val="24"/>
          <w:highlight w:val="none"/>
        </w:rPr>
        <w:t xml:space="preserve">根据甲方养护工作计划，乙方承担日常养护内容有：</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包括但不限于苗木的修剪、剥芽、病虫害防治、施肥、灌溉、树穴切边、除草、树叶、垃圾、杂物的清理，草坪的修剪和施肥、废弃物处理）等。</w:t>
      </w:r>
      <w:r>
        <w:rPr>
          <w:rFonts w:ascii="宋体" w:hAnsi="宋体" w:eastAsia="宋体" w:cs="宋体"/>
          <w:b/>
          <w:bCs/>
          <w:color w:val="000000"/>
          <w:sz w:val="24"/>
          <w:szCs w:val="24"/>
          <w:highlight w:val="none"/>
          <w:u w:val="singl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4.2 做好详细的养护台帐，建立养护档案，并按时做好月、季、年度上报养护工作完成情况表，按甲方要求及时上报。</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4.3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 巡视中如发现绿化设施损坏，应在24小时内处理完毕，如发现人为造成的绿化设施损坏，必须在24小时内书面报告甲方和所在地监察部门。</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 巡视中发现绿地内有违章搭建及其它破坏绿化等现象，必须当场予以制止，立即报告所在地的监察部门，协助做好有关工作，并将处理结果报告甲方。</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 汛期和台风季节要加强人员值班，随时处理各种情况。   </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4.5 超出常规养护范围的工作，需提前报甲方审批。中标地段原设施量清单中未纳入的周围相邻绿化(单位绿化或责任管护单位不明的绿化)，在该</w:t>
      </w:r>
      <w:r>
        <w:rPr>
          <w:rFonts w:hint="eastAsia" w:ascii="宋体" w:hAnsi="宋体" w:eastAsia="宋体" w:cs="宋体"/>
          <w:color w:val="000000"/>
          <w:sz w:val="24"/>
          <w:szCs w:val="24"/>
          <w:highlight w:val="none"/>
        </w:rPr>
        <w:t xml:space="preserve">项目</w:t>
      </w:r>
      <w:r>
        <w:rPr>
          <w:rFonts w:ascii="宋体" w:hAnsi="宋体" w:eastAsia="宋体" w:cs="宋体"/>
          <w:color w:val="000000"/>
          <w:sz w:val="24"/>
          <w:szCs w:val="24"/>
          <w:highlight w:val="none"/>
        </w:rPr>
        <w:t xml:space="preserve">交接完毕后5日内书面提交具体位置及设施量清单，甲方核验纳入经费核算范围，未及时提出的，视作无偿义务养护。</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4.6 及时解决来信、来访，并根据甲方要求及时处理。</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4.7 按时按量完成甲方交办的110等其它突击性任务和指令性任务。</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4.8 加强法定节假日的正常养护维修工作。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4.9 乙方应服从所在地的绿化行政主管部门的行业管理。</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4.10 如有移伐树木、占用绿地等事项，乙方应及时无偿负责移伐树木、占用绿地后的绿地修复工作。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4.11 在承包期内承包人应服从发包人的安排，做好以下的服务工作：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(1)因不可抗力造成的抢修保养工作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(2)防汛抗灾期间的汛前、汛期、汛后的各项工作；</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3)养护相关的社会职能工作；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(4)上级布置的突击性活动而发生的各项工作；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(5)确保国定节假日的养护维修工作。</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4.12 乙方无偿承担防范、杀灭四害等有关规定的义务，所使用的肥料、农药等符合环保标准。</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4.13 乙方应作的其他工作，双方在补充条款内约定。</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养护组织设计</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5 进度计划</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5.1 乙方在本合同生效后15天内上报全年养护作业维修计划和该</w:t>
      </w:r>
      <w:r>
        <w:rPr>
          <w:rFonts w:hint="eastAsia" w:ascii="宋体" w:hAnsi="宋体" w:eastAsia="宋体" w:cs="宋体"/>
          <w:color w:val="000000"/>
          <w:sz w:val="24"/>
          <w:szCs w:val="24"/>
          <w:highlight w:val="none"/>
        </w:rPr>
        <w:t xml:space="preserve">项目</w:t>
      </w:r>
      <w:r>
        <w:rPr>
          <w:rFonts w:ascii="宋体" w:hAnsi="宋体" w:eastAsia="宋体" w:cs="宋体"/>
          <w:color w:val="000000"/>
          <w:sz w:val="24"/>
          <w:szCs w:val="24"/>
          <w:highlight w:val="none"/>
        </w:rPr>
        <w:t xml:space="preserve">养护管理人员网络组成表，并结合季节特点和绿化状况，制定季度、月度养护计划、材料计划送交甲方。甲方在7天内予以确认。</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6 质量标准</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养护维修质量标准参照</w:t>
      </w:r>
      <w:r>
        <w:rPr>
          <w:rFonts w:hint="eastAsia" w:ascii="宋体" w:hAnsi="宋体" w:eastAsia="宋体" w:cs="宋体"/>
          <w:color w:val="000000"/>
          <w:sz w:val="24"/>
          <w:szCs w:val="24"/>
          <w:highlight w:val="none"/>
        </w:rPr>
        <w:t xml:space="preserve">本“项目要求”</w:t>
      </w:r>
      <w:r>
        <w:rPr>
          <w:rFonts w:ascii="宋体" w:hAnsi="宋体" w:eastAsia="宋体" w:cs="宋体"/>
          <w:color w:val="000000"/>
          <w:sz w:val="24"/>
          <w:szCs w:val="24"/>
          <w:highlight w:val="none"/>
        </w:rPr>
        <w:t xml:space="preserve">约定的质量标准。因乙方原因养护质量达不到约定的质量标准，乙方承担违约责任。</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7 检查和考核</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7.1 乙方应认真按照补充条款中约定的质量标准进行养护，随时接受甲方的检查和考核，为检查和考核提供便利条件。</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7.2 对于养护质量不符合要求的，甲方先通知整改，乙方在两天内不整改的或整改效果不符合要求的，由甲方派其他队伍整改，费用在乙方养护费中扣除。</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7.3 乙方养护期间的乔灌花草保存率低于要求的，必须在适合的季节及时补植同品种、同规格的苗木，并确保成活，补植费用由乙方承担。若乙方未按规定补植，甲方有权安排第三方进行种植，所发生的苗木费及补植费从乙方养护费中扣除。</w:t>
      </w:r>
      <w:r>
        <w:rPr>
          <w:rFonts w:ascii="宋体" w:hAnsi="宋体" w:eastAsia="宋体" w:cs="宋体"/>
          <w:color w:val="000000"/>
          <w:sz w:val="24"/>
          <w:szCs w:val="24"/>
          <w:highlight w:val="none"/>
        </w:rPr>
      </w:r>
      <w:r/>
    </w:p>
    <w:p>
      <w:pPr>
        <w:pStyle w:val="778"/>
        <w:ind w:right="0" w:firstLine="480"/>
        <w:jc w:val="both"/>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ascii="宋体" w:hAnsi="宋体" w:eastAsia="宋体" w:cs="宋体"/>
          <w:color w:val="000000"/>
          <w:sz w:val="24"/>
          <w:szCs w:val="24"/>
          <w:highlight w:val="none"/>
        </w:rPr>
        <w:t xml:space="preserve">7.4 </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明查暗访，定期不定期检查和考核相结合。</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094"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1</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由</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甲方</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组织实施，对各养护单位质量实行百分制考核，考核得分与全年养护费挂钩。</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094"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2</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为确保考评结果的客观真实，考核以《评分表》为标准采取明查暗访、看现场等，每月进行一次检查考核评分。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107"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3</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日常巡查，由绿化监管员负责，发现问题要求养护单位整改,如三次整改不到位扣一分，计入考评分内，每年累计最多扣满10分。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100" w:leader="none"/>
        </w:tabs>
        <w:rPr>
          <w:rFonts w:ascii="宋体" w:hAnsi="宋体" w:eastAsia="宋体" w:cs="宋体"/>
          <w:color w:val="000000"/>
          <w:sz w:val="24"/>
          <w:szCs w:val="24"/>
          <w:highlight w:val="none"/>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4</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考评得分与日常巡查扣分直接与养护费挂钩。即90分以上按合同核定支付当季养护费，90分以下按实际扣减分值扣减当季养护费，85分-89分扣减5%,80分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-84</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分扣减10%,75分-79分扣减15%,70分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-74</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分扣减20%,65分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-69</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分扣减25%,60分-64分扣减30%,60分以下（不含60分）停发当季养护费，待下季整改到位后再视情况支付。</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7.5</w:t>
      </w:r>
      <w:r>
        <w:rPr>
          <w:rFonts w:ascii="宋体" w:hAnsi="宋体" w:eastAsia="宋体" w:cs="宋体"/>
          <w:color w:val="000000"/>
          <w:sz w:val="24"/>
          <w:szCs w:val="24"/>
          <w:highlight w:val="none"/>
        </w:rPr>
        <w:t xml:space="preserve">乙方退出管护，绿地交接按《无锡市重点绿化工程竣工移交养护交接办法》与下一接管单位办理绿地交接手续，绿地需在规定时间内按要求整改到位后交付，逾期整改不到位由接管方进行整改，所需费用由原养护单位支付。</w:t>
      </w:r>
      <w:r>
        <w:rPr>
          <w:rFonts w:ascii="宋体" w:hAnsi="宋体" w:eastAsia="宋体" w:cs="宋体"/>
          <w:bCs/>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8 安全文明养护与检查</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8.1 乙方应做好养护作业管理区内的安全管理工作，并随时接受甲方或行业安全检查人员依法实施的监督检查，采取必要的安全防护措施，消除事故隐患。</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8.2 由于乙方管理不善，引起政府职能部门处罚和停工整改，或安全措施不力造成事故的，由乙方承担一切责任和损失。</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9 安全防护</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养护作业人员应做好各项安全防范措施，必须着装上岗操作，养护期间按规定做好安全标识。</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10 事故处理</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发生重大伤亡及其他安全事故，乙方应按有关规定立即上报有关部门并通知甲方代表，同时按政府有关部门要求处理由事故责任方承担发生的费用。</w:t>
      </w:r>
      <w:r>
        <w:rPr>
          <w:rFonts w:ascii="宋体" w:hAnsi="宋体" w:eastAsia="宋体" w:cs="宋体"/>
          <w:color w:val="000000"/>
          <w:sz w:val="24"/>
          <w:szCs w:val="24"/>
          <w:highlight w:val="none"/>
        </w:rPr>
      </w:r>
      <w:r/>
    </w:p>
    <w:p>
      <w:pPr>
        <w:pStyle w:val="778"/>
        <w:ind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11合同价款</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11.1 合同价款由甲、乙双方依据中标通知书中的中标价格在协议书内约定。</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11.2 乙方应向甲方提交月度养护作业统计报表。甲方可以按报表内容进行计量与考核，考核结果作为合同价款支付的依据。</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11.3 如实际养护作业量与设施量清单有出入时，乙方按照补充条款约定的时间上报计划变更单，经甲方审核并报有关部门审定后方可在下月养护计划中调整。</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11.4 对乙方超出养护范围和因乙方原因造成返工的工作量，甲方不予计量。</w:t>
      </w:r>
      <w:r>
        <w:rPr>
          <w:rFonts w:ascii="宋体" w:hAnsi="宋体" w:eastAsia="宋体" w:cs="宋体"/>
          <w:color w:val="000000"/>
          <w:sz w:val="24"/>
          <w:szCs w:val="24"/>
          <w:highlight w:val="none"/>
        </w:rPr>
      </w:r>
      <w:r/>
    </w:p>
    <w:p>
      <w:pPr>
        <w:pStyle w:val="778"/>
        <w:ind w:left="-141" w:right="-624" w:firstLine="616"/>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1.5 </w:t>
      </w:r>
      <w:r>
        <w:rPr>
          <w:rFonts w:hint="eastAsia" w:ascii="宋体" w:hAnsi="宋体" w:eastAsia="宋体" w:cs="宋体"/>
          <w:color w:val="000000"/>
          <w:sz w:val="24"/>
          <w:szCs w:val="24"/>
          <w:highlight w:val="none"/>
        </w:rPr>
        <w:t xml:space="preserve">履约担保要求及形式：本项目无需须向甲方缴纳履约保证金。</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12支付方式</w:t>
      </w:r>
      <w:r>
        <w:rPr>
          <w:rFonts w:ascii="宋体" w:hAnsi="宋体" w:eastAsia="宋体" w:cs="宋体"/>
          <w:b/>
          <w:bCs/>
          <w:color w:val="000000"/>
          <w:sz w:val="24"/>
          <w:szCs w:val="24"/>
          <w:highlight w:val="none"/>
        </w:rPr>
      </w:r>
      <w:r/>
    </w:p>
    <w:p>
      <w:pPr>
        <w:pStyle w:val="778"/>
        <w:ind w:left="-141" w:right="-624"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合同签订后，支付合同金额的30%预付款，剩余养护管理费按季度结算，付款时先扣除预付款金额，每季度结束经采购人考核合格后，乙方于次季度的第一个月向甲方提交有效发票,甲方于收到发票之日起一个月内,将上季度养护管理费转划至乙方指定的银行账户。实际支付按财政拨付情况执行，不计滞纳金、利息等所有其他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13 违约</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13.1 甲方代表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13.2 乙方不能达到所承诺的养护质量和有关技术规范标准，乙方按协议条款支付违约金并赔偿因违约给甲方造成的损失。</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13.3 因一方违约使合同不能履行，另一方欲终止或解除全部合同，应提前10天通知违约方后，</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可终止或解除合同，由违约方承担违约责任。</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 14 争议</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14.1 甲乙双方因合同发生争议，可由甲乙双方协商、调解、或约定仲裁机构仲裁、或向有管辖权的人民法院起诉解决。</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14.2发生争议后，除出现以下情况的，双方都应继续履行合同，保持养护连续性：</w:t>
      </w:r>
      <w:r>
        <w:rPr>
          <w:rFonts w:ascii="宋体" w:hAnsi="宋体" w:eastAsia="宋体" w:cs="宋体"/>
          <w:color w:val="000000"/>
          <w:sz w:val="24"/>
          <w:szCs w:val="24"/>
          <w:highlight w:val="none"/>
        </w:rPr>
      </w:r>
      <w:r/>
    </w:p>
    <w:p>
      <w:pPr>
        <w:pStyle w:val="778"/>
        <w:ind w:left="69" w:right="-624" w:firstLine="24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 合同确已无法履行；</w:t>
      </w:r>
      <w:r>
        <w:rPr>
          <w:rFonts w:ascii="宋体" w:hAnsi="宋体" w:eastAsia="宋体" w:cs="宋体"/>
          <w:color w:val="000000"/>
          <w:sz w:val="24"/>
          <w:szCs w:val="24"/>
          <w:highlight w:val="none"/>
        </w:rPr>
      </w:r>
      <w:r/>
    </w:p>
    <w:p>
      <w:pPr>
        <w:pStyle w:val="778"/>
        <w:ind w:left="69" w:right="-624" w:firstLine="24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 双方协议停止养护作业；</w:t>
      </w:r>
      <w:r>
        <w:rPr>
          <w:rFonts w:ascii="宋体" w:hAnsi="宋体" w:eastAsia="宋体" w:cs="宋体"/>
          <w:color w:val="000000"/>
          <w:sz w:val="24"/>
          <w:szCs w:val="24"/>
          <w:highlight w:val="none"/>
        </w:rPr>
      </w:r>
      <w:r/>
    </w:p>
    <w:p>
      <w:pPr>
        <w:pStyle w:val="778"/>
        <w:ind w:left="69" w:right="-624" w:firstLine="24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 仲裁机关要求停止养护作业；</w:t>
      </w:r>
      <w:r>
        <w:rPr>
          <w:rFonts w:ascii="宋体" w:hAnsi="宋体" w:eastAsia="宋体" w:cs="宋体"/>
          <w:color w:val="000000"/>
          <w:sz w:val="24"/>
          <w:szCs w:val="24"/>
          <w:highlight w:val="none"/>
        </w:rPr>
      </w:r>
      <w:r/>
    </w:p>
    <w:p>
      <w:pPr>
        <w:pStyle w:val="778"/>
        <w:ind w:left="69" w:right="-624" w:firstLine="24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 法院要求停止养护作业。</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ascii="宋体" w:hAnsi="宋体" w:eastAsia="宋体" w:cs="宋体"/>
          <w:b/>
          <w:bCs/>
          <w:color w:val="000000"/>
          <w:sz w:val="24"/>
          <w:szCs w:val="24"/>
          <w:highlight w:val="none"/>
        </w:rPr>
        <w:t xml:space="preserve">5合同终止</w:t>
      </w:r>
      <w:r>
        <w:rPr>
          <w:rFonts w:ascii="宋体" w:hAnsi="宋体" w:eastAsia="宋体" w:cs="宋体"/>
          <w:b/>
          <w:bCs/>
          <w:color w:val="000000"/>
          <w:sz w:val="24"/>
          <w:szCs w:val="24"/>
          <w:highlight w:val="none"/>
        </w:rPr>
      </w:r>
      <w:r/>
    </w:p>
    <w:p>
      <w:pPr>
        <w:pStyle w:val="778"/>
        <w:ind w:left="-141" w:right="-624"/>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 15.1 承包范围内的养护管理项目，乙方不得采取任何形式实施分包和转包，凡违反此规定的，甲方将立即取消乙方的承包资格，终止或解除养护承包合同，由此产生的一切法律责任和经济损失由乙方承担；</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ascii="宋体" w:hAnsi="宋体" w:eastAsia="宋体" w:cs="宋体"/>
          <w:b/>
          <w:bCs/>
          <w:color w:val="000000"/>
          <w:sz w:val="24"/>
          <w:szCs w:val="24"/>
          <w:highlight w:val="none"/>
        </w:rPr>
        <w:t xml:space="preserve">6其他</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16.1 在本合同执行过程中如遇和国家政策、地方法规的有关规定不符时，按有关政策法规执行。</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16.2 如遇自然灾害和不可抗力造成损失的，经双方协商解决。</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16.3 本合同如有未尽事宜，双方可通过协商补充协议解决。</w:t>
      </w:r>
      <w:r>
        <w:rPr>
          <w:rFonts w:ascii="宋体" w:hAnsi="宋体" w:eastAsia="宋体" w:cs="宋体"/>
          <w:color w:val="000000"/>
          <w:sz w:val="24"/>
          <w:szCs w:val="24"/>
          <w:highlight w:val="none"/>
        </w:rPr>
      </w:r>
      <w:r/>
    </w:p>
    <w:p>
      <w:pPr>
        <w:pStyle w:val="778"/>
        <w:ind w:left="-141" w:right="-624"/>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ascii="宋体" w:hAnsi="宋体" w:eastAsia="宋体" w:cs="宋体"/>
          <w:b/>
          <w:bCs/>
          <w:color w:val="000000"/>
          <w:sz w:val="24"/>
          <w:szCs w:val="24"/>
          <w:highlight w:val="none"/>
        </w:rPr>
        <w:t xml:space="preserve">7合同生效与终止</w:t>
      </w:r>
      <w:r>
        <w:rPr>
          <w:rFonts w:ascii="宋体" w:hAnsi="宋体" w:eastAsia="宋体" w:cs="宋体"/>
          <w:b/>
          <w:bCs/>
          <w:color w:val="000000"/>
          <w:sz w:val="24"/>
          <w:szCs w:val="24"/>
          <w:highlight w:val="none"/>
        </w:rPr>
      </w:r>
      <w:r/>
    </w:p>
    <w:p>
      <w:pPr>
        <w:pStyle w:val="778"/>
        <w:ind w:left="-141" w:right="-624"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双方在合同协议书中约定合同生效方式。双方履行合同全部义务，合同价款支付完毕后，本合同即告终止。</w:t>
      </w:r>
      <w:r>
        <w:rPr>
          <w:rFonts w:ascii="宋体" w:hAnsi="宋体" w:eastAsia="宋体" w:cs="宋体"/>
          <w:color w:val="000000"/>
          <w:sz w:val="24"/>
          <w:szCs w:val="24"/>
          <w:highlight w:val="none"/>
        </w:rPr>
      </w:r>
      <w:r/>
    </w:p>
    <w:p>
      <w:pPr>
        <w:pStyle w:val="778"/>
        <w:ind w:left="-141" w:right="-624" w:firstLine="480"/>
        <w:spacing w:line="360" w:lineRule="auto"/>
        <w:rPr>
          <w:rFonts w:ascii="宋体" w:hAnsi="宋体" w:eastAsia="宋体" w:cs="宋体"/>
          <w:bCs/>
          <w:color w:val="000000"/>
          <w:sz w:val="24"/>
          <w:szCs w:val="24"/>
          <w:highlight w:val="none"/>
        </w:rPr>
      </w:pPr>
      <w:r>
        <w:rPr>
          <w:rFonts w:ascii="宋体" w:hAnsi="宋体" w:eastAsia="宋体" w:cs="宋体"/>
          <w:color w:val="000000"/>
          <w:sz w:val="24"/>
          <w:szCs w:val="24"/>
          <w:highlight w:val="none"/>
        </w:rPr>
        <w:t xml:space="preserve">17.1</w:t>
      </w:r>
      <w:r>
        <w:rPr>
          <w:rFonts w:hint="eastAsia" w:ascii="宋体" w:hAnsi="宋体" w:eastAsia="宋体" w:cs="Times New Roman"/>
          <w:bCs/>
          <w:color w:val="000000"/>
          <w:sz w:val="24"/>
          <w:szCs w:val="24"/>
          <w:highlight w:val="none"/>
        </w:rPr>
        <w:t xml:space="preserve">合同一式五份，供需双方各执贰份，招标代理机构一份</w:t>
      </w:r>
      <w:r>
        <w:rPr>
          <w:rFonts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778"/>
        <w:ind w:firstLine="480"/>
        <w:jc w:val="both"/>
        <w:spacing w:line="360" w:lineRule="auto"/>
        <w:rPr>
          <w:rFonts w:ascii="宋体" w:hAnsi="宋体" w:cs="宋体"/>
          <w:color w:val="000000"/>
          <w:sz w:val="24"/>
          <w:highlight w:val="none"/>
        </w:rPr>
        <w:outlineLvl w:val="0"/>
      </w:pPr>
      <w:r>
        <w:rPr>
          <w:rFonts w:ascii="宋体" w:hAnsi="宋体" w:eastAsia="宋体" w:cs="宋体"/>
          <w:color w:val="000000"/>
          <w:sz w:val="24"/>
          <w:szCs w:val="24"/>
          <w:highlight w:val="none"/>
        </w:rPr>
        <w:t xml:space="preserve">17.2本合同的解释权在</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w:t>
      </w:r>
      <w:r>
        <w:rPr>
          <w:rFonts w:ascii="宋体" w:hAnsi="宋体" w:cs="宋体"/>
          <w:color w:val="000000"/>
          <w:sz w:val="24"/>
          <w:highlight w:val="none"/>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804"/>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804"/>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804"/>
        <w:rPr>
          <w:rFonts w:hint="eastAsia"/>
          <w:color w:val="000000"/>
          <w:highlight w:val="none"/>
          <w:lang w:eastAsia="en-US"/>
        </w:rPr>
      </w:pPr>
      <w:r>
        <w:rPr>
          <w:rFonts w:hint="eastAsia"/>
          <w:color w:val="000000"/>
          <w:highlight w:val="none"/>
          <w:lang w:eastAsia="en-US"/>
        </w:rPr>
      </w:r>
      <w:r/>
    </w:p>
    <w:p>
      <w:pPr>
        <w:pStyle w:val="778"/>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90"/>
        <w:rPr>
          <w:rFonts w:hint="eastAsia"/>
          <w:color w:val="000000"/>
          <w:highlight w:val="none"/>
          <w:lang w:eastAsia="en-US"/>
        </w:rPr>
      </w:pPr>
      <w:r>
        <w:rPr>
          <w:rFonts w:hint="eastAsia"/>
          <w:color w:val="000000"/>
          <w:highlight w:val="none"/>
          <w:lang w:eastAsia="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bookmarkStart w:id="189" w:name="bookmark2"/>
      <w:r/>
      <w:bookmarkStart w:id="190" w:name="bookmark1"/>
      <w:r/>
      <w:bookmarkStart w:id="191" w:name="bookmark0"/>
      <w:r>
        <w:rPr>
          <w:rFonts w:hint="eastAsia" w:ascii="宋体" w:hAnsi="宋体" w:eastAsia="宋体" w:cs="宋体"/>
          <w:b/>
          <w:bCs/>
          <w:color w:val="000000"/>
          <w:spacing w:val="0"/>
          <w:position w:val="0"/>
          <w:sz w:val="44"/>
          <w:szCs w:val="44"/>
          <w:highlight w:val="none"/>
          <w:shd w:val="clear" w:color="auto" w:fill="auto"/>
          <w:lang w:eastAsia="en-US" w:bidi="en-US"/>
        </w:rPr>
        <w:t xml:space="preserve">太湖街道外包绿化养护质量考核实施办法</w:t>
      </w:r>
      <w:bookmarkEnd w:id="189"/>
      <w:r/>
      <w:bookmarkEnd w:id="190"/>
      <w:r/>
      <w:bookmarkEnd w:id="191"/>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480"/>
        <w:jc w:val="both"/>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为进一步加强太湖街道城市绿化养护管理工作考核，规范绿化养护行为，切实提高绿化养护质量，确保街道绿化的完好和正常生长，提升整体品位和综合服务功能，根据《无锡市城市绿化管理条例》，结合我街道的实际情况，制定本实施意见。</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46"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bookmarkStart w:id="192" w:name="bookmark6"/>
      <w:r/>
      <w:bookmarkStart w:id="193" w:name="bookmark5"/>
      <w:r/>
      <w:bookmarkStart w:id="194" w:name="bookmark3"/>
      <w:r/>
      <w:bookmarkStart w:id="195" w:name="bookmark4"/>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一</w:t>
      </w:r>
      <w:bookmarkEnd w:id="193"/>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、考核对象</w:t>
      </w:r>
      <w:bookmarkEnd w:id="192"/>
      <w:r/>
      <w:bookmarkEnd w:id="194"/>
      <w:r/>
      <w:bookmarkEnd w:id="195"/>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各绿化养护外包单位</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46"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bookmarkStart w:id="196" w:name="bookmark9"/>
      <w:r/>
      <w:bookmarkStart w:id="197" w:name="bookmark8"/>
      <w:r/>
      <w:bookmarkStart w:id="198" w:name="bookmark7"/>
      <w:r/>
      <w:bookmarkStart w:id="199" w:name="bookmark10"/>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二</w:t>
      </w:r>
      <w:bookmarkEnd w:id="196"/>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、考核范围</w:t>
      </w:r>
      <w:bookmarkEnd w:id="197"/>
      <w:r/>
      <w:bookmarkEnd w:id="198"/>
      <w:r/>
      <w:bookmarkEnd w:id="199"/>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太湖街道管理范围的道路、河道岸坡、公共绿地、工业园区、小游园等绿</w:t>
      </w:r>
      <w:r>
        <w:rPr>
          <w:rFonts w:hint="eastAsia" w:ascii="宋体" w:hAnsi="宋体" w:eastAsia="宋体" w:cs="宋体"/>
          <w:color w:val="000000"/>
          <w:spacing w:val="0"/>
          <w:position w:val="0"/>
          <w:sz w:val="24"/>
          <w:szCs w:val="24"/>
          <w:highlight w:val="none"/>
          <w:u w:val="none"/>
          <w:shd w:val="clear" w:color="auto" w:fill="auto"/>
          <w:lang w:val="zh-CN" w:eastAsia="zh-CN" w:bidi="zh-CN"/>
        </w:rPr>
        <w:t xml:space="preserve">地。</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46"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bookmarkStart w:id="200" w:name="bookmark13"/>
      <w:r/>
      <w:bookmarkStart w:id="201" w:name="bookmark11"/>
      <w:r/>
      <w:bookmarkStart w:id="202" w:name="bookmark14"/>
      <w:r/>
      <w:bookmarkStart w:id="203" w:name="bookmark12"/>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三</w:t>
      </w:r>
      <w:bookmarkEnd w:id="200"/>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、考核内容</w:t>
      </w:r>
      <w:bookmarkEnd w:id="201"/>
      <w:r/>
      <w:bookmarkEnd w:id="202"/>
      <w:r/>
      <w:bookmarkEnd w:id="203"/>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日常管理，设施完好情况，资料、台账管理等方面内容。</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val="0"/>
        <w:keepNext w:val="0"/>
        <w:pageBreakBefore w:val="0"/>
        <w:spacing w:before="0" w:after="0" w:line="360" w:lineRule="auto"/>
        <w:shd w:val="clear" w:color="auto" w:fill="auto"/>
        <w:widowControl w:val="off"/>
        <w:tabs>
          <w:tab w:val="left" w:pos="546"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bookmarkStart w:id="204" w:name="bookmark15"/>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四</w:t>
      </w:r>
      <w:bookmarkEnd w:id="204"/>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、考核办法</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每月度考核方式进行，考核在每月度未进行。</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53"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bookmarkStart w:id="205" w:name="bookmark18"/>
      <w:r/>
      <w:bookmarkStart w:id="206" w:name="bookmark17"/>
      <w:r/>
      <w:bookmarkStart w:id="207" w:name="bookmark16"/>
      <w:r/>
      <w:bookmarkStart w:id="208" w:name="bookmark19"/>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五</w:t>
      </w:r>
      <w:bookmarkEnd w:id="205"/>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、考评细则（分值）</w:t>
      </w:r>
      <w:bookmarkEnd w:id="206"/>
      <w:r/>
      <w:bookmarkEnd w:id="207"/>
      <w:r/>
      <w:bookmarkEnd w:id="208"/>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修剪25分（乔木5分、灌木10分、草坪花木10分），施肥10分，病虫防治10分，抗旱防涝10分，除草15分，补植5分，绿化保洁15分，其他10分。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both"/>
        <w:keepLines/>
        <w:keepNext/>
        <w:pageBreakBefore w:val="0"/>
        <w:spacing w:before="0" w:after="0" w:line="360" w:lineRule="auto"/>
        <w:shd w:val="clear" w:color="auto" w:fill="auto"/>
        <w:widowControl w:val="off"/>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bookmarkStart w:id="209" w:name="bookmark22"/>
      <w:r/>
      <w:bookmarkStart w:id="210" w:name="bookmark21"/>
      <w:r/>
      <w:bookmarkStart w:id="211" w:name="bookmark20"/>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六、检查考核</w:t>
      </w:r>
      <w:bookmarkEnd w:id="209"/>
      <w:r/>
      <w:bookmarkEnd w:id="210"/>
      <w:r/>
      <w:bookmarkEnd w:id="211"/>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明查暗访，定期不定期检查和考核相结合。</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094"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bookmarkStart w:id="212" w:name="bookmark23"/>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1</w:t>
      </w:r>
      <w:bookmarkEnd w:id="212"/>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、由</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甲方</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组织实施，对各养护单位质量实行百分制考核，考核得分与全年养护费挂钩。</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094"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bookmarkStart w:id="213" w:name="bookmark24"/>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2</w:t>
      </w:r>
      <w:bookmarkEnd w:id="213"/>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、为确保考评结果的客观真实，考核以《评分表》为标准采取明查暗访、看现场等，每月进行一次检查考核评分。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107"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bookmarkStart w:id="214" w:name="bookmark25"/>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3</w:t>
      </w:r>
      <w:bookmarkEnd w:id="214"/>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、日常巡查，由绿化监管员负责，发现问题要求养护单位整改,如三次整改不到位扣一分，计入考评分内，每年累计最多扣满10分。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100"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bookmarkStart w:id="215" w:name="bookmark26"/>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4</w:t>
      </w:r>
      <w:bookmarkEnd w:id="215"/>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、考评得分与日常巡查扣分直接与养护费挂钩。即90分以上按合同核定支付当季养护费，90分以下按实际扣减分值扣减当季养护费，85分-89分扣减5%,80分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-84</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分扣减10%,75分-79分扣减15%,70分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-74</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分扣减20%,65分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-69</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分扣减25%,60分-64分扣减30%,60分以下（不含60分）停发当季养护费，待下季整改到位后再视情况支付。</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50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bookmarkStart w:id="216" w:name="bookmark27"/>
      <w:r>
        <w:rPr>
          <w:rFonts w:hint="eastAsia" w:ascii="宋体" w:hAnsi="宋体" w:eastAsia="宋体" w:cs="宋体"/>
          <w:color w:val="000000"/>
          <w:spacing w:val="0"/>
          <w:position w:val="0"/>
          <w:sz w:val="24"/>
          <w:szCs w:val="24"/>
          <w:highlight w:val="none"/>
          <w:u w:val="none"/>
          <w:shd w:val="clear" w:color="auto" w:fill="auto"/>
          <w:lang w:val="zh-CN" w:eastAsia="zh-CN" w:bidi="zh-CN"/>
        </w:rPr>
        <w:t xml:space="preserve">5</w:t>
      </w:r>
      <w:bookmarkEnd w:id="216"/>
      <w:r>
        <w:rPr>
          <w:rFonts w:hint="eastAsia" w:ascii="宋体" w:hAnsi="宋体" w:eastAsia="宋体" w:cs="宋体"/>
          <w:color w:val="000000"/>
          <w:spacing w:val="0"/>
          <w:position w:val="0"/>
          <w:sz w:val="24"/>
          <w:szCs w:val="24"/>
          <w:highlight w:val="none"/>
          <w:u w:val="none"/>
          <w:shd w:val="clear" w:color="auto" w:fill="auto"/>
          <w:lang w:val="zh-CN" w:eastAsia="zh-CN" w:bidi="zh-CN"/>
        </w:rPr>
        <w:t xml:space="preserve">、</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考核条款按街道制订的相关标准要求进行，如不按合同内各条款有关要求，或因人为因素出现重大责任事故或安全事故时，街道将</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淘汰制，取消下一年的外包养护资格。</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50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附件1</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：绿化养护考核标准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224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附件2：</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太湖街道绿化养护工作考核评分表</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rPr>
          <w:rFonts w:hint="eastAsia" w:ascii="宋体" w:hAnsi="宋体" w:eastAsia="宋体" w:cs="宋体"/>
          <w:color w:val="000000"/>
          <w:spacing w:val="0"/>
          <w:position w:val="0"/>
          <w:sz w:val="24"/>
          <w:highlight w:val="none"/>
          <w:shd w:val="clear" w:color="auto" w:fill="auto"/>
          <w:lang w:eastAsia="en-US" w:bidi="en-US"/>
        </w:rPr>
      </w:pPr>
      <w:r>
        <w:rPr>
          <w:rFonts w:hint="eastAsia" w:ascii="宋体" w:hAnsi="宋体" w:eastAsia="宋体" w:cs="宋体"/>
          <w:color w:val="000000"/>
          <w:spacing w:val="0"/>
          <w:position w:val="0"/>
          <w:sz w:val="24"/>
          <w:highlight w:val="none"/>
          <w:shd w:val="clear" w:color="auto" w:fill="auto"/>
          <w:lang w:eastAsia="en-US" w:bidi="en-US"/>
        </w:rPr>
        <w:br w:type="page" w:clear="all"/>
      </w:r>
      <w:r>
        <w:rPr>
          <w:rFonts w:hint="eastAsia" w:ascii="宋体" w:hAnsi="宋体" w:eastAsia="宋体" w:cs="宋体"/>
          <w:color w:val="000000"/>
          <w:spacing w:val="0"/>
          <w:position w:val="0"/>
          <w:sz w:val="24"/>
          <w:highlight w:val="none"/>
          <w:shd w:val="clear" w:color="auto" w:fill="auto"/>
          <w:lang w:eastAsia="en-US" w:bidi="en-US"/>
        </w:rPr>
      </w:r>
      <w:r/>
    </w:p>
    <w:p>
      <w:pPr>
        <w:pStyle w:val="778"/>
        <w:ind w:left="0" w:right="0" w:firstLine="56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8"/>
          <w:szCs w:val="28"/>
          <w:highlight w:val="none"/>
          <w:shd w:val="clear" w:color="auto" w:fill="auto"/>
          <w:lang w:val="en-US" w:eastAsia="zh-CN" w:bidi="ar"/>
        </w:rPr>
        <w:suppressLineNumbers w:val="0"/>
      </w:pPr>
      <w:r>
        <w:rPr>
          <w:rFonts w:hint="eastAsia" w:ascii="宋体" w:hAnsi="宋体" w:eastAsia="宋体" w:cs="宋体"/>
          <w:color w:val="000000"/>
          <w:spacing w:val="0"/>
          <w:position w:val="0"/>
          <w:sz w:val="28"/>
          <w:szCs w:val="28"/>
          <w:highlight w:val="none"/>
          <w:shd w:val="clear" w:color="auto" w:fill="auto"/>
          <w:lang w:val="en-US" w:eastAsia="zh-CN" w:bidi="ar"/>
        </w:rPr>
        <w:t xml:space="preserve">附件1：</w:t>
      </w:r>
      <w:r>
        <w:rPr>
          <w:rFonts w:hint="eastAsia" w:ascii="宋体" w:hAnsi="宋体" w:eastAsia="宋体" w:cs="宋体"/>
          <w:color w:val="000000"/>
          <w:spacing w:val="0"/>
          <w:position w:val="0"/>
          <w:sz w:val="28"/>
          <w:szCs w:val="28"/>
          <w:highlight w:val="none"/>
          <w:shd w:val="clear" w:color="auto" w:fill="auto"/>
          <w:lang w:val="en-US" w:eastAsia="zh-CN" w:bidi="ar"/>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t xml:space="preserve">太湖街道城市绿化养护的质量标准和要求</w:t>
      </w: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一、绿地养护质量标准</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按照《江苏省城市园林绿化植物养护技术规定》(试行)的要求，绿地养护应做到：</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每天进行绿地保洁，及时清除绿地内纸屑、烟蒂、果壳、垃圾堆放物等不洁物，保持绿地清洁。绿地中的乔木、灌木、花卉地被和草坪等植物，凡经栽植成活一年以上的其保存率应达到98%,植物生长健壮，无死树、无缺株；修剪合理、树型优美、叶茂花盛；花卉地被栽植等符合指标、无裸露地，草坪无空秃；病虫杂草控制良好。保持绿地设施完好无损，并有良好的景观面貌。</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2、行道树修剪、剥芽符合技术规程，长势良好。一条道路同一品种分枝点基本相同，无缺株、死株；树木倾斜度不超过10度；无断桩、坏桩、桩位绑扎规范化；基本无病虫害迹象，有防治措施。</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3、养护标段内在日常中发生绿地苗木抽稀，调整和改善土质等工作，是正常的养护内容。</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4、道路绿化隔离带植物叶面喷水除尘，根据实际情况进行作业。</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5、绿地附属栏杆的维护保养，保持完好、完整，每年油漆1次。</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6、日常保洁养护作业资料齐全，做到有计划、有记录、有统计，并且资料与实际养护情况相符。</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二、防汛防台风要求</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1、汛前准备：做好防汛准备工作，包括人员、物资，做好非汛期的区域内全部绿地排水的疏通工作。</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2、汛期抢险：安排人员加强值班，组织人员外出查询，雨后，必须及时组织人员进行排水工作。</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3、台风季节应由专人值班，并在出现灾害后及时(24小时内)处理完毕。</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三、文明安全养护要求</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1、应有安全员(需有上岗证书)并且施工人员进行安全教育和对施工设备和现场进行安全检查。</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2、绿化养护作业时，要充分利用和机械设备。绿化养护人员必须穿工作服，在夜间养护作业必须在作业区域内点红灯示意警戒标志。</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绿化养护作业时，应随时保持道路的清洁、畅通，并由专人负责监督，以确保文明安全养护。行道树修剪应尽量避开道路交通高峰时段，并按照规定做好现场安全维护隔离及指挥，修剪下的枝条应及时整理清运；打药水应提前告示居民，尽量避开出行高峰期。</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四、绿地养护等级标准</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太湖街道城市绿化养护目前执行的是二级养护标准</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乔木：</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1、生长正常，树冠基本完整，主侧枝分枝基本均匀，数量适宜，内膛通风透光；</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2、叶色基本正常，有少量黄叶(生长季节)、蕉叶、卷叶，有少量虫粪。</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3、枝干生长正常，无明显枯死枝，害虫害虽有生长，但能及时根除；</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4、缺株在4%以下(含4%)不得有连续3棵缺株、补植树木与原树木径级不超过35%。</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5、树空内无垃圾及高垦杂草、土壤不板结；</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草坪：</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1、生长良好，杂草率≤25%,覆盖率达90%以上；</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2、修剪高低符合要求，能及时处理堆料堆物；</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3、单块空秃面积不超过0.3㎡；</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花卉：</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1、全年换花4次；</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2、花卉生长正常，缺株、倒伏不超过3-5处，无枯枝残花(残花量≤15%)；</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3、花期基本整齐，覆盖面积达75%以上；</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绿篱及地被：</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1、生长茂盛，枝条虫害。</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2、修剪成型，完整无缺。</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3、无垃圾杂物。</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混合花镜：</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1、花镜养护设施量清单内品种数量及品种种植面积不变。</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2、现有花镜内林，宿根(球、块根)花卉比例与布局，位置不变；</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3、生长正常，无病虫害，无残花败叶，按自然花期开花。</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8"/>
          <w:szCs w:val="28"/>
          <w:highlight w:val="none"/>
          <w:shd w:val="clear" w:color="auto" w:fill="auto"/>
          <w:lang w:eastAsia="en-US" w:bidi="en-US"/>
        </w:rPr>
      </w:pPr>
      <w:r>
        <w:rPr>
          <w:rFonts w:hint="eastAsia" w:ascii="宋体" w:hAnsi="宋体" w:eastAsia="宋体" w:cs="宋体"/>
          <w:color w:val="000000"/>
          <w:spacing w:val="0"/>
          <w:position w:val="0"/>
          <w:sz w:val="28"/>
          <w:szCs w:val="28"/>
          <w:highlight w:val="none"/>
          <w:shd w:val="clear" w:color="auto" w:fill="auto"/>
          <w:lang w:eastAsia="en-US" w:bidi="en-US"/>
        </w:rPr>
        <w:br w:type="page" w:clear="all"/>
      </w:r>
      <w:r>
        <w:rPr>
          <w:rFonts w:hint="eastAsia" w:ascii="宋体" w:hAnsi="宋体" w:eastAsia="宋体" w:cs="宋体"/>
          <w:color w:val="000000"/>
          <w:spacing w:val="0"/>
          <w:position w:val="0"/>
          <w:sz w:val="28"/>
          <w:szCs w:val="28"/>
          <w:highlight w:val="none"/>
          <w:shd w:val="clear" w:color="auto" w:fill="auto"/>
          <w:lang w:eastAsia="en-US" w:bidi="en-US"/>
        </w:rPr>
      </w:r>
      <w:r/>
    </w:p>
    <w:p>
      <w:pPr>
        <w:pStyle w:val="778"/>
        <w:ind w:left="0" w:right="0" w:firstLine="56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8"/>
          <w:szCs w:val="28"/>
          <w:highlight w:val="none"/>
          <w:shd w:val="clear" w:color="auto" w:fill="auto"/>
          <w:lang w:val="en-US" w:eastAsia="zh-CN" w:bidi="ar"/>
        </w:rPr>
        <w:suppressLineNumbers w:val="0"/>
      </w:pPr>
      <w:r>
        <w:rPr>
          <w:rFonts w:hint="eastAsia" w:ascii="宋体" w:hAnsi="宋体" w:eastAsia="宋体" w:cs="宋体"/>
          <w:color w:val="000000"/>
          <w:spacing w:val="0"/>
          <w:position w:val="0"/>
          <w:sz w:val="28"/>
          <w:szCs w:val="28"/>
          <w:highlight w:val="none"/>
          <w:shd w:val="clear" w:color="auto" w:fill="auto"/>
          <w:lang w:val="en-US" w:eastAsia="zh-CN" w:bidi="ar"/>
        </w:rPr>
        <w:t xml:space="preserve">附件2：</w:t>
      </w:r>
      <w:r>
        <w:rPr>
          <w:rFonts w:hint="eastAsia" w:ascii="宋体" w:hAnsi="宋体" w:eastAsia="宋体" w:cs="宋体"/>
          <w:color w:val="000000"/>
          <w:spacing w:val="0"/>
          <w:position w:val="0"/>
          <w:sz w:val="28"/>
          <w:szCs w:val="28"/>
          <w:highlight w:val="none"/>
          <w:shd w:val="clear" w:color="auto" w:fill="auto"/>
          <w:lang w:val="en-US" w:eastAsia="zh-CN" w:bidi="ar"/>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t xml:space="preserve">太湖街道绿化养护工作考核评分表</w:t>
      </w: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32"/>
          <w:szCs w:val="32"/>
          <w:highlight w:val="none"/>
          <w:shd w:val="clear" w:color="auto" w:fill="auto"/>
          <w:lang w:eastAsia="en-US" w:bidi="en-US"/>
        </w:rPr>
      </w:pPr>
      <w:r>
        <w:rPr>
          <w:rFonts w:hint="eastAsia" w:ascii="宋体" w:hAnsi="宋体" w:eastAsia="宋体" w:cs="宋体"/>
          <w:color w:val="000000"/>
          <w:spacing w:val="0"/>
          <w:position w:val="0"/>
          <w:sz w:val="32"/>
          <w:szCs w:val="32"/>
          <w:highlight w:val="none"/>
          <w:shd w:val="clear" w:color="auto" w:fill="auto"/>
          <w:lang w:eastAsia="en-US" w:bidi="en-US"/>
        </w:rPr>
        <w:t xml:space="preserve">单位：</w:t>
      </w:r>
      <w:r>
        <w:rPr>
          <w:rFonts w:hint="eastAsia" w:ascii="宋体" w:hAnsi="宋体" w:eastAsia="宋体" w:cs="宋体"/>
          <w:color w:val="000000"/>
          <w:spacing w:val="0"/>
          <w:position w:val="0"/>
          <w:sz w:val="32"/>
          <w:szCs w:val="32"/>
          <w:highlight w:val="none"/>
          <w:shd w:val="clear" w:color="auto" w:fill="auto"/>
          <w:lang w:val="en-US" w:eastAsia="zh-CN" w:bidi="en-US"/>
        </w:rPr>
        <w:t xml:space="preserve">       </w:t>
      </w:r>
      <w:r>
        <w:rPr>
          <w:rFonts w:hint="eastAsia" w:ascii="宋体" w:hAnsi="宋体" w:eastAsia="宋体" w:cs="宋体"/>
          <w:color w:val="000000"/>
          <w:spacing w:val="0"/>
          <w:position w:val="0"/>
          <w:sz w:val="32"/>
          <w:szCs w:val="32"/>
          <w:highlight w:val="none"/>
          <w:shd w:val="clear" w:color="auto" w:fill="auto"/>
          <w:lang w:eastAsia="en-US" w:bidi="en-US"/>
        </w:rPr>
        <w:t xml:space="preserve">        （第</w:t>
      </w:r>
      <w:r>
        <w:rPr>
          <w:rFonts w:hint="eastAsia" w:ascii="宋体" w:hAnsi="宋体" w:eastAsia="宋体" w:cs="宋体"/>
          <w:color w:val="000000"/>
          <w:spacing w:val="0"/>
          <w:position w:val="0"/>
          <w:sz w:val="32"/>
          <w:szCs w:val="32"/>
          <w:highlight w:val="none"/>
          <w:shd w:val="clear" w:color="auto" w:fill="auto"/>
          <w:lang w:val="en-US" w:eastAsia="zh-CN" w:bidi="en-US"/>
        </w:rPr>
        <w:t xml:space="preserve">  </w:t>
      </w:r>
      <w:r>
        <w:rPr>
          <w:rFonts w:hint="eastAsia" w:ascii="宋体" w:hAnsi="宋体" w:eastAsia="宋体" w:cs="宋体"/>
          <w:color w:val="000000"/>
          <w:spacing w:val="0"/>
          <w:position w:val="0"/>
          <w:sz w:val="32"/>
          <w:szCs w:val="32"/>
          <w:highlight w:val="none"/>
          <w:shd w:val="clear" w:color="auto" w:fill="auto"/>
          <w:lang w:eastAsia="en-US" w:bidi="en-US"/>
        </w:rPr>
        <w:t xml:space="preserve">月份）</w:t>
      </w:r>
      <w:r>
        <w:rPr>
          <w:rFonts w:hint="eastAsia" w:ascii="宋体" w:hAnsi="宋体" w:eastAsia="宋体" w:cs="宋体"/>
          <w:color w:val="000000"/>
          <w:spacing w:val="0"/>
          <w:position w:val="0"/>
          <w:sz w:val="32"/>
          <w:szCs w:val="32"/>
          <w:highlight w:val="none"/>
          <w:shd w:val="clear" w:color="auto" w:fill="auto"/>
          <w:lang w:eastAsia="en-US" w:bidi="en-US"/>
        </w:rPr>
      </w:r>
      <w:r/>
    </w:p>
    <w:tbl>
      <w:tblPr>
        <w:tblStyle w:val="8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659"/>
        <w:gridCol w:w="2700"/>
        <w:gridCol w:w="901"/>
        <w:gridCol w:w="1421"/>
        <w:gridCol w:w="1421"/>
      </w:tblGrid>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分类</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序号</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项目</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分值</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得分</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备注</w:t>
            </w: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restart"/>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修剪</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乔木</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2</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灌木</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val="en-US" w:eastAsia="zh-CN" w:bidi="en-US"/>
              </w:rPr>
            </w:pPr>
            <w:r>
              <w:rPr>
                <w:rFonts w:hint="eastAsia" w:ascii="宋体" w:hAnsi="宋体" w:eastAsia="宋体" w:cs="宋体"/>
                <w:color w:val="000000"/>
                <w:spacing w:val="0"/>
                <w:position w:val="0"/>
                <w:sz w:val="24"/>
                <w:szCs w:val="24"/>
                <w:highlight w:val="none"/>
                <w:shd w:val="clear" w:color="auto" w:fill="auto"/>
                <w:lang w:val="en-US" w:eastAsia="zh-CN"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3</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花草等</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施肥</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4</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施肥</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防病</w:t>
            </w:r>
            <w:r>
              <w:rPr>
                <w:rFonts w:hint="eastAsia" w:ascii="宋体" w:hAnsi="宋体" w:eastAsia="宋体" w:cs="宋体"/>
                <w:color w:val="000000"/>
                <w:spacing w:val="0"/>
                <w:position w:val="0"/>
                <w:sz w:val="24"/>
                <w:szCs w:val="2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治虫</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center"/>
            <w:textDirection w:val="lrTb"/>
            <w:noWrap w:val="false"/>
          </w:tcPr>
          <w:p>
            <w:pPr>
              <w:pStyle w:val="778"/>
              <w:ind w:left="0" w:right="0" w:firstLine="0"/>
              <w:jc w:val="both"/>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病虫害防治</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restart"/>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抗雨雪、防冻</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6</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花卉、苗木</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7</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树木、草地</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restart"/>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日常</w:t>
            </w:r>
            <w:r>
              <w:rPr>
                <w:rFonts w:hint="eastAsia" w:ascii="宋体" w:hAnsi="宋体" w:eastAsia="宋体" w:cs="宋体"/>
                <w:color w:val="000000"/>
                <w:spacing w:val="0"/>
                <w:position w:val="0"/>
                <w:sz w:val="24"/>
                <w:szCs w:val="2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维护</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8</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除草</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val="en-US" w:eastAsia="zh-CN" w:bidi="en-US"/>
              </w:rPr>
            </w:pPr>
            <w:r>
              <w:rPr>
                <w:rFonts w:hint="eastAsia" w:ascii="宋体" w:hAnsi="宋体" w:eastAsia="宋体" w:cs="宋体"/>
                <w:color w:val="000000"/>
                <w:spacing w:val="0"/>
                <w:position w:val="0"/>
                <w:sz w:val="24"/>
                <w:szCs w:val="24"/>
                <w:highlight w:val="none"/>
                <w:shd w:val="clear" w:color="auto" w:fill="auto"/>
                <w:lang w:val="en-US" w:eastAsia="zh-CN"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9</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补植</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zh-CN" w:bidi="en-US"/>
              </w:rPr>
            </w:pPr>
            <w:r>
              <w:rPr>
                <w:rFonts w:hint="eastAsia" w:ascii="宋体" w:hAnsi="宋体" w:eastAsia="宋体" w:cs="宋体"/>
                <w:color w:val="000000"/>
                <w:spacing w:val="0"/>
                <w:position w:val="0"/>
                <w:sz w:val="24"/>
                <w:szCs w:val="24"/>
                <w:highlight w:val="none"/>
                <w:shd w:val="clear" w:color="auto" w:fill="auto"/>
                <w:lang w:eastAsia="zh-CN"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tabs>
                <w:tab w:val="left" w:pos="285" w:leader="none"/>
              </w:tabs>
              <w:rPr>
                <w:rFonts w:hint="eastAsia" w:ascii="宋体" w:hAnsi="宋体" w:eastAsia="宋体" w:cs="宋体"/>
                <w:color w:val="000000"/>
                <w:spacing w:val="0"/>
                <w:position w:val="0"/>
                <w:sz w:val="24"/>
                <w:szCs w:val="24"/>
                <w:highlight w:val="none"/>
                <w:shd w:val="clear" w:color="auto" w:fill="auto"/>
                <w:lang w:eastAsia="zh-CN" w:bidi="en-US"/>
              </w:rPr>
            </w:pPr>
            <w:r>
              <w:rPr>
                <w:rFonts w:hint="eastAsia" w:ascii="宋体" w:hAnsi="宋体" w:eastAsia="宋体" w:cs="宋体"/>
                <w:color w:val="000000"/>
                <w:spacing w:val="0"/>
                <w:position w:val="0"/>
                <w:sz w:val="24"/>
                <w:szCs w:val="24"/>
                <w:highlight w:val="none"/>
                <w:shd w:val="clear" w:color="auto" w:fill="auto"/>
                <w:lang w:eastAsia="zh-CN" w:bidi="en-US"/>
              </w:rPr>
            </w:r>
            <w:r/>
          </w:p>
        </w:tc>
      </w:tr>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绿化保洁</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绿化保洁</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val="en-US" w:eastAsia="zh-CN" w:bidi="en-US"/>
              </w:rPr>
            </w:pPr>
            <w:r>
              <w:rPr>
                <w:rFonts w:hint="eastAsia" w:ascii="宋体" w:hAnsi="宋体" w:eastAsia="宋体" w:cs="宋体"/>
                <w:color w:val="000000"/>
                <w:spacing w:val="0"/>
                <w:position w:val="0"/>
                <w:sz w:val="24"/>
                <w:szCs w:val="24"/>
                <w:highlight w:val="none"/>
                <w:shd w:val="clear" w:color="auto" w:fill="auto"/>
                <w:lang w:val="en-US" w:eastAsia="zh-CN"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tabs>
                <w:tab w:val="left" w:pos="285" w:leader="none"/>
              </w:tabs>
              <w:rPr>
                <w:rFonts w:hint="eastAsia" w:ascii="宋体" w:hAnsi="宋体" w:eastAsia="宋体" w:cs="宋体"/>
                <w:color w:val="000000"/>
                <w:spacing w:val="0"/>
                <w:position w:val="0"/>
                <w:sz w:val="24"/>
                <w:szCs w:val="24"/>
                <w:highlight w:val="none"/>
                <w:shd w:val="clear" w:color="auto" w:fill="auto"/>
                <w:lang w:eastAsia="zh-CN" w:bidi="en-US"/>
              </w:rPr>
            </w:pPr>
            <w:r>
              <w:rPr>
                <w:rFonts w:hint="eastAsia" w:ascii="宋体" w:hAnsi="宋体" w:eastAsia="宋体" w:cs="宋体"/>
                <w:color w:val="000000"/>
                <w:spacing w:val="0"/>
                <w:position w:val="0"/>
                <w:sz w:val="24"/>
                <w:szCs w:val="24"/>
                <w:highlight w:val="none"/>
                <w:shd w:val="clear" w:color="auto" w:fill="auto"/>
                <w:lang w:eastAsia="zh-CN" w:bidi="en-US"/>
              </w:rPr>
            </w:r>
            <w:r/>
          </w:p>
        </w:tc>
      </w:tr>
      <w:tr>
        <w:trPr/>
        <w:tc>
          <w:tcPr>
            <w:tcW w:w="142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其他</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11</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合同其他项目执行情况</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rHeight w:val="1874"/>
        </w:trPr>
        <w:tc>
          <w:tcPr>
            <w:tcW w:w="1420"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考核人员</w:t>
            </w:r>
            <w:r>
              <w:rPr>
                <w:rFonts w:hint="eastAsia" w:ascii="宋体" w:hAnsi="宋体" w:eastAsia="宋体" w:cs="宋体"/>
                <w:color w:val="000000"/>
                <w:spacing w:val="0"/>
                <w:position w:val="0"/>
                <w:sz w:val="24"/>
                <w:szCs w:val="24"/>
                <w:highlight w:val="none"/>
                <w:shd w:val="clear" w:color="auto" w:fill="auto"/>
                <w:lang w:eastAsia="en-US" w:bidi="en-US"/>
              </w:rPr>
            </w:r>
            <w:r/>
          </w:p>
        </w:tc>
        <w:tc>
          <w:tcPr>
            <w:gridSpan w:val="3"/>
            <w:tcW w:w="4260" w:type="dxa"/>
            <w:vAlign w:val="center"/>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总评得分</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bl>
    <w:p>
      <w:pPr>
        <w:pStyle w:val="778"/>
      </w:pPr>
      <w:r/>
      <w:r/>
    </w:p>
    <w:p>
      <w:pPr>
        <w:pStyle w:val="778"/>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rPr>
        <w:br w:type="page" w:clear="all"/>
      </w:r>
      <w:bookmarkEnd w:id="185"/>
      <w:r/>
      <w:bookmarkEnd w:id="186"/>
      <w:r/>
      <w:bookmarkEnd w:id="187"/>
      <w:r/>
      <w:bookmarkStart w:id="217" w:name="_Hlt16619369"/>
      <w:r/>
      <w:bookmarkEnd w:id="217"/>
      <w:r/>
      <w:bookmarkStart w:id="218" w:name="_Hlt16619350"/>
      <w:r/>
      <w:bookmarkStart w:id="219" w:name="_Toc120614244"/>
      <w:r/>
      <w:bookmarkStart w:id="220" w:name="_Toc2602"/>
      <w:r/>
      <w:bookmarkStart w:id="221" w:name="_Toc20823346"/>
      <w:r/>
      <w:bookmarkStart w:id="222" w:name="_Toc16938590"/>
      <w:r/>
      <w:bookmarkStart w:id="223" w:name="_Toc462564139"/>
      <w:r/>
      <w:bookmarkStart w:id="224" w:name="_Toc479757211"/>
      <w:r>
        <w:rPr>
          <w:rFonts w:hint="eastAsia" w:ascii="宋体" w:hAnsi="宋体" w:eastAsia="宋体" w:cs="宋体"/>
          <w:bCs/>
          <w:sz w:val="36"/>
          <w:szCs w:val="36"/>
          <w:highlight w:val="none"/>
        </w:rPr>
        <w:t xml:space="preserve">第</w:t>
      </w:r>
      <w:bookmarkEnd w:id="218"/>
      <w:r>
        <w:rPr>
          <w:rFonts w:hint="eastAsia" w:ascii="宋体" w:hAnsi="宋体" w:eastAsia="宋体" w:cs="宋体"/>
          <w:bCs/>
          <w:sz w:val="36"/>
          <w:szCs w:val="36"/>
          <w:highlight w:val="none"/>
        </w:rPr>
        <w:t xml:space="preserve">四章 采购需求</w:t>
      </w:r>
      <w:bookmarkEnd w:id="219"/>
      <w:r/>
      <w:bookmarkEnd w:id="220"/>
      <w:r/>
      <w:bookmarkEnd w:id="221"/>
      <w:r/>
      <w:bookmarkEnd w:id="222"/>
      <w:r>
        <w:rPr>
          <w:rFonts w:hint="eastAsia" w:ascii="宋体" w:hAnsi="宋体" w:eastAsia="宋体" w:cs="宋体"/>
          <w:sz w:val="36"/>
          <w:szCs w:val="36"/>
          <w:highlight w:val="none"/>
        </w:rPr>
      </w:r>
      <w:r/>
    </w:p>
    <w:p>
      <w:pPr>
        <w:pStyle w:val="778"/>
        <w:ind w:firstLine="480"/>
        <w:jc w:val="center"/>
        <w:spacing w:line="360" w:lineRule="auto"/>
        <w:rPr>
          <w:rFonts w:hAnsi="宋体"/>
          <w:color w:val="000000"/>
          <w:sz w:val="36"/>
          <w:szCs w:val="36"/>
          <w:highlight w:val="none"/>
        </w:rPr>
      </w:pPr>
      <w:r/>
      <w:bookmarkStart w:id="225" w:name="_Toc26554093"/>
      <w:r/>
      <w:bookmarkStart w:id="226" w:name="_Toc49090575"/>
      <w:r>
        <w:rPr>
          <w:rFonts w:hAnsi="宋体"/>
          <w:color w:val="000000"/>
          <w:sz w:val="36"/>
          <w:szCs w:val="36"/>
          <w:highlight w:val="none"/>
        </w:rPr>
      </w:r>
      <w:r/>
    </w:p>
    <w:p>
      <w:pPr>
        <w:pStyle w:val="778"/>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一、项目概况</w:t>
      </w:r>
      <w:r>
        <w:rPr>
          <w:rFonts w:hint="eastAsia" w:ascii="宋体" w:hAnsi="宋体" w:eastAsia="宋体" w:cs="宋体"/>
          <w:bCs/>
          <w:color w:val="000000"/>
          <w:sz w:val="24"/>
          <w:highlight w:val="none"/>
        </w:rPr>
      </w:r>
      <w:r/>
    </w:p>
    <w:p>
      <w:pPr>
        <w:pStyle w:val="778"/>
        <w:ind w:left="-2" w:firstLine="42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本次采购项目为</w:t>
      </w:r>
      <w:r>
        <w:rPr>
          <w:rFonts w:hint="eastAsia" w:ascii="宋体" w:hAnsi="宋体" w:eastAsia="宋体" w:cs="宋体"/>
          <w:bCs/>
          <w:color w:val="000000"/>
          <w:sz w:val="24"/>
          <w:highlight w:val="none"/>
          <w:lang w:val="en-US" w:eastAsia="zh-CN"/>
        </w:rPr>
        <w:t xml:space="preserve">太湖街道街道管养绿化养护</w:t>
      </w:r>
      <w:r>
        <w:rPr>
          <w:rFonts w:hint="eastAsia" w:ascii="宋体" w:hAnsi="宋体" w:eastAsia="宋体" w:cs="宋体"/>
          <w:bCs/>
          <w:color w:val="000000"/>
          <w:sz w:val="24"/>
          <w:highlight w:val="none"/>
        </w:rPr>
        <w:t xml:space="preserve">，基本情况和管理服务要求如下：</w:t>
      </w:r>
      <w:r>
        <w:rPr>
          <w:rFonts w:hint="eastAsia" w:ascii="宋体" w:hAnsi="宋体" w:eastAsia="宋体" w:cs="宋体"/>
          <w:bCs/>
          <w:color w:val="000000"/>
          <w:sz w:val="24"/>
          <w:highlight w:val="none"/>
        </w:rPr>
      </w:r>
      <w:r/>
    </w:p>
    <w:p>
      <w:pPr>
        <w:pStyle w:val="778"/>
        <w:ind w:firstLine="480"/>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项目地点：</w:t>
      </w:r>
      <w:r>
        <w:rPr>
          <w:rFonts w:hint="eastAsia" w:ascii="宋体" w:hAnsi="宋体" w:eastAsia="宋体" w:cs="宋体"/>
          <w:color w:val="000000"/>
          <w:sz w:val="24"/>
          <w:highlight w:val="none"/>
        </w:rPr>
        <w:t xml:space="preserve">无锡市</w:t>
      </w:r>
      <w:r>
        <w:rPr>
          <w:rFonts w:hint="eastAsia" w:ascii="宋体" w:hAnsi="宋体" w:eastAsia="宋体" w:cs="宋体"/>
          <w:color w:val="000000"/>
          <w:sz w:val="24"/>
          <w:highlight w:val="none"/>
          <w:lang w:val="en-US" w:eastAsia="zh-CN"/>
        </w:rPr>
        <w:t xml:space="preserve">滨湖区太湖街道</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8"/>
        <w:ind w:left="-2" w:firstLine="42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主要养护内容：</w:t>
      </w:r>
      <w:r>
        <w:rPr>
          <w:rFonts w:hint="eastAsia" w:ascii="宋体" w:hAnsi="宋体" w:eastAsia="宋体" w:cs="宋体"/>
          <w:sz w:val="24"/>
          <w:szCs w:val="24"/>
          <w:highlight w:val="none"/>
          <w:lang w:val="en-US" w:eastAsia="zh-CN"/>
        </w:rPr>
        <w:t xml:space="preserve">太湖街道街道管养绿化养护项目2026年2月到期，为保障太湖街道周边绿化，拟发起新的太湖街道街道管养绿化养护，太湖街道管养范围内的公共绿地，面积约240472.25m2；树木修剪，约1700株；绿化废弃物处理；应急保障等</w:t>
      </w:r>
      <w:r>
        <w:rPr>
          <w:rFonts w:ascii="宋体" w:hAnsi="宋体" w:eastAsia="宋体" w:cs="宋体"/>
          <w:sz w:val="24"/>
          <w:szCs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04"/>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供应商应为中小企业（或监狱企业或残疾人福利性单位）</w:t>
      </w:r>
      <w:r>
        <w:rPr>
          <w:rFonts w:hint="eastAsia" w:ascii="宋体" w:hAnsi="宋体" w:eastAsia="宋体" w:cs="宋体"/>
          <w:color w:val="000000"/>
          <w:sz w:val="24"/>
          <w:szCs w:val="24"/>
          <w:highlight w:val="none"/>
          <w:lang w:val="en-US" w:eastAsia="zh-CN" w:bidi="ar-SA"/>
        </w:rPr>
      </w:r>
      <w:r/>
    </w:p>
    <w:p>
      <w:pPr>
        <w:pStyle w:val="778"/>
        <w:spacing w:line="50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二、本项目需执行的国家相关标准、行业标准、地方标准或者其他标准、规范：</w:t>
      </w:r>
      <w:r>
        <w:rPr>
          <w:rFonts w:hint="eastAsia" w:ascii="宋体" w:hAnsi="宋体" w:eastAsia="宋体" w:cs="宋体"/>
          <w:b/>
          <w:bCs/>
          <w:color w:val="000000"/>
          <w:sz w:val="24"/>
          <w:highlight w:val="none"/>
        </w:rPr>
      </w:r>
      <w:r/>
    </w:p>
    <w:p>
      <w:pPr>
        <w:pStyle w:val="7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江苏省城市园林绿化养护管理规范及分级标准》、《无锡市城市绿化建设技术规范》、《园林绿化工程施工及验收规范》（CJJ82-2012）、《江苏省城市园林绿化植物养护技术规定》（试行）、《江苏省园林绿化养护质量评定标准》、《城市绿化养护及验收规范》（CJJT82-99）以及其他法律法规、江苏省和无锡市行业主管部门颁布的相关文件规定，如地方法规与国家法规相抵触按国家法规执行，合同作业期间如有新规范按新规范执行。</w:t>
      </w:r>
      <w:r>
        <w:rPr>
          <w:rFonts w:hint="eastAsia" w:ascii="宋体" w:hAnsi="宋体" w:eastAsia="宋体" w:cs="宋体"/>
          <w:color w:val="000000"/>
          <w:sz w:val="24"/>
          <w:highlight w:val="none"/>
        </w:rPr>
      </w:r>
      <w:r/>
    </w:p>
    <w:p>
      <w:pPr>
        <w:pStyle w:val="824"/>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78"/>
        <w:numPr>
          <w:ilvl w:val="0"/>
          <w:numId w:val="0"/>
        </w:numPr>
        <w:rPr>
          <w:rFonts w:hint="eastAsia" w:ascii="宋体" w:hAnsi="宋体" w:eastAsia="宋体" w:cs="宋体"/>
          <w:bCs/>
          <w:color w:val="000000"/>
          <w:sz w:val="24"/>
          <w:highlight w:val="none"/>
        </w:rPr>
      </w:pPr>
      <w:r>
        <w:rPr>
          <w:rFonts w:hint="eastAsia" w:ascii="宋体" w:hAnsi="宋体" w:eastAsia="宋体" w:cs="宋体"/>
          <w:bCs/>
          <w:color w:val="000000"/>
          <w:sz w:val="24"/>
          <w:szCs w:val="21"/>
          <w:lang w:val="en-US" w:eastAsia="zh-CN" w:bidi="ar-SA"/>
        </w:rPr>
        <w:t xml:space="preserve">三、</w:t>
      </w:r>
      <w:r>
        <w:rPr>
          <w:rFonts w:hint="eastAsia" w:ascii="宋体" w:hAnsi="宋体" w:eastAsia="宋体" w:cs="宋体"/>
          <w:bCs/>
          <w:color w:val="000000"/>
          <w:sz w:val="24"/>
          <w:highlight w:val="none"/>
        </w:rPr>
        <w:t xml:space="preserve">采购标的的数量：</w:t>
      </w:r>
      <w:r>
        <w:rPr>
          <w:rFonts w:hint="eastAsia" w:ascii="宋体" w:hAnsi="宋体" w:eastAsia="宋体" w:cs="宋体"/>
          <w:bCs/>
          <w:color w:val="000000"/>
          <w:sz w:val="24"/>
          <w:highlight w:val="none"/>
        </w:rPr>
      </w:r>
      <w:r/>
    </w:p>
    <w:tbl>
      <w:tblPr>
        <w:tblW w:w="9758" w:type="dxa"/>
        <w:tblInd w:w="-11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2441"/>
        <w:gridCol w:w="3394"/>
        <w:gridCol w:w="1018"/>
        <w:gridCol w:w="2044"/>
      </w:tblGrid>
      <w:tr>
        <w:trPr>
          <w:trHeight w:val="634"/>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rPr>
                <w:rFonts w:hint="eastAsia" w:ascii="宋体" w:hAnsi="宋体" w:eastAsia="宋体" w:cs="宋体"/>
                <w:i w:val="0"/>
                <w:iCs w:val="0"/>
                <w:color w:val="000000"/>
                <w:sz w:val="28"/>
                <w:szCs w:val="28"/>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名称</w:t>
            </w:r>
            <w:r>
              <w:rPr>
                <w:rFonts w:hint="eastAsia" w:ascii="宋体" w:hAnsi="宋体" w:eastAsia="宋体" w:cs="宋体"/>
                <w:i w:val="0"/>
                <w:iCs w:val="0"/>
                <w:color w:val="000000"/>
                <w:sz w:val="28"/>
                <w:szCs w:val="28"/>
                <w:u w:val="none"/>
              </w:rPr>
            </w:r>
            <w:r/>
          </w:p>
        </w:tc>
        <w:tc>
          <w:tcPr>
            <w:tcW w:w="339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位置</w:t>
            </w:r>
            <w:r>
              <w:rPr>
                <w:rFonts w:hint="eastAsia" w:ascii="宋体" w:hAnsi="宋体" w:eastAsia="宋体" w:cs="宋体"/>
                <w:i w:val="0"/>
                <w:iCs w:val="0"/>
                <w:color w:val="000000"/>
                <w:sz w:val="28"/>
                <w:szCs w:val="28"/>
                <w:u w:val="none"/>
              </w:rPr>
            </w:r>
            <w:r/>
          </w:p>
        </w:tc>
        <w:tc>
          <w:tcPr>
            <w:tcW w:w="101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单位</w:t>
            </w:r>
            <w:r>
              <w:rPr>
                <w:rFonts w:hint="eastAsia" w:ascii="宋体" w:hAnsi="宋体" w:eastAsia="宋体" w:cs="宋体"/>
                <w:i w:val="0"/>
                <w:iCs w:val="0"/>
                <w:color w:val="000000"/>
                <w:sz w:val="28"/>
                <w:szCs w:val="28"/>
                <w:u w:val="none"/>
              </w:rPr>
            </w:r>
            <w:r/>
          </w:p>
        </w:tc>
        <w:tc>
          <w:tcPr>
            <w:tcW w:w="204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数量</w:t>
            </w:r>
            <w:r>
              <w:rPr>
                <w:rFonts w:hint="eastAsia" w:ascii="宋体" w:hAnsi="宋体" w:eastAsia="宋体" w:cs="宋体"/>
                <w:i w:val="0"/>
                <w:iCs w:val="0"/>
                <w:color w:val="000000"/>
                <w:sz w:val="28"/>
                <w:szCs w:val="28"/>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原有公共绿地</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太湖街道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14216</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大桥吴巷</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吴巷</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3915</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大桥路</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东绛第二实验小学外围包括瑞祥路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12042</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梁南苑外围</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鼎新路两侧</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东绛实验小学南</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东绛实验小学南</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圩湾里</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圩湾里村巷前后</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雪方苑</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雪方苑小区内</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社区健身广场</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五湖大道方庙路口</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双新园区</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雪丰路两侧</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14492</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丰裕苑外围</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五湖大道-老锡南路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黄金湾工业园区</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黄金湾园区</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13810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高远路</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五湖大道-信成道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黄金湾驳岸景观绿地</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黄金湾园区</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2285.94</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丰裕新村</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双新工业园区雪丰路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2502.27</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华润万家四周</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华润万家</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宪园道</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新园路-闪溪河</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立新路</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周新路-贡湖大道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老锡南路</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贡湖大道-扬名桥</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周新路</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贡湖大道-金石路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34873</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闪溪河两侧</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万顺道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8365</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邹家弄浜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大通路南北</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10379</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白水塘河坡</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白水塘浜</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庙桥港景观绿地</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庙桥港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5776.03</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周司桥浜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丰裕桥-吴都路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968</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曹巷浜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曹巷浜</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4085</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闪溪河</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雪珊桥-宪园道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万思桥浜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立信大道-观顺道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曹王泾河</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梁南桥堍东南角，东绛大桥</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3615</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东绛大桥壳牌加油站</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贡湖大道510号</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9371</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西绛道</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大通路-周新路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生达路</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大通路-万顺道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2706.8</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雪丰路（和玺）</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信成道-观顺道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1785</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东华花苑南侧</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东华花苑与大通路规划学校中间地带</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499.6</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hint="eastAsia" w:ascii="宋体" w:hAnsi="宋体" w:eastAsia="宋体" w:cs="宋体"/>
                <w:i w:val="0"/>
                <w:iCs w:val="0"/>
                <w:color w:val="000000"/>
                <w:sz w:val="22"/>
                <w:szCs w:val="22"/>
                <w:u w:val="none"/>
              </w:rPr>
            </w:r>
            <w:r/>
          </w:p>
        </w:tc>
        <w:tc>
          <w:tcPr>
            <w:tcW w:w="244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谈巷休闲园</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华盛苑南门</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7300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南湖怡园</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高运路兴梁道路口</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7260</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五湖大道地铁口</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周新西路</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2962.2</w:t>
            </w:r>
            <w:r>
              <w:rPr>
                <w:rFonts w:hint="eastAsia" w:ascii="宋体" w:hAnsi="宋体" w:eastAsia="宋体" w:cs="宋体"/>
                <w:i w:val="0"/>
                <w:iCs w:val="0"/>
                <w:color w:val="000000"/>
                <w:sz w:val="22"/>
                <w:szCs w:val="22"/>
                <w:u w:val="none"/>
              </w:rPr>
            </w:r>
            <w:r/>
          </w:p>
        </w:tc>
      </w:tr>
      <w:tr>
        <w:trPr>
          <w:trHeight w:val="634"/>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信成道小游园及周边</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信成道（东华花苑-东泉花苑）（游园2400，周边717.28，含花箱）</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3117.28</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东湖外河</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大剧院路万象九里到丝竹道</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8735.32</w:t>
            </w:r>
            <w:r>
              <w:rPr>
                <w:rFonts w:hint="eastAsia" w:ascii="宋体" w:hAnsi="宋体" w:eastAsia="宋体" w:cs="宋体"/>
                <w:i w:val="0"/>
                <w:iCs w:val="0"/>
                <w:color w:val="000000"/>
                <w:sz w:val="22"/>
                <w:szCs w:val="22"/>
                <w:u w:val="none"/>
              </w:rPr>
            </w:r>
            <w:r/>
          </w:p>
        </w:tc>
      </w:tr>
      <w:tr>
        <w:trPr>
          <w:trHeight w:val="634"/>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顾道里浜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周新苑二期东门口衡源路南，立信大道东</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172.82</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湖东浜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大通路北河，沿万科一三期河北岸</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3206.32</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谢浦浜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周新路薛家桥东北沿河--梁塘河</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3150.69</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宣家巷浜</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宣家巷</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3462.26</w:t>
            </w:r>
            <w:r>
              <w:rPr>
                <w:rFonts w:hint="eastAsia" w:ascii="宋体" w:hAnsi="宋体" w:eastAsia="宋体" w:cs="宋体"/>
                <w:i w:val="0"/>
                <w:iCs w:val="0"/>
                <w:color w:val="000000"/>
                <w:sz w:val="22"/>
                <w:szCs w:val="22"/>
                <w:u w:val="none"/>
              </w:rPr>
            </w:r>
            <w:r/>
          </w:p>
        </w:tc>
      </w:tr>
      <w:tr>
        <w:trPr>
          <w:trHeight w:val="322"/>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曹王泾</w:t>
            </w:r>
            <w:r>
              <w:rPr>
                <w:rFonts w:hint="eastAsia" w:ascii="宋体" w:hAnsi="宋体" w:eastAsia="宋体" w:cs="宋体"/>
                <w:i w:val="0"/>
                <w:iCs w:val="0"/>
                <w:color w:val="000000"/>
                <w:sz w:val="22"/>
                <w:szCs w:val="22"/>
                <w:u w:val="none"/>
              </w:rPr>
            </w:r>
            <w:r/>
          </w:p>
        </w:tc>
        <w:tc>
          <w:tcPr>
            <w:tcW w:w="339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东绛大桥--扬名桥</w:t>
            </w:r>
            <w:r>
              <w:rPr>
                <w:rFonts w:hint="eastAsia" w:ascii="宋体" w:hAnsi="宋体" w:eastAsia="宋体" w:cs="宋体"/>
                <w:i w:val="0"/>
                <w:iCs w:val="0"/>
                <w:color w:val="000000"/>
                <w:sz w:val="22"/>
                <w:szCs w:val="22"/>
                <w:u w:val="none"/>
              </w:rPr>
            </w:r>
            <w:r/>
          </w:p>
        </w:tc>
        <w:tc>
          <w:tcPr>
            <w:tcW w:w="101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370.72</w:t>
            </w:r>
            <w:r>
              <w:rPr>
                <w:rFonts w:hint="eastAsia" w:ascii="宋体" w:hAnsi="宋体" w:eastAsia="宋体" w:cs="宋体"/>
                <w:i w:val="0"/>
                <w:iCs w:val="0"/>
                <w:color w:val="000000"/>
                <w:sz w:val="22"/>
                <w:szCs w:val="22"/>
                <w:u w:val="none"/>
              </w:rPr>
            </w:r>
            <w:r/>
          </w:p>
        </w:tc>
      </w:tr>
      <w:tr>
        <w:trPr>
          <w:trHeight w:val="494"/>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树木修剪</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1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株</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1700</w:t>
            </w:r>
            <w:r>
              <w:rPr>
                <w:rFonts w:hint="eastAsia" w:ascii="宋体" w:hAnsi="宋体" w:eastAsia="宋体" w:cs="宋体"/>
                <w:i w:val="0"/>
                <w:iCs w:val="0"/>
                <w:color w:val="000000"/>
                <w:sz w:val="22"/>
                <w:szCs w:val="22"/>
                <w:u w:val="none"/>
              </w:rPr>
            </w:r>
            <w:r/>
          </w:p>
        </w:tc>
      </w:tr>
      <w:tr>
        <w:trPr>
          <w:trHeight w:val="618"/>
        </w:trPr>
        <w:tc>
          <w:tcPr>
            <w:tcW w:w="8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244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绿化废弃物处理</w:t>
            </w:r>
            <w:r>
              <w:rPr>
                <w:rFonts w:hint="eastAsia" w:ascii="宋体" w:hAnsi="宋体" w:eastAsia="宋体" w:cs="宋体"/>
                <w:i w:val="0"/>
                <w:iCs w:val="0"/>
                <w:color w:val="000000"/>
                <w:sz w:val="22"/>
                <w:szCs w:val="22"/>
                <w:u w:val="none"/>
              </w:rPr>
            </w:r>
            <w:r/>
          </w:p>
        </w:tc>
        <w:tc>
          <w:tcPr>
            <w:tcW w:w="3394" w:type="dxa"/>
            <w:vAlign w:val="center"/>
            <w:textDirection w:val="lrTb"/>
            <w:noWrap/>
          </w:tcPr>
          <w:p>
            <w:pPr>
              <w:pStyle w:val="778"/>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01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w:t>
            </w:r>
            <w:r>
              <w:rPr>
                <w:rFonts w:hint="eastAsia" w:ascii="宋体" w:hAnsi="宋体" w:eastAsia="宋体" w:cs="宋体"/>
                <w:i w:val="0"/>
                <w:iCs w:val="0"/>
                <w:color w:val="000000"/>
                <w:sz w:val="22"/>
                <w:szCs w:val="22"/>
                <w:u w:val="none"/>
              </w:rPr>
            </w:r>
            <w:r/>
          </w:p>
        </w:tc>
        <w:tc>
          <w:tcPr>
            <w:tcW w:w="204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r>
    </w:tbl>
    <w:p>
      <w:pPr>
        <w:pStyle w:val="778"/>
        <w:ind w:firstLine="482"/>
        <w:spacing w:line="360" w:lineRule="auto"/>
        <w:tabs>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9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9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9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9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line="360" w:lineRule="auto"/>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rPr>
      </w:r>
      <w:r>
        <w:rPr>
          <w:rFonts w:hint="eastAsia" w:ascii="宋体" w:hAnsi="宋体" w:eastAsia="宋体" w:cs="宋体"/>
          <w:b/>
          <w:bCs/>
          <w:color w:val="000000"/>
          <w:sz w:val="24"/>
          <w:highlight w:val="none"/>
        </w:rPr>
      </w:r>
      <w:r/>
    </w:p>
    <w:p>
      <w:pPr>
        <w:pStyle w:val="778"/>
        <w:spacing w:line="360" w:lineRule="auto"/>
        <w:tabs>
          <w:tab w:val="left" w:pos="94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一、项目内容</w:t>
      </w:r>
      <w:r>
        <w:rPr>
          <w:rFonts w:hint="eastAsia" w:ascii="宋体" w:hAnsi="宋体" w:eastAsia="宋体" w:cs="宋体"/>
          <w:bCs/>
          <w:color w:val="000000"/>
          <w:sz w:val="24"/>
          <w:highlight w:val="none"/>
        </w:rPr>
      </w:r>
      <w:r/>
    </w:p>
    <w:p>
      <w:pPr>
        <w:pStyle w:val="778"/>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本区域范围内绿地的养护工作(包括且不限于苗木的修剪、剥芽、病虫害防治、施肥、灌溉、树穴切边、除草、树叶、垃圾、杂物的清理，草坪的修剪和施肥、废弃物处理）等。</w:t>
      </w:r>
      <w:r>
        <w:rPr>
          <w:rFonts w:hint="eastAsia" w:ascii="宋体" w:hAnsi="宋体" w:eastAsia="宋体" w:cs="宋体"/>
          <w:bCs/>
          <w:color w:val="000000"/>
          <w:sz w:val="24"/>
          <w:highlight w:val="none"/>
        </w:rPr>
      </w:r>
      <w:r/>
    </w:p>
    <w:p>
      <w:pPr>
        <w:pStyle w:val="805"/>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绿地养护等级标准护：江苏省园林绿化植物养护</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级</w:t>
      </w:r>
      <w:r>
        <w:rPr>
          <w:rFonts w:hint="eastAsia" w:ascii="宋体" w:hAnsi="宋体" w:eastAsia="宋体" w:cs="宋体"/>
          <w:color w:val="000000"/>
          <w:highlight w:val="none"/>
        </w:rPr>
      </w:r>
      <w:r/>
    </w:p>
    <w:p>
      <w:pPr>
        <w:pStyle w:val="778"/>
        <w:ind w:firstLine="544"/>
        <w:spacing w:line="360" w:lineRule="auto"/>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以上内容和范围投标供应商可到现场进行查看，以保证绿化养护方案的可行性。</w:t>
      </w:r>
      <w:r>
        <w:rPr>
          <w:rFonts w:hint="eastAsia" w:ascii="宋体" w:hAnsi="宋体" w:eastAsia="宋体" w:cs="宋体"/>
          <w:color w:val="000000"/>
          <w:highlight w:val="none"/>
        </w:rPr>
      </w:r>
      <w:r/>
    </w:p>
    <w:p>
      <w:pPr>
        <w:pStyle w:val="805"/>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有关说明</w:t>
      </w:r>
      <w:r>
        <w:rPr>
          <w:rFonts w:hint="eastAsia" w:ascii="宋体" w:hAnsi="宋体" w:eastAsia="宋体" w:cs="宋体"/>
          <w:color w:val="000000"/>
          <w:sz w:val="24"/>
          <w:szCs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1.拟派项目负责人必须取得绿化从业人员岗位证书，且成交后须常驻本项目现场，每月25日前制定详细绿化养护计划书提交甲方确定，并严格按照养护计划执行。</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2.所有进驻人员不得兼职。</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3.绿化养护人员工资待遇需符合国家、省、市相关政策。</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4.成交单位应按照相关规定，与所有聘用人员依法签订劳动合同，并承担聘用人员一切意外事件造成人身伤害等损失的费用。</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除非合同另有规定，报价清单所报的单价和总额价均已包括了实施和完成合同所需的劳务、材料、机械、质检（自检）、缺陷修复、管理、利润、税金等费用，以及合同明示或暗示的所有责任、义务和一般风险，及合同履行期间物价调整等社会风险。</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6、由投标单位综合报价。</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服务期限：自签订合同之日起一年。</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8、配合采购单位完成绿化养护区域内补植及改造的准备工作，及时完成采购单位布置的相关任务。</w:t>
      </w:r>
      <w:r>
        <w:rPr>
          <w:rFonts w:hint="eastAsia" w:ascii="宋体" w:hAnsi="宋体" w:eastAsia="宋体" w:cs="宋体"/>
          <w:color w:val="000000"/>
          <w:sz w:val="24"/>
          <w:highlight w:val="none"/>
        </w:rPr>
      </w:r>
      <w:r/>
    </w:p>
    <w:p>
      <w:pPr>
        <w:pStyle w:val="778"/>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付款方式：</w:t>
      </w:r>
      <w:r>
        <w:rPr>
          <w:rFonts w:hint="eastAsia" w:ascii="宋体" w:hAnsi="宋体" w:eastAsia="宋体" w:cs="宋体"/>
          <w:color w:val="000000"/>
          <w:sz w:val="24"/>
          <w:szCs w:val="24"/>
          <w:highlight w:val="none"/>
        </w:rPr>
        <w:t xml:space="preserve">合同签订后，支付合同金额的30%预付款，剩余养护管理费按季度结算，付款时先扣除预付款金额，每季度结束经采购人考核合格后，乙方于次季度的第一个月向甲方提交有效发票,甲方于收到发票之日起一个月内,将上季度养护管理费转划至乙方指定的银行账户。实际支付按财政拨付情况执行，不计滞纳金、利息等所有其他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r>
      <w:r/>
    </w:p>
    <w:p>
      <w:pPr>
        <w:pStyle w:val="778"/>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br w:type="page" w:clear="all"/>
      </w:r>
      <w:r>
        <w:rPr>
          <w:rFonts w:hint="eastAsia" w:ascii="宋体" w:hAnsi="宋体" w:eastAsia="宋体" w:cs="宋体"/>
          <w:color w:val="000000"/>
          <w:highlight w:val="none"/>
          <w:lang w:val="en-US" w:eastAsia="zh-CN"/>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t xml:space="preserve">太湖街道外包绿化养护质量考核实施办法</w:t>
      </w: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480"/>
        <w:jc w:val="both"/>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为进一步加强太湖街道城市绿化养护管理工作考核，规范绿化养护行为，切实提高绿化养护质量，确保街道绿化的完好和正常生长，提升整体品位和综合服务功能，根据《无锡市城市绿化管理条例》，结合我街道的实际情况，制定本实施意见。</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46"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一、考核对象</w:t>
      </w:r>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各绿化养护外包单位</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46"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二、考核范围</w:t>
      </w:r>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太湖街道管理范围的道路、河道岸坡、公共绿地、工业园区、小游园等绿</w:t>
      </w:r>
      <w:r>
        <w:rPr>
          <w:rFonts w:hint="eastAsia" w:ascii="宋体" w:hAnsi="宋体" w:eastAsia="宋体" w:cs="宋体"/>
          <w:color w:val="000000"/>
          <w:spacing w:val="0"/>
          <w:position w:val="0"/>
          <w:sz w:val="24"/>
          <w:szCs w:val="24"/>
          <w:highlight w:val="none"/>
          <w:u w:val="none"/>
          <w:shd w:val="clear" w:color="auto" w:fill="auto"/>
          <w:lang w:val="zh-CN" w:eastAsia="zh-CN" w:bidi="zh-CN"/>
        </w:rPr>
        <w:t xml:space="preserve">地。</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46"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三、考核内容</w:t>
      </w:r>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日常管理，设施完好情况，资料、台账管理等方面内容。</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val="0"/>
        <w:keepNext w:val="0"/>
        <w:pageBreakBefore w:val="0"/>
        <w:spacing w:before="0" w:after="0" w:line="360" w:lineRule="auto"/>
        <w:shd w:val="clear" w:color="auto" w:fill="auto"/>
        <w:widowControl w:val="off"/>
        <w:tabs>
          <w:tab w:val="left" w:pos="546"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四、考核办法</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每月度考核方式进行，考核在每月度未进行。</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left"/>
        <w:keepLines/>
        <w:keepNext/>
        <w:pageBreakBefore w:val="0"/>
        <w:spacing w:before="0" w:after="0" w:line="360" w:lineRule="auto"/>
        <w:shd w:val="clear" w:color="auto" w:fill="auto"/>
        <w:widowControl w:val="off"/>
        <w:tabs>
          <w:tab w:val="left" w:pos="553" w:leader="none"/>
        </w:tabs>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五、考评细则（分值）</w:t>
      </w:r>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修剪25分（乔木5分、灌木10分、草坪花木10分），施肥10分，病虫防治10分，抗旱防涝10分，除草15分，补植5分，绿化保洁15分，其他10分。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2"/>
        <w:jc w:val="both"/>
        <w:keepLines/>
        <w:keepNext/>
        <w:pageBreakBefore w:val="0"/>
        <w:spacing w:before="0" w:after="0" w:line="360" w:lineRule="auto"/>
        <w:shd w:val="clear" w:color="auto" w:fill="auto"/>
        <w:widowControl w:val="off"/>
        <w:rPr>
          <w:rFonts w:hint="eastAsia" w:ascii="宋体" w:hAnsi="宋体" w:eastAsia="宋体" w:cs="宋体"/>
          <w:b/>
          <w:bCs/>
          <w:color w:val="000000"/>
          <w:spacing w:val="0"/>
          <w:position w:val="0"/>
          <w:sz w:val="24"/>
          <w:szCs w:val="24"/>
          <w:highlight w:val="none"/>
          <w:u w:val="none"/>
          <w:shd w:val="clear" w:color="auto" w:fill="auto"/>
          <w:lang w:val="zh-TW" w:eastAsia="zh-TW" w:bidi="zh-TW"/>
        </w:rPr>
        <w:outlineLvl w:val="1"/>
      </w:pPr>
      <w:r>
        <w:rPr>
          <w:rFonts w:hint="eastAsia" w:ascii="宋体" w:hAnsi="宋体" w:eastAsia="宋体" w:cs="宋体"/>
          <w:b/>
          <w:bCs/>
          <w:color w:val="000000"/>
          <w:spacing w:val="0"/>
          <w:position w:val="0"/>
          <w:sz w:val="24"/>
          <w:szCs w:val="24"/>
          <w:highlight w:val="none"/>
          <w:u w:val="none"/>
          <w:shd w:val="clear" w:color="auto" w:fill="auto"/>
          <w:lang w:val="zh-TW" w:eastAsia="zh-TW" w:bidi="zh-TW"/>
        </w:rPr>
        <w:t xml:space="preserve">六、检查考核</w:t>
      </w:r>
      <w:r>
        <w:rPr>
          <w:rFonts w:hint="eastAsia" w:ascii="宋体" w:hAnsi="宋体" w:eastAsia="宋体" w:cs="宋体"/>
          <w:b/>
          <w:bCs/>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明查暗访，定期不定期检查和考核相结合。</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094"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1、由</w:t>
      </w: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甲方</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组织实施，对各养护单位质量实行百分制考核，考核得分与全年养护费挂钩。</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094"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2、为确保考评结果的客观真实，考核以《评分表》为标准采取明查暗访、看现场等，每月进行一次检查考核评分。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107"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3、日常巡查，由绿化监管员负责，发现问题要求养护单位整改,如三次整改不到位扣一分，计入考评分内，每年累计最多扣满10分。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both"/>
        <w:keepLines w:val="0"/>
        <w:keepNext w:val="0"/>
        <w:pageBreakBefore w:val="0"/>
        <w:spacing w:before="0" w:after="0" w:line="360" w:lineRule="auto"/>
        <w:shd w:val="clear" w:color="auto" w:fill="auto"/>
        <w:widowControl w:val="off"/>
        <w:tabs>
          <w:tab w:val="left" w:pos="1100" w:leader="none"/>
        </w:tabs>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4、考评得分与日常巡查扣分直接与养护费挂钩。即90分以上按合同核定支付当季养护费，90分以下按实际扣减分值扣减当季养护费，85分-89分扣减5%,80分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-84</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分扣减10%,75分-79分扣减15%,70分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-74</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分扣减20%,65分</w:t>
      </w:r>
      <w:r>
        <w:rPr>
          <w:rFonts w:hint="eastAsia" w:ascii="宋体" w:hAnsi="宋体" w:eastAsia="宋体" w:cs="宋体"/>
          <w:color w:val="000000"/>
          <w:spacing w:val="0"/>
          <w:position w:val="0"/>
          <w:sz w:val="24"/>
          <w:szCs w:val="24"/>
          <w:highlight w:val="none"/>
          <w:u w:val="none"/>
          <w:shd w:val="clear" w:color="auto" w:fill="auto"/>
          <w:lang w:val="en-US" w:eastAsia="en-US" w:bidi="en-US"/>
        </w:rPr>
        <w:t xml:space="preserve">-69</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分扣减25%,60分-64分扣减30%,60分以下（不含60分）停发当季养护费，待下季整改到位后再视情况支付。</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50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zh-CN" w:eastAsia="zh-CN" w:bidi="zh-CN"/>
        </w:rPr>
        <w:t xml:space="preserve">5、</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考核条款按街道制订的相关标准要求进行，如不按合同内各条款有关要求，或因人为因素出现重大责任事故或安全事故时，街道将</w:t>
      </w:r>
      <w:r>
        <w:rPr>
          <w:rFonts w:hint="eastAsia" w:ascii="宋体" w:hAnsi="宋体" w:eastAsia="宋体" w:cs="宋体"/>
          <w:color w:val="000000"/>
          <w:spacing w:val="0"/>
          <w:position w:val="0"/>
          <w:sz w:val="24"/>
          <w:szCs w:val="24"/>
          <w:highlight w:val="none"/>
          <w:u w:val="none"/>
          <w:shd w:val="clear" w:color="auto" w:fill="auto"/>
          <w:lang w:val="zh-TW" w:eastAsia="zh-CN" w:bidi="zh-TW"/>
        </w:rPr>
        <w:t xml:space="preserve">采取</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淘汰制，取消下一年的外包养护资格。</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50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附件1</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：绿化养护考核标准</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2240" w:line="360" w:lineRule="auto"/>
        <w:shd w:val="clear" w:color="auto" w:fill="auto"/>
        <w:widowControl w:val="off"/>
        <w:rPr>
          <w:rFonts w:hint="eastAsia" w:ascii="宋体" w:hAnsi="宋体" w:eastAsia="宋体" w:cs="宋体"/>
          <w:color w:val="000000"/>
          <w:spacing w:val="0"/>
          <w:position w:val="0"/>
          <w:sz w:val="24"/>
          <w:szCs w:val="24"/>
          <w:highlight w:val="none"/>
          <w:u w:val="none"/>
          <w:shd w:val="clear" w:color="auto" w:fill="auto"/>
          <w:lang w:val="zh-TW" w:eastAsia="zh-TW" w:bidi="zh-TW"/>
        </w:rPr>
      </w:pPr>
      <w:r>
        <w:rPr>
          <w:rFonts w:hint="eastAsia" w:ascii="宋体" w:hAnsi="宋体" w:eastAsia="宋体" w:cs="宋体"/>
          <w:color w:val="000000"/>
          <w:spacing w:val="0"/>
          <w:position w:val="0"/>
          <w:sz w:val="24"/>
          <w:szCs w:val="24"/>
          <w:highlight w:val="none"/>
          <w:u w:val="none"/>
          <w:shd w:val="clear" w:color="auto" w:fill="auto"/>
          <w:lang w:val="en-US" w:eastAsia="zh-CN" w:bidi="zh-TW"/>
        </w:rPr>
        <w:t xml:space="preserve">附件2：</w:t>
      </w:r>
      <w:r>
        <w:rPr>
          <w:rFonts w:hint="eastAsia" w:ascii="宋体" w:hAnsi="宋体" w:eastAsia="宋体" w:cs="宋体"/>
          <w:color w:val="000000"/>
          <w:spacing w:val="0"/>
          <w:position w:val="0"/>
          <w:sz w:val="24"/>
          <w:szCs w:val="24"/>
          <w:highlight w:val="none"/>
          <w:u w:val="none"/>
          <w:shd w:val="clear" w:color="auto" w:fill="auto"/>
          <w:lang w:val="zh-TW" w:eastAsia="zh-TW" w:bidi="zh-TW"/>
        </w:rPr>
        <w:t xml:space="preserve">太湖街道绿化养护工作考核评分表</w:t>
      </w:r>
      <w:r>
        <w:rPr>
          <w:rFonts w:hint="eastAsia" w:ascii="宋体" w:hAnsi="宋体" w:eastAsia="宋体" w:cs="宋体"/>
          <w:color w:val="000000"/>
          <w:spacing w:val="0"/>
          <w:position w:val="0"/>
          <w:sz w:val="24"/>
          <w:szCs w:val="24"/>
          <w:highlight w:val="none"/>
          <w:u w:val="none"/>
          <w:shd w:val="clear" w:color="auto" w:fill="auto"/>
          <w:lang w:val="zh-TW" w:eastAsia="zh-TW" w:bidi="zh-TW"/>
        </w:rPr>
      </w:r>
      <w:r/>
    </w:p>
    <w:p>
      <w:pPr>
        <w:pStyle w:val="778"/>
        <w:ind w:left="0" w:right="0" w:firstLine="480"/>
        <w:jc w:val="left"/>
        <w:keepLines w:val="0"/>
        <w:keepNext w:val="0"/>
        <w:pageBreakBefore w:val="0"/>
        <w:spacing w:before="0" w:after="0" w:line="360" w:lineRule="auto"/>
        <w:shd w:val="clear" w:color="auto" w:fill="auto"/>
        <w:rPr>
          <w:rFonts w:hint="eastAsia" w:ascii="宋体" w:hAnsi="宋体" w:eastAsia="宋体" w:cs="宋体"/>
          <w:color w:val="000000"/>
          <w:spacing w:val="0"/>
          <w:position w:val="0"/>
          <w:sz w:val="24"/>
          <w:highlight w:val="none"/>
          <w:shd w:val="clear" w:color="auto" w:fill="auto"/>
          <w:lang w:eastAsia="en-US" w:bidi="en-US"/>
        </w:rPr>
      </w:pPr>
      <w:r>
        <w:rPr>
          <w:rFonts w:hint="eastAsia" w:ascii="宋体" w:hAnsi="宋体" w:eastAsia="宋体" w:cs="宋体"/>
          <w:color w:val="000000"/>
          <w:spacing w:val="0"/>
          <w:position w:val="0"/>
          <w:sz w:val="24"/>
          <w:highlight w:val="none"/>
          <w:shd w:val="clear" w:color="auto" w:fill="auto"/>
          <w:lang w:eastAsia="en-US" w:bidi="en-US"/>
        </w:rPr>
        <w:br w:type="page" w:clear="all"/>
      </w:r>
      <w:r>
        <w:rPr>
          <w:rFonts w:hint="eastAsia" w:ascii="宋体" w:hAnsi="宋体" w:eastAsia="宋体" w:cs="宋体"/>
          <w:color w:val="000000"/>
          <w:spacing w:val="0"/>
          <w:position w:val="0"/>
          <w:sz w:val="24"/>
          <w:highlight w:val="none"/>
          <w:shd w:val="clear" w:color="auto" w:fill="auto"/>
          <w:lang w:eastAsia="en-US" w:bidi="en-US"/>
        </w:rPr>
      </w:r>
      <w:r/>
    </w:p>
    <w:p>
      <w:pPr>
        <w:pStyle w:val="778"/>
        <w:ind w:left="0" w:right="0" w:firstLine="56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8"/>
          <w:szCs w:val="28"/>
          <w:highlight w:val="none"/>
          <w:shd w:val="clear" w:color="auto" w:fill="auto"/>
          <w:lang w:val="en-US" w:eastAsia="zh-CN" w:bidi="ar"/>
        </w:rPr>
        <w:suppressLineNumbers w:val="0"/>
      </w:pPr>
      <w:r>
        <w:rPr>
          <w:rFonts w:hint="eastAsia" w:ascii="宋体" w:hAnsi="宋体" w:eastAsia="宋体" w:cs="宋体"/>
          <w:color w:val="000000"/>
          <w:spacing w:val="0"/>
          <w:position w:val="0"/>
          <w:sz w:val="28"/>
          <w:szCs w:val="28"/>
          <w:highlight w:val="none"/>
          <w:shd w:val="clear" w:color="auto" w:fill="auto"/>
          <w:lang w:val="en-US" w:eastAsia="zh-CN" w:bidi="ar"/>
        </w:rPr>
        <w:t xml:space="preserve">附件1：</w:t>
      </w:r>
      <w:r>
        <w:rPr>
          <w:rFonts w:hint="eastAsia" w:ascii="宋体" w:hAnsi="宋体" w:eastAsia="宋体" w:cs="宋体"/>
          <w:color w:val="000000"/>
          <w:spacing w:val="0"/>
          <w:position w:val="0"/>
          <w:sz w:val="28"/>
          <w:szCs w:val="28"/>
          <w:highlight w:val="none"/>
          <w:shd w:val="clear" w:color="auto" w:fill="auto"/>
          <w:lang w:val="en-US" w:eastAsia="zh-CN" w:bidi="ar"/>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t xml:space="preserve">太湖街道城市绿化养护的质量标准和要求</w:t>
      </w: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一、绿地养护质量标准</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按照《江苏省城市园林绿化植物养护技术规定》(试行)的要求，绿地养护应做到：</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每天进行绿地保洁，及时清除绿地内纸屑、烟蒂、果壳、垃圾堆放物等不洁物，保持绿地清洁。绿地中的乔木、灌木、花卉地被和草坪等植物，凡经栽植成活一年以上的其保存率应达到98%,植物生长健壮，无死树、无缺株；修剪合理、树型优美、叶茂花盛；花卉地被栽植等符合指标、无裸露地，草坪无空秃；病虫杂草控制良好。保持绿地设施完好无损，并有良好的景观面貌。</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2、行道树修剪、剥芽符合技术规程，长势良好。一条道路同一品种分枝点基本相同，无缺株、死株；树木倾斜度不超过10度；无断桩、坏桩、桩位绑扎规范化；基本无病虫害迹象，有防治措施。</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3、养护标段内在日常中发生绿地苗木抽稀，调整和改善土质等工作，是正常的养护内容。</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4、道路绿化隔离带植物叶面喷水除尘，根据实际情况进行作业。</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5、绿地附属栏杆的维护保养，保持完好、完整，每年油漆1次。</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6、日常保洁养护作业资料齐全，做到有计划、有记录、有统计，并且资料与实际养护情况相符。</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二、防汛防台风要求</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1、汛前准备：做好防汛准备工作，包括人员、物资，做好非汛期的区域内全部绿地排水的疏通工作。</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2、汛期抢险：安排人员加强值班，组织人员外出查询，雨后，必须及时组织人员进行排水工作。</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3、台风季节应由专人值班，并在出现灾害后及时(24小时内)处理完毕。</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三、文明安全养护要求</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1、应有安全员(需有上岗证书)并且施工人员进行安全教育和对施工设备和现场进行安全检查。</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2、绿化养护作业时，要充分利用和机械设备。绿化养护人员必须穿工作服，在夜间养护作业必须在作业区域内点红灯示意警戒标志。</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绿化养护作业时，应随时保持道路的清洁、畅通，并由专人负责监督，以确保文明安全养护。行道树修剪应尽量避开道路交通高峰时段，并按照规定做好现场安全维护隔离及指挥，修剪下的枝条应及时整理清运；打药水应提前告示居民，尽量避开出行高峰期。</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四、绿地养护等级标准</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太湖街道城市绿化养护目前执行的是二级养护标准</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乔木：</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1、生长正常，树冠基本完整，主侧枝分枝基本均匀，数量适宜，内膛通风透光；</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2、叶色基本正常，有少量黄叶(生长季节)、蕉叶、卷叶，有少量虫粪。</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3、枝干生长正常，无明显枯死枝，害虫害虽有生长，但能及时根除；</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4、缺株在4%以下(含4%)不得有连续3棵缺株、补植树木与原树木径级不超过35%。</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5、树空内无垃圾及高垦杂草、土壤不板结；</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草坪：</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1、生长良好，杂草率≤25%,覆盖率达90%以上；</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2、修剪高低符合要求，能及时处理堆料堆物；</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3、单块空秃面积不超过0.3㎡；</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花卉：</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1、全年换花4次；</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2、花卉生长正常，缺株、倒伏不超过3-5处，无枯枝残花(残花量≤15%)；</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3、花期基本整齐，覆盖面积达75%以上；</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绿篱及地被：</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1、生长茂盛，枝条虫害。</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2、修剪成型，完整无缺。</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3、无垃圾杂物。</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2"/>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b/>
          <w:bCs/>
          <w:color w:val="000000"/>
          <w:spacing w:val="0"/>
          <w:position w:val="0"/>
          <w:sz w:val="24"/>
          <w:szCs w:val="24"/>
          <w:highlight w:val="none"/>
          <w:shd w:val="clear" w:color="auto" w:fill="auto"/>
          <w:lang w:val="en-US" w:eastAsia="zh-CN" w:bidi="ar"/>
        </w:rPr>
        <w:t xml:space="preserve">混合花镜：</w:t>
      </w:r>
      <w:r>
        <w:rPr>
          <w:rFonts w:hint="eastAsia" w:ascii="宋体" w:hAnsi="宋体" w:eastAsia="宋体" w:cs="宋体"/>
          <w:b/>
          <w:bCs/>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1、花镜养护设施量清单内品种数量及品种种植面积不变。</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2、现有花镜内林，宿根(球、块根)花卉比例与布局，位置不变；</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4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4"/>
          <w:szCs w:val="24"/>
          <w:highlight w:val="none"/>
          <w:shd w:val="clear" w:color="auto" w:fill="auto"/>
          <w:lang w:val="en-US" w:eastAsia="zh-CN" w:bidi="ar"/>
        </w:rPr>
        <w:suppressLineNumbers w:val="0"/>
      </w:pPr>
      <w:r>
        <w:rPr>
          <w:rFonts w:hint="eastAsia" w:ascii="宋体" w:hAnsi="宋体" w:eastAsia="宋体" w:cs="宋体"/>
          <w:color w:val="000000"/>
          <w:spacing w:val="0"/>
          <w:position w:val="0"/>
          <w:sz w:val="24"/>
          <w:szCs w:val="24"/>
          <w:highlight w:val="none"/>
          <w:shd w:val="clear" w:color="auto" w:fill="auto"/>
          <w:lang w:val="en-US" w:eastAsia="zh-CN" w:bidi="ar"/>
        </w:rPr>
        <w:t xml:space="preserve">3、生长正常，无病虫害，无残花败叶，按自然花期开花。</w:t>
      </w:r>
      <w:r>
        <w:rPr>
          <w:rFonts w:hint="eastAsia" w:ascii="宋体" w:hAnsi="宋体" w:eastAsia="宋体" w:cs="宋体"/>
          <w:color w:val="000000"/>
          <w:spacing w:val="0"/>
          <w:position w:val="0"/>
          <w:sz w:val="24"/>
          <w:szCs w:val="24"/>
          <w:highlight w:val="none"/>
          <w:shd w:val="clear" w:color="auto" w:fill="auto"/>
          <w:lang w:val="en-US" w:eastAsia="zh-CN" w:bidi="ar"/>
        </w:rPr>
      </w:r>
      <w:r/>
    </w:p>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8"/>
          <w:szCs w:val="28"/>
          <w:highlight w:val="none"/>
          <w:shd w:val="clear" w:color="auto" w:fill="auto"/>
          <w:lang w:eastAsia="en-US" w:bidi="en-US"/>
        </w:rPr>
      </w:pPr>
      <w:r>
        <w:rPr>
          <w:rFonts w:hint="eastAsia" w:ascii="宋体" w:hAnsi="宋体" w:eastAsia="宋体" w:cs="宋体"/>
          <w:color w:val="000000"/>
          <w:spacing w:val="0"/>
          <w:position w:val="0"/>
          <w:sz w:val="28"/>
          <w:szCs w:val="28"/>
          <w:highlight w:val="none"/>
          <w:shd w:val="clear" w:color="auto" w:fill="auto"/>
          <w:lang w:eastAsia="en-US" w:bidi="en-US"/>
        </w:rPr>
        <w:br w:type="page" w:clear="all"/>
      </w:r>
      <w:r>
        <w:rPr>
          <w:rFonts w:hint="eastAsia" w:ascii="宋体" w:hAnsi="宋体" w:eastAsia="宋体" w:cs="宋体"/>
          <w:color w:val="000000"/>
          <w:spacing w:val="0"/>
          <w:position w:val="0"/>
          <w:sz w:val="28"/>
          <w:szCs w:val="28"/>
          <w:highlight w:val="none"/>
          <w:shd w:val="clear" w:color="auto" w:fill="auto"/>
          <w:lang w:eastAsia="en-US" w:bidi="en-US"/>
        </w:rPr>
      </w:r>
      <w:r/>
    </w:p>
    <w:p>
      <w:pPr>
        <w:pStyle w:val="778"/>
        <w:ind w:left="0" w:right="0" w:firstLine="56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pacing w:val="0"/>
          <w:position w:val="0"/>
          <w:sz w:val="28"/>
          <w:szCs w:val="28"/>
          <w:highlight w:val="none"/>
          <w:shd w:val="clear" w:color="auto" w:fill="auto"/>
          <w:lang w:val="en-US" w:eastAsia="zh-CN" w:bidi="ar"/>
        </w:rPr>
        <w:suppressLineNumbers w:val="0"/>
      </w:pPr>
      <w:r>
        <w:rPr>
          <w:rFonts w:hint="eastAsia" w:ascii="宋体" w:hAnsi="宋体" w:eastAsia="宋体" w:cs="宋体"/>
          <w:color w:val="000000"/>
          <w:spacing w:val="0"/>
          <w:position w:val="0"/>
          <w:sz w:val="28"/>
          <w:szCs w:val="28"/>
          <w:highlight w:val="none"/>
          <w:shd w:val="clear" w:color="auto" w:fill="auto"/>
          <w:lang w:val="en-US" w:eastAsia="zh-CN" w:bidi="ar"/>
        </w:rPr>
        <w:t xml:space="preserve">附件2：</w:t>
      </w:r>
      <w:r>
        <w:rPr>
          <w:rFonts w:hint="eastAsia" w:ascii="宋体" w:hAnsi="宋体" w:eastAsia="宋体" w:cs="宋体"/>
          <w:color w:val="000000"/>
          <w:spacing w:val="0"/>
          <w:position w:val="0"/>
          <w:sz w:val="28"/>
          <w:szCs w:val="28"/>
          <w:highlight w:val="none"/>
          <w:shd w:val="clear" w:color="auto" w:fill="auto"/>
          <w:lang w:val="en-US" w:eastAsia="zh-CN" w:bidi="ar"/>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b/>
          <w:bCs/>
          <w:color w:val="000000"/>
          <w:spacing w:val="0"/>
          <w:position w:val="0"/>
          <w:sz w:val="44"/>
          <w:szCs w:val="44"/>
          <w:highlight w:val="none"/>
          <w:shd w:val="clear" w:color="auto" w:fill="auto"/>
          <w:lang w:eastAsia="en-US" w:bidi="en-US"/>
        </w:rPr>
      </w:pPr>
      <w:r>
        <w:rPr>
          <w:rFonts w:hint="eastAsia" w:ascii="宋体" w:hAnsi="宋体" w:eastAsia="宋体" w:cs="宋体"/>
          <w:b/>
          <w:bCs/>
          <w:color w:val="000000"/>
          <w:spacing w:val="0"/>
          <w:position w:val="0"/>
          <w:sz w:val="44"/>
          <w:szCs w:val="44"/>
          <w:highlight w:val="none"/>
          <w:shd w:val="clear" w:color="auto" w:fill="auto"/>
          <w:lang w:eastAsia="en-US" w:bidi="en-US"/>
        </w:rPr>
        <w:t xml:space="preserve">太湖街道绿化养护工作考核评分表</w:t>
      </w:r>
      <w:r>
        <w:rPr>
          <w:rFonts w:hint="eastAsia" w:ascii="宋体" w:hAnsi="宋体" w:eastAsia="宋体" w:cs="宋体"/>
          <w:b/>
          <w:bCs/>
          <w:color w:val="000000"/>
          <w:spacing w:val="0"/>
          <w:position w:val="0"/>
          <w:sz w:val="44"/>
          <w:szCs w:val="44"/>
          <w:highlight w:val="none"/>
          <w:shd w:val="clear" w:color="auto" w:fill="auto"/>
          <w:lang w:eastAsia="en-US" w:bidi="en-US"/>
        </w:rPr>
      </w:r>
      <w:r/>
    </w:p>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32"/>
          <w:szCs w:val="32"/>
          <w:highlight w:val="none"/>
          <w:shd w:val="clear" w:color="auto" w:fill="auto"/>
          <w:lang w:eastAsia="en-US" w:bidi="en-US"/>
        </w:rPr>
      </w:pPr>
      <w:r>
        <w:rPr>
          <w:rFonts w:hint="eastAsia" w:ascii="宋体" w:hAnsi="宋体" w:eastAsia="宋体" w:cs="宋体"/>
          <w:color w:val="000000"/>
          <w:spacing w:val="0"/>
          <w:position w:val="0"/>
          <w:sz w:val="32"/>
          <w:szCs w:val="32"/>
          <w:highlight w:val="none"/>
          <w:shd w:val="clear" w:color="auto" w:fill="auto"/>
          <w:lang w:eastAsia="en-US" w:bidi="en-US"/>
        </w:rPr>
        <w:t xml:space="preserve">单位：</w:t>
      </w:r>
      <w:r>
        <w:rPr>
          <w:rFonts w:hint="eastAsia" w:ascii="宋体" w:hAnsi="宋体" w:eastAsia="宋体" w:cs="宋体"/>
          <w:color w:val="000000"/>
          <w:spacing w:val="0"/>
          <w:position w:val="0"/>
          <w:sz w:val="32"/>
          <w:szCs w:val="32"/>
          <w:highlight w:val="none"/>
          <w:shd w:val="clear" w:color="auto" w:fill="auto"/>
          <w:lang w:val="en-US" w:eastAsia="zh-CN" w:bidi="en-US"/>
        </w:rPr>
        <w:t xml:space="preserve">       </w:t>
      </w:r>
      <w:r>
        <w:rPr>
          <w:rFonts w:hint="eastAsia" w:ascii="宋体" w:hAnsi="宋体" w:eastAsia="宋体" w:cs="宋体"/>
          <w:color w:val="000000"/>
          <w:spacing w:val="0"/>
          <w:position w:val="0"/>
          <w:sz w:val="32"/>
          <w:szCs w:val="32"/>
          <w:highlight w:val="none"/>
          <w:shd w:val="clear" w:color="auto" w:fill="auto"/>
          <w:lang w:eastAsia="en-US" w:bidi="en-US"/>
        </w:rPr>
        <w:t xml:space="preserve">        （第</w:t>
      </w:r>
      <w:r>
        <w:rPr>
          <w:rFonts w:hint="eastAsia" w:ascii="宋体" w:hAnsi="宋体" w:eastAsia="宋体" w:cs="宋体"/>
          <w:color w:val="000000"/>
          <w:spacing w:val="0"/>
          <w:position w:val="0"/>
          <w:sz w:val="32"/>
          <w:szCs w:val="32"/>
          <w:highlight w:val="none"/>
          <w:shd w:val="clear" w:color="auto" w:fill="auto"/>
          <w:lang w:val="en-US" w:eastAsia="zh-CN" w:bidi="en-US"/>
        </w:rPr>
        <w:t xml:space="preserve">  </w:t>
      </w:r>
      <w:r>
        <w:rPr>
          <w:rFonts w:hint="eastAsia" w:ascii="宋体" w:hAnsi="宋体" w:eastAsia="宋体" w:cs="宋体"/>
          <w:color w:val="000000"/>
          <w:spacing w:val="0"/>
          <w:position w:val="0"/>
          <w:sz w:val="32"/>
          <w:szCs w:val="32"/>
          <w:highlight w:val="none"/>
          <w:shd w:val="clear" w:color="auto" w:fill="auto"/>
          <w:lang w:eastAsia="en-US" w:bidi="en-US"/>
        </w:rPr>
        <w:t xml:space="preserve">月份）</w:t>
      </w:r>
      <w:r>
        <w:rPr>
          <w:rFonts w:hint="eastAsia" w:ascii="宋体" w:hAnsi="宋体" w:eastAsia="宋体" w:cs="宋体"/>
          <w:color w:val="000000"/>
          <w:spacing w:val="0"/>
          <w:position w:val="0"/>
          <w:sz w:val="32"/>
          <w:szCs w:val="32"/>
          <w:highlight w:val="none"/>
          <w:shd w:val="clear" w:color="auto" w:fill="auto"/>
          <w:lang w:eastAsia="en-US" w:bidi="en-US"/>
        </w:rPr>
      </w:r>
      <w:r/>
    </w:p>
    <w:tbl>
      <w:tblPr>
        <w:tblStyle w:val="8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659"/>
        <w:gridCol w:w="2700"/>
        <w:gridCol w:w="901"/>
        <w:gridCol w:w="1421"/>
        <w:gridCol w:w="1421"/>
      </w:tblGrid>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分类</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序号</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项目</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分值</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得分</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备注</w:t>
            </w: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restart"/>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修剪</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乔木</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2</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灌木</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val="en-US" w:eastAsia="zh-CN" w:bidi="en-US"/>
              </w:rPr>
            </w:pPr>
            <w:r>
              <w:rPr>
                <w:rFonts w:hint="eastAsia" w:ascii="宋体" w:hAnsi="宋体" w:eastAsia="宋体" w:cs="宋体"/>
                <w:color w:val="000000"/>
                <w:spacing w:val="0"/>
                <w:position w:val="0"/>
                <w:sz w:val="24"/>
                <w:szCs w:val="24"/>
                <w:highlight w:val="none"/>
                <w:shd w:val="clear" w:color="auto" w:fill="auto"/>
                <w:lang w:val="en-US" w:eastAsia="zh-CN"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3</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花草等</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施肥</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4</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施肥</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防病</w:t>
            </w:r>
            <w:r>
              <w:rPr>
                <w:rFonts w:hint="eastAsia" w:ascii="宋体" w:hAnsi="宋体" w:eastAsia="宋体" w:cs="宋体"/>
                <w:color w:val="000000"/>
                <w:spacing w:val="0"/>
                <w:position w:val="0"/>
                <w:sz w:val="24"/>
                <w:szCs w:val="2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治虫</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center"/>
            <w:textDirection w:val="lrTb"/>
            <w:noWrap w:val="false"/>
          </w:tcPr>
          <w:p>
            <w:pPr>
              <w:pStyle w:val="778"/>
              <w:ind w:left="0" w:right="0" w:firstLine="0"/>
              <w:jc w:val="both"/>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病虫害防治</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restart"/>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抗雨雪、防冻</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6</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花卉、苗木</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7</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树木、草地</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restart"/>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日常</w:t>
            </w:r>
            <w:r>
              <w:rPr>
                <w:rFonts w:hint="eastAsia" w:ascii="宋体" w:hAnsi="宋体" w:eastAsia="宋体" w:cs="宋体"/>
                <w:color w:val="000000"/>
                <w:spacing w:val="0"/>
                <w:position w:val="0"/>
                <w:sz w:val="24"/>
                <w:szCs w:val="24"/>
                <w:highlight w:val="none"/>
                <w:shd w:val="clear" w:color="auto" w:fill="auto"/>
                <w:lang w:eastAsia="en-US" w:bidi="en-US"/>
              </w:rPr>
            </w:r>
            <w:r/>
          </w:p>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维护</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8</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除草</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val="en-US" w:eastAsia="zh-CN" w:bidi="en-US"/>
              </w:rPr>
            </w:pPr>
            <w:r>
              <w:rPr>
                <w:rFonts w:hint="eastAsia" w:ascii="宋体" w:hAnsi="宋体" w:eastAsia="宋体" w:cs="宋体"/>
                <w:color w:val="000000"/>
                <w:spacing w:val="0"/>
                <w:position w:val="0"/>
                <w:sz w:val="24"/>
                <w:szCs w:val="24"/>
                <w:highlight w:val="none"/>
                <w:shd w:val="clear" w:color="auto" w:fill="auto"/>
                <w:lang w:val="en-US" w:eastAsia="zh-CN"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c>
          <w:tcPr>
            <w:tcW w:w="1420" w:type="dxa"/>
            <w:vAlign w:val="top"/>
            <w:vMerge w:val="continue"/>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9</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补植</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zh-CN" w:bidi="en-US"/>
              </w:rPr>
            </w:pPr>
            <w:r>
              <w:rPr>
                <w:rFonts w:hint="eastAsia" w:ascii="宋体" w:hAnsi="宋体" w:eastAsia="宋体" w:cs="宋体"/>
                <w:color w:val="000000"/>
                <w:spacing w:val="0"/>
                <w:position w:val="0"/>
                <w:sz w:val="24"/>
                <w:szCs w:val="24"/>
                <w:highlight w:val="none"/>
                <w:shd w:val="clear" w:color="auto" w:fill="auto"/>
                <w:lang w:eastAsia="zh-CN"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tabs>
                <w:tab w:val="left" w:pos="285" w:leader="none"/>
              </w:tabs>
              <w:rPr>
                <w:rFonts w:hint="eastAsia" w:ascii="宋体" w:hAnsi="宋体" w:eastAsia="宋体" w:cs="宋体"/>
                <w:color w:val="000000"/>
                <w:spacing w:val="0"/>
                <w:position w:val="0"/>
                <w:sz w:val="24"/>
                <w:szCs w:val="24"/>
                <w:highlight w:val="none"/>
                <w:shd w:val="clear" w:color="auto" w:fill="auto"/>
                <w:lang w:eastAsia="zh-CN" w:bidi="en-US"/>
              </w:rPr>
            </w:pPr>
            <w:r>
              <w:rPr>
                <w:rFonts w:hint="eastAsia" w:ascii="宋体" w:hAnsi="宋体" w:eastAsia="宋体" w:cs="宋体"/>
                <w:color w:val="000000"/>
                <w:spacing w:val="0"/>
                <w:position w:val="0"/>
                <w:sz w:val="24"/>
                <w:szCs w:val="24"/>
                <w:highlight w:val="none"/>
                <w:shd w:val="clear" w:color="auto" w:fill="auto"/>
                <w:lang w:eastAsia="zh-CN" w:bidi="en-US"/>
              </w:rPr>
            </w:r>
            <w:r/>
          </w:p>
        </w:tc>
      </w:tr>
      <w:tr>
        <w:trPr/>
        <w:tc>
          <w:tcPr>
            <w:tcW w:w="1420" w:type="dxa"/>
            <w:vAlign w:val="top"/>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绿化保洁</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绿化保洁</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15</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val="en-US" w:eastAsia="zh-CN" w:bidi="en-US"/>
              </w:rPr>
            </w:pPr>
            <w:r>
              <w:rPr>
                <w:rFonts w:hint="eastAsia" w:ascii="宋体" w:hAnsi="宋体" w:eastAsia="宋体" w:cs="宋体"/>
                <w:color w:val="000000"/>
                <w:spacing w:val="0"/>
                <w:position w:val="0"/>
                <w:sz w:val="24"/>
                <w:szCs w:val="24"/>
                <w:highlight w:val="none"/>
                <w:shd w:val="clear" w:color="auto" w:fill="auto"/>
                <w:lang w:val="en-US" w:eastAsia="zh-CN"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tabs>
                <w:tab w:val="left" w:pos="285" w:leader="none"/>
              </w:tabs>
              <w:rPr>
                <w:rFonts w:hint="eastAsia" w:ascii="宋体" w:hAnsi="宋体" w:eastAsia="宋体" w:cs="宋体"/>
                <w:color w:val="000000"/>
                <w:spacing w:val="0"/>
                <w:position w:val="0"/>
                <w:sz w:val="24"/>
                <w:szCs w:val="24"/>
                <w:highlight w:val="none"/>
                <w:shd w:val="clear" w:color="auto" w:fill="auto"/>
                <w:lang w:eastAsia="zh-CN" w:bidi="en-US"/>
              </w:rPr>
            </w:pPr>
            <w:r>
              <w:rPr>
                <w:rFonts w:hint="eastAsia" w:ascii="宋体" w:hAnsi="宋体" w:eastAsia="宋体" w:cs="宋体"/>
                <w:color w:val="000000"/>
                <w:spacing w:val="0"/>
                <w:position w:val="0"/>
                <w:sz w:val="24"/>
                <w:szCs w:val="24"/>
                <w:highlight w:val="none"/>
                <w:shd w:val="clear" w:color="auto" w:fill="auto"/>
                <w:lang w:eastAsia="zh-CN" w:bidi="en-US"/>
              </w:rPr>
            </w:r>
            <w:r/>
          </w:p>
        </w:tc>
      </w:tr>
      <w:tr>
        <w:trPr/>
        <w:tc>
          <w:tcPr>
            <w:tcW w:w="142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其他</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659"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11</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2700"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合同其他项目执行情况</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90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10</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top"/>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r>
        <w:trPr>
          <w:trHeight w:val="1874"/>
        </w:trPr>
        <w:tc>
          <w:tcPr>
            <w:tcW w:w="1420"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考核人员</w:t>
            </w:r>
            <w:r>
              <w:rPr>
                <w:rFonts w:hint="eastAsia" w:ascii="宋体" w:hAnsi="宋体" w:eastAsia="宋体" w:cs="宋体"/>
                <w:color w:val="000000"/>
                <w:spacing w:val="0"/>
                <w:position w:val="0"/>
                <w:sz w:val="24"/>
                <w:szCs w:val="24"/>
                <w:highlight w:val="none"/>
                <w:shd w:val="clear" w:color="auto" w:fill="auto"/>
                <w:lang w:eastAsia="en-US" w:bidi="en-US"/>
              </w:rPr>
            </w:r>
            <w:r/>
          </w:p>
        </w:tc>
        <w:tc>
          <w:tcPr>
            <w:gridSpan w:val="3"/>
            <w:tcW w:w="4260" w:type="dxa"/>
            <w:vAlign w:val="center"/>
            <w:textDirection w:val="lrTb"/>
            <w:noWrap w:val="false"/>
          </w:tcPr>
          <w:p>
            <w:pPr>
              <w:pStyle w:val="778"/>
              <w:ind w:left="0" w:right="0" w:firstLine="0"/>
              <w:jc w:val="left"/>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t xml:space="preserve">总评得分</w:t>
            </w:r>
            <w:r>
              <w:rPr>
                <w:rFonts w:hint="eastAsia" w:ascii="宋体" w:hAnsi="宋体" w:eastAsia="宋体" w:cs="宋体"/>
                <w:color w:val="000000"/>
                <w:spacing w:val="0"/>
                <w:position w:val="0"/>
                <w:sz w:val="24"/>
                <w:szCs w:val="24"/>
                <w:highlight w:val="none"/>
                <w:shd w:val="clear" w:color="auto" w:fill="auto"/>
                <w:lang w:eastAsia="en-US" w:bidi="en-US"/>
              </w:rPr>
            </w:r>
            <w:r/>
          </w:p>
        </w:tc>
        <w:tc>
          <w:tcPr>
            <w:tcW w:w="1421" w:type="dxa"/>
            <w:vAlign w:val="center"/>
            <w:textDirection w:val="lrTb"/>
            <w:noWrap w:val="false"/>
          </w:tcPr>
          <w:p>
            <w:pPr>
              <w:pStyle w:val="778"/>
              <w:ind w:left="0" w:right="0" w:firstLine="0"/>
              <w:jc w:val="center"/>
              <w:keepLines w:val="0"/>
              <w:keepNext w:val="0"/>
              <w:spacing w:before="0" w:after="0" w:line="240" w:lineRule="auto"/>
              <w:shd w:val="clear" w:color="auto" w:fill="auto"/>
              <w:rPr>
                <w:rFonts w:hint="eastAsia" w:ascii="宋体" w:hAnsi="宋体" w:eastAsia="宋体" w:cs="宋体"/>
                <w:color w:val="000000"/>
                <w:spacing w:val="0"/>
                <w:position w:val="0"/>
                <w:sz w:val="24"/>
                <w:szCs w:val="24"/>
                <w:highlight w:val="none"/>
                <w:shd w:val="clear" w:color="auto" w:fill="auto"/>
                <w:lang w:eastAsia="en-US" w:bidi="en-US"/>
              </w:rPr>
            </w:pPr>
            <w:r>
              <w:rPr>
                <w:rFonts w:hint="eastAsia" w:ascii="宋体" w:hAnsi="宋体" w:eastAsia="宋体" w:cs="宋体"/>
                <w:color w:val="000000"/>
                <w:spacing w:val="0"/>
                <w:position w:val="0"/>
                <w:sz w:val="24"/>
                <w:szCs w:val="24"/>
                <w:highlight w:val="none"/>
                <w:shd w:val="clear" w:color="auto" w:fill="auto"/>
                <w:lang w:eastAsia="en-US" w:bidi="en-US"/>
              </w:rPr>
            </w:r>
            <w:r/>
          </w:p>
        </w:tc>
      </w:tr>
    </w:tbl>
    <w:p>
      <w:pPr>
        <w:pStyle w:val="778"/>
      </w:pPr>
      <w:r/>
      <w:r/>
    </w:p>
    <w:p>
      <w:pPr>
        <w:pStyle w:val="806"/>
        <w:numPr>
          <w:ilvl w:val="0"/>
          <w:numId w:val="5"/>
        </w:numPr>
        <w:rPr>
          <w:rFonts w:hint="eastAsia"/>
          <w:highlight w:val="none"/>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highlight w:val="none"/>
        </w:rPr>
      </w:r>
      <w:r/>
    </w:p>
    <w:p>
      <w:pPr>
        <w:pStyle w:val="778"/>
        <w:ind w:firstLine="720"/>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36"/>
          <w:szCs w:val="36"/>
          <w:highlight w:val="none"/>
        </w:rPr>
      </w:pPr>
      <w:r/>
      <w:bookmarkStart w:id="227" w:name="_Toc120614281"/>
      <w:r/>
      <w:bookmarkStart w:id="228" w:name="_Toc14501"/>
      <w:r>
        <w:rPr>
          <w:rFonts w:hint="eastAsia" w:ascii="宋体" w:hAnsi="宋体" w:eastAsia="宋体" w:cs="宋体"/>
          <w:bCs/>
          <w:sz w:val="36"/>
          <w:szCs w:val="36"/>
          <w:highlight w:val="none"/>
        </w:rPr>
        <w:t xml:space="preserve">第五章  </w:t>
      </w:r>
      <w:r>
        <w:rPr>
          <w:rFonts w:hint="eastAsia" w:ascii="宋体" w:hAnsi="宋体" w:eastAsia="宋体" w:cs="宋体"/>
          <w:b/>
          <w:bCs/>
          <w:sz w:val="36"/>
          <w:szCs w:val="36"/>
          <w:highlight w:val="none"/>
        </w:rPr>
        <w:t xml:space="preserve">评标方法与评标标准</w:t>
      </w:r>
      <w:bookmarkEnd w:id="228"/>
      <w:r>
        <w:rPr>
          <w:rFonts w:hint="eastAsia" w:ascii="宋体" w:hAnsi="宋体" w:eastAsia="宋体" w:cs="宋体"/>
          <w:bCs/>
          <w:sz w:val="36"/>
          <w:szCs w:val="36"/>
          <w:highlight w:val="none"/>
        </w:rPr>
      </w:r>
      <w:r/>
    </w:p>
    <w:p>
      <w:pPr>
        <w:pStyle w:val="1058"/>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rPr>
          <w:rFonts w:hint="eastAsia" w:ascii="宋体" w:hAnsi="宋体" w:eastAsia="宋体" w:cs="宋体"/>
          <w:b/>
          <w:sz w:val="30"/>
          <w:szCs w:val="30"/>
          <w:highlight w:val="none"/>
        </w:rPr>
      </w:r>
      <w:r/>
    </w:p>
    <w:p>
      <w:pPr>
        <w:pStyle w:val="1058"/>
        <w:ind w:firstLine="480"/>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rPr>
          <w:rFonts w:hint="eastAsia" w:ascii="宋体" w:hAnsi="宋体" w:eastAsia="宋体" w:cs="宋体"/>
          <w:highlight w:val="none"/>
        </w:rPr>
      </w:r>
      <w:r/>
    </w:p>
    <w:p>
      <w:pPr>
        <w:pStyle w:val="1058"/>
        <w:ind w:firstLine="480"/>
        <w:spacing w:before="0" w:after="0" w:line="500" w:lineRule="exact"/>
        <w:rPr>
          <w:rFonts w:hint="eastAsia" w:ascii="宋体" w:hAnsi="宋体" w:eastAsia="宋体" w:cs="宋体"/>
          <w:highlight w:val="none"/>
          <w:lang w:eastAsia="en-US"/>
        </w:rPr>
      </w:pPr>
      <w:r>
        <w:rPr>
          <w:rFonts w:hint="eastAsia" w:ascii="宋体" w:hAnsi="宋体" w:eastAsia="宋体" w:cs="宋体"/>
          <w:highlight w:val="none"/>
        </w:rPr>
        <w:t xml:space="preserve">比较与评价采用综合评分法。</w:t>
      </w:r>
      <w:r>
        <w:rPr>
          <w:rFonts w:hint="eastAsia" w:ascii="宋体" w:hAnsi="宋体" w:eastAsia="宋体" w:cs="宋体"/>
          <w:highlight w:val="none"/>
          <w:lang w:eastAsia="en-US"/>
        </w:rPr>
      </w:r>
      <w:r/>
    </w:p>
    <w:p>
      <w:pPr>
        <w:pStyle w:val="1058"/>
        <w:ind w:firstLine="480"/>
        <w:spacing w:before="0" w:after="0" w:line="500" w:lineRule="exact"/>
        <w:rPr>
          <w:rStyle w:val="1044"/>
          <w:rFonts w:hint="eastAsia" w:ascii="宋体" w:hAnsi="宋体" w:eastAsia="宋体" w:cs="宋体"/>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044"/>
          <w:rFonts w:hint="eastAsia" w:ascii="宋体" w:hAnsi="宋体" w:eastAsia="宋体" w:cs="宋体"/>
          <w:highlight w:val="none"/>
        </w:rPr>
      </w:r>
      <w:r/>
    </w:p>
    <w:p>
      <w:pPr>
        <w:pStyle w:val="1058"/>
        <w:ind w:firstLine="480"/>
        <w:spacing w:before="0" w:after="0" w:line="500" w:lineRule="exact"/>
        <w:rPr>
          <w:rFonts w:hint="eastAsia" w:ascii="宋体" w:hAnsi="宋体" w:eastAsia="宋体" w:cs="宋体"/>
          <w:b/>
          <w:sz w:val="30"/>
          <w:szCs w:val="30"/>
          <w:highlight w:val="none"/>
        </w:rPr>
      </w:pPr>
      <w:r>
        <w:rPr>
          <w:rFonts w:hint="eastAsia" w:ascii="宋体" w:hAnsi="宋体" w:eastAsia="宋体" w:cs="宋体"/>
          <w:highlight w:val="none"/>
          <w:shd w:val="clear" w:color="ffffff" w:fill="d9d9d9"/>
        </w:rPr>
        <w:br w:type="page" w:clear="all"/>
      </w:r>
      <w:r>
        <w:rPr>
          <w:rFonts w:hint="eastAsia" w:ascii="宋体" w:hAnsi="宋体" w:eastAsia="宋体" w:cs="宋体"/>
          <w:b/>
          <w:sz w:val="30"/>
          <w:szCs w:val="30"/>
          <w:highlight w:val="none"/>
        </w:rPr>
        <w:t xml:space="preserve">第二部分  评标标准</w:t>
      </w:r>
      <w:r>
        <w:rPr>
          <w:rFonts w:hint="eastAsia" w:ascii="宋体" w:hAnsi="宋体" w:eastAsia="宋体" w:cs="宋体"/>
          <w:b/>
          <w:sz w:val="30"/>
          <w:szCs w:val="30"/>
          <w:highlight w:val="none"/>
        </w:rPr>
      </w:r>
      <w:r/>
    </w:p>
    <w:p>
      <w:pPr>
        <w:pStyle w:val="1058"/>
        <w:ind w:firstLine="562"/>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一、落实政府采购政策的价格调整</w:t>
      </w:r>
      <w:r>
        <w:rPr>
          <w:rFonts w:hint="eastAsia" w:ascii="宋体" w:hAnsi="宋体" w:eastAsia="宋体" w:cs="宋体"/>
          <w:b/>
          <w:sz w:val="28"/>
          <w:szCs w:val="28"/>
          <w:highlight w:val="none"/>
        </w:rPr>
      </w:r>
      <w:r/>
    </w:p>
    <w:p>
      <w:pPr>
        <w:pStyle w:val="778"/>
        <w:ind w:firstLine="482"/>
        <w:jc w:val="left"/>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小微型企业价格扣除：专门面向中小/小微企业的项目不做价格扣除。</w:t>
      </w:r>
      <w:r>
        <w:rPr>
          <w:rFonts w:hint="eastAsia" w:ascii="宋体" w:hAnsi="宋体" w:eastAsia="宋体" w:cs="宋体"/>
          <w:b/>
          <w:bCs/>
          <w:sz w:val="24"/>
          <w:szCs w:val="24"/>
          <w:highlight w:val="none"/>
        </w:rPr>
      </w:r>
      <w:r/>
    </w:p>
    <w:p>
      <w:pPr>
        <w:pStyle w:val="778"/>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cs="宋体"/>
          <w:bCs/>
          <w:sz w:val="24"/>
          <w:szCs w:val="24"/>
          <w:highlight w:val="none"/>
        </w:rPr>
      </w:r>
      <w:r/>
    </w:p>
    <w:p>
      <w:pPr>
        <w:pStyle w:val="778"/>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sz w:val="24"/>
          <w:szCs w:val="24"/>
          <w:highlight w:val="none"/>
          <w:lang w:eastAsia="zh-CN"/>
        </w:rPr>
        <w:t xml:space="preserve">〔2014〕68号</w:t>
      </w:r>
      <w:r>
        <w:rPr>
          <w:rFonts w:hint="eastAsia" w:ascii="宋体" w:hAnsi="宋体" w:eastAsia="宋体" w:cs="宋体"/>
          <w:bCs/>
          <w:sz w:val="24"/>
          <w:szCs w:val="24"/>
          <w:highlight w:val="none"/>
        </w:rPr>
        <w:t xml:space="preserve">）的规定提供由省级以上监狱管理局、戒毒管理局</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含新疆生产建设兵团</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出具的属于监狱企业的证明文件扫描件。</w:t>
      </w:r>
      <w:r>
        <w:rPr>
          <w:rFonts w:hint="eastAsia" w:ascii="宋体" w:hAnsi="宋体" w:eastAsia="宋体" w:cs="宋体"/>
          <w:bCs/>
          <w:sz w:val="24"/>
          <w:szCs w:val="24"/>
          <w:highlight w:val="none"/>
        </w:rPr>
      </w:r>
      <w:r/>
    </w:p>
    <w:p>
      <w:pPr>
        <w:pStyle w:val="778"/>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bCs/>
          <w:sz w:val="24"/>
          <w:szCs w:val="24"/>
          <w:highlight w:val="none"/>
        </w:rPr>
      </w:r>
      <w:r/>
    </w:p>
    <w:p>
      <w:pPr>
        <w:pStyle w:val="778"/>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rPr>
          <w:rFonts w:hint="eastAsia" w:ascii="宋体" w:hAnsi="宋体" w:eastAsia="宋体" w:cs="宋体"/>
          <w:bCs/>
          <w:color w:val="000000"/>
          <w:sz w:val="24"/>
          <w:szCs w:val="24"/>
          <w:highlight w:val="none"/>
        </w:rPr>
      </w:r>
      <w:r/>
    </w:p>
    <w:p>
      <w:pPr>
        <w:pStyle w:val="778"/>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sz w:val="24"/>
          <w:szCs w:val="24"/>
          <w:highlight w:val="none"/>
        </w:rPr>
      </w:r>
      <w:r/>
    </w:p>
    <w:p>
      <w:pPr>
        <w:pStyle w:val="778"/>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联合体各方均为小型、微型企业的，联合体视同为小型、微型企业按规定享受价格扣除。</w:t>
      </w:r>
      <w:r>
        <w:rPr>
          <w:rFonts w:hint="eastAsia" w:ascii="宋体" w:hAnsi="宋体" w:eastAsia="宋体" w:cs="宋体"/>
          <w:bCs/>
          <w:sz w:val="24"/>
          <w:szCs w:val="24"/>
          <w:highlight w:val="none"/>
        </w:rPr>
      </w:r>
      <w:r/>
    </w:p>
    <w:p>
      <w:pPr>
        <w:pStyle w:val="778"/>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hint="eastAsia" w:ascii="宋体" w:hAnsi="宋体" w:eastAsia="宋体" w:cs="宋体"/>
          <w:bCs/>
          <w:sz w:val="24"/>
          <w:szCs w:val="24"/>
          <w:highlight w:val="none"/>
        </w:rPr>
      </w:r>
      <w:r/>
    </w:p>
    <w:p>
      <w:pPr>
        <w:pStyle w:val="806"/>
        <w:rPr>
          <w:rFonts w:hint="eastAsia"/>
          <w:highlight w:val="none"/>
        </w:rPr>
      </w:pPr>
      <w:r>
        <w:rPr>
          <w:rFonts w:hint="eastAsia"/>
          <w:highlight w:val="none"/>
        </w:rPr>
      </w:r>
      <w:r/>
    </w:p>
    <w:p>
      <w:pPr>
        <w:pStyle w:val="1058"/>
        <w:ind w:firstLine="36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highlight w:val="none"/>
          <w:shd w:val="clear" w:color="ffffff" w:fill="d9d9d9"/>
        </w:rPr>
        <w:br w:type="page" w:clear="all"/>
      </w:r>
      <w:r>
        <w:rPr>
          <w:rFonts w:hint="eastAsia" w:ascii="宋体" w:hAnsi="宋体" w:eastAsia="宋体" w:cs="宋体"/>
          <w:b/>
          <w:sz w:val="28"/>
          <w:szCs w:val="28"/>
          <w:highlight w:val="none"/>
        </w:rPr>
        <w:t xml:space="preserve">二、评分标准</w:t>
      </w:r>
      <w:r>
        <w:rPr>
          <w:rFonts w:hint="eastAsia" w:ascii="宋体" w:hAnsi="宋体" w:eastAsia="宋体" w:cs="宋体"/>
          <w:highlight w:val="none"/>
          <w:shd w:val="clear" w:color="ffffff" w:fill="d9d9d9"/>
        </w:rPr>
      </w:r>
      <w:r/>
    </w:p>
    <w:p>
      <w:pPr>
        <w:pStyle w:val="1058"/>
        <w:ind w:firstLine="422"/>
        <w:keepLines w:val="0"/>
        <w:keepNext w:val="0"/>
        <w:pageBreakBefore w:val="0"/>
        <w:spacing w:before="0" w:after="0" w:line="44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（一）商务部分</w:t>
      </w:r>
      <w:r>
        <w:rPr>
          <w:rFonts w:hint="eastAsia" w:ascii="宋体" w:hAnsi="宋体" w:eastAsia="宋体" w:cs="宋体"/>
          <w:b/>
          <w:sz w:val="28"/>
          <w:szCs w:val="28"/>
          <w:highlight w:val="none"/>
        </w:rPr>
      </w:r>
      <w:r/>
    </w:p>
    <w:p>
      <w:pPr>
        <w:pStyle w:val="778"/>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1.</w:t>
      </w:r>
      <w:r>
        <w:rPr>
          <w:rFonts w:hint="eastAsia" w:ascii="宋体" w:hAnsi="宋体" w:eastAsia="宋体" w:cs="宋体"/>
          <w:b/>
          <w:bCs/>
          <w:color w:val="000000"/>
          <w:sz w:val="28"/>
          <w:szCs w:val="28"/>
          <w:highlight w:val="none"/>
        </w:rPr>
        <w:t xml:space="preserve">价格（</w:t>
      </w:r>
      <w:r>
        <w:rPr>
          <w:rFonts w:hint="eastAsia" w:ascii="宋体" w:hAnsi="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8"/>
          <w:szCs w:val="28"/>
          <w:highlight w:val="none"/>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投标报价得分=</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评标基准价／投标报价</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×价格权值×100。</w:t>
      </w:r>
      <w:r>
        <w:rPr>
          <w:rFonts w:hint="eastAsia" w:ascii="宋体" w:hAnsi="宋体" w:eastAsia="宋体" w:cs="宋体"/>
          <w:bCs/>
          <w:color w:val="000000"/>
          <w:sz w:val="28"/>
          <w:szCs w:val="28"/>
          <w:highlight w:val="none"/>
        </w:rPr>
      </w:r>
      <w:r/>
    </w:p>
    <w:p>
      <w:pPr>
        <w:pStyle w:val="778"/>
        <w:ind w:firstLine="480"/>
        <w:jc w:val="left"/>
        <w:keepLines w:val="0"/>
        <w:keepNext w:val="0"/>
        <w:pageBreakBefore w:val="0"/>
        <w:spacing w:line="440" w:lineRule="exact"/>
        <w:widowControl w:val="off"/>
        <w:rPr>
          <w:rFonts w:hint="eastAsia" w:ascii="宋体" w:hAnsi="宋体" w:eastAsia="宋体" w:cs="宋体"/>
          <w:b/>
          <w:sz w:val="28"/>
          <w:szCs w:val="28"/>
          <w:highlight w:val="none"/>
        </w:rPr>
      </w:pPr>
      <w:r>
        <w:rPr>
          <w:rFonts w:hint="eastAsia" w:ascii="宋体" w:hAnsi="宋体" w:eastAsia="宋体" w:cs="宋体"/>
          <w:bCs/>
          <w:sz w:val="28"/>
          <w:szCs w:val="28"/>
          <w:highlight w:val="none"/>
        </w:rPr>
        <w:t xml:space="preserve">关于价格扣除详见本章第二部分“一、落实政府采购政策的价格调整”。</w:t>
      </w:r>
      <w:r>
        <w:rPr>
          <w:rFonts w:hint="eastAsia" w:ascii="宋体" w:hAnsi="宋体" w:eastAsia="宋体" w:cs="宋体"/>
          <w:b/>
          <w:sz w:val="28"/>
          <w:szCs w:val="28"/>
          <w:highlight w:val="none"/>
        </w:rPr>
      </w:r>
      <w:r/>
    </w:p>
    <w:p>
      <w:pPr>
        <w:pStyle w:val="778"/>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2.</w:t>
      </w:r>
      <w:r>
        <w:rPr>
          <w:rFonts w:hint="eastAsia" w:ascii="宋体" w:hAnsi="宋体" w:eastAsia="宋体" w:cs="宋体"/>
          <w:b/>
          <w:bCs/>
          <w:color w:val="000000"/>
          <w:sz w:val="28"/>
          <w:szCs w:val="28"/>
          <w:highlight w:val="none"/>
        </w:rPr>
        <w:t xml:space="preserve">投标人综合实力（</w:t>
      </w:r>
      <w:r>
        <w:rPr>
          <w:rFonts w:hint="eastAsia" w:ascii="宋体" w:hAnsi="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1）、企业业绩：3分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投标供应商近三年（从招标公告发布首日向前推算）以来承担过同类项目的，有一个得1分，本项最高得3分。（响应文件中提供合同扫描件加盖公章或电子签章附在响应文件中，时间以合同签订时间为准）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2）、体系认证（3分）：投标人具备有效期内的质量管理体系认证证书、环境管理体系认证证书、职业健康安全管理体系认证证书，有一个得1分，本项最高得3分。（响应文件中提供证书原件扫描件加盖公章或签电子公章）</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3）、拟投入人员情况：9分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①本项目养护作业人员中（项目负责人除外）具有高级（三级）及以上绿化工证书的，每有一个得0.5分，本项最高得3分。（提供技能人才评价证书全国联网查询截图签电子公章和证书原件扫描件加盖公章或签电子公章）</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②本项目养护作业人员中（项目负责人除外）具有有害生物防制（治）员证书的，每有一个得0.5分，本项最高得2分。（提供技能人才证书全国联网查询截图签电子公章和证书原件扫描件加盖公章或签电子公章）</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③本项目养护作业人员中（项目负责人除外）具有高处作业、起重机相关专业特种工证书的，有一个专业得1分，相同专业不重复得分，本项最高得2分。（提供证书原件扫描件加盖公章或签电子公章）。</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④本项目养护作业人员中（项目负责人除外）具有特种作业操作证(类别:高压电工、低压电工或电工证)的，每有一个得1分，本项最高得2分。（提供技能人才评价证书全国联网查询截图签电子公章和证书原件扫描件加盖公章或签电子公章）</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注：以上人员一人一证，同一人员不得重复计分。响应文件中附《养护作业人员投入计划一览表》（格式自拟）、相关人员提供技能等级证书扫描件以及提供上述人员由社保机构出具的近三个月中任意一个月(不含开标当月)的缴费证明复印件加盖公章或电子签章，不提供或提供不全者本项不得分。如有弄虚作假行为，按无效标处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4）、养护施工机械设备配置：5分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①投标供应商拟投入制式专业浇灌水车（核定载质量≥10吨），有一辆得0.5分，本项最高得1分；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②投标供应商拟投入一辆无泄漏压缩式垃圾车（核定载质量≥3吨，用于装卸绿地场内废弃物、垃圾等），有一辆得0.5分，本项最高得1分；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③投标供应商拟投入多功能抑尘车，有一辆得0.5分，本项最高得1分；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lang w:eastAsia="zh-CN"/>
        </w:rPr>
        <w:t xml:space="preserve">④投标供应商拟投入防撞缓冲车的，有一台得1分，本项最高得2分。</w:t>
      </w:r>
      <w:r>
        <w:rPr>
          <w:rFonts w:hint="eastAsia" w:ascii="宋体" w:hAnsi="宋体" w:eastAsia="宋体" w:cs="宋体"/>
          <w:bCs/>
          <w:color w:val="000000"/>
          <w:sz w:val="28"/>
          <w:szCs w:val="28"/>
          <w:highlight w:val="none"/>
          <w:lang w:eastAsia="zh-CN"/>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
          <w:bCs/>
          <w:spacing w:val="-2"/>
          <w:sz w:val="28"/>
          <w:szCs w:val="28"/>
          <w:highlight w:val="none"/>
          <w:lang w:eastAsia="zh-CN"/>
        </w:rPr>
      </w:pPr>
      <w:r>
        <w:rPr>
          <w:rFonts w:hint="eastAsia" w:ascii="宋体" w:hAnsi="宋体" w:eastAsia="宋体" w:cs="宋体"/>
          <w:bCs/>
          <w:color w:val="000000"/>
          <w:sz w:val="28"/>
          <w:szCs w:val="28"/>
          <w:highlight w:val="none"/>
          <w:lang w:eastAsia="zh-CN"/>
        </w:rPr>
        <w:t xml:space="preserve">注：制式专业浇灌水车、无泄漏压缩式垃圾车、多功能抑尘车、防撞缓冲车等机械自有的提供设备图片、登记证，租赁的提供租赁协议、设备图片；以上复印件加盖公章或电子签章附在响应文件中，不提供或提供不全者本项不得分。</w:t>
      </w:r>
      <w:r>
        <w:rPr>
          <w:rFonts w:hint="eastAsia" w:ascii="宋体" w:hAnsi="宋体" w:eastAsia="宋体" w:cs="宋体"/>
          <w:b/>
          <w:bCs/>
          <w:spacing w:val="-2"/>
          <w:sz w:val="28"/>
          <w:szCs w:val="28"/>
          <w:highlight w:val="none"/>
          <w:lang w:eastAsia="zh-CN"/>
        </w:rPr>
      </w:r>
      <w:r/>
    </w:p>
    <w:p>
      <w:pPr>
        <w:pStyle w:val="778"/>
        <w:numPr>
          <w:ilvl w:val="0"/>
          <w:numId w:val="0"/>
        </w:numPr>
        <w:ind w:left="630"/>
        <w:spacing w:line="360" w:lineRule="auto"/>
        <w:tabs>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3</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rPr>
        <w:t xml:space="preserve">技术文件（</w:t>
      </w:r>
      <w:r>
        <w:rPr>
          <w:rFonts w:hint="eastAsia" w:ascii="宋体" w:hAnsi="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（1）、绿化养护作业方案  8分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绿化养护作业方案包括：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①养护计划、作业规范和养护管理制度和养护管理档案（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②专项养护方案和园林绿化废弃物处置方案（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2）、本项目实施的重点难点及解决方案8分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本项目实施的重点难点及解决方案包括：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①本项目重难点分析（2分）：方案内容详实、需求贴合度高、条理清晰且重难点分析有针对性和条理性的得2分；方案内容较详实、需求贴合度较高、条理清晰且重难点分析有针对性和条理性的得1分；方案内容较为简单、重难点分析针对性和条理性不强的得0.5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②本项目重难点解决方案（2分）：方案内容详实、需求贴合度高、条理清晰且重难点分析有针对性和条理性的得2分；方案内容较详实、需求贴合度较高、条理清晰且重难点分析有针对性和条理性的得1分；方案内容较为简单、重难点分析针对性和条理性不强的得0.5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③本项目重点路段人员保障、技术保障方案（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3）、精细化管理提升方案8分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精细化管理提升方案包括：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①精细化管理提升原则和提升目标（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②精细化管理提升方法和对应措施（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4）、安全文明保障措施方案8分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安全文明保障措施方案包括：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①安全养护指导思想和各类安全防护措施（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②安全文明制度、安全教育制度（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5）、快速保障应急措施方案8分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快速保障应急措施方案包括：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①灾害性天气（防汛、防冻、防雪）、养护防护应急措施、交通应急措施（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②重大活动、各类创建活动、重大事故的快速处理预案（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6）、养护管理制度和养护台帐管理方案6分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养护管理制度和养护台帐管理方案包括：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①公司管理体系及养护管理制度及考核制度（3分）：方案内容详实、需求贴合度高、条理清晰且重难点分析有针对性和条理性的得3分；方案内容较详实、需求贴合度较高、条理清晰且重难点分析有针对性和条理性的得2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②日常养护管理方案及养护台账管理体系（3分）：方案内容详实、需求贴合度高、条理清晰且重难点分析有针对性和条理性的得3分；方案内容较详实、需求贴合度较高、条理清晰且重难点分析有针对性和条理性的得2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7）、常见病害养护技术方案4分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常见病害养护技术方案包括：</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常见病害分析阐述及常见病害对应解决方案（4分）：方案内容详实、需求贴合度高、条理清晰且重难点分析有针对性和条理性的得4分；方案内容较详实、需求贴合度较高、条理清晰且重难点分析有针对性和条理性的得3分；方案内容较为简单、重难点分析针对性和条理性不强的得1分；未提供方案或存在逻辑错误、前后矛盾，或存在违反现行相关规范的不得分。</w:t>
      </w:r>
      <w:r>
        <w:rPr>
          <w:rFonts w:hint="eastAsia" w:ascii="宋体" w:hAnsi="宋体" w:eastAsia="宋体" w:cs="宋体"/>
          <w:bCs/>
          <w:color w:val="000000"/>
          <w:sz w:val="28"/>
          <w:szCs w:val="28"/>
          <w:highlight w:val="none"/>
          <w:lang w:val="en-US" w:eastAsia="en-US"/>
        </w:rPr>
      </w:r>
      <w:r/>
    </w:p>
    <w:p>
      <w:pPr>
        <w:pStyle w:val="778"/>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Cs/>
          <w:color w:val="000000"/>
          <w:sz w:val="28"/>
          <w:szCs w:val="28"/>
          <w:highlight w:val="none"/>
          <w:lang w:val="en-US" w:eastAsia="en-US"/>
        </w:rPr>
        <w:t xml:space="preserve">注：技术标页数不得少于20页。所有评委打分的平均值为各供应商最终得分。最终得分最高者将为推荐成交候选人。未列入本评分细则的其他条件不作为评分内容。</w:t>
      </w:r>
      <w:r>
        <w:rPr>
          <w:rFonts w:hint="eastAsia" w:ascii="宋体" w:hAnsi="宋体" w:eastAsia="宋体" w:cs="宋体"/>
          <w:b w:val="0"/>
          <w:bCs w:val="0"/>
          <w:spacing w:val="-3"/>
          <w:sz w:val="28"/>
          <w:szCs w:val="28"/>
          <w:highlight w:val="none"/>
          <w:lang w:val="en-US" w:eastAsia="zh-CN"/>
        </w:rPr>
      </w:r>
      <w:r/>
    </w:p>
    <w:p>
      <w:pPr>
        <w:pStyle w:val="806"/>
        <w:numPr>
          <w:ilvl w:val="0"/>
          <w:numId w:val="0"/>
        </w:numPr>
        <w:jc w:val="both"/>
        <w:keepLines w:val="0"/>
        <w:keepNext w:val="0"/>
        <w:widowControl w:val="off"/>
        <w:rPr>
          <w:rFonts w:hint="eastAsia"/>
          <w:highlight w:val="none"/>
        </w:rPr>
        <w:suppressLineNumbers w:val="0"/>
      </w:pPr>
      <w:r>
        <w:rPr>
          <w:rFonts w:hint="eastAsia"/>
          <w:highlight w:val="none"/>
        </w:rPr>
      </w:r>
      <w:r/>
    </w:p>
    <w:p>
      <w:pPr>
        <w:pStyle w:val="778"/>
        <w:rPr>
          <w:rFonts w:hint="eastAsia"/>
          <w:highlight w:val="none"/>
        </w:rPr>
      </w:pPr>
      <w:r>
        <w:rPr>
          <w:rFonts w:hint="eastAsia"/>
          <w:highlight w:val="none"/>
        </w:rPr>
      </w:r>
      <w:r/>
    </w:p>
    <w:p>
      <w:pPr>
        <w:pStyle w:val="806"/>
        <w:rPr>
          <w:rFonts w:hint="eastAsia"/>
          <w:highlight w:val="none"/>
        </w:rPr>
      </w:pPr>
      <w:r>
        <w:rPr>
          <w:rFonts w:hint="eastAsia"/>
          <w:highlight w:val="none"/>
        </w:rPr>
      </w:r>
      <w:r/>
    </w:p>
    <w:p>
      <w:pPr>
        <w:pStyle w:val="778"/>
        <w:rPr>
          <w:rFonts w:hint="eastAsia"/>
          <w:highlight w:val="none"/>
        </w:rPr>
      </w:pPr>
      <w:r>
        <w:rPr>
          <w:rFonts w:hint="eastAsia"/>
          <w:highlight w:val="none"/>
        </w:rPr>
      </w:r>
      <w:r/>
    </w:p>
    <w:p>
      <w:pPr>
        <w:pStyle w:val="778"/>
        <w:jc w:val="center"/>
        <w:spacing w:line="360" w:lineRule="auto"/>
        <w:rPr>
          <w:rFonts w:hint="eastAsia" w:ascii="宋体" w:hAnsi="宋体" w:eastAsia="宋体" w:cs="宋体"/>
          <w:bCs/>
          <w:sz w:val="36"/>
          <w:szCs w:val="36"/>
          <w:highlight w:val="none"/>
        </w:rPr>
        <w:outlineLvl w:val="0"/>
      </w:pPr>
      <w:r/>
      <w:bookmarkStart w:id="229" w:name="_Toc25872"/>
      <w:r>
        <w:rPr>
          <w:rFonts w:hint="eastAsia" w:ascii="宋体" w:hAnsi="宋体" w:eastAsia="宋体" w:cs="宋体"/>
          <w:bCs/>
          <w:sz w:val="36"/>
          <w:szCs w:val="36"/>
          <w:highlight w:val="none"/>
        </w:rPr>
        <w:t xml:space="preserve">第六章  </w:t>
      </w:r>
      <w:bookmarkEnd w:id="225"/>
      <w:r/>
      <w:bookmarkEnd w:id="226"/>
      <w:r/>
      <w:bookmarkEnd w:id="227"/>
      <w:r>
        <w:rPr>
          <w:rFonts w:hint="eastAsia" w:ascii="宋体" w:hAnsi="宋体" w:eastAsia="宋体" w:cs="宋体"/>
          <w:bCs/>
          <w:sz w:val="36"/>
          <w:szCs w:val="36"/>
          <w:highlight w:val="none"/>
        </w:rPr>
        <w:t xml:space="preserve">投标文件内容与格式</w:t>
      </w:r>
      <w:bookmarkEnd w:id="229"/>
      <w:r>
        <w:rPr>
          <w:rFonts w:hint="eastAsia" w:ascii="宋体" w:hAnsi="宋体" w:eastAsia="宋体" w:cs="宋体"/>
          <w:bCs/>
          <w:sz w:val="36"/>
          <w:szCs w:val="36"/>
          <w:highlight w:val="none"/>
        </w:rPr>
      </w:r>
      <w:r/>
    </w:p>
    <w:p>
      <w:pPr>
        <w:pStyle w:val="1058"/>
        <w:ind w:firstLine="602"/>
        <w:spacing w:before="0" w:after="0" w:line="360" w:lineRule="auto"/>
        <w:rPr>
          <w:rFonts w:hint="eastAsia" w:ascii="宋体" w:hAnsi="宋体" w:eastAsia="宋体" w:cs="宋体"/>
          <w:b/>
          <w:sz w:val="30"/>
          <w:szCs w:val="30"/>
          <w:highlight w:val="none"/>
        </w:rPr>
      </w:pPr>
      <w:r/>
      <w:bookmarkStart w:id="230" w:name="_Hlt26955039"/>
      <w:r/>
      <w:bookmarkEnd w:id="230"/>
      <w:r/>
      <w:bookmarkStart w:id="231" w:name="_Hlt26671244"/>
      <w:r/>
      <w:bookmarkEnd w:id="231"/>
      <w:r/>
      <w:bookmarkStart w:id="232" w:name="_Toc49090576"/>
      <w:r/>
      <w:bookmarkStart w:id="233" w:name="_Toc26554094"/>
      <w:r/>
      <w:bookmarkStart w:id="234" w:name="_Toc120614282"/>
      <w:r>
        <w:rPr>
          <w:rFonts w:hint="eastAsia" w:ascii="宋体" w:hAnsi="宋体" w:eastAsia="宋体" w:cs="宋体"/>
          <w:b/>
          <w:sz w:val="30"/>
          <w:szCs w:val="30"/>
          <w:highlight w:val="none"/>
        </w:rPr>
        <w:t xml:space="preserve">第一部分  投标文件内容</w:t>
      </w:r>
      <w:r>
        <w:rPr>
          <w:rFonts w:hint="eastAsia" w:ascii="宋体" w:hAnsi="宋体" w:eastAsia="宋体" w:cs="宋体"/>
          <w:b/>
          <w:sz w:val="30"/>
          <w:szCs w:val="30"/>
          <w:highlight w:val="none"/>
        </w:rPr>
      </w:r>
      <w:r/>
    </w:p>
    <w:p>
      <w:pPr>
        <w:pStyle w:val="1058"/>
        <w:ind w:firstLine="0"/>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rPr>
          <w:rFonts w:hint="eastAsia" w:ascii="宋体" w:hAnsi="宋体" w:eastAsia="宋体" w:cs="宋体"/>
          <w:b/>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rPr>
                <w:rFonts w:hint="eastAsia" w:ascii="宋体" w:hAnsi="宋体" w:eastAsia="宋体" w:cs="宋体"/>
                <w:b/>
                <w:sz w:val="24"/>
                <w:szCs w:val="24"/>
                <w:highlight w:val="none"/>
                <w:lang w:val="en-US" w:eastAsia="zh-CN" w:bidi="ar-SA"/>
              </w:rPr>
            </w:r>
            <w:r/>
          </w:p>
        </w:tc>
        <w:tc>
          <w:tcPr>
            <w:tcW w:w="6104" w:type="dxa"/>
            <w:vAlign w:val="center"/>
            <w:textDirection w:val="lrTb"/>
            <w:noWrap w:val="false"/>
          </w:tcPr>
          <w:p>
            <w:pPr>
              <w:pStyle w:val="1058"/>
              <w:ind w:firstLine="48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rPr>
                <w:rFonts w:hint="eastAsia" w:ascii="宋体" w:hAnsi="宋体" w:eastAsia="宋体" w:cs="宋体"/>
                <w:b/>
                <w:sz w:val="24"/>
                <w:szCs w:val="24"/>
                <w:highlight w:val="none"/>
                <w:lang w:val="en-US" w:eastAsia="zh-CN" w:bidi="ar-SA"/>
              </w:rPr>
            </w:r>
            <w:r/>
          </w:p>
        </w:tc>
        <w:tc>
          <w:tcPr>
            <w:tcW w:w="244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rPr>
                <w:rFonts w:hint="eastAsia" w:ascii="宋体" w:hAnsi="宋体" w:eastAsia="宋体" w:cs="宋体"/>
                <w:b/>
                <w:sz w:val="24"/>
                <w:szCs w:val="24"/>
                <w:highlight w:val="none"/>
                <w:lang w:val="en-US" w:eastAsia="zh-CN" w:bidi="ar-SA"/>
              </w:rPr>
            </w:r>
            <w:r/>
          </w:p>
        </w:tc>
      </w:tr>
      <w:tr>
        <w:trPr>
          <w:trHeight w:val="1335"/>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lang w:val="en-US" w:eastAsia="zh-CN" w:bidi="ar-SA"/>
              </w:rPr>
            </w:r>
            <w:r/>
          </w:p>
        </w:tc>
        <w:tc>
          <w:tcPr>
            <w:tcW w:w="2449" w:type="dxa"/>
            <w:vAlign w:val="center"/>
            <w:vMerge w:val="restart"/>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通用资格要求，详见第一章《投标邀请》</w:t>
            </w:r>
            <w:r>
              <w:rPr>
                <w:rFonts w:hint="eastAsia" w:ascii="宋体" w:hAnsi="宋体" w:eastAsia="宋体" w:cs="宋体"/>
                <w:sz w:val="24"/>
                <w:szCs w:val="24"/>
                <w:highlight w:val="none"/>
                <w:lang w:val="en-US" w:eastAsia="zh-CN" w:bidi="ar-SA"/>
              </w:rPr>
            </w:r>
            <w:r/>
          </w:p>
        </w:tc>
      </w:tr>
      <w:tr>
        <w:trPr>
          <w:trHeight w:val="812"/>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《授权委托书》（给定格式；投标人如是自然人情形的，可不提供）。</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684"/>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44"/>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963"/>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投标人近一年中任意一个月份（不含投标当月）的依法缴纳税收的相关材料（提供相关主管部门证明或银行代扣证明）。</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023"/>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投标人近一年中任意一个月份（不含投标当月）的依法缴纳社会保障资金的相关材料（提供相关主管部门证明或银行代扣证明）。</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05"/>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《资格声明函》（给定格式）。</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00"/>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r>
            <w:r/>
          </w:p>
        </w:tc>
        <w:tc>
          <w:tcPr>
            <w:tcW w:w="6104" w:type="dxa"/>
            <w:vAlign w:val="center"/>
            <w:textDirection w:val="lrTb"/>
            <w:noWrap w:val="false"/>
          </w:tcPr>
          <w:p>
            <w:pPr>
              <w:pStyle w:val="778"/>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落实政府采购政策需满足的资格要求的证明文件（如有）。</w:t>
            </w:r>
            <w:r>
              <w:rPr>
                <w:rFonts w:hint="eastAsia" w:ascii="宋体" w:hAnsi="宋体" w:eastAsia="宋体" w:cs="宋体"/>
                <w:sz w:val="24"/>
                <w:szCs w:val="24"/>
                <w:highlight w:val="none"/>
                <w:lang w:val="en-US" w:eastAsia="zh-CN" w:bidi="ar-SA"/>
              </w:rPr>
            </w:r>
            <w:r/>
          </w:p>
        </w:tc>
        <w:tc>
          <w:tcPr>
            <w:tcW w:w="2449" w:type="dxa"/>
            <w:vAlign w:val="center"/>
            <w:vMerge w:val="continue"/>
            <w:textDirection w:val="lrTb"/>
            <w:noWrap w:val="false"/>
          </w:tcPr>
          <w:p>
            <w:pPr>
              <w:pStyle w:val="1058"/>
              <w:ind w:firstLine="0"/>
              <w:jc w:val="left"/>
              <w:spacing w:before="0" w:after="0" w:line="36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r>
            <w:r/>
          </w:p>
        </w:tc>
      </w:tr>
      <w:tr>
        <w:trPr>
          <w:trHeight w:val="726"/>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w:t>
            </w:r>
            <w:r>
              <w:rPr>
                <w:rFonts w:hint="eastAsia" w:ascii="宋体" w:hAnsi="宋体" w:eastAsia="宋体" w:cs="宋体"/>
                <w:bCs/>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本项目要求的特定资格证明</w:t>
            </w:r>
            <w:r>
              <w:rPr>
                <w:rFonts w:hint="eastAsia" w:ascii="宋体" w:hAnsi="宋体" w:eastAsia="宋体" w:cs="宋体"/>
                <w:sz w:val="24"/>
                <w:szCs w:val="24"/>
                <w:highlight w:val="none"/>
                <w:lang w:val="en-US" w:eastAsia="zh-CN" w:bidi="ar-SA"/>
              </w:rPr>
              <w:t xml:space="preserve">文件（</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r>
            <w:r/>
          </w:p>
        </w:tc>
        <w:tc>
          <w:tcPr>
            <w:tcW w:w="2449" w:type="dxa"/>
            <w:vAlign w:val="center"/>
            <w:textDirection w:val="lrTb"/>
            <w:noWrap w:val="false"/>
          </w:tcPr>
          <w:p>
            <w:pPr>
              <w:pStyle w:val="1058"/>
              <w:ind w:firstLine="0"/>
              <w:jc w:val="left"/>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特定资格要求，详见第一章《投标邀请》</w:t>
            </w:r>
            <w:r>
              <w:rPr>
                <w:rFonts w:hint="eastAsia" w:ascii="宋体" w:hAnsi="宋体" w:eastAsia="宋体" w:cs="宋体"/>
                <w:bCs/>
                <w:sz w:val="24"/>
                <w:szCs w:val="24"/>
                <w:highlight w:val="none"/>
                <w:lang w:val="en-US" w:eastAsia="zh-CN" w:bidi="ar-SA"/>
              </w:rPr>
            </w:r>
            <w:r/>
          </w:p>
        </w:tc>
      </w:tr>
      <w:tr>
        <w:trPr>
          <w:trHeight w:val="632"/>
        </w:trPr>
        <w:tc>
          <w:tcPr>
            <w:tcW w:w="71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w:t>
            </w:r>
            <w:r>
              <w:rPr>
                <w:rFonts w:hint="eastAsia" w:ascii="宋体" w:hAnsi="宋体" w:eastAsia="宋体" w:cs="宋体"/>
                <w:bCs/>
                <w:sz w:val="24"/>
                <w:szCs w:val="24"/>
                <w:highlight w:val="none"/>
                <w:lang w:val="en-US" w:eastAsia="zh-CN" w:bidi="ar-SA"/>
              </w:rPr>
            </w:r>
            <w:r/>
          </w:p>
        </w:tc>
        <w:tc>
          <w:tcPr>
            <w:tcW w:w="6104"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《联合体协议》（如有，格式自拟）。</w:t>
            </w:r>
            <w:r>
              <w:rPr>
                <w:rFonts w:hint="eastAsia" w:ascii="宋体" w:hAnsi="宋体" w:eastAsia="宋体" w:cs="宋体"/>
                <w:bCs/>
                <w:sz w:val="24"/>
                <w:szCs w:val="24"/>
                <w:highlight w:val="none"/>
                <w:lang w:val="en-US" w:eastAsia="zh-CN" w:bidi="ar-SA"/>
              </w:rPr>
            </w:r>
            <w:r/>
          </w:p>
        </w:tc>
        <w:tc>
          <w:tcPr>
            <w:tcW w:w="2449" w:type="dxa"/>
            <w:vAlign w:val="center"/>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如接受联合体投标且投标人为联合体时</w:t>
            </w:r>
            <w:r>
              <w:rPr>
                <w:rFonts w:hint="eastAsia" w:ascii="宋体" w:hAnsi="宋体" w:eastAsia="宋体" w:cs="宋体"/>
                <w:sz w:val="24"/>
                <w:szCs w:val="24"/>
                <w:highlight w:val="none"/>
                <w:lang w:val="en-US" w:eastAsia="zh-CN" w:bidi="ar-SA"/>
              </w:rPr>
            </w:r>
            <w:r/>
          </w:p>
        </w:tc>
      </w:tr>
    </w:tbl>
    <w:p>
      <w:pPr>
        <w:pStyle w:val="77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778"/>
        <w:numPr>
          <w:ilvl w:val="0"/>
          <w:numId w:val="6"/>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rPr>
          <w:rFonts w:hint="eastAsia" w:ascii="宋体" w:hAnsi="宋体" w:eastAsia="宋体" w:cs="宋体"/>
          <w:sz w:val="24"/>
          <w:szCs w:val="24"/>
          <w:highlight w:val="none"/>
        </w:rPr>
      </w:r>
      <w:r/>
    </w:p>
    <w:p>
      <w:pPr>
        <w:pStyle w:val="77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sz w:val="24"/>
          <w:szCs w:val="24"/>
          <w:highlight w:val="none"/>
        </w:rPr>
      </w:r>
      <w:r/>
    </w:p>
    <w:p>
      <w:pPr>
        <w:pStyle w:val="778"/>
        <w:numPr>
          <w:ilvl w:val="0"/>
          <w:numId w:val="6"/>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上述资格证明文件第7项，如本项目有落实政府采购政策需满足的资格要求的（详见第一章《投标邀请》），必须提供相应证明文件，否则投标文件无效。</w:t>
      </w:r>
      <w:r>
        <w:rPr>
          <w:rFonts w:hint="eastAsia" w:ascii="宋体" w:hAnsi="宋体" w:eastAsia="宋体" w:cs="宋体"/>
          <w:sz w:val="24"/>
          <w:szCs w:val="24"/>
          <w:highlight w:val="none"/>
        </w:rPr>
      </w:r>
      <w:r/>
    </w:p>
    <w:p>
      <w:pPr>
        <w:pStyle w:val="77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宋体"/>
          <w:sz w:val="24"/>
          <w:szCs w:val="24"/>
          <w:highlight w:val="none"/>
        </w:rPr>
      </w:r>
      <w:r/>
    </w:p>
    <w:p>
      <w:pPr>
        <w:pStyle w:val="778"/>
        <w:numPr>
          <w:ilvl w:val="0"/>
          <w:numId w:val="6"/>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上述资格证明文件第8项，如本项目有特定资格要求的（详见第一章《投标邀请》），须提供相应的特定资格证明文件。</w:t>
      </w:r>
      <w:r>
        <w:rPr>
          <w:rFonts w:hint="eastAsia" w:ascii="宋体" w:hAnsi="宋体" w:eastAsia="宋体" w:cs="宋体"/>
          <w:sz w:val="24"/>
          <w:szCs w:val="24"/>
          <w:highlight w:val="none"/>
        </w:rPr>
      </w:r>
      <w:r/>
    </w:p>
    <w:p>
      <w:pPr>
        <w:pStyle w:val="778"/>
        <w:numPr>
          <w:ilvl w:val="0"/>
          <w:numId w:val="6"/>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宋体"/>
          <w:sz w:val="24"/>
          <w:szCs w:val="24"/>
          <w:highlight w:val="none"/>
        </w:rPr>
      </w:r>
      <w:r/>
    </w:p>
    <w:p>
      <w:pPr>
        <w:pStyle w:val="77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如项目接受联合体投标且投标人为联合体时，上述资格证明文件中：第2、6项可由联合体主体单位（即联合体牵头人）代表联合体提供；第1、3、4、5、7（如有）、8（如有）项，联合体各方均须提供。</w:t>
      </w:r>
      <w:r>
        <w:rPr>
          <w:rFonts w:hint="eastAsia" w:ascii="宋体" w:hAnsi="宋体" w:eastAsia="宋体" w:cs="宋体"/>
          <w:sz w:val="24"/>
          <w:szCs w:val="24"/>
          <w:highlight w:val="none"/>
        </w:rPr>
      </w:r>
      <w:r/>
    </w:p>
    <w:p>
      <w:pPr>
        <w:pStyle w:val="778"/>
        <w:spacing w:line="360" w:lineRule="auto"/>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rPr>
          <w:rFonts w:hint="eastAsia" w:ascii="宋体" w:hAnsi="宋体" w:eastAsia="宋体" w:cs="宋体"/>
          <w:b/>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rPr>
                <w:rFonts w:hint="eastAsia" w:ascii="宋体" w:hAnsi="宋体" w:eastAsia="宋体" w:cs="宋体"/>
                <w:b/>
                <w:sz w:val="24"/>
                <w:szCs w:val="24"/>
                <w:highlight w:val="none"/>
                <w:lang w:val="en-US" w:eastAsia="zh-CN" w:bidi="ar-SA"/>
              </w:rPr>
            </w:r>
            <w:r/>
          </w:p>
        </w:tc>
        <w:tc>
          <w:tcPr>
            <w:tcW w:w="6095"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rPr>
                <w:rFonts w:hint="eastAsia" w:ascii="宋体" w:hAnsi="宋体" w:eastAsia="宋体" w:cs="宋体"/>
                <w:b/>
                <w:sz w:val="24"/>
                <w:szCs w:val="24"/>
                <w:highlight w:val="none"/>
                <w:lang w:val="en-US" w:eastAsia="zh-CN" w:bidi="ar-SA"/>
              </w:rPr>
            </w:r>
            <w:r/>
          </w:p>
        </w:tc>
        <w:tc>
          <w:tcPr>
            <w:tcW w:w="1979"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rPr>
                <w:rFonts w:hint="eastAsia" w:ascii="宋体" w:hAnsi="宋体" w:eastAsia="宋体" w:cs="宋体"/>
                <w:b/>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投标函（给定格式）</w:t>
            </w:r>
            <w:r>
              <w:rPr>
                <w:rFonts w:hint="eastAsia" w:ascii="宋体" w:hAnsi="宋体" w:eastAsia="宋体" w:cs="宋体"/>
                <w:sz w:val="24"/>
                <w:szCs w:val="24"/>
                <w:highlight w:val="none"/>
                <w:lang w:val="en-US" w:eastAsia="zh-CN" w:bidi="ar-SA"/>
              </w:rPr>
            </w:r>
            <w:r/>
          </w:p>
        </w:tc>
        <w:tc>
          <w:tcPr>
            <w:tcW w:w="1979" w:type="dxa"/>
            <w:vAlign w:val="center"/>
            <w:vMerge w:val="restart"/>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商务符合性</w:t>
            </w: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承诺书（给定格式）</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开标一览表（给定格式）</w:t>
            </w:r>
            <w:r>
              <w:rPr>
                <w:rFonts w:hint="eastAsia" w:ascii="宋体" w:hAnsi="宋体" w:eastAsia="宋体" w:cs="宋体"/>
                <w:sz w:val="24"/>
                <w:szCs w:val="24"/>
                <w:highlight w:val="none"/>
                <w:lang w:val="en-US" w:eastAsia="zh-CN" w:bidi="ar-SA"/>
              </w:rPr>
            </w:r>
            <w:r/>
          </w:p>
        </w:tc>
        <w:tc>
          <w:tcPr>
            <w:tcW w:w="1979" w:type="dxa"/>
            <w:vAlign w:val="center"/>
            <w:vMerge w:val="restart"/>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cs="Arial"/>
                <w:color w:val="000000"/>
                <w:highlight w:val="none"/>
              </w:rPr>
              <w:t xml:space="preserve">报价符合性</w:t>
            </w: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分项报价表（给定格式）</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投标偏离表（给定格式）</w:t>
            </w:r>
            <w:r>
              <w:rPr>
                <w:rFonts w:hint="eastAsia" w:ascii="宋体" w:hAnsi="宋体" w:eastAsia="宋体" w:cs="宋体"/>
                <w:sz w:val="24"/>
                <w:szCs w:val="24"/>
                <w:highlight w:val="none"/>
                <w:lang w:val="en-US" w:eastAsia="zh-CN" w:bidi="ar-SA"/>
              </w:rPr>
            </w:r>
            <w:r/>
          </w:p>
        </w:tc>
        <w:tc>
          <w:tcPr>
            <w:tcW w:w="1979" w:type="dxa"/>
            <w:vAlign w:val="center"/>
            <w:vMerge w:val="restart"/>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cs="Arial"/>
                <w:color w:val="000000"/>
                <w:highlight w:val="none"/>
              </w:rPr>
              <w:t xml:space="preserve">技术符合性</w:t>
            </w: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《采购需求》中如有要求须提供的证明文件</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《评标方法与评标标准》中涉及的证明文件</w:t>
            </w:r>
            <w:r>
              <w:rPr>
                <w:rFonts w:hint="eastAsia" w:ascii="宋体" w:hAnsi="宋体" w:eastAsia="宋体" w:cs="宋体"/>
                <w:sz w:val="24"/>
                <w:szCs w:val="24"/>
                <w:highlight w:val="none"/>
                <w:lang w:val="en-US" w:eastAsia="zh-CN" w:bidi="ar-SA"/>
              </w:rPr>
            </w:r>
            <w:r/>
          </w:p>
        </w:tc>
        <w:tc>
          <w:tcPr>
            <w:tcW w:w="1979" w:type="dxa"/>
            <w:vAlign w:val="center"/>
            <w:vMerge w:val="continue"/>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823" w:type="dxa"/>
            <w:vAlign w:val="center"/>
            <w:textDirection w:val="lrTb"/>
            <w:noWrap w:val="false"/>
          </w:tcPr>
          <w:p>
            <w:pPr>
              <w:pStyle w:val="1058"/>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r>
            <w:r/>
          </w:p>
        </w:tc>
        <w:tc>
          <w:tcPr>
            <w:tcW w:w="6095" w:type="dxa"/>
            <w:vAlign w:val="center"/>
            <w:textDirection w:val="lrTb"/>
            <w:noWrap w:val="false"/>
          </w:tcPr>
          <w:p>
            <w:pPr>
              <w:pStyle w:val="1058"/>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其他投标人认为应附的文件（如有，自拟并自行添加）</w:t>
            </w:r>
            <w:r>
              <w:rPr>
                <w:rFonts w:hint="eastAsia" w:ascii="宋体" w:hAnsi="宋体" w:eastAsia="宋体" w:cs="宋体"/>
                <w:sz w:val="24"/>
                <w:szCs w:val="24"/>
                <w:highlight w:val="none"/>
                <w:lang w:val="en-US" w:eastAsia="zh-CN" w:bidi="ar-SA"/>
              </w:rPr>
            </w:r>
            <w:r/>
          </w:p>
        </w:tc>
        <w:tc>
          <w:tcPr>
            <w:tcW w:w="1979" w:type="dxa"/>
            <w:vAlign w:val="top"/>
            <w:vMerge w:val="continue"/>
            <w:textDirection w:val="lrTb"/>
            <w:noWrap w:val="false"/>
          </w:tcPr>
          <w:p>
            <w:pPr>
              <w:pStyle w:val="1058"/>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77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778"/>
        <w:numPr>
          <w:ilvl w:val="0"/>
          <w:numId w:val="7"/>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上述符合性证明文件及其他证明文件1～6项必须按要求全部提供（有给定格式的，必须按给定格式的要求正确填报并提供，相应格式见本章第二部分），否则投标文件无效。</w:t>
      </w:r>
      <w:r>
        <w:rPr>
          <w:rFonts w:hint="eastAsia" w:ascii="宋体" w:hAnsi="宋体" w:eastAsia="宋体" w:cs="宋体"/>
          <w:sz w:val="24"/>
          <w:szCs w:val="24"/>
          <w:highlight w:val="none"/>
        </w:rPr>
      </w:r>
      <w:r/>
    </w:p>
    <w:p>
      <w:pPr>
        <w:pStyle w:val="778"/>
        <w:numPr>
          <w:ilvl w:val="0"/>
          <w:numId w:val="7"/>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如项目接受联合体投标，且投标人为联合体时，上述符合性证明文件及其他证明文件第1～5项可由联合体主体单位（即联合体牵头人）代表联合体提供。</w:t>
      </w:r>
      <w:r>
        <w:rPr>
          <w:rFonts w:hint="eastAsia" w:ascii="宋体" w:hAnsi="宋体" w:eastAsia="宋体" w:cs="宋体"/>
          <w:sz w:val="24"/>
          <w:szCs w:val="24"/>
          <w:highlight w:val="none"/>
        </w:rPr>
      </w:r>
      <w:r/>
    </w:p>
    <w:p>
      <w:pPr>
        <w:pStyle w:val="778"/>
        <w:rPr>
          <w:rFonts w:hint="eastAsia" w:ascii="Times New Roman" w:hAnsi="Times New Roman" w:cs="Times New Roman"/>
          <w:b/>
          <w:sz w:val="28"/>
          <w:szCs w:val="28"/>
          <w:highlight w:val="none"/>
        </w:rPr>
      </w:pPr>
      <w:r>
        <w:rPr>
          <w:rFonts w:hint="eastAsia" w:ascii="Times New Roman" w:hAnsi="Times New Roman" w:cs="Times New Roman"/>
          <w:b/>
          <w:sz w:val="28"/>
          <w:szCs w:val="28"/>
          <w:highlight w:val="none"/>
        </w:rPr>
        <w:t xml:space="preserve">（二）其他证明文件</w:t>
      </w:r>
      <w:r>
        <w:rPr>
          <w:rFonts w:hint="eastAsia" w:ascii="Times New Roman" w:hAnsi="Times New Roman" w:cs="Times New Roman"/>
          <w:b/>
          <w:sz w:val="28"/>
          <w:szCs w:val="28"/>
          <w:highlight w:val="none"/>
        </w:rPr>
      </w:r>
      <w:r/>
    </w:p>
    <w:p>
      <w:pPr>
        <w:pStyle w:val="778"/>
        <w:ind w:left="480"/>
        <w:spacing w:line="5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1.《评标方法与评标标准》中涉及的证明文件。</w:t>
      </w:r>
      <w:r>
        <w:rPr>
          <w:rFonts w:hint="eastAsia" w:ascii="宋体" w:hAnsi="宋体" w:cs="Times New Roman"/>
          <w:sz w:val="24"/>
          <w:szCs w:val="24"/>
          <w:highlight w:val="none"/>
        </w:rPr>
      </w:r>
      <w:r/>
    </w:p>
    <w:p>
      <w:pPr>
        <w:pStyle w:val="778"/>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rPr>
          <w:rFonts w:ascii="宋体" w:hAnsi="宋体" w:cs="宋体"/>
          <w:sz w:val="24"/>
          <w:szCs w:val="24"/>
          <w:highlight w:val="none"/>
        </w:rPr>
      </w:r>
      <w:r/>
    </w:p>
    <w:p>
      <w:pPr>
        <w:pStyle w:val="778"/>
        <w:ind w:firstLine="480"/>
        <w:spacing w:line="360" w:lineRule="auto"/>
        <w:rPr>
          <w:rFonts w:hint="eastAsia" w:ascii="宋体" w:hAnsi="宋体" w:eastAsia="宋体" w:cs="宋体"/>
          <w:b/>
          <w:sz w:val="30"/>
          <w:szCs w:val="30"/>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30"/>
          <w:szCs w:val="30"/>
          <w:highlight w:val="none"/>
        </w:rPr>
        <w:t xml:space="preserve">第二部分  投标文件格式</w:t>
      </w:r>
      <w:r>
        <w:rPr>
          <w:rFonts w:hint="eastAsia" w:ascii="宋体" w:hAnsi="宋体" w:eastAsia="宋体" w:cs="宋体"/>
          <w:b/>
          <w:sz w:val="30"/>
          <w:szCs w:val="30"/>
          <w:highlight w:val="none"/>
        </w:rPr>
      </w:r>
      <w:r/>
    </w:p>
    <w:p>
      <w:pPr>
        <w:pStyle w:val="1058"/>
        <w:ind w:firstLine="0"/>
        <w:spacing w:before="0" w:after="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一、封面格式（参考格式）：</w:t>
      </w:r>
      <w:r>
        <w:rPr>
          <w:rFonts w:hint="eastAsia" w:ascii="宋体" w:hAnsi="宋体" w:eastAsia="宋体" w:cs="宋体"/>
          <w:b/>
          <w:sz w:val="28"/>
          <w:szCs w:val="28"/>
          <w:highlight w:val="none"/>
        </w:rPr>
      </w:r>
      <w:r/>
    </w:p>
    <w:p>
      <w:pPr>
        <w:pStyle w:val="778"/>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78"/>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78"/>
        <w:jc w:val="center"/>
        <w:rPr>
          <w:rFonts w:hint="eastAsia" w:ascii="宋体" w:hAnsi="宋体" w:eastAsia="宋体" w:cs="宋体"/>
          <w:bCs/>
          <w:spacing w:val="20"/>
          <w:sz w:val="84"/>
          <w:szCs w:val="84"/>
          <w:highlight w:val="none"/>
        </w:rPr>
      </w:pPr>
      <w:r>
        <w:rPr>
          <w:rFonts w:hint="eastAsia" w:ascii="宋体" w:hAnsi="宋体" w:eastAsia="宋体" w:cs="宋体"/>
          <w:bCs/>
          <w:spacing w:val="20"/>
          <w:sz w:val="84"/>
          <w:szCs w:val="84"/>
          <w:highlight w:val="none"/>
        </w:rPr>
        <w:t xml:space="preserve">投  标  文  件</w:t>
      </w:r>
      <w:r>
        <w:rPr>
          <w:rFonts w:hint="eastAsia" w:ascii="宋体" w:hAnsi="宋体" w:eastAsia="宋体" w:cs="宋体"/>
          <w:bCs/>
          <w:spacing w:val="20"/>
          <w:sz w:val="84"/>
          <w:szCs w:val="84"/>
          <w:highlight w:val="none"/>
        </w:rPr>
      </w:r>
      <w:r/>
    </w:p>
    <w:p>
      <w:pPr>
        <w:pStyle w:val="778"/>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78"/>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78"/>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78"/>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pStyle w:val="778"/>
        <w:ind w:firstLine="1800"/>
        <w:jc w:val="left"/>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2"/>
          <w:szCs w:val="32"/>
          <w:highlight w:val="none"/>
          <w:lang w:eastAsia="zh-CN"/>
        </w:rPr>
        <w:t xml:space="preserve">JSZC-320292-ZQYY-G2026-0001</w:t>
      </w:r>
      <w:r>
        <w:rPr>
          <w:rFonts w:hint="eastAsia" w:ascii="宋体" w:hAnsi="宋体" w:eastAsia="宋体" w:cs="宋体"/>
          <w:bCs/>
          <w:color w:val="000000"/>
          <w:sz w:val="32"/>
          <w:szCs w:val="32"/>
          <w:highlight w:val="none"/>
          <w:lang w:eastAsia="zh-CN"/>
        </w:rPr>
      </w:r>
      <w:r/>
    </w:p>
    <w:p>
      <w:pPr>
        <w:pStyle w:val="778"/>
        <w:ind w:firstLine="1800"/>
        <w:jc w:val="left"/>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太湖街道街道管养绿化养护</w:t>
      </w:r>
      <w:r>
        <w:rPr>
          <w:rFonts w:hint="eastAsia" w:ascii="宋体" w:hAnsi="宋体" w:eastAsia="宋体" w:cs="宋体"/>
          <w:bCs/>
          <w:color w:val="000000"/>
          <w:sz w:val="30"/>
          <w:szCs w:val="30"/>
          <w:highlight w:val="none"/>
          <w:lang w:eastAsia="zh-CN"/>
        </w:rPr>
      </w:r>
      <w:r/>
    </w:p>
    <w:p>
      <w:pPr>
        <w:pStyle w:val="778"/>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rPr>
          <w:rFonts w:hint="eastAsia" w:ascii="宋体" w:hAnsi="宋体" w:eastAsia="宋体" w:cs="宋体"/>
          <w:bCs/>
          <w:color w:val="000000"/>
          <w:sz w:val="30"/>
          <w:szCs w:val="30"/>
          <w:highlight w:val="none"/>
        </w:rPr>
      </w:r>
      <w:r/>
    </w:p>
    <w:p>
      <w:pPr>
        <w:pStyle w:val="778"/>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rPr>
          <w:rFonts w:hint="eastAsia" w:ascii="宋体" w:hAnsi="宋体" w:eastAsia="宋体" w:cs="宋体"/>
          <w:bCs/>
          <w:color w:val="000000"/>
          <w:sz w:val="30"/>
          <w:szCs w:val="30"/>
          <w:highlight w:val="none"/>
        </w:rPr>
      </w:r>
      <w:r/>
    </w:p>
    <w:p>
      <w:pPr>
        <w:pStyle w:val="778"/>
        <w:spacing w:line="440" w:lineRule="exact"/>
        <w:rPr>
          <w:rFonts w:hint="eastAsia" w:ascii="宋体" w:hAnsi="宋体" w:eastAsia="宋体" w:cs="宋体"/>
          <w:b/>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
          <w:sz w:val="28"/>
          <w:szCs w:val="28"/>
          <w:highlight w:val="none"/>
        </w:rPr>
        <w:t xml:space="preserve">二、授权委托书（给定格式）：</w:t>
      </w:r>
      <w:r>
        <w:rPr>
          <w:rFonts w:hint="eastAsia" w:ascii="宋体" w:hAnsi="宋体" w:eastAsia="宋体" w:cs="宋体"/>
          <w:b/>
          <w:sz w:val="28"/>
          <w:szCs w:val="28"/>
          <w:highlight w:val="none"/>
        </w:rPr>
      </w:r>
      <w:r/>
    </w:p>
    <w:p>
      <w:pPr>
        <w:pStyle w:val="778"/>
        <w:jc w:val="center"/>
        <w:rPr>
          <w:rFonts w:hint="eastAsia" w:ascii="宋体" w:hAnsi="宋体" w:eastAsia="宋体" w:cs="宋体"/>
          <w:sz w:val="24"/>
          <w:highlight w:val="none"/>
          <w:shd w:val="clear" w:color="ffffff" w:fill="d9d9d9"/>
        </w:rPr>
        <w:outlineLvl w:val="0"/>
      </w:pPr>
      <w:r/>
      <w:bookmarkStart w:id="235" w:name="_Toc19688"/>
      <w:r>
        <w:rPr>
          <w:rFonts w:hint="eastAsia" w:ascii="宋体" w:hAnsi="宋体" w:eastAsia="宋体" w:cs="宋体"/>
          <w:bCs/>
          <w:color w:val="000000"/>
          <w:sz w:val="28"/>
          <w:szCs w:val="28"/>
          <w:highlight w:val="none"/>
        </w:rPr>
        <w:t xml:space="preserve">授权委托书</w:t>
      </w:r>
      <w:bookmarkEnd w:id="235"/>
      <w:r>
        <w:rPr>
          <w:rFonts w:hint="eastAsia" w:ascii="宋体" w:hAnsi="宋体" w:eastAsia="宋体" w:cs="宋体"/>
          <w:sz w:val="24"/>
          <w:highlight w:val="none"/>
          <w:shd w:val="clear" w:color="ffffff" w:fill="d9d9d9"/>
        </w:rPr>
      </w:r>
      <w:r/>
    </w:p>
    <w:p>
      <w:pPr>
        <w:pStyle w:val="1056"/>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我公司（单位）针对</w:t>
      </w:r>
      <w:r>
        <w:rPr>
          <w:rFonts w:hint="eastAsia" w:ascii="宋体" w:hAnsi="宋体" w:cs="宋体"/>
          <w:bCs/>
          <w:sz w:val="24"/>
          <w:szCs w:val="24"/>
          <w:highlight w:val="none"/>
          <w:lang w:eastAsia="zh-CN"/>
        </w:rPr>
        <w:t xml:space="preserve">JSZC-320292-ZQYY-G2026-0001</w:t>
      </w:r>
      <w:r>
        <w:rPr>
          <w:rFonts w:hint="eastAsia" w:ascii="宋体" w:hAnsi="宋体" w:eastAsia="宋体" w:cs="宋体"/>
          <w:bCs/>
          <w:sz w:val="24"/>
          <w:szCs w:val="24"/>
          <w:highlight w:val="none"/>
        </w:rPr>
        <w:t xml:space="preserve">项目，兹授权：</w:t>
      </w:r>
      <w:r>
        <w:rPr>
          <w:rFonts w:hint="eastAsia" w:ascii="宋体" w:hAnsi="宋体" w:eastAsia="宋体" w:cs="宋体"/>
          <w:sz w:val="24"/>
          <w:szCs w:val="24"/>
          <w:highlight w:val="none"/>
        </w:rPr>
      </w:r>
      <w:r/>
    </w:p>
    <w:p>
      <w:pPr>
        <w:pStyle w:val="1056"/>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56"/>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56"/>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sz w:val="24"/>
          <w:szCs w:val="24"/>
          <w:highlight w:val="none"/>
        </w:rPr>
        <w:t xml:space="preserve">一切与该项目采购有关的事务。</w:t>
      </w:r>
      <w:r>
        <w:rPr>
          <w:rFonts w:hint="eastAsia" w:ascii="宋体" w:hAnsi="宋体" w:eastAsia="宋体" w:cs="宋体"/>
          <w:sz w:val="24"/>
          <w:szCs w:val="24"/>
          <w:highlight w:val="none"/>
        </w:rPr>
      </w:r>
      <w:r/>
    </w:p>
    <w:p>
      <w:pPr>
        <w:pStyle w:val="1056"/>
        <w:ind w:firstLine="480"/>
        <w:tabs>
          <w:tab w:val="left" w:pos="360" w:leader="none"/>
        </w:tabs>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rPr>
          <w:rFonts w:hint="eastAsia" w:ascii="宋体" w:hAnsi="宋体" w:eastAsia="宋体" w:cs="宋体"/>
          <w:bCs/>
          <w:color w:val="000000"/>
          <w:sz w:val="24"/>
          <w:szCs w:val="24"/>
          <w:highlight w:val="none"/>
        </w:rPr>
      </w:r>
      <w:r/>
    </w:p>
    <w:p>
      <w:pPr>
        <w:pStyle w:val="1056"/>
        <w:ind w:firstLine="48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特此授权委托。</w:t>
      </w:r>
      <w:r>
        <w:rPr>
          <w:rFonts w:hint="eastAsia" w:ascii="宋体" w:hAnsi="宋体" w:eastAsia="宋体" w:cs="宋体"/>
          <w:sz w:val="24"/>
          <w:szCs w:val="24"/>
          <w:highlight w:val="none"/>
        </w:rPr>
      </w:r>
      <w:r/>
    </w:p>
    <w:p>
      <w:pPr>
        <w:pStyle w:val="1056"/>
        <w:ind w:firstLine="0"/>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1056"/>
        <w:ind w:firstLine="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被授权人签字：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56"/>
        <w:ind w:firstLine="0"/>
        <w:tabs>
          <w:tab w:val="left" w:pos="360" w:leader="none"/>
        </w:tabs>
        <w:rPr>
          <w:rFonts w:hint="eastAsia" w:ascii="宋体" w:hAnsi="宋体" w:eastAsia="宋体" w:cs="宋体"/>
          <w:sz w:val="24"/>
          <w:szCs w:val="24"/>
          <w:highlight w:val="none"/>
        </w:rPr>
      </w:pPr>
      <w:r>
        <w:rPr>
          <w:rFonts w:hint="eastAsia" w:ascii="宋体" w:hAnsi="宋体" w:eastAsia="宋体" w:cs="宋体"/>
          <w:b/>
          <w:sz w:val="30"/>
          <w:highlight w:val="none"/>
          <w:lang w:eastAsia="zh-CN"/>
        </w:rPr>
        <w:t xml:space="preserve">（</w:t>
      </w:r>
      <w:r>
        <w:rPr>
          <w:rFonts w:hint="eastAsia" w:ascii="宋体" w:hAnsi="宋体" w:eastAsia="宋体" w:cs="宋体"/>
          <w:b/>
          <w:sz w:val="30"/>
          <w:highlight w:val="none"/>
        </w:rPr>
        <w:t xml:space="preserve">被授权人身份证原件扫描件附后</w:t>
      </w:r>
      <w:r>
        <w:rPr>
          <w:rFonts w:hint="eastAsia" w:ascii="宋体" w:hAnsi="宋体" w:eastAsia="宋体" w:cs="宋体"/>
          <w:b/>
          <w:sz w:val="30"/>
          <w:highlight w:val="none"/>
          <w:lang w:eastAsia="zh-CN"/>
        </w:rPr>
        <w:t xml:space="preserve">）</w:t>
      </w:r>
      <w:r>
        <w:rPr>
          <w:rFonts w:hint="eastAsia" w:ascii="宋体" w:hAnsi="宋体" w:eastAsia="宋体" w:cs="宋体"/>
          <w:sz w:val="24"/>
          <w:szCs w:val="24"/>
          <w:highlight w:val="none"/>
        </w:rPr>
      </w:r>
      <w:r/>
    </w:p>
    <w:p>
      <w:pPr>
        <w:pStyle w:val="1056"/>
        <w:ind w:firstLine="0"/>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1056"/>
        <w:numPr>
          <w:ilvl w:val="0"/>
          <w:numId w:val="8"/>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若投标人为事业单位或其他组织或分支机构（仅限招标文件注明允许分支机构投标情形的），则法定代表人处的签字人可为单位负责人。</w:t>
      </w:r>
      <w:r>
        <w:rPr>
          <w:rFonts w:hint="eastAsia" w:ascii="宋体" w:hAnsi="宋体" w:eastAsia="宋体" w:cs="宋体"/>
          <w:color w:val="000000"/>
          <w:sz w:val="24"/>
          <w:szCs w:val="20"/>
          <w:highlight w:val="none"/>
        </w:rPr>
      </w:r>
      <w:r/>
    </w:p>
    <w:p>
      <w:pPr>
        <w:pStyle w:val="1056"/>
        <w:numPr>
          <w:ilvl w:val="0"/>
          <w:numId w:val="8"/>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当被授权人为法定代表人（或上述情况的单位负责人）时，只需在法定代表人处签字即可。</w:t>
      </w:r>
      <w:r>
        <w:rPr>
          <w:rFonts w:hint="eastAsia" w:ascii="宋体" w:hAnsi="宋体" w:eastAsia="宋体" w:cs="宋体"/>
          <w:color w:val="000000"/>
          <w:sz w:val="24"/>
          <w:szCs w:val="20"/>
          <w:highlight w:val="none"/>
        </w:rPr>
      </w:r>
      <w:r/>
    </w:p>
    <w:p>
      <w:pPr>
        <w:pStyle w:val="1056"/>
        <w:numPr>
          <w:ilvl w:val="0"/>
          <w:numId w:val="8"/>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供应商为自然人情形的，可不提供本《授权委托书》。</w:t>
      </w:r>
      <w:r>
        <w:rPr>
          <w:rFonts w:hint="eastAsia" w:ascii="宋体" w:hAnsi="宋体" w:eastAsia="宋体" w:cs="宋体"/>
          <w:color w:val="000000"/>
          <w:sz w:val="24"/>
          <w:szCs w:val="20"/>
          <w:highlight w:val="none"/>
        </w:rPr>
      </w:r>
      <w:r/>
    </w:p>
    <w:p>
      <w:pPr>
        <w:pStyle w:val="1056"/>
        <w:numPr>
          <w:ilvl w:val="0"/>
          <w:numId w:val="8"/>
        </w:numPr>
        <w:ind w:firstLine="480"/>
        <w:tabs>
          <w:tab w:val="left" w:pos="360" w:leader="none"/>
        </w:tabs>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color w:val="000000"/>
          <w:sz w:val="24"/>
          <w:szCs w:val="20"/>
          <w:highlight w:val="none"/>
        </w:rPr>
      </w:r>
      <w:r/>
    </w:p>
    <w:p>
      <w:pPr>
        <w:pStyle w:val="1056"/>
        <w:ind w:firstLine="0"/>
        <w:tabs>
          <w:tab w:val="left" w:pos="360" w:leader="none"/>
        </w:tabs>
        <w:rPr>
          <w:rFonts w:hint="eastAsia" w:ascii="宋体" w:hAnsi="宋体" w:eastAsia="宋体" w:cs="宋体"/>
          <w:b/>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Cs w:val="28"/>
          <w:highlight w:val="none"/>
        </w:rPr>
        <w:t xml:space="preserve">三、资格声明函（给定格式）：</w:t>
      </w:r>
      <w:r>
        <w:rPr>
          <w:rFonts w:hint="eastAsia" w:ascii="宋体" w:hAnsi="宋体" w:eastAsia="宋体" w:cs="宋体"/>
          <w:b/>
          <w:szCs w:val="28"/>
          <w:highlight w:val="none"/>
        </w:rPr>
      </w:r>
      <w:r/>
    </w:p>
    <w:p>
      <w:pPr>
        <w:pStyle w:val="778"/>
        <w:jc w:val="center"/>
        <w:rPr>
          <w:rFonts w:hint="eastAsia" w:ascii="宋体" w:hAnsi="宋体" w:eastAsia="宋体" w:cs="宋体"/>
          <w:bCs/>
          <w:color w:val="000000"/>
          <w:sz w:val="28"/>
          <w:szCs w:val="28"/>
          <w:highlight w:val="none"/>
        </w:rPr>
        <w:outlineLvl w:val="0"/>
      </w:pPr>
      <w:r/>
      <w:bookmarkStart w:id="236" w:name="报价方关于资格的声明函（格式）"/>
      <w:r/>
      <w:bookmarkEnd w:id="236"/>
      <w:r/>
      <w:bookmarkStart w:id="237" w:name="_Toc20488"/>
      <w:r>
        <w:rPr>
          <w:rFonts w:hint="eastAsia" w:ascii="宋体" w:hAnsi="宋体" w:eastAsia="宋体" w:cs="宋体"/>
          <w:bCs/>
          <w:color w:val="000000"/>
          <w:sz w:val="28"/>
          <w:szCs w:val="28"/>
          <w:highlight w:val="none"/>
        </w:rPr>
        <w:t xml:space="preserve">资格声明函</w:t>
      </w:r>
      <w:bookmarkEnd w:id="237"/>
      <w:r>
        <w:rPr>
          <w:rFonts w:hint="eastAsia" w:ascii="宋体" w:hAnsi="宋体" w:eastAsia="宋体" w:cs="宋体"/>
          <w:bCs/>
          <w:color w:val="000000"/>
          <w:sz w:val="28"/>
          <w:szCs w:val="28"/>
          <w:highlight w:val="none"/>
        </w:rPr>
      </w:r>
      <w:r/>
    </w:p>
    <w:p>
      <w:pPr>
        <w:pStyle w:val="778"/>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8"/>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江苏筑祁园工程管理咨询有限公司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78"/>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w:t>
      </w:r>
      <w:r>
        <w:rPr>
          <w:rFonts w:hint="eastAsia" w:ascii="宋体" w:hAnsi="宋体" w:cs="宋体"/>
          <w:bCs/>
          <w:color w:val="000000"/>
          <w:sz w:val="24"/>
          <w:szCs w:val="24"/>
          <w:highlight w:val="none"/>
          <w:lang w:eastAsia="zh-CN"/>
        </w:rPr>
        <w:t xml:space="preserve">JSZC-320292-ZQYY-G2026-0001</w:t>
      </w:r>
      <w:r>
        <w:rPr>
          <w:rFonts w:hint="eastAsia" w:ascii="宋体" w:hAnsi="宋体" w:eastAsia="宋体" w:cs="宋体"/>
          <w:bCs/>
          <w:sz w:val="24"/>
          <w:szCs w:val="24"/>
          <w:highlight w:val="none"/>
        </w:rPr>
        <w:t xml:space="preserve">进行投标，</w:t>
      </w:r>
      <w:r>
        <w:rPr>
          <w:rFonts w:hint="eastAsia" w:ascii="宋体" w:hAnsi="宋体" w:cs="宋体"/>
          <w:bCs/>
          <w:sz w:val="24"/>
          <w:szCs w:val="24"/>
          <w:highlight w:val="none"/>
          <w:lang w:eastAsia="zh-CN"/>
        </w:rPr>
        <w:t xml:space="preserve">并作</w:t>
      </w:r>
      <w:r>
        <w:rPr>
          <w:rFonts w:hint="eastAsia" w:ascii="宋体" w:hAnsi="宋体" w:eastAsia="宋体" w:cs="宋体"/>
          <w:bCs/>
          <w:color w:val="000000"/>
          <w:sz w:val="24"/>
          <w:szCs w:val="24"/>
          <w:highlight w:val="none"/>
        </w:rPr>
        <w:t xml:space="preserve">如下声明</w:t>
      </w:r>
      <w:r>
        <w:rPr>
          <w:rFonts w:hint="eastAsia" w:ascii="宋体" w:hAnsi="宋体" w:eastAsia="宋体" w:cs="宋体"/>
          <w:bCs/>
          <w:color w:val="000000"/>
          <w:sz w:val="24"/>
          <w:szCs w:val="24"/>
          <w:highlight w:val="none"/>
        </w:rPr>
      </w:r>
      <w:r/>
    </w:p>
    <w:p>
      <w:pPr>
        <w:pStyle w:val="778"/>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宋体"/>
          <w:bCs/>
          <w:color w:val="000000"/>
          <w:sz w:val="24"/>
          <w:szCs w:val="24"/>
          <w:highlight w:val="none"/>
        </w:rPr>
      </w:r>
      <w:r/>
    </w:p>
    <w:p>
      <w:pPr>
        <w:pStyle w:val="778"/>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2.本公司（单位）具备本次项目履行合同所必需的设备和专业技术能力。</w:t>
      </w:r>
      <w:r>
        <w:rPr>
          <w:rFonts w:hint="eastAsia" w:ascii="宋体" w:hAnsi="宋体" w:eastAsia="宋体" w:cs="宋体"/>
          <w:bCs/>
          <w:color w:val="000000"/>
          <w:sz w:val="24"/>
          <w:szCs w:val="24"/>
          <w:highlight w:val="none"/>
        </w:rPr>
      </w:r>
      <w:r/>
    </w:p>
    <w:p>
      <w:pPr>
        <w:pStyle w:val="778"/>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3.本公司（单位）无被“信用中国”网站（www.creditchina.gov.cn）、中国政府采购网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Cs/>
          <w:color w:val="000000"/>
          <w:sz w:val="24"/>
          <w:szCs w:val="24"/>
          <w:highlight w:val="none"/>
        </w:rPr>
      </w:r>
      <w:r/>
    </w:p>
    <w:p>
      <w:pPr>
        <w:pStyle w:val="778"/>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rPr>
          <w:rFonts w:hint="eastAsia" w:ascii="宋体" w:hAnsi="宋体" w:eastAsia="宋体" w:cs="宋体"/>
          <w:bCs/>
          <w:color w:val="000000"/>
          <w:sz w:val="24"/>
          <w:szCs w:val="24"/>
          <w:highlight w:val="none"/>
        </w:rPr>
      </w:r>
      <w:r/>
    </w:p>
    <w:p>
      <w:pPr>
        <w:pStyle w:val="778"/>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8"/>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78"/>
        <w:spacing w:line="440" w:lineRule="exact"/>
        <w:rPr>
          <w:rFonts w:hint="eastAsia" w:ascii="宋体" w:hAnsi="宋体" w:eastAsia="宋体" w:cs="宋体"/>
          <w:bCs/>
          <w:color w:val="0000ff"/>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28"/>
          <w:szCs w:val="28"/>
          <w:highlight w:val="none"/>
        </w:rPr>
        <w:t xml:space="preserve">四、中小企业声明函（给定格式）：</w:t>
      </w:r>
      <w:r>
        <w:rPr>
          <w:rFonts w:hint="eastAsia" w:ascii="宋体" w:hAnsi="宋体" w:eastAsia="宋体" w:cs="宋体"/>
          <w:bCs/>
          <w:color w:val="0000ff"/>
          <w:sz w:val="28"/>
          <w:szCs w:val="28"/>
          <w:highlight w:val="none"/>
        </w:rPr>
      </w:r>
      <w:r/>
    </w:p>
    <w:p>
      <w:pPr>
        <w:pStyle w:val="778"/>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7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7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，从业人员人，营业收入为万元，资产总额为万元，属于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7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，从业人员人，营业收入为万元，资产总额为万元，属于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7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77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77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78"/>
        <w:ind w:firstLine="420"/>
        <w:spacing w:line="360" w:lineRule="auto"/>
        <w:rPr>
          <w:color w:val="000000"/>
          <w:highlight w:val="none"/>
        </w:rPr>
      </w:pPr>
      <w:r>
        <w:rPr>
          <w:color w:val="000000"/>
          <w:highlight w:val="none"/>
        </w:rPr>
      </w:r>
      <w:r/>
    </w:p>
    <w:p>
      <w:pPr>
        <w:pStyle w:val="778"/>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778"/>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778"/>
        <w:ind w:firstLine="420"/>
        <w:spacing w:line="360" w:lineRule="auto"/>
        <w:rPr>
          <w:rFonts w:hint="eastAsia" w:ascii="宋体" w:hAnsi="宋体" w:eastAsia="宋体" w:cs="宋体"/>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highlight w:val="none"/>
        </w:rPr>
      </w:r>
      <w:r/>
    </w:p>
    <w:p>
      <w:pPr>
        <w:pStyle w:val="778"/>
        <w:spacing w:line="360" w:lineRule="auto"/>
        <w:rPr>
          <w:rFonts w:hint="eastAsia" w:ascii="宋体" w:hAnsi="宋体" w:eastAsia="宋体" w:cs="宋体"/>
          <w:b/>
          <w:sz w:val="30"/>
          <w:szCs w:val="30"/>
          <w:highlight w:val="none"/>
        </w:rPr>
      </w:pPr>
      <w:r>
        <w:rPr>
          <w:rFonts w:hint="eastAsia" w:ascii="宋体" w:hAnsi="宋体" w:eastAsia="宋体" w:cs="宋体"/>
          <w:color w:val="00b050"/>
          <w:highlight w:val="none"/>
        </w:rPr>
        <w:br w:type="page" w:clear="all"/>
      </w:r>
      <w:r>
        <w:rPr>
          <w:rFonts w:hint="eastAsia" w:ascii="宋体" w:hAnsi="宋体" w:eastAsia="宋体" w:cs="宋体"/>
          <w:b/>
          <w:sz w:val="30"/>
          <w:szCs w:val="30"/>
          <w:highlight w:val="none"/>
        </w:rPr>
        <w:t xml:space="preserve">五、残疾人福利性单位声明函（给定格式）：</w:t>
      </w:r>
      <w:r>
        <w:rPr>
          <w:rFonts w:hint="eastAsia" w:ascii="宋体" w:hAnsi="宋体" w:eastAsia="宋体" w:cs="宋体"/>
          <w:b/>
          <w:sz w:val="30"/>
          <w:szCs w:val="30"/>
          <w:highlight w:val="none"/>
        </w:rPr>
      </w:r>
      <w:r/>
    </w:p>
    <w:p>
      <w:pPr>
        <w:pStyle w:val="778"/>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778"/>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778"/>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78"/>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778"/>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hint="eastAsia" w:ascii="宋体" w:hAnsi="宋体" w:eastAsia="宋体" w:cs="宋体"/>
          <w:bCs/>
          <w:color w:val="000000"/>
          <w:sz w:val="24"/>
          <w:szCs w:val="24"/>
          <w:highlight w:val="none"/>
        </w:rPr>
      </w:r>
      <w:r/>
    </w:p>
    <w:p>
      <w:pPr>
        <w:pStyle w:val="778"/>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8"/>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8"/>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778"/>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778"/>
        <w:spacing w:line="360" w:lineRule="auto"/>
        <w:rPr>
          <w:rFonts w:hint="eastAsia" w:ascii="宋体" w:hAnsi="宋体" w:eastAsia="宋体" w:cs="宋体"/>
          <w:b/>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cs="宋体"/>
          <w:b/>
          <w:sz w:val="30"/>
          <w:szCs w:val="30"/>
          <w:highlight w:val="none"/>
          <w:lang w:val="en-US" w:eastAsia="zh-CN"/>
        </w:rPr>
        <w:t xml:space="preserve">六</w:t>
      </w:r>
      <w:r>
        <w:rPr>
          <w:rFonts w:hint="eastAsia" w:ascii="宋体" w:hAnsi="宋体" w:eastAsia="宋体" w:cs="宋体"/>
          <w:b/>
          <w:sz w:val="30"/>
          <w:szCs w:val="30"/>
          <w:highlight w:val="none"/>
        </w:rPr>
        <w:t xml:space="preserve">、投标函（给定格式）：</w:t>
      </w:r>
      <w:r>
        <w:rPr>
          <w:rFonts w:hint="eastAsia" w:ascii="宋体" w:hAnsi="宋体" w:eastAsia="宋体" w:cs="宋体"/>
          <w:b/>
          <w:sz w:val="30"/>
          <w:szCs w:val="30"/>
          <w:highlight w:val="none"/>
        </w:rPr>
      </w:r>
      <w:r/>
    </w:p>
    <w:p>
      <w:pPr>
        <w:pStyle w:val="778"/>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rPr>
          <w:rFonts w:hint="eastAsia" w:ascii="宋体" w:hAnsi="宋体" w:eastAsia="宋体" w:cs="宋体"/>
          <w:bCs/>
          <w:color w:val="000000"/>
          <w:sz w:val="24"/>
          <w:szCs w:val="24"/>
          <w:highlight w:val="none"/>
        </w:rPr>
      </w:r>
      <w:r/>
    </w:p>
    <w:p>
      <w:pPr>
        <w:pStyle w:val="778"/>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江苏筑祁园工程管理咨询有限公司</w:t>
      </w:r>
      <w:r>
        <w:rPr>
          <w:rFonts w:hint="eastAsia" w:ascii="宋体" w:hAnsi="宋体" w:eastAsia="宋体" w:cs="宋体"/>
          <w:bCs/>
          <w:color w:val="000000"/>
          <w:sz w:val="24"/>
          <w:szCs w:val="24"/>
          <w:highlight w:val="none"/>
        </w:rPr>
      </w:r>
      <w:r/>
    </w:p>
    <w:p>
      <w:pPr>
        <w:pStyle w:val="77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w:t>
      </w:r>
      <w:r>
        <w:rPr>
          <w:rFonts w:hint="eastAsia" w:ascii="宋体" w:hAnsi="宋体" w:cs="宋体"/>
          <w:bCs/>
          <w:color w:val="000000"/>
          <w:sz w:val="24"/>
          <w:szCs w:val="24"/>
          <w:highlight w:val="none"/>
          <w:lang w:eastAsia="zh-CN"/>
        </w:rPr>
        <w:t xml:space="preserve">JSZC-320292-ZQYY-G2026-0001</w:t>
      </w:r>
      <w:r>
        <w:rPr>
          <w:rFonts w:hint="eastAsia" w:ascii="宋体" w:hAnsi="宋体" w:eastAsia="宋体" w:cs="宋体"/>
          <w:bCs/>
          <w:color w:val="000000"/>
          <w:sz w:val="24"/>
          <w:szCs w:val="24"/>
          <w:highlight w:val="none"/>
        </w:rPr>
        <w:t xml:space="preserve">招标文件，经仔细阅读和研究，我方决定参加此项目的投标。</w:t>
      </w:r>
      <w:r>
        <w:rPr>
          <w:rFonts w:hint="eastAsia" w:ascii="宋体" w:hAnsi="宋体" w:eastAsia="宋体" w:cs="宋体"/>
          <w:bCs/>
          <w:color w:val="000000"/>
          <w:sz w:val="24"/>
          <w:szCs w:val="24"/>
          <w:highlight w:val="none"/>
        </w:rPr>
      </w:r>
      <w:r/>
    </w:p>
    <w:p>
      <w:pPr>
        <w:pStyle w:val="778"/>
        <w:numPr>
          <w:ilvl w:val="0"/>
          <w:numId w:val="9"/>
        </w:numPr>
        <w:ind w:left="0" w:firstLine="525"/>
        <w:spacing w:line="400" w:lineRule="exact"/>
        <w:tabs>
          <w:tab w:val="left" w:pos="315" w:leader="none"/>
          <w:tab w:val="left" w:pos="552"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840" w:leader="none"/>
          <w:tab w:val="left" w:pos="945" w:leader="none"/>
          <w:tab w:val="left" w:pos="1050" w:leader="none"/>
        </w:tabs>
        <w:rPr>
          <w:rStyle w:val="1042"/>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w:t>
      </w:r>
      <w:r>
        <w:rPr>
          <w:rFonts w:hint="eastAsia" w:ascii="宋体" w:hAnsi="宋体" w:cs="宋体"/>
          <w:bCs/>
          <w:color w:val="000000"/>
          <w:sz w:val="24"/>
          <w:szCs w:val="24"/>
          <w:highlight w:val="none"/>
          <w:lang w:eastAsia="zh-CN"/>
        </w:rPr>
        <w:t xml:space="preserve">江苏筑祁园工程管理咨询有限公司</w:t>
      </w:r>
      <w:r>
        <w:rPr>
          <w:rFonts w:hint="eastAsia" w:ascii="宋体" w:hAnsi="宋体" w:eastAsia="宋体" w:cs="宋体"/>
          <w:bCs/>
          <w:color w:val="000000"/>
          <w:sz w:val="24"/>
          <w:szCs w:val="24"/>
          <w:highlight w:val="none"/>
        </w:rPr>
        <w:t xml:space="preserve">在招标文件中要求的文件、资料。</w:t>
      </w:r>
      <w:r>
        <w:rPr>
          <w:rStyle w:val="1042"/>
          <w:rFonts w:hint="eastAsia" w:ascii="宋体" w:hAnsi="宋体" w:eastAsia="宋体" w:cs="宋体"/>
          <w:bCs/>
          <w:color w:val="000000"/>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招标文件中的规定，从规定的开标日期起遵循本投标文件，并在规定的投标有效期期满之前均具有约束力。</w:t>
      </w: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rPr>
          <w:rFonts w:hint="eastAsia" w:ascii="宋体" w:hAnsi="宋体" w:eastAsia="宋体" w:cs="宋体"/>
          <w:bCs/>
          <w:color w:val="000000"/>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hint="eastAsia" w:ascii="宋体" w:hAnsi="宋体" w:eastAsia="宋体" w:cs="宋体"/>
          <w:bCs/>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如果我方被确定为中标供应商，我方愿意按采购人要求</w:t>
      </w:r>
      <w:r>
        <w:rPr>
          <w:rFonts w:hint="eastAsia" w:ascii="宋体" w:hAnsi="宋体" w:eastAsia="宋体" w:cs="宋体"/>
          <w:bCs/>
          <w:sz w:val="24"/>
          <w:szCs w:val="24"/>
          <w:highlight w:val="none"/>
          <w:lang w:eastAsia="zh-CN"/>
        </w:rPr>
        <w:t xml:space="preserve">缴纳</w:t>
      </w:r>
      <w:r>
        <w:rPr>
          <w:rFonts w:hint="eastAsia" w:ascii="宋体" w:hAnsi="宋体" w:eastAsia="宋体" w:cs="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bCs/>
          <w:sz w:val="24"/>
          <w:szCs w:val="24"/>
          <w:highlight w:val="none"/>
        </w:rPr>
      </w:r>
      <w:r/>
    </w:p>
    <w:p>
      <w:pPr>
        <w:pStyle w:val="778"/>
        <w:numPr>
          <w:ilvl w:val="0"/>
          <w:numId w:val="9"/>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恶意串通、决不向采购人、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z w:val="24"/>
          <w:szCs w:val="24"/>
          <w:highlight w:val="none"/>
        </w:rPr>
      </w:r>
      <w:r/>
    </w:p>
    <w:p>
      <w:pPr>
        <w:pStyle w:val="77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；传真：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；邮编：</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r>
      <w:r/>
    </w:p>
    <w:p>
      <w:pPr>
        <w:pStyle w:val="778"/>
        <w:ind w:firstLine="480"/>
        <w:spacing w:line="40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778"/>
        <w:ind w:firstLine="48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78"/>
        <w:spacing w:line="360" w:lineRule="auto"/>
        <w:rPr>
          <w:rFonts w:hint="eastAsia" w:ascii="宋体" w:hAnsi="宋体" w:eastAsia="宋体" w:cs="宋体"/>
          <w:b/>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lang w:val="en-US" w:eastAsia="zh-CN"/>
        </w:rPr>
        <w:t xml:space="preserve">七</w:t>
      </w:r>
      <w:r>
        <w:rPr>
          <w:rFonts w:hint="eastAsia" w:ascii="宋体" w:hAnsi="宋体" w:eastAsia="宋体" w:cs="宋体"/>
          <w:b/>
          <w:sz w:val="30"/>
          <w:szCs w:val="30"/>
          <w:highlight w:val="none"/>
        </w:rPr>
        <w:t xml:space="preserve">、承诺书（给定格式）：</w:t>
      </w:r>
      <w:r>
        <w:rPr>
          <w:rFonts w:hint="eastAsia" w:ascii="宋体" w:hAnsi="宋体" w:eastAsia="宋体" w:cs="宋体"/>
          <w:b/>
          <w:sz w:val="30"/>
          <w:szCs w:val="30"/>
          <w:highlight w:val="none"/>
        </w:rPr>
      </w:r>
      <w:r/>
    </w:p>
    <w:p>
      <w:pPr>
        <w:pStyle w:val="778"/>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承诺书</w:t>
      </w:r>
      <w:r>
        <w:rPr>
          <w:rFonts w:hint="eastAsia" w:ascii="宋体" w:hAnsi="宋体" w:eastAsia="宋体" w:cs="宋体"/>
          <w:bCs/>
          <w:sz w:val="28"/>
          <w:szCs w:val="28"/>
          <w:highlight w:val="none"/>
        </w:rPr>
      </w:r>
      <w:r/>
    </w:p>
    <w:p>
      <w:pPr>
        <w:pStyle w:val="778"/>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投标人</w:t>
      </w:r>
      <w:r>
        <w:rPr>
          <w:rFonts w:hint="eastAsia" w:ascii="宋体" w:hAnsi="宋体" w:eastAsia="宋体" w:cs="宋体"/>
          <w:sz w:val="24"/>
          <w:szCs w:val="24"/>
          <w:highlight w:val="none"/>
        </w:rPr>
        <w:t xml:space="preserve">名称）针对本项目</w:t>
      </w:r>
      <w:r>
        <w:rPr>
          <w:rFonts w:hint="eastAsia" w:ascii="宋体" w:hAnsi="宋体" w:cs="宋体"/>
          <w:bCs/>
          <w:color w:val="000000"/>
          <w:sz w:val="24"/>
          <w:szCs w:val="24"/>
          <w:highlight w:val="none"/>
          <w:lang w:eastAsia="zh-CN"/>
        </w:rPr>
        <w:t xml:space="preserve">JSZC-320292-ZQYY-G2026-0001</w:t>
      </w:r>
      <w:r>
        <w:rPr>
          <w:rFonts w:hint="eastAsia" w:ascii="宋体" w:hAnsi="宋体" w:eastAsia="宋体" w:cs="宋体"/>
          <w:sz w:val="24"/>
          <w:szCs w:val="24"/>
          <w:highlight w:val="none"/>
        </w:rPr>
        <w:t xml:space="preserve">在此承诺：</w:t>
      </w:r>
      <w:r>
        <w:rPr>
          <w:rFonts w:hint="eastAsia" w:ascii="宋体" w:hAnsi="宋体" w:eastAsia="宋体" w:cs="宋体"/>
          <w:sz w:val="24"/>
          <w:szCs w:val="24"/>
          <w:highlight w:val="none"/>
        </w:rPr>
      </w:r>
      <w:r/>
    </w:p>
    <w:p>
      <w:pPr>
        <w:pStyle w:val="77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1．本公司（单位）对本项目提供符合招标要求的产品和服务；</w:t>
      </w:r>
      <w:r>
        <w:rPr>
          <w:rFonts w:hint="eastAsia" w:ascii="宋体" w:hAnsi="宋体"/>
          <w:color w:val="000000"/>
          <w:sz w:val="24"/>
          <w:szCs w:val="24"/>
          <w:highlight w:val="none"/>
        </w:rPr>
      </w:r>
      <w:r/>
    </w:p>
    <w:p>
      <w:pPr>
        <w:pStyle w:val="77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2．本公司（单位）具备履行合同所必需的设备和专业技术能力；</w:t>
      </w:r>
      <w:r>
        <w:rPr>
          <w:rFonts w:hint="eastAsia" w:ascii="宋体" w:hAnsi="宋体"/>
          <w:color w:val="000000"/>
          <w:sz w:val="24"/>
          <w:szCs w:val="24"/>
          <w:highlight w:val="none"/>
        </w:rPr>
      </w:r>
      <w:r/>
    </w:p>
    <w:p>
      <w:pPr>
        <w:pStyle w:val="77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 本公司未被“信用中国”网站（www.creditchina.gov.cn）列入失信执行人、重大税收违法案件当事人名单、政府采购严重违法失信行为记录名单。</w:t>
      </w:r>
      <w:r>
        <w:rPr>
          <w:rFonts w:hint="eastAsia" w:ascii="宋体" w:hAnsi="宋体"/>
          <w:color w:val="000000"/>
          <w:sz w:val="24"/>
          <w:szCs w:val="24"/>
          <w:highlight w:val="none"/>
        </w:rPr>
      </w:r>
      <w:r/>
    </w:p>
    <w:p>
      <w:pPr>
        <w:pStyle w:val="778"/>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ascii="宋体"/>
          <w:bCs/>
          <w:color w:val="000000"/>
          <w:sz w:val="24"/>
          <w:szCs w:val="24"/>
          <w:highlight w:val="none"/>
        </w:rPr>
      </w:r>
      <w:r/>
    </w:p>
    <w:p>
      <w:pPr>
        <w:pStyle w:val="778"/>
        <w:ind w:firstLine="480"/>
        <w:spacing w:line="360" w:lineRule="auto"/>
        <w:rPr>
          <w:rFonts w:ascii="宋体"/>
          <w:bCs/>
          <w:color w:val="000000"/>
          <w:sz w:val="24"/>
          <w:szCs w:val="24"/>
          <w:highlight w:val="none"/>
        </w:rPr>
      </w:pPr>
      <w:r>
        <w:rPr>
          <w:rFonts w:ascii="宋体"/>
          <w:bCs/>
          <w:color w:val="000000"/>
          <w:sz w:val="24"/>
          <w:szCs w:val="24"/>
          <w:highlight w:val="none"/>
        </w:rPr>
      </w:r>
      <w:r/>
    </w:p>
    <w:p>
      <w:pPr>
        <w:pStyle w:val="804"/>
        <w:rPr>
          <w:rFonts w:ascii="宋体"/>
          <w:bCs/>
          <w:color w:val="000000"/>
          <w:sz w:val="24"/>
          <w:szCs w:val="24"/>
          <w:highlight w:val="none"/>
        </w:rPr>
      </w:pPr>
      <w:r>
        <w:rPr>
          <w:rFonts w:ascii="宋体"/>
          <w:bCs/>
          <w:color w:val="000000"/>
          <w:sz w:val="24"/>
          <w:szCs w:val="24"/>
          <w:highlight w:val="none"/>
        </w:rPr>
      </w:r>
      <w:r/>
    </w:p>
    <w:p>
      <w:pPr>
        <w:pStyle w:val="778"/>
        <w:rPr>
          <w:color w:val="000000"/>
          <w:highlight w:val="none"/>
        </w:rPr>
      </w:pPr>
      <w:r>
        <w:rPr>
          <w:color w:val="000000"/>
          <w:highlight w:val="none"/>
        </w:rPr>
      </w:r>
      <w:r/>
    </w:p>
    <w:p>
      <w:pPr>
        <w:pStyle w:val="778"/>
        <w:jc w:val="both"/>
        <w:spacing w:line="480" w:lineRule="auto"/>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778"/>
        <w:ind w:firstLine="37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78"/>
        <w:ind w:firstLine="37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78"/>
        <w:ind w:firstLine="37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78"/>
        <w:ind w:firstLine="37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778"/>
        <w:rPr>
          <w:rFonts w:hint="eastAsia" w:ascii="宋体" w:hAnsi="宋体" w:eastAsia="宋体" w:cs="宋体"/>
          <w:b/>
          <w:sz w:val="30"/>
          <w:szCs w:val="30"/>
          <w:highlight w:val="none"/>
        </w:rPr>
        <w:outlineLvl w:val="9"/>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rPr>
      </w:r>
      <w:r/>
    </w:p>
    <w:p>
      <w:pPr>
        <w:pStyle w:val="778"/>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八</w:t>
      </w:r>
      <w:r>
        <w:rPr>
          <w:rFonts w:hint="eastAsia" w:ascii="宋体" w:hAnsi="宋体" w:eastAsia="宋体" w:cs="宋体"/>
          <w:b/>
          <w:sz w:val="30"/>
          <w:szCs w:val="30"/>
          <w:highlight w:val="none"/>
        </w:rPr>
        <w:t xml:space="preserve">、开标一览表（给定格式）：</w:t>
      </w:r>
      <w:r>
        <w:rPr>
          <w:rFonts w:hint="eastAsia" w:ascii="宋体" w:hAnsi="宋体" w:eastAsia="宋体" w:cs="宋体"/>
          <w:b/>
          <w:sz w:val="30"/>
          <w:szCs w:val="30"/>
          <w:highlight w:val="none"/>
        </w:rPr>
      </w:r>
      <w:r/>
    </w:p>
    <w:p>
      <w:pPr>
        <w:pStyle w:val="778"/>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778"/>
        <w:jc w:val="center"/>
        <w:rPr>
          <w:rFonts w:hint="eastAsia" w:ascii="宋体" w:hAnsi="宋体" w:eastAsia="宋体" w:cs="宋体"/>
          <w:bCs/>
          <w:color w:val="000000"/>
          <w:sz w:val="28"/>
          <w:szCs w:val="28"/>
          <w:highlight w:val="none"/>
        </w:rPr>
        <w:outlineLvl w:val="0"/>
      </w:pPr>
      <w:r/>
      <w:bookmarkStart w:id="238" w:name="_Toc20701"/>
      <w:r>
        <w:rPr>
          <w:rFonts w:hint="eastAsia" w:ascii="宋体" w:hAnsi="宋体" w:eastAsia="宋体" w:cs="宋体"/>
          <w:bCs/>
          <w:color w:val="000000"/>
          <w:sz w:val="28"/>
          <w:szCs w:val="28"/>
          <w:highlight w:val="none"/>
        </w:rPr>
        <w:t xml:space="preserve">开标一览表</w:t>
      </w:r>
      <w:bookmarkEnd w:id="238"/>
      <w:r>
        <w:rPr>
          <w:rFonts w:hint="eastAsia" w:ascii="宋体" w:hAnsi="宋体" w:eastAsia="宋体" w:cs="宋体"/>
          <w:bCs/>
          <w:color w:val="000000"/>
          <w:sz w:val="28"/>
          <w:szCs w:val="28"/>
          <w:highlight w:val="none"/>
        </w:rPr>
      </w:r>
      <w:r/>
    </w:p>
    <w:p>
      <w:pPr>
        <w:pStyle w:val="778"/>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pStyle w:val="77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 项目编号：</w:t>
      </w:r>
      <w:r>
        <w:rPr>
          <w:rFonts w:hint="eastAsia" w:ascii="宋体" w:hAnsi="宋体" w:cs="宋体"/>
          <w:bCs/>
          <w:color w:val="000000"/>
          <w:sz w:val="24"/>
          <w:szCs w:val="24"/>
          <w:highlight w:val="none"/>
          <w:lang w:eastAsia="zh-CN"/>
        </w:rPr>
        <w:t xml:space="preserve">JSZC-320292-ZQYY-G2026-0001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78"/>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单位：元</w:t>
      </w:r>
      <w:r>
        <w:rPr>
          <w:rFonts w:hint="eastAsia" w:ascii="宋体" w:hAnsi="宋体" w:eastAsia="宋体" w:cs="宋体"/>
          <w:bCs/>
          <w:color w:val="000000"/>
          <w:sz w:val="24"/>
          <w:szCs w:val="24"/>
          <w:highlight w:val="none"/>
          <w:lang w:val="en-US" w:eastAsia="zh-CN"/>
        </w:rPr>
      </w:r>
      <w:r/>
    </w:p>
    <w:tbl>
      <w:tblPr>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78"/>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rPr>
                <w:rFonts w:hint="eastAsia" w:ascii="宋体" w:hAnsi="宋体" w:eastAsia="宋体" w:cs="宋体"/>
                <w:b/>
                <w:bCs/>
                <w:color w:val="000000"/>
                <w:sz w:val="24"/>
                <w:szCs w:val="24"/>
                <w:highlight w:val="none"/>
                <w:lang w:val="en-US" w:eastAsia="zh-CN" w:bidi="ar-SA"/>
              </w:rPr>
            </w:r>
            <w:r/>
          </w:p>
        </w:tc>
        <w:tc>
          <w:tcPr>
            <w:tcW w:w="3188" w:type="dxa"/>
            <w:vAlign w:val="center"/>
            <w:textDirection w:val="lrTb"/>
            <w:noWrap w:val="false"/>
          </w:tcPr>
          <w:p>
            <w:pPr>
              <w:pStyle w:val="778"/>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投标总报价（小写）</w:t>
            </w:r>
            <w:r>
              <w:rPr>
                <w:rFonts w:hint="eastAsia" w:ascii="宋体" w:hAnsi="宋体" w:eastAsia="宋体" w:cs="宋体"/>
                <w:b/>
                <w:bCs/>
                <w:color w:val="000000"/>
                <w:sz w:val="24"/>
                <w:szCs w:val="24"/>
                <w:highlight w:val="none"/>
                <w:lang w:val="en-US" w:eastAsia="zh-CN" w:bidi="ar-SA"/>
              </w:rPr>
            </w:r>
            <w:r/>
          </w:p>
        </w:tc>
      </w:tr>
      <w:tr>
        <w:trPr>
          <w:cantSplit/>
          <w:trHeight w:val="1630"/>
        </w:trPr>
        <w:tc>
          <w:tcPr>
            <w:tcW w:w="5697" w:type="dxa"/>
            <w:vAlign w:val="center"/>
            <w:textDirection w:val="lrTb"/>
            <w:noWrap w:val="false"/>
          </w:tcPr>
          <w:p>
            <w:pPr>
              <w:pStyle w:val="1084"/>
              <w:jc w:val="center"/>
              <w:spacing w:line="400" w:lineRule="exact"/>
              <w:widowControl w:val="off"/>
              <w:rPr>
                <w:rFonts w:hint="eastAsia" w:ascii="宋体" w:hAnsi="宋体" w:eastAsia="宋体" w:cs="宋体"/>
                <w:bCs/>
                <w:color w:val="000000"/>
                <w:sz w:val="24"/>
                <w:szCs w:val="24"/>
                <w:highlight w:val="none"/>
                <w:u w:val="none"/>
                <w:lang w:val="en-US" w:eastAsia="zh-CN" w:bidi="ar-SA"/>
              </w:rPr>
            </w:pPr>
            <w:r>
              <w:rPr>
                <w:rFonts w:hint="eastAsia" w:hAnsi="宋体" w:cs="宋体"/>
                <w:sz w:val="24"/>
                <w:szCs w:val="24"/>
                <w:highlight w:val="none"/>
                <w:u w:val="none"/>
                <w:shd w:val="clear" w:color="auto" w:fill="ffffff"/>
                <w:lang w:val="en-US" w:eastAsia="zh-CN" w:bidi="ar-SA"/>
              </w:rPr>
              <w:t xml:space="preserve">太湖街道街道管养绿化养护</w:t>
            </w:r>
            <w:r>
              <w:rPr>
                <w:rFonts w:hint="eastAsia" w:ascii="宋体" w:hAnsi="宋体" w:eastAsia="宋体" w:cs="宋体"/>
                <w:bCs/>
                <w:color w:val="000000"/>
                <w:sz w:val="24"/>
                <w:szCs w:val="24"/>
                <w:highlight w:val="none"/>
                <w:u w:val="none"/>
                <w:lang w:val="en-US" w:eastAsia="zh-CN" w:bidi="ar-SA"/>
              </w:rPr>
            </w:r>
            <w:r/>
          </w:p>
        </w:tc>
        <w:tc>
          <w:tcPr>
            <w:tcW w:w="3188" w:type="dxa"/>
            <w:vAlign w:val="center"/>
            <w:textDirection w:val="lrTb"/>
            <w:noWrap w:val="false"/>
          </w:tcPr>
          <w:p>
            <w:pPr>
              <w:pStyle w:val="1084"/>
              <w:jc w:val="both"/>
              <w:widowControl w:val="off"/>
              <w:rPr>
                <w:rFonts w:hint="eastAsia" w:ascii="宋体" w:hAnsi="宋体" w:eastAsia="宋体" w:cs="宋体"/>
                <w:b/>
                <w:color w:val="000000"/>
                <w:sz w:val="24"/>
                <w:szCs w:val="24"/>
                <w:highlight w:val="none"/>
                <w:u w:val="none"/>
                <w:lang w:val="en-US" w:eastAsia="zh-CN" w:bidi="ar-SA"/>
              </w:rPr>
            </w:pPr>
            <w:r>
              <w:rPr>
                <w:rFonts w:hint="eastAsia" w:ascii="宋体" w:hAnsi="宋体" w:eastAsia="宋体" w:cs="宋体"/>
                <w:b/>
                <w:color w:val="000000"/>
                <w:sz w:val="24"/>
                <w:szCs w:val="24"/>
                <w:highlight w:val="none"/>
                <w:u w:val="none"/>
                <w:lang w:val="en-US" w:eastAsia="zh-CN" w:bidi="ar-SA"/>
              </w:rPr>
            </w:r>
            <w:r/>
          </w:p>
        </w:tc>
      </w:tr>
      <w:tr>
        <w:trPr>
          <w:cantSplit/>
          <w:trHeight w:val="780"/>
        </w:trPr>
        <w:tc>
          <w:tcPr>
            <w:gridSpan w:val="2"/>
            <w:tcW w:w="8885" w:type="dxa"/>
            <w:vAlign w:val="center"/>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投标总报价（大写）</w:t>
            </w:r>
            <w:r>
              <w:rPr>
                <w:rFonts w:hint="eastAsia" w:ascii="宋体" w:hAnsi="宋体" w:eastAsia="宋体" w:cs="宋体"/>
                <w:bCs/>
                <w:color w:val="000000"/>
                <w:sz w:val="24"/>
                <w:szCs w:val="24"/>
                <w:highlight w:val="none"/>
                <w:lang w:val="en-US" w:eastAsia="zh-CN" w:bidi="ar-SA"/>
              </w:rPr>
              <w:t xml:space="preserve">：　　　</w:t>
            </w:r>
            <w:r>
              <w:rPr>
                <w:rFonts w:hint="eastAsia" w:ascii="宋体" w:hAnsi="宋体" w:eastAsia="宋体" w:cs="宋体"/>
                <w:bCs/>
                <w:color w:val="000000"/>
                <w:sz w:val="24"/>
                <w:szCs w:val="24"/>
                <w:highlight w:val="none"/>
                <w:lang w:val="en-US" w:eastAsia="zh-CN" w:bidi="ar-SA"/>
              </w:rPr>
            </w:r>
            <w:r/>
          </w:p>
        </w:tc>
      </w:tr>
    </w:tbl>
    <w:p>
      <w:pPr>
        <w:pStyle w:val="778"/>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Cs/>
          <w:color w:val="000000"/>
          <w:sz w:val="24"/>
          <w:szCs w:val="24"/>
          <w:highlight w:val="none"/>
        </w:rPr>
      </w:r>
      <w:r/>
    </w:p>
    <w:p>
      <w:pPr>
        <w:pStyle w:val="778"/>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br w:type="page" w:clear="all"/>
      </w:r>
      <w:r>
        <w:rPr>
          <w:rFonts w:hint="eastAsia" w:ascii="宋体" w:hAnsi="宋体" w:cs="宋体"/>
          <w:b/>
          <w:sz w:val="30"/>
          <w:szCs w:val="30"/>
          <w:highlight w:val="none"/>
          <w:lang w:val="en-US" w:eastAsia="zh-CN"/>
        </w:rPr>
        <w:t xml:space="preserve">九</w:t>
      </w:r>
      <w:r>
        <w:rPr>
          <w:rFonts w:hint="eastAsia" w:ascii="宋体" w:hAnsi="宋体" w:eastAsia="宋体" w:cs="宋体"/>
          <w:b/>
          <w:sz w:val="30"/>
          <w:szCs w:val="30"/>
          <w:highlight w:val="none"/>
        </w:rPr>
        <w:t xml:space="preserve">、分项报价表（给定格式）：</w:t>
      </w:r>
      <w:r>
        <w:rPr>
          <w:rFonts w:hint="eastAsia" w:ascii="宋体" w:hAnsi="宋体" w:eastAsia="宋体" w:cs="宋体"/>
          <w:bCs/>
          <w:color w:val="000000"/>
          <w:highlight w:val="none"/>
        </w:rPr>
      </w:r>
      <w:r/>
    </w:p>
    <w:p>
      <w:pPr>
        <w:pStyle w:val="778"/>
        <w:jc w:val="cente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分项报价表</w:t>
      </w:r>
      <w:r>
        <w:rPr>
          <w:rFonts w:hint="eastAsia" w:ascii="宋体" w:hAnsi="宋体" w:eastAsia="宋体" w:cs="宋体"/>
          <w:bCs/>
          <w:sz w:val="28"/>
          <w:szCs w:val="28"/>
          <w:highlight w:val="none"/>
        </w:rPr>
      </w:r>
      <w:r/>
    </w:p>
    <w:p>
      <w:pPr>
        <w:pStyle w:val="778"/>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JSZC-320292-ZQYY-G2026-0001</w:t>
      </w:r>
      <w:r>
        <w:rPr>
          <w:rFonts w:hint="eastAsia" w:ascii="宋体" w:hAnsi="宋体" w:eastAsia="宋体" w:cs="宋体"/>
          <w:sz w:val="24"/>
          <w:szCs w:val="24"/>
          <w:highlight w:val="none"/>
        </w:rPr>
      </w:r>
      <w:r/>
    </w:p>
    <w:tbl>
      <w:tblPr>
        <w:tblW w:w="10768" w:type="dxa"/>
        <w:tblInd w:w="-71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2158"/>
        <w:gridCol w:w="2815"/>
        <w:gridCol w:w="704"/>
        <w:gridCol w:w="1061"/>
        <w:gridCol w:w="647"/>
        <w:gridCol w:w="1015"/>
        <w:gridCol w:w="1687"/>
      </w:tblGrid>
      <w:tr>
        <w:trPr>
          <w:trHeight w:val="375"/>
        </w:trPr>
        <w:tc>
          <w:tcPr>
            <w:tcW w:w="681"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bookmarkEnd w:id="232"/>
            <w:r/>
            <w:bookmarkEnd w:id="233"/>
            <w:r/>
            <w:bookmarkEnd w:id="234"/>
            <w:r/>
            <w:bookmarkStart w:id="239" w:name="_Toc120614284"/>
            <w:r>
              <w:rPr>
                <w:rFonts w:hint="eastAsia" w:ascii="宋体" w:hAnsi="宋体" w:eastAsia="宋体" w:cs="宋体"/>
                <w:bCs/>
                <w:color w:val="000000"/>
                <w:sz w:val="20"/>
                <w:szCs w:val="20"/>
                <w:highlight w:val="none"/>
                <w:lang w:val="en-US" w:eastAsia="zh-CN"/>
              </w:rPr>
              <w:t xml:space="preserve">序号</w:t>
            </w:r>
            <w:r>
              <w:rPr>
                <w:rFonts w:hint="eastAsia" w:ascii="宋体" w:hAnsi="宋体" w:eastAsia="宋体" w:cs="宋体"/>
                <w:bCs/>
                <w:color w:val="000000"/>
                <w:sz w:val="20"/>
                <w:szCs w:val="20"/>
                <w:highlight w:val="none"/>
              </w:rPr>
            </w:r>
            <w:r/>
          </w:p>
        </w:tc>
        <w:tc>
          <w:tcPr>
            <w:tcW w:w="2158"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名称</w:t>
            </w:r>
            <w:r>
              <w:rPr>
                <w:rFonts w:hint="eastAsia" w:ascii="宋体" w:hAnsi="宋体" w:eastAsia="宋体" w:cs="宋体"/>
                <w:bCs/>
                <w:color w:val="000000"/>
                <w:sz w:val="20"/>
                <w:szCs w:val="20"/>
                <w:highlight w:val="none"/>
              </w:rPr>
            </w:r>
            <w:r/>
          </w:p>
        </w:tc>
        <w:tc>
          <w:tcPr>
            <w:tcW w:w="2815"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位置</w:t>
            </w:r>
            <w:r>
              <w:rPr>
                <w:rFonts w:hint="eastAsia" w:ascii="宋体" w:hAnsi="宋体" w:eastAsia="宋体" w:cs="宋体"/>
                <w:bCs/>
                <w:color w:val="000000"/>
                <w:sz w:val="20"/>
                <w:szCs w:val="20"/>
                <w:highlight w:val="none"/>
              </w:rPr>
            </w:r>
            <w:r/>
          </w:p>
        </w:tc>
        <w:tc>
          <w:tcPr>
            <w:tcW w:w="704"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单位</w:t>
            </w:r>
            <w:r>
              <w:rPr>
                <w:rFonts w:hint="eastAsia" w:ascii="宋体" w:hAnsi="宋体" w:eastAsia="宋体" w:cs="宋体"/>
                <w:bCs/>
                <w:color w:val="000000"/>
                <w:sz w:val="20"/>
                <w:szCs w:val="20"/>
                <w:highlight w:val="none"/>
              </w:rPr>
            </w:r>
            <w:r/>
          </w:p>
        </w:tc>
        <w:tc>
          <w:tcPr>
            <w:tcW w:w="1061" w:type="dxa"/>
            <w:vAlign w:val="center"/>
            <w:textDirection w:val="lrTb"/>
            <w:noWrap w:val="false"/>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数量</w:t>
            </w:r>
            <w:r>
              <w:rPr>
                <w:rFonts w:hint="eastAsia" w:ascii="宋体" w:hAnsi="宋体" w:eastAsia="宋体" w:cs="宋体"/>
                <w:bCs/>
                <w:color w:val="000000"/>
                <w:sz w:val="20"/>
                <w:szCs w:val="20"/>
                <w:highlight w:val="none"/>
              </w:rPr>
            </w:r>
            <w:r/>
          </w:p>
        </w:tc>
        <w:tc>
          <w:tcPr>
            <w:tcW w:w="647"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单价</w:t>
            </w:r>
            <w:r>
              <w:rPr>
                <w:rFonts w:hint="eastAsia" w:ascii="宋体" w:hAnsi="宋体" w:eastAsia="宋体" w:cs="宋体"/>
                <w:bCs/>
                <w:color w:val="000000"/>
                <w:sz w:val="20"/>
                <w:szCs w:val="20"/>
                <w:highlight w:val="none"/>
              </w:rPr>
            </w:r>
            <w:r/>
          </w:p>
        </w:tc>
        <w:tc>
          <w:tcPr>
            <w:tcW w:w="1015"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价格</w:t>
            </w:r>
            <w:r>
              <w:rPr>
                <w:rFonts w:hint="eastAsia" w:ascii="宋体" w:hAnsi="宋体" w:eastAsia="宋体" w:cs="宋体"/>
                <w:bCs/>
                <w:color w:val="000000"/>
                <w:sz w:val="20"/>
                <w:szCs w:val="20"/>
                <w:highlight w:val="none"/>
              </w:rPr>
            </w:r>
            <w:r/>
          </w:p>
        </w:tc>
        <w:tc>
          <w:tcPr>
            <w:tcW w:w="1687" w:type="dxa"/>
            <w:vAlign w:val="center"/>
            <w:textDirection w:val="lrTb"/>
            <w:noWrap/>
          </w:tcPr>
          <w:p>
            <w:pPr>
              <w:pStyle w:val="778"/>
              <w:jc w:val="center"/>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lang w:val="en-US" w:eastAsia="zh-CN"/>
              </w:rPr>
              <w:t xml:space="preserve">备注</w:t>
            </w:r>
            <w:r>
              <w:rPr>
                <w:rFonts w:hint="eastAsia" w:ascii="宋体" w:hAnsi="宋体" w:eastAsia="宋体" w:cs="宋体"/>
                <w:bCs/>
                <w:color w:val="000000"/>
                <w:sz w:val="20"/>
                <w:szCs w:val="20"/>
                <w:highlight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原有公共绿地</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太湖街道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14216</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大桥吴巷</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吴巷</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3915</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大桥路</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东绛第二实验小学外围包括瑞祥路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12042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梁南苑外围</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鼎新路两侧</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东绛实验小学南</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东绛实验小学南</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圩湾里</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圩湾里村巷前后</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雪方苑</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雪方苑小区内</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社区健身广场</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五湖大道方庙路口</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双新园区</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雪丰路两侧</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14492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丰裕苑外围</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五湖大道-老锡南路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黄金湾工业园区</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黄金湾园区</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13810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高远路</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五湖大道-信成道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黄金湾驳岸景观绿地</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黄金湾园区</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2285.94</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丰裕新村</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双新工业园区雪丰路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2502.27</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华润万家四周</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华润万家</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宪园道</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新园路-闪溪河</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立新路</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周新路-贡湖大道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老锡南路</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贡湖大道-扬名桥</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周新路</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贡湖大道-金石路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34873</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闪溪河两侧</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万顺道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8365</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邹家弄浜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大通路南北</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10379</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白水塘河坡</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白水塘浜</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庙桥港景观绿地</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庙桥港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5776.03</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周司桥浜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丰裕桥-吴都路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968</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曹巷浜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曹巷浜</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4085</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闪溪河</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雪珊桥-宪园道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万思桥浜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立信大道-观顺道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曹王泾河</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梁南桥堍东南角，东绛大桥</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3615</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东绛大桥壳牌加油站</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贡湖大道510号</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9371</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西绛道</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大通路-周新路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生达路</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大通路-万顺道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2706.8</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雪丰路（和玺）</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信成道-观顺道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1785</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东华花苑南侧</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东华花苑与大通路规划学校中间地带</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499.6</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W w:w="2158"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谈巷休闲园</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华盛苑南门</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南湖怡园</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高运路兴梁道路口</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五湖大道地铁口</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周新西路</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2962.2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信成道小游园及周边</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信成道（东华花苑-东泉花苑）（游园2400，周边717.28，含花箱）</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3117.28</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东湖外河</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大剧院路万象九里到丝竹道</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8735.32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顾道里浜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周新苑二期东门口衡源路南，立信大道东</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172.82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湖东浜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大通路北河，沿万科一三期河北岸</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3206.32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谢浦浜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周新路薛家桥东北沿河--梁塘河</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3150.69</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宣家巷浜</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宣家巷</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3462.26</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曹王泾</w:t>
            </w:r>
            <w:r>
              <w:rPr>
                <w:rFonts w:hint="eastAsia" w:ascii="宋体" w:hAnsi="宋体" w:eastAsia="宋体" w:cs="宋体"/>
                <w:i w:val="0"/>
                <w:iCs w:val="0"/>
                <w:color w:val="000000"/>
                <w:sz w:val="20"/>
                <w:szCs w:val="20"/>
                <w:u w:val="none"/>
              </w:rPr>
            </w:r>
            <w:r/>
          </w:p>
        </w:tc>
        <w:tc>
          <w:tcPr>
            <w:tcW w:w="2815"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东绛大桥--扬名桥</w:t>
            </w:r>
            <w:r>
              <w:rPr>
                <w:rFonts w:hint="eastAsia" w:ascii="宋体" w:hAnsi="宋体" w:eastAsia="宋体" w:cs="宋体"/>
                <w:i w:val="0"/>
                <w:iCs w:val="0"/>
                <w:color w:val="000000"/>
                <w:sz w:val="20"/>
                <w:szCs w:val="20"/>
                <w:u w:val="none"/>
              </w:rPr>
            </w:r>
            <w:r/>
          </w:p>
        </w:tc>
        <w:tc>
          <w:tcPr>
            <w:tcW w:w="704"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370.72</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树木修剪</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0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株</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按实际修剪数量结算（不分树木大小）</w:t>
            </w:r>
            <w:r>
              <w:rPr>
                <w:rFonts w:hint="eastAsia" w:ascii="宋体" w:hAnsi="宋体" w:eastAsia="宋体" w:cs="宋体"/>
                <w:i w:val="0"/>
                <w:iCs w:val="0"/>
                <w:color w:val="000000"/>
                <w:sz w:val="20"/>
                <w:szCs w:val="20"/>
                <w:u w:val="none"/>
              </w:rPr>
            </w:r>
            <w:r/>
          </w:p>
        </w:tc>
      </w:tr>
      <w:tr>
        <w:trPr>
          <w:trHeight w:val="1620"/>
        </w:trPr>
        <w:tc>
          <w:tcPr>
            <w:tcW w:w="68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2158"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绿化废弃物处理</w:t>
            </w:r>
            <w:r>
              <w:rPr>
                <w:rFonts w:hint="eastAsia" w:ascii="宋体" w:hAnsi="宋体" w:eastAsia="宋体" w:cs="宋体"/>
                <w:i w:val="0"/>
                <w:iCs w:val="0"/>
                <w:color w:val="000000"/>
                <w:sz w:val="20"/>
                <w:szCs w:val="20"/>
                <w:u w:val="none"/>
              </w:rPr>
            </w:r>
            <w:r/>
          </w:p>
        </w:tc>
        <w:tc>
          <w:tcPr>
            <w:tcW w:w="2815" w:type="dxa"/>
            <w:vAlign w:val="center"/>
            <w:textDirection w:val="lrTb"/>
            <w:noWrap/>
          </w:tcPr>
          <w:p>
            <w:pPr>
              <w:pStyle w:val="778"/>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04"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647"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val="false"/>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车辆按3.5米长货车计量，按实际处置量结算（包含装车、人工等所有费用）</w:t>
            </w:r>
            <w:r>
              <w:rPr>
                <w:rFonts w:hint="eastAsia" w:ascii="宋体" w:hAnsi="宋体" w:eastAsia="宋体" w:cs="宋体"/>
                <w:i w:val="0"/>
                <w:iCs w:val="0"/>
                <w:color w:val="000000"/>
                <w:sz w:val="20"/>
                <w:szCs w:val="20"/>
                <w:u w:val="none"/>
              </w:rPr>
            </w:r>
            <w:r/>
          </w:p>
        </w:tc>
      </w:tr>
      <w:tr>
        <w:trPr>
          <w:trHeight w:val="820"/>
        </w:trPr>
        <w:tc>
          <w:tcPr>
            <w:gridSpan w:val="6"/>
            <w:tcW w:w="8066" w:type="dxa"/>
            <w:vAlign w:val="center"/>
            <w:textDirection w:val="lrTb"/>
            <w:noWrap/>
          </w:tcPr>
          <w:p>
            <w:pPr>
              <w:pStyle w:val="77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合计（含税金）:</w:t>
            </w:r>
            <w:r>
              <w:rPr>
                <w:rFonts w:hint="eastAsia" w:ascii="宋体" w:hAnsi="宋体" w:eastAsia="宋体" w:cs="宋体"/>
                <w:i w:val="0"/>
                <w:iCs w:val="0"/>
                <w:color w:val="000000"/>
                <w:sz w:val="20"/>
                <w:szCs w:val="20"/>
                <w:u w:val="none"/>
              </w:rPr>
            </w:r>
            <w:r/>
          </w:p>
        </w:tc>
        <w:tc>
          <w:tcPr>
            <w:tcW w:w="1015" w:type="dxa"/>
            <w:vAlign w:val="center"/>
            <w:textDirection w:val="lrTb"/>
            <w:noWrap/>
          </w:tcPr>
          <w:p>
            <w:pPr>
              <w:pStyle w:val="778"/>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87" w:type="dxa"/>
            <w:vAlign w:val="center"/>
            <w:textDirection w:val="lrTb"/>
            <w:noWrap/>
          </w:tcPr>
          <w:p>
            <w:pPr>
              <w:pStyle w:val="778"/>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778"/>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r>
      <w:r/>
    </w:p>
    <w:p>
      <w:pPr>
        <w:pStyle w:val="778"/>
        <w:ind w:firstLine="315"/>
        <w:spacing w:line="400" w:lineRule="exact"/>
        <w:rPr>
          <w:rFonts w:hint="eastAsia" w:ascii="宋体" w:hAnsi="宋体" w:eastAsia="宋体" w:cs="宋体"/>
          <w:bCs/>
          <w:highlight w:val="none"/>
        </w:rPr>
        <w:outlineLvl w:val="0"/>
      </w:pPr>
      <w:r>
        <w:rPr>
          <w:rFonts w:hint="eastAsia" w:ascii="宋体" w:hAnsi="宋体" w:eastAsia="宋体" w:cs="宋体"/>
          <w:bCs/>
          <w:highlight w:val="none"/>
        </w:rPr>
      </w:r>
      <w:r/>
    </w:p>
    <w:p>
      <w:pPr>
        <w:pStyle w:val="778"/>
        <w:spacing w:before="5"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法定代表人或法定代表人授权代表签字或盖章：</w:t>
      </w:r>
      <w:r>
        <w:rPr>
          <w:color w:val="000000"/>
          <w:highlight w:val="none"/>
        </w:rPr>
      </w:r>
      <w:r/>
    </w:p>
    <w:p>
      <w:pPr>
        <w:pStyle w:val="778"/>
        <w:spacing w:line="360" w:lineRule="auto"/>
        <w:rPr>
          <w:rFonts w:ascii="宋体" w:hAnsi="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 </w:t>
      </w:r>
      <w:r>
        <w:rPr>
          <w:rFonts w:ascii="宋体" w:hAnsi="宋体" w:cs="宋体"/>
          <w:b/>
          <w:color w:val="000000"/>
          <w:sz w:val="22"/>
          <w:highlight w:val="none"/>
        </w:rPr>
      </w:r>
      <w:r/>
    </w:p>
    <w:p>
      <w:pPr>
        <w:pStyle w:val="778"/>
        <w:spacing w:line="360" w:lineRule="auto"/>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 </w:t>
      </w:r>
      <w:r>
        <w:rPr>
          <w:rFonts w:ascii="宋体" w:hAnsi="宋体" w:cs="宋体"/>
          <w:color w:val="000000"/>
          <w:sz w:val="22"/>
          <w:highlight w:val="none"/>
        </w:rPr>
        <w:t xml:space="preserve">注：1、</w:t>
      </w:r>
      <w:r>
        <w:rPr>
          <w:rFonts w:hint="eastAsia" w:ascii="宋体" w:hAnsi="宋体" w:cs="宋体"/>
          <w:color w:val="000000"/>
          <w:sz w:val="22"/>
          <w:highlight w:val="none"/>
        </w:rPr>
        <w:t xml:space="preserve">采购人不提供前期接管费用，不提供装备和装备费，供应商需要将以上费用打入分项报价中。</w:t>
      </w:r>
      <w:r>
        <w:rPr>
          <w:rFonts w:ascii="宋体" w:hAnsi="宋体" w:cs="宋体"/>
          <w:color w:val="000000"/>
          <w:sz w:val="22"/>
          <w:highlight w:val="none"/>
        </w:rPr>
      </w:r>
      <w:r/>
    </w:p>
    <w:p>
      <w:pPr>
        <w:pStyle w:val="778"/>
        <w:ind w:firstLine="44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2、</w:t>
      </w:r>
      <w:r>
        <w:rPr>
          <w:rFonts w:ascii="宋体" w:hAnsi="宋体" w:cs="宋体"/>
          <w:color w:val="000000"/>
          <w:sz w:val="22"/>
          <w:highlight w:val="none"/>
        </w:rPr>
        <w:t xml:space="preserve">投标人报价时应充分考虑服务期内所有可能影响到报价的因素（包括最低工资标准和社保基数的政策性调整），</w:t>
      </w:r>
      <w:r>
        <w:rPr>
          <w:rFonts w:hint="eastAsia" w:ascii="宋体" w:hAnsi="宋体"/>
          <w:bCs/>
          <w:color w:val="000000"/>
          <w:szCs w:val="21"/>
          <w:highlight w:val="none"/>
        </w:rPr>
        <w:t xml:space="preserve">总报价除应包括服务人员的工资（符合无锡市最低工资标准且必须缴纳社会保险费）、法定税费和合理利润外，还应包括管理、劳务、服装、培训、通讯、安全保卫器械、保洁工用具等各项应有费用，以及为完成采购文件规定的工作所涉及到的一切相关费用。投标人报价时应充分考虑服务期内所有可能影响到报价的因素，</w:t>
      </w:r>
      <w:r>
        <w:rPr>
          <w:rFonts w:ascii="宋体" w:hAnsi="宋体" w:cs="宋体"/>
          <w:color w:val="000000"/>
          <w:sz w:val="22"/>
          <w:highlight w:val="none"/>
        </w:rPr>
        <w:t xml:space="preserve">一旦报价结束最终中标，总价将包定，中间不予调整。</w:t>
      </w:r>
      <w:r>
        <w:rPr>
          <w:color w:val="000000"/>
          <w:highlight w:val="none"/>
        </w:rPr>
      </w:r>
      <w:r/>
    </w:p>
    <w:p>
      <w:pPr>
        <w:pStyle w:val="778"/>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3</w:t>
      </w:r>
      <w:r>
        <w:rPr>
          <w:rFonts w:ascii="宋体" w:hAnsi="宋体" w:cs="宋体"/>
          <w:color w:val="000000"/>
          <w:sz w:val="22"/>
          <w:highlight w:val="none"/>
        </w:rPr>
        <w:t xml:space="preserve">、上述报价表由投标单位参照，不限于此，可根据采购需求自行添加条目</w:t>
      </w:r>
      <w:r>
        <w:rPr>
          <w:rFonts w:hint="eastAsia" w:ascii="宋体" w:hAnsi="宋体" w:cs="宋体"/>
          <w:color w:val="000000"/>
          <w:sz w:val="22"/>
          <w:highlight w:val="none"/>
        </w:rPr>
        <w:t xml:space="preserve">（但不可删减）</w:t>
      </w:r>
      <w:r>
        <w:rPr>
          <w:rFonts w:ascii="宋体" w:hAnsi="宋体" w:cs="宋体"/>
          <w:color w:val="000000"/>
          <w:sz w:val="22"/>
          <w:highlight w:val="none"/>
        </w:rPr>
        <w:t xml:space="preserve">进行投报。</w:t>
      </w:r>
      <w:r>
        <w:rPr>
          <w:color w:val="000000"/>
          <w:highlight w:val="none"/>
        </w:rPr>
      </w:r>
      <w:r/>
    </w:p>
    <w:p>
      <w:pPr>
        <w:pStyle w:val="778"/>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4</w:t>
      </w:r>
      <w:r>
        <w:rPr>
          <w:rFonts w:ascii="宋体" w:hAnsi="宋体" w:cs="宋体"/>
          <w:color w:val="000000"/>
          <w:sz w:val="22"/>
          <w:highlight w:val="none"/>
        </w:rPr>
        <w:t xml:space="preserve">、投标人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投标人对所报相关数据的真实性负责，</w:t>
      </w:r>
      <w:r>
        <w:rPr>
          <w:rFonts w:hint="eastAsia" w:ascii="宋体" w:hAnsi="宋体" w:eastAsia="宋体" w:cs="宋体"/>
          <w:color w:val="000000"/>
          <w:sz w:val="22"/>
          <w:highlight w:val="none"/>
          <w:lang w:val="en-US" w:eastAsia="zh-CN"/>
        </w:rPr>
        <w:t xml:space="preserve">采购代理机构</w:t>
      </w:r>
      <w:r>
        <w:rPr>
          <w:rFonts w:ascii="宋体" w:hAnsi="宋体" w:cs="宋体"/>
          <w:color w:val="000000"/>
          <w:sz w:val="22"/>
          <w:highlight w:val="none"/>
        </w:rPr>
        <w:t xml:space="preserve">将相关内容进行公示。</w:t>
      </w:r>
      <w:r>
        <w:rPr>
          <w:color w:val="000000"/>
          <w:highlight w:val="none"/>
        </w:rPr>
      </w:r>
      <w:r/>
    </w:p>
    <w:p>
      <w:pPr>
        <w:pStyle w:val="778"/>
        <w:jc w:val="center"/>
        <w:spacing w:line="400" w:lineRule="exact"/>
        <w:rPr>
          <w:rFonts w:hint="eastAsia" w:ascii="宋体" w:hAnsi="宋体" w:eastAsia="宋体" w:cs="宋体"/>
          <w:b/>
          <w:sz w:val="30"/>
          <w:szCs w:val="30"/>
          <w:highlight w:val="none"/>
          <w:lang w:eastAsia="zh-CN"/>
        </w:rPr>
        <w:outlineLvl w:val="9"/>
      </w:pPr>
      <w:r>
        <w:rPr>
          <w:rFonts w:hint="eastAsia" w:ascii="宋体" w:hAnsi="宋体" w:eastAsia="宋体" w:cs="宋体"/>
          <w:b/>
          <w:sz w:val="30"/>
          <w:szCs w:val="30"/>
          <w:highlight w:val="none"/>
          <w:lang w:eastAsia="zh-CN"/>
        </w:rPr>
      </w:r>
      <w:r/>
    </w:p>
    <w:p>
      <w:pPr>
        <w:pStyle w:val="790"/>
        <w:rPr>
          <w:rFonts w:hint="eastAsia"/>
          <w:lang w:eastAsia="zh-CN"/>
        </w:rPr>
      </w:pPr>
      <w:r>
        <w:rPr>
          <w:rFonts w:hint="eastAsia"/>
          <w:lang w:eastAsia="zh-CN"/>
        </w:rPr>
      </w:r>
      <w:r/>
    </w:p>
    <w:p>
      <w:pPr>
        <w:pStyle w:val="778"/>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十、投标偏离表（给定格式）：</w:t>
      </w:r>
      <w:r>
        <w:rPr>
          <w:rFonts w:hint="eastAsia" w:ascii="宋体" w:hAnsi="宋体" w:eastAsia="宋体" w:cs="宋体"/>
          <w:b/>
          <w:sz w:val="30"/>
          <w:szCs w:val="30"/>
          <w:highlight w:val="none"/>
        </w:rPr>
      </w:r>
      <w:r/>
    </w:p>
    <w:p>
      <w:pPr>
        <w:pStyle w:val="778"/>
        <w:ind w:firstLine="490"/>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pStyle w:val="778"/>
        <w:ind w:firstLine="490"/>
        <w:jc w:val="center"/>
        <w:rPr>
          <w:rFonts w:hint="eastAsia" w:ascii="宋体" w:hAnsi="宋体" w:eastAsia="宋体" w:cs="宋体"/>
          <w:bCs/>
          <w:color w:val="000000"/>
          <w:sz w:val="28"/>
          <w:szCs w:val="28"/>
          <w:highlight w:val="none"/>
        </w:rPr>
        <w:outlineLvl w:val="0"/>
      </w:pPr>
      <w:r/>
      <w:bookmarkStart w:id="240" w:name="_Toc19104"/>
      <w:r>
        <w:rPr>
          <w:rFonts w:hint="eastAsia" w:ascii="宋体" w:hAnsi="宋体" w:eastAsia="宋体" w:cs="宋体"/>
          <w:bCs/>
          <w:color w:val="000000"/>
          <w:sz w:val="28"/>
          <w:szCs w:val="28"/>
          <w:highlight w:val="none"/>
        </w:rPr>
        <w:t xml:space="preserve">投标偏离表</w:t>
      </w:r>
      <w:bookmarkEnd w:id="240"/>
      <w:r>
        <w:rPr>
          <w:rFonts w:hint="eastAsia" w:ascii="宋体" w:hAnsi="宋体" w:eastAsia="宋体" w:cs="宋体"/>
          <w:bCs/>
          <w:color w:val="000000"/>
          <w:sz w:val="28"/>
          <w:szCs w:val="28"/>
          <w:highlight w:val="none"/>
        </w:rPr>
      </w:r>
      <w:r/>
    </w:p>
    <w:p>
      <w:pPr>
        <w:pStyle w:val="778"/>
        <w:jc w:val="left"/>
        <w:spacing w:line="4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JSZC-320292-ZQYY-G2026-0001</w:t>
      </w:r>
      <w:r>
        <w:rPr>
          <w:rFonts w:hint="eastAsia" w:ascii="宋体" w:hAnsi="宋体" w:eastAsia="宋体" w:cs="宋体"/>
          <w:bCs/>
          <w:color w:val="000000"/>
          <w:sz w:val="24"/>
          <w:szCs w:val="24"/>
          <w:highlight w:val="none"/>
        </w:rPr>
      </w:r>
      <w:r/>
    </w:p>
    <w:p>
      <w:pPr>
        <w:pStyle w:val="778"/>
        <w:jc w:val="both"/>
        <w:spacing w:line="40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78"/>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名称</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8"/>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采购要求</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8"/>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实报内容</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78"/>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偏离说明</w:t>
            </w:r>
            <w:r>
              <w:rPr>
                <w:rFonts w:hint="eastAsia" w:ascii="宋体" w:hAnsi="宋体" w:eastAsia="宋体" w:cs="宋体"/>
                <w:b/>
                <w:bCs/>
                <w:color w:val="000000"/>
                <w:sz w:val="24"/>
                <w:szCs w:val="24"/>
                <w:highlight w:val="none"/>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78"/>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8"/>
              <w:jc w:val="both"/>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8"/>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78"/>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bl>
    <w:p>
      <w:pPr>
        <w:pStyle w:val="778"/>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
          <w:color w:val="000000"/>
          <w:sz w:val="24"/>
          <w:szCs w:val="24"/>
          <w:highlight w:val="none"/>
        </w:rPr>
      </w:r>
      <w:r/>
    </w:p>
    <w:p>
      <w:pPr>
        <w:pStyle w:val="778"/>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778"/>
        <w:ind w:firstLine="420"/>
        <w:rPr>
          <w:rFonts w:hint="eastAsia" w:ascii="宋体" w:hAnsi="宋体" w:eastAsia="宋体" w:cs="宋体"/>
          <w:bCs/>
          <w:color w:val="000000"/>
          <w:sz w:val="24"/>
          <w:szCs w:val="24"/>
          <w:highlight w:val="none"/>
        </w:rPr>
        <w:outlineLvl w:val="0"/>
      </w:pPr>
      <w:r/>
      <w:bookmarkStart w:id="241" w:name="_Toc20309"/>
      <w:r>
        <w:rPr>
          <w:rFonts w:hint="eastAsia" w:ascii="宋体" w:hAnsi="宋体" w:eastAsia="宋体" w:cs="宋体"/>
          <w:bCs/>
          <w:color w:val="000000"/>
          <w:sz w:val="24"/>
          <w:szCs w:val="24"/>
          <w:highlight w:val="none"/>
        </w:rPr>
        <w:t xml:space="preserve">注：（1）本表不得删除；</w:t>
      </w:r>
      <w:bookmarkEnd w:id="241"/>
      <w:r>
        <w:rPr>
          <w:rFonts w:hint="eastAsia" w:ascii="宋体" w:hAnsi="宋体" w:eastAsia="宋体" w:cs="宋体"/>
          <w:bCs/>
          <w:color w:val="000000"/>
          <w:sz w:val="24"/>
          <w:szCs w:val="24"/>
          <w:highlight w:val="none"/>
        </w:rPr>
      </w:r>
      <w:r/>
    </w:p>
    <w:p>
      <w:pPr>
        <w:pStyle w:val="778"/>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42" w:name="_Toc17406"/>
      <w:r>
        <w:rPr>
          <w:rFonts w:hint="eastAsia" w:ascii="宋体" w:hAnsi="宋体" w:eastAsia="宋体" w:cs="宋体"/>
          <w:bCs/>
          <w:color w:val="000000"/>
          <w:sz w:val="24"/>
          <w:szCs w:val="24"/>
          <w:highlight w:val="none"/>
        </w:rPr>
        <w:t xml:space="preserve">（2）如无任何技术偏离，请于本表 “偏离说明”中注明“无偏离”；</w:t>
      </w:r>
      <w:bookmarkEnd w:id="242"/>
      <w:r>
        <w:rPr>
          <w:rFonts w:hint="eastAsia" w:ascii="宋体" w:hAnsi="宋体" w:eastAsia="宋体" w:cs="宋体"/>
          <w:bCs/>
          <w:color w:val="000000"/>
          <w:sz w:val="24"/>
          <w:szCs w:val="24"/>
          <w:highlight w:val="none"/>
        </w:rPr>
      </w:r>
      <w:r/>
    </w:p>
    <w:p>
      <w:pPr>
        <w:pStyle w:val="778"/>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43" w:name="_Toc1430"/>
      <w:r>
        <w:rPr>
          <w:rFonts w:hint="eastAsia" w:ascii="宋体" w:hAnsi="宋体" w:eastAsia="宋体" w:cs="宋体"/>
          <w:bCs/>
          <w:color w:val="000000"/>
          <w:sz w:val="24"/>
          <w:szCs w:val="24"/>
          <w:highlight w:val="none"/>
        </w:rPr>
        <w:t xml:space="preserve">（3）如有技术偏离项，请于本表中列明偏离内容，如需要可自行延长，其余无偏离内容</w:t>
      </w:r>
      <w:r>
        <w:rPr>
          <w:rFonts w:hint="eastAsia" w:ascii="宋体" w:hAnsi="宋体" w:cs="宋体"/>
          <w:bCs/>
          <w:color w:val="000000"/>
          <w:sz w:val="24"/>
          <w:szCs w:val="24"/>
          <w:highlight w:val="none"/>
          <w:lang w:eastAsia="zh-CN"/>
        </w:rPr>
        <w:t xml:space="preserve">无需</w:t>
      </w:r>
      <w:r>
        <w:rPr>
          <w:rFonts w:hint="eastAsia" w:ascii="宋体" w:hAnsi="宋体" w:eastAsia="宋体" w:cs="宋体"/>
          <w:bCs/>
          <w:color w:val="000000"/>
          <w:sz w:val="24"/>
          <w:szCs w:val="24"/>
          <w:highlight w:val="none"/>
        </w:rPr>
        <w:t xml:space="preserve">赘述。</w:t>
      </w:r>
      <w:bookmarkEnd w:id="223"/>
      <w:r/>
      <w:bookmarkEnd w:id="224"/>
      <w:r/>
      <w:bookmarkEnd w:id="239"/>
      <w:r/>
      <w:bookmarkEnd w:id="243"/>
      <w:r/>
      <w:bookmarkStart w:id="244" w:name="_Hlt26955066"/>
      <w:r/>
      <w:bookmarkEnd w:id="244"/>
      <w:r/>
      <w:bookmarkStart w:id="245" w:name="_Hlt26671374"/>
      <w:r/>
      <w:bookmarkEnd w:id="245"/>
      <w:r/>
      <w:bookmarkStart w:id="246" w:name="_Hlt26609389"/>
      <w:r/>
      <w:bookmarkEnd w:id="246"/>
      <w:r/>
      <w:bookmarkStart w:id="247" w:name="_格式2__法定代表人授权书"/>
      <w:r/>
      <w:bookmarkEnd w:id="247"/>
      <w:r>
        <w:rPr>
          <w:rFonts w:hint="eastAsia" w:ascii="宋体" w:hAnsi="宋体" w:eastAsia="宋体" w:cs="宋体"/>
          <w:bCs/>
          <w:color w:val="000000"/>
          <w:sz w:val="24"/>
          <w:szCs w:val="24"/>
          <w:highlight w:val="none"/>
        </w:rPr>
      </w:r>
      <w:r/>
    </w:p>
    <w:p>
      <w:pPr>
        <w:pStyle w:val="778"/>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778"/>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778"/>
        <w:spacing w:line="360" w:lineRule="auto"/>
        <w:rPr>
          <w:rFonts w:hint="eastAsia" w:ascii="宋体" w:hAnsi="宋体" w:eastAsia="宋体" w:cs="宋体"/>
          <w:bCs/>
          <w:highlight w:val="none"/>
        </w:rPr>
      </w:pPr>
      <w:r>
        <w:rPr>
          <w:rFonts w:hint="eastAsia" w:ascii="宋体" w:hAnsi="宋体" w:eastAsia="宋体" w:cs="宋体"/>
          <w:bCs/>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outlineLvl w:val="0"/>
      </w:pPr>
      <w:r/>
      <w:bookmarkStart w:id="248" w:name="_Toc10817"/>
      <w:r>
        <w:rPr>
          <w:rFonts w:hint="eastAsia" w:ascii="宋体" w:hAnsi="宋体" w:eastAsia="宋体" w:cs="宋体"/>
          <w:b/>
          <w:color w:val="000000"/>
          <w:sz w:val="30"/>
          <w:szCs w:val="30"/>
          <w:highlight w:val="none"/>
        </w:rPr>
      </w:r>
      <w:r/>
    </w:p>
    <w:p>
      <w:pPr>
        <w:pStyle w:val="778"/>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十一  项目人员配置清单（格式）</w:t>
      </w:r>
      <w:bookmarkEnd w:id="248"/>
      <w:r>
        <w:rPr>
          <w:rFonts w:hint="eastAsia" w:ascii="宋体" w:hAnsi="宋体" w:eastAsia="宋体" w:cs="宋体"/>
          <w:b/>
          <w:color w:val="000000"/>
          <w:sz w:val="30"/>
          <w:szCs w:val="30"/>
          <w:highlight w:val="none"/>
        </w:rPr>
      </w:r>
      <w:r/>
    </w:p>
    <w:p>
      <w:pPr>
        <w:pStyle w:val="778"/>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78"/>
        <w:jc w:val="center"/>
        <w:spacing w:line="400" w:lineRule="exact"/>
        <w:rPr>
          <w:rFonts w:hint="eastAsia" w:ascii="宋体" w:hAnsi="宋体" w:eastAsia="宋体" w:cs="宋体"/>
          <w:bCs/>
          <w:color w:val="000000"/>
          <w:sz w:val="28"/>
          <w:szCs w:val="28"/>
          <w:highlight w:val="none"/>
        </w:rPr>
        <w:outlineLvl w:val="0"/>
      </w:pPr>
      <w:r/>
      <w:bookmarkStart w:id="249" w:name="_Toc26456"/>
      <w:r>
        <w:rPr>
          <w:rFonts w:hint="eastAsia" w:ascii="宋体" w:hAnsi="宋体" w:eastAsia="宋体" w:cs="宋体"/>
          <w:bCs/>
          <w:color w:val="000000"/>
          <w:sz w:val="28"/>
          <w:szCs w:val="28"/>
          <w:highlight w:val="none"/>
        </w:rPr>
        <w:t xml:space="preserve">项目人员配置清单</w:t>
      </w:r>
      <w:bookmarkEnd w:id="249"/>
      <w:r>
        <w:rPr>
          <w:rFonts w:hint="eastAsia" w:ascii="宋体" w:hAnsi="宋体" w:eastAsia="宋体" w:cs="宋体"/>
          <w:bCs/>
          <w:color w:val="000000"/>
          <w:sz w:val="28"/>
          <w:szCs w:val="28"/>
          <w:highlight w:val="none"/>
        </w:rPr>
      </w:r>
      <w:r/>
    </w:p>
    <w:p>
      <w:pPr>
        <w:pStyle w:val="778"/>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7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JSZC-320292-ZQYY-G2026-0001</w:t>
      </w:r>
      <w:r>
        <w:rPr>
          <w:rFonts w:hint="eastAsia"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778"/>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序号</w:t>
            </w:r>
            <w:r>
              <w:rPr>
                <w:rFonts w:hint="eastAsia" w:ascii="宋体" w:hAnsi="宋体" w:eastAsia="宋体" w:cs="宋体"/>
                <w:b/>
                <w:color w:val="000000"/>
                <w:sz w:val="24"/>
                <w:szCs w:val="21"/>
                <w:highlight w:val="none"/>
                <w:lang w:val="en-US" w:eastAsia="zh-CN" w:bidi="ar-SA"/>
              </w:rPr>
            </w:r>
            <w:r/>
          </w:p>
        </w:tc>
        <w:tc>
          <w:tcPr>
            <w:tcW w:w="1476" w:type="dxa"/>
            <w:vAlign w:val="center"/>
            <w:textDirection w:val="lrTb"/>
            <w:noWrap w:val="false"/>
          </w:tcPr>
          <w:p>
            <w:pPr>
              <w:pStyle w:val="778"/>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姓名</w:t>
            </w:r>
            <w:r>
              <w:rPr>
                <w:rFonts w:hint="eastAsia" w:ascii="宋体" w:hAnsi="宋体" w:eastAsia="宋体" w:cs="宋体"/>
                <w:b/>
                <w:color w:val="000000"/>
                <w:sz w:val="24"/>
                <w:szCs w:val="21"/>
                <w:highlight w:val="none"/>
                <w:lang w:val="en-US" w:eastAsia="zh-CN" w:bidi="ar-SA"/>
              </w:rPr>
            </w:r>
            <w:r/>
          </w:p>
        </w:tc>
        <w:tc>
          <w:tcPr>
            <w:tcW w:w="720" w:type="dxa"/>
            <w:vAlign w:val="center"/>
            <w:textDirection w:val="lrTb"/>
            <w:noWrap w:val="false"/>
          </w:tcPr>
          <w:p>
            <w:pPr>
              <w:pStyle w:val="778"/>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年龄</w:t>
            </w:r>
            <w:r>
              <w:rPr>
                <w:rFonts w:hint="eastAsia" w:ascii="宋体" w:hAnsi="宋体" w:eastAsia="宋体" w:cs="宋体"/>
                <w:b/>
                <w:color w:val="000000"/>
                <w:sz w:val="24"/>
                <w:szCs w:val="21"/>
                <w:highlight w:val="none"/>
                <w:lang w:val="en-US" w:eastAsia="zh-CN" w:bidi="ar-SA"/>
              </w:rPr>
            </w:r>
            <w:r/>
          </w:p>
        </w:tc>
        <w:tc>
          <w:tcPr>
            <w:tcW w:w="2520" w:type="dxa"/>
            <w:vAlign w:val="center"/>
            <w:textDirection w:val="lrTb"/>
            <w:noWrap w:val="false"/>
          </w:tcPr>
          <w:p>
            <w:pPr>
              <w:pStyle w:val="778"/>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本项目职责</w:t>
            </w:r>
            <w:r>
              <w:rPr>
                <w:rFonts w:hint="eastAsia" w:ascii="宋体" w:hAnsi="宋体" w:eastAsia="宋体" w:cs="宋体"/>
                <w:b/>
                <w:color w:val="000000"/>
                <w:sz w:val="24"/>
                <w:szCs w:val="21"/>
                <w:highlight w:val="none"/>
                <w:lang w:val="en-US" w:eastAsia="zh-CN" w:bidi="ar-SA"/>
              </w:rPr>
            </w:r>
            <w:r/>
          </w:p>
        </w:tc>
        <w:tc>
          <w:tcPr>
            <w:tcW w:w="3274" w:type="dxa"/>
            <w:vAlign w:val="center"/>
            <w:textDirection w:val="lrTb"/>
            <w:noWrap w:val="false"/>
          </w:tcPr>
          <w:p>
            <w:pPr>
              <w:pStyle w:val="778"/>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人员证书名称</w:t>
            </w:r>
            <w:r>
              <w:rPr>
                <w:rFonts w:hint="eastAsia" w:ascii="宋体" w:hAnsi="宋体" w:eastAsia="宋体" w:cs="宋体"/>
                <w:b/>
                <w:color w:val="000000"/>
                <w:sz w:val="24"/>
                <w:szCs w:val="21"/>
                <w:highlight w:val="none"/>
                <w:lang w:val="en-US" w:eastAsia="zh-CN" w:bidi="ar-SA"/>
              </w:rPr>
            </w:r>
            <w:r/>
          </w:p>
        </w:tc>
      </w:tr>
      <w:tr>
        <w:trPr>
          <w:trHeight w:val="680"/>
        </w:trPr>
        <w:tc>
          <w:tcPr>
            <w:tcW w:w="70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trHeight w:val="680"/>
        </w:trPr>
        <w:tc>
          <w:tcPr>
            <w:tcW w:w="70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pStyle w:val="778"/>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bl>
    <w:p>
      <w:pPr>
        <w:pStyle w:val="77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8"/>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rPr>
          <w:rFonts w:hint="eastAsia" w:ascii="宋体" w:hAnsi="宋体" w:eastAsia="宋体" w:cs="宋体"/>
          <w:b/>
          <w:bCs/>
          <w:color w:val="000000"/>
          <w:sz w:val="24"/>
          <w:szCs w:val="24"/>
          <w:highlight w:val="none"/>
        </w:rPr>
      </w:r>
      <w:r/>
    </w:p>
    <w:p>
      <w:pPr>
        <w:pStyle w:val="778"/>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78"/>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78"/>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78"/>
        <w:spacing w:line="360" w:lineRule="auto"/>
        <w:rPr>
          <w:rFonts w:ascii="宋体" w:hAnsi="宋体"/>
          <w:bCs/>
          <w:color w:val="000000"/>
          <w:highlight w:val="none"/>
        </w:rPr>
      </w:pPr>
      <w:r>
        <w:rPr>
          <w:rFonts w:hint="eastAsia" w:ascii="宋体" w:hAnsi="宋体" w:eastAsia="宋体" w:cs="宋体"/>
          <w:bCs/>
          <w:color w:val="000000"/>
          <w:highlight w:val="none"/>
        </w:rPr>
        <w:t xml:space="preserve">注：</w:t>
      </w:r>
      <w:r>
        <w:rPr>
          <w:rFonts w:hint="eastAsia" w:ascii="宋体" w:hAnsi="宋体"/>
          <w:bCs/>
          <w:color w:val="000000"/>
          <w:highlight w:val="none"/>
        </w:rPr>
        <w:t xml:space="preserve">1. 本表对应评分标准中的项目人员配置情况，表格不够可自行延长。</w:t>
      </w:r>
      <w:r>
        <w:rPr>
          <w:rFonts w:ascii="宋体" w:hAnsi="宋体"/>
          <w:bCs/>
          <w:color w:val="000000"/>
          <w:highlight w:val="none"/>
        </w:rPr>
      </w:r>
      <w:r/>
    </w:p>
    <w:p>
      <w:pPr>
        <w:pStyle w:val="778"/>
        <w:spacing w:line="360" w:lineRule="auto"/>
        <w:rPr>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w:t>
      </w:r>
      <w:r>
        <w:rPr>
          <w:color w:val="000000"/>
          <w:highlight w:val="none"/>
        </w:rPr>
      </w:r>
      <w:r/>
    </w:p>
    <w:p>
      <w:pPr>
        <w:pStyle w:val="778"/>
        <w:spacing w:line="360" w:lineRule="auto"/>
        <w:rPr>
          <w:rFonts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ascii="宋体" w:hAnsi="宋体"/>
          <w:bCs/>
          <w:color w:val="000000"/>
          <w:highlight w:val="none"/>
        </w:rPr>
      </w:r>
      <w:r/>
    </w:p>
    <w:p>
      <w:pPr>
        <w:pStyle w:val="778"/>
        <w:spacing w:line="360" w:lineRule="auto"/>
        <w:rPr>
          <w:rFonts w:ascii="宋体" w:hAnsi="宋体"/>
          <w:bCs/>
          <w:color w:val="000000"/>
          <w:highlight w:val="none"/>
        </w:rPr>
      </w:pPr>
      <w:r>
        <w:rPr>
          <w:rFonts w:hint="eastAsia" w:ascii="宋体" w:hAnsi="宋体"/>
          <w:bCs/>
          <w:color w:val="000000"/>
          <w:highlight w:val="none"/>
        </w:rPr>
        <w:t xml:space="preserve">4.证明材料均请附在本表之后。</w:t>
      </w:r>
      <w:r>
        <w:rPr>
          <w:rFonts w:ascii="宋体" w:hAnsi="宋体"/>
          <w:bCs/>
          <w:color w:val="000000"/>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tabs>
        <w:tab w:val="center" w:pos="4153" w:leader="none"/>
        <w:tab w:val="right" w:pos="8306" w:leader="none"/>
      </w:tabs>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2813985</wp:posOffset>
              </wp:positionH>
              <wp:positionV relativeFrom="paragraph">
                <wp:posOffset>-25628</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184" cy="454911"/>
                      </a:xfrm>
                      <a:prstGeom prst="rect">
                        <a:avLst/>
                      </a:prstGeom>
                      <a:noFill/>
                      <a:ln>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78"/>
                          </w:pPr>
                          <w:r/>
                          <w:r/>
                        </w:p>
                        <w:p>
                          <w:pPr>
                            <w:pStyle w:val="7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1.6pt;mso-position-horizontal:absolute;mso-position-vertical-relative:text;margin-top:-2.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78"/>
                    </w:pPr>
                    <w:r/>
                    <w:r/>
                  </w:p>
                  <w:p>
                    <w:pPr>
                      <w:pStyle w:val="778"/>
                    </w:pPr>
                    <w:r/>
                    <w:r/>
                  </w:p>
                </w:txbxContent>
              </v:textbox>
            </v:shape>
          </w:pict>
        </mc:Fallback>
      </mc:AlternateContent>
    </w: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78"/>
                          </w:pPr>
                          <w:r/>
                          <w:r/>
                        </w:p>
                        <w:p>
                          <w:pPr>
                            <w:pStyle w:val="77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78"/>
                    </w:pPr>
                    <w:r/>
                    <w:r/>
                  </w:p>
                  <w:p>
                    <w:pPr>
                      <w:pStyle w:val="7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1">
    <w:multiLevelType w:val="hybridMultilevel"/>
    <w:lvl w:ilvl="0">
      <w:start w:val="1"/>
      <w:numFmt w:val="upperLetter"/>
      <w:pStyle w:val="1050"/>
      <w:isLgl w:val="false"/>
      <w:suff w:val="tab"/>
      <w:lvlText w:val="附录%1."/>
      <w:lvlJc w:val="left"/>
      <w:pPr>
        <w:pStyle w:val="778"/>
        <w:ind w:left="907" w:hanging="907"/>
        <w:tabs>
          <w:tab w:val="num" w:pos="907" w:leader="none"/>
        </w:tabs>
      </w:pPr>
      <w:rPr>
        <w:rFonts w:hint="eastAsia"/>
      </w:r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78"/>
        <w:ind w:left="0" w:firstLine="0"/>
      </w:pPr>
      <w:rPr>
        <w:rFonts w:hint="eastAsia"/>
      </w:rPr>
    </w:lvl>
    <w:lvl w:ilvl="1">
      <w:start w:val="1"/>
      <w:numFmt w:val="decimal"/>
      <w:isLgl w:val="false"/>
      <w:suff w:val="nothing"/>
      <w:lvlText w:val="%2、"/>
      <w:lvlJc w:val="left"/>
      <w:pPr>
        <w:pStyle w:val="778"/>
        <w:ind w:left="0" w:firstLine="0"/>
      </w:pPr>
      <w:rPr>
        <w:rFonts w:hint="eastAsia"/>
      </w:rPr>
    </w:lvl>
    <w:lvl w:ilvl="2">
      <w:start w:val="1"/>
      <w:numFmt w:val="decimal"/>
      <w:isLgl w:val="false"/>
      <w:suff w:val="nothing"/>
      <w:lvlText w:val="%2.%3 "/>
      <w:lvlJc w:val="left"/>
      <w:pPr>
        <w:pStyle w:val="778"/>
        <w:ind w:left="0" w:firstLine="0"/>
      </w:pPr>
      <w:rPr>
        <w:rFonts w:hint="eastAsia"/>
      </w:rPr>
    </w:lvl>
    <w:lvl w:ilvl="3">
      <w:start w:val="1"/>
      <w:numFmt w:val="decimal"/>
      <w:isLgl w:val="false"/>
      <w:suff w:val="nothing"/>
      <w:lvlText w:val="%2.%3.%4 "/>
      <w:lvlJc w:val="left"/>
      <w:pPr>
        <w:pStyle w:val="778"/>
        <w:ind w:left="0" w:firstLine="0"/>
      </w:pPr>
      <w:rPr>
        <w:rFonts w:hint="eastAsia"/>
      </w:rPr>
    </w:lvl>
    <w:lvl w:ilvl="4">
      <w:start w:val="1"/>
      <w:numFmt w:val="decimal"/>
      <w:isLgl w:val="false"/>
      <w:suff w:val="nothing"/>
      <w:lvlText w:val="%2.%3.%4.%5 "/>
      <w:lvlJc w:val="left"/>
      <w:pPr>
        <w:pStyle w:val="778"/>
        <w:ind w:left="0" w:firstLine="0"/>
      </w:pPr>
      <w:rPr>
        <w:rFonts w:hint="eastAsia"/>
      </w:rPr>
    </w:lvl>
    <w:lvl w:ilvl="5">
      <w:start w:val="1"/>
      <w:numFmt w:val="decimal"/>
      <w:pStyle w:val="978"/>
      <w:isLgl w:val="false"/>
      <w:suff w:val="nothing"/>
      <w:lvlText w:val=""/>
      <w:lvlJc w:val="left"/>
      <w:pPr>
        <w:pStyle w:val="778"/>
        <w:ind w:left="0" w:firstLine="0"/>
      </w:pPr>
      <w:rPr>
        <w:rFonts w:hint="eastAsia"/>
      </w:rPr>
    </w:lvl>
    <w:lvl w:ilvl="6">
      <w:start w:val="1"/>
      <w:numFmt w:val="decimal"/>
      <w:pStyle w:val="980"/>
      <w:isLgl w:val="false"/>
      <w:suff w:val="nothing"/>
      <w:lvlText w:val=""/>
      <w:lvlJc w:val="left"/>
      <w:pPr>
        <w:pStyle w:val="778"/>
        <w:ind w:left="0" w:firstLine="0"/>
      </w:pPr>
      <w:rPr>
        <w:rFonts w:hint="eastAsia"/>
      </w:rPr>
    </w:lvl>
    <w:lvl w:ilvl="7">
      <w:start w:val="1"/>
      <w:numFmt w:val="decimal"/>
      <w:pStyle w:val="982"/>
      <w:isLgl w:val="false"/>
      <w:suff w:val="nothing"/>
      <w:lvlText w:val=""/>
      <w:lvlJc w:val="left"/>
      <w:pPr>
        <w:pStyle w:val="778"/>
        <w:ind w:left="0" w:firstLine="0"/>
      </w:pPr>
      <w:rPr>
        <w:rFonts w:hint="eastAsia"/>
      </w:rPr>
    </w:lvl>
    <w:lvl w:ilvl="8">
      <w:start w:val="1"/>
      <w:numFmt w:val="decimal"/>
      <w:pStyle w:val="984"/>
      <w:isLgl w:val="false"/>
      <w:suff w:val="nothing"/>
      <w:lvlText w:val=""/>
      <w:lvlJc w:val="left"/>
      <w:pPr>
        <w:pStyle w:val="778"/>
        <w:ind w:left="0" w:firstLine="0"/>
      </w:pPr>
      <w:rPr>
        <w:rFonts w:hint="eastAsia"/>
      </w:rPr>
    </w:lvl>
  </w:abstractNum>
  <w:abstractNum w:abstractNumId="4">
    <w:multiLevelType w:val="hybridMultilevel"/>
    <w:lvl w:ilvl="0">
      <w:start w:val="1"/>
      <w:numFmt w:val="japaneseCounting"/>
      <w:isLgl w:val="false"/>
      <w:suff w:val="tab"/>
      <w:lvlText w:val="%1、"/>
      <w:lvlJc w:val="left"/>
      <w:pPr>
        <w:pStyle w:val="77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78"/>
        <w:ind w:left="840" w:hanging="420"/>
        <w:tabs>
          <w:tab w:val="num" w:pos="840" w:leader="none"/>
        </w:tabs>
      </w:pPr>
      <w:rPr>
        <w:rFonts w:cs="Times New Roman"/>
      </w:rPr>
    </w:lvl>
    <w:lvl w:ilvl="2">
      <w:start w:val="10"/>
      <w:numFmt w:val="decimal"/>
      <w:isLgl w:val="false"/>
      <w:suff w:val="tab"/>
      <w:lvlText w:val="%3."/>
      <w:lvlJc w:val="left"/>
      <w:pPr>
        <w:pStyle w:val="778"/>
        <w:ind w:left="1200" w:hanging="360"/>
        <w:tabs>
          <w:tab w:val="num" w:pos="1200" w:leader="none"/>
        </w:tabs>
      </w:pPr>
      <w:rPr>
        <w:rFonts w:cs="Times New Roman"/>
      </w:rPr>
    </w:lvl>
    <w:lvl w:ilvl="3">
      <w:start w:val="1"/>
      <w:numFmt w:val="decimal"/>
      <w:isLgl w:val="false"/>
      <w:suff w:val="tab"/>
      <w:lvlText w:val="%4."/>
      <w:lvlJc w:val="left"/>
      <w:pPr>
        <w:pStyle w:val="778"/>
        <w:ind w:left="1680" w:hanging="420"/>
        <w:tabs>
          <w:tab w:val="num" w:pos="1680" w:leader="none"/>
        </w:tabs>
      </w:pPr>
      <w:rPr>
        <w:rFonts w:cs="Times New Roman"/>
      </w:rPr>
    </w:lvl>
    <w:lvl w:ilvl="4">
      <w:start w:val="1"/>
      <w:numFmt w:val="lowerLetter"/>
      <w:isLgl w:val="false"/>
      <w:suff w:val="tab"/>
      <w:lvlText w:val="%5)"/>
      <w:lvlJc w:val="left"/>
      <w:pPr>
        <w:pStyle w:val="778"/>
        <w:ind w:left="2100" w:hanging="420"/>
        <w:tabs>
          <w:tab w:val="num" w:pos="2100" w:leader="none"/>
        </w:tabs>
      </w:pPr>
      <w:rPr>
        <w:rFonts w:cs="Times New Roman"/>
      </w:rPr>
    </w:lvl>
    <w:lvl w:ilvl="5">
      <w:start w:val="1"/>
      <w:numFmt w:val="lowerRoman"/>
      <w:isLgl w:val="false"/>
      <w:suff w:val="tab"/>
      <w:lvlText w:val="%6."/>
      <w:lvlJc w:val="right"/>
      <w:pPr>
        <w:pStyle w:val="778"/>
        <w:ind w:left="2520" w:hanging="420"/>
        <w:tabs>
          <w:tab w:val="num" w:pos="2520" w:leader="none"/>
        </w:tabs>
      </w:pPr>
      <w:rPr>
        <w:rFonts w:cs="Times New Roman"/>
      </w:rPr>
    </w:lvl>
    <w:lvl w:ilvl="6">
      <w:start w:val="1"/>
      <w:numFmt w:val="decimal"/>
      <w:isLgl w:val="false"/>
      <w:suff w:val="tab"/>
      <w:lvlText w:val="%7."/>
      <w:lvlJc w:val="left"/>
      <w:pPr>
        <w:pStyle w:val="778"/>
        <w:ind w:left="2940" w:hanging="420"/>
        <w:tabs>
          <w:tab w:val="num" w:pos="2940" w:leader="none"/>
        </w:tabs>
      </w:pPr>
      <w:rPr>
        <w:rFonts w:cs="Times New Roman"/>
      </w:rPr>
    </w:lvl>
    <w:lvl w:ilvl="7">
      <w:start w:val="1"/>
      <w:numFmt w:val="lowerLetter"/>
      <w:isLgl w:val="false"/>
      <w:suff w:val="tab"/>
      <w:lvlText w:val="%8)"/>
      <w:lvlJc w:val="left"/>
      <w:pPr>
        <w:pStyle w:val="778"/>
        <w:ind w:left="3360" w:hanging="420"/>
        <w:tabs>
          <w:tab w:val="num" w:pos="3360" w:leader="none"/>
        </w:tabs>
      </w:pPr>
      <w:rPr>
        <w:rFonts w:cs="Times New Roman"/>
      </w:rPr>
    </w:lvl>
    <w:lvl w:ilvl="8">
      <w:start w:val="1"/>
      <w:numFmt w:val="lowerRoman"/>
      <w:isLgl w:val="false"/>
      <w:suff w:val="tab"/>
      <w:lvlText w:val="%9."/>
      <w:lvlJc w:val="right"/>
      <w:pPr>
        <w:pStyle w:val="778"/>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6">
    <w:multiLevelType w:val="hybridMultilevel"/>
    <w:lvl w:ilvl="0">
      <w:start w:val="1"/>
      <w:numFmt w:val="decimal"/>
      <w:pStyle w:val="1067"/>
      <w:isLgl w:val="false"/>
      <w:suff w:val="tab"/>
      <w:lvlText w:val="%1."/>
      <w:lvlJc w:val="left"/>
      <w:pPr>
        <w:pStyle w:val="778"/>
        <w:ind w:left="709" w:hanging="709"/>
        <w:tabs>
          <w:tab w:val="num" w:pos="709" w:leader="none"/>
        </w:tabs>
      </w:pPr>
      <w:rPr>
        <w:rFonts w:hint="eastAsia"/>
      </w:rPr>
    </w:lvl>
    <w:lvl w:ilvl="1">
      <w:start w:val="1"/>
      <w:numFmt w:val="decimal"/>
      <w:isLgl w:val="false"/>
      <w:suff w:val="tab"/>
      <w:lvlText w:val="%1.%2"/>
      <w:lvlJc w:val="left"/>
      <w:pPr>
        <w:pStyle w:val="778"/>
        <w:ind w:left="709" w:hanging="709"/>
        <w:tabs>
          <w:tab w:val="num" w:pos="709" w:leader="none"/>
        </w:tabs>
      </w:pPr>
      <w:rPr>
        <w:rFonts w:hint="eastAsia"/>
      </w:rPr>
    </w:lvl>
    <w:lvl w:ilvl="2">
      <w:start w:val="1"/>
      <w:numFmt w:val="decimal"/>
      <w:isLgl w:val="false"/>
      <w:suff w:val="tab"/>
      <w:lvlText w:val="%1.%2.%3."/>
      <w:lvlJc w:val="left"/>
      <w:pPr>
        <w:pStyle w:val="778"/>
        <w:ind w:left="425" w:hanging="425"/>
        <w:tabs>
          <w:tab w:val="num" w:pos="425" w:leader="none"/>
        </w:tabs>
      </w:pPr>
      <w:rPr>
        <w:rFonts w:hint="eastAsia"/>
      </w:rPr>
    </w:lvl>
    <w:lvl w:ilvl="3">
      <w:start w:val="1"/>
      <w:numFmt w:val="decimal"/>
      <w:isLgl w:val="false"/>
      <w:suff w:val="tab"/>
      <w:lvlText w:val="%1.%2.%3.%4."/>
      <w:lvlJc w:val="left"/>
      <w:pPr>
        <w:pStyle w:val="778"/>
        <w:ind w:left="851" w:hanging="851"/>
        <w:tabs>
          <w:tab w:val="num" w:pos="851" w:leader="none"/>
        </w:tabs>
      </w:pPr>
      <w:rPr>
        <w:rFonts w:hint="eastAsia"/>
      </w:rPr>
    </w:lvl>
    <w:lvl w:ilvl="4">
      <w:start w:val="1"/>
      <w:numFmt w:val="decimal"/>
      <w:isLgl w:val="false"/>
      <w:suff w:val="tab"/>
      <w:lvlText w:val="%1.%2.%3.%4.%5."/>
      <w:lvlJc w:val="left"/>
      <w:pPr>
        <w:pStyle w:val="778"/>
        <w:ind w:left="992" w:hanging="992"/>
        <w:tabs>
          <w:tab w:val="num" w:pos="992" w:leader="none"/>
        </w:tabs>
      </w:pPr>
      <w:rPr>
        <w:rFonts w:hint="eastAsia"/>
      </w:rPr>
    </w:lvl>
    <w:lvl w:ilvl="5">
      <w:start w:val="1"/>
      <w:numFmt w:val="decimal"/>
      <w:isLgl w:val="false"/>
      <w:suff w:val="tab"/>
      <w:lvlText w:val="%1.%2.%3.%4.%5.%6."/>
      <w:lvlJc w:val="left"/>
      <w:pPr>
        <w:pStyle w:val="778"/>
        <w:ind w:left="1134" w:hanging="1134"/>
        <w:tabs>
          <w:tab w:val="num" w:pos="1134" w:leader="none"/>
        </w:tabs>
      </w:pPr>
      <w:rPr>
        <w:rFonts w:hint="eastAsia"/>
      </w:rPr>
    </w:lvl>
    <w:lvl w:ilvl="6">
      <w:start w:val="1"/>
      <w:numFmt w:val="decimal"/>
      <w:isLgl w:val="false"/>
      <w:suff w:val="tab"/>
      <w:lvlText w:val="%1.%2.%3.%4.%5.%6.%7."/>
      <w:lvlJc w:val="left"/>
      <w:pPr>
        <w:pStyle w:val="778"/>
        <w:ind w:left="1276" w:hanging="1276"/>
        <w:tabs>
          <w:tab w:val="num" w:pos="1276" w:leader="none"/>
        </w:tabs>
      </w:pPr>
      <w:rPr>
        <w:rFonts w:hint="eastAsia"/>
      </w:rPr>
    </w:lvl>
    <w:lvl w:ilvl="7">
      <w:start w:val="1"/>
      <w:numFmt w:val="decimal"/>
      <w:isLgl w:val="false"/>
      <w:suff w:val="tab"/>
      <w:lvlText w:val="%1.%2.%3.%4.%5.%6.%7.%8."/>
      <w:lvlJc w:val="left"/>
      <w:pPr>
        <w:pStyle w:val="778"/>
        <w:ind w:left="1418" w:hanging="1418"/>
        <w:tabs>
          <w:tab w:val="num" w:pos="1418" w:leader="none"/>
        </w:tabs>
      </w:pPr>
      <w:rPr>
        <w:rFonts w:hint="eastAsia"/>
      </w:rPr>
    </w:lvl>
    <w:lvl w:ilvl="8">
      <w:start w:val="1"/>
      <w:numFmt w:val="decimal"/>
      <w:isLgl w:val="false"/>
      <w:suff w:val="tab"/>
      <w:lvlText w:val="%1.%2.%3.%4.%5.%6.%7.%8.%9."/>
      <w:lvlJc w:val="left"/>
      <w:pPr>
        <w:pStyle w:val="778"/>
        <w:ind w:left="1559" w:hanging="1559"/>
        <w:tabs>
          <w:tab w:val="num" w:pos="1559" w:leader="none"/>
        </w:tabs>
      </w:pPr>
      <w:rPr>
        <w:rFonts w:hint="eastAsia"/>
      </w:rPr>
    </w:lvl>
  </w:abstractNum>
  <w:abstractNum w:abstractNumId="7">
    <w:multiLevelType w:val="hybridMultilevel"/>
    <w:lvl w:ilvl="0">
      <w:start w:val="1"/>
      <w:numFmt w:val="chineseCounting"/>
      <w:isLgl w:val="false"/>
      <w:suff w:val="space"/>
      <w:lvlText w:val="第%1部分"/>
      <w:lvlJc w:val="left"/>
      <w:pPr>
        <w:pStyle w:val="7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778"/>
        <w:ind w:left="450" w:hanging="450"/>
        <w:tabs>
          <w:tab w:val="num" w:pos="450" w:leader="none"/>
        </w:tabs>
      </w:pPr>
      <w:rPr>
        <w:rFonts w:hint="eastAsia"/>
      </w:rPr>
    </w:lvl>
    <w:lvl w:ilvl="1">
      <w:start w:val="1"/>
      <w:numFmt w:val="decimal"/>
      <w:isLgl w:val="false"/>
      <w:suff w:val="tab"/>
      <w:lvlText w:val="%2."/>
      <w:lvlJc w:val="left"/>
      <w:pPr>
        <w:pStyle w:val="778"/>
        <w:ind w:left="780" w:hanging="360"/>
        <w:tabs>
          <w:tab w:val="num" w:pos="780" w:leader="none"/>
        </w:tabs>
      </w:pPr>
      <w:rPr>
        <w:rFonts w:hint="eastAsia"/>
      </w:rPr>
    </w:lvl>
    <w:lvl w:ilvl="2">
      <w:start w:val="1"/>
      <w:numFmt w:val="lowerRoman"/>
      <w:isLgl w:val="false"/>
      <w:suff w:val="tab"/>
      <w:lvlText w:val="%3."/>
      <w:lvlJc w:val="right"/>
      <w:pPr>
        <w:pStyle w:val="778"/>
        <w:ind w:left="1260" w:hanging="420"/>
        <w:tabs>
          <w:tab w:val="num" w:pos="1260" w:leader="none"/>
        </w:tabs>
      </w:pPr>
    </w:lvl>
    <w:lvl w:ilvl="3">
      <w:start w:val="1"/>
      <w:numFmt w:val="decimal"/>
      <w:isLgl w:val="false"/>
      <w:suff w:val="tab"/>
      <w:lvlText w:val="%4."/>
      <w:lvlJc w:val="left"/>
      <w:pPr>
        <w:pStyle w:val="778"/>
        <w:ind w:left="1680" w:hanging="420"/>
        <w:tabs>
          <w:tab w:val="num" w:pos="1680" w:leader="none"/>
        </w:tabs>
      </w:pPr>
    </w:lvl>
    <w:lvl w:ilvl="4">
      <w:start w:val="1"/>
      <w:numFmt w:val="lowerLetter"/>
      <w:isLgl w:val="false"/>
      <w:suff w:val="tab"/>
      <w:lvlText w:val="%5)"/>
      <w:lvlJc w:val="left"/>
      <w:pPr>
        <w:pStyle w:val="778"/>
        <w:ind w:left="2100" w:hanging="420"/>
        <w:tabs>
          <w:tab w:val="num" w:pos="2100" w:leader="none"/>
        </w:tabs>
      </w:pPr>
    </w:lvl>
    <w:lvl w:ilvl="5">
      <w:start w:val="1"/>
      <w:numFmt w:val="lowerRoman"/>
      <w:isLgl w:val="false"/>
      <w:suff w:val="tab"/>
      <w:lvlText w:val="%6."/>
      <w:lvlJc w:val="right"/>
      <w:pPr>
        <w:pStyle w:val="778"/>
        <w:ind w:left="2520" w:hanging="420"/>
        <w:tabs>
          <w:tab w:val="num" w:pos="2520" w:leader="none"/>
        </w:tabs>
      </w:pPr>
    </w:lvl>
    <w:lvl w:ilvl="6">
      <w:start w:val="1"/>
      <w:numFmt w:val="decimal"/>
      <w:isLgl w:val="false"/>
      <w:suff w:val="tab"/>
      <w:lvlText w:val="%7."/>
      <w:lvlJc w:val="left"/>
      <w:pPr>
        <w:pStyle w:val="778"/>
        <w:ind w:left="2940" w:hanging="420"/>
        <w:tabs>
          <w:tab w:val="num" w:pos="2940" w:leader="none"/>
        </w:tabs>
      </w:pPr>
    </w:lvl>
    <w:lvl w:ilvl="7">
      <w:start w:val="1"/>
      <w:numFmt w:val="lowerLetter"/>
      <w:isLgl w:val="false"/>
      <w:suff w:val="tab"/>
      <w:lvlText w:val="%8)"/>
      <w:lvlJc w:val="left"/>
      <w:pPr>
        <w:pStyle w:val="778"/>
        <w:ind w:left="3360" w:hanging="420"/>
        <w:tabs>
          <w:tab w:val="num" w:pos="3360" w:leader="none"/>
        </w:tabs>
      </w:pPr>
    </w:lvl>
    <w:lvl w:ilvl="8">
      <w:start w:val="1"/>
      <w:numFmt w:val="lowerRoman"/>
      <w:isLgl w:val="false"/>
      <w:suff w:val="tab"/>
      <w:lvlText w:val="%9."/>
      <w:lvlJc w:val="right"/>
      <w:pPr>
        <w:pStyle w:val="778"/>
        <w:ind w:left="3780" w:hanging="420"/>
        <w:tabs>
          <w:tab w:val="num" w:pos="3780" w:leader="none"/>
        </w:tabs>
      </w:pPr>
    </w:lvl>
  </w:abstractNum>
  <w:num w:numId="1">
    <w:abstractNumId w:val="3"/>
  </w:num>
  <w:num w:numId="2">
    <w:abstractNumId w:val="1"/>
  </w:num>
  <w:num w:numId="3">
    <w:abstractNumId w:val="6"/>
  </w:num>
  <w:num w:numId="4">
    <w:abstractNumId w:val="8"/>
  </w:num>
  <w:num w:numId="5">
    <w:abstractNumId w:val="7"/>
  </w:num>
  <w:num w:numId="6">
    <w:abstractNumId w:val="0"/>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778"/>
    <w:next w:val="778"/>
    <w:link w:val="792"/>
    <w:uiPriority w:val="9"/>
    <w:qFormat/>
    <w:pPr>
      <w:keepLines/>
      <w:keepNext/>
      <w:spacing w:before="480" w:after="200"/>
      <w:outlineLvl w:val="0"/>
    </w:pPr>
    <w:rPr>
      <w:rFonts w:ascii="Arial" w:hAnsi="Arial" w:eastAsia="Arial" w:cs="Arial"/>
      <w:sz w:val="40"/>
      <w:szCs w:val="40"/>
    </w:rPr>
  </w:style>
  <w:style w:type="paragraph" w:styleId="749">
    <w:name w:val="Heading 2"/>
    <w:basedOn w:val="778"/>
    <w:next w:val="778"/>
    <w:link w:val="793"/>
    <w:uiPriority w:val="9"/>
    <w:unhideWhenUsed/>
    <w:qFormat/>
    <w:pPr>
      <w:keepLines/>
      <w:keepNext/>
      <w:spacing w:before="360" w:after="200"/>
      <w:outlineLvl w:val="1"/>
    </w:pPr>
    <w:rPr>
      <w:rFonts w:ascii="Arial" w:hAnsi="Arial" w:eastAsia="Arial" w:cs="Arial"/>
      <w:sz w:val="34"/>
    </w:rPr>
  </w:style>
  <w:style w:type="paragraph" w:styleId="750">
    <w:name w:val="Heading 3"/>
    <w:basedOn w:val="778"/>
    <w:next w:val="778"/>
    <w:link w:val="794"/>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78"/>
    <w:next w:val="778"/>
    <w:link w:val="795"/>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78"/>
    <w:next w:val="778"/>
    <w:link w:val="796"/>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78"/>
    <w:next w:val="778"/>
    <w:link w:val="797"/>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78"/>
    <w:next w:val="778"/>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78"/>
    <w:next w:val="778"/>
    <w:link w:val="799"/>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78"/>
    <w:next w:val="778"/>
    <w:link w:val="800"/>
    <w:uiPriority w:val="9"/>
    <w:unhideWhenUsed/>
    <w:qFormat/>
    <w:pPr>
      <w:keepLines/>
      <w:keepNext/>
      <w:spacing w:before="320" w:after="200"/>
      <w:outlineLvl w:val="8"/>
    </w:pPr>
    <w:rPr>
      <w:rFonts w:ascii="Arial" w:hAnsi="Arial" w:eastAsia="Arial" w:cs="Arial"/>
      <w:i/>
      <w:iCs/>
      <w:sz w:val="21"/>
      <w:szCs w:val="21"/>
    </w:rPr>
  </w:style>
  <w:style w:type="paragraph" w:styleId="757">
    <w:name w:val="Title"/>
    <w:basedOn w:val="778"/>
    <w:next w:val="778"/>
    <w:link w:val="827"/>
    <w:uiPriority w:val="10"/>
    <w:qFormat/>
    <w:pPr>
      <w:contextualSpacing/>
      <w:spacing w:before="300" w:after="200"/>
    </w:pPr>
    <w:rPr>
      <w:sz w:val="48"/>
      <w:szCs w:val="48"/>
    </w:rPr>
  </w:style>
  <w:style w:type="paragraph" w:styleId="758">
    <w:name w:val="Subtitle"/>
    <w:basedOn w:val="778"/>
    <w:next w:val="778"/>
    <w:link w:val="819"/>
    <w:uiPriority w:val="11"/>
    <w:qFormat/>
    <w:pPr>
      <w:spacing w:before="200" w:after="200"/>
    </w:pPr>
    <w:rPr>
      <w:sz w:val="24"/>
      <w:szCs w:val="24"/>
    </w:rPr>
  </w:style>
  <w:style w:type="paragraph" w:styleId="759">
    <w:name w:val="Header"/>
    <w:basedOn w:val="778"/>
    <w:link w:val="815"/>
    <w:uiPriority w:val="99"/>
    <w:unhideWhenUsed/>
    <w:pPr>
      <w:spacing w:after="0" w:line="240" w:lineRule="auto"/>
      <w:tabs>
        <w:tab w:val="center" w:pos="7143" w:leader="none"/>
        <w:tab w:val="right" w:pos="14287" w:leader="none"/>
      </w:tabs>
    </w:pPr>
  </w:style>
  <w:style w:type="paragraph" w:styleId="760">
    <w:name w:val="Footer"/>
    <w:basedOn w:val="778"/>
    <w:link w:val="833"/>
    <w:uiPriority w:val="99"/>
    <w:unhideWhenUsed/>
    <w:pPr>
      <w:spacing w:after="0" w:line="240" w:lineRule="auto"/>
      <w:tabs>
        <w:tab w:val="center" w:pos="7143" w:leader="none"/>
        <w:tab w:val="right" w:pos="14287" w:leader="none"/>
      </w:tabs>
    </w:pPr>
  </w:style>
  <w:style w:type="paragraph" w:styleId="761">
    <w:name w:val="Caption"/>
    <w:basedOn w:val="778"/>
    <w:next w:val="778"/>
    <w:uiPriority w:val="35"/>
    <w:semiHidden/>
    <w:unhideWhenUsed/>
    <w:qFormat/>
    <w:pPr>
      <w:spacing w:line="276" w:lineRule="auto"/>
    </w:pPr>
    <w:rPr>
      <w:b/>
      <w:bCs/>
      <w:color w:val="4f81bd" w:themeColor="accent1"/>
      <w:sz w:val="18"/>
      <w:szCs w:val="18"/>
    </w:rPr>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Hyperlink"/>
    <w:uiPriority w:val="99"/>
    <w:unhideWhenUsed/>
    <w:rPr>
      <w:color w:val="0000ff" w:themeColor="hyperlink"/>
      <w:u w:val="single"/>
    </w:rPr>
  </w:style>
  <w:style w:type="paragraph" w:styleId="764">
    <w:name w:val="footnote text"/>
    <w:basedOn w:val="778"/>
    <w:link w:val="821"/>
    <w:uiPriority w:val="99"/>
    <w:semiHidden/>
    <w:unhideWhenUsed/>
    <w:pPr>
      <w:spacing w:after="40" w:line="240" w:lineRule="auto"/>
    </w:pPr>
    <w:rPr>
      <w:sz w:val="18"/>
    </w:rPr>
  </w:style>
  <w:style w:type="character" w:styleId="765">
    <w:name w:val="footnote reference"/>
    <w:uiPriority w:val="99"/>
    <w:unhideWhenUsed/>
    <w:rPr>
      <w:vertAlign w:val="superscript"/>
    </w:rPr>
  </w:style>
  <w:style w:type="paragraph" w:styleId="766">
    <w:name w:val="endnote text"/>
    <w:basedOn w:val="778"/>
    <w:link w:val="811"/>
    <w:uiPriority w:val="99"/>
    <w:semiHidden/>
    <w:unhideWhenUsed/>
    <w:pPr>
      <w:spacing w:after="0" w:line="240" w:lineRule="auto"/>
    </w:pPr>
    <w:rPr>
      <w:sz w:val="20"/>
    </w:rPr>
  </w:style>
  <w:style w:type="character" w:styleId="767">
    <w:name w:val="endnote reference"/>
    <w:uiPriority w:val="99"/>
    <w:semiHidden/>
    <w:unhideWhenUsed/>
    <w:rPr>
      <w:vertAlign w:val="superscript"/>
    </w:rPr>
  </w:style>
  <w:style w:type="paragraph" w:styleId="768">
    <w:name w:val="toc 1"/>
    <w:basedOn w:val="778"/>
    <w:next w:val="778"/>
    <w:uiPriority w:val="39"/>
    <w:unhideWhenUsed/>
    <w:pPr>
      <w:ind w:left="0" w:right="0" w:firstLine="0"/>
      <w:spacing w:after="57"/>
    </w:pPr>
  </w:style>
  <w:style w:type="paragraph" w:styleId="769">
    <w:name w:val="toc 2"/>
    <w:basedOn w:val="778"/>
    <w:next w:val="778"/>
    <w:uiPriority w:val="39"/>
    <w:unhideWhenUsed/>
    <w:pPr>
      <w:ind w:left="283" w:right="0" w:firstLine="0"/>
      <w:spacing w:after="57"/>
    </w:pPr>
  </w:style>
  <w:style w:type="paragraph" w:styleId="770">
    <w:name w:val="toc 3"/>
    <w:basedOn w:val="778"/>
    <w:next w:val="778"/>
    <w:uiPriority w:val="39"/>
    <w:unhideWhenUsed/>
    <w:pPr>
      <w:ind w:left="567" w:right="0" w:firstLine="0"/>
      <w:spacing w:after="57"/>
    </w:pPr>
  </w:style>
  <w:style w:type="paragraph" w:styleId="771">
    <w:name w:val="toc 4"/>
    <w:basedOn w:val="778"/>
    <w:next w:val="778"/>
    <w:uiPriority w:val="39"/>
    <w:unhideWhenUsed/>
    <w:pPr>
      <w:ind w:left="850" w:right="0" w:firstLine="0"/>
      <w:spacing w:after="57"/>
    </w:pPr>
  </w:style>
  <w:style w:type="paragraph" w:styleId="772">
    <w:name w:val="toc 5"/>
    <w:basedOn w:val="778"/>
    <w:next w:val="778"/>
    <w:uiPriority w:val="39"/>
    <w:unhideWhenUsed/>
    <w:pPr>
      <w:ind w:left="1134" w:right="0" w:firstLine="0"/>
      <w:spacing w:after="57"/>
    </w:pPr>
  </w:style>
  <w:style w:type="paragraph" w:styleId="773">
    <w:name w:val="toc 6"/>
    <w:basedOn w:val="778"/>
    <w:next w:val="778"/>
    <w:uiPriority w:val="39"/>
    <w:unhideWhenUsed/>
    <w:pPr>
      <w:ind w:left="1417" w:right="0" w:firstLine="0"/>
      <w:spacing w:after="57"/>
    </w:pPr>
  </w:style>
  <w:style w:type="paragraph" w:styleId="774">
    <w:name w:val="toc 7"/>
    <w:basedOn w:val="778"/>
    <w:next w:val="778"/>
    <w:uiPriority w:val="39"/>
    <w:unhideWhenUsed/>
    <w:pPr>
      <w:ind w:left="1701" w:right="0" w:firstLine="0"/>
      <w:spacing w:after="57"/>
    </w:pPr>
  </w:style>
  <w:style w:type="paragraph" w:styleId="775">
    <w:name w:val="toc 8"/>
    <w:basedOn w:val="778"/>
    <w:next w:val="778"/>
    <w:uiPriority w:val="39"/>
    <w:unhideWhenUsed/>
    <w:pPr>
      <w:ind w:left="1984" w:right="0" w:firstLine="0"/>
      <w:spacing w:after="57"/>
    </w:pPr>
  </w:style>
  <w:style w:type="paragraph" w:styleId="776">
    <w:name w:val="toc 9"/>
    <w:basedOn w:val="778"/>
    <w:next w:val="778"/>
    <w:uiPriority w:val="39"/>
    <w:unhideWhenUsed/>
    <w:pPr>
      <w:ind w:left="2268" w:right="0" w:firstLine="0"/>
      <w:spacing w:after="57"/>
    </w:pPr>
  </w:style>
  <w:style w:type="paragraph" w:styleId="777">
    <w:name w:val="table of figures"/>
    <w:basedOn w:val="778"/>
    <w:next w:val="778"/>
    <w:uiPriority w:val="99"/>
    <w:unhideWhenUsed/>
    <w:pPr>
      <w:spacing w:after="0" w:afterAutospacing="0"/>
    </w:pPr>
  </w:style>
  <w:style w:type="paragraph" w:styleId="778" w:default="1">
    <w:name w:val="Normal"/>
    <w:next w:val="790"/>
    <w:link w:val="778"/>
    <w:qFormat/>
    <w:pPr>
      <w:jc w:val="both"/>
      <w:widowControl w:val="off"/>
    </w:pPr>
    <w:rPr>
      <w:rFonts w:ascii="Times New Roman" w:hAnsi="Times New Roman" w:eastAsia="宋体" w:cs="Times New Roman"/>
      <w:sz w:val="21"/>
      <w:szCs w:val="21"/>
      <w:lang w:val="en-US" w:eastAsia="zh-CN" w:bidi="ar-SA"/>
    </w:rPr>
  </w:style>
  <w:style w:type="paragraph" w:styleId="779">
    <w:name w:val="标题 1"/>
    <w:basedOn w:val="778"/>
    <w:next w:val="778"/>
    <w:link w:val="792"/>
    <w:uiPriority w:val="9"/>
    <w:qFormat/>
    <w:pPr>
      <w:keepLines/>
      <w:keepNext/>
      <w:spacing w:before="480" w:after="200"/>
      <w:outlineLvl w:val="0"/>
    </w:pPr>
    <w:rPr>
      <w:rFonts w:ascii="Arial" w:hAnsi="Arial" w:eastAsia="Arial" w:cs="Arial"/>
      <w:sz w:val="40"/>
      <w:szCs w:val="40"/>
    </w:rPr>
  </w:style>
  <w:style w:type="paragraph" w:styleId="780">
    <w:name w:val="标题 2"/>
    <w:basedOn w:val="778"/>
    <w:next w:val="778"/>
    <w:link w:val="793"/>
    <w:uiPriority w:val="9"/>
    <w:unhideWhenUsed/>
    <w:qFormat/>
    <w:pPr>
      <w:keepLines/>
      <w:keepNext/>
      <w:spacing w:before="360" w:after="200"/>
      <w:outlineLvl w:val="1"/>
    </w:pPr>
    <w:rPr>
      <w:rFonts w:ascii="Arial" w:hAnsi="Arial" w:eastAsia="Arial" w:cs="Arial"/>
      <w:sz w:val="34"/>
    </w:rPr>
  </w:style>
  <w:style w:type="paragraph" w:styleId="781">
    <w:name w:val="标题 3"/>
    <w:basedOn w:val="778"/>
    <w:next w:val="778"/>
    <w:link w:val="794"/>
    <w:uiPriority w:val="9"/>
    <w:unhideWhenUsed/>
    <w:qFormat/>
    <w:pPr>
      <w:keepLines/>
      <w:keepNext/>
      <w:spacing w:before="320" w:after="200"/>
      <w:outlineLvl w:val="2"/>
    </w:pPr>
    <w:rPr>
      <w:rFonts w:ascii="Arial" w:hAnsi="Arial" w:eastAsia="Arial" w:cs="Arial"/>
      <w:sz w:val="30"/>
      <w:szCs w:val="30"/>
    </w:rPr>
  </w:style>
  <w:style w:type="paragraph" w:styleId="782">
    <w:name w:val="标题 4"/>
    <w:basedOn w:val="778"/>
    <w:next w:val="778"/>
    <w:link w:val="795"/>
    <w:uiPriority w:val="9"/>
    <w:unhideWhenUsed/>
    <w:qFormat/>
    <w:pPr>
      <w:keepLines/>
      <w:keepNext/>
      <w:spacing w:before="320" w:after="200"/>
      <w:outlineLvl w:val="3"/>
    </w:pPr>
    <w:rPr>
      <w:rFonts w:ascii="Arial" w:hAnsi="Arial" w:eastAsia="Arial" w:cs="Arial"/>
      <w:b/>
      <w:bCs/>
      <w:sz w:val="26"/>
      <w:szCs w:val="26"/>
    </w:rPr>
  </w:style>
  <w:style w:type="paragraph" w:styleId="783">
    <w:name w:val="标题 5"/>
    <w:basedOn w:val="778"/>
    <w:next w:val="778"/>
    <w:link w:val="796"/>
    <w:uiPriority w:val="9"/>
    <w:unhideWhenUsed/>
    <w:qFormat/>
    <w:pPr>
      <w:keepLines/>
      <w:keepNext/>
      <w:spacing w:before="320" w:after="200"/>
      <w:outlineLvl w:val="4"/>
    </w:pPr>
    <w:rPr>
      <w:rFonts w:ascii="Arial" w:hAnsi="Arial" w:eastAsia="Arial" w:cs="Arial"/>
      <w:b/>
      <w:bCs/>
      <w:sz w:val="24"/>
      <w:szCs w:val="24"/>
    </w:rPr>
  </w:style>
  <w:style w:type="paragraph" w:styleId="784">
    <w:name w:val="标题 6"/>
    <w:basedOn w:val="778"/>
    <w:next w:val="778"/>
    <w:link w:val="797"/>
    <w:uiPriority w:val="9"/>
    <w:unhideWhenUsed/>
    <w:qFormat/>
    <w:pPr>
      <w:keepLines/>
      <w:keepNext/>
      <w:spacing w:before="320" w:after="200"/>
      <w:outlineLvl w:val="5"/>
    </w:pPr>
    <w:rPr>
      <w:rFonts w:ascii="Arial" w:hAnsi="Arial" w:eastAsia="Arial" w:cs="Arial"/>
      <w:b/>
      <w:bCs/>
      <w:sz w:val="22"/>
      <w:szCs w:val="22"/>
    </w:rPr>
  </w:style>
  <w:style w:type="paragraph" w:styleId="785">
    <w:name w:val="标题 7"/>
    <w:basedOn w:val="778"/>
    <w:next w:val="778"/>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标题 8"/>
    <w:basedOn w:val="778"/>
    <w:next w:val="778"/>
    <w:link w:val="799"/>
    <w:uiPriority w:val="9"/>
    <w:unhideWhenUsed/>
    <w:qFormat/>
    <w:pPr>
      <w:keepLines/>
      <w:keepNext/>
      <w:spacing w:before="320" w:after="200"/>
      <w:outlineLvl w:val="7"/>
    </w:pPr>
    <w:rPr>
      <w:rFonts w:ascii="Arial" w:hAnsi="Arial" w:eastAsia="Arial" w:cs="Arial"/>
      <w:i/>
      <w:iCs/>
      <w:sz w:val="22"/>
      <w:szCs w:val="22"/>
    </w:rPr>
  </w:style>
  <w:style w:type="paragraph" w:styleId="787">
    <w:name w:val="标题 9"/>
    <w:basedOn w:val="778"/>
    <w:next w:val="778"/>
    <w:link w:val="800"/>
    <w:uiPriority w:val="9"/>
    <w:unhideWhenUsed/>
    <w:qFormat/>
    <w:pPr>
      <w:keepLines/>
      <w:keepNext/>
      <w:spacing w:before="320" w:after="200"/>
      <w:outlineLvl w:val="8"/>
    </w:pPr>
    <w:rPr>
      <w:rFonts w:ascii="Arial" w:hAnsi="Arial" w:eastAsia="Arial" w:cs="Arial"/>
      <w:i/>
      <w:iCs/>
      <w:sz w:val="21"/>
      <w:szCs w:val="21"/>
    </w:rPr>
  </w:style>
  <w:style w:type="character" w:styleId="788">
    <w:name w:val="默认段落字体"/>
    <w:next w:val="788"/>
    <w:link w:val="778"/>
    <w:uiPriority w:val="1"/>
    <w:unhideWhenUsed/>
    <w:qFormat/>
  </w:style>
  <w:style w:type="table" w:styleId="789">
    <w:name w:val="普通表格"/>
    <w:next w:val="789"/>
    <w:link w:val="778"/>
    <w:uiPriority w:val="99"/>
    <w:unhideWhenUsed/>
    <w:qFormat/>
    <w:tblPr/>
  </w:style>
  <w:style w:type="paragraph" w:styleId="790">
    <w:name w:val="BodyText1I1"/>
    <w:basedOn w:val="791"/>
    <w:next w:val="790"/>
    <w:link w:val="778"/>
    <w:uiPriority w:val="99"/>
    <w:qFormat/>
    <w:pPr>
      <w:ind w:firstLine="420"/>
      <w:spacing w:after="120"/>
    </w:pPr>
    <w:rPr>
      <w:rFonts w:ascii="Times New Roman" w:eastAsia="宋体" w:cs="Times New Roman"/>
      <w:sz w:val="20"/>
      <w:szCs w:val="20"/>
    </w:rPr>
  </w:style>
  <w:style w:type="paragraph" w:styleId="791">
    <w:name w:val="BodyText1"/>
    <w:basedOn w:val="778"/>
    <w:next w:val="791"/>
    <w:link w:val="778"/>
    <w:uiPriority w:val="99"/>
    <w:qFormat/>
    <w:rPr>
      <w:rFonts w:ascii="华文中宋" w:eastAsia="Times New Roman" w:cs="华文中宋"/>
      <w:sz w:val="28"/>
      <w:szCs w:val="28"/>
    </w:rPr>
  </w:style>
  <w:style w:type="character" w:styleId="792">
    <w:name w:val="Heading 1 Char"/>
    <w:next w:val="792"/>
    <w:link w:val="779"/>
    <w:uiPriority w:val="9"/>
    <w:qFormat/>
    <w:rPr>
      <w:rFonts w:ascii="Arial" w:hAnsi="Arial" w:eastAsia="Arial" w:cs="Arial"/>
      <w:sz w:val="40"/>
      <w:szCs w:val="40"/>
    </w:rPr>
  </w:style>
  <w:style w:type="character" w:styleId="793">
    <w:name w:val="Heading 2 Char"/>
    <w:next w:val="793"/>
    <w:link w:val="780"/>
    <w:uiPriority w:val="9"/>
    <w:qFormat/>
    <w:rPr>
      <w:rFonts w:ascii="Arial" w:hAnsi="Arial" w:eastAsia="Arial" w:cs="Arial"/>
      <w:sz w:val="34"/>
    </w:rPr>
  </w:style>
  <w:style w:type="character" w:styleId="794">
    <w:name w:val="Heading 3 Char"/>
    <w:next w:val="794"/>
    <w:link w:val="781"/>
    <w:uiPriority w:val="9"/>
    <w:qFormat/>
    <w:rPr>
      <w:rFonts w:ascii="Arial" w:hAnsi="Arial" w:eastAsia="Arial" w:cs="Arial"/>
      <w:sz w:val="30"/>
      <w:szCs w:val="30"/>
    </w:rPr>
  </w:style>
  <w:style w:type="character" w:styleId="795">
    <w:name w:val="Heading 4 Char"/>
    <w:next w:val="795"/>
    <w:link w:val="782"/>
    <w:uiPriority w:val="9"/>
    <w:qFormat/>
    <w:rPr>
      <w:rFonts w:ascii="Arial" w:hAnsi="Arial" w:eastAsia="Arial" w:cs="Arial"/>
      <w:b/>
      <w:bCs/>
      <w:sz w:val="26"/>
      <w:szCs w:val="26"/>
    </w:rPr>
  </w:style>
  <w:style w:type="character" w:styleId="796">
    <w:name w:val="Heading 5 Char"/>
    <w:next w:val="796"/>
    <w:link w:val="783"/>
    <w:uiPriority w:val="9"/>
    <w:qFormat/>
    <w:rPr>
      <w:rFonts w:ascii="Arial" w:hAnsi="Arial" w:eastAsia="Arial" w:cs="Arial"/>
      <w:b/>
      <w:bCs/>
      <w:sz w:val="24"/>
      <w:szCs w:val="24"/>
    </w:rPr>
  </w:style>
  <w:style w:type="character" w:styleId="797">
    <w:name w:val="Heading 6 Char"/>
    <w:next w:val="797"/>
    <w:link w:val="784"/>
    <w:uiPriority w:val="9"/>
    <w:qFormat/>
    <w:rPr>
      <w:rFonts w:ascii="Arial" w:hAnsi="Arial" w:eastAsia="Arial" w:cs="Arial"/>
      <w:b/>
      <w:bCs/>
      <w:sz w:val="22"/>
      <w:szCs w:val="22"/>
    </w:rPr>
  </w:style>
  <w:style w:type="character" w:styleId="798">
    <w:name w:val="Heading 7 Char"/>
    <w:next w:val="798"/>
    <w:link w:val="785"/>
    <w:uiPriority w:val="9"/>
    <w:qFormat/>
    <w:rPr>
      <w:rFonts w:ascii="Arial" w:hAnsi="Arial" w:eastAsia="Arial" w:cs="Arial"/>
      <w:b/>
      <w:bCs/>
      <w:i/>
      <w:iCs/>
      <w:sz w:val="22"/>
      <w:szCs w:val="22"/>
    </w:rPr>
  </w:style>
  <w:style w:type="character" w:styleId="799">
    <w:name w:val="Heading 8 Char"/>
    <w:next w:val="799"/>
    <w:link w:val="786"/>
    <w:uiPriority w:val="9"/>
    <w:qFormat/>
    <w:rPr>
      <w:rFonts w:ascii="Arial" w:hAnsi="Arial" w:eastAsia="Arial" w:cs="Arial"/>
      <w:i/>
      <w:iCs/>
      <w:sz w:val="22"/>
      <w:szCs w:val="22"/>
    </w:rPr>
  </w:style>
  <w:style w:type="character" w:styleId="800">
    <w:name w:val="Heading 9 Char"/>
    <w:next w:val="800"/>
    <w:link w:val="787"/>
    <w:uiPriority w:val="9"/>
    <w:qFormat/>
    <w:rPr>
      <w:rFonts w:ascii="Arial" w:hAnsi="Arial" w:eastAsia="Arial" w:cs="Arial"/>
      <w:i/>
      <w:iCs/>
      <w:sz w:val="21"/>
      <w:szCs w:val="21"/>
    </w:rPr>
  </w:style>
  <w:style w:type="paragraph" w:styleId="801">
    <w:name w:val="目录 7"/>
    <w:basedOn w:val="778"/>
    <w:next w:val="778"/>
    <w:link w:val="778"/>
    <w:uiPriority w:val="39"/>
    <w:unhideWhenUsed/>
    <w:qFormat/>
    <w:pPr>
      <w:ind w:left="1701" w:right="0" w:firstLine="0"/>
      <w:spacing w:after="57"/>
    </w:pPr>
  </w:style>
  <w:style w:type="paragraph" w:styleId="802">
    <w:name w:val="题注"/>
    <w:basedOn w:val="778"/>
    <w:next w:val="778"/>
    <w:link w:val="778"/>
    <w:uiPriority w:val="35"/>
    <w:unhideWhenUsed/>
    <w:qFormat/>
    <w:pPr>
      <w:spacing w:line="276" w:lineRule="auto"/>
    </w:pPr>
    <w:rPr>
      <w:b/>
      <w:bCs/>
      <w:color w:val="4f81bd"/>
      <w:sz w:val="18"/>
      <w:szCs w:val="18"/>
    </w:rPr>
  </w:style>
  <w:style w:type="paragraph" w:styleId="803">
    <w:name w:val="批注文字"/>
    <w:basedOn w:val="778"/>
    <w:next w:val="803"/>
    <w:link w:val="778"/>
    <w:uiPriority w:val="99"/>
    <w:unhideWhenUsed/>
    <w:qFormat/>
    <w:pPr>
      <w:jc w:val="left"/>
    </w:pPr>
  </w:style>
  <w:style w:type="paragraph" w:styleId="804">
    <w:name w:val="正文文本"/>
    <w:basedOn w:val="778"/>
    <w:next w:val="778"/>
    <w:link w:val="778"/>
    <w:uiPriority w:val="99"/>
    <w:qFormat/>
    <w:rPr>
      <w:rFonts w:ascii="华文中宋" w:hAnsi="Times New Roman" w:eastAsia="华文中宋" w:cs="Times New Roman"/>
      <w:bCs/>
      <w:sz w:val="28"/>
      <w:szCs w:val="20"/>
    </w:rPr>
  </w:style>
  <w:style w:type="paragraph" w:styleId="805">
    <w:name w:val="正文文本缩进"/>
    <w:basedOn w:val="778"/>
    <w:next w:val="805"/>
    <w:link w:val="778"/>
    <w:uiPriority w:val="99"/>
    <w:qFormat/>
    <w:pPr>
      <w:ind w:firstLine="576"/>
    </w:pPr>
    <w:rPr>
      <w:rFonts w:ascii="Times New Roman" w:hAnsi="Times New Roman" w:eastAsia="宋体" w:cs="Times New Roman"/>
      <w:b/>
      <w:sz w:val="30"/>
      <w:szCs w:val="20"/>
    </w:rPr>
  </w:style>
  <w:style w:type="paragraph" w:styleId="806">
    <w:name w:val="索引 4"/>
    <w:basedOn w:val="778"/>
    <w:next w:val="778"/>
    <w:link w:val="778"/>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paragraph" w:styleId="807">
    <w:name w:val="目录 5"/>
    <w:basedOn w:val="778"/>
    <w:next w:val="778"/>
    <w:link w:val="778"/>
    <w:uiPriority w:val="39"/>
    <w:unhideWhenUsed/>
    <w:qFormat/>
    <w:pPr>
      <w:ind w:left="1134" w:right="0" w:firstLine="0"/>
      <w:spacing w:after="57"/>
    </w:pPr>
  </w:style>
  <w:style w:type="paragraph" w:styleId="808">
    <w:name w:val="目录 3"/>
    <w:basedOn w:val="778"/>
    <w:next w:val="778"/>
    <w:link w:val="778"/>
    <w:uiPriority w:val="39"/>
    <w:unhideWhenUsed/>
    <w:qFormat/>
    <w:pPr>
      <w:ind w:left="567" w:right="0" w:firstLine="0"/>
      <w:spacing w:after="57"/>
    </w:pPr>
  </w:style>
  <w:style w:type="paragraph" w:styleId="809">
    <w:name w:val="目录 8"/>
    <w:basedOn w:val="778"/>
    <w:next w:val="778"/>
    <w:link w:val="778"/>
    <w:uiPriority w:val="39"/>
    <w:unhideWhenUsed/>
    <w:qFormat/>
    <w:pPr>
      <w:ind w:left="1984" w:right="0" w:firstLine="0"/>
      <w:spacing w:after="57"/>
    </w:pPr>
  </w:style>
  <w:style w:type="paragraph" w:styleId="810">
    <w:name w:val="尾注文本"/>
    <w:basedOn w:val="778"/>
    <w:next w:val="810"/>
    <w:link w:val="811"/>
    <w:uiPriority w:val="99"/>
    <w:unhideWhenUsed/>
    <w:qFormat/>
    <w:pPr>
      <w:spacing w:after="0" w:line="240" w:lineRule="auto"/>
    </w:pPr>
    <w:rPr>
      <w:sz w:val="20"/>
    </w:rPr>
  </w:style>
  <w:style w:type="character" w:styleId="811">
    <w:name w:val="Endnote Text Char"/>
    <w:next w:val="811"/>
    <w:link w:val="810"/>
    <w:uiPriority w:val="99"/>
    <w:qFormat/>
    <w:rPr>
      <w:sz w:val="20"/>
    </w:rPr>
  </w:style>
  <w:style w:type="paragraph" w:styleId="812">
    <w:name w:val="页脚"/>
    <w:basedOn w:val="778"/>
    <w:next w:val="812"/>
    <w:link w:val="813"/>
    <w:uiPriority w:val="99"/>
    <w:unhideWhenUsed/>
    <w:qFormat/>
    <w:pPr>
      <w:spacing w:after="0" w:line="240" w:lineRule="auto"/>
      <w:tabs>
        <w:tab w:val="center" w:pos="7143" w:leader="none"/>
        <w:tab w:val="right" w:pos="14287" w:leader="none"/>
      </w:tabs>
    </w:pPr>
  </w:style>
  <w:style w:type="character" w:styleId="813">
    <w:name w:val="Footer Char"/>
    <w:next w:val="813"/>
    <w:link w:val="812"/>
    <w:uiPriority w:val="99"/>
    <w:qFormat/>
  </w:style>
  <w:style w:type="paragraph" w:styleId="814">
    <w:name w:val="页眉"/>
    <w:basedOn w:val="778"/>
    <w:next w:val="814"/>
    <w:link w:val="815"/>
    <w:uiPriority w:val="99"/>
    <w:unhideWhenUsed/>
    <w:qFormat/>
    <w:pPr>
      <w:spacing w:after="0" w:line="240" w:lineRule="auto"/>
      <w:tabs>
        <w:tab w:val="center" w:pos="7143" w:leader="none"/>
        <w:tab w:val="right" w:pos="14287" w:leader="none"/>
      </w:tabs>
    </w:pPr>
  </w:style>
  <w:style w:type="character" w:styleId="815">
    <w:name w:val="Header Char"/>
    <w:next w:val="815"/>
    <w:link w:val="814"/>
    <w:uiPriority w:val="99"/>
    <w:qFormat/>
  </w:style>
  <w:style w:type="paragraph" w:styleId="816">
    <w:name w:val="目录 1"/>
    <w:basedOn w:val="778"/>
    <w:next w:val="778"/>
    <w:link w:val="778"/>
    <w:uiPriority w:val="39"/>
    <w:unhideWhenUsed/>
    <w:qFormat/>
    <w:pPr>
      <w:ind w:left="0" w:right="0" w:firstLine="0"/>
      <w:spacing w:after="57"/>
    </w:pPr>
  </w:style>
  <w:style w:type="paragraph" w:styleId="817">
    <w:name w:val="目录 4"/>
    <w:basedOn w:val="778"/>
    <w:next w:val="778"/>
    <w:link w:val="778"/>
    <w:uiPriority w:val="39"/>
    <w:unhideWhenUsed/>
    <w:qFormat/>
    <w:pPr>
      <w:ind w:left="850" w:right="0" w:firstLine="0"/>
      <w:spacing w:after="57"/>
    </w:pPr>
  </w:style>
  <w:style w:type="paragraph" w:styleId="818">
    <w:name w:val="副标题"/>
    <w:basedOn w:val="778"/>
    <w:next w:val="778"/>
    <w:link w:val="819"/>
    <w:uiPriority w:val="11"/>
    <w:qFormat/>
    <w:pPr>
      <w:spacing w:before="200" w:after="200"/>
    </w:pPr>
    <w:rPr>
      <w:sz w:val="24"/>
      <w:szCs w:val="24"/>
    </w:rPr>
  </w:style>
  <w:style w:type="character" w:styleId="819">
    <w:name w:val="Subtitle Char"/>
    <w:next w:val="819"/>
    <w:link w:val="818"/>
    <w:uiPriority w:val="11"/>
    <w:qFormat/>
    <w:rPr>
      <w:sz w:val="24"/>
      <w:szCs w:val="24"/>
    </w:rPr>
  </w:style>
  <w:style w:type="paragraph" w:styleId="820">
    <w:name w:val="脚注文本"/>
    <w:basedOn w:val="778"/>
    <w:next w:val="820"/>
    <w:link w:val="821"/>
    <w:uiPriority w:val="99"/>
    <w:unhideWhenUsed/>
    <w:qFormat/>
    <w:pPr>
      <w:spacing w:after="40" w:line="240" w:lineRule="auto"/>
    </w:pPr>
    <w:rPr>
      <w:sz w:val="18"/>
    </w:rPr>
  </w:style>
  <w:style w:type="character" w:styleId="821">
    <w:name w:val="Footnote Text Char"/>
    <w:next w:val="821"/>
    <w:link w:val="820"/>
    <w:uiPriority w:val="99"/>
    <w:qFormat/>
    <w:rPr>
      <w:sz w:val="18"/>
    </w:rPr>
  </w:style>
  <w:style w:type="paragraph" w:styleId="822">
    <w:name w:val="目录 6"/>
    <w:basedOn w:val="778"/>
    <w:next w:val="778"/>
    <w:link w:val="778"/>
    <w:uiPriority w:val="39"/>
    <w:unhideWhenUsed/>
    <w:qFormat/>
    <w:pPr>
      <w:ind w:left="1417" w:right="0" w:firstLine="0"/>
      <w:spacing w:after="57"/>
    </w:pPr>
  </w:style>
  <w:style w:type="paragraph" w:styleId="823">
    <w:name w:val="图表目录"/>
    <w:basedOn w:val="778"/>
    <w:next w:val="778"/>
    <w:link w:val="778"/>
    <w:uiPriority w:val="99"/>
    <w:unhideWhenUsed/>
    <w:qFormat/>
    <w:pPr>
      <w:spacing w:after="0" w:afterAutospacing="0"/>
    </w:pPr>
  </w:style>
  <w:style w:type="paragraph" w:styleId="824">
    <w:name w:val="目录 2"/>
    <w:basedOn w:val="778"/>
    <w:next w:val="778"/>
    <w:link w:val="778"/>
    <w:uiPriority w:val="39"/>
    <w:unhideWhenUsed/>
    <w:qFormat/>
    <w:pPr>
      <w:ind w:left="283" w:right="0" w:firstLine="0"/>
      <w:spacing w:after="57"/>
    </w:pPr>
  </w:style>
  <w:style w:type="paragraph" w:styleId="825">
    <w:name w:val="目录 9"/>
    <w:basedOn w:val="778"/>
    <w:next w:val="778"/>
    <w:link w:val="778"/>
    <w:uiPriority w:val="39"/>
    <w:unhideWhenUsed/>
    <w:qFormat/>
    <w:pPr>
      <w:ind w:left="2268" w:right="0" w:firstLine="0"/>
      <w:spacing w:after="57"/>
    </w:pPr>
  </w:style>
  <w:style w:type="paragraph" w:styleId="826">
    <w:name w:val="标题"/>
    <w:basedOn w:val="778"/>
    <w:next w:val="778"/>
    <w:link w:val="827"/>
    <w:uiPriority w:val="10"/>
    <w:qFormat/>
    <w:pPr>
      <w:contextualSpacing/>
      <w:spacing w:before="300" w:after="200"/>
    </w:pPr>
    <w:rPr>
      <w:sz w:val="48"/>
      <w:szCs w:val="48"/>
    </w:rPr>
  </w:style>
  <w:style w:type="character" w:styleId="827">
    <w:name w:val="Title Char"/>
    <w:next w:val="827"/>
    <w:link w:val="826"/>
    <w:uiPriority w:val="10"/>
    <w:qFormat/>
    <w:rPr>
      <w:sz w:val="48"/>
      <w:szCs w:val="48"/>
    </w:rPr>
  </w:style>
  <w:style w:type="table" w:styleId="828">
    <w:name w:val="网格型"/>
    <w:next w:val="828"/>
    <w:link w:val="778"/>
    <w:uiPriority w:val="59"/>
    <w:qFormat/>
    <w:pPr>
      <w:spacing w:after="0" w:line="240" w:lineRule="auto"/>
    </w:pPr>
    <w:tblPr/>
  </w:style>
  <w:style w:type="character" w:styleId="829">
    <w:name w:val="要点"/>
    <w:basedOn w:val="788"/>
    <w:next w:val="829"/>
    <w:link w:val="778"/>
    <w:uiPriority w:val="22"/>
    <w:qFormat/>
    <w:rPr>
      <w:b/>
    </w:rPr>
  </w:style>
  <w:style w:type="character" w:styleId="830">
    <w:name w:val="尾注引用"/>
    <w:next w:val="830"/>
    <w:link w:val="778"/>
    <w:uiPriority w:val="99"/>
    <w:unhideWhenUsed/>
    <w:qFormat/>
    <w:rPr>
      <w:vertAlign w:val="superscript"/>
    </w:rPr>
  </w:style>
  <w:style w:type="character" w:styleId="831">
    <w:name w:val="超链接"/>
    <w:next w:val="831"/>
    <w:link w:val="778"/>
    <w:uiPriority w:val="99"/>
    <w:unhideWhenUsed/>
    <w:qFormat/>
    <w:rPr>
      <w:color w:val="0000ff"/>
      <w:u w:val="single"/>
    </w:rPr>
  </w:style>
  <w:style w:type="character" w:styleId="832">
    <w:name w:val="脚注引用"/>
    <w:next w:val="832"/>
    <w:link w:val="778"/>
    <w:uiPriority w:val="99"/>
    <w:unhideWhenUsed/>
    <w:qFormat/>
    <w:rPr>
      <w:vertAlign w:val="superscript"/>
    </w:rPr>
  </w:style>
  <w:style w:type="character" w:styleId="833">
    <w:name w:val="Caption Char"/>
    <w:next w:val="833"/>
    <w:link w:val="812"/>
    <w:uiPriority w:val="99"/>
    <w:qFormat/>
  </w:style>
  <w:style w:type="character" w:styleId="834">
    <w:name w:val="标题 3 Char"/>
    <w:next w:val="834"/>
    <w:link w:val="835"/>
    <w:qFormat/>
    <w:rPr>
      <w:rFonts w:ascii="Times New Roman" w:hAnsi="Times New Roman" w:eastAsia="宋体" w:cs="Times New Roman"/>
      <w:b/>
      <w:bCs/>
      <w:sz w:val="32"/>
      <w:szCs w:val="32"/>
    </w:rPr>
  </w:style>
  <w:style w:type="paragraph" w:styleId="835">
    <w:name w:val="标题 31"/>
    <w:basedOn w:val="778"/>
    <w:next w:val="836"/>
    <w:link w:val="834"/>
    <w:qFormat/>
    <w:pPr>
      <w:keepLines/>
      <w:keepNext/>
      <w:spacing w:before="260" w:after="260" w:line="416" w:lineRule="auto"/>
      <w:outlineLvl w:val="2"/>
    </w:pPr>
    <w:rPr>
      <w:b/>
      <w:bCs/>
      <w:sz w:val="32"/>
      <w:szCs w:val="32"/>
    </w:rPr>
  </w:style>
  <w:style w:type="paragraph" w:styleId="836">
    <w:name w:val="正文缩进11"/>
    <w:basedOn w:val="778"/>
    <w:next w:val="836"/>
    <w:link w:val="837"/>
    <w:qFormat/>
    <w:pPr>
      <w:ind w:firstLine="420"/>
    </w:pPr>
    <w:rPr>
      <w:sz w:val="20"/>
    </w:rPr>
  </w:style>
  <w:style w:type="character" w:styleId="837">
    <w:name w:val="正文缩进 Char"/>
    <w:next w:val="837"/>
    <w:link w:val="836"/>
    <w:qFormat/>
    <w:rPr>
      <w:rFonts w:ascii="Times New Roman" w:hAnsi="Times New Roman" w:eastAsia="宋体" w:cs="Times New Roman"/>
      <w:szCs w:val="21"/>
    </w:rPr>
  </w:style>
  <w:style w:type="character" w:styleId="838">
    <w:name w:val="标题 1 Char"/>
    <w:next w:val="838"/>
    <w:link w:val="839"/>
    <w:uiPriority w:val="9"/>
    <w:qFormat/>
    <w:rPr>
      <w:rFonts w:ascii="楷体_GB2312" w:hAnsi="Times New Roman" w:eastAsia="楷体_GB2312" w:cs="Times New Roman"/>
      <w:sz w:val="28"/>
      <w:szCs w:val="28"/>
    </w:rPr>
  </w:style>
  <w:style w:type="paragraph" w:styleId="839">
    <w:name w:val="标题 11"/>
    <w:basedOn w:val="778"/>
    <w:next w:val="778"/>
    <w:link w:val="838"/>
    <w:uiPriority w:val="9"/>
    <w:qFormat/>
    <w:pPr>
      <w:jc w:val="center"/>
      <w:keepNext/>
      <w:outlineLvl w:val="0"/>
    </w:pPr>
    <w:rPr>
      <w:rFonts w:ascii="楷体_GB2312" w:eastAsia="楷体_GB2312"/>
      <w:sz w:val="28"/>
      <w:szCs w:val="28"/>
    </w:rPr>
  </w:style>
  <w:style w:type="character" w:styleId="840">
    <w:name w:val="font281"/>
    <w:next w:val="840"/>
    <w:link w:val="778"/>
    <w:qFormat/>
    <w:rPr>
      <w:rFonts w:ascii="Times New Roman" w:hAnsi="Times New Roman" w:eastAsia="宋体" w:cs="Times New Roman"/>
      <w:sz w:val="21"/>
      <w:szCs w:val="21"/>
      <w:lang w:val="en-US" w:eastAsia="zh-CN" w:bidi="ar-SA"/>
    </w:rPr>
  </w:style>
  <w:style w:type="paragraph" w:styleId="841">
    <w:name w:val="List Paragraph"/>
    <w:basedOn w:val="778"/>
    <w:next w:val="841"/>
    <w:link w:val="778"/>
    <w:uiPriority w:val="34"/>
    <w:qFormat/>
    <w:pPr>
      <w:contextualSpacing/>
      <w:ind w:left="720"/>
    </w:pPr>
  </w:style>
  <w:style w:type="paragraph" w:styleId="842">
    <w:name w:val="No Spacing"/>
    <w:next w:val="842"/>
    <w:link w:val="778"/>
    <w:uiPriority w:val="1"/>
    <w:qFormat/>
    <w:pPr>
      <w:spacing w:before="0" w:after="0" w:line="240" w:lineRule="auto"/>
    </w:pPr>
    <w:rPr>
      <w:rFonts w:ascii="Times New Roman" w:hAnsi="Times New Roman" w:eastAsia="宋体" w:cs="Times New Roman"/>
    </w:rPr>
  </w:style>
  <w:style w:type="paragraph" w:styleId="843">
    <w:name w:val="Quote"/>
    <w:basedOn w:val="778"/>
    <w:next w:val="778"/>
    <w:link w:val="844"/>
    <w:uiPriority w:val="29"/>
    <w:qFormat/>
    <w:pPr>
      <w:ind w:left="720" w:right="720"/>
    </w:pPr>
    <w:rPr>
      <w:i/>
    </w:rPr>
  </w:style>
  <w:style w:type="character" w:styleId="844">
    <w:name w:val="Quote Char"/>
    <w:next w:val="844"/>
    <w:link w:val="843"/>
    <w:uiPriority w:val="29"/>
    <w:qFormat/>
    <w:rPr>
      <w:i/>
    </w:rPr>
  </w:style>
  <w:style w:type="character" w:styleId="845">
    <w:name w:val="Intense Quote Char"/>
    <w:next w:val="845"/>
    <w:link w:val="778"/>
    <w:uiPriority w:val="30"/>
    <w:qFormat/>
    <w:rPr>
      <w:i/>
    </w:rPr>
  </w:style>
  <w:style w:type="table" w:styleId="846">
    <w:name w:val="Table Grid Light"/>
    <w:next w:val="846"/>
    <w:link w:val="778"/>
    <w:uiPriority w:val="59"/>
    <w:qFormat/>
    <w:pPr>
      <w:spacing w:after="0" w:line="240" w:lineRule="auto"/>
    </w:pPr>
    <w:tblPr/>
  </w:style>
  <w:style w:type="table" w:styleId="847">
    <w:name w:val="Plain Table 1"/>
    <w:next w:val="847"/>
    <w:link w:val="778"/>
    <w:uiPriority w:val="59"/>
    <w:qFormat/>
    <w:pPr>
      <w:spacing w:after="0" w:line="240" w:lineRule="auto"/>
    </w:pPr>
    <w:tblPr/>
  </w:style>
  <w:style w:type="table" w:styleId="848">
    <w:name w:val="Plain Table 2"/>
    <w:next w:val="848"/>
    <w:link w:val="778"/>
    <w:uiPriority w:val="59"/>
    <w:qFormat/>
    <w:pPr>
      <w:spacing w:after="0" w:line="240" w:lineRule="auto"/>
    </w:pPr>
    <w:tblPr/>
  </w:style>
  <w:style w:type="table" w:styleId="849">
    <w:name w:val="Plain Table 3"/>
    <w:next w:val="849"/>
    <w:link w:val="778"/>
    <w:uiPriority w:val="99"/>
    <w:qFormat/>
    <w:pPr>
      <w:spacing w:after="0" w:line="240" w:lineRule="auto"/>
    </w:pPr>
    <w:tblPr/>
  </w:style>
  <w:style w:type="table" w:styleId="850">
    <w:name w:val="Plain Table 4"/>
    <w:next w:val="850"/>
    <w:link w:val="778"/>
    <w:uiPriority w:val="99"/>
    <w:qFormat/>
    <w:pPr>
      <w:spacing w:after="0" w:line="240" w:lineRule="auto"/>
    </w:pPr>
    <w:tblPr/>
  </w:style>
  <w:style w:type="table" w:styleId="851">
    <w:name w:val="Plain Table 5"/>
    <w:next w:val="851"/>
    <w:link w:val="778"/>
    <w:uiPriority w:val="99"/>
    <w:qFormat/>
    <w:pPr>
      <w:spacing w:after="0" w:line="240" w:lineRule="auto"/>
    </w:pPr>
    <w:tblPr/>
  </w:style>
  <w:style w:type="table" w:styleId="852">
    <w:name w:val="Grid Table 1 Light"/>
    <w:next w:val="852"/>
    <w:link w:val="778"/>
    <w:uiPriority w:val="99"/>
    <w:qFormat/>
    <w:pPr>
      <w:spacing w:after="0" w:line="240" w:lineRule="auto"/>
    </w:pPr>
    <w:tblPr/>
  </w:style>
  <w:style w:type="table" w:styleId="853">
    <w:name w:val="Grid Table 1 Light - Accent 1"/>
    <w:next w:val="853"/>
    <w:link w:val="778"/>
    <w:uiPriority w:val="99"/>
    <w:qFormat/>
    <w:pPr>
      <w:spacing w:after="0" w:line="240" w:lineRule="auto"/>
    </w:pPr>
    <w:tblPr/>
  </w:style>
  <w:style w:type="table" w:styleId="854">
    <w:name w:val="Grid Table 1 Light - Accent 2"/>
    <w:next w:val="854"/>
    <w:link w:val="778"/>
    <w:uiPriority w:val="99"/>
    <w:qFormat/>
    <w:pPr>
      <w:spacing w:after="0" w:line="240" w:lineRule="auto"/>
    </w:pPr>
    <w:tblPr/>
  </w:style>
  <w:style w:type="table" w:styleId="855">
    <w:name w:val="Grid Table 1 Light - Accent 3"/>
    <w:next w:val="855"/>
    <w:link w:val="778"/>
    <w:uiPriority w:val="99"/>
    <w:qFormat/>
    <w:pPr>
      <w:spacing w:after="0" w:line="240" w:lineRule="auto"/>
    </w:pPr>
    <w:tblPr/>
  </w:style>
  <w:style w:type="table" w:styleId="856">
    <w:name w:val="Grid Table 1 Light - Accent 4"/>
    <w:next w:val="856"/>
    <w:link w:val="778"/>
    <w:uiPriority w:val="99"/>
    <w:qFormat/>
    <w:pPr>
      <w:spacing w:after="0" w:line="240" w:lineRule="auto"/>
    </w:pPr>
    <w:tblPr/>
  </w:style>
  <w:style w:type="table" w:styleId="857">
    <w:name w:val="Grid Table 1 Light - Accent 5"/>
    <w:next w:val="857"/>
    <w:link w:val="778"/>
    <w:uiPriority w:val="99"/>
    <w:qFormat/>
    <w:pPr>
      <w:spacing w:after="0" w:line="240" w:lineRule="auto"/>
    </w:pPr>
    <w:tblPr/>
  </w:style>
  <w:style w:type="table" w:styleId="858">
    <w:name w:val="Grid Table 1 Light - Accent 6"/>
    <w:next w:val="858"/>
    <w:link w:val="778"/>
    <w:uiPriority w:val="99"/>
    <w:qFormat/>
    <w:pPr>
      <w:spacing w:after="0" w:line="240" w:lineRule="auto"/>
    </w:pPr>
    <w:tblPr/>
  </w:style>
  <w:style w:type="table" w:styleId="859">
    <w:name w:val="Grid Table 2"/>
    <w:next w:val="859"/>
    <w:link w:val="778"/>
    <w:uiPriority w:val="99"/>
    <w:qFormat/>
    <w:pPr>
      <w:spacing w:after="0" w:line="240" w:lineRule="auto"/>
    </w:pPr>
    <w:tblPr/>
  </w:style>
  <w:style w:type="table" w:styleId="860">
    <w:name w:val="Grid Table 2 - Accent 1"/>
    <w:next w:val="860"/>
    <w:link w:val="778"/>
    <w:uiPriority w:val="99"/>
    <w:qFormat/>
    <w:pPr>
      <w:spacing w:after="0" w:line="240" w:lineRule="auto"/>
    </w:pPr>
    <w:tblPr/>
  </w:style>
  <w:style w:type="table" w:styleId="861">
    <w:name w:val="Grid Table 2 - Accent 2"/>
    <w:next w:val="861"/>
    <w:link w:val="778"/>
    <w:uiPriority w:val="99"/>
    <w:qFormat/>
    <w:pPr>
      <w:spacing w:after="0" w:line="240" w:lineRule="auto"/>
    </w:pPr>
    <w:tblPr/>
  </w:style>
  <w:style w:type="table" w:styleId="862">
    <w:name w:val="Grid Table 2 - Accent 3"/>
    <w:next w:val="862"/>
    <w:link w:val="778"/>
    <w:uiPriority w:val="99"/>
    <w:qFormat/>
    <w:pPr>
      <w:spacing w:after="0" w:line="240" w:lineRule="auto"/>
    </w:pPr>
    <w:tblPr/>
  </w:style>
  <w:style w:type="table" w:styleId="863">
    <w:name w:val="Grid Table 2 - Accent 4"/>
    <w:next w:val="863"/>
    <w:link w:val="778"/>
    <w:uiPriority w:val="99"/>
    <w:qFormat/>
    <w:pPr>
      <w:spacing w:after="0" w:line="240" w:lineRule="auto"/>
    </w:pPr>
    <w:tblPr/>
  </w:style>
  <w:style w:type="table" w:styleId="864">
    <w:name w:val="Grid Table 2 - Accent 5"/>
    <w:next w:val="864"/>
    <w:link w:val="778"/>
    <w:uiPriority w:val="99"/>
    <w:qFormat/>
    <w:pPr>
      <w:spacing w:after="0" w:line="240" w:lineRule="auto"/>
    </w:pPr>
    <w:tblPr/>
  </w:style>
  <w:style w:type="table" w:styleId="865">
    <w:name w:val="Grid Table 2 - Accent 6"/>
    <w:next w:val="865"/>
    <w:link w:val="778"/>
    <w:uiPriority w:val="99"/>
    <w:qFormat/>
    <w:pPr>
      <w:spacing w:after="0" w:line="240" w:lineRule="auto"/>
    </w:pPr>
    <w:tblPr/>
  </w:style>
  <w:style w:type="table" w:styleId="866">
    <w:name w:val="Grid Table 3"/>
    <w:next w:val="866"/>
    <w:link w:val="778"/>
    <w:uiPriority w:val="99"/>
    <w:qFormat/>
    <w:pPr>
      <w:spacing w:after="0" w:line="240" w:lineRule="auto"/>
    </w:pPr>
    <w:tblPr/>
  </w:style>
  <w:style w:type="table" w:styleId="867">
    <w:name w:val="Grid Table 3 - Accent 1"/>
    <w:next w:val="867"/>
    <w:link w:val="778"/>
    <w:uiPriority w:val="99"/>
    <w:qFormat/>
    <w:pPr>
      <w:spacing w:after="0" w:line="240" w:lineRule="auto"/>
    </w:pPr>
    <w:tblPr/>
  </w:style>
  <w:style w:type="table" w:styleId="868">
    <w:name w:val="Grid Table 3 - Accent 2"/>
    <w:next w:val="868"/>
    <w:link w:val="778"/>
    <w:uiPriority w:val="99"/>
    <w:qFormat/>
    <w:pPr>
      <w:spacing w:after="0" w:line="240" w:lineRule="auto"/>
    </w:pPr>
    <w:tblPr/>
  </w:style>
  <w:style w:type="table" w:styleId="869">
    <w:name w:val="Grid Table 3 - Accent 3"/>
    <w:next w:val="869"/>
    <w:link w:val="778"/>
    <w:uiPriority w:val="99"/>
    <w:qFormat/>
    <w:pPr>
      <w:spacing w:after="0" w:line="240" w:lineRule="auto"/>
    </w:pPr>
    <w:tblPr/>
  </w:style>
  <w:style w:type="table" w:styleId="870">
    <w:name w:val="Grid Table 3 - Accent 4"/>
    <w:next w:val="870"/>
    <w:link w:val="778"/>
    <w:uiPriority w:val="99"/>
    <w:qFormat/>
    <w:pPr>
      <w:spacing w:after="0" w:line="240" w:lineRule="auto"/>
    </w:pPr>
    <w:tblPr/>
  </w:style>
  <w:style w:type="table" w:styleId="871">
    <w:name w:val="Grid Table 3 - Accent 5"/>
    <w:next w:val="871"/>
    <w:link w:val="778"/>
    <w:uiPriority w:val="99"/>
    <w:qFormat/>
    <w:pPr>
      <w:spacing w:after="0" w:line="240" w:lineRule="auto"/>
    </w:pPr>
    <w:tblPr/>
  </w:style>
  <w:style w:type="table" w:styleId="872">
    <w:name w:val="Grid Table 3 - Accent 6"/>
    <w:next w:val="872"/>
    <w:link w:val="778"/>
    <w:uiPriority w:val="99"/>
    <w:qFormat/>
    <w:pPr>
      <w:spacing w:after="0" w:line="240" w:lineRule="auto"/>
    </w:pPr>
    <w:tblPr/>
  </w:style>
  <w:style w:type="table" w:styleId="873">
    <w:name w:val="Grid Table 4"/>
    <w:next w:val="873"/>
    <w:link w:val="778"/>
    <w:uiPriority w:val="59"/>
    <w:qFormat/>
    <w:pPr>
      <w:spacing w:after="0" w:line="240" w:lineRule="auto"/>
    </w:pPr>
    <w:tblPr/>
  </w:style>
  <w:style w:type="table" w:styleId="874">
    <w:name w:val="Grid Table 4 - Accent 1"/>
    <w:next w:val="874"/>
    <w:link w:val="778"/>
    <w:uiPriority w:val="59"/>
    <w:qFormat/>
    <w:pPr>
      <w:spacing w:after="0" w:line="240" w:lineRule="auto"/>
    </w:pPr>
    <w:tblPr/>
  </w:style>
  <w:style w:type="table" w:styleId="875">
    <w:name w:val="Grid Table 4 - Accent 2"/>
    <w:next w:val="875"/>
    <w:link w:val="778"/>
    <w:uiPriority w:val="59"/>
    <w:qFormat/>
    <w:pPr>
      <w:spacing w:after="0" w:line="240" w:lineRule="auto"/>
    </w:pPr>
    <w:tblPr/>
  </w:style>
  <w:style w:type="table" w:styleId="876">
    <w:name w:val="Grid Table 4 - Accent 3"/>
    <w:next w:val="876"/>
    <w:link w:val="778"/>
    <w:uiPriority w:val="59"/>
    <w:qFormat/>
    <w:pPr>
      <w:spacing w:after="0" w:line="240" w:lineRule="auto"/>
    </w:pPr>
    <w:tblPr/>
  </w:style>
  <w:style w:type="table" w:styleId="877">
    <w:name w:val="Grid Table 4 - Accent 4"/>
    <w:next w:val="877"/>
    <w:link w:val="778"/>
    <w:uiPriority w:val="59"/>
    <w:qFormat/>
    <w:pPr>
      <w:spacing w:after="0" w:line="240" w:lineRule="auto"/>
    </w:pPr>
    <w:tblPr/>
  </w:style>
  <w:style w:type="table" w:styleId="878">
    <w:name w:val="Grid Table 4 - Accent 5"/>
    <w:next w:val="878"/>
    <w:link w:val="778"/>
    <w:uiPriority w:val="59"/>
    <w:qFormat/>
    <w:pPr>
      <w:spacing w:after="0" w:line="240" w:lineRule="auto"/>
    </w:pPr>
    <w:tblPr/>
  </w:style>
  <w:style w:type="table" w:styleId="879">
    <w:name w:val="Grid Table 4 - Accent 6"/>
    <w:next w:val="879"/>
    <w:link w:val="778"/>
    <w:uiPriority w:val="59"/>
    <w:qFormat/>
    <w:pPr>
      <w:spacing w:after="0" w:line="240" w:lineRule="auto"/>
    </w:pPr>
    <w:tblPr/>
  </w:style>
  <w:style w:type="table" w:styleId="880">
    <w:name w:val="Grid Table 5 Dark"/>
    <w:next w:val="880"/>
    <w:link w:val="778"/>
    <w:uiPriority w:val="99"/>
    <w:qFormat/>
    <w:pPr>
      <w:spacing w:after="0" w:line="240" w:lineRule="auto"/>
    </w:pPr>
    <w:tblPr/>
  </w:style>
  <w:style w:type="table" w:styleId="881">
    <w:name w:val="Grid Table 5 Dark- Accent 1"/>
    <w:next w:val="881"/>
    <w:link w:val="778"/>
    <w:uiPriority w:val="99"/>
    <w:qFormat/>
    <w:pPr>
      <w:spacing w:after="0" w:line="240" w:lineRule="auto"/>
    </w:pPr>
    <w:tblPr/>
  </w:style>
  <w:style w:type="table" w:styleId="882">
    <w:name w:val="Grid Table 5 Dark - Accent 2"/>
    <w:next w:val="882"/>
    <w:link w:val="778"/>
    <w:uiPriority w:val="99"/>
    <w:qFormat/>
    <w:pPr>
      <w:spacing w:after="0" w:line="240" w:lineRule="auto"/>
    </w:pPr>
    <w:tblPr/>
  </w:style>
  <w:style w:type="table" w:styleId="883">
    <w:name w:val="Grid Table 5 Dark - Accent 3"/>
    <w:next w:val="883"/>
    <w:link w:val="778"/>
    <w:uiPriority w:val="99"/>
    <w:qFormat/>
    <w:pPr>
      <w:spacing w:after="0" w:line="240" w:lineRule="auto"/>
    </w:pPr>
    <w:tblPr/>
  </w:style>
  <w:style w:type="table" w:styleId="884">
    <w:name w:val="Grid Table 5 Dark- Accent 4"/>
    <w:next w:val="884"/>
    <w:link w:val="778"/>
    <w:uiPriority w:val="99"/>
    <w:qFormat/>
    <w:pPr>
      <w:spacing w:after="0" w:line="240" w:lineRule="auto"/>
    </w:pPr>
    <w:tblPr/>
  </w:style>
  <w:style w:type="table" w:styleId="885">
    <w:name w:val="Grid Table 5 Dark - Accent 5"/>
    <w:next w:val="885"/>
    <w:link w:val="778"/>
    <w:uiPriority w:val="99"/>
    <w:qFormat/>
    <w:pPr>
      <w:spacing w:after="0" w:line="240" w:lineRule="auto"/>
    </w:pPr>
    <w:tblPr/>
  </w:style>
  <w:style w:type="table" w:styleId="886">
    <w:name w:val="Grid Table 5 Dark - Accent 6"/>
    <w:next w:val="886"/>
    <w:link w:val="778"/>
    <w:uiPriority w:val="99"/>
    <w:qFormat/>
    <w:pPr>
      <w:spacing w:after="0" w:line="240" w:lineRule="auto"/>
    </w:pPr>
    <w:tblPr/>
  </w:style>
  <w:style w:type="table" w:styleId="887">
    <w:name w:val="Grid Table 6 Colorful"/>
    <w:next w:val="887"/>
    <w:link w:val="778"/>
    <w:uiPriority w:val="99"/>
    <w:qFormat/>
    <w:pPr>
      <w:spacing w:after="0" w:line="240" w:lineRule="auto"/>
    </w:pPr>
    <w:tblPr/>
  </w:style>
  <w:style w:type="table" w:styleId="888">
    <w:name w:val="Grid Table 6 Colorful - Accent 1"/>
    <w:next w:val="888"/>
    <w:link w:val="778"/>
    <w:uiPriority w:val="99"/>
    <w:qFormat/>
    <w:pPr>
      <w:spacing w:after="0" w:line="240" w:lineRule="auto"/>
    </w:pPr>
    <w:tblPr/>
  </w:style>
  <w:style w:type="table" w:styleId="889">
    <w:name w:val="Grid Table 6 Colorful - Accent 2"/>
    <w:next w:val="889"/>
    <w:link w:val="778"/>
    <w:uiPriority w:val="99"/>
    <w:qFormat/>
    <w:pPr>
      <w:spacing w:after="0" w:line="240" w:lineRule="auto"/>
    </w:pPr>
    <w:tblPr/>
  </w:style>
  <w:style w:type="table" w:styleId="890">
    <w:name w:val="Grid Table 6 Colorful - Accent 3"/>
    <w:next w:val="890"/>
    <w:link w:val="778"/>
    <w:uiPriority w:val="99"/>
    <w:qFormat/>
    <w:pPr>
      <w:spacing w:after="0" w:line="240" w:lineRule="auto"/>
    </w:pPr>
    <w:tblPr/>
  </w:style>
  <w:style w:type="table" w:styleId="891">
    <w:name w:val="Grid Table 6 Colorful - Accent 4"/>
    <w:next w:val="891"/>
    <w:link w:val="778"/>
    <w:uiPriority w:val="99"/>
    <w:qFormat/>
    <w:pPr>
      <w:spacing w:after="0" w:line="240" w:lineRule="auto"/>
    </w:pPr>
    <w:tblPr/>
  </w:style>
  <w:style w:type="table" w:styleId="892">
    <w:name w:val="Grid Table 6 Colorful - Accent 5"/>
    <w:next w:val="892"/>
    <w:link w:val="778"/>
    <w:uiPriority w:val="99"/>
    <w:qFormat/>
    <w:pPr>
      <w:spacing w:after="0" w:line="240" w:lineRule="auto"/>
    </w:pPr>
    <w:tblPr/>
  </w:style>
  <w:style w:type="table" w:styleId="893">
    <w:name w:val="Grid Table 6 Colorful - Accent 6"/>
    <w:next w:val="893"/>
    <w:link w:val="778"/>
    <w:uiPriority w:val="99"/>
    <w:qFormat/>
    <w:pPr>
      <w:spacing w:after="0" w:line="240" w:lineRule="auto"/>
    </w:pPr>
    <w:tblPr/>
  </w:style>
  <w:style w:type="table" w:styleId="894">
    <w:name w:val="Grid Table 7 Colorful"/>
    <w:next w:val="894"/>
    <w:link w:val="778"/>
    <w:uiPriority w:val="99"/>
    <w:qFormat/>
    <w:pPr>
      <w:spacing w:after="0" w:line="240" w:lineRule="auto"/>
    </w:pPr>
    <w:tblPr/>
  </w:style>
  <w:style w:type="table" w:styleId="895">
    <w:name w:val="Grid Table 7 Colorful - Accent 1"/>
    <w:next w:val="895"/>
    <w:link w:val="778"/>
    <w:uiPriority w:val="99"/>
    <w:qFormat/>
    <w:pPr>
      <w:spacing w:after="0" w:line="240" w:lineRule="auto"/>
    </w:pPr>
    <w:tblPr/>
  </w:style>
  <w:style w:type="table" w:styleId="896">
    <w:name w:val="Grid Table 7 Colorful - Accent 2"/>
    <w:next w:val="896"/>
    <w:link w:val="778"/>
    <w:uiPriority w:val="99"/>
    <w:qFormat/>
    <w:pPr>
      <w:spacing w:after="0" w:line="240" w:lineRule="auto"/>
    </w:pPr>
    <w:tblPr/>
  </w:style>
  <w:style w:type="table" w:styleId="897">
    <w:name w:val="Grid Table 7 Colorful - Accent 3"/>
    <w:next w:val="897"/>
    <w:link w:val="778"/>
    <w:uiPriority w:val="99"/>
    <w:qFormat/>
    <w:pPr>
      <w:spacing w:after="0" w:line="240" w:lineRule="auto"/>
    </w:pPr>
    <w:tblPr/>
  </w:style>
  <w:style w:type="table" w:styleId="898">
    <w:name w:val="Grid Table 7 Colorful - Accent 4"/>
    <w:next w:val="898"/>
    <w:link w:val="778"/>
    <w:uiPriority w:val="99"/>
    <w:qFormat/>
    <w:pPr>
      <w:spacing w:after="0" w:line="240" w:lineRule="auto"/>
    </w:pPr>
    <w:tblPr/>
  </w:style>
  <w:style w:type="table" w:styleId="899">
    <w:name w:val="Grid Table 7 Colorful - Accent 5"/>
    <w:next w:val="899"/>
    <w:link w:val="778"/>
    <w:uiPriority w:val="99"/>
    <w:qFormat/>
    <w:pPr>
      <w:spacing w:after="0" w:line="240" w:lineRule="auto"/>
    </w:pPr>
    <w:tblPr/>
  </w:style>
  <w:style w:type="table" w:styleId="900">
    <w:name w:val="Grid Table 7 Colorful - Accent 6"/>
    <w:next w:val="900"/>
    <w:link w:val="778"/>
    <w:uiPriority w:val="99"/>
    <w:qFormat/>
    <w:pPr>
      <w:spacing w:after="0" w:line="240" w:lineRule="auto"/>
    </w:pPr>
    <w:tblPr/>
  </w:style>
  <w:style w:type="table" w:styleId="901">
    <w:name w:val="List Table 1 Light"/>
    <w:next w:val="901"/>
    <w:link w:val="778"/>
    <w:uiPriority w:val="99"/>
    <w:qFormat/>
    <w:pPr>
      <w:spacing w:after="0" w:line="240" w:lineRule="auto"/>
    </w:pPr>
    <w:tblPr/>
  </w:style>
  <w:style w:type="table" w:styleId="902">
    <w:name w:val="List Table 1 Light - Accent 1"/>
    <w:next w:val="902"/>
    <w:link w:val="778"/>
    <w:uiPriority w:val="99"/>
    <w:qFormat/>
    <w:pPr>
      <w:spacing w:after="0" w:line="240" w:lineRule="auto"/>
    </w:pPr>
    <w:tblPr/>
  </w:style>
  <w:style w:type="table" w:styleId="903">
    <w:name w:val="List Table 1 Light - Accent 2"/>
    <w:next w:val="903"/>
    <w:link w:val="778"/>
    <w:uiPriority w:val="99"/>
    <w:qFormat/>
    <w:pPr>
      <w:spacing w:after="0" w:line="240" w:lineRule="auto"/>
    </w:pPr>
    <w:tblPr/>
  </w:style>
  <w:style w:type="table" w:styleId="904">
    <w:name w:val="List Table 1 Light - Accent 3"/>
    <w:next w:val="904"/>
    <w:link w:val="778"/>
    <w:uiPriority w:val="99"/>
    <w:qFormat/>
    <w:pPr>
      <w:spacing w:after="0" w:line="240" w:lineRule="auto"/>
    </w:pPr>
    <w:tblPr/>
  </w:style>
  <w:style w:type="table" w:styleId="905">
    <w:name w:val="List Table 1 Light - Accent 4"/>
    <w:next w:val="905"/>
    <w:link w:val="778"/>
    <w:uiPriority w:val="99"/>
    <w:qFormat/>
    <w:pPr>
      <w:spacing w:after="0" w:line="240" w:lineRule="auto"/>
    </w:pPr>
    <w:tblPr/>
  </w:style>
  <w:style w:type="table" w:styleId="906">
    <w:name w:val="List Table 1 Light - Accent 5"/>
    <w:next w:val="906"/>
    <w:link w:val="778"/>
    <w:uiPriority w:val="99"/>
    <w:qFormat/>
    <w:pPr>
      <w:spacing w:after="0" w:line="240" w:lineRule="auto"/>
    </w:pPr>
    <w:tblPr/>
  </w:style>
  <w:style w:type="table" w:styleId="907">
    <w:name w:val="List Table 1 Light - Accent 6"/>
    <w:next w:val="907"/>
    <w:link w:val="778"/>
    <w:uiPriority w:val="99"/>
    <w:qFormat/>
    <w:pPr>
      <w:spacing w:after="0" w:line="240" w:lineRule="auto"/>
    </w:pPr>
    <w:tblPr/>
  </w:style>
  <w:style w:type="table" w:styleId="908">
    <w:name w:val="List Table 2"/>
    <w:next w:val="908"/>
    <w:link w:val="778"/>
    <w:uiPriority w:val="99"/>
    <w:qFormat/>
    <w:pPr>
      <w:spacing w:after="0" w:line="240" w:lineRule="auto"/>
    </w:pPr>
    <w:tblPr/>
  </w:style>
  <w:style w:type="table" w:styleId="909">
    <w:name w:val="List Table 2 - Accent 1"/>
    <w:next w:val="909"/>
    <w:link w:val="778"/>
    <w:uiPriority w:val="99"/>
    <w:qFormat/>
    <w:pPr>
      <w:spacing w:after="0" w:line="240" w:lineRule="auto"/>
    </w:pPr>
    <w:tblPr/>
  </w:style>
  <w:style w:type="table" w:styleId="910">
    <w:name w:val="List Table 2 - Accent 2"/>
    <w:next w:val="910"/>
    <w:link w:val="778"/>
    <w:uiPriority w:val="99"/>
    <w:qFormat/>
    <w:pPr>
      <w:spacing w:after="0" w:line="240" w:lineRule="auto"/>
    </w:pPr>
    <w:tblPr/>
  </w:style>
  <w:style w:type="table" w:styleId="911">
    <w:name w:val="List Table 2 - Accent 3"/>
    <w:next w:val="911"/>
    <w:link w:val="778"/>
    <w:uiPriority w:val="99"/>
    <w:qFormat/>
    <w:pPr>
      <w:spacing w:after="0" w:line="240" w:lineRule="auto"/>
    </w:pPr>
    <w:tblPr/>
  </w:style>
  <w:style w:type="table" w:styleId="912">
    <w:name w:val="List Table 2 - Accent 4"/>
    <w:next w:val="912"/>
    <w:link w:val="778"/>
    <w:uiPriority w:val="99"/>
    <w:qFormat/>
    <w:pPr>
      <w:spacing w:after="0" w:line="240" w:lineRule="auto"/>
    </w:pPr>
    <w:tblPr/>
  </w:style>
  <w:style w:type="table" w:styleId="913">
    <w:name w:val="List Table 2 - Accent 5"/>
    <w:next w:val="913"/>
    <w:link w:val="778"/>
    <w:uiPriority w:val="99"/>
    <w:qFormat/>
    <w:pPr>
      <w:spacing w:after="0" w:line="240" w:lineRule="auto"/>
    </w:pPr>
    <w:tblPr/>
  </w:style>
  <w:style w:type="table" w:styleId="914">
    <w:name w:val="List Table 2 - Accent 6"/>
    <w:next w:val="914"/>
    <w:link w:val="778"/>
    <w:uiPriority w:val="99"/>
    <w:qFormat/>
    <w:pPr>
      <w:spacing w:after="0" w:line="240" w:lineRule="auto"/>
    </w:pPr>
    <w:tblPr/>
  </w:style>
  <w:style w:type="table" w:styleId="915">
    <w:name w:val="List Table 3"/>
    <w:next w:val="915"/>
    <w:link w:val="778"/>
    <w:uiPriority w:val="99"/>
    <w:qFormat/>
    <w:pPr>
      <w:spacing w:after="0" w:line="240" w:lineRule="auto"/>
    </w:pPr>
    <w:tblPr/>
  </w:style>
  <w:style w:type="table" w:styleId="916">
    <w:name w:val="List Table 3 - Accent 1"/>
    <w:next w:val="916"/>
    <w:link w:val="778"/>
    <w:uiPriority w:val="99"/>
    <w:qFormat/>
    <w:pPr>
      <w:spacing w:after="0" w:line="240" w:lineRule="auto"/>
    </w:pPr>
    <w:tblPr/>
  </w:style>
  <w:style w:type="table" w:styleId="917">
    <w:name w:val="List Table 3 - Accent 2"/>
    <w:next w:val="917"/>
    <w:link w:val="778"/>
    <w:uiPriority w:val="99"/>
    <w:qFormat/>
    <w:pPr>
      <w:spacing w:after="0" w:line="240" w:lineRule="auto"/>
    </w:pPr>
    <w:tblPr/>
  </w:style>
  <w:style w:type="table" w:styleId="918">
    <w:name w:val="List Table 3 - Accent 3"/>
    <w:next w:val="918"/>
    <w:link w:val="778"/>
    <w:uiPriority w:val="99"/>
    <w:qFormat/>
    <w:pPr>
      <w:spacing w:after="0" w:line="240" w:lineRule="auto"/>
    </w:pPr>
    <w:tblPr/>
  </w:style>
  <w:style w:type="table" w:styleId="919">
    <w:name w:val="List Table 3 - Accent 4"/>
    <w:next w:val="919"/>
    <w:link w:val="778"/>
    <w:uiPriority w:val="99"/>
    <w:qFormat/>
    <w:pPr>
      <w:spacing w:after="0" w:line="240" w:lineRule="auto"/>
    </w:pPr>
    <w:tblPr/>
  </w:style>
  <w:style w:type="table" w:styleId="920">
    <w:name w:val="List Table 3 - Accent 5"/>
    <w:next w:val="920"/>
    <w:link w:val="778"/>
    <w:uiPriority w:val="99"/>
    <w:qFormat/>
    <w:pPr>
      <w:spacing w:after="0" w:line="240" w:lineRule="auto"/>
    </w:pPr>
    <w:tblPr/>
  </w:style>
  <w:style w:type="table" w:styleId="921">
    <w:name w:val="List Table 3 - Accent 6"/>
    <w:next w:val="921"/>
    <w:link w:val="778"/>
    <w:uiPriority w:val="99"/>
    <w:qFormat/>
    <w:pPr>
      <w:spacing w:after="0" w:line="240" w:lineRule="auto"/>
    </w:pPr>
    <w:tblPr/>
  </w:style>
  <w:style w:type="table" w:styleId="922">
    <w:name w:val="List Table 4"/>
    <w:next w:val="922"/>
    <w:link w:val="778"/>
    <w:uiPriority w:val="99"/>
    <w:qFormat/>
    <w:pPr>
      <w:spacing w:after="0" w:line="240" w:lineRule="auto"/>
    </w:pPr>
    <w:tblPr/>
  </w:style>
  <w:style w:type="table" w:styleId="923">
    <w:name w:val="List Table 4 - Accent 1"/>
    <w:next w:val="923"/>
    <w:link w:val="778"/>
    <w:uiPriority w:val="99"/>
    <w:qFormat/>
    <w:pPr>
      <w:spacing w:after="0" w:line="240" w:lineRule="auto"/>
    </w:pPr>
    <w:tblPr/>
  </w:style>
  <w:style w:type="table" w:styleId="924">
    <w:name w:val="List Table 4 - Accent 2"/>
    <w:next w:val="924"/>
    <w:link w:val="778"/>
    <w:uiPriority w:val="99"/>
    <w:qFormat/>
    <w:pPr>
      <w:spacing w:after="0" w:line="240" w:lineRule="auto"/>
    </w:pPr>
    <w:tblPr/>
  </w:style>
  <w:style w:type="table" w:styleId="925">
    <w:name w:val="List Table 4 - Accent 3"/>
    <w:next w:val="925"/>
    <w:link w:val="778"/>
    <w:uiPriority w:val="99"/>
    <w:qFormat/>
    <w:pPr>
      <w:spacing w:after="0" w:line="240" w:lineRule="auto"/>
    </w:pPr>
    <w:tblPr/>
  </w:style>
  <w:style w:type="table" w:styleId="926">
    <w:name w:val="List Table 4 - Accent 4"/>
    <w:next w:val="926"/>
    <w:link w:val="778"/>
    <w:uiPriority w:val="99"/>
    <w:qFormat/>
    <w:pPr>
      <w:spacing w:after="0" w:line="240" w:lineRule="auto"/>
    </w:pPr>
    <w:tblPr/>
  </w:style>
  <w:style w:type="table" w:styleId="927">
    <w:name w:val="List Table 4 - Accent 5"/>
    <w:next w:val="927"/>
    <w:link w:val="778"/>
    <w:uiPriority w:val="99"/>
    <w:qFormat/>
    <w:pPr>
      <w:spacing w:after="0" w:line="240" w:lineRule="auto"/>
    </w:pPr>
    <w:tblPr/>
  </w:style>
  <w:style w:type="table" w:styleId="928">
    <w:name w:val="List Table 4 - Accent 6"/>
    <w:next w:val="928"/>
    <w:link w:val="778"/>
    <w:uiPriority w:val="99"/>
    <w:qFormat/>
    <w:pPr>
      <w:spacing w:after="0" w:line="240" w:lineRule="auto"/>
    </w:pPr>
    <w:tblPr/>
  </w:style>
  <w:style w:type="table" w:styleId="929">
    <w:name w:val="List Table 5 Dark"/>
    <w:next w:val="929"/>
    <w:link w:val="778"/>
    <w:uiPriority w:val="99"/>
    <w:qFormat/>
    <w:pPr>
      <w:spacing w:after="0" w:line="240" w:lineRule="auto"/>
    </w:pPr>
    <w:tblPr/>
  </w:style>
  <w:style w:type="table" w:styleId="930">
    <w:name w:val="List Table 5 Dark - Accent 1"/>
    <w:next w:val="930"/>
    <w:link w:val="778"/>
    <w:uiPriority w:val="99"/>
    <w:qFormat/>
    <w:pPr>
      <w:spacing w:after="0" w:line="240" w:lineRule="auto"/>
    </w:pPr>
    <w:tblPr/>
  </w:style>
  <w:style w:type="table" w:styleId="931">
    <w:name w:val="List Table 5 Dark - Accent 2"/>
    <w:next w:val="931"/>
    <w:link w:val="778"/>
    <w:uiPriority w:val="99"/>
    <w:qFormat/>
    <w:pPr>
      <w:spacing w:after="0" w:line="240" w:lineRule="auto"/>
    </w:pPr>
    <w:tblPr/>
  </w:style>
  <w:style w:type="table" w:styleId="932">
    <w:name w:val="List Table 5 Dark - Accent 3"/>
    <w:next w:val="932"/>
    <w:link w:val="778"/>
    <w:uiPriority w:val="99"/>
    <w:qFormat/>
    <w:pPr>
      <w:spacing w:after="0" w:line="240" w:lineRule="auto"/>
    </w:pPr>
    <w:tblPr/>
  </w:style>
  <w:style w:type="table" w:styleId="933">
    <w:name w:val="List Table 5 Dark - Accent 4"/>
    <w:next w:val="933"/>
    <w:link w:val="778"/>
    <w:uiPriority w:val="99"/>
    <w:qFormat/>
    <w:pPr>
      <w:spacing w:after="0" w:line="240" w:lineRule="auto"/>
    </w:pPr>
    <w:tblPr/>
  </w:style>
  <w:style w:type="table" w:styleId="934">
    <w:name w:val="List Table 5 Dark - Accent 5"/>
    <w:next w:val="934"/>
    <w:link w:val="778"/>
    <w:uiPriority w:val="99"/>
    <w:qFormat/>
    <w:pPr>
      <w:spacing w:after="0" w:line="240" w:lineRule="auto"/>
    </w:pPr>
    <w:tblPr/>
  </w:style>
  <w:style w:type="table" w:styleId="935">
    <w:name w:val="List Table 5 Dark - Accent 6"/>
    <w:next w:val="935"/>
    <w:link w:val="778"/>
    <w:uiPriority w:val="99"/>
    <w:qFormat/>
    <w:pPr>
      <w:spacing w:after="0" w:line="240" w:lineRule="auto"/>
    </w:pPr>
    <w:tblPr/>
  </w:style>
  <w:style w:type="table" w:styleId="936">
    <w:name w:val="List Table 6 Colorful"/>
    <w:next w:val="936"/>
    <w:link w:val="778"/>
    <w:uiPriority w:val="99"/>
    <w:qFormat/>
    <w:pPr>
      <w:spacing w:after="0" w:line="240" w:lineRule="auto"/>
    </w:pPr>
    <w:tblPr/>
  </w:style>
  <w:style w:type="table" w:styleId="937">
    <w:name w:val="List Table 6 Colorful - Accent 1"/>
    <w:next w:val="937"/>
    <w:link w:val="778"/>
    <w:uiPriority w:val="99"/>
    <w:qFormat/>
    <w:pPr>
      <w:spacing w:after="0" w:line="240" w:lineRule="auto"/>
    </w:pPr>
    <w:tblPr/>
  </w:style>
  <w:style w:type="table" w:styleId="938">
    <w:name w:val="List Table 6 Colorful - Accent 2"/>
    <w:next w:val="938"/>
    <w:link w:val="778"/>
    <w:uiPriority w:val="99"/>
    <w:qFormat/>
    <w:pPr>
      <w:spacing w:after="0" w:line="240" w:lineRule="auto"/>
    </w:pPr>
    <w:tblPr/>
  </w:style>
  <w:style w:type="table" w:styleId="939">
    <w:name w:val="List Table 6 Colorful - Accent 3"/>
    <w:next w:val="939"/>
    <w:link w:val="778"/>
    <w:uiPriority w:val="99"/>
    <w:qFormat/>
    <w:pPr>
      <w:spacing w:after="0" w:line="240" w:lineRule="auto"/>
    </w:pPr>
    <w:tblPr/>
  </w:style>
  <w:style w:type="table" w:styleId="940">
    <w:name w:val="List Table 6 Colorful - Accent 4"/>
    <w:next w:val="940"/>
    <w:link w:val="778"/>
    <w:uiPriority w:val="99"/>
    <w:qFormat/>
    <w:pPr>
      <w:spacing w:after="0" w:line="240" w:lineRule="auto"/>
    </w:pPr>
    <w:tblPr/>
  </w:style>
  <w:style w:type="table" w:styleId="941">
    <w:name w:val="List Table 6 Colorful - Accent 5"/>
    <w:next w:val="941"/>
    <w:link w:val="778"/>
    <w:uiPriority w:val="99"/>
    <w:qFormat/>
    <w:pPr>
      <w:spacing w:after="0" w:line="240" w:lineRule="auto"/>
    </w:pPr>
    <w:tblPr/>
  </w:style>
  <w:style w:type="table" w:styleId="942">
    <w:name w:val="List Table 6 Colorful - Accent 6"/>
    <w:next w:val="942"/>
    <w:link w:val="778"/>
    <w:uiPriority w:val="99"/>
    <w:qFormat/>
    <w:pPr>
      <w:spacing w:after="0" w:line="240" w:lineRule="auto"/>
    </w:pPr>
    <w:tblPr/>
  </w:style>
  <w:style w:type="table" w:styleId="943">
    <w:name w:val="List Table 7 Colorful"/>
    <w:next w:val="943"/>
    <w:link w:val="778"/>
    <w:uiPriority w:val="99"/>
    <w:qFormat/>
    <w:pPr>
      <w:spacing w:after="0" w:line="240" w:lineRule="auto"/>
    </w:pPr>
    <w:tblPr/>
  </w:style>
  <w:style w:type="table" w:styleId="944">
    <w:name w:val="List Table 7 Colorful - Accent 1"/>
    <w:next w:val="944"/>
    <w:link w:val="778"/>
    <w:uiPriority w:val="99"/>
    <w:qFormat/>
    <w:pPr>
      <w:spacing w:after="0" w:line="240" w:lineRule="auto"/>
    </w:pPr>
    <w:tblPr/>
  </w:style>
  <w:style w:type="table" w:styleId="945">
    <w:name w:val="List Table 7 Colorful - Accent 2"/>
    <w:next w:val="945"/>
    <w:link w:val="778"/>
    <w:uiPriority w:val="99"/>
    <w:qFormat/>
    <w:pPr>
      <w:spacing w:after="0" w:line="240" w:lineRule="auto"/>
    </w:pPr>
    <w:tblPr/>
  </w:style>
  <w:style w:type="table" w:styleId="946">
    <w:name w:val="List Table 7 Colorful - Accent 3"/>
    <w:next w:val="946"/>
    <w:link w:val="778"/>
    <w:uiPriority w:val="99"/>
    <w:qFormat/>
    <w:pPr>
      <w:spacing w:after="0" w:line="240" w:lineRule="auto"/>
    </w:pPr>
    <w:tblPr/>
  </w:style>
  <w:style w:type="table" w:styleId="947">
    <w:name w:val="List Table 7 Colorful - Accent 4"/>
    <w:next w:val="947"/>
    <w:link w:val="778"/>
    <w:uiPriority w:val="99"/>
    <w:qFormat/>
    <w:pPr>
      <w:spacing w:after="0" w:line="240" w:lineRule="auto"/>
    </w:pPr>
    <w:tblPr/>
  </w:style>
  <w:style w:type="table" w:styleId="948">
    <w:name w:val="List Table 7 Colorful - Accent 5"/>
    <w:next w:val="948"/>
    <w:link w:val="778"/>
    <w:uiPriority w:val="99"/>
    <w:qFormat/>
    <w:pPr>
      <w:spacing w:after="0" w:line="240" w:lineRule="auto"/>
    </w:pPr>
    <w:tblPr/>
  </w:style>
  <w:style w:type="table" w:styleId="949">
    <w:name w:val="List Table 7 Colorful - Accent 6"/>
    <w:next w:val="949"/>
    <w:link w:val="778"/>
    <w:uiPriority w:val="99"/>
    <w:qFormat/>
    <w:pPr>
      <w:spacing w:after="0" w:line="240" w:lineRule="auto"/>
    </w:pPr>
    <w:tblPr/>
  </w:style>
  <w:style w:type="table" w:styleId="950">
    <w:name w:val="Lined - Accent"/>
    <w:next w:val="950"/>
    <w:link w:val="778"/>
    <w:uiPriority w:val="99"/>
    <w:qFormat/>
    <w:pPr>
      <w:spacing w:after="0" w:line="240" w:lineRule="auto"/>
    </w:pPr>
    <w:rPr>
      <w:color w:val="404040"/>
    </w:rPr>
    <w:tblPr/>
  </w:style>
  <w:style w:type="table" w:styleId="951">
    <w:name w:val="Lined - Accent 1"/>
    <w:next w:val="951"/>
    <w:link w:val="778"/>
    <w:uiPriority w:val="99"/>
    <w:qFormat/>
    <w:pPr>
      <w:spacing w:after="0" w:line="240" w:lineRule="auto"/>
    </w:pPr>
    <w:rPr>
      <w:color w:val="404040"/>
    </w:rPr>
    <w:tblPr/>
  </w:style>
  <w:style w:type="table" w:styleId="952">
    <w:name w:val="Lined - Accent 2"/>
    <w:next w:val="952"/>
    <w:link w:val="778"/>
    <w:uiPriority w:val="99"/>
    <w:qFormat/>
    <w:pPr>
      <w:spacing w:after="0" w:line="240" w:lineRule="auto"/>
    </w:pPr>
    <w:rPr>
      <w:color w:val="404040"/>
    </w:rPr>
    <w:tblPr/>
  </w:style>
  <w:style w:type="table" w:styleId="953">
    <w:name w:val="Lined - Accent 3"/>
    <w:next w:val="953"/>
    <w:link w:val="778"/>
    <w:uiPriority w:val="99"/>
    <w:qFormat/>
    <w:pPr>
      <w:spacing w:after="0" w:line="240" w:lineRule="auto"/>
    </w:pPr>
    <w:rPr>
      <w:color w:val="404040"/>
    </w:rPr>
    <w:tblPr/>
  </w:style>
  <w:style w:type="table" w:styleId="954">
    <w:name w:val="Lined - Accent 4"/>
    <w:next w:val="954"/>
    <w:link w:val="778"/>
    <w:uiPriority w:val="99"/>
    <w:qFormat/>
    <w:pPr>
      <w:spacing w:after="0" w:line="240" w:lineRule="auto"/>
    </w:pPr>
    <w:rPr>
      <w:color w:val="404040"/>
    </w:rPr>
    <w:tblPr/>
  </w:style>
  <w:style w:type="table" w:styleId="955">
    <w:name w:val="Lined - Accent 5"/>
    <w:next w:val="955"/>
    <w:link w:val="778"/>
    <w:uiPriority w:val="99"/>
    <w:qFormat/>
    <w:pPr>
      <w:spacing w:after="0" w:line="240" w:lineRule="auto"/>
    </w:pPr>
    <w:rPr>
      <w:color w:val="404040"/>
    </w:rPr>
    <w:tblPr/>
  </w:style>
  <w:style w:type="table" w:styleId="956">
    <w:name w:val="Lined - Accent 6"/>
    <w:next w:val="956"/>
    <w:link w:val="778"/>
    <w:uiPriority w:val="99"/>
    <w:qFormat/>
    <w:pPr>
      <w:spacing w:after="0" w:line="240" w:lineRule="auto"/>
    </w:pPr>
    <w:rPr>
      <w:color w:val="404040"/>
    </w:rPr>
    <w:tblPr/>
  </w:style>
  <w:style w:type="table" w:styleId="957">
    <w:name w:val="Bordered &amp; Lined - Accent"/>
    <w:next w:val="957"/>
    <w:link w:val="778"/>
    <w:uiPriority w:val="99"/>
    <w:qFormat/>
    <w:pPr>
      <w:spacing w:after="0" w:line="240" w:lineRule="auto"/>
    </w:pPr>
    <w:rPr>
      <w:color w:val="404040"/>
    </w:rPr>
    <w:tblPr/>
  </w:style>
  <w:style w:type="table" w:styleId="958">
    <w:name w:val="Bordered &amp; Lined - Accent 1"/>
    <w:next w:val="958"/>
    <w:link w:val="778"/>
    <w:uiPriority w:val="99"/>
    <w:qFormat/>
    <w:pPr>
      <w:spacing w:after="0" w:line="240" w:lineRule="auto"/>
    </w:pPr>
    <w:rPr>
      <w:color w:val="404040"/>
    </w:rPr>
    <w:tblPr/>
  </w:style>
  <w:style w:type="table" w:styleId="959">
    <w:name w:val="Bordered &amp; Lined - Accent 2"/>
    <w:next w:val="959"/>
    <w:link w:val="778"/>
    <w:uiPriority w:val="99"/>
    <w:qFormat/>
    <w:pPr>
      <w:spacing w:after="0" w:line="240" w:lineRule="auto"/>
    </w:pPr>
    <w:rPr>
      <w:color w:val="404040"/>
    </w:rPr>
    <w:tblPr/>
  </w:style>
  <w:style w:type="table" w:styleId="960">
    <w:name w:val="Bordered &amp; Lined - Accent 3"/>
    <w:next w:val="960"/>
    <w:link w:val="778"/>
    <w:uiPriority w:val="99"/>
    <w:qFormat/>
    <w:pPr>
      <w:spacing w:after="0" w:line="240" w:lineRule="auto"/>
    </w:pPr>
    <w:rPr>
      <w:color w:val="404040"/>
    </w:rPr>
    <w:tblPr/>
  </w:style>
  <w:style w:type="table" w:styleId="961">
    <w:name w:val="Bordered &amp; Lined - Accent 4"/>
    <w:next w:val="961"/>
    <w:link w:val="778"/>
    <w:uiPriority w:val="99"/>
    <w:qFormat/>
    <w:pPr>
      <w:spacing w:after="0" w:line="240" w:lineRule="auto"/>
    </w:pPr>
    <w:rPr>
      <w:color w:val="404040"/>
    </w:rPr>
    <w:tblPr/>
  </w:style>
  <w:style w:type="table" w:styleId="962">
    <w:name w:val="Bordered &amp; Lined - Accent 5"/>
    <w:next w:val="962"/>
    <w:link w:val="778"/>
    <w:uiPriority w:val="99"/>
    <w:qFormat/>
    <w:pPr>
      <w:spacing w:after="0" w:line="240" w:lineRule="auto"/>
    </w:pPr>
    <w:rPr>
      <w:color w:val="404040"/>
    </w:rPr>
    <w:tblPr/>
  </w:style>
  <w:style w:type="table" w:styleId="963">
    <w:name w:val="Bordered &amp; Lined - Accent 6"/>
    <w:next w:val="963"/>
    <w:link w:val="778"/>
    <w:uiPriority w:val="99"/>
    <w:qFormat/>
    <w:pPr>
      <w:spacing w:after="0" w:line="240" w:lineRule="auto"/>
    </w:pPr>
    <w:rPr>
      <w:color w:val="404040"/>
    </w:rPr>
    <w:tblPr/>
  </w:style>
  <w:style w:type="table" w:styleId="964">
    <w:name w:val="Bordered"/>
    <w:next w:val="964"/>
    <w:link w:val="778"/>
    <w:uiPriority w:val="99"/>
    <w:qFormat/>
    <w:pPr>
      <w:spacing w:after="0" w:line="240" w:lineRule="auto"/>
    </w:pPr>
    <w:tblPr/>
  </w:style>
  <w:style w:type="table" w:styleId="965">
    <w:name w:val="Bordered - Accent 1"/>
    <w:next w:val="965"/>
    <w:link w:val="778"/>
    <w:uiPriority w:val="99"/>
    <w:qFormat/>
    <w:pPr>
      <w:spacing w:after="0" w:line="240" w:lineRule="auto"/>
    </w:pPr>
    <w:tblPr/>
  </w:style>
  <w:style w:type="table" w:styleId="966">
    <w:name w:val="Bordered - Accent 2"/>
    <w:next w:val="966"/>
    <w:link w:val="778"/>
    <w:uiPriority w:val="99"/>
    <w:qFormat/>
    <w:pPr>
      <w:spacing w:after="0" w:line="240" w:lineRule="auto"/>
    </w:pPr>
    <w:tblPr/>
  </w:style>
  <w:style w:type="table" w:styleId="967">
    <w:name w:val="Bordered - Accent 3"/>
    <w:next w:val="967"/>
    <w:link w:val="778"/>
    <w:uiPriority w:val="99"/>
    <w:qFormat/>
    <w:pPr>
      <w:spacing w:after="0" w:line="240" w:lineRule="auto"/>
    </w:pPr>
    <w:tblPr/>
  </w:style>
  <w:style w:type="table" w:styleId="968">
    <w:name w:val="Bordered - Accent 4"/>
    <w:next w:val="968"/>
    <w:link w:val="778"/>
    <w:uiPriority w:val="99"/>
    <w:qFormat/>
    <w:pPr>
      <w:spacing w:after="0" w:line="240" w:lineRule="auto"/>
    </w:pPr>
    <w:tblPr/>
  </w:style>
  <w:style w:type="table" w:styleId="969">
    <w:name w:val="Bordered - Accent 5"/>
    <w:next w:val="969"/>
    <w:link w:val="778"/>
    <w:uiPriority w:val="99"/>
    <w:qFormat/>
    <w:pPr>
      <w:spacing w:after="0" w:line="240" w:lineRule="auto"/>
    </w:pPr>
    <w:tblPr/>
  </w:style>
  <w:style w:type="table" w:styleId="970">
    <w:name w:val="Bordered - Accent 6"/>
    <w:next w:val="970"/>
    <w:link w:val="778"/>
    <w:uiPriority w:val="99"/>
    <w:qFormat/>
    <w:pPr>
      <w:spacing w:after="0" w:line="240" w:lineRule="auto"/>
    </w:pPr>
    <w:tblPr/>
  </w:style>
  <w:style w:type="paragraph" w:styleId="971">
    <w:name w:val="TOC Heading"/>
    <w:next w:val="971"/>
    <w:link w:val="778"/>
    <w:uiPriority w:val="39"/>
    <w:unhideWhenUsed/>
    <w:qFormat/>
    <w:rPr>
      <w:rFonts w:ascii="Times New Roman" w:hAnsi="Times New Roman" w:eastAsia="宋体" w:cs="Times New Roman"/>
    </w:rPr>
  </w:style>
  <w:style w:type="paragraph" w:styleId="972">
    <w:name w:val="标题 21"/>
    <w:basedOn w:val="778"/>
    <w:next w:val="836"/>
    <w:link w:val="973"/>
    <w:qFormat/>
    <w:pPr>
      <w:jc w:val="center"/>
      <w:keepLines/>
      <w:keepNext/>
      <w:spacing w:before="260" w:after="260" w:line="416" w:lineRule="auto"/>
      <w:outlineLvl w:val="1"/>
    </w:pPr>
    <w:rPr>
      <w:rFonts w:ascii="Arial" w:hAnsi="Arial" w:eastAsia="幼圆"/>
      <w:b/>
      <w:bCs/>
      <w:sz w:val="44"/>
      <w:szCs w:val="44"/>
    </w:rPr>
  </w:style>
  <w:style w:type="character" w:styleId="973">
    <w:name w:val="标题 2 Char"/>
    <w:next w:val="973"/>
    <w:link w:val="972"/>
    <w:qFormat/>
    <w:rPr>
      <w:rFonts w:ascii="Arial" w:hAnsi="Arial" w:eastAsia="幼圆" w:cs="Arial"/>
      <w:b/>
      <w:bCs/>
      <w:sz w:val="44"/>
      <w:szCs w:val="44"/>
    </w:rPr>
  </w:style>
  <w:style w:type="paragraph" w:styleId="974">
    <w:name w:val="标题 411"/>
    <w:basedOn w:val="778"/>
    <w:next w:val="778"/>
    <w:link w:val="975"/>
    <w:uiPriority w:val="9"/>
    <w:qFormat/>
    <w:pPr>
      <w:keepLines/>
      <w:keepNext/>
      <w:spacing w:before="280" w:after="290" w:line="376" w:lineRule="auto"/>
      <w:outlineLvl w:val="3"/>
    </w:pPr>
    <w:rPr>
      <w:rFonts w:ascii="Arial" w:hAnsi="Arial" w:eastAsia="黑体"/>
      <w:b/>
      <w:bCs/>
      <w:sz w:val="28"/>
      <w:szCs w:val="28"/>
    </w:rPr>
  </w:style>
  <w:style w:type="character" w:styleId="975">
    <w:name w:val="标题 4 Char"/>
    <w:next w:val="975"/>
    <w:link w:val="974"/>
    <w:uiPriority w:val="9"/>
    <w:qFormat/>
    <w:rPr>
      <w:rFonts w:ascii="Arial" w:hAnsi="Arial" w:eastAsia="黑体" w:cs="Arial"/>
      <w:b/>
      <w:bCs/>
      <w:sz w:val="28"/>
      <w:szCs w:val="28"/>
    </w:rPr>
  </w:style>
  <w:style w:type="paragraph" w:styleId="976">
    <w:name w:val="标题 51"/>
    <w:basedOn w:val="778"/>
    <w:next w:val="836"/>
    <w:link w:val="977"/>
    <w:qFormat/>
    <w:pPr>
      <w:keepNext/>
      <w:outlineLvl w:val="4"/>
    </w:pPr>
    <w:rPr>
      <w:rFonts w:ascii="宋体"/>
      <w:color w:val="000000"/>
      <w:sz w:val="28"/>
      <w:szCs w:val="28"/>
    </w:rPr>
  </w:style>
  <w:style w:type="character" w:styleId="977">
    <w:name w:val="标题 5 Char"/>
    <w:next w:val="977"/>
    <w:link w:val="976"/>
    <w:qFormat/>
    <w:rPr>
      <w:rFonts w:ascii="宋体" w:hAnsi="Times New Roman" w:eastAsia="宋体" w:cs="Times New Roman"/>
      <w:color w:val="000000"/>
      <w:sz w:val="28"/>
      <w:szCs w:val="28"/>
    </w:rPr>
  </w:style>
  <w:style w:type="paragraph" w:styleId="978">
    <w:name w:val="标题 61"/>
    <w:basedOn w:val="778"/>
    <w:next w:val="778"/>
    <w:link w:val="979"/>
    <w:qFormat/>
    <w:pPr>
      <w:numPr>
        <w:ilvl w:val="5"/>
        <w:numId w:val="1"/>
      </w:numPr>
      <w:keepLines/>
      <w:keepNext/>
      <w:spacing w:before="240" w:after="64" w:line="320" w:lineRule="auto"/>
      <w:outlineLvl w:val="5"/>
    </w:pPr>
    <w:rPr>
      <w:rFonts w:ascii="Arial" w:hAnsi="Arial" w:eastAsia="黑体"/>
      <w:b/>
      <w:bCs/>
      <w:sz w:val="24"/>
      <w:szCs w:val="24"/>
    </w:rPr>
  </w:style>
  <w:style w:type="character" w:styleId="979">
    <w:name w:val="标题 6 Char"/>
    <w:next w:val="979"/>
    <w:link w:val="978"/>
    <w:qFormat/>
    <w:rPr>
      <w:rFonts w:ascii="Arial" w:hAnsi="Arial" w:eastAsia="黑体" w:cs="Times New Roman"/>
      <w:b/>
      <w:bCs/>
      <w:sz w:val="24"/>
      <w:szCs w:val="24"/>
    </w:rPr>
  </w:style>
  <w:style w:type="paragraph" w:styleId="980">
    <w:name w:val="标题 71"/>
    <w:basedOn w:val="778"/>
    <w:next w:val="778"/>
    <w:link w:val="981"/>
    <w:qFormat/>
    <w:pPr>
      <w:numPr>
        <w:ilvl w:val="6"/>
        <w:numId w:val="1"/>
      </w:numPr>
      <w:keepLines/>
      <w:keepNext/>
      <w:spacing w:before="240" w:after="64" w:line="320" w:lineRule="auto"/>
      <w:outlineLvl w:val="6"/>
    </w:pPr>
    <w:rPr>
      <w:b/>
      <w:bCs/>
      <w:sz w:val="24"/>
      <w:szCs w:val="24"/>
    </w:rPr>
  </w:style>
  <w:style w:type="character" w:styleId="981">
    <w:name w:val="标题 7 Char"/>
    <w:next w:val="981"/>
    <w:link w:val="980"/>
    <w:qFormat/>
    <w:rPr>
      <w:rFonts w:ascii="Times New Roman" w:hAnsi="Times New Roman" w:eastAsia="宋体" w:cs="Times New Roman"/>
      <w:b/>
      <w:bCs/>
      <w:sz w:val="24"/>
      <w:szCs w:val="24"/>
    </w:rPr>
  </w:style>
  <w:style w:type="paragraph" w:styleId="982">
    <w:name w:val="标题 81"/>
    <w:basedOn w:val="778"/>
    <w:next w:val="778"/>
    <w:link w:val="983"/>
    <w:qFormat/>
    <w:pPr>
      <w:numPr>
        <w:ilvl w:val="7"/>
        <w:numId w:val="1"/>
      </w:numPr>
      <w:keepLines/>
      <w:keepNext/>
      <w:spacing w:before="240" w:after="64" w:line="320" w:lineRule="auto"/>
      <w:outlineLvl w:val="7"/>
    </w:pPr>
    <w:rPr>
      <w:rFonts w:ascii="Arial" w:hAnsi="Arial" w:eastAsia="黑体"/>
      <w:sz w:val="24"/>
      <w:szCs w:val="24"/>
    </w:rPr>
  </w:style>
  <w:style w:type="character" w:styleId="983">
    <w:name w:val="标题 8 Char"/>
    <w:next w:val="983"/>
    <w:link w:val="982"/>
    <w:qFormat/>
    <w:rPr>
      <w:rFonts w:ascii="Arial" w:hAnsi="Arial" w:eastAsia="黑体" w:cs="Times New Roman"/>
      <w:sz w:val="24"/>
      <w:szCs w:val="24"/>
    </w:rPr>
  </w:style>
  <w:style w:type="paragraph" w:styleId="984">
    <w:name w:val="标题 91"/>
    <w:basedOn w:val="778"/>
    <w:next w:val="778"/>
    <w:link w:val="985"/>
    <w:qFormat/>
    <w:pPr>
      <w:numPr>
        <w:ilvl w:val="8"/>
        <w:numId w:val="1"/>
      </w:numPr>
      <w:keepLines/>
      <w:keepNext/>
      <w:spacing w:before="240" w:after="64" w:line="320" w:lineRule="auto"/>
      <w:outlineLvl w:val="8"/>
    </w:pPr>
    <w:rPr>
      <w:rFonts w:ascii="Arial" w:hAnsi="Arial" w:eastAsia="黑体"/>
      <w:sz w:val="20"/>
    </w:rPr>
  </w:style>
  <w:style w:type="character" w:styleId="985">
    <w:name w:val="标题 9 Char"/>
    <w:next w:val="985"/>
    <w:link w:val="984"/>
    <w:qFormat/>
    <w:rPr>
      <w:rFonts w:ascii="Arial" w:hAnsi="Arial" w:eastAsia="黑体" w:cs="Times New Roman"/>
      <w:szCs w:val="21"/>
    </w:rPr>
  </w:style>
  <w:style w:type="character" w:styleId="986">
    <w:name w:val="默认段落字体1"/>
    <w:next w:val="986"/>
    <w:link w:val="778"/>
    <w:uiPriority w:val="1"/>
    <w:unhideWhenUsed/>
    <w:qFormat/>
  </w:style>
  <w:style w:type="table" w:styleId="987">
    <w:name w:val="普通表格1"/>
    <w:next w:val="987"/>
    <w:link w:val="778"/>
    <w:uiPriority w:val="99"/>
    <w:unhideWhenUsed/>
    <w:qFormat/>
    <w:tblPr/>
  </w:style>
  <w:style w:type="paragraph" w:styleId="988">
    <w:name w:val="列表 31"/>
    <w:basedOn w:val="778"/>
    <w:next w:val="988"/>
    <w:link w:val="778"/>
    <w:qFormat/>
    <w:pPr>
      <w:ind w:left="100" w:hanging="200"/>
    </w:pPr>
  </w:style>
  <w:style w:type="paragraph" w:styleId="989">
    <w:name w:val="目录 71"/>
    <w:basedOn w:val="778"/>
    <w:next w:val="778"/>
    <w:link w:val="778"/>
    <w:semiHidden/>
    <w:qFormat/>
    <w:pPr>
      <w:ind w:left="1260"/>
      <w:jc w:val="left"/>
    </w:pPr>
  </w:style>
  <w:style w:type="paragraph" w:styleId="990">
    <w:name w:val="文档结构图1"/>
    <w:basedOn w:val="778"/>
    <w:next w:val="990"/>
    <w:link w:val="991"/>
    <w:semiHidden/>
    <w:qFormat/>
    <w:pPr>
      <w:shd w:val="clear" w:color="auto" w:fill="000080"/>
    </w:pPr>
    <w:rPr>
      <w:sz w:val="20"/>
    </w:rPr>
  </w:style>
  <w:style w:type="character" w:styleId="991">
    <w:name w:val="文档结构图 Char"/>
    <w:next w:val="991"/>
    <w:link w:val="990"/>
    <w:semiHidden/>
    <w:qFormat/>
    <w:rPr>
      <w:rFonts w:ascii="Times New Roman" w:hAnsi="Times New Roman" w:eastAsia="宋体" w:cs="Times New Roman"/>
      <w:szCs w:val="21"/>
      <w:shd w:val="clear" w:color="auto" w:fill="000080"/>
    </w:rPr>
  </w:style>
  <w:style w:type="paragraph" w:styleId="992">
    <w:name w:val="批注文字1"/>
    <w:basedOn w:val="778"/>
    <w:next w:val="992"/>
    <w:link w:val="993"/>
    <w:uiPriority w:val="99"/>
    <w:semiHidden/>
    <w:qFormat/>
    <w:pPr>
      <w:jc w:val="left"/>
    </w:pPr>
    <w:rPr>
      <w:sz w:val="20"/>
    </w:rPr>
  </w:style>
  <w:style w:type="character" w:styleId="993">
    <w:name w:val="批注文字 Char"/>
    <w:next w:val="993"/>
    <w:link w:val="992"/>
    <w:uiPriority w:val="99"/>
    <w:semiHidden/>
    <w:qFormat/>
    <w:rPr>
      <w:rFonts w:ascii="Times New Roman" w:hAnsi="Times New Roman" w:eastAsia="宋体" w:cs="Times New Roman"/>
      <w:szCs w:val="21"/>
    </w:rPr>
  </w:style>
  <w:style w:type="paragraph" w:styleId="994">
    <w:name w:val="正文文本 31"/>
    <w:basedOn w:val="778"/>
    <w:next w:val="994"/>
    <w:link w:val="995"/>
    <w:qFormat/>
    <w:rPr>
      <w:rFonts w:ascii="仿宋_GB2312" w:hAnsi="Arial" w:eastAsia="仿宋_GB2312"/>
      <w:sz w:val="32"/>
      <w:szCs w:val="32"/>
    </w:rPr>
  </w:style>
  <w:style w:type="character" w:styleId="995">
    <w:name w:val="正文文本 3 Char"/>
    <w:next w:val="995"/>
    <w:link w:val="994"/>
    <w:qFormat/>
    <w:rPr>
      <w:rFonts w:ascii="仿宋_GB2312" w:hAnsi="Arial" w:eastAsia="仿宋_GB2312" w:cs="Times New Roman"/>
      <w:sz w:val="32"/>
      <w:szCs w:val="32"/>
    </w:rPr>
  </w:style>
  <w:style w:type="paragraph" w:styleId="996">
    <w:name w:val="正文文本1"/>
    <w:basedOn w:val="778"/>
    <w:next w:val="996"/>
    <w:link w:val="997"/>
    <w:uiPriority w:val="99"/>
    <w:qFormat/>
    <w:rPr>
      <w:rFonts w:ascii="楷体_GB2312" w:hAnsi="Arial" w:eastAsia="楷体_GB2312"/>
      <w:sz w:val="28"/>
      <w:szCs w:val="28"/>
    </w:rPr>
  </w:style>
  <w:style w:type="character" w:styleId="997">
    <w:name w:val="正文文本 Char"/>
    <w:next w:val="997"/>
    <w:link w:val="996"/>
    <w:qFormat/>
    <w:rPr>
      <w:rFonts w:ascii="楷体_GB2312" w:hAnsi="Arial" w:eastAsia="楷体_GB2312" w:cs="Times New Roman"/>
      <w:sz w:val="28"/>
      <w:szCs w:val="28"/>
    </w:rPr>
  </w:style>
  <w:style w:type="paragraph" w:styleId="998">
    <w:name w:val="正文文本缩进1"/>
    <w:basedOn w:val="778"/>
    <w:next w:val="1000"/>
    <w:link w:val="999"/>
    <w:uiPriority w:val="99"/>
    <w:qFormat/>
    <w:pPr>
      <w:ind w:firstLine="645"/>
    </w:pPr>
    <w:rPr>
      <w:rFonts w:ascii="楷体_GB2312" w:eastAsia="楷体_GB2312"/>
      <w:sz w:val="32"/>
      <w:szCs w:val="32"/>
    </w:rPr>
  </w:style>
  <w:style w:type="character" w:styleId="999">
    <w:name w:val="正文文本缩进 Char"/>
    <w:next w:val="999"/>
    <w:link w:val="998"/>
    <w:qFormat/>
    <w:rPr>
      <w:rFonts w:ascii="楷体_GB2312" w:hAnsi="Times New Roman" w:eastAsia="楷体_GB2312" w:cs="Times New Roman"/>
      <w:sz w:val="32"/>
      <w:szCs w:val="32"/>
    </w:rPr>
  </w:style>
  <w:style w:type="paragraph" w:styleId="1000">
    <w:name w:val="寄信人地址1"/>
    <w:basedOn w:val="778"/>
    <w:next w:val="1000"/>
    <w:link w:val="778"/>
    <w:uiPriority w:val="99"/>
    <w:unhideWhenUsed/>
    <w:qFormat/>
    <w:rPr>
      <w:rFonts w:hint="eastAsia" w:ascii="Arial" w:hAnsi="Arial" w:eastAsia="宋体" w:cs="Times New Roman"/>
      <w:sz w:val="24"/>
      <w:szCs w:val="24"/>
    </w:rPr>
  </w:style>
  <w:style w:type="paragraph" w:styleId="1001">
    <w:name w:val="列表 21"/>
    <w:basedOn w:val="778"/>
    <w:next w:val="1001"/>
    <w:link w:val="778"/>
    <w:qFormat/>
    <w:pPr>
      <w:ind w:left="100" w:hanging="200"/>
    </w:pPr>
  </w:style>
  <w:style w:type="paragraph" w:styleId="1002">
    <w:name w:val="索引 41"/>
    <w:basedOn w:val="778"/>
    <w:next w:val="778"/>
    <w:link w:val="778"/>
    <w:uiPriority w:val="99"/>
    <w:qFormat/>
    <w:pPr>
      <w:ind w:left="600"/>
    </w:pPr>
    <w:rPr>
      <w:rFonts w:ascii="Calibri" w:hAnsi="Calibri" w:eastAsia="宋体" w:cs="Times New Roman"/>
      <w:szCs w:val="24"/>
    </w:rPr>
  </w:style>
  <w:style w:type="paragraph" w:styleId="1003">
    <w:name w:val="目录 51"/>
    <w:basedOn w:val="778"/>
    <w:next w:val="778"/>
    <w:link w:val="778"/>
    <w:semiHidden/>
    <w:qFormat/>
    <w:pPr>
      <w:ind w:left="840"/>
      <w:jc w:val="left"/>
    </w:pPr>
  </w:style>
  <w:style w:type="paragraph" w:styleId="1004">
    <w:name w:val="目录 31"/>
    <w:basedOn w:val="778"/>
    <w:next w:val="778"/>
    <w:link w:val="778"/>
    <w:semiHidden/>
    <w:qFormat/>
    <w:pPr>
      <w:ind w:left="420"/>
      <w:jc w:val="left"/>
    </w:pPr>
    <w:rPr>
      <w:i/>
      <w:iCs/>
      <w:szCs w:val="24"/>
    </w:rPr>
  </w:style>
  <w:style w:type="paragraph" w:styleId="1005">
    <w:name w:val="纯文本1"/>
    <w:basedOn w:val="778"/>
    <w:next w:val="1005"/>
    <w:link w:val="1006"/>
    <w:qFormat/>
    <w:rPr>
      <w:rFonts w:ascii="宋体" w:hAnsi="Courier New"/>
      <w:sz w:val="20"/>
    </w:rPr>
  </w:style>
  <w:style w:type="character" w:styleId="1006">
    <w:name w:val="纯文本 Char"/>
    <w:next w:val="1006"/>
    <w:link w:val="1005"/>
    <w:qFormat/>
    <w:rPr>
      <w:rFonts w:ascii="宋体" w:hAnsi="Courier New" w:eastAsia="宋体" w:cs="Courier New"/>
      <w:szCs w:val="21"/>
    </w:rPr>
  </w:style>
  <w:style w:type="paragraph" w:styleId="1007">
    <w:name w:val="目录 81"/>
    <w:basedOn w:val="778"/>
    <w:next w:val="778"/>
    <w:link w:val="778"/>
    <w:semiHidden/>
    <w:qFormat/>
    <w:pPr>
      <w:ind w:left="1470"/>
      <w:jc w:val="left"/>
    </w:pPr>
  </w:style>
  <w:style w:type="paragraph" w:styleId="1008">
    <w:name w:val="日期1"/>
    <w:basedOn w:val="778"/>
    <w:next w:val="778"/>
    <w:link w:val="1009"/>
    <w:qFormat/>
    <w:rPr>
      <w:sz w:val="24"/>
      <w:szCs w:val="24"/>
    </w:rPr>
  </w:style>
  <w:style w:type="character" w:styleId="1009">
    <w:name w:val="日期 Char"/>
    <w:next w:val="1009"/>
    <w:link w:val="1008"/>
    <w:qFormat/>
    <w:rPr>
      <w:rFonts w:ascii="Times New Roman" w:hAnsi="Times New Roman" w:eastAsia="宋体" w:cs="Times New Roman"/>
      <w:sz w:val="24"/>
      <w:szCs w:val="24"/>
    </w:rPr>
  </w:style>
  <w:style w:type="paragraph" w:styleId="1010">
    <w:name w:val="正文文本缩进 21"/>
    <w:basedOn w:val="778"/>
    <w:next w:val="1010"/>
    <w:link w:val="1011"/>
    <w:qFormat/>
    <w:pPr>
      <w:ind w:left="630" w:firstLine="645"/>
    </w:pPr>
    <w:rPr>
      <w:rFonts w:ascii="Arial" w:hAnsi="Arial" w:eastAsia="仿宋_GB2312"/>
      <w:sz w:val="32"/>
      <w:szCs w:val="32"/>
    </w:rPr>
  </w:style>
  <w:style w:type="character" w:styleId="1011">
    <w:name w:val="正文文本缩进 2 Char"/>
    <w:next w:val="1011"/>
    <w:link w:val="1010"/>
    <w:qFormat/>
    <w:rPr>
      <w:rFonts w:ascii="Arial" w:hAnsi="Arial" w:eastAsia="仿宋_GB2312" w:cs="Arial"/>
      <w:sz w:val="32"/>
      <w:szCs w:val="32"/>
    </w:rPr>
  </w:style>
  <w:style w:type="paragraph" w:styleId="1012">
    <w:name w:val="批注框文本1"/>
    <w:basedOn w:val="778"/>
    <w:next w:val="1012"/>
    <w:link w:val="1013"/>
    <w:qFormat/>
    <w:rPr>
      <w:sz w:val="18"/>
      <w:szCs w:val="18"/>
    </w:rPr>
  </w:style>
  <w:style w:type="character" w:styleId="1013">
    <w:name w:val="批注框文本 Char"/>
    <w:next w:val="1013"/>
    <w:link w:val="1012"/>
    <w:qFormat/>
    <w:rPr>
      <w:rFonts w:ascii="Times New Roman" w:hAnsi="Times New Roman" w:eastAsia="宋体" w:cs="Times New Roman"/>
      <w:sz w:val="18"/>
      <w:szCs w:val="18"/>
    </w:rPr>
  </w:style>
  <w:style w:type="paragraph" w:styleId="1014">
    <w:name w:val="页脚11"/>
    <w:basedOn w:val="778"/>
    <w:next w:val="1016"/>
    <w:link w:val="1015"/>
    <w:qFormat/>
    <w:pPr>
      <w:jc w:val="left"/>
      <w:tabs>
        <w:tab w:val="center" w:pos="4153" w:leader="none"/>
        <w:tab w:val="right" w:pos="8306" w:leader="none"/>
      </w:tabs>
    </w:pPr>
    <w:rPr>
      <w:sz w:val="18"/>
      <w:szCs w:val="18"/>
    </w:rPr>
  </w:style>
  <w:style w:type="character" w:styleId="1015">
    <w:name w:val="页脚 Char"/>
    <w:next w:val="1015"/>
    <w:link w:val="1014"/>
    <w:qFormat/>
    <w:rPr>
      <w:rFonts w:ascii="Times New Roman" w:hAnsi="Times New Roman" w:eastAsia="宋体" w:cs="Times New Roman"/>
      <w:sz w:val="18"/>
      <w:szCs w:val="18"/>
    </w:rPr>
  </w:style>
  <w:style w:type="paragraph" w:styleId="1016">
    <w:name w:val="TOC Heading1"/>
    <w:next w:val="778"/>
    <w:link w:val="778"/>
    <w:qFormat/>
    <w:rPr>
      <w:rFonts w:ascii="Times New Roman" w:hAnsi="Times New Roman" w:eastAsia="宋体" w:cs="Times New Roman"/>
      <w:sz w:val="32"/>
      <w:lang w:val="en-US" w:eastAsia="zh-CN" w:bidi="ar-SA"/>
    </w:rPr>
  </w:style>
  <w:style w:type="paragraph" w:styleId="1017">
    <w:name w:val="页眉11"/>
    <w:basedOn w:val="778"/>
    <w:next w:val="1017"/>
    <w:link w:val="1018"/>
    <w:qFormat/>
    <w:pPr>
      <w:jc w:val="center"/>
      <w:tabs>
        <w:tab w:val="center" w:pos="4153" w:leader="none"/>
        <w:tab w:val="right" w:pos="8306" w:leader="none"/>
      </w:tabs>
      <w:pBdr>
        <w:bottom w:val="single" w:color="000000" w:sz="6" w:space="1"/>
      </w:pBdr>
    </w:pPr>
    <w:rPr>
      <w:sz w:val="18"/>
      <w:szCs w:val="18"/>
    </w:rPr>
  </w:style>
  <w:style w:type="character" w:styleId="1018">
    <w:name w:val="页眉 Char"/>
    <w:next w:val="1018"/>
    <w:link w:val="1017"/>
    <w:qFormat/>
    <w:rPr>
      <w:rFonts w:ascii="Times New Roman" w:hAnsi="Times New Roman" w:eastAsia="宋体" w:cs="Times New Roman"/>
      <w:sz w:val="18"/>
      <w:szCs w:val="18"/>
    </w:rPr>
  </w:style>
  <w:style w:type="paragraph" w:styleId="1019">
    <w:name w:val="目录 11"/>
    <w:basedOn w:val="778"/>
    <w:next w:val="778"/>
    <w:link w:val="778"/>
    <w:semiHidden/>
    <w:qFormat/>
    <w:pPr>
      <w:jc w:val="left"/>
      <w:spacing w:before="120" w:after="120" w:line="400" w:lineRule="exact"/>
      <w:tabs>
        <w:tab w:val="right" w:pos="8720" w:leader="dot"/>
      </w:tabs>
    </w:pPr>
    <w:rPr>
      <w:rFonts w:ascii="宋体" w:hAnsi="宋体"/>
      <w:caps/>
      <w:sz w:val="24"/>
      <w:szCs w:val="24"/>
    </w:rPr>
  </w:style>
  <w:style w:type="paragraph" w:styleId="1020">
    <w:name w:val="目录 41"/>
    <w:basedOn w:val="778"/>
    <w:next w:val="778"/>
    <w:link w:val="778"/>
    <w:semiHidden/>
    <w:qFormat/>
    <w:pPr>
      <w:ind w:left="630"/>
      <w:jc w:val="left"/>
    </w:pPr>
  </w:style>
  <w:style w:type="paragraph" w:styleId="1021">
    <w:name w:val="列表1"/>
    <w:basedOn w:val="778"/>
    <w:next w:val="1021"/>
    <w:link w:val="778"/>
    <w:qFormat/>
    <w:pPr>
      <w:ind w:left="200" w:hanging="200"/>
    </w:pPr>
  </w:style>
  <w:style w:type="paragraph" w:styleId="1022">
    <w:name w:val="目录 61"/>
    <w:basedOn w:val="778"/>
    <w:next w:val="778"/>
    <w:link w:val="778"/>
    <w:semiHidden/>
    <w:qFormat/>
    <w:pPr>
      <w:ind w:left="1050"/>
      <w:jc w:val="left"/>
    </w:pPr>
  </w:style>
  <w:style w:type="paragraph" w:styleId="1023">
    <w:name w:val="正文文本缩进 31"/>
    <w:basedOn w:val="778"/>
    <w:next w:val="1023"/>
    <w:link w:val="1024"/>
    <w:qFormat/>
    <w:pPr>
      <w:ind w:left="645" w:firstLine="645"/>
    </w:pPr>
    <w:rPr>
      <w:rFonts w:ascii="Arial" w:hAnsi="Arial" w:eastAsia="仿宋_GB2312"/>
      <w:color w:val="ffff00"/>
      <w:sz w:val="32"/>
      <w:szCs w:val="32"/>
    </w:rPr>
  </w:style>
  <w:style w:type="character" w:styleId="1024">
    <w:name w:val="正文文本缩进 3 Char"/>
    <w:next w:val="1024"/>
    <w:link w:val="1023"/>
    <w:qFormat/>
    <w:rPr>
      <w:rFonts w:ascii="Arial" w:hAnsi="Arial" w:eastAsia="仿宋_GB2312" w:cs="Arial"/>
      <w:color w:val="ffff00"/>
      <w:sz w:val="32"/>
      <w:szCs w:val="32"/>
    </w:rPr>
  </w:style>
  <w:style w:type="paragraph" w:styleId="1025">
    <w:name w:val="图表目录1"/>
    <w:basedOn w:val="778"/>
    <w:next w:val="778"/>
    <w:link w:val="778"/>
    <w:semiHidden/>
    <w:qFormat/>
    <w:pPr>
      <w:ind w:left="840" w:hanging="420"/>
    </w:pPr>
  </w:style>
  <w:style w:type="paragraph" w:styleId="1026">
    <w:name w:val="目录 21"/>
    <w:basedOn w:val="778"/>
    <w:next w:val="778"/>
    <w:link w:val="778"/>
    <w:semiHidden/>
    <w:qFormat/>
    <w:pPr>
      <w:ind w:left="210"/>
      <w:jc w:val="left"/>
    </w:pPr>
    <w:rPr>
      <w:smallCaps/>
      <w:szCs w:val="24"/>
    </w:rPr>
  </w:style>
  <w:style w:type="paragraph" w:styleId="1027">
    <w:name w:val="目录 91"/>
    <w:basedOn w:val="778"/>
    <w:next w:val="778"/>
    <w:link w:val="778"/>
    <w:semiHidden/>
    <w:qFormat/>
    <w:pPr>
      <w:ind w:left="1680"/>
      <w:jc w:val="left"/>
    </w:pPr>
  </w:style>
  <w:style w:type="paragraph" w:styleId="1028">
    <w:name w:val="正文文本 21"/>
    <w:basedOn w:val="778"/>
    <w:next w:val="1028"/>
    <w:link w:val="1029"/>
    <w:qFormat/>
    <w:pPr>
      <w:jc w:val="center"/>
      <w:widowControl/>
    </w:pPr>
    <w:rPr>
      <w:rFonts w:ascii="楷体_GB2312" w:eastAsia="楷体_GB2312"/>
      <w:sz w:val="28"/>
      <w:szCs w:val="28"/>
    </w:rPr>
  </w:style>
  <w:style w:type="character" w:styleId="1029">
    <w:name w:val="正文文本 2 Char"/>
    <w:next w:val="1029"/>
    <w:link w:val="1028"/>
    <w:qFormat/>
    <w:rPr>
      <w:rFonts w:ascii="楷体_GB2312" w:hAnsi="Times New Roman" w:eastAsia="楷体_GB2312" w:cs="Times New Roman"/>
      <w:sz w:val="28"/>
      <w:szCs w:val="28"/>
    </w:rPr>
  </w:style>
  <w:style w:type="paragraph" w:styleId="1030">
    <w:name w:val="普通(网站)1"/>
    <w:basedOn w:val="778"/>
    <w:next w:val="1030"/>
    <w:link w:val="778"/>
    <w:uiPriority w:val="99"/>
    <w:qFormat/>
    <w:pPr>
      <w:jc w:val="left"/>
      <w:spacing w:before="100" w:beforeAutospacing="1" w:after="100" w:afterAutospacing="1"/>
      <w:widowControl/>
    </w:pPr>
    <w:rPr>
      <w:rFonts w:ascii="宋体" w:hAnsi="宋体" w:cs="宋体"/>
      <w:sz w:val="24"/>
      <w:szCs w:val="24"/>
    </w:rPr>
  </w:style>
  <w:style w:type="paragraph" w:styleId="1031">
    <w:name w:val="索引 11"/>
    <w:basedOn w:val="778"/>
    <w:next w:val="778"/>
    <w:link w:val="778"/>
    <w:semiHidden/>
    <w:qFormat/>
    <w:pPr>
      <w:spacing w:line="240" w:lineRule="atLeast"/>
    </w:pPr>
    <w:rPr>
      <w:b/>
      <w:bCs/>
    </w:rPr>
  </w:style>
  <w:style w:type="paragraph" w:styleId="1032">
    <w:name w:val="批注主题1"/>
    <w:basedOn w:val="992"/>
    <w:next w:val="992"/>
    <w:link w:val="1033"/>
    <w:qFormat/>
    <w:rPr>
      <w:b/>
      <w:bCs/>
    </w:rPr>
  </w:style>
  <w:style w:type="character" w:styleId="1033">
    <w:name w:val="批注主题 Char"/>
    <w:next w:val="1033"/>
    <w:link w:val="1032"/>
    <w:qFormat/>
    <w:rPr>
      <w:rFonts w:ascii="Times New Roman" w:hAnsi="Times New Roman" w:eastAsia="宋体" w:cs="Times New Roman"/>
      <w:b/>
      <w:bCs/>
      <w:szCs w:val="21"/>
    </w:rPr>
  </w:style>
  <w:style w:type="paragraph" w:styleId="1034">
    <w:name w:val="正文首行缩进1"/>
    <w:basedOn w:val="778"/>
    <w:next w:val="1034"/>
    <w:link w:val="1035"/>
    <w:uiPriority w:val="99"/>
    <w:qFormat/>
    <w:pPr>
      <w:ind w:firstLine="200"/>
      <w:spacing w:line="360" w:lineRule="auto"/>
    </w:pPr>
    <w:rPr>
      <w:rFonts w:ascii="仿宋_GB2312" w:eastAsia="仿宋_GB2312"/>
      <w:sz w:val="30"/>
      <w:szCs w:val="30"/>
    </w:rPr>
  </w:style>
  <w:style w:type="character" w:styleId="1035">
    <w:name w:val="正文首行缩进 Char"/>
    <w:next w:val="1035"/>
    <w:link w:val="1034"/>
    <w:qFormat/>
    <w:rPr>
      <w:rFonts w:ascii="仿宋_GB2312" w:hAnsi="Times New Roman" w:eastAsia="仿宋_GB2312" w:cs="Times New Roman"/>
      <w:sz w:val="30"/>
      <w:szCs w:val="30"/>
    </w:rPr>
  </w:style>
  <w:style w:type="paragraph" w:styleId="1036">
    <w:name w:val="正文首行缩进 21"/>
    <w:basedOn w:val="998"/>
    <w:next w:val="1036"/>
    <w:link w:val="1037"/>
    <w:uiPriority w:val="99"/>
    <w:qFormat/>
    <w:pPr>
      <w:ind w:firstLine="420"/>
      <w:spacing w:line="360" w:lineRule="auto"/>
    </w:pPr>
    <w:rPr>
      <w:rFonts w:ascii="宋体" w:hAnsi="宋体" w:eastAsia="宋体"/>
      <w:szCs w:val="20"/>
    </w:rPr>
  </w:style>
  <w:style w:type="character" w:styleId="1037">
    <w:name w:val="正文首行缩进 2 Char"/>
    <w:next w:val="1037"/>
    <w:link w:val="1036"/>
    <w:qFormat/>
    <w:rPr>
      <w:rFonts w:ascii="宋体" w:hAnsi="宋体" w:eastAsia="宋体" w:cs="Times New Roman"/>
      <w:sz w:val="32"/>
      <w:szCs w:val="20"/>
    </w:rPr>
  </w:style>
  <w:style w:type="table" w:styleId="1038">
    <w:name w:val="网格型1"/>
    <w:basedOn w:val="987"/>
    <w:next w:val="1038"/>
    <w:link w:val="778"/>
    <w:qFormat/>
    <w:pPr>
      <w:jc w:val="both"/>
      <w:widowControl w:val="off"/>
    </w:pPr>
    <w:rPr>
      <w:rFonts w:ascii="Times New Roman" w:hAnsi="Times New Roman" w:eastAsia="宋体" w:cs="Times New Roman"/>
      <w:sz w:val="20"/>
      <w:szCs w:val="20"/>
    </w:rPr>
    <w:tblPr/>
  </w:style>
  <w:style w:type="character" w:styleId="1039">
    <w:name w:val="要点1"/>
    <w:next w:val="1039"/>
    <w:link w:val="778"/>
    <w:qFormat/>
    <w:rPr>
      <w:b/>
      <w:bCs/>
    </w:rPr>
  </w:style>
  <w:style w:type="character" w:styleId="1040">
    <w:name w:val="页码11"/>
    <w:next w:val="1040"/>
    <w:link w:val="778"/>
    <w:qFormat/>
  </w:style>
  <w:style w:type="character" w:styleId="1041">
    <w:name w:val="已访问的超链接1"/>
    <w:next w:val="1041"/>
    <w:link w:val="778"/>
    <w:uiPriority w:val="99"/>
    <w:qFormat/>
    <w:rPr>
      <w:color w:val="800080"/>
      <w:u w:val="single"/>
    </w:rPr>
  </w:style>
  <w:style w:type="character" w:styleId="1042">
    <w:name w:val="HTML 打字机1"/>
    <w:next w:val="1042"/>
    <w:link w:val="778"/>
    <w:uiPriority w:val="99"/>
    <w:qFormat/>
    <w:rPr>
      <w:rFonts w:ascii="宋体" w:hAnsi="宋体" w:eastAsia="宋体" w:cs="宋体"/>
      <w:sz w:val="24"/>
      <w:szCs w:val="24"/>
    </w:rPr>
  </w:style>
  <w:style w:type="character" w:styleId="1043">
    <w:name w:val="超链接1"/>
    <w:next w:val="1043"/>
    <w:link w:val="778"/>
    <w:uiPriority w:val="99"/>
    <w:qFormat/>
    <w:rPr>
      <w:color w:val="0000ff"/>
      <w:u w:val="single"/>
    </w:rPr>
  </w:style>
  <w:style w:type="character" w:styleId="1044">
    <w:name w:val="批注引用1"/>
    <w:next w:val="1044"/>
    <w:link w:val="778"/>
    <w:qFormat/>
    <w:rPr>
      <w:sz w:val="21"/>
      <w:szCs w:val="21"/>
    </w:rPr>
  </w:style>
  <w:style w:type="paragraph" w:styleId="1045">
    <w:name w:val="toc 11"/>
    <w:next w:val="778"/>
    <w:link w:val="778"/>
    <w:qFormat/>
    <w:pPr>
      <w:jc w:val="both"/>
    </w:pPr>
    <w:rPr>
      <w:rFonts w:ascii="Times New Roman" w:hAnsi="Times New Roman" w:eastAsia="宋体" w:cs="Times New Roman"/>
      <w:sz w:val="21"/>
      <w:lang w:val="en-US" w:eastAsia="zh-CN" w:bidi="ar-SA"/>
    </w:rPr>
  </w:style>
  <w:style w:type="paragraph" w:styleId="1046">
    <w:name w:val="AONormal"/>
    <w:next w:val="1046"/>
    <w:link w:val="778"/>
    <w:qFormat/>
    <w:pPr>
      <w:ind w:firstLine="440"/>
      <w:spacing w:line="400" w:lineRule="exact"/>
    </w:pPr>
    <w:rPr>
      <w:rFonts w:ascii="华文楷体" w:hAnsi="华文楷体" w:eastAsia="华文楷体" w:cs="华文楷体"/>
      <w:sz w:val="22"/>
      <w:szCs w:val="21"/>
      <w:lang w:val="en-US" w:eastAsia="zh-CN" w:bidi="ar-SA"/>
    </w:rPr>
  </w:style>
  <w:style w:type="character" w:styleId="1047">
    <w:name w:val="页码1"/>
    <w:next w:val="1047"/>
    <w:link w:val="778"/>
    <w:qFormat/>
    <w:rPr>
      <w:sz w:val="21"/>
      <w:szCs w:val="21"/>
      <w:lang w:val="en-US" w:eastAsia="zh-CN" w:bidi="ar-SA"/>
    </w:rPr>
  </w:style>
  <w:style w:type="character" w:styleId="1048">
    <w:name w:val="font5 Char"/>
    <w:next w:val="1048"/>
    <w:link w:val="778"/>
    <w:qFormat/>
    <w:rPr>
      <w:rFonts w:ascii="宋体" w:hAnsi="宋体" w:eastAsia="宋体"/>
      <w:sz w:val="28"/>
      <w:szCs w:val="28"/>
      <w:lang w:val="en-US" w:eastAsia="zh-CN" w:bidi="ar-SA"/>
    </w:rPr>
  </w:style>
  <w:style w:type="character" w:styleId="1049">
    <w:name w:val="二级目录 Char"/>
    <w:next w:val="1049"/>
    <w:link w:val="1050"/>
    <w:qFormat/>
    <w:rPr>
      <w:b/>
      <w:sz w:val="30"/>
      <w:szCs w:val="28"/>
      <w:lang w:val="en-US" w:eastAsia="zh-CN" w:bidi="ar-SA"/>
    </w:rPr>
  </w:style>
  <w:style w:type="paragraph" w:styleId="1050">
    <w:name w:val="二级目录"/>
    <w:next w:val="778"/>
    <w:link w:val="1049"/>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51">
    <w:name w:val="列出段落 Char"/>
    <w:next w:val="1051"/>
    <w:link w:val="1052"/>
    <w:qFormat/>
    <w:rPr>
      <w:rFonts w:ascii="Calibri" w:hAnsi="Calibri"/>
      <w:sz w:val="24"/>
      <w:szCs w:val="24"/>
      <w:lang w:eastAsia="en-US" w:bidi="en-US"/>
    </w:rPr>
  </w:style>
  <w:style w:type="paragraph" w:styleId="1052">
    <w:name w:val="列出段落1"/>
    <w:basedOn w:val="778"/>
    <w:next w:val="1052"/>
    <w:link w:val="1051"/>
    <w:qFormat/>
    <w:pPr>
      <w:contextualSpacing/>
      <w:ind w:left="720"/>
      <w:jc w:val="left"/>
      <w:widowControl/>
    </w:pPr>
    <w:rPr>
      <w:rFonts w:ascii="Calibri" w:hAnsi="Calibri"/>
      <w:sz w:val="24"/>
      <w:szCs w:val="24"/>
      <w:lang w:eastAsia="en-US" w:bidi="en-US"/>
    </w:rPr>
  </w:style>
  <w:style w:type="paragraph" w:styleId="1053">
    <w:name w:val="Body Text(ch)"/>
    <w:basedOn w:val="778"/>
    <w:next w:val="996"/>
    <w:link w:val="778"/>
    <w:qFormat/>
    <w:pPr>
      <w:spacing w:after="120"/>
    </w:pPr>
    <w:rPr>
      <w:rFonts w:ascii="宋体" w:hAnsi="Arial"/>
      <w:bCs/>
      <w:iCs/>
      <w:szCs w:val="24"/>
    </w:rPr>
  </w:style>
  <w:style w:type="paragraph" w:styleId="1054">
    <w:name w:val="xl27"/>
    <w:basedOn w:val="778"/>
    <w:next w:val="1054"/>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name w:val="xl26"/>
    <w:basedOn w:val="778"/>
    <w:next w:val="1055"/>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6">
    <w:name w:val="Char"/>
    <w:basedOn w:val="778"/>
    <w:next w:val="1056"/>
    <w:link w:val="778"/>
    <w:qFormat/>
    <w:pPr>
      <w:ind w:firstLine="200"/>
      <w:tabs>
        <w:tab w:val="left" w:pos="360" w:leader="none"/>
      </w:tabs>
    </w:pPr>
    <w:rPr>
      <w:sz w:val="28"/>
      <w:szCs w:val="30"/>
    </w:rPr>
  </w:style>
  <w:style w:type="paragraph" w:styleId="1057">
    <w:name w:val=" Char"/>
    <w:basedOn w:val="990"/>
    <w:next w:val="1057"/>
    <w:link w:val="778"/>
    <w:qFormat/>
    <w:rPr>
      <w:rFonts w:ascii="Tahoma" w:hAnsi="Tahoma"/>
      <w:sz w:val="24"/>
      <w:szCs w:val="24"/>
    </w:rPr>
  </w:style>
  <w:style w:type="paragraph" w:styleId="1058">
    <w:name w:val="普通正文"/>
    <w:basedOn w:val="778"/>
    <w:next w:val="1058"/>
    <w:link w:val="778"/>
    <w:qFormat/>
    <w:pPr>
      <w:ind w:firstLine="480"/>
      <w:jc w:val="left"/>
      <w:spacing w:before="120" w:after="120" w:line="360" w:lineRule="auto"/>
    </w:pPr>
    <w:rPr>
      <w:rFonts w:ascii="Arial" w:hAnsi="Arial"/>
      <w:sz w:val="24"/>
      <w:szCs w:val="24"/>
    </w:rPr>
  </w:style>
  <w:style w:type="paragraph" w:styleId="1059">
    <w:name w:val="table_lines"/>
    <w:basedOn w:val="778"/>
    <w:next w:val="1059"/>
    <w:link w:val="778"/>
    <w:qFormat/>
    <w:pPr>
      <w:jc w:val="left"/>
      <w:widowControl/>
    </w:pPr>
    <w:rPr>
      <w:sz w:val="20"/>
      <w:szCs w:val="20"/>
      <w:lang w:val="de-DE" w:eastAsia="de-DE"/>
    </w:rPr>
  </w:style>
  <w:style w:type="paragraph" w:styleId="1060">
    <w:name w:val="附录1"/>
    <w:next w:val="1060"/>
    <w:link w:val="778"/>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61">
    <w:name w:val="font7"/>
    <w:basedOn w:val="778"/>
    <w:next w:val="1061"/>
    <w:link w:val="778"/>
    <w:qFormat/>
    <w:pPr>
      <w:jc w:val="left"/>
      <w:spacing w:before="100" w:beforeAutospacing="1" w:after="100" w:afterAutospacing="1"/>
      <w:widowControl/>
    </w:pPr>
    <w:rPr>
      <w:rFonts w:hint="eastAsia" w:ascii="宋体" w:hAnsi="宋体"/>
      <w:sz w:val="18"/>
      <w:szCs w:val="18"/>
    </w:rPr>
  </w:style>
  <w:style w:type="paragraph" w:styleId="1062">
    <w:name w:val=" Char Char Char Char"/>
    <w:basedOn w:val="990"/>
    <w:next w:val="1062"/>
    <w:link w:val="778"/>
    <w:qFormat/>
    <w:pPr>
      <w:spacing w:line="360" w:lineRule="auto"/>
    </w:pPr>
    <w:rPr>
      <w:rFonts w:ascii="Tahoma" w:hAnsi="Tahoma"/>
      <w:sz w:val="24"/>
      <w:szCs w:val="24"/>
    </w:rPr>
  </w:style>
  <w:style w:type="paragraph" w:styleId="1063">
    <w:name w:val="列出段落"/>
    <w:basedOn w:val="778"/>
    <w:next w:val="1063"/>
    <w:link w:val="778"/>
    <w:uiPriority w:val="99"/>
    <w:qFormat/>
    <w:pPr>
      <w:contextualSpacing/>
      <w:ind w:left="720"/>
      <w:jc w:val="left"/>
      <w:widowControl/>
    </w:pPr>
    <w:rPr>
      <w:rFonts w:ascii="Calibri" w:hAnsi="Calibri"/>
      <w:sz w:val="24"/>
      <w:szCs w:val="24"/>
      <w:lang w:eastAsia="en-US" w:bidi="en-US"/>
    </w:rPr>
  </w:style>
  <w:style w:type="paragraph" w:styleId="1064">
    <w:name w:val="4"/>
    <w:basedOn w:val="778"/>
    <w:next w:val="1023"/>
    <w:link w:val="778"/>
    <w:qFormat/>
    <w:pPr>
      <w:ind w:firstLine="420"/>
      <w:spacing w:line="360" w:lineRule="auto"/>
    </w:pPr>
    <w:rPr>
      <w:color w:val="ff0000"/>
      <w:sz w:val="24"/>
      <w:szCs w:val="24"/>
    </w:rPr>
  </w:style>
  <w:style w:type="paragraph" w:styleId="1065">
    <w:name w:val="普通 (Web)"/>
    <w:basedOn w:val="778"/>
    <w:next w:val="1065"/>
    <w:link w:val="778"/>
    <w:qFormat/>
    <w:pPr>
      <w:jc w:val="left"/>
      <w:spacing w:before="100" w:beforeAutospacing="1" w:after="100" w:afterAutospacing="1"/>
      <w:widowControl/>
    </w:pPr>
    <w:rPr>
      <w:rFonts w:ascii="宋体" w:hAnsi="宋体"/>
      <w:sz w:val="24"/>
      <w:szCs w:val="24"/>
    </w:rPr>
  </w:style>
  <w:style w:type="paragraph" w:styleId="1066">
    <w:name w:val=" Char Char Char Char Char Char Char Char Char Char"/>
    <w:basedOn w:val="778"/>
    <w:next w:val="1066"/>
    <w:link w:val="778"/>
    <w:qFormat/>
    <w:pPr>
      <w:spacing w:line="360" w:lineRule="auto"/>
    </w:pPr>
    <w:rPr>
      <w:sz w:val="24"/>
      <w:szCs w:val="20"/>
    </w:rPr>
  </w:style>
  <w:style w:type="paragraph" w:styleId="1067">
    <w:name w:val="样式1"/>
    <w:basedOn w:val="778"/>
    <w:next w:val="1067"/>
    <w:link w:val="778"/>
    <w:qFormat/>
    <w:pPr>
      <w:numPr>
        <w:ilvl w:val="0"/>
        <w:numId w:val="3"/>
      </w:numPr>
      <w:tabs>
        <w:tab w:val="left" w:pos="709" w:leader="none"/>
      </w:tabs>
    </w:pPr>
    <w:rPr>
      <w:rFonts w:ascii="宋体" w:hAnsi="宋体"/>
    </w:rPr>
  </w:style>
  <w:style w:type="paragraph" w:styleId="1068">
    <w:name w:val="font6"/>
    <w:basedOn w:val="778"/>
    <w:next w:val="1068"/>
    <w:link w:val="778"/>
    <w:qFormat/>
    <w:pPr>
      <w:jc w:val="left"/>
      <w:spacing w:before="100" w:beforeAutospacing="1" w:after="100" w:afterAutospacing="1"/>
      <w:widowControl/>
    </w:pPr>
    <w:rPr>
      <w:rFonts w:hint="eastAsia" w:ascii="宋体" w:hAnsi="宋体"/>
      <w:sz w:val="28"/>
      <w:szCs w:val="28"/>
      <w:u w:val="single"/>
    </w:rPr>
  </w:style>
  <w:style w:type="paragraph" w:styleId="1069">
    <w:name w:val="xl25"/>
    <w:basedOn w:val="778"/>
    <w:next w:val="1069"/>
    <w:link w:val="77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0">
    <w:name w:val="图标"/>
    <w:basedOn w:val="778"/>
    <w:next w:val="778"/>
    <w:link w:val="77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1">
    <w:name w:val="标题3"/>
    <w:basedOn w:val="778"/>
    <w:next w:val="778"/>
    <w:link w:val="778"/>
    <w:qFormat/>
    <w:pPr>
      <w:ind w:firstLine="624"/>
      <w:spacing w:line="590" w:lineRule="atLeast"/>
    </w:pPr>
    <w:rPr>
      <w:rFonts w:ascii="方正黑体_GBK" w:eastAsia="方正黑体_GBK"/>
      <w:sz w:val="32"/>
      <w:szCs w:val="32"/>
    </w:rPr>
  </w:style>
  <w:style w:type="paragraph" w:styleId="1072">
    <w:name w:val="xl24"/>
    <w:basedOn w:val="778"/>
    <w:next w:val="1072"/>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3">
    <w:name w:val="xl29"/>
    <w:basedOn w:val="778"/>
    <w:next w:val="1073"/>
    <w:link w:val="77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4">
    <w:name w:val="Char Char Char Char Char Char Char Char"/>
    <w:basedOn w:val="778"/>
    <w:next w:val="1074"/>
    <w:link w:val="778"/>
    <w:qFormat/>
    <w:pPr>
      <w:jc w:val="left"/>
      <w:spacing w:after="160" w:line="240" w:lineRule="exact"/>
      <w:widowControl/>
    </w:pPr>
    <w:rPr>
      <w:rFonts w:ascii="Verdana" w:hAnsi="Verdana"/>
      <w:sz w:val="20"/>
      <w:szCs w:val="20"/>
      <w:lang w:eastAsia="en-US"/>
    </w:rPr>
  </w:style>
  <w:style w:type="paragraph" w:styleId="1075">
    <w:name w:val="xl28"/>
    <w:basedOn w:val="778"/>
    <w:next w:val="1075"/>
    <w:link w:val="77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6">
    <w:name w:val=" Char Char Char Char Char Char Char Char"/>
    <w:basedOn w:val="778"/>
    <w:next w:val="1076"/>
    <w:link w:val="778"/>
    <w:qFormat/>
    <w:pPr>
      <w:jc w:val="left"/>
      <w:spacing w:after="160" w:line="240" w:lineRule="exact"/>
      <w:widowControl/>
    </w:pPr>
    <w:rPr>
      <w:rFonts w:ascii="Verdana" w:hAnsi="Verdana"/>
      <w:sz w:val="20"/>
      <w:szCs w:val="20"/>
      <w:lang w:eastAsia="en-US"/>
    </w:rPr>
  </w:style>
  <w:style w:type="paragraph" w:styleId="1077">
    <w:name w:val="xl30"/>
    <w:basedOn w:val="778"/>
    <w:next w:val="1077"/>
    <w:link w:val="778"/>
    <w:qFormat/>
    <w:pPr>
      <w:jc w:val="center"/>
      <w:spacing w:before="100" w:beforeAutospacing="1" w:after="100" w:afterAutospacing="1"/>
      <w:widowControl/>
    </w:pPr>
    <w:rPr>
      <w:rFonts w:ascii="宋体" w:hAnsi="宋体"/>
      <w:b/>
      <w:bCs/>
      <w:sz w:val="36"/>
      <w:szCs w:val="36"/>
    </w:rPr>
  </w:style>
  <w:style w:type="paragraph" w:styleId="1078">
    <w:name w:val="Char Char Char Char"/>
    <w:basedOn w:val="990"/>
    <w:next w:val="1078"/>
    <w:link w:val="778"/>
    <w:qFormat/>
    <w:pPr>
      <w:spacing w:line="360" w:lineRule="auto"/>
    </w:pPr>
    <w:rPr>
      <w:rFonts w:ascii="Tahoma" w:hAnsi="Tahoma"/>
      <w:sz w:val="24"/>
      <w:szCs w:val="24"/>
    </w:rPr>
  </w:style>
  <w:style w:type="paragraph" w:styleId="1079">
    <w:name w:val="table_1stline"/>
    <w:basedOn w:val="778"/>
    <w:next w:val="1079"/>
    <w:link w:val="778"/>
    <w:qFormat/>
    <w:pPr>
      <w:jc w:val="left"/>
      <w:spacing w:before="120"/>
      <w:widowControl/>
    </w:pPr>
    <w:rPr>
      <w:bCs/>
      <w:sz w:val="20"/>
      <w:szCs w:val="20"/>
      <w:lang w:val="de-DE" w:eastAsia="de-DE"/>
    </w:rPr>
  </w:style>
  <w:style w:type="paragraph" w:styleId="1080">
    <w:name w:val="font5"/>
    <w:basedOn w:val="778"/>
    <w:next w:val="1080"/>
    <w:link w:val="778"/>
    <w:qFormat/>
    <w:pPr>
      <w:jc w:val="left"/>
      <w:spacing w:before="100" w:beforeAutospacing="1" w:after="100" w:afterAutospacing="1"/>
      <w:widowControl/>
    </w:pPr>
    <w:rPr>
      <w:rFonts w:hint="eastAsia" w:ascii="宋体" w:hAnsi="宋体"/>
      <w:sz w:val="28"/>
      <w:szCs w:val="28"/>
    </w:rPr>
  </w:style>
  <w:style w:type="paragraph" w:styleId="1081">
    <w:name w:val="标题1"/>
    <w:basedOn w:val="778"/>
    <w:next w:val="778"/>
    <w:link w:val="77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2">
    <w:name w:val="修订"/>
    <w:next w:val="1082"/>
    <w:link w:val="778"/>
    <w:uiPriority w:val="99"/>
    <w:semiHidden/>
    <w:qFormat/>
    <w:rPr>
      <w:rFonts w:ascii="Times New Roman" w:hAnsi="Times New Roman" w:eastAsia="宋体" w:cs="Times New Roman"/>
      <w:sz w:val="21"/>
      <w:szCs w:val="21"/>
      <w:lang w:val="en-US" w:eastAsia="zh-CN" w:bidi="ar-SA"/>
    </w:rPr>
  </w:style>
  <w:style w:type="paragraph" w:styleId="1083">
    <w:name w:val="无间隔"/>
    <w:next w:val="1083"/>
    <w:link w:val="778"/>
    <w:uiPriority w:val="99"/>
    <w:qFormat/>
    <w:pPr>
      <w:jc w:val="both"/>
      <w:widowControl w:val="off"/>
    </w:pPr>
    <w:rPr>
      <w:rFonts w:ascii="Times New Roman" w:hAnsi="Times New Roman" w:eastAsia="宋体" w:cs="Times New Roman"/>
      <w:sz w:val="21"/>
      <w:szCs w:val="21"/>
      <w:lang w:val="en-US" w:eastAsia="zh-CN" w:bidi="ar-SA"/>
    </w:rPr>
  </w:style>
  <w:style w:type="paragraph" w:styleId="1084">
    <w:name w:val="普通文字"/>
    <w:basedOn w:val="778"/>
    <w:next w:val="778"/>
    <w:link w:val="778"/>
    <w:uiPriority w:val="99"/>
    <w:qFormat/>
    <w:rPr>
      <w:rFonts w:ascii="宋体" w:hAnsi="Times New Roman" w:eastAsia="宋体" w:cs="Times New Roman"/>
      <w:sz w:val="24"/>
      <w:szCs w:val="20"/>
      <w:u w:val="none"/>
    </w:rPr>
  </w:style>
  <w:style w:type="paragraph" w:styleId="1085">
    <w:name w:val="目录 111"/>
    <w:basedOn w:val="778"/>
    <w:next w:val="778"/>
    <w:link w:val="778"/>
    <w:uiPriority w:val="39"/>
    <w:unhideWhenUsed/>
    <w:qFormat/>
    <w:pPr>
      <w:jc w:val="left"/>
      <w:spacing w:after="100" w:line="259" w:lineRule="auto"/>
      <w:widowControl/>
    </w:pPr>
    <w:rPr>
      <w:rFonts w:ascii="Calibri" w:hAnsi="Calibri" w:eastAsia="宋体"/>
      <w:sz w:val="22"/>
      <w:szCs w:val="22"/>
    </w:rPr>
  </w:style>
  <w:style w:type="character" w:styleId="1086">
    <w:name w:val="font11"/>
    <w:next w:val="1086"/>
    <w:link w:val="778"/>
    <w:qFormat/>
    <w:rPr>
      <w:rFonts w:hint="eastAsia" w:ascii="宋体" w:hAnsi="宋体" w:eastAsia="宋体" w:cs="宋体"/>
      <w:color w:val="000000"/>
      <w:sz w:val="20"/>
      <w:szCs w:val="20"/>
      <w:u w:val="none"/>
    </w:rPr>
  </w:style>
  <w:style w:type="paragraph" w:styleId="1087">
    <w:name w:val="msonormal"/>
    <w:basedOn w:val="778"/>
    <w:next w:val="1087"/>
    <w:link w:val="778"/>
    <w:qFormat/>
    <w:pPr>
      <w:jc w:val="left"/>
      <w:spacing w:before="100" w:beforeAutospacing="1" w:after="100" w:afterAutospacing="1"/>
      <w:widowControl/>
    </w:pPr>
    <w:rPr>
      <w:rFonts w:ascii="宋体" w:hAnsi="宋体" w:cs="宋体"/>
      <w:sz w:val="24"/>
      <w:szCs w:val="24"/>
    </w:rPr>
  </w:style>
  <w:style w:type="paragraph" w:styleId="1088">
    <w:name w:val="xl66"/>
    <w:basedOn w:val="778"/>
    <w:next w:val="1088"/>
    <w:link w:val="778"/>
    <w:qFormat/>
    <w:pPr>
      <w:jc w:val="left"/>
      <w:spacing w:before="100" w:beforeAutospacing="1" w:after="100" w:afterAutospacing="1"/>
      <w:widowControl/>
    </w:pPr>
    <w:rPr>
      <w:rFonts w:ascii="宋体" w:hAnsi="宋体" w:cs="宋体"/>
      <w:sz w:val="22"/>
      <w:szCs w:val="22"/>
    </w:rPr>
  </w:style>
  <w:style w:type="paragraph" w:styleId="1089">
    <w:name w:val="xl67"/>
    <w:basedOn w:val="778"/>
    <w:next w:val="1089"/>
    <w:link w:val="778"/>
    <w:qFormat/>
    <w:pPr>
      <w:jc w:val="left"/>
      <w:spacing w:before="100" w:beforeAutospacing="1" w:after="100" w:afterAutospacing="1"/>
      <w:widowControl/>
    </w:pPr>
    <w:rPr>
      <w:rFonts w:ascii="宋体" w:hAnsi="宋体" w:cs="宋体"/>
      <w:color w:val="000000"/>
      <w:sz w:val="22"/>
      <w:szCs w:val="22"/>
    </w:rPr>
  </w:style>
  <w:style w:type="paragraph" w:styleId="1090">
    <w:name w:val="xl68"/>
    <w:basedOn w:val="778"/>
    <w:next w:val="1090"/>
    <w:link w:val="778"/>
    <w:qFormat/>
    <w:pPr>
      <w:jc w:val="center"/>
      <w:spacing w:before="100" w:beforeAutospacing="1" w:after="100" w:afterAutospacing="1"/>
      <w:widowControl/>
    </w:pPr>
    <w:rPr>
      <w:rFonts w:ascii="宋体" w:hAnsi="宋体" w:cs="宋体"/>
      <w:sz w:val="22"/>
      <w:szCs w:val="22"/>
    </w:rPr>
  </w:style>
  <w:style w:type="paragraph" w:styleId="1091">
    <w:name w:val="xl69"/>
    <w:basedOn w:val="778"/>
    <w:next w:val="1091"/>
    <w:link w:val="778"/>
    <w:qFormat/>
    <w:pPr>
      <w:jc w:val="center"/>
      <w:spacing w:before="100" w:beforeAutospacing="1" w:after="100" w:afterAutospacing="1"/>
      <w:widowControl/>
    </w:pPr>
    <w:rPr>
      <w:rFonts w:ascii="宋体" w:hAnsi="宋体" w:cs="宋体"/>
      <w:sz w:val="18"/>
      <w:szCs w:val="18"/>
    </w:rPr>
  </w:style>
  <w:style w:type="paragraph" w:styleId="1092">
    <w:name w:val="xl70"/>
    <w:basedOn w:val="778"/>
    <w:next w:val="1092"/>
    <w:link w:val="778"/>
    <w:qFormat/>
    <w:pPr>
      <w:jc w:val="center"/>
      <w:spacing w:before="100" w:beforeAutospacing="1" w:after="100" w:afterAutospacing="1"/>
      <w:widowControl/>
    </w:pPr>
    <w:rPr>
      <w:rFonts w:ascii="宋体" w:hAnsi="宋体" w:cs="宋体"/>
      <w:color w:val="000000"/>
      <w:sz w:val="22"/>
      <w:szCs w:val="22"/>
    </w:rPr>
  </w:style>
  <w:style w:type="paragraph" w:styleId="1093">
    <w:name w:val="xl71"/>
    <w:basedOn w:val="778"/>
    <w:next w:val="1093"/>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094">
    <w:name w:val="xl72"/>
    <w:basedOn w:val="778"/>
    <w:next w:val="1094"/>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5">
    <w:name w:val="xl73"/>
    <w:basedOn w:val="778"/>
    <w:next w:val="1095"/>
    <w:link w:val="778"/>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96">
    <w:name w:val="xl74"/>
    <w:basedOn w:val="778"/>
    <w:next w:val="1096"/>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7">
    <w:name w:val="xl75"/>
    <w:basedOn w:val="778"/>
    <w:next w:val="1097"/>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98">
    <w:name w:val="xl76"/>
    <w:basedOn w:val="778"/>
    <w:next w:val="1098"/>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99">
    <w:name w:val="xl77"/>
    <w:basedOn w:val="778"/>
    <w:next w:val="1099"/>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0">
    <w:name w:val="xl78"/>
    <w:basedOn w:val="778"/>
    <w:next w:val="1100"/>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name w:val="xl79"/>
    <w:basedOn w:val="778"/>
    <w:next w:val="1101"/>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name w:val="xl80"/>
    <w:basedOn w:val="778"/>
    <w:next w:val="1102"/>
    <w:link w:val="7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03">
    <w:name w:val="xl81"/>
    <w:basedOn w:val="778"/>
    <w:next w:val="1103"/>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4">
    <w:name w:val="xl82"/>
    <w:basedOn w:val="778"/>
    <w:next w:val="1104"/>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name w:val="xl83"/>
    <w:basedOn w:val="778"/>
    <w:next w:val="1105"/>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6">
    <w:name w:val="xl84"/>
    <w:basedOn w:val="778"/>
    <w:next w:val="1106"/>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7">
    <w:name w:val="xl85"/>
    <w:basedOn w:val="778"/>
    <w:next w:val="1107"/>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8">
    <w:name w:val="xl86"/>
    <w:basedOn w:val="778"/>
    <w:next w:val="1108"/>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09">
    <w:name w:val="xl87"/>
    <w:basedOn w:val="778"/>
    <w:next w:val="1109"/>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0">
    <w:name w:val="xl88"/>
    <w:basedOn w:val="778"/>
    <w:next w:val="1110"/>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1">
    <w:name w:val="xl89"/>
    <w:basedOn w:val="778"/>
    <w:next w:val="1111"/>
    <w:link w:val="778"/>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112">
    <w:name w:val="xl90"/>
    <w:basedOn w:val="778"/>
    <w:next w:val="1112"/>
    <w:link w:val="7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13">
    <w:name w:val="xl91"/>
    <w:basedOn w:val="778"/>
    <w:next w:val="1113"/>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4">
    <w:name w:val="xl92"/>
    <w:basedOn w:val="778"/>
    <w:next w:val="1114"/>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5">
    <w:name w:val="xl93"/>
    <w:basedOn w:val="778"/>
    <w:next w:val="1115"/>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6">
    <w:name w:val="xl94"/>
    <w:basedOn w:val="778"/>
    <w:next w:val="1116"/>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7">
    <w:name w:val="xl95"/>
    <w:basedOn w:val="778"/>
    <w:next w:val="1117"/>
    <w:link w:val="7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18">
    <w:name w:val="xl96"/>
    <w:basedOn w:val="778"/>
    <w:next w:val="1118"/>
    <w:link w:val="7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19">
    <w:name w:val="xl97"/>
    <w:basedOn w:val="778"/>
    <w:next w:val="1119"/>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0">
    <w:name w:val="xl98"/>
    <w:basedOn w:val="778"/>
    <w:next w:val="1120"/>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1">
    <w:name w:val="xl99"/>
    <w:basedOn w:val="778"/>
    <w:next w:val="1121"/>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2">
    <w:name w:val="xl100"/>
    <w:basedOn w:val="778"/>
    <w:next w:val="1122"/>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name w:val="xl101"/>
    <w:basedOn w:val="778"/>
    <w:next w:val="1123"/>
    <w:link w:val="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name w:val="xl102"/>
    <w:basedOn w:val="778"/>
    <w:next w:val="1124"/>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5">
    <w:name w:val="xl103"/>
    <w:basedOn w:val="778"/>
    <w:next w:val="1125"/>
    <w:link w:val="7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26">
    <w:name w:val="xl104"/>
    <w:basedOn w:val="778"/>
    <w:next w:val="1126"/>
    <w:link w:val="778"/>
    <w:qFormat/>
    <w:pPr>
      <w:jc w:val="center"/>
      <w:spacing w:before="100" w:beforeAutospacing="1" w:after="100" w:afterAutospacing="1"/>
      <w:widowControl/>
      <w:pBdr>
        <w:top w:val="single" w:color="000000" w:sz="4" w:space="0"/>
      </w:pBdr>
    </w:pPr>
    <w:rPr>
      <w:rFonts w:ascii="宋体" w:hAnsi="宋体" w:cs="宋体"/>
      <w:sz w:val="18"/>
      <w:szCs w:val="18"/>
    </w:rPr>
  </w:style>
  <w:style w:type="paragraph" w:styleId="1127">
    <w:name w:val="xl105"/>
    <w:basedOn w:val="778"/>
    <w:next w:val="1127"/>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8">
    <w:name w:val="xl106"/>
    <w:basedOn w:val="778"/>
    <w:next w:val="1128"/>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29">
    <w:name w:val="xl107"/>
    <w:basedOn w:val="778"/>
    <w:next w:val="1129"/>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130">
    <w:name w:val="xl108"/>
    <w:basedOn w:val="778"/>
    <w:next w:val="1130"/>
    <w:link w:val="778"/>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1">
    <w:name w:val="xl109"/>
    <w:basedOn w:val="778"/>
    <w:next w:val="1131"/>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32">
    <w:name w:val="xl110"/>
    <w:basedOn w:val="778"/>
    <w:next w:val="1132"/>
    <w:link w:val="778"/>
    <w:qFormat/>
    <w:pPr>
      <w:jc w:val="left"/>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33">
    <w:name w:val="xl111"/>
    <w:basedOn w:val="778"/>
    <w:next w:val="1133"/>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name w:val="xl112"/>
    <w:basedOn w:val="778"/>
    <w:next w:val="1134"/>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5">
    <w:name w:val="xl113"/>
    <w:basedOn w:val="778"/>
    <w:next w:val="1135"/>
    <w:link w:val="7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36">
    <w:name w:val="xl114"/>
    <w:basedOn w:val="778"/>
    <w:next w:val="1136"/>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7">
    <w:name w:val="xl115"/>
    <w:basedOn w:val="778"/>
    <w:next w:val="1137"/>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8">
    <w:name w:val="xl116"/>
    <w:basedOn w:val="778"/>
    <w:next w:val="1138"/>
    <w:link w:val="778"/>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39">
    <w:name w:val="xl117"/>
    <w:basedOn w:val="778"/>
    <w:next w:val="1139"/>
    <w:link w:val="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40">
    <w:name w:val="xl118"/>
    <w:basedOn w:val="778"/>
    <w:next w:val="1140"/>
    <w:link w:val="778"/>
    <w:qFormat/>
    <w:pPr>
      <w:jc w:val="left"/>
      <w:spacing w:before="100" w:beforeAutospacing="1" w:after="100" w:afterAutospacing="1"/>
      <w:widowControl/>
    </w:pPr>
    <w:rPr>
      <w:rFonts w:ascii="宋体" w:hAnsi="宋体" w:cs="宋体"/>
      <w:sz w:val="24"/>
      <w:szCs w:val="24"/>
    </w:rPr>
  </w:style>
  <w:style w:type="paragraph" w:styleId="1141">
    <w:name w:val="xl119"/>
    <w:basedOn w:val="778"/>
    <w:next w:val="1141"/>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42">
    <w:name w:val="xl120"/>
    <w:basedOn w:val="778"/>
    <w:next w:val="1142"/>
    <w:link w:val="778"/>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4"/>
      <w:szCs w:val="24"/>
    </w:rPr>
  </w:style>
  <w:style w:type="paragraph" w:styleId="1143">
    <w:name w:val="xl121"/>
    <w:basedOn w:val="778"/>
    <w:next w:val="1143"/>
    <w:link w:val="778"/>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44">
    <w:name w:val="xl122"/>
    <w:basedOn w:val="778"/>
    <w:next w:val="1144"/>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45">
    <w:name w:val="xl123"/>
    <w:basedOn w:val="778"/>
    <w:next w:val="1145"/>
    <w:link w:val="7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46">
    <w:name w:val="xl124"/>
    <w:basedOn w:val="778"/>
    <w:next w:val="1146"/>
    <w:link w:val="77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47">
    <w:name w:val="xl125"/>
    <w:basedOn w:val="778"/>
    <w:next w:val="1147"/>
    <w:link w:val="7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148">
    <w:name w:val="xl126"/>
    <w:basedOn w:val="778"/>
    <w:next w:val="1148"/>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18"/>
      <w:szCs w:val="18"/>
    </w:rPr>
  </w:style>
  <w:style w:type="paragraph" w:styleId="1149">
    <w:name w:val="xl127"/>
    <w:basedOn w:val="778"/>
    <w:next w:val="1149"/>
    <w:link w:val="7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50">
    <w:name w:val="xl128"/>
    <w:basedOn w:val="778"/>
    <w:next w:val="1150"/>
    <w:link w:val="7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1">
    <w:name w:val="xl129"/>
    <w:basedOn w:val="778"/>
    <w:next w:val="1151"/>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152">
    <w:name w:val="xl130"/>
    <w:basedOn w:val="778"/>
    <w:next w:val="1152"/>
    <w:link w:val="778"/>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153">
    <w:name w:val="xl131"/>
    <w:basedOn w:val="778"/>
    <w:next w:val="1153"/>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54">
    <w:name w:val="xl132"/>
    <w:basedOn w:val="778"/>
    <w:next w:val="1154"/>
    <w:link w:val="778"/>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55">
    <w:name w:val="xl133"/>
    <w:basedOn w:val="778"/>
    <w:next w:val="1155"/>
    <w:link w:val="778"/>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56">
    <w:name w:val="xl134"/>
    <w:basedOn w:val="778"/>
    <w:next w:val="1156"/>
    <w:link w:val="778"/>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2"/>
      <w:szCs w:val="22"/>
    </w:rPr>
  </w:style>
  <w:style w:type="paragraph" w:styleId="1157">
    <w:name w:val="xl135"/>
    <w:basedOn w:val="778"/>
    <w:next w:val="1157"/>
    <w:link w:val="778"/>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58">
    <w:name w:val="xl136"/>
    <w:basedOn w:val="778"/>
    <w:next w:val="1158"/>
    <w:link w:val="778"/>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59">
    <w:name w:val="xl137"/>
    <w:basedOn w:val="778"/>
    <w:next w:val="1159"/>
    <w:link w:val="778"/>
    <w:qFormat/>
    <w:pPr>
      <w:jc w:val="center"/>
      <w:spacing w:before="100" w:beforeAutospacing="1" w:after="100" w:afterAutospacing="1"/>
      <w:shd w:val="clear" w:color="000000" w:fill="a9d08e"/>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160">
    <w:name w:val="font101"/>
    <w:next w:val="1160"/>
    <w:link w:val="778"/>
    <w:qFormat/>
    <w:rPr>
      <w:rFonts w:ascii="Times New Roman" w:hAnsi="Times New Roman" w:cs="Times New Roman"/>
      <w:color w:val="000000"/>
      <w:sz w:val="22"/>
      <w:szCs w:val="22"/>
      <w:u w:val="none"/>
    </w:rPr>
  </w:style>
  <w:style w:type="character" w:styleId="1161">
    <w:name w:val="font71"/>
    <w:next w:val="1161"/>
    <w:link w:val="778"/>
    <w:qFormat/>
    <w:rPr>
      <w:rFonts w:hint="eastAsia" w:ascii="宋体" w:hAnsi="宋体" w:eastAsia="宋体" w:cs="宋体"/>
      <w:color w:val="000000"/>
      <w:sz w:val="20"/>
      <w:szCs w:val="20"/>
      <w:u w:val="none"/>
    </w:rPr>
  </w:style>
  <w:style w:type="character" w:styleId="1162">
    <w:name w:val="font31"/>
    <w:next w:val="1162"/>
    <w:link w:val="778"/>
    <w:qFormat/>
    <w:rPr>
      <w:rFonts w:hint="eastAsia" w:ascii="宋体" w:hAnsi="宋体" w:eastAsia="宋体" w:cs="宋体"/>
      <w:b/>
      <w:bCs/>
      <w:color w:val="000000"/>
      <w:sz w:val="22"/>
      <w:szCs w:val="22"/>
      <w:u w:val="none"/>
    </w:rPr>
  </w:style>
  <w:style w:type="character" w:styleId="1163">
    <w:name w:val="font01"/>
    <w:next w:val="1163"/>
    <w:link w:val="778"/>
    <w:qFormat/>
    <w:rPr>
      <w:rFonts w:hint="eastAsia" w:ascii="宋体" w:hAnsi="宋体" w:eastAsia="宋体" w:cs="宋体"/>
      <w:color w:val="000000"/>
      <w:sz w:val="24"/>
      <w:szCs w:val="24"/>
      <w:u w:val="none"/>
    </w:rPr>
  </w:style>
  <w:style w:type="paragraph" w:styleId="1164">
    <w:name w:val="正文文本首行缩进 21"/>
    <w:basedOn w:val="998"/>
    <w:next w:val="1164"/>
    <w:link w:val="778"/>
    <w:qFormat/>
    <w:pPr>
      <w:ind w:left="420" w:firstLine="420"/>
      <w:spacing w:after="120"/>
    </w:pPr>
    <w:rPr>
      <w:rFonts w:ascii="Calibri" w:hAnsi="Calibri" w:eastAsia="宋体" w:cs="Times New Roman"/>
      <w:sz w:val="21"/>
      <w:szCs w:val="24"/>
      <w:lang w:val="en-US" w:eastAsia="zh-CN"/>
    </w:rPr>
  </w:style>
  <w:style w:type="paragraph" w:styleId="1165">
    <w:name w:val="段"/>
    <w:next w:val="778"/>
    <w:link w:val="778"/>
    <w:qFormat/>
    <w:pPr>
      <w:ind w:firstLine="200"/>
      <w:jc w:val="both"/>
    </w:pPr>
    <w:rPr>
      <w:rFonts w:ascii="宋体" w:hAnsi="Times New Roman" w:eastAsia="宋体" w:cs="Times New Roman"/>
      <w:sz w:val="21"/>
      <w:lang w:val="en-US" w:eastAsia="zh-CN" w:bidi="ar-SA"/>
    </w:rPr>
  </w:style>
  <w:style w:type="paragraph" w:styleId="1166">
    <w:name w:val="页眉1"/>
    <w:basedOn w:val="778"/>
    <w:next w:val="1166"/>
    <w:link w:val="778"/>
    <w:uiPriority w:val="99"/>
    <w:qFormat/>
    <w:pPr>
      <w:jc w:val="center"/>
      <w:tabs>
        <w:tab w:val="center" w:pos="4153" w:leader="none"/>
        <w:tab w:val="right" w:pos="8306" w:leader="none"/>
      </w:tabs>
      <w:pBdr>
        <w:bottom w:val="single" w:color="000000" w:sz="6" w:space="1"/>
      </w:pBdr>
    </w:pPr>
    <w:rPr>
      <w:sz w:val="18"/>
      <w:szCs w:val="18"/>
    </w:rPr>
  </w:style>
  <w:style w:type="paragraph" w:styleId="1167">
    <w:name w:val="页脚1"/>
    <w:basedOn w:val="778"/>
    <w:next w:val="1168"/>
    <w:link w:val="778"/>
    <w:qFormat/>
    <w:pPr>
      <w:jc w:val="left"/>
      <w:tabs>
        <w:tab w:val="center" w:pos="4153" w:leader="none"/>
        <w:tab w:val="right" w:pos="8306" w:leader="none"/>
      </w:tabs>
    </w:pPr>
    <w:rPr>
      <w:sz w:val="18"/>
      <w:szCs w:val="18"/>
    </w:rPr>
  </w:style>
  <w:style w:type="paragraph" w:styleId="1168">
    <w:name w:val="Intense Quote"/>
    <w:basedOn w:val="778"/>
    <w:next w:val="778"/>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9">
    <w:name w:val="font121"/>
    <w:basedOn w:val="986"/>
    <w:next w:val="1169"/>
    <w:link w:val="778"/>
    <w:qFormat/>
    <w:rPr>
      <w:rFonts w:hint="eastAsia" w:ascii="宋体" w:hAnsi="宋体" w:eastAsia="宋体" w:cs="宋体"/>
      <w:color w:val="000000"/>
      <w:sz w:val="18"/>
      <w:szCs w:val="18"/>
      <w:u w:val="none"/>
    </w:rPr>
  </w:style>
  <w:style w:type="character" w:styleId="1170">
    <w:name w:val="font61"/>
    <w:basedOn w:val="986"/>
    <w:next w:val="1170"/>
    <w:link w:val="778"/>
    <w:qFormat/>
    <w:rPr>
      <w:rFonts w:hint="eastAsia" w:ascii="宋体" w:hAnsi="宋体" w:eastAsia="宋体" w:cs="宋体"/>
      <w:b/>
      <w:bCs/>
      <w:color w:val="000000"/>
      <w:sz w:val="22"/>
      <w:szCs w:val="22"/>
      <w:u w:val="none"/>
    </w:rPr>
  </w:style>
  <w:style w:type="paragraph" w:styleId="1171">
    <w:name w:val="首行缩进"/>
    <w:next w:val="1171"/>
    <w:link w:val="778"/>
    <w:qFormat/>
    <w:pPr>
      <w:ind w:firstLine="480"/>
      <w:jc w:val="both"/>
      <w:widowControl w:val="off"/>
    </w:pPr>
    <w:rPr>
      <w:rFonts w:ascii="Times New Roman" w:hAnsi="Times New Roman" w:eastAsia="宋体" w:cs="Times New Roman"/>
      <w:sz w:val="21"/>
      <w:lang w:val="zh-CN" w:eastAsia="zh-CN" w:bidi="ar-SA"/>
    </w:rPr>
  </w:style>
  <w:style w:type="paragraph" w:styleId="1172">
    <w:name w:val="WPSOffice手动目录 1"/>
    <w:next w:val="1172"/>
    <w:link w:val="778"/>
    <w:qFormat/>
    <w:rPr>
      <w:rFonts w:ascii="Times New Roman" w:hAnsi="Times New Roman" w:eastAsia="宋体" w:cs="Times New Roman"/>
      <w:sz w:val="20"/>
      <w:szCs w:val="20"/>
    </w:rPr>
  </w:style>
  <w:style w:type="paragraph" w:styleId="1173">
    <w:name w:val="_Style 1"/>
    <w:basedOn w:val="778"/>
    <w:next w:val="1173"/>
    <w:link w:val="778"/>
    <w:uiPriority w:val="99"/>
    <w:qFormat/>
    <w:pPr>
      <w:ind w:firstLine="420"/>
    </w:pPr>
    <w:rPr>
      <w:rFonts w:ascii="Calibri" w:hAnsi="Calibri"/>
      <w:szCs w:val="22"/>
    </w:rPr>
  </w:style>
  <w:style w:type="paragraph" w:styleId="1174">
    <w:name w:val="标题 41"/>
    <w:basedOn w:val="778"/>
    <w:next w:val="1175"/>
    <w:link w:val="778"/>
    <w:qFormat/>
    <w:pPr>
      <w:keepLines/>
      <w:keepNext/>
      <w:spacing w:before="280" w:after="290" w:line="376" w:lineRule="auto"/>
      <w:outlineLvl w:val="3"/>
    </w:pPr>
    <w:rPr>
      <w:rFonts w:ascii="Arial" w:hAnsi="Arial" w:eastAsia="黑体"/>
      <w:b/>
      <w:bCs/>
      <w:sz w:val="28"/>
      <w:szCs w:val="28"/>
    </w:rPr>
  </w:style>
  <w:style w:type="paragraph" w:styleId="1175">
    <w:name w:val="正文缩进1"/>
    <w:basedOn w:val="778"/>
    <w:next w:val="1175"/>
    <w:link w:val="778"/>
    <w:qFormat/>
    <w:pPr>
      <w:ind w:firstLine="420"/>
    </w:pPr>
    <w:rPr>
      <w:sz w:val="20"/>
    </w:rPr>
  </w:style>
  <w:style w:type="character" w:styleId="1176">
    <w:name w:val="font201"/>
    <w:basedOn w:val="788"/>
    <w:next w:val="1176"/>
    <w:link w:val="778"/>
    <w:qFormat/>
    <w:rPr>
      <w:rFonts w:ascii="Arial Narrow" w:hAnsi="Arial Narrow" w:eastAsia="Arial Narrow" w:cs="Arial Narrow"/>
      <w:color w:val="000000"/>
      <w:sz w:val="20"/>
      <w:szCs w:val="20"/>
      <w:u w:val="none"/>
    </w:rPr>
  </w:style>
  <w:style w:type="character" w:styleId="1177">
    <w:name w:val="font212"/>
    <w:basedOn w:val="788"/>
    <w:next w:val="1177"/>
    <w:link w:val="778"/>
    <w:qFormat/>
    <w:rPr>
      <w:rFonts w:hint="eastAsia" w:ascii="宋体" w:hAnsi="宋体" w:eastAsia="宋体" w:cs="宋体"/>
      <w:color w:val="000000"/>
      <w:sz w:val="20"/>
      <w:szCs w:val="20"/>
      <w:u w:val="none"/>
      <w:vertAlign w:val="superscript"/>
    </w:rPr>
  </w:style>
  <w:style w:type="character" w:styleId="1178">
    <w:name w:val="15"/>
    <w:basedOn w:val="788"/>
    <w:next w:val="1178"/>
    <w:link w:val="778"/>
    <w:rPr>
      <w:rFonts w:ascii="Times New Roman" w:hAnsi="Times New Roman" w:cs="Times New Roman"/>
    </w:rPr>
  </w:style>
  <w:style w:type="character" w:styleId="1179" w:default="1">
    <w:name w:val="Default Paragraph Font"/>
    <w:uiPriority w:val="1"/>
    <w:semiHidden/>
    <w:unhideWhenUsed/>
  </w:style>
  <w:style w:type="numbering" w:styleId="1180" w:default="1">
    <w:name w:val="No List"/>
    <w:uiPriority w:val="99"/>
    <w:semiHidden/>
    <w:unhideWhenUsed/>
  </w:style>
  <w:style w:type="table" w:styleId="11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蔡培芹</cp:lastModifiedBy>
  <cp:revision>2</cp:revision>
  <dcterms:created xsi:type="dcterms:W3CDTF">2024-05-19T13:55:00Z</dcterms:created>
  <dcterms:modified xsi:type="dcterms:W3CDTF">2026-05-08T01:37:45Z</dcterms:modified>
</cp:coreProperties>
</file>